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74E" w14:textId="3F9D3303" w:rsidR="00EE49FB" w:rsidRDefault="00093F7D" w:rsidP="006C282B">
      <w:pPr>
        <w:sectPr w:rsidR="00EE49FB" w:rsidSect="00CB5919">
          <w:footerReference w:type="default" r:id="rId8"/>
          <w:headerReference w:type="first" r:id="rId9"/>
          <w:footerReference w:type="first" r:id="rId10"/>
          <w:type w:val="continuous"/>
          <w:pgSz w:w="11906" w:h="16838"/>
          <w:pgMar w:top="2124" w:right="1440" w:bottom="1134" w:left="1440" w:header="0" w:footer="539" w:gutter="0"/>
          <w:pgNumType w:start="1"/>
          <w:cols w:space="708"/>
          <w:titlePg/>
          <w:docGrid w:linePitch="360"/>
        </w:sectPr>
      </w:pPr>
      <w:bookmarkStart w:id="0" w:name="_Toc118443202"/>
      <w:bookmarkStart w:id="1" w:name="_Toc119418020"/>
      <w:r>
        <w:rPr>
          <w:noProof/>
        </w:rPr>
        <w:drawing>
          <wp:anchor distT="0" distB="0" distL="114300" distR="114300" simplePos="0" relativeHeight="251658240" behindDoc="0" locked="0" layoutInCell="1" allowOverlap="1" wp14:anchorId="0CBAD37C" wp14:editId="250BFBFD">
            <wp:simplePos x="0" y="0"/>
            <wp:positionH relativeFrom="page">
              <wp:align>right</wp:align>
            </wp:positionH>
            <wp:positionV relativeFrom="paragraph">
              <wp:posOffset>-1348740</wp:posOffset>
            </wp:positionV>
            <wp:extent cx="7550596" cy="1624330"/>
            <wp:effectExtent l="0" t="0" r="0" b="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65CE7F50" w14:textId="6CB71D89" w:rsidR="004F2369" w:rsidRPr="00233A75" w:rsidRDefault="00EB7BED" w:rsidP="00403D51">
      <w:pPr>
        <w:pStyle w:val="Heading1"/>
        <w:spacing w:line="240" w:lineRule="auto"/>
      </w:pPr>
      <w:r>
        <w:rPr>
          <w:rFonts w:eastAsia="Arial" w:cs="Arial"/>
          <w:bCs/>
          <w:szCs w:val="56"/>
        </w:rPr>
        <w:t>Total New Vacancies</w:t>
      </w:r>
      <w:r w:rsidRPr="00CE4573">
        <w:rPr>
          <w:rFonts w:eastAsia="Arial" w:cs="Arial"/>
          <w:bCs/>
          <w:szCs w:val="56"/>
        </w:rPr>
        <w:t xml:space="preserve"> (</w:t>
      </w:r>
      <w:r>
        <w:rPr>
          <w:rFonts w:eastAsia="Arial" w:cs="Arial"/>
          <w:bCs/>
          <w:szCs w:val="56"/>
        </w:rPr>
        <w:t>TNV)</w:t>
      </w:r>
    </w:p>
    <w:p w14:paraId="6CFB6773" w14:textId="2CB3D2C7" w:rsidR="00CE4573" w:rsidRPr="00E20EC8" w:rsidRDefault="00CE4573" w:rsidP="0075069B">
      <w:pPr>
        <w:pStyle w:val="Heading2"/>
        <w:spacing w:line="240" w:lineRule="auto"/>
        <w:rPr>
          <w:color w:val="4B0885" w:themeColor="text2"/>
          <w:sz w:val="28"/>
          <w:szCs w:val="28"/>
        </w:rPr>
      </w:pPr>
      <w:r w:rsidRPr="00E20EC8">
        <w:rPr>
          <w:color w:val="4B0885" w:themeColor="text2"/>
          <w:sz w:val="28"/>
          <w:szCs w:val="28"/>
        </w:rPr>
        <w:t xml:space="preserve">What is </w:t>
      </w:r>
      <w:r w:rsidR="00B96DD7" w:rsidRPr="00E20EC8">
        <w:rPr>
          <w:color w:val="4B0885" w:themeColor="text2"/>
          <w:sz w:val="28"/>
          <w:szCs w:val="28"/>
        </w:rPr>
        <w:t>TNV</w:t>
      </w:r>
      <w:r w:rsidRPr="00E20EC8">
        <w:rPr>
          <w:color w:val="4B0885" w:themeColor="text2"/>
          <w:sz w:val="28"/>
          <w:szCs w:val="28"/>
        </w:rPr>
        <w:t>?</w:t>
      </w:r>
    </w:p>
    <w:p w14:paraId="6A78E4F9" w14:textId="52F5B25A" w:rsidR="008662FD" w:rsidRPr="0075069B" w:rsidRDefault="008662FD" w:rsidP="0075069B">
      <w:pPr>
        <w:spacing w:after="120"/>
        <w:rPr>
          <w:rFonts w:eastAsiaTheme="majorEastAsia" w:cstheme="majorBidi"/>
          <w:b/>
        </w:rPr>
      </w:pPr>
      <w:r w:rsidRPr="0075069B">
        <w:rPr>
          <w:rFonts w:eastAsiaTheme="majorEastAsia" w:cstheme="majorBidi"/>
          <w:b/>
        </w:rPr>
        <w:t xml:space="preserve">The Total New Vacancies (TNV) series is a quarterly dataset produced by Jobs and Skills Australia (JSA) that estimates the total number of new job vacancies created across Australia. </w:t>
      </w:r>
    </w:p>
    <w:p w14:paraId="3AF50B09" w14:textId="6BF5E240" w:rsidR="008662FD" w:rsidRPr="008662FD" w:rsidRDefault="008662FD" w:rsidP="0075069B">
      <w:pPr>
        <w:spacing w:after="120"/>
        <w:rPr>
          <w:rFonts w:eastAsiaTheme="majorEastAsia" w:cstheme="majorBidi"/>
          <w:bCs/>
        </w:rPr>
      </w:pPr>
      <w:r w:rsidRPr="008662FD">
        <w:rPr>
          <w:rFonts w:eastAsiaTheme="majorEastAsia" w:cstheme="majorBidi"/>
          <w:bCs/>
        </w:rPr>
        <w:t xml:space="preserve">Unlike measures that only capture online job advertisements, TNV provides a broader view of labour demand by estimating vacancies filled through all recruitment methods. This includes jobs advertised online as well as those recruited through word of mouth, social media, signage, newspaper advertisements and other informal channels. </w:t>
      </w:r>
    </w:p>
    <w:p w14:paraId="55184648" w14:textId="03A076A7" w:rsidR="008662FD" w:rsidRPr="008662FD" w:rsidRDefault="008662FD" w:rsidP="0075069B">
      <w:pPr>
        <w:spacing w:after="120"/>
        <w:rPr>
          <w:rFonts w:eastAsiaTheme="majorEastAsia" w:cstheme="majorBidi"/>
          <w:bCs/>
        </w:rPr>
      </w:pPr>
      <w:r w:rsidRPr="008662FD">
        <w:rPr>
          <w:rFonts w:eastAsiaTheme="majorEastAsia" w:cstheme="majorBidi"/>
          <w:bCs/>
        </w:rPr>
        <w:t>The series combines data from JSA's Internet Vacancy Index (IVI) with information collected through the Recruitment Experiences and Outlook Survey (REOS) to estimate the total number of new vacancies generated each quarter. By accounting for changes in recruitment methods over time, TNV provides a clearer picture of labour market trends and hiring activity throughout Australia.</w:t>
      </w:r>
    </w:p>
    <w:p w14:paraId="4C01A7D7" w14:textId="699E9816" w:rsidR="008662FD" w:rsidRPr="00E20EC8" w:rsidRDefault="00CE4573" w:rsidP="00582781">
      <w:pPr>
        <w:pStyle w:val="Heading2"/>
        <w:spacing w:line="240" w:lineRule="auto"/>
        <w:rPr>
          <w:color w:val="4B0885" w:themeColor="text2"/>
          <w:sz w:val="28"/>
          <w:szCs w:val="28"/>
        </w:rPr>
      </w:pPr>
      <w:r w:rsidRPr="00E20EC8">
        <w:rPr>
          <w:color w:val="4B0885" w:themeColor="text2"/>
          <w:sz w:val="28"/>
          <w:szCs w:val="28"/>
        </w:rPr>
        <w:t xml:space="preserve">JSA </w:t>
      </w:r>
      <w:r w:rsidR="00DC5CC0" w:rsidRPr="00E20EC8">
        <w:rPr>
          <w:color w:val="4B0885" w:themeColor="text2"/>
          <w:sz w:val="28"/>
          <w:szCs w:val="28"/>
        </w:rPr>
        <w:t>d</w:t>
      </w:r>
      <w:r w:rsidRPr="00E20EC8">
        <w:rPr>
          <w:color w:val="4B0885" w:themeColor="text2"/>
          <w:sz w:val="28"/>
          <w:szCs w:val="28"/>
        </w:rPr>
        <w:t xml:space="preserve">ata for workforce </w:t>
      </w:r>
      <w:r w:rsidR="008D6BE9" w:rsidRPr="00E20EC8">
        <w:rPr>
          <w:color w:val="4B0885" w:themeColor="text2"/>
          <w:sz w:val="28"/>
          <w:szCs w:val="28"/>
        </w:rPr>
        <w:t>analysis</w:t>
      </w:r>
    </w:p>
    <w:p w14:paraId="1B0F570E" w14:textId="0874EE38" w:rsidR="008662FD" w:rsidRPr="0075069B" w:rsidRDefault="008662FD" w:rsidP="0075069B">
      <w:pPr>
        <w:spacing w:after="120"/>
        <w:rPr>
          <w:rFonts w:eastAsiaTheme="majorEastAsia" w:cstheme="majorBidi"/>
          <w:bCs/>
        </w:rPr>
      </w:pPr>
      <w:r w:rsidRPr="0075069B">
        <w:rPr>
          <w:rFonts w:eastAsiaTheme="majorEastAsia" w:cstheme="majorBidi"/>
          <w:bCs/>
        </w:rPr>
        <w:t>TNV improves the evidence base on labour demand by providing insights into job opportunities that are not visible in online vacancy measures alone. The dataset supports analysis of labour market demand across occupations, industries and regions, particularly where online advertising is less common.</w:t>
      </w:r>
    </w:p>
    <w:p w14:paraId="6B2D18BB" w14:textId="5EECBA54" w:rsidR="008662FD" w:rsidRPr="0075069B" w:rsidRDefault="008662FD" w:rsidP="0075069B">
      <w:pPr>
        <w:spacing w:after="120"/>
        <w:rPr>
          <w:rFonts w:eastAsiaTheme="majorEastAsia" w:cstheme="majorBidi"/>
          <w:bCs/>
        </w:rPr>
      </w:pPr>
      <w:r w:rsidRPr="0075069B">
        <w:rPr>
          <w:rFonts w:eastAsiaTheme="majorEastAsia" w:cstheme="majorBidi"/>
          <w:bCs/>
        </w:rPr>
        <w:t>The series helps reveal "hidden" labour demand and provides a more complete understanding of recruitment activity across the economy. This supports place-based workforce planning, regional job strategies and evidence-based policy development.</w:t>
      </w:r>
    </w:p>
    <w:p w14:paraId="72C58BBA" w14:textId="54521631" w:rsidR="008662FD" w:rsidRPr="00E20EC8" w:rsidRDefault="00CE4573" w:rsidP="00582781">
      <w:pPr>
        <w:pStyle w:val="Heading2"/>
        <w:spacing w:line="240" w:lineRule="auto"/>
        <w:rPr>
          <w:color w:val="4B0885" w:themeColor="text2"/>
          <w:sz w:val="28"/>
          <w:szCs w:val="28"/>
        </w:rPr>
      </w:pPr>
      <w:r w:rsidRPr="00E20EC8">
        <w:rPr>
          <w:color w:val="4B0885" w:themeColor="text2"/>
          <w:sz w:val="28"/>
          <w:szCs w:val="28"/>
        </w:rPr>
        <w:t xml:space="preserve">What can you use </w:t>
      </w:r>
      <w:r w:rsidR="00B96DD7" w:rsidRPr="00E20EC8">
        <w:rPr>
          <w:color w:val="4B0885" w:themeColor="text2"/>
          <w:sz w:val="28"/>
          <w:szCs w:val="28"/>
        </w:rPr>
        <w:t xml:space="preserve">TNV </w:t>
      </w:r>
      <w:r w:rsidRPr="00E20EC8">
        <w:rPr>
          <w:color w:val="4B0885" w:themeColor="text2"/>
          <w:sz w:val="28"/>
          <w:szCs w:val="28"/>
        </w:rPr>
        <w:t>for?</w:t>
      </w:r>
    </w:p>
    <w:p w14:paraId="1A3EBA24" w14:textId="6B714088" w:rsidR="008662FD" w:rsidRPr="008662FD" w:rsidRDefault="008662FD" w:rsidP="00E20EC8">
      <w:pPr>
        <w:spacing w:line="240" w:lineRule="auto"/>
      </w:pPr>
      <w:r w:rsidRPr="008662FD">
        <w:t>Vacancy data is an important indicator of labour demand. TNV can be used to:</w:t>
      </w:r>
    </w:p>
    <w:p w14:paraId="7377BC89" w14:textId="25D67DA8" w:rsidR="008662FD" w:rsidRPr="008662FD" w:rsidRDefault="008662FD" w:rsidP="0075069B">
      <w:pPr>
        <w:numPr>
          <w:ilvl w:val="0"/>
          <w:numId w:val="17"/>
        </w:numPr>
        <w:spacing w:after="120"/>
        <w:ind w:left="714" w:hanging="357"/>
      </w:pPr>
      <w:r w:rsidRPr="008662FD">
        <w:t xml:space="preserve">Understand total hiring activity across Australia, including vacancies not visible in online job advertisement data. </w:t>
      </w:r>
    </w:p>
    <w:p w14:paraId="5388CA96" w14:textId="2A51F952" w:rsidR="008662FD" w:rsidRPr="008662FD" w:rsidRDefault="008662FD" w:rsidP="0075069B">
      <w:pPr>
        <w:numPr>
          <w:ilvl w:val="0"/>
          <w:numId w:val="17"/>
        </w:numPr>
        <w:spacing w:after="120"/>
        <w:ind w:left="714" w:hanging="357"/>
      </w:pPr>
      <w:r w:rsidRPr="008662FD">
        <w:t xml:space="preserve">Compare labour demand across regions, industries and occupations where recruitment practices differ. </w:t>
      </w:r>
    </w:p>
    <w:p w14:paraId="41D0C16C" w14:textId="5B501567" w:rsidR="008662FD" w:rsidRPr="008662FD" w:rsidRDefault="008662FD" w:rsidP="0075069B">
      <w:pPr>
        <w:numPr>
          <w:ilvl w:val="0"/>
          <w:numId w:val="17"/>
        </w:numPr>
        <w:spacing w:after="120"/>
        <w:ind w:left="714" w:hanging="357"/>
      </w:pPr>
      <w:r w:rsidRPr="008662FD">
        <w:t xml:space="preserve">Support workforce planning, skills analysis and labour market research by providing a more comprehensive measure of recruitment activity. </w:t>
      </w:r>
    </w:p>
    <w:p w14:paraId="0099196A" w14:textId="291D1234" w:rsidR="008662FD" w:rsidRPr="008662FD" w:rsidRDefault="008662FD" w:rsidP="0075069B">
      <w:pPr>
        <w:numPr>
          <w:ilvl w:val="0"/>
          <w:numId w:val="17"/>
        </w:numPr>
        <w:spacing w:after="120"/>
        <w:ind w:left="714" w:hanging="357"/>
      </w:pPr>
      <w:r w:rsidRPr="008662FD">
        <w:t xml:space="preserve">Inform place-based initiatives, regional development strategies and policy responses to emerging labour market trends. </w:t>
      </w:r>
    </w:p>
    <w:p w14:paraId="0C70AE6F" w14:textId="1F8E552F" w:rsidR="008662FD" w:rsidRPr="008662FD" w:rsidRDefault="008662FD" w:rsidP="0075069B">
      <w:pPr>
        <w:numPr>
          <w:ilvl w:val="0"/>
          <w:numId w:val="17"/>
        </w:numPr>
        <w:spacing w:after="120"/>
        <w:ind w:left="714" w:hanging="357"/>
      </w:pPr>
      <w:r w:rsidRPr="008662FD">
        <w:t xml:space="preserve">Complement other labour market datasets such as IVI, REOS and ABS labour market statistics to provide a fuller picture of labour demand. </w:t>
      </w:r>
    </w:p>
    <w:p w14:paraId="284111D2" w14:textId="128664D8" w:rsidR="008662FD" w:rsidRPr="0075069B" w:rsidRDefault="008662FD" w:rsidP="0075069B">
      <w:pPr>
        <w:spacing w:after="120"/>
        <w:rPr>
          <w:rFonts w:eastAsiaTheme="majorEastAsia" w:cstheme="majorBidi"/>
          <w:bCs/>
        </w:rPr>
      </w:pPr>
      <w:r w:rsidRPr="0075069B">
        <w:rPr>
          <w:rFonts w:eastAsiaTheme="majorEastAsia" w:cstheme="majorBidi"/>
          <w:bCs/>
        </w:rPr>
        <w:t>In combination with other data sources, TNV can help identify where labour demand may be stronger than online vacancy measures suggest and improve understanding of workforce needs in occupations and regions that rely heavily on informal recruitment methods.</w:t>
      </w:r>
    </w:p>
    <w:p w14:paraId="0D98D11D" w14:textId="6C2A3C9A" w:rsidR="00CE4573" w:rsidRPr="00E20EC8" w:rsidRDefault="00CE4573" w:rsidP="0075069B">
      <w:pPr>
        <w:pStyle w:val="Heading2"/>
        <w:spacing w:line="240" w:lineRule="auto"/>
        <w:rPr>
          <w:color w:val="4B0885" w:themeColor="text2"/>
          <w:sz w:val="28"/>
          <w:szCs w:val="28"/>
        </w:rPr>
      </w:pPr>
      <w:r w:rsidRPr="00E20EC8">
        <w:rPr>
          <w:color w:val="4B0885" w:themeColor="text2"/>
          <w:sz w:val="28"/>
          <w:szCs w:val="28"/>
        </w:rPr>
        <w:lastRenderedPageBreak/>
        <w:t xml:space="preserve">What can’t you use </w:t>
      </w:r>
      <w:r w:rsidR="00B96DD7" w:rsidRPr="00E20EC8">
        <w:rPr>
          <w:color w:val="4B0885" w:themeColor="text2"/>
          <w:sz w:val="28"/>
          <w:szCs w:val="28"/>
        </w:rPr>
        <w:t>TNV</w:t>
      </w:r>
      <w:r w:rsidRPr="00E20EC8">
        <w:rPr>
          <w:color w:val="4B0885" w:themeColor="text2"/>
          <w:sz w:val="28"/>
          <w:szCs w:val="28"/>
        </w:rPr>
        <w:t xml:space="preserve"> for?</w:t>
      </w:r>
    </w:p>
    <w:p w14:paraId="44AD9951" w14:textId="77777777" w:rsidR="008662FD" w:rsidRPr="008662FD" w:rsidRDefault="008662FD" w:rsidP="00E20EC8">
      <w:pPr>
        <w:spacing w:line="240" w:lineRule="auto"/>
      </w:pPr>
      <w:r w:rsidRPr="008662FD">
        <w:t>TNV is designed to estimate the total number of new vacancies created each quarter. It should not be used to:</w:t>
      </w:r>
    </w:p>
    <w:p w14:paraId="52DF81C8" w14:textId="50BBA5C0" w:rsidR="008662FD" w:rsidRPr="008662FD" w:rsidRDefault="008662FD" w:rsidP="0075069B">
      <w:pPr>
        <w:numPr>
          <w:ilvl w:val="0"/>
          <w:numId w:val="17"/>
        </w:numPr>
        <w:spacing w:after="120"/>
        <w:ind w:left="714" w:hanging="357"/>
      </w:pPr>
      <w:r w:rsidRPr="008662FD">
        <w:t xml:space="preserve">Measure current unfilled job vacancies at a point in time. TNV measures new vacancies created during a quarter rather than vacancies that remain open. </w:t>
      </w:r>
    </w:p>
    <w:p w14:paraId="6382A8D3" w14:textId="2B63C1E1" w:rsidR="008662FD" w:rsidRPr="008662FD" w:rsidRDefault="008662FD" w:rsidP="0075069B">
      <w:pPr>
        <w:numPr>
          <w:ilvl w:val="0"/>
          <w:numId w:val="17"/>
        </w:numPr>
        <w:spacing w:after="120"/>
        <w:ind w:left="714" w:hanging="357"/>
      </w:pPr>
      <w:r w:rsidRPr="008662FD">
        <w:t>Analyse specific job characteristics such as wages, employment conditions, hours of work, contract type or workplace flexibility. These are not collected as part of the TNV series.</w:t>
      </w:r>
    </w:p>
    <w:p w14:paraId="26939852" w14:textId="0B8A390F" w:rsidR="008662FD" w:rsidRPr="008662FD" w:rsidRDefault="008662FD" w:rsidP="0075069B">
      <w:pPr>
        <w:numPr>
          <w:ilvl w:val="0"/>
          <w:numId w:val="17"/>
        </w:numPr>
        <w:spacing w:after="120"/>
        <w:ind w:left="714" w:hanging="357"/>
      </w:pPr>
      <w:r w:rsidRPr="008662FD">
        <w:t xml:space="preserve">Determine how individual vacancies were recruited or filled. TNV provides estimates of overall vacancy volumes rather than details of individual recruitment processes. </w:t>
      </w:r>
    </w:p>
    <w:p w14:paraId="538DC1FF" w14:textId="64A0E551" w:rsidR="008662FD" w:rsidRPr="008662FD" w:rsidRDefault="008662FD" w:rsidP="0075069B">
      <w:pPr>
        <w:numPr>
          <w:ilvl w:val="0"/>
          <w:numId w:val="17"/>
        </w:numPr>
        <w:spacing w:after="120"/>
        <w:ind w:left="714" w:hanging="357"/>
      </w:pPr>
      <w:r w:rsidRPr="008662FD">
        <w:t>Use as a standalone measure of labour market conditions. TNV is best interpreted alongside complementary labour market datasets.</w:t>
      </w:r>
    </w:p>
    <w:p w14:paraId="087C859E" w14:textId="77777777" w:rsidR="00CE4573" w:rsidRPr="00E20EC8" w:rsidRDefault="00CE4573" w:rsidP="007E6553">
      <w:pPr>
        <w:pStyle w:val="Heading2"/>
        <w:spacing w:line="240" w:lineRule="auto"/>
        <w:rPr>
          <w:color w:val="4B0885" w:themeColor="text2"/>
          <w:sz w:val="28"/>
          <w:szCs w:val="28"/>
        </w:rPr>
      </w:pPr>
      <w:r w:rsidRPr="00E20EC8">
        <w:rPr>
          <w:color w:val="4B0885" w:themeColor="text2"/>
          <w:sz w:val="28"/>
          <w:szCs w:val="28"/>
        </w:rPr>
        <w:t>Caveats and limitations</w:t>
      </w:r>
    </w:p>
    <w:p w14:paraId="2CCA7F1E" w14:textId="58BABD23" w:rsidR="008662FD" w:rsidRPr="0075069B" w:rsidRDefault="008662FD" w:rsidP="0075069B">
      <w:pPr>
        <w:spacing w:after="120"/>
        <w:rPr>
          <w:rFonts w:eastAsiaTheme="majorEastAsia" w:cstheme="majorBidi"/>
          <w:bCs/>
        </w:rPr>
      </w:pPr>
      <w:r w:rsidRPr="0075069B">
        <w:rPr>
          <w:rFonts w:eastAsiaTheme="majorEastAsia" w:cstheme="majorBidi"/>
          <w:bCs/>
        </w:rPr>
        <w:t xml:space="preserve">As a new data series, users should exercise caution when interpreting TNV data. JSA welcomes feedback on the series and potential future improvements. </w:t>
      </w:r>
    </w:p>
    <w:p w14:paraId="6F7B7331" w14:textId="77777777" w:rsidR="008662FD" w:rsidRPr="0075069B" w:rsidRDefault="008662FD" w:rsidP="0075069B">
      <w:pPr>
        <w:spacing w:after="120"/>
        <w:rPr>
          <w:rFonts w:eastAsiaTheme="majorEastAsia" w:cstheme="majorBidi"/>
          <w:bCs/>
        </w:rPr>
      </w:pPr>
      <w:r w:rsidRPr="0075069B">
        <w:rPr>
          <w:rFonts w:eastAsiaTheme="majorEastAsia" w:cstheme="majorBidi"/>
          <w:bCs/>
        </w:rPr>
        <w:t>Key limitations include:</w:t>
      </w:r>
    </w:p>
    <w:p w14:paraId="6DFF2213" w14:textId="6F3ED693" w:rsidR="008662FD" w:rsidRPr="008662FD" w:rsidRDefault="008662FD" w:rsidP="0075069B">
      <w:pPr>
        <w:numPr>
          <w:ilvl w:val="0"/>
          <w:numId w:val="17"/>
        </w:numPr>
        <w:spacing w:after="120"/>
        <w:ind w:left="714" w:hanging="357"/>
      </w:pPr>
      <w:r w:rsidRPr="008662FD">
        <w:t xml:space="preserve">TNV estimates are model-based and combine multiple data sources rather than directly counting every vacancy in the economy. </w:t>
      </w:r>
    </w:p>
    <w:p w14:paraId="6FCB15BB" w14:textId="177B4626" w:rsidR="008662FD" w:rsidRPr="008662FD" w:rsidRDefault="008662FD" w:rsidP="0075069B">
      <w:pPr>
        <w:numPr>
          <w:ilvl w:val="0"/>
          <w:numId w:val="17"/>
        </w:numPr>
        <w:spacing w:after="120"/>
        <w:ind w:left="714" w:hanging="357"/>
      </w:pPr>
      <w:r w:rsidRPr="008662FD">
        <w:t xml:space="preserve">Estimates depend on reported recruitment methods from employers and observed online vacancy activity. Changes in recruitment behaviour may affect the estimates. </w:t>
      </w:r>
    </w:p>
    <w:p w14:paraId="5D0D9740" w14:textId="67CBFB79" w:rsidR="008662FD" w:rsidRPr="008662FD" w:rsidRDefault="008662FD" w:rsidP="0075069B">
      <w:pPr>
        <w:numPr>
          <w:ilvl w:val="0"/>
          <w:numId w:val="17"/>
        </w:numPr>
        <w:spacing w:after="120"/>
        <w:ind w:left="714" w:hanging="357"/>
      </w:pPr>
      <w:r w:rsidRPr="008662FD">
        <w:t xml:space="preserve">Quarter-to-quarter movements may be volatile. JSA recommends focusing on annual changes where possible rather than interpreting short-term fluctuations. </w:t>
      </w:r>
    </w:p>
    <w:p w14:paraId="6D7056E0" w14:textId="23FE2486" w:rsidR="008662FD" w:rsidRPr="008662FD" w:rsidRDefault="008662FD" w:rsidP="0075069B">
      <w:pPr>
        <w:numPr>
          <w:ilvl w:val="0"/>
          <w:numId w:val="17"/>
        </w:numPr>
        <w:spacing w:after="120"/>
        <w:ind w:left="714" w:hanging="357"/>
      </w:pPr>
      <w:r w:rsidRPr="008662FD">
        <w:t xml:space="preserve">TNV should be used alongside other labour market information, including IVI, REOS and ABS datasets, when analysing labour demand and workforce trends. </w:t>
      </w:r>
    </w:p>
    <w:p w14:paraId="7C7E2401" w14:textId="36E88D6D" w:rsidR="008662FD" w:rsidRPr="008662FD" w:rsidRDefault="008662FD" w:rsidP="0075069B">
      <w:pPr>
        <w:numPr>
          <w:ilvl w:val="0"/>
          <w:numId w:val="17"/>
        </w:numPr>
        <w:spacing w:after="120"/>
        <w:ind w:left="714" w:hanging="357"/>
      </w:pPr>
      <w:r w:rsidRPr="008662FD">
        <w:t>As the series is relatively new, methodology and outputs may continue to be refined over time in response to user feedback and ongoing development.</w:t>
      </w:r>
    </w:p>
    <w:p w14:paraId="7D26FCC8" w14:textId="5BBC81DC" w:rsidR="00624671" w:rsidRPr="0075069B" w:rsidRDefault="00624671" w:rsidP="0075069B">
      <w:pPr>
        <w:pStyle w:val="Heading2"/>
        <w:spacing w:line="240" w:lineRule="auto"/>
        <w:rPr>
          <w:color w:val="4B0885" w:themeColor="text2"/>
          <w:sz w:val="28"/>
          <w:szCs w:val="28"/>
        </w:rPr>
      </w:pPr>
      <w:r w:rsidRPr="0075069B">
        <w:rPr>
          <w:color w:val="4B0885" w:themeColor="text2"/>
          <w:sz w:val="28"/>
          <w:szCs w:val="28"/>
        </w:rPr>
        <w:t xml:space="preserve">Further information </w:t>
      </w:r>
    </w:p>
    <w:p w14:paraId="3D066215" w14:textId="77045B14" w:rsidR="00CE4573" w:rsidRDefault="00CE4573" w:rsidP="007E6553">
      <w:pPr>
        <w:spacing w:after="0" w:line="240" w:lineRule="auto"/>
      </w:pPr>
      <w:r>
        <w:t xml:space="preserve">If you have any questions about how to use </w:t>
      </w:r>
      <w:r w:rsidR="008D4BAF">
        <w:t xml:space="preserve">TNV </w:t>
      </w:r>
      <w:r w:rsidR="00DC5CC0">
        <w:t>please contact JSA via the Connect with us QR code below:</w:t>
      </w:r>
    </w:p>
    <w:bookmarkEnd w:id="0"/>
    <w:bookmarkEnd w:id="1"/>
    <w:p w14:paraId="0C95D43F" w14:textId="7BC10889" w:rsidR="00A037B9" w:rsidRDefault="00A037B9" w:rsidP="00A037B9">
      <w:pPr>
        <w:keepNext/>
        <w:keepLines/>
        <w:tabs>
          <w:tab w:val="left" w:pos="3119"/>
        </w:tabs>
        <w:spacing w:after="0" w:line="276" w:lineRule="auto"/>
        <w:outlineLvl w:val="1"/>
        <w:rPr>
          <w:rFonts w:eastAsia="Times New Roman" w:cs="Times New Roman"/>
          <w:b/>
          <w:sz w:val="32"/>
          <w:szCs w:val="26"/>
          <w:lang w:val="en-GB"/>
        </w:rPr>
      </w:pPr>
      <w:r>
        <w:rPr>
          <w:noProof/>
          <w:szCs w:val="20"/>
        </w:rPr>
        <w:drawing>
          <wp:anchor distT="0" distB="0" distL="114300" distR="114300" simplePos="0" relativeHeight="251658242" behindDoc="0" locked="0" layoutInCell="1" allowOverlap="1" wp14:anchorId="748B8881" wp14:editId="7A467345">
            <wp:simplePos x="0" y="0"/>
            <wp:positionH relativeFrom="column">
              <wp:posOffset>2274570</wp:posOffset>
            </wp:positionH>
            <wp:positionV relativeFrom="paragraph">
              <wp:posOffset>71120</wp:posOffset>
            </wp:positionV>
            <wp:extent cx="917575" cy="913765"/>
            <wp:effectExtent l="0" t="0" r="0" b="635"/>
            <wp:wrapSquare wrapText="bothSides"/>
            <wp:docPr id="1804377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pic:spPr>
                </pic:pic>
              </a:graphicData>
            </a:graphic>
            <wp14:sizeRelH relativeFrom="margin">
              <wp14:pctWidth>0</wp14:pctWidth>
            </wp14:sizeRelH>
            <wp14:sizeRelV relativeFrom="margin">
              <wp14:pctHeight>0</wp14:pctHeight>
            </wp14:sizeRelV>
          </wp:anchor>
        </w:drawing>
      </w:r>
      <w:r>
        <w:rPr>
          <w:noProof/>
          <w:szCs w:val="20"/>
        </w:rPr>
        <w:drawing>
          <wp:anchor distT="0" distB="0" distL="114300" distR="114300" simplePos="0" relativeHeight="251658241" behindDoc="0" locked="0" layoutInCell="1" allowOverlap="1" wp14:anchorId="2800AD55" wp14:editId="5F6C330D">
            <wp:simplePos x="0" y="0"/>
            <wp:positionH relativeFrom="margin">
              <wp:posOffset>-1270</wp:posOffset>
            </wp:positionH>
            <wp:positionV relativeFrom="paragraph">
              <wp:posOffset>84455</wp:posOffset>
            </wp:positionV>
            <wp:extent cx="895985" cy="899795"/>
            <wp:effectExtent l="0" t="0" r="0" b="0"/>
            <wp:wrapSquare wrapText="bothSides"/>
            <wp:docPr id="17770113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6AFC254A" w14:textId="77777777" w:rsidR="00A037B9" w:rsidRDefault="00A037B9" w:rsidP="00A037B9">
      <w:pPr>
        <w:keepNext/>
        <w:keepLines/>
        <w:tabs>
          <w:tab w:val="left" w:pos="3119"/>
        </w:tabs>
        <w:spacing w:after="0" w:line="276" w:lineRule="auto"/>
        <w:outlineLvl w:val="1"/>
        <w:rPr>
          <w:rFonts w:eastAsia="Times New Roman" w:cs="Times New Roman"/>
          <w:b/>
          <w:sz w:val="32"/>
          <w:szCs w:val="26"/>
          <w:lang w:val="en-GB"/>
        </w:rPr>
      </w:pPr>
    </w:p>
    <w:p w14:paraId="662F6EC2" w14:textId="77777777" w:rsidR="00A037B9" w:rsidRDefault="00A037B9" w:rsidP="00A037B9">
      <w:pPr>
        <w:keepNext/>
        <w:keepLines/>
        <w:tabs>
          <w:tab w:val="left" w:pos="3119"/>
        </w:tabs>
        <w:spacing w:after="0" w:line="276" w:lineRule="auto"/>
        <w:outlineLvl w:val="1"/>
        <w:rPr>
          <w:rFonts w:eastAsia="Times New Roman" w:cs="Times New Roman"/>
          <w:b/>
          <w:sz w:val="32"/>
          <w:szCs w:val="26"/>
          <w:lang w:val="en-GB"/>
        </w:rPr>
      </w:pPr>
    </w:p>
    <w:p w14:paraId="44B8F173" w14:textId="77777777" w:rsidR="00A037B9" w:rsidRDefault="00A037B9" w:rsidP="00A037B9">
      <w:pPr>
        <w:keepNext/>
        <w:keepLines/>
        <w:tabs>
          <w:tab w:val="left" w:pos="3119"/>
        </w:tabs>
        <w:spacing w:after="0" w:line="276" w:lineRule="auto"/>
        <w:outlineLvl w:val="1"/>
        <w:rPr>
          <w:rFonts w:eastAsia="Times New Roman" w:cs="Times New Roman"/>
          <w:b/>
          <w:bCs/>
          <w:sz w:val="32"/>
          <w:szCs w:val="26"/>
          <w:lang w:val="en-GB"/>
        </w:rPr>
      </w:pPr>
    </w:p>
    <w:p w14:paraId="0613B4FA" w14:textId="77777777" w:rsidR="00A037B9" w:rsidRDefault="00A037B9" w:rsidP="00A037B9">
      <w:pPr>
        <w:keepNext/>
        <w:keepLines/>
        <w:tabs>
          <w:tab w:val="left" w:pos="3119"/>
        </w:tabs>
        <w:spacing w:after="0" w:line="276" w:lineRule="auto"/>
        <w:outlineLvl w:val="1"/>
        <w:rPr>
          <w:rFonts w:eastAsia="Times New Roman" w:cs="Times New Roman"/>
          <w:b/>
          <w:bCs/>
          <w:color w:val="4B0885"/>
          <w:sz w:val="26"/>
          <w:szCs w:val="26"/>
          <w:lang w:val="en-GB"/>
        </w:rPr>
      </w:pPr>
      <w:r>
        <w:rPr>
          <w:rFonts w:eastAsia="Times New Roman" w:cs="Times New Roman"/>
          <w:b/>
          <w:bCs/>
          <w:color w:val="4B0885"/>
          <w:sz w:val="26"/>
          <w:szCs w:val="26"/>
          <w:lang w:val="en-GB"/>
        </w:rPr>
        <w:t>Connect with us</w:t>
      </w:r>
      <w:r>
        <w:rPr>
          <w:rFonts w:eastAsia="Times New Roman" w:cs="Times New Roman"/>
          <w:b/>
          <w:bCs/>
          <w:color w:val="4B0885"/>
          <w:sz w:val="26"/>
          <w:szCs w:val="26"/>
          <w:lang w:val="en-GB"/>
        </w:rPr>
        <w:tab/>
      </w:r>
      <w:r>
        <w:rPr>
          <w:rFonts w:eastAsia="Times New Roman" w:cs="Times New Roman"/>
          <w:b/>
          <w:bCs/>
          <w:color w:val="4B0885"/>
          <w:sz w:val="26"/>
          <w:szCs w:val="26"/>
          <w:lang w:val="en-GB"/>
        </w:rPr>
        <w:tab/>
        <w:t>Roadshow 2026</w:t>
      </w:r>
    </w:p>
    <w:sectPr w:rsidR="00A037B9" w:rsidSect="00CB5919">
      <w:type w:val="continuous"/>
      <w:pgSz w:w="11906" w:h="16838"/>
      <w:pgMar w:top="1276" w:right="1440" w:bottom="1134" w:left="1440" w:header="0"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1BE95" w14:textId="77777777" w:rsidR="000234A4" w:rsidRDefault="000234A4" w:rsidP="008C0056">
      <w:r>
        <w:separator/>
      </w:r>
    </w:p>
  </w:endnote>
  <w:endnote w:type="continuationSeparator" w:id="0">
    <w:p w14:paraId="7C434493" w14:textId="77777777" w:rsidR="000234A4" w:rsidRDefault="000234A4" w:rsidP="008C0056">
      <w:r>
        <w:continuationSeparator/>
      </w:r>
    </w:p>
  </w:endnote>
  <w:endnote w:type="continuationNotice" w:id="1">
    <w:p w14:paraId="1D009CAF" w14:textId="77777777" w:rsidR="000234A4" w:rsidRDefault="000234A4" w:rsidP="008C0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053515"/>
      <w:docPartObj>
        <w:docPartGallery w:val="Page Numbers (Bottom of Page)"/>
        <w:docPartUnique/>
      </w:docPartObj>
    </w:sdtPr>
    <w:sdtEndPr>
      <w:rPr>
        <w:noProof/>
      </w:rPr>
    </w:sdtEndPr>
    <w:sdtContent>
      <w:p w14:paraId="1DE9E510" w14:textId="1BEA1CA0" w:rsidR="003708C1" w:rsidRPr="00991526" w:rsidRDefault="00051CBE" w:rsidP="00991526">
        <w:pPr>
          <w:pStyle w:val="Footer"/>
        </w:pPr>
        <w:r w:rsidRPr="00991526">
          <w:t xml:space="preserve">Jobs and Skills Australia – </w:t>
        </w:r>
        <w:r w:rsidR="008662FD">
          <w:t>Total New Vacancies (TNV)</w:t>
        </w:r>
        <w:r w:rsidR="00991526">
          <w:tab/>
        </w:r>
        <w:r w:rsidR="00BE2AB7" w:rsidRPr="00991526">
          <w:fldChar w:fldCharType="begin"/>
        </w:r>
        <w:r w:rsidR="00BE2AB7" w:rsidRPr="00991526">
          <w:instrText xml:space="preserve"> PAGE   \* MERGEFORMAT </w:instrText>
        </w:r>
        <w:r w:rsidR="00BE2AB7" w:rsidRPr="00991526">
          <w:fldChar w:fldCharType="separate"/>
        </w:r>
        <w:r w:rsidR="00BE2AB7" w:rsidRPr="00991526">
          <w:rPr>
            <w:noProof/>
          </w:rPr>
          <w:t>2</w:t>
        </w:r>
        <w:r w:rsidR="00BE2AB7"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1506E6C8" w14:textId="10F3BFDA" w:rsidR="00B30EAB" w:rsidRDefault="00B30EAB" w:rsidP="00B30EAB">
        <w:pPr>
          <w:pStyle w:val="Footer"/>
          <w:tabs>
            <w:tab w:val="left" w:pos="8925"/>
          </w:tabs>
        </w:pPr>
        <w:r w:rsidRPr="00991526">
          <w:t xml:space="preserve">Jobs and Skills Australia – </w:t>
        </w:r>
        <w:r w:rsidR="008662FD">
          <w:t>Total New Vacancies (TNV)</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F109A" w14:textId="77777777" w:rsidR="000234A4" w:rsidRDefault="000234A4" w:rsidP="008C0056">
      <w:r>
        <w:separator/>
      </w:r>
    </w:p>
  </w:footnote>
  <w:footnote w:type="continuationSeparator" w:id="0">
    <w:p w14:paraId="36C6E555" w14:textId="77777777" w:rsidR="000234A4" w:rsidRDefault="000234A4" w:rsidP="008C0056">
      <w:r>
        <w:continuationSeparator/>
      </w:r>
    </w:p>
  </w:footnote>
  <w:footnote w:type="continuationNotice" w:id="1">
    <w:p w14:paraId="71F8C646" w14:textId="77777777" w:rsidR="000234A4" w:rsidRDefault="000234A4" w:rsidP="008C0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999C" w14:textId="5F1B0228" w:rsidR="00A8077F" w:rsidRDefault="00A8077F">
    <w:pPr>
      <w:pStyle w:val="Header"/>
    </w:pPr>
    <w:r>
      <w:t>Australian Government Jobs and Skills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0ABC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E45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A1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DF2DE40"/>
    <w:lvl w:ilvl="0">
      <w:start w:val="1"/>
      <w:numFmt w:val="decimal"/>
      <w:lvlText w:val="%1."/>
      <w:lvlJc w:val="left"/>
      <w:pPr>
        <w:tabs>
          <w:tab w:val="num" w:pos="360"/>
        </w:tabs>
        <w:ind w:left="360" w:hanging="360"/>
      </w:pPr>
    </w:lvl>
  </w:abstractNum>
  <w:abstractNum w:abstractNumId="6" w15:restartNumberingAfterBreak="0">
    <w:nsid w:val="070E4B81"/>
    <w:multiLevelType w:val="multilevel"/>
    <w:tmpl w:val="A64A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7C163D"/>
    <w:multiLevelType w:val="hybridMultilevel"/>
    <w:tmpl w:val="594C2E34"/>
    <w:lvl w:ilvl="0" w:tplc="0C090001">
      <w:start w:val="1"/>
      <w:numFmt w:val="bullet"/>
      <w:lvlText w:val=""/>
      <w:lvlJc w:val="left"/>
      <w:pPr>
        <w:ind w:left="720" w:hanging="360"/>
      </w:pPr>
      <w:rPr>
        <w:rFonts w:ascii="Symbol" w:hAnsi="Symbol" w:hint="default"/>
      </w:rPr>
    </w:lvl>
    <w:lvl w:ilvl="1" w:tplc="70D2A66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CFD06E9"/>
    <w:multiLevelType w:val="multilevel"/>
    <w:tmpl w:val="8E72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168B2"/>
    <w:multiLevelType w:val="hybridMultilevel"/>
    <w:tmpl w:val="7690CC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C139F9"/>
    <w:multiLevelType w:val="hybridMultilevel"/>
    <w:tmpl w:val="973A2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A96197"/>
    <w:multiLevelType w:val="hybridMultilevel"/>
    <w:tmpl w:val="30967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D585F53"/>
    <w:multiLevelType w:val="multilevel"/>
    <w:tmpl w:val="A3E88540"/>
    <w:name w:val="ListBullets"/>
    <w:lvl w:ilvl="0">
      <w:start w:val="1"/>
      <w:numFmt w:val="bullet"/>
      <w:pStyle w:val="ListBullet"/>
      <w:lvlText w:val="•"/>
      <w:lvlJc w:val="left"/>
      <w:pPr>
        <w:ind w:left="340" w:hanging="340"/>
      </w:pPr>
      <w:rPr>
        <w:rFonts w:ascii="Calibri" w:hAnsi="Calibri" w:hint="default"/>
        <w:color w:val="auto"/>
      </w:rPr>
    </w:lvl>
    <w:lvl w:ilvl="1">
      <w:start w:val="1"/>
      <w:numFmt w:val="bullet"/>
      <w:pStyle w:val="ListBullet2"/>
      <w:lvlText w:val="–"/>
      <w:lvlJc w:val="left"/>
      <w:pPr>
        <w:ind w:left="680" w:hanging="340"/>
      </w:pPr>
      <w:rPr>
        <w:rFonts w:ascii="Arial" w:hAnsi="Arial" w:hint="default"/>
        <w:color w:val="auto"/>
      </w:rPr>
    </w:lvl>
    <w:lvl w:ilvl="2">
      <w:start w:val="1"/>
      <w:numFmt w:val="bullet"/>
      <w:pStyle w:val="ListBullet3"/>
      <w:lvlText w:val="○"/>
      <w:lvlJc w:val="left"/>
      <w:pPr>
        <w:ind w:left="1020" w:hanging="340"/>
      </w:pPr>
      <w:rPr>
        <w:rFonts w:ascii="Times New Roman" w:hAnsi="Times New Roman" w:cs="Times New Roman" w:hint="default"/>
        <w:color w:val="auto"/>
      </w:rPr>
    </w:lvl>
    <w:lvl w:ilvl="3">
      <w:start w:val="1"/>
      <w:numFmt w:val="bullet"/>
      <w:pStyle w:val="ListBullet4"/>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13" w15:restartNumberingAfterBreak="0">
    <w:nsid w:val="27D85117"/>
    <w:multiLevelType w:val="hybridMultilevel"/>
    <w:tmpl w:val="3D4AC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667452"/>
    <w:multiLevelType w:val="multilevel"/>
    <w:tmpl w:val="873ED2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376F56A1"/>
    <w:multiLevelType w:val="multilevel"/>
    <w:tmpl w:val="285CD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C4374BA"/>
    <w:multiLevelType w:val="multilevel"/>
    <w:tmpl w:val="B58E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4335F1"/>
    <w:multiLevelType w:val="multilevel"/>
    <w:tmpl w:val="5506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EB691B"/>
    <w:multiLevelType w:val="multilevel"/>
    <w:tmpl w:val="2362D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A80D02"/>
    <w:multiLevelType w:val="hybridMultilevel"/>
    <w:tmpl w:val="158ABB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A2F3A23"/>
    <w:multiLevelType w:val="hybridMultilevel"/>
    <w:tmpl w:val="0C24440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7B2B0659"/>
    <w:multiLevelType w:val="multilevel"/>
    <w:tmpl w:val="5CDE4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7269666">
    <w:abstractNumId w:val="21"/>
  </w:num>
  <w:num w:numId="2" w16cid:durableId="1668050683">
    <w:abstractNumId w:val="15"/>
  </w:num>
  <w:num w:numId="3" w16cid:durableId="1683042470">
    <w:abstractNumId w:val="7"/>
  </w:num>
  <w:num w:numId="4" w16cid:durableId="133523604">
    <w:abstractNumId w:val="18"/>
  </w:num>
  <w:num w:numId="5" w16cid:durableId="1994024302">
    <w:abstractNumId w:val="19"/>
  </w:num>
  <w:num w:numId="6" w16cid:durableId="1358852113">
    <w:abstractNumId w:val="14"/>
  </w:num>
  <w:num w:numId="7" w16cid:durableId="2047246184">
    <w:abstractNumId w:val="12"/>
  </w:num>
  <w:num w:numId="8" w16cid:durableId="1985233239">
    <w:abstractNumId w:val="4"/>
  </w:num>
  <w:num w:numId="9" w16cid:durableId="2105372984">
    <w:abstractNumId w:val="5"/>
  </w:num>
  <w:num w:numId="10" w16cid:durableId="935869809">
    <w:abstractNumId w:val="3"/>
  </w:num>
  <w:num w:numId="11" w16cid:durableId="1109662273">
    <w:abstractNumId w:val="2"/>
  </w:num>
  <w:num w:numId="12" w16cid:durableId="2049716342">
    <w:abstractNumId w:val="1"/>
  </w:num>
  <w:num w:numId="13" w16cid:durableId="1578317811">
    <w:abstractNumId w:val="0"/>
  </w:num>
  <w:num w:numId="14" w16cid:durableId="1127550344">
    <w:abstractNumId w:val="13"/>
  </w:num>
  <w:num w:numId="15" w16cid:durableId="406730085">
    <w:abstractNumId w:val="11"/>
  </w:num>
  <w:num w:numId="16" w16cid:durableId="869300439">
    <w:abstractNumId w:val="10"/>
  </w:num>
  <w:num w:numId="17" w16cid:durableId="749811665">
    <w:abstractNumId w:val="17"/>
  </w:num>
  <w:num w:numId="18" w16cid:durableId="1446773308">
    <w:abstractNumId w:val="16"/>
  </w:num>
  <w:num w:numId="19" w16cid:durableId="119997913">
    <w:abstractNumId w:val="8"/>
  </w:num>
  <w:num w:numId="20" w16cid:durableId="616327929">
    <w:abstractNumId w:val="9"/>
  </w:num>
  <w:num w:numId="21" w16cid:durableId="1134132498">
    <w:abstractNumId w:val="20"/>
  </w:num>
  <w:num w:numId="22" w16cid:durableId="2485848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18"/>
    <w:rsid w:val="00003E8E"/>
    <w:rsid w:val="000234A4"/>
    <w:rsid w:val="00025BD0"/>
    <w:rsid w:val="000261A3"/>
    <w:rsid w:val="0003316F"/>
    <w:rsid w:val="00037EB9"/>
    <w:rsid w:val="000404CE"/>
    <w:rsid w:val="0004100D"/>
    <w:rsid w:val="00041073"/>
    <w:rsid w:val="00042611"/>
    <w:rsid w:val="00044AC3"/>
    <w:rsid w:val="00051CBE"/>
    <w:rsid w:val="0005518A"/>
    <w:rsid w:val="0005530D"/>
    <w:rsid w:val="0005634E"/>
    <w:rsid w:val="000572BD"/>
    <w:rsid w:val="00063FC2"/>
    <w:rsid w:val="0008632B"/>
    <w:rsid w:val="00087234"/>
    <w:rsid w:val="00093F7D"/>
    <w:rsid w:val="00095E11"/>
    <w:rsid w:val="000A145A"/>
    <w:rsid w:val="000A7F1E"/>
    <w:rsid w:val="000B6324"/>
    <w:rsid w:val="000B72B4"/>
    <w:rsid w:val="000C0BA2"/>
    <w:rsid w:val="000D5FCE"/>
    <w:rsid w:val="000D6745"/>
    <w:rsid w:val="000E24DD"/>
    <w:rsid w:val="000E38BA"/>
    <w:rsid w:val="000E7042"/>
    <w:rsid w:val="00101FBF"/>
    <w:rsid w:val="0010645F"/>
    <w:rsid w:val="001079FD"/>
    <w:rsid w:val="001134ED"/>
    <w:rsid w:val="00123DFA"/>
    <w:rsid w:val="00124D9E"/>
    <w:rsid w:val="00125C36"/>
    <w:rsid w:val="001306D6"/>
    <w:rsid w:val="00131E99"/>
    <w:rsid w:val="00133510"/>
    <w:rsid w:val="00143208"/>
    <w:rsid w:val="001516BF"/>
    <w:rsid w:val="001534EA"/>
    <w:rsid w:val="001573C5"/>
    <w:rsid w:val="00164614"/>
    <w:rsid w:val="0017574A"/>
    <w:rsid w:val="00185DFF"/>
    <w:rsid w:val="00186DC1"/>
    <w:rsid w:val="001909DF"/>
    <w:rsid w:val="0019298E"/>
    <w:rsid w:val="00192BED"/>
    <w:rsid w:val="001A22A8"/>
    <w:rsid w:val="001A22E7"/>
    <w:rsid w:val="001B7035"/>
    <w:rsid w:val="001B7F1C"/>
    <w:rsid w:val="001C0CB2"/>
    <w:rsid w:val="001C0D18"/>
    <w:rsid w:val="001C381D"/>
    <w:rsid w:val="001C6BA8"/>
    <w:rsid w:val="001E4423"/>
    <w:rsid w:val="001E58C4"/>
    <w:rsid w:val="001F108B"/>
    <w:rsid w:val="001F3428"/>
    <w:rsid w:val="001F36D6"/>
    <w:rsid w:val="001F59D3"/>
    <w:rsid w:val="00201984"/>
    <w:rsid w:val="00202C5A"/>
    <w:rsid w:val="00204C08"/>
    <w:rsid w:val="00206249"/>
    <w:rsid w:val="00210680"/>
    <w:rsid w:val="00230142"/>
    <w:rsid w:val="00233A75"/>
    <w:rsid w:val="002367DD"/>
    <w:rsid w:val="002422D8"/>
    <w:rsid w:val="0024392D"/>
    <w:rsid w:val="00244550"/>
    <w:rsid w:val="0025772B"/>
    <w:rsid w:val="002618DF"/>
    <w:rsid w:val="00261D00"/>
    <w:rsid w:val="002633D9"/>
    <w:rsid w:val="0026347F"/>
    <w:rsid w:val="002647CE"/>
    <w:rsid w:val="00272F0C"/>
    <w:rsid w:val="00280AC6"/>
    <w:rsid w:val="00281411"/>
    <w:rsid w:val="002824C3"/>
    <w:rsid w:val="002927DB"/>
    <w:rsid w:val="002950ED"/>
    <w:rsid w:val="00296166"/>
    <w:rsid w:val="002A4B17"/>
    <w:rsid w:val="002C30E8"/>
    <w:rsid w:val="002C4071"/>
    <w:rsid w:val="002C4480"/>
    <w:rsid w:val="002D68E2"/>
    <w:rsid w:val="002E0E18"/>
    <w:rsid w:val="002E5983"/>
    <w:rsid w:val="002E5B03"/>
    <w:rsid w:val="002E6E2F"/>
    <w:rsid w:val="002F3EB5"/>
    <w:rsid w:val="002F5690"/>
    <w:rsid w:val="003060CC"/>
    <w:rsid w:val="0030625A"/>
    <w:rsid w:val="00306575"/>
    <w:rsid w:val="00306C0E"/>
    <w:rsid w:val="0031041D"/>
    <w:rsid w:val="00310CA1"/>
    <w:rsid w:val="003122CC"/>
    <w:rsid w:val="00313B29"/>
    <w:rsid w:val="00314E27"/>
    <w:rsid w:val="00323B9A"/>
    <w:rsid w:val="00327AB4"/>
    <w:rsid w:val="0033752C"/>
    <w:rsid w:val="003453FE"/>
    <w:rsid w:val="00347869"/>
    <w:rsid w:val="0035131B"/>
    <w:rsid w:val="00361656"/>
    <w:rsid w:val="00366923"/>
    <w:rsid w:val="00367AFE"/>
    <w:rsid w:val="003708C1"/>
    <w:rsid w:val="00374E1D"/>
    <w:rsid w:val="00381961"/>
    <w:rsid w:val="003835D2"/>
    <w:rsid w:val="00385788"/>
    <w:rsid w:val="00385ABF"/>
    <w:rsid w:val="0039115D"/>
    <w:rsid w:val="003926FD"/>
    <w:rsid w:val="003A2337"/>
    <w:rsid w:val="003A3C91"/>
    <w:rsid w:val="003B2888"/>
    <w:rsid w:val="003B474F"/>
    <w:rsid w:val="003B5F7E"/>
    <w:rsid w:val="003C3BFE"/>
    <w:rsid w:val="003D48E5"/>
    <w:rsid w:val="003D5AB2"/>
    <w:rsid w:val="003E0796"/>
    <w:rsid w:val="003E0B70"/>
    <w:rsid w:val="003E3395"/>
    <w:rsid w:val="003F1578"/>
    <w:rsid w:val="00403976"/>
    <w:rsid w:val="00403D51"/>
    <w:rsid w:val="00404A8D"/>
    <w:rsid w:val="0041316B"/>
    <w:rsid w:val="00414490"/>
    <w:rsid w:val="00414A4A"/>
    <w:rsid w:val="00422AD4"/>
    <w:rsid w:val="00431BE4"/>
    <w:rsid w:val="00431BFC"/>
    <w:rsid w:val="00440C82"/>
    <w:rsid w:val="004440ED"/>
    <w:rsid w:val="00465736"/>
    <w:rsid w:val="004773D3"/>
    <w:rsid w:val="004959E6"/>
    <w:rsid w:val="004C542A"/>
    <w:rsid w:val="004C705B"/>
    <w:rsid w:val="004D0F14"/>
    <w:rsid w:val="004D22A5"/>
    <w:rsid w:val="004D3224"/>
    <w:rsid w:val="004D3A08"/>
    <w:rsid w:val="004E0B8B"/>
    <w:rsid w:val="004F094C"/>
    <w:rsid w:val="004F2369"/>
    <w:rsid w:val="004F5082"/>
    <w:rsid w:val="00506CD7"/>
    <w:rsid w:val="005109B7"/>
    <w:rsid w:val="00513C8F"/>
    <w:rsid w:val="0051507F"/>
    <w:rsid w:val="00532929"/>
    <w:rsid w:val="005411A8"/>
    <w:rsid w:val="00543D06"/>
    <w:rsid w:val="005446B5"/>
    <w:rsid w:val="005533B5"/>
    <w:rsid w:val="005600C2"/>
    <w:rsid w:val="00567E50"/>
    <w:rsid w:val="0057143D"/>
    <w:rsid w:val="005716DE"/>
    <w:rsid w:val="00572133"/>
    <w:rsid w:val="00581988"/>
    <w:rsid w:val="00582781"/>
    <w:rsid w:val="00584E9E"/>
    <w:rsid w:val="00592584"/>
    <w:rsid w:val="005943DB"/>
    <w:rsid w:val="005964AC"/>
    <w:rsid w:val="00597EF7"/>
    <w:rsid w:val="005A0B81"/>
    <w:rsid w:val="005A2035"/>
    <w:rsid w:val="005A2862"/>
    <w:rsid w:val="005B2318"/>
    <w:rsid w:val="005B5A7A"/>
    <w:rsid w:val="005B60AC"/>
    <w:rsid w:val="005C08E1"/>
    <w:rsid w:val="005C1000"/>
    <w:rsid w:val="005C5BF0"/>
    <w:rsid w:val="005C6471"/>
    <w:rsid w:val="005D467D"/>
    <w:rsid w:val="005D4AEC"/>
    <w:rsid w:val="005D6DFD"/>
    <w:rsid w:val="005E18D8"/>
    <w:rsid w:val="005E6E30"/>
    <w:rsid w:val="005F1E8D"/>
    <w:rsid w:val="006029D6"/>
    <w:rsid w:val="006066C4"/>
    <w:rsid w:val="00624671"/>
    <w:rsid w:val="00631632"/>
    <w:rsid w:val="00633DAC"/>
    <w:rsid w:val="00635255"/>
    <w:rsid w:val="0064002D"/>
    <w:rsid w:val="00642A9A"/>
    <w:rsid w:val="006514E4"/>
    <w:rsid w:val="00653A6E"/>
    <w:rsid w:val="00655BCA"/>
    <w:rsid w:val="006606E0"/>
    <w:rsid w:val="006670A4"/>
    <w:rsid w:val="00677034"/>
    <w:rsid w:val="00680641"/>
    <w:rsid w:val="00690307"/>
    <w:rsid w:val="00693BA4"/>
    <w:rsid w:val="00693E00"/>
    <w:rsid w:val="006B6C94"/>
    <w:rsid w:val="006C06BF"/>
    <w:rsid w:val="006C282B"/>
    <w:rsid w:val="006D116C"/>
    <w:rsid w:val="006D2345"/>
    <w:rsid w:val="006D3281"/>
    <w:rsid w:val="006E1136"/>
    <w:rsid w:val="006E560F"/>
    <w:rsid w:val="006F7520"/>
    <w:rsid w:val="00702CB5"/>
    <w:rsid w:val="00703260"/>
    <w:rsid w:val="00706431"/>
    <w:rsid w:val="00710DAA"/>
    <w:rsid w:val="007117F1"/>
    <w:rsid w:val="007119BB"/>
    <w:rsid w:val="00717636"/>
    <w:rsid w:val="007177A7"/>
    <w:rsid w:val="0072616C"/>
    <w:rsid w:val="00731018"/>
    <w:rsid w:val="0073513A"/>
    <w:rsid w:val="007371B3"/>
    <w:rsid w:val="007374F9"/>
    <w:rsid w:val="00746A43"/>
    <w:rsid w:val="0075069B"/>
    <w:rsid w:val="00754AB9"/>
    <w:rsid w:val="00756E24"/>
    <w:rsid w:val="007576ED"/>
    <w:rsid w:val="00767C3A"/>
    <w:rsid w:val="0077722C"/>
    <w:rsid w:val="00782490"/>
    <w:rsid w:val="007866FA"/>
    <w:rsid w:val="0079038C"/>
    <w:rsid w:val="007A3F61"/>
    <w:rsid w:val="007A5668"/>
    <w:rsid w:val="007A7572"/>
    <w:rsid w:val="007B0EC1"/>
    <w:rsid w:val="007B100A"/>
    <w:rsid w:val="007B21A5"/>
    <w:rsid w:val="007B2AD6"/>
    <w:rsid w:val="007B3938"/>
    <w:rsid w:val="007C6AEC"/>
    <w:rsid w:val="007C7E0F"/>
    <w:rsid w:val="007D0AE0"/>
    <w:rsid w:val="007D4ED8"/>
    <w:rsid w:val="007D799D"/>
    <w:rsid w:val="007E6553"/>
    <w:rsid w:val="007F7DBD"/>
    <w:rsid w:val="00802F0D"/>
    <w:rsid w:val="0081136A"/>
    <w:rsid w:val="00811B37"/>
    <w:rsid w:val="008139CC"/>
    <w:rsid w:val="00814D30"/>
    <w:rsid w:val="00837EDC"/>
    <w:rsid w:val="00840DAA"/>
    <w:rsid w:val="0084197B"/>
    <w:rsid w:val="008455B9"/>
    <w:rsid w:val="0084740A"/>
    <w:rsid w:val="00857878"/>
    <w:rsid w:val="00857E1B"/>
    <w:rsid w:val="00861259"/>
    <w:rsid w:val="008634C2"/>
    <w:rsid w:val="00864EEA"/>
    <w:rsid w:val="00865E4F"/>
    <w:rsid w:val="008662FD"/>
    <w:rsid w:val="00866663"/>
    <w:rsid w:val="008709F3"/>
    <w:rsid w:val="008725B0"/>
    <w:rsid w:val="00873BE7"/>
    <w:rsid w:val="0087706C"/>
    <w:rsid w:val="008831C9"/>
    <w:rsid w:val="008833E6"/>
    <w:rsid w:val="00886A15"/>
    <w:rsid w:val="008A5586"/>
    <w:rsid w:val="008A6964"/>
    <w:rsid w:val="008B3E8F"/>
    <w:rsid w:val="008C0056"/>
    <w:rsid w:val="008C1AD8"/>
    <w:rsid w:val="008C21E1"/>
    <w:rsid w:val="008C228D"/>
    <w:rsid w:val="008D4BAF"/>
    <w:rsid w:val="008D6BE9"/>
    <w:rsid w:val="008D76F6"/>
    <w:rsid w:val="008F2F17"/>
    <w:rsid w:val="008F2F5C"/>
    <w:rsid w:val="008F5797"/>
    <w:rsid w:val="009062AE"/>
    <w:rsid w:val="0092010A"/>
    <w:rsid w:val="00923B0D"/>
    <w:rsid w:val="0092478E"/>
    <w:rsid w:val="00937A11"/>
    <w:rsid w:val="009417F7"/>
    <w:rsid w:val="009426F3"/>
    <w:rsid w:val="00963C9F"/>
    <w:rsid w:val="00963EF9"/>
    <w:rsid w:val="00963F49"/>
    <w:rsid w:val="0096517C"/>
    <w:rsid w:val="00966619"/>
    <w:rsid w:val="00973117"/>
    <w:rsid w:val="00975503"/>
    <w:rsid w:val="00980CFF"/>
    <w:rsid w:val="009834D2"/>
    <w:rsid w:val="009858C3"/>
    <w:rsid w:val="0099068E"/>
    <w:rsid w:val="009912D6"/>
    <w:rsid w:val="00991526"/>
    <w:rsid w:val="00991DED"/>
    <w:rsid w:val="00994314"/>
    <w:rsid w:val="00995910"/>
    <w:rsid w:val="00997F6C"/>
    <w:rsid w:val="009A0A07"/>
    <w:rsid w:val="009A0E76"/>
    <w:rsid w:val="009A5BC4"/>
    <w:rsid w:val="009B0BC5"/>
    <w:rsid w:val="009B34AC"/>
    <w:rsid w:val="009C3CB0"/>
    <w:rsid w:val="009C4CA6"/>
    <w:rsid w:val="009C56D1"/>
    <w:rsid w:val="009D18C2"/>
    <w:rsid w:val="009D5A36"/>
    <w:rsid w:val="009E34D5"/>
    <w:rsid w:val="009E4054"/>
    <w:rsid w:val="009E718A"/>
    <w:rsid w:val="009F4D35"/>
    <w:rsid w:val="009F7A5A"/>
    <w:rsid w:val="00A037B9"/>
    <w:rsid w:val="00A03C15"/>
    <w:rsid w:val="00A070B7"/>
    <w:rsid w:val="00A13691"/>
    <w:rsid w:val="00A14752"/>
    <w:rsid w:val="00A2405F"/>
    <w:rsid w:val="00A3043E"/>
    <w:rsid w:val="00A36734"/>
    <w:rsid w:val="00A369AC"/>
    <w:rsid w:val="00A414BC"/>
    <w:rsid w:val="00A43021"/>
    <w:rsid w:val="00A4461A"/>
    <w:rsid w:val="00A459DE"/>
    <w:rsid w:val="00A50D02"/>
    <w:rsid w:val="00A5508E"/>
    <w:rsid w:val="00A62216"/>
    <w:rsid w:val="00A65913"/>
    <w:rsid w:val="00A6748E"/>
    <w:rsid w:val="00A70A4D"/>
    <w:rsid w:val="00A7229C"/>
    <w:rsid w:val="00A74E0F"/>
    <w:rsid w:val="00A8077F"/>
    <w:rsid w:val="00A80E09"/>
    <w:rsid w:val="00A851E3"/>
    <w:rsid w:val="00A9012A"/>
    <w:rsid w:val="00A93A77"/>
    <w:rsid w:val="00A93DF6"/>
    <w:rsid w:val="00AA3BB9"/>
    <w:rsid w:val="00AA5C14"/>
    <w:rsid w:val="00AC08D2"/>
    <w:rsid w:val="00AC1BEE"/>
    <w:rsid w:val="00AC3E56"/>
    <w:rsid w:val="00AC4BDA"/>
    <w:rsid w:val="00AD0C81"/>
    <w:rsid w:val="00AE1EED"/>
    <w:rsid w:val="00AE68CA"/>
    <w:rsid w:val="00AF2783"/>
    <w:rsid w:val="00AF57B3"/>
    <w:rsid w:val="00B04E3B"/>
    <w:rsid w:val="00B10FC9"/>
    <w:rsid w:val="00B11937"/>
    <w:rsid w:val="00B12498"/>
    <w:rsid w:val="00B21E09"/>
    <w:rsid w:val="00B26C3D"/>
    <w:rsid w:val="00B275AC"/>
    <w:rsid w:val="00B27734"/>
    <w:rsid w:val="00B27D99"/>
    <w:rsid w:val="00B30EAB"/>
    <w:rsid w:val="00B32201"/>
    <w:rsid w:val="00B3310A"/>
    <w:rsid w:val="00B366DB"/>
    <w:rsid w:val="00B37667"/>
    <w:rsid w:val="00B44B46"/>
    <w:rsid w:val="00B44BFF"/>
    <w:rsid w:val="00B4506B"/>
    <w:rsid w:val="00B469A6"/>
    <w:rsid w:val="00B5117D"/>
    <w:rsid w:val="00B532DB"/>
    <w:rsid w:val="00B545CC"/>
    <w:rsid w:val="00B54794"/>
    <w:rsid w:val="00B6087B"/>
    <w:rsid w:val="00B67D34"/>
    <w:rsid w:val="00B72A6C"/>
    <w:rsid w:val="00B72B74"/>
    <w:rsid w:val="00B859FA"/>
    <w:rsid w:val="00B94111"/>
    <w:rsid w:val="00B94F0A"/>
    <w:rsid w:val="00B95FED"/>
    <w:rsid w:val="00B96DD7"/>
    <w:rsid w:val="00BA18F6"/>
    <w:rsid w:val="00BA1D07"/>
    <w:rsid w:val="00BA4854"/>
    <w:rsid w:val="00BB2ACB"/>
    <w:rsid w:val="00BB4E40"/>
    <w:rsid w:val="00BD5583"/>
    <w:rsid w:val="00BE0FFD"/>
    <w:rsid w:val="00BE13B4"/>
    <w:rsid w:val="00BE2AB7"/>
    <w:rsid w:val="00BE4587"/>
    <w:rsid w:val="00BE5400"/>
    <w:rsid w:val="00BE61A6"/>
    <w:rsid w:val="00BE68F3"/>
    <w:rsid w:val="00BF3528"/>
    <w:rsid w:val="00C03955"/>
    <w:rsid w:val="00C27FFB"/>
    <w:rsid w:val="00C337DD"/>
    <w:rsid w:val="00C40E20"/>
    <w:rsid w:val="00C50200"/>
    <w:rsid w:val="00C63D38"/>
    <w:rsid w:val="00C6447C"/>
    <w:rsid w:val="00C75A0D"/>
    <w:rsid w:val="00C83737"/>
    <w:rsid w:val="00C84B60"/>
    <w:rsid w:val="00C91F4E"/>
    <w:rsid w:val="00C97097"/>
    <w:rsid w:val="00C970B1"/>
    <w:rsid w:val="00C971EB"/>
    <w:rsid w:val="00CA4998"/>
    <w:rsid w:val="00CB41F2"/>
    <w:rsid w:val="00CB5919"/>
    <w:rsid w:val="00CD0493"/>
    <w:rsid w:val="00CD1F19"/>
    <w:rsid w:val="00CD4541"/>
    <w:rsid w:val="00CE03A4"/>
    <w:rsid w:val="00CE1816"/>
    <w:rsid w:val="00CE4573"/>
    <w:rsid w:val="00CE6EEC"/>
    <w:rsid w:val="00CE71A4"/>
    <w:rsid w:val="00CF277F"/>
    <w:rsid w:val="00CF30BD"/>
    <w:rsid w:val="00CF78B0"/>
    <w:rsid w:val="00D03812"/>
    <w:rsid w:val="00D045C6"/>
    <w:rsid w:val="00D048F7"/>
    <w:rsid w:val="00D05054"/>
    <w:rsid w:val="00D068FD"/>
    <w:rsid w:val="00D10911"/>
    <w:rsid w:val="00D125F6"/>
    <w:rsid w:val="00D12938"/>
    <w:rsid w:val="00D21F38"/>
    <w:rsid w:val="00D23853"/>
    <w:rsid w:val="00D238E3"/>
    <w:rsid w:val="00D241DE"/>
    <w:rsid w:val="00D2513B"/>
    <w:rsid w:val="00D26A23"/>
    <w:rsid w:val="00D31218"/>
    <w:rsid w:val="00D31FDA"/>
    <w:rsid w:val="00D4055A"/>
    <w:rsid w:val="00D4302A"/>
    <w:rsid w:val="00D436E8"/>
    <w:rsid w:val="00D446E5"/>
    <w:rsid w:val="00D500BB"/>
    <w:rsid w:val="00D56072"/>
    <w:rsid w:val="00D56B38"/>
    <w:rsid w:val="00D64A57"/>
    <w:rsid w:val="00D658D0"/>
    <w:rsid w:val="00D70F5A"/>
    <w:rsid w:val="00D70F8A"/>
    <w:rsid w:val="00D71EFE"/>
    <w:rsid w:val="00D73EA4"/>
    <w:rsid w:val="00D7466E"/>
    <w:rsid w:val="00D75DCB"/>
    <w:rsid w:val="00D82891"/>
    <w:rsid w:val="00D8323E"/>
    <w:rsid w:val="00D8583A"/>
    <w:rsid w:val="00D87001"/>
    <w:rsid w:val="00D8735A"/>
    <w:rsid w:val="00D92118"/>
    <w:rsid w:val="00D96A1E"/>
    <w:rsid w:val="00DB0916"/>
    <w:rsid w:val="00DC3917"/>
    <w:rsid w:val="00DC5CC0"/>
    <w:rsid w:val="00DC6534"/>
    <w:rsid w:val="00DC69D9"/>
    <w:rsid w:val="00DC6A05"/>
    <w:rsid w:val="00DC6BC0"/>
    <w:rsid w:val="00DD32CF"/>
    <w:rsid w:val="00DD4A34"/>
    <w:rsid w:val="00DE251A"/>
    <w:rsid w:val="00DE4605"/>
    <w:rsid w:val="00DF2240"/>
    <w:rsid w:val="00DF37AA"/>
    <w:rsid w:val="00E148F7"/>
    <w:rsid w:val="00E20EC8"/>
    <w:rsid w:val="00E21A5F"/>
    <w:rsid w:val="00E255B8"/>
    <w:rsid w:val="00E32512"/>
    <w:rsid w:val="00E419B6"/>
    <w:rsid w:val="00E464AC"/>
    <w:rsid w:val="00E47E48"/>
    <w:rsid w:val="00E56D6D"/>
    <w:rsid w:val="00E570C0"/>
    <w:rsid w:val="00E57ACE"/>
    <w:rsid w:val="00E604E1"/>
    <w:rsid w:val="00E6056C"/>
    <w:rsid w:val="00E61856"/>
    <w:rsid w:val="00E61ADA"/>
    <w:rsid w:val="00E7418D"/>
    <w:rsid w:val="00E77E72"/>
    <w:rsid w:val="00E80980"/>
    <w:rsid w:val="00E82EEB"/>
    <w:rsid w:val="00E8392F"/>
    <w:rsid w:val="00E85606"/>
    <w:rsid w:val="00E96414"/>
    <w:rsid w:val="00E97D3B"/>
    <w:rsid w:val="00E97F1F"/>
    <w:rsid w:val="00EA04CB"/>
    <w:rsid w:val="00EA2309"/>
    <w:rsid w:val="00EB6B00"/>
    <w:rsid w:val="00EB6B22"/>
    <w:rsid w:val="00EB740B"/>
    <w:rsid w:val="00EB7BED"/>
    <w:rsid w:val="00ED1D58"/>
    <w:rsid w:val="00ED2051"/>
    <w:rsid w:val="00ED538C"/>
    <w:rsid w:val="00EE49FB"/>
    <w:rsid w:val="00EF094D"/>
    <w:rsid w:val="00EF6841"/>
    <w:rsid w:val="00F01D0D"/>
    <w:rsid w:val="00F01D6B"/>
    <w:rsid w:val="00F06BC4"/>
    <w:rsid w:val="00F10A19"/>
    <w:rsid w:val="00F11DE4"/>
    <w:rsid w:val="00F154E4"/>
    <w:rsid w:val="00F16142"/>
    <w:rsid w:val="00F2332D"/>
    <w:rsid w:val="00F2586E"/>
    <w:rsid w:val="00F32D7A"/>
    <w:rsid w:val="00F3610A"/>
    <w:rsid w:val="00F40DA7"/>
    <w:rsid w:val="00F43668"/>
    <w:rsid w:val="00F4374D"/>
    <w:rsid w:val="00F43CEF"/>
    <w:rsid w:val="00F61B23"/>
    <w:rsid w:val="00F627D7"/>
    <w:rsid w:val="00F63A24"/>
    <w:rsid w:val="00F719D3"/>
    <w:rsid w:val="00F739F5"/>
    <w:rsid w:val="00F8257B"/>
    <w:rsid w:val="00F97459"/>
    <w:rsid w:val="00F97B7E"/>
    <w:rsid w:val="00FB5B2B"/>
    <w:rsid w:val="00FC25C0"/>
    <w:rsid w:val="00FC3607"/>
    <w:rsid w:val="00FD1FBC"/>
    <w:rsid w:val="00FE1090"/>
    <w:rsid w:val="00FE7CF4"/>
    <w:rsid w:val="00FF42FD"/>
    <w:rsid w:val="00FF53A9"/>
    <w:rsid w:val="3E78CC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9E3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82B"/>
    <w:pPr>
      <w:spacing w:after="100" w:line="264" w:lineRule="auto"/>
    </w:pPr>
    <w:rPr>
      <w:rFonts w:ascii="Arial" w:hAnsi="Arial"/>
    </w:rPr>
  </w:style>
  <w:style w:type="paragraph" w:styleId="Heading1">
    <w:name w:val="heading 1"/>
    <w:basedOn w:val="Normal"/>
    <w:next w:val="Normal"/>
    <w:link w:val="Heading1Char"/>
    <w:uiPriority w:val="9"/>
    <w:qFormat/>
    <w:rsid w:val="009A0A07"/>
    <w:pPr>
      <w:keepNext/>
      <w:keepLines/>
      <w:spacing w:before="480" w:after="0" w:line="276" w:lineRule="auto"/>
      <w:outlineLvl w:val="0"/>
    </w:pPr>
    <w:rPr>
      <w:rFonts w:eastAsiaTheme="majorEastAsia" w:cstheme="majorBidi"/>
      <w:b/>
      <w:color w:val="4B0885" w:themeColor="text2"/>
      <w:sz w:val="56"/>
      <w:szCs w:val="32"/>
    </w:rPr>
  </w:style>
  <w:style w:type="paragraph" w:styleId="Heading2">
    <w:name w:val="heading 2"/>
    <w:basedOn w:val="Normal"/>
    <w:next w:val="Normal"/>
    <w:link w:val="Heading2Char"/>
    <w:uiPriority w:val="9"/>
    <w:unhideWhenUsed/>
    <w:qFormat/>
    <w:rsid w:val="00D12938"/>
    <w:pPr>
      <w:keepNext/>
      <w:keepLines/>
      <w:spacing w:before="240" w:after="0" w:line="276"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12938"/>
    <w:pPr>
      <w:keepNext/>
      <w:keepLines/>
      <w:spacing w:before="240" w:after="0" w:line="276" w:lineRule="auto"/>
      <w:outlineLvl w:val="2"/>
    </w:pPr>
    <w:rPr>
      <w:rFonts w:eastAsiaTheme="majorEastAsia" w:cstheme="majorBidi"/>
      <w:b/>
      <w:color w:val="4B0885" w:themeColor="text2"/>
      <w:sz w:val="26"/>
      <w:szCs w:val="24"/>
    </w:rPr>
  </w:style>
  <w:style w:type="paragraph" w:styleId="Heading4">
    <w:name w:val="heading 4"/>
    <w:basedOn w:val="Normal"/>
    <w:next w:val="Normal"/>
    <w:link w:val="Heading4Char"/>
    <w:uiPriority w:val="9"/>
    <w:unhideWhenUsed/>
    <w:qFormat/>
    <w:rsid w:val="00D12938"/>
    <w:pPr>
      <w:spacing w:before="240" w:after="0" w:line="276" w:lineRule="auto"/>
      <w:outlineLvl w:val="3"/>
    </w:pPr>
    <w:rPr>
      <w:rFonts w:cs="Arial"/>
      <w:b/>
      <w:bCs/>
      <w:color w:val="012749" w:themeColor="accent3"/>
    </w:rPr>
  </w:style>
  <w:style w:type="paragraph" w:styleId="Heading5">
    <w:name w:val="heading 5"/>
    <w:basedOn w:val="Normal"/>
    <w:next w:val="Normal"/>
    <w:link w:val="Heading5Char"/>
    <w:uiPriority w:val="9"/>
    <w:unhideWhenUsed/>
    <w:qFormat/>
    <w:rsid w:val="00D12938"/>
    <w:pPr>
      <w:spacing w:before="240" w:after="0" w:line="276" w:lineRule="auto"/>
      <w:outlineLvl w:val="4"/>
    </w:pPr>
    <w:rPr>
      <w:rFonts w:cs="Arial"/>
      <w:color w:val="4B0885" w:themeColor="text2"/>
      <w:sz w:val="19"/>
      <w:szCs w:val="19"/>
    </w:rPr>
  </w:style>
  <w:style w:type="paragraph" w:styleId="Heading6">
    <w:name w:val="heading 6"/>
    <w:basedOn w:val="Normal"/>
    <w:next w:val="Normal"/>
    <w:link w:val="Heading6Char"/>
    <w:uiPriority w:val="9"/>
    <w:unhideWhenUsed/>
    <w:qFormat/>
    <w:rsid w:val="00D12938"/>
    <w:pPr>
      <w:keepNext/>
      <w:keepLines/>
      <w:spacing w:before="240" w:after="0" w:line="276" w:lineRule="auto"/>
      <w:outlineLvl w:val="5"/>
    </w:pPr>
    <w:rPr>
      <w:rFonts w:eastAsiaTheme="majorEastAsia" w:cstheme="majorBidi"/>
      <w:color w:val="341461" w:themeColor="accent1" w:themeShade="7F"/>
    </w:rPr>
  </w:style>
  <w:style w:type="paragraph" w:styleId="Heading7">
    <w:name w:val="heading 7"/>
    <w:basedOn w:val="Normal"/>
    <w:next w:val="Normal"/>
    <w:link w:val="Heading7Char"/>
    <w:uiPriority w:val="9"/>
    <w:unhideWhenUsed/>
    <w:rsid w:val="00642A9A"/>
    <w:pPr>
      <w:keepNext/>
      <w:keepLines/>
      <w:spacing w:before="240"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unhideWhenUsed/>
    <w:rsid w:val="00642A9A"/>
    <w:pPr>
      <w:keepNext/>
      <w:keepLines/>
      <w:spacing w:before="2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2A9A"/>
    <w:pPr>
      <w:keepNext/>
      <w:keepLines/>
      <w:spacing w:before="2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UnresolvedMention">
    <w:name w:val="Unresolved Mention"/>
    <w:basedOn w:val="DefaultParagraphFont"/>
    <w:uiPriority w:val="99"/>
    <w:semiHidden/>
    <w:unhideWhenUsed/>
    <w:rsid w:val="00E82EEB"/>
    <w:rPr>
      <w:color w:val="605E5C"/>
      <w:shd w:val="clear" w:color="auto" w:fill="E1DFDD"/>
    </w:rPr>
  </w:style>
  <w:style w:type="paragraph" w:styleId="Footer">
    <w:name w:val="footer"/>
    <w:basedOn w:val="Normal"/>
    <w:link w:val="FooterChar"/>
    <w:uiPriority w:val="99"/>
    <w:unhideWhenUsed/>
    <w:rsid w:val="00991526"/>
    <w:pPr>
      <w:tabs>
        <w:tab w:val="right" w:pos="9026"/>
      </w:tabs>
      <w:spacing w:before="20" w:after="0" w:line="240" w:lineRule="auto"/>
    </w:pPr>
    <w:rPr>
      <w:sz w:val="17"/>
      <w:szCs w:val="17"/>
    </w:rPr>
  </w:style>
  <w:style w:type="character" w:customStyle="1" w:styleId="FooterChar">
    <w:name w:val="Footer Char"/>
    <w:basedOn w:val="DefaultParagraphFont"/>
    <w:link w:val="Footer"/>
    <w:uiPriority w:val="99"/>
    <w:rsid w:val="00991526"/>
    <w:rPr>
      <w:color w:val="000000" w:themeColor="text1"/>
      <w:sz w:val="17"/>
      <w:szCs w:val="17"/>
    </w:rPr>
  </w:style>
  <w:style w:type="paragraph" w:styleId="Title">
    <w:name w:val="Title"/>
    <w:basedOn w:val="Normal"/>
    <w:next w:val="Normal"/>
    <w:link w:val="TitleChar"/>
    <w:uiPriority w:val="1"/>
    <w:rsid w:val="00233A75"/>
    <w:pPr>
      <w:spacing w:before="2600" w:after="240" w:line="252" w:lineRule="auto"/>
    </w:pPr>
    <w:rPr>
      <w:rFonts w:asciiTheme="majorHAnsi" w:eastAsiaTheme="majorEastAsia" w:hAnsiTheme="majorHAnsi" w:cstheme="majorBidi"/>
      <w:b/>
      <w:color w:val="FFFFFF" w:themeColor="background1"/>
      <w:spacing w:val="-2"/>
      <w:kern w:val="28"/>
      <w:sz w:val="80"/>
      <w:szCs w:val="80"/>
    </w:rPr>
  </w:style>
  <w:style w:type="character" w:customStyle="1" w:styleId="TitleChar">
    <w:name w:val="Title Char"/>
    <w:basedOn w:val="DefaultParagraphFont"/>
    <w:link w:val="Title"/>
    <w:uiPriority w:val="1"/>
    <w:rsid w:val="00233A75"/>
    <w:rPr>
      <w:rFonts w:asciiTheme="majorHAnsi" w:eastAsiaTheme="majorEastAsia" w:hAnsiTheme="majorHAnsi" w:cstheme="majorBidi"/>
      <w:b/>
      <w:color w:val="FFFFFF" w:themeColor="background1"/>
      <w:spacing w:val="-2"/>
      <w:kern w:val="28"/>
      <w:sz w:val="80"/>
      <w:szCs w:val="80"/>
    </w:rPr>
  </w:style>
  <w:style w:type="character" w:customStyle="1" w:styleId="Heading1Char">
    <w:name w:val="Heading 1 Char"/>
    <w:basedOn w:val="DefaultParagraphFont"/>
    <w:link w:val="Heading1"/>
    <w:uiPriority w:val="9"/>
    <w:rsid w:val="009A0A07"/>
    <w:rPr>
      <w:rFonts w:ascii="Arial" w:eastAsiaTheme="majorEastAsia" w:hAnsi="Arial" w:cstheme="majorBidi"/>
      <w:b/>
      <w:color w:val="4B0885" w:themeColor="text2"/>
      <w:sz w:val="56"/>
      <w:szCs w:val="32"/>
    </w:rPr>
  </w:style>
  <w:style w:type="paragraph" w:styleId="TOCHeading">
    <w:name w:val="TOC Heading"/>
    <w:basedOn w:val="Heading1"/>
    <w:next w:val="Normal"/>
    <w:uiPriority w:val="39"/>
    <w:unhideWhenUsed/>
    <w:qFormat/>
    <w:rsid w:val="007177A7"/>
    <w:pPr>
      <w:outlineLvl w:val="9"/>
    </w:pPr>
    <w:rPr>
      <w:lang w:val="en-US"/>
    </w:rPr>
  </w:style>
  <w:style w:type="paragraph" w:styleId="ListParagraph">
    <w:name w:val="List Paragraph"/>
    <w:basedOn w:val="Normal"/>
    <w:uiPriority w:val="34"/>
    <w:qFormat/>
    <w:rsid w:val="00E148F7"/>
    <w:pPr>
      <w:ind w:left="720"/>
      <w:contextualSpacing/>
    </w:pPr>
  </w:style>
  <w:style w:type="table" w:styleId="TableGrid">
    <w:name w:val="Table Grid"/>
    <w:basedOn w:val="TableNormal"/>
    <w:uiPriority w:val="39"/>
    <w:rsid w:val="00F4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DBD"/>
    <w:rPr>
      <w:sz w:val="16"/>
      <w:szCs w:val="16"/>
    </w:rPr>
  </w:style>
  <w:style w:type="paragraph" w:styleId="CommentText">
    <w:name w:val="annotation text"/>
    <w:basedOn w:val="Normal"/>
    <w:link w:val="CommentTextChar"/>
    <w:uiPriority w:val="99"/>
    <w:semiHidden/>
    <w:unhideWhenUsed/>
    <w:rsid w:val="007F7DBD"/>
    <w:pPr>
      <w:spacing w:line="240" w:lineRule="auto"/>
    </w:pPr>
    <w:rPr>
      <w:sz w:val="20"/>
      <w:szCs w:val="20"/>
    </w:rPr>
  </w:style>
  <w:style w:type="character" w:customStyle="1" w:styleId="CommentTextChar">
    <w:name w:val="Comment Text Char"/>
    <w:basedOn w:val="DefaultParagraphFont"/>
    <w:link w:val="CommentText"/>
    <w:uiPriority w:val="99"/>
    <w:semiHidden/>
    <w:rsid w:val="007F7DBD"/>
    <w:rPr>
      <w:sz w:val="20"/>
      <w:szCs w:val="20"/>
    </w:rPr>
  </w:style>
  <w:style w:type="paragraph" w:styleId="CommentSubject">
    <w:name w:val="annotation subject"/>
    <w:basedOn w:val="CommentText"/>
    <w:next w:val="CommentText"/>
    <w:link w:val="CommentSubjectChar"/>
    <w:uiPriority w:val="99"/>
    <w:semiHidden/>
    <w:unhideWhenUsed/>
    <w:rsid w:val="007F7DBD"/>
    <w:rPr>
      <w:b/>
      <w:bCs/>
    </w:rPr>
  </w:style>
  <w:style w:type="character" w:customStyle="1" w:styleId="CommentSubjectChar">
    <w:name w:val="Comment Subject Char"/>
    <w:basedOn w:val="CommentTextChar"/>
    <w:link w:val="CommentSubject"/>
    <w:uiPriority w:val="99"/>
    <w:semiHidden/>
    <w:rsid w:val="007F7DBD"/>
    <w:rPr>
      <w:b/>
      <w:bCs/>
      <w:sz w:val="20"/>
      <w:szCs w:val="20"/>
    </w:rPr>
  </w:style>
  <w:style w:type="paragraph" w:styleId="NoSpacing">
    <w:name w:val="No Spacing"/>
    <w:uiPriority w:val="1"/>
    <w:qFormat/>
    <w:rsid w:val="006C282B"/>
    <w:pPr>
      <w:spacing w:after="0" w:line="240" w:lineRule="auto"/>
    </w:pPr>
    <w:rPr>
      <w:rFonts w:ascii="Arial" w:hAnsi="Arial"/>
    </w:rPr>
  </w:style>
  <w:style w:type="table" w:styleId="PlainTable4">
    <w:name w:val="Plain Table 4"/>
    <w:basedOn w:val="TableNormal"/>
    <w:uiPriority w:val="44"/>
    <w:rsid w:val="006066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qFormat/>
    <w:rsid w:val="006C282B"/>
    <w:pPr>
      <w:numPr>
        <w:numId w:val="7"/>
      </w:numPr>
      <w:spacing w:after="120"/>
      <w:ind w:left="284" w:hanging="284"/>
    </w:pPr>
    <w:rPr>
      <w:rFonts w:eastAsia="SimSun" w:cs="Times New Roman"/>
      <w:spacing w:val="-1"/>
      <w:szCs w:val="20"/>
      <w:lang w:val="en-GB" w:eastAsia="en-GB"/>
    </w:rPr>
  </w:style>
  <w:style w:type="character" w:customStyle="1" w:styleId="Heading2Char">
    <w:name w:val="Heading 2 Char"/>
    <w:basedOn w:val="DefaultParagraphFont"/>
    <w:link w:val="Heading2"/>
    <w:uiPriority w:val="9"/>
    <w:rsid w:val="00D12938"/>
    <w:rPr>
      <w:rFonts w:ascii="Arial" w:eastAsiaTheme="majorEastAsia" w:hAnsi="Arial" w:cstheme="majorBidi"/>
      <w:b/>
      <w:sz w:val="32"/>
      <w:szCs w:val="26"/>
    </w:rPr>
  </w:style>
  <w:style w:type="paragraph" w:styleId="TOC1">
    <w:name w:val="toc 1"/>
    <w:basedOn w:val="Normal"/>
    <w:next w:val="Normal"/>
    <w:uiPriority w:val="39"/>
    <w:unhideWhenUsed/>
    <w:rsid w:val="00A3043E"/>
    <w:rPr>
      <w:b/>
      <w:color w:val="4B0885" w:themeColor="text2"/>
    </w:rPr>
  </w:style>
  <w:style w:type="character" w:customStyle="1" w:styleId="Heading3Char">
    <w:name w:val="Heading 3 Char"/>
    <w:basedOn w:val="DefaultParagraphFont"/>
    <w:link w:val="Heading3"/>
    <w:uiPriority w:val="9"/>
    <w:rsid w:val="00D12938"/>
    <w:rPr>
      <w:rFonts w:ascii="Arial" w:eastAsiaTheme="majorEastAsia" w:hAnsi="Arial" w:cstheme="majorBidi"/>
      <w:b/>
      <w:color w:val="4B0885" w:themeColor="text2"/>
      <w:sz w:val="26"/>
      <w:szCs w:val="24"/>
    </w:rPr>
  </w:style>
  <w:style w:type="paragraph" w:styleId="TOC2">
    <w:name w:val="toc 2"/>
    <w:basedOn w:val="Normal"/>
    <w:next w:val="Normal"/>
    <w:uiPriority w:val="39"/>
    <w:unhideWhenUsed/>
    <w:rsid w:val="00233A75"/>
    <w:pPr>
      <w:ind w:left="227"/>
    </w:pPr>
  </w:style>
  <w:style w:type="paragraph" w:styleId="TOC4">
    <w:name w:val="toc 4"/>
    <w:basedOn w:val="Normal"/>
    <w:next w:val="Normal"/>
    <w:autoRedefine/>
    <w:uiPriority w:val="39"/>
    <w:unhideWhenUsed/>
    <w:rsid w:val="007B2AD6"/>
    <w:pPr>
      <w:tabs>
        <w:tab w:val="right" w:leader="dot" w:pos="9016"/>
      </w:tabs>
      <w:ind w:left="220"/>
    </w:pPr>
  </w:style>
  <w:style w:type="paragraph" w:styleId="TOC3">
    <w:name w:val="toc 3"/>
    <w:basedOn w:val="Normal"/>
    <w:next w:val="Normal"/>
    <w:uiPriority w:val="39"/>
    <w:unhideWhenUsed/>
    <w:rsid w:val="00233A75"/>
    <w:pPr>
      <w:tabs>
        <w:tab w:val="right" w:leader="dot" w:pos="9016"/>
      </w:tabs>
      <w:ind w:left="454"/>
    </w:pPr>
  </w:style>
  <w:style w:type="paragraph" w:styleId="TOC5">
    <w:name w:val="toc 5"/>
    <w:basedOn w:val="Normal"/>
    <w:next w:val="Normal"/>
    <w:autoRedefine/>
    <w:uiPriority w:val="39"/>
    <w:unhideWhenUsed/>
    <w:rsid w:val="007B2AD6"/>
    <w:pPr>
      <w:tabs>
        <w:tab w:val="right" w:leader="dot" w:pos="9016"/>
      </w:tabs>
      <w:ind w:left="220"/>
    </w:pPr>
  </w:style>
  <w:style w:type="character" w:styleId="Hyperlink">
    <w:name w:val="Hyperlink"/>
    <w:basedOn w:val="DefaultParagraphFont"/>
    <w:uiPriority w:val="99"/>
    <w:unhideWhenUsed/>
    <w:rsid w:val="00A93DF6"/>
    <w:rPr>
      <w:color w:val="013D74" w:themeColor="hyperlink"/>
      <w:u w:val="single"/>
    </w:rPr>
  </w:style>
  <w:style w:type="paragraph" w:styleId="ListBullet2">
    <w:name w:val="List Bullet 2"/>
    <w:basedOn w:val="Normal"/>
    <w:qFormat/>
    <w:rsid w:val="006C282B"/>
    <w:pPr>
      <w:numPr>
        <w:ilvl w:val="1"/>
        <w:numId w:val="7"/>
      </w:numPr>
      <w:spacing w:after="110"/>
      <w:ind w:left="568" w:hanging="284"/>
    </w:pPr>
    <w:rPr>
      <w:rFonts w:eastAsia="SimSun" w:cs="Times New Roman"/>
      <w:spacing w:val="-1"/>
      <w:szCs w:val="20"/>
      <w:lang w:val="en-GB" w:eastAsia="en-GB"/>
    </w:rPr>
  </w:style>
  <w:style w:type="paragraph" w:styleId="ListBullet3">
    <w:name w:val="List Bullet 3"/>
    <w:basedOn w:val="Normal"/>
    <w:rsid w:val="00BE68F3"/>
    <w:pPr>
      <w:numPr>
        <w:ilvl w:val="2"/>
        <w:numId w:val="7"/>
      </w:numPr>
      <w:spacing w:line="240" w:lineRule="atLeast"/>
    </w:pPr>
    <w:rPr>
      <w:rFonts w:eastAsia="SimSun" w:cs="Times New Roman"/>
      <w:spacing w:val="-1"/>
      <w:szCs w:val="20"/>
      <w:lang w:val="en-GB" w:eastAsia="en-GB"/>
    </w:rPr>
  </w:style>
  <w:style w:type="paragraph" w:styleId="ListBullet4">
    <w:name w:val="List Bullet 4"/>
    <w:basedOn w:val="ListBullet3"/>
    <w:semiHidden/>
    <w:rsid w:val="00597EF7"/>
    <w:pPr>
      <w:numPr>
        <w:ilvl w:val="3"/>
      </w:numPr>
    </w:pPr>
  </w:style>
  <w:style w:type="character" w:customStyle="1" w:styleId="Heading4Char">
    <w:name w:val="Heading 4 Char"/>
    <w:basedOn w:val="DefaultParagraphFont"/>
    <w:link w:val="Heading4"/>
    <w:uiPriority w:val="9"/>
    <w:rsid w:val="00D12938"/>
    <w:rPr>
      <w:rFonts w:ascii="Arial" w:hAnsi="Arial" w:cs="Arial"/>
      <w:b/>
      <w:bCs/>
      <w:color w:val="012749" w:themeColor="accent3"/>
    </w:rPr>
  </w:style>
  <w:style w:type="character" w:customStyle="1" w:styleId="Heading5Char">
    <w:name w:val="Heading 5 Char"/>
    <w:basedOn w:val="DefaultParagraphFont"/>
    <w:link w:val="Heading5"/>
    <w:uiPriority w:val="9"/>
    <w:rsid w:val="00D12938"/>
    <w:rPr>
      <w:rFonts w:ascii="Arial" w:hAnsi="Arial" w:cs="Arial"/>
      <w:color w:val="4B0885" w:themeColor="text2"/>
      <w:sz w:val="19"/>
      <w:szCs w:val="19"/>
    </w:rPr>
  </w:style>
  <w:style w:type="character" w:customStyle="1" w:styleId="Heading6Char">
    <w:name w:val="Heading 6 Char"/>
    <w:basedOn w:val="DefaultParagraphFont"/>
    <w:link w:val="Heading6"/>
    <w:uiPriority w:val="9"/>
    <w:rsid w:val="00D12938"/>
    <w:rPr>
      <w:rFonts w:ascii="Arial" w:eastAsiaTheme="majorEastAsia" w:hAnsi="Arial" w:cstheme="majorBidi"/>
      <w:color w:val="341461" w:themeColor="accent1" w:themeShade="7F"/>
    </w:rPr>
  </w:style>
  <w:style w:type="character" w:customStyle="1" w:styleId="Heading7Char">
    <w:name w:val="Heading 7 Char"/>
    <w:basedOn w:val="DefaultParagraphFont"/>
    <w:link w:val="Heading7"/>
    <w:uiPriority w:val="9"/>
    <w:rsid w:val="00642A9A"/>
    <w:rPr>
      <w:rFonts w:asciiTheme="majorHAnsi" w:eastAsiaTheme="majorEastAsia" w:hAnsiTheme="majorHAnsi" w:cstheme="majorBidi"/>
      <w:i/>
      <w:iCs/>
      <w:color w:val="341461" w:themeColor="accent1" w:themeShade="7F"/>
    </w:rPr>
  </w:style>
  <w:style w:type="paragraph" w:styleId="Header">
    <w:name w:val="header"/>
    <w:basedOn w:val="Normal"/>
    <w:link w:val="HeaderChar"/>
    <w:uiPriority w:val="99"/>
    <w:unhideWhenUsed/>
    <w:rsid w:val="00C40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E20"/>
    <w:rPr>
      <w:rFonts w:ascii="Arial" w:hAnsi="Arial"/>
      <w:color w:val="000000" w:themeColor="text1"/>
    </w:rPr>
  </w:style>
  <w:style w:type="paragraph" w:styleId="Caption">
    <w:name w:val="caption"/>
    <w:basedOn w:val="Normal"/>
    <w:next w:val="Normal"/>
    <w:uiPriority w:val="35"/>
    <w:unhideWhenUsed/>
    <w:qFormat/>
    <w:rsid w:val="00642A9A"/>
    <w:pPr>
      <w:keepNext/>
      <w:spacing w:before="320" w:after="200" w:line="240" w:lineRule="auto"/>
    </w:pPr>
    <w:rPr>
      <w:b/>
      <w:bCs/>
      <w:sz w:val="18"/>
      <w:szCs w:val="18"/>
    </w:rPr>
  </w:style>
  <w:style w:type="paragraph" w:styleId="Subtitle">
    <w:name w:val="Subtitle"/>
    <w:basedOn w:val="Normal"/>
    <w:next w:val="Normal"/>
    <w:link w:val="SubtitleChar"/>
    <w:uiPriority w:val="1"/>
    <w:rsid w:val="00233A75"/>
    <w:pPr>
      <w:numPr>
        <w:ilvl w:val="1"/>
      </w:numPr>
      <w:spacing w:before="480" w:after="160"/>
    </w:pPr>
    <w:rPr>
      <w:rFonts w:asciiTheme="majorHAnsi" w:eastAsiaTheme="minorEastAsia" w:hAnsiTheme="majorHAnsi"/>
      <w:color w:val="FFFFFF" w:themeColor="background1"/>
      <w:sz w:val="48"/>
      <w:szCs w:val="48"/>
    </w:rPr>
  </w:style>
  <w:style w:type="character" w:customStyle="1" w:styleId="SubtitleChar">
    <w:name w:val="Subtitle Char"/>
    <w:basedOn w:val="DefaultParagraphFont"/>
    <w:link w:val="Subtitle"/>
    <w:uiPriority w:val="1"/>
    <w:rsid w:val="00233A75"/>
    <w:rPr>
      <w:rFonts w:asciiTheme="majorHAnsi" w:eastAsiaTheme="minorEastAsia" w:hAnsiTheme="majorHAnsi"/>
      <w:color w:val="FFFFFF" w:themeColor="background1"/>
      <w:sz w:val="48"/>
      <w:szCs w:val="48"/>
    </w:rPr>
  </w:style>
  <w:style w:type="paragraph" w:customStyle="1" w:styleId="Spacer">
    <w:name w:val="Spacer"/>
    <w:basedOn w:val="NoSpacing"/>
    <w:qFormat/>
    <w:rsid w:val="00506CD7"/>
    <w:pPr>
      <w:tabs>
        <w:tab w:val="left" w:pos="2906"/>
      </w:tabs>
    </w:pPr>
    <w:rPr>
      <w:rFonts w:ascii="Times New Roman" w:hAnsi="Times New Roman" w:cs="Times New Roman"/>
      <w:bCs/>
      <w:noProof/>
      <w:color w:val="E55493" w:themeColor="accent6" w:themeTint="99"/>
      <w:spacing w:val="-5"/>
      <w:sz w:val="6"/>
      <w:szCs w:val="23"/>
    </w:rPr>
  </w:style>
  <w:style w:type="character" w:styleId="PlaceholderText">
    <w:name w:val="Placeholder Text"/>
    <w:basedOn w:val="DefaultParagraphFont"/>
    <w:uiPriority w:val="99"/>
    <w:rsid w:val="00C6447C"/>
    <w:rPr>
      <w:color w:val="808080"/>
    </w:rPr>
  </w:style>
  <w:style w:type="paragraph" w:customStyle="1" w:styleId="Source">
    <w:name w:val="Source"/>
    <w:basedOn w:val="Normal"/>
    <w:next w:val="Normal"/>
    <w:qFormat/>
    <w:rsid w:val="00AF2783"/>
    <w:pPr>
      <w:spacing w:before="120" w:after="120"/>
    </w:pPr>
    <w:rPr>
      <w:sz w:val="18"/>
      <w:szCs w:val="18"/>
    </w:rPr>
  </w:style>
  <w:style w:type="paragraph" w:styleId="MacroText">
    <w:name w:val="macro"/>
    <w:link w:val="MacroTextChar"/>
    <w:uiPriority w:val="99"/>
    <w:unhideWhenUsed/>
    <w:rsid w:val="00AF2783"/>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uiPriority w:val="99"/>
    <w:rsid w:val="00AF2783"/>
    <w:rPr>
      <w:rFonts w:ascii="Consolas" w:hAnsi="Consolas"/>
      <w:sz w:val="20"/>
      <w:szCs w:val="20"/>
    </w:rPr>
  </w:style>
  <w:style w:type="table" w:customStyle="1" w:styleId="JSATable1">
    <w:name w:val="JSA Table 1"/>
    <w:basedOn w:val="TableNormal"/>
    <w:uiPriority w:val="99"/>
    <w:rsid w:val="00D73EA4"/>
    <w:pPr>
      <w:spacing w:after="0" w:line="240" w:lineRule="auto"/>
    </w:p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table" w:customStyle="1" w:styleId="JSATable2">
    <w:name w:val="JSA Table 2"/>
    <w:basedOn w:val="TableNormal"/>
    <w:uiPriority w:val="99"/>
    <w:rsid w:val="00A74E0F"/>
    <w:pPr>
      <w:spacing w:after="0" w:line="240" w:lineRule="auto"/>
    </w:pPr>
    <w:tblPr>
      <w:tblStyleRowBandSize w:val="1"/>
      <w:tblBorders>
        <w:bottom w:val="single" w:sz="4" w:space="0" w:color="A584C2"/>
      </w:tblBorders>
    </w:tblPr>
    <w:tblStylePr w:type="firstRow">
      <w:rPr>
        <w:rFonts w:asciiTheme="majorHAnsi" w:hAnsiTheme="majorHAnsi"/>
        <w:color w:val="FFFFFF" w:themeColor="background1"/>
        <w:sz w:val="22"/>
      </w:rPr>
      <w:tblPr/>
      <w:tcPr>
        <w:shd w:val="clear" w:color="auto" w:fill="012749" w:themeFill="accent3"/>
      </w:tcPr>
    </w:tblStylePr>
    <w:tblStylePr w:type="band2Horz">
      <w:tblPr/>
      <w:tcPr>
        <w:shd w:val="clear" w:color="auto" w:fill="E6E6E6"/>
      </w:tcPr>
    </w:tblStylePr>
  </w:style>
  <w:style w:type="paragraph" w:styleId="Index7">
    <w:name w:val="index 7"/>
    <w:basedOn w:val="Normal"/>
    <w:next w:val="Normal"/>
    <w:autoRedefine/>
    <w:uiPriority w:val="99"/>
    <w:semiHidden/>
    <w:unhideWhenUsed/>
    <w:rsid w:val="00244550"/>
    <w:pPr>
      <w:spacing w:before="240" w:after="0" w:line="240" w:lineRule="auto"/>
      <w:ind w:left="1542" w:hanging="221"/>
    </w:pPr>
  </w:style>
  <w:style w:type="character" w:customStyle="1" w:styleId="Heading8Char">
    <w:name w:val="Heading 8 Char"/>
    <w:basedOn w:val="DefaultParagraphFont"/>
    <w:link w:val="Heading8"/>
    <w:uiPriority w:val="9"/>
    <w:semiHidden/>
    <w:rsid w:val="00642A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2A9A"/>
    <w:rPr>
      <w:rFonts w:asciiTheme="majorHAnsi" w:eastAsiaTheme="majorEastAsia" w:hAnsiTheme="majorHAnsi" w:cstheme="majorBidi"/>
      <w:i/>
      <w:iCs/>
      <w:color w:val="272727" w:themeColor="text1" w:themeTint="D8"/>
      <w:sz w:val="21"/>
      <w:szCs w:val="21"/>
    </w:rPr>
  </w:style>
  <w:style w:type="character" w:customStyle="1" w:styleId="StrongandEmphasis">
    <w:name w:val="Strong and Emphasis"/>
    <w:basedOn w:val="DefaultParagraphFont"/>
    <w:uiPriority w:val="1"/>
    <w:qFormat/>
    <w:rsid w:val="00D12938"/>
    <w:rPr>
      <w:rFonts w:ascii="Arial" w:hAnsi="Arial"/>
      <w:b/>
      <w:i/>
      <w:sz w:val="22"/>
    </w:rPr>
  </w:style>
  <w:style w:type="character" w:styleId="Emphasis">
    <w:name w:val="Emphasis"/>
    <w:basedOn w:val="DefaultParagraphFont"/>
    <w:uiPriority w:val="20"/>
    <w:qFormat/>
    <w:rsid w:val="002927DB"/>
    <w:rPr>
      <w:rFonts w:ascii="Arial" w:hAnsi="Arial"/>
      <w:i/>
      <w:iCs/>
      <w:sz w:val="22"/>
    </w:rPr>
  </w:style>
  <w:style w:type="character" w:styleId="Strong">
    <w:name w:val="Strong"/>
    <w:basedOn w:val="DefaultParagraphFont"/>
    <w:uiPriority w:val="22"/>
    <w:qFormat/>
    <w:rsid w:val="00DB0916"/>
    <w:rPr>
      <w:rFonts w:ascii="Arial" w:hAnsi="Arial"/>
      <w:b/>
      <w:bCs/>
      <w:sz w:val="22"/>
    </w:rPr>
  </w:style>
  <w:style w:type="paragraph" w:styleId="Quote">
    <w:name w:val="Quote"/>
    <w:basedOn w:val="Normal"/>
    <w:next w:val="Normal"/>
    <w:link w:val="QuoteChar"/>
    <w:uiPriority w:val="29"/>
    <w:qFormat/>
    <w:rsid w:val="00DB0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0916"/>
    <w:rPr>
      <w:rFonts w:ascii="Arial" w:hAnsi="Arial"/>
      <w:i/>
      <w:iCs/>
      <w:color w:val="404040" w:themeColor="text1" w:themeTint="BF"/>
    </w:rPr>
  </w:style>
  <w:style w:type="paragraph" w:customStyle="1" w:styleId="Sub">
    <w:name w:val="Sub"/>
    <w:basedOn w:val="Heading2"/>
    <w:link w:val="SubChar"/>
    <w:qFormat/>
    <w:rsid w:val="00AA3BB9"/>
    <w:pPr>
      <w:spacing w:before="360" w:after="240"/>
    </w:pPr>
    <w:rPr>
      <w:sz w:val="40"/>
    </w:rPr>
  </w:style>
  <w:style w:type="character" w:customStyle="1" w:styleId="SubChar">
    <w:name w:val="Sub Char"/>
    <w:basedOn w:val="Heading2Char"/>
    <w:link w:val="Sub"/>
    <w:rsid w:val="00AA3BB9"/>
    <w:rPr>
      <w:rFonts w:ascii="Arial" w:eastAsiaTheme="majorEastAsia" w:hAnsi="Arial" w:cstheme="majorBidi"/>
      <w:b/>
      <w:sz w:val="40"/>
      <w:szCs w:val="26"/>
    </w:rPr>
  </w:style>
  <w:style w:type="paragraph" w:styleId="Revision">
    <w:name w:val="Revision"/>
    <w:hidden/>
    <w:uiPriority w:val="99"/>
    <w:semiHidden/>
    <w:rsid w:val="00B96DD7"/>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New JSA purple fix">
      <a:dk1>
        <a:sysClr val="windowText" lastClr="000000"/>
      </a:dk1>
      <a:lt1>
        <a:sysClr val="window" lastClr="FFFFFF"/>
      </a:lt1>
      <a:dk2>
        <a:srgbClr val="4B0885"/>
      </a:dk2>
      <a:lt2>
        <a:srgbClr val="D2DE5A"/>
      </a:lt2>
      <a:accent1>
        <a:srgbClr val="6929C4"/>
      </a:accent1>
      <a:accent2>
        <a:srgbClr val="009D9A"/>
      </a:accent2>
      <a:accent3>
        <a:srgbClr val="012749"/>
      </a:accent3>
      <a:accent4>
        <a:srgbClr val="EE538B"/>
      </a:accent4>
      <a:accent5>
        <a:srgbClr val="1192E8"/>
      </a:accent5>
      <a:accent6>
        <a:srgbClr val="9F1853"/>
      </a:accent6>
      <a:hlink>
        <a:srgbClr val="013D74"/>
      </a:hlink>
      <a:folHlink>
        <a:srgbClr val="4B0885"/>
      </a:folHlink>
    </a:clrScheme>
    <a:fontScheme name="JSA New">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174A-DF8D-45B2-A472-5D938402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2026-10-21T04:40:00Z</dcterms:created>
  <dcterms:modified xsi:type="dcterms:W3CDTF">2026-10-21T04:40:00Z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2026-10-21T04:44:33Z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1497eca2-91cf-405e-a991-613f3a097f50</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