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footer3.xml" ContentType="application/vnd.openxmlformats-officedocument.wordprocessingml.footer+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drawings/drawing1.xml" ContentType="application/vnd.openxmlformats-officedocument.drawingml.chartshapes+xml"/>
  <Override PartName="/word/charts/chart6.xml" ContentType="application/vnd.openxmlformats-officedocument.drawingml.chart+xml"/>
  <Override PartName="/word/drawings/drawing2.xml" ContentType="application/vnd.openxmlformats-officedocument.drawingml.chartshapes+xml"/>
  <Override PartName="/word/charts/chartEx1.xml" ContentType="application/vnd.ms-office.chartex+xml"/>
  <Override PartName="/word/charts/style2.xml" ContentType="application/vnd.ms-office.chartstyle+xml"/>
  <Override PartName="/word/charts/colors2.xml" ContentType="application/vnd.ms-office.chartcolorstyle+xml"/>
  <Override PartName="/word/charts/chart7.xml" ContentType="application/vnd.openxmlformats-officedocument.drawingml.chart+xml"/>
  <Override PartName="/word/drawings/drawing3.xml" ContentType="application/vnd.openxmlformats-officedocument.drawingml.chartshapes+xml"/>
  <Override PartName="/word/charts/chartEx2.xml" ContentType="application/vnd.ms-office.chartex+xml"/>
  <Override PartName="/word/charts/style3.xml" ContentType="application/vnd.ms-office.chartstyle+xml"/>
  <Override PartName="/word/charts/colors3.xml" ContentType="application/vnd.ms-office.chartcolorstyle+xml"/>
  <Override PartName="/word/charts/chart8.xml" ContentType="application/vnd.openxmlformats-officedocument.drawingml.chart+xml"/>
  <Override PartName="/word/drawings/drawing4.xml" ContentType="application/vnd.openxmlformats-officedocument.drawingml.chartshapes+xml"/>
  <Override PartName="/word/charts/chart9.xml" ContentType="application/vnd.openxmlformats-officedocument.drawingml.chart+xml"/>
  <Override PartName="/word/drawings/drawing5.xml" ContentType="application/vnd.openxmlformats-officedocument.drawingml.chartshapes+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13.xml" ContentType="application/vnd.openxmlformats-officedocument.drawingml.chart+xml"/>
  <Override PartName="/word/charts/style5.xml" ContentType="application/vnd.ms-office.chartstyle+xml"/>
  <Override PartName="/word/charts/colors5.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23CC7" w14:textId="77777777" w:rsidR="00AA5442" w:rsidRDefault="00AA5442" w:rsidP="00AA5442">
      <w:pPr>
        <w:pStyle w:val="BodyText"/>
        <w:sectPr w:rsidR="00AA5442" w:rsidSect="00AA5442">
          <w:headerReference w:type="default" r:id="rId8"/>
          <w:footerReference w:type="even" r:id="rId9"/>
          <w:footerReference w:type="default" r:id="rId10"/>
          <w:headerReference w:type="first" r:id="rId11"/>
          <w:type w:val="evenPage"/>
          <w:pgSz w:w="11907" w:h="16839" w:code="9"/>
          <w:pgMar w:top="992" w:right="1270" w:bottom="1440" w:left="1270" w:header="720" w:footer="720" w:gutter="0"/>
          <w:cols w:space="720"/>
          <w:titlePg/>
          <w:docGrid w:linePitch="360"/>
        </w:sectPr>
      </w:pPr>
      <w:r w:rsidRPr="00270126">
        <w:rPr>
          <w:noProof/>
        </w:rPr>
        <w:drawing>
          <wp:inline distT="0" distB="0" distL="0" distR="0" wp14:anchorId="507B9546" wp14:editId="1437A6E6">
            <wp:extent cx="3240000" cy="701298"/>
            <wp:effectExtent l="0" t="0" r="0" b="3810"/>
            <wp:docPr id="348354591" name="Picture 3483545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354591" name="Picture 348354591">
                      <a:extLst>
                        <a:ext uri="{C183D7F6-B498-43B3-948B-1728B52AA6E4}">
                          <adec:decorative xmlns:adec="http://schemas.microsoft.com/office/drawing/2017/decorative" val="1"/>
                        </a:ext>
                      </a:extLst>
                    </pic:cNvPr>
                    <pic:cNvPicPr/>
                  </pic:nvPicPr>
                  <pic:blipFill>
                    <a:blip r:embed="rId12">
                      <a:extLst>
                        <a:ext uri="{96DAC541-7B7A-43D3-8B79-37D633B846F1}">
                          <asvg:svgBlip xmlns:asvg="http://schemas.microsoft.com/office/drawing/2016/SVG/main" r:embed="rId13"/>
                        </a:ext>
                      </a:extLst>
                    </a:blip>
                    <a:stretch>
                      <a:fillRect/>
                    </a:stretch>
                  </pic:blipFill>
                  <pic:spPr>
                    <a:xfrm>
                      <a:off x="0" y="0"/>
                      <a:ext cx="3240000" cy="701298"/>
                    </a:xfrm>
                    <a:prstGeom prst="rect">
                      <a:avLst/>
                    </a:prstGeom>
                  </pic:spPr>
                </pic:pic>
              </a:graphicData>
            </a:graphic>
          </wp:inline>
        </w:drawing>
      </w:r>
      <w:r>
        <w:rPr>
          <w:noProof/>
        </w:rPr>
        <w:drawing>
          <wp:anchor distT="0" distB="0" distL="114300" distR="114300" simplePos="0" relativeHeight="251658241" behindDoc="1" locked="1" layoutInCell="1" allowOverlap="1" wp14:anchorId="019BEB38" wp14:editId="0BB0ACE2">
            <wp:simplePos x="0" y="0"/>
            <wp:positionH relativeFrom="page">
              <wp:align>left</wp:align>
            </wp:positionH>
            <wp:positionV relativeFrom="page">
              <wp:align>top</wp:align>
            </wp:positionV>
            <wp:extent cx="7560000" cy="10692000"/>
            <wp:effectExtent l="0" t="0" r="3175" b="0"/>
            <wp:wrapNone/>
            <wp:docPr id="134363586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635861" name="Picture 1">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560000" cy="10692000"/>
                    </a:xfrm>
                    <a:prstGeom prst="rect">
                      <a:avLst/>
                    </a:prstGeom>
                    <a:noFill/>
                  </pic:spPr>
                </pic:pic>
              </a:graphicData>
            </a:graphic>
            <wp14:sizeRelH relativeFrom="page">
              <wp14:pctWidth>0</wp14:pctWidth>
            </wp14:sizeRelH>
            <wp14:sizeRelV relativeFrom="page">
              <wp14:pctHeight>0</wp14:pctHeight>
            </wp14:sizeRelV>
          </wp:anchor>
        </w:drawing>
      </w:r>
    </w:p>
    <w:p w14:paraId="1B0280FA" w14:textId="77777777" w:rsidR="00AA5442" w:rsidRDefault="00AA5442" w:rsidP="00AA5442">
      <w:pPr>
        <w:pStyle w:val="BodyText"/>
      </w:pPr>
    </w:p>
    <w:p w14:paraId="4A1AB2D6" w14:textId="1A296E86" w:rsidR="00AA5442" w:rsidRPr="00E60832" w:rsidRDefault="00543936" w:rsidP="00AA5442">
      <w:pPr>
        <w:pStyle w:val="Title"/>
      </w:pPr>
      <w:r>
        <w:t>2026 Occupation Shortage List</w:t>
      </w:r>
    </w:p>
    <w:p w14:paraId="7D4BA889" w14:textId="32806980" w:rsidR="00AA5442" w:rsidRDefault="00543936" w:rsidP="00AA5442">
      <w:pPr>
        <w:pStyle w:val="Subtitle"/>
      </w:pPr>
      <w:r>
        <w:t>Key Findings Report</w:t>
      </w:r>
    </w:p>
    <w:p w14:paraId="5A8D8614" w14:textId="1FC4B8C9" w:rsidR="00AA5442" w:rsidRPr="00934D95" w:rsidRDefault="00543936" w:rsidP="00AA5442">
      <w:pPr>
        <w:pStyle w:val="DocumentDetails"/>
      </w:pPr>
      <w:r>
        <w:t>October 2026</w:t>
      </w:r>
    </w:p>
    <w:p w14:paraId="025DA647" w14:textId="77777777" w:rsidR="00A67B12" w:rsidRPr="00A67B12" w:rsidRDefault="00A67B12" w:rsidP="00A67B12">
      <w:pPr>
        <w:pStyle w:val="BodyText"/>
        <w:sectPr w:rsidR="00A67B12" w:rsidRPr="00A67B12" w:rsidSect="00106E26">
          <w:type w:val="continuous"/>
          <w:pgSz w:w="11907" w:h="16839" w:code="9"/>
          <w:pgMar w:top="1440" w:right="1440" w:bottom="1440" w:left="1440" w:header="720" w:footer="720" w:gutter="0"/>
          <w:cols w:space="720"/>
          <w:titlePg/>
          <w:docGrid w:linePitch="360"/>
        </w:sectPr>
      </w:pPr>
    </w:p>
    <w:p w14:paraId="5DC0B2AE" w14:textId="77777777" w:rsidR="00452A9D" w:rsidRDefault="00452A9D" w:rsidP="00104750">
      <w:pPr>
        <w:pStyle w:val="TOCHeading"/>
      </w:pPr>
      <w:r>
        <w:lastRenderedPageBreak/>
        <w:t>Contents</w:t>
      </w:r>
    </w:p>
    <w:sdt>
      <w:sdtPr>
        <w:rPr>
          <w:b w:val="0"/>
          <w:color w:val="auto"/>
        </w:rPr>
        <w:id w:val="-272784265"/>
        <w:docPartObj>
          <w:docPartGallery w:val="Table of Contents"/>
          <w:docPartUnique/>
        </w:docPartObj>
      </w:sdtPr>
      <w:sdtEndPr>
        <w:rPr>
          <w:b/>
          <w:bCs/>
        </w:rPr>
      </w:sdtEndPr>
      <w:sdtContent>
        <w:p w14:paraId="702FCEBE" w14:textId="3DA51027" w:rsidR="005C15ED" w:rsidRDefault="00652DCC">
          <w:pPr>
            <w:pStyle w:val="TOC1"/>
            <w:rPr>
              <w:rFonts w:asciiTheme="minorHAnsi" w:eastAsiaTheme="minorEastAsia" w:hAnsiTheme="minorHAnsi"/>
              <w:b w:val="0"/>
              <w:noProof/>
              <w:color w:val="auto"/>
              <w:kern w:val="2"/>
              <w:sz w:val="24"/>
              <w:szCs w:val="24"/>
              <w:lang w:eastAsia="en-AU"/>
              <w14:ligatures w14:val="standardContextual"/>
            </w:rPr>
          </w:pPr>
          <w:r>
            <w:rPr>
              <w:color w:val="auto"/>
            </w:rPr>
            <w:fldChar w:fldCharType="begin"/>
          </w:r>
          <w:r>
            <w:instrText xml:space="preserve"> TOC \o "1-3" \h \z \u </w:instrText>
          </w:r>
          <w:r>
            <w:rPr>
              <w:color w:val="auto"/>
            </w:rPr>
            <w:fldChar w:fldCharType="separate"/>
          </w:r>
          <w:hyperlink w:anchor="_Toc242271290" w:history="1">
            <w:r w:rsidR="005C15ED" w:rsidRPr="00190454">
              <w:rPr>
                <w:rStyle w:val="Hyperlink"/>
                <w:noProof/>
              </w:rPr>
              <w:t>Introduction</w:t>
            </w:r>
            <w:r w:rsidR="005C15ED">
              <w:rPr>
                <w:noProof/>
                <w:webHidden/>
              </w:rPr>
              <w:tab/>
            </w:r>
            <w:r w:rsidR="005C15ED">
              <w:rPr>
                <w:noProof/>
                <w:webHidden/>
              </w:rPr>
              <w:fldChar w:fldCharType="begin"/>
            </w:r>
            <w:r w:rsidR="005C15ED">
              <w:rPr>
                <w:noProof/>
                <w:webHidden/>
              </w:rPr>
              <w:instrText xml:space="preserve"> PAGEREF _Toc242271290 \h </w:instrText>
            </w:r>
            <w:r w:rsidR="005C15ED">
              <w:rPr>
                <w:noProof/>
                <w:webHidden/>
              </w:rPr>
            </w:r>
            <w:r w:rsidR="005C15ED">
              <w:rPr>
                <w:noProof/>
                <w:webHidden/>
              </w:rPr>
              <w:fldChar w:fldCharType="separate"/>
            </w:r>
            <w:r w:rsidR="00286763">
              <w:rPr>
                <w:noProof/>
                <w:webHidden/>
              </w:rPr>
              <w:t>3</w:t>
            </w:r>
            <w:r w:rsidR="005C15ED">
              <w:rPr>
                <w:noProof/>
                <w:webHidden/>
              </w:rPr>
              <w:fldChar w:fldCharType="end"/>
            </w:r>
          </w:hyperlink>
        </w:p>
        <w:p w14:paraId="751B2FC1" w14:textId="69DB81D6" w:rsidR="005C15ED" w:rsidRDefault="005C15ED">
          <w:pPr>
            <w:pStyle w:val="TOC2"/>
            <w:rPr>
              <w:rFonts w:asciiTheme="minorHAnsi" w:eastAsiaTheme="minorEastAsia" w:hAnsiTheme="minorHAnsi"/>
              <w:b w:val="0"/>
              <w:noProof/>
              <w:kern w:val="2"/>
              <w:sz w:val="24"/>
              <w:szCs w:val="24"/>
              <w:lang w:eastAsia="en-AU"/>
              <w14:ligatures w14:val="standardContextual"/>
            </w:rPr>
          </w:pPr>
          <w:hyperlink w:anchor="_Toc242271291" w:history="1">
            <w:r w:rsidRPr="00190454">
              <w:rPr>
                <w:rStyle w:val="Hyperlink"/>
                <w:noProof/>
              </w:rPr>
              <w:t>Overview</w:t>
            </w:r>
            <w:r>
              <w:rPr>
                <w:noProof/>
                <w:webHidden/>
              </w:rPr>
              <w:tab/>
            </w:r>
            <w:r>
              <w:rPr>
                <w:noProof/>
                <w:webHidden/>
              </w:rPr>
              <w:fldChar w:fldCharType="begin"/>
            </w:r>
            <w:r>
              <w:rPr>
                <w:noProof/>
                <w:webHidden/>
              </w:rPr>
              <w:instrText xml:space="preserve"> PAGEREF _Toc242271291 \h </w:instrText>
            </w:r>
            <w:r>
              <w:rPr>
                <w:noProof/>
                <w:webHidden/>
              </w:rPr>
            </w:r>
            <w:r>
              <w:rPr>
                <w:noProof/>
                <w:webHidden/>
              </w:rPr>
              <w:fldChar w:fldCharType="separate"/>
            </w:r>
            <w:r w:rsidR="00286763">
              <w:rPr>
                <w:noProof/>
                <w:webHidden/>
              </w:rPr>
              <w:t>3</w:t>
            </w:r>
            <w:r>
              <w:rPr>
                <w:noProof/>
                <w:webHidden/>
              </w:rPr>
              <w:fldChar w:fldCharType="end"/>
            </w:r>
          </w:hyperlink>
        </w:p>
        <w:p w14:paraId="2F03EC23" w14:textId="14B1853A" w:rsidR="005C15ED" w:rsidRDefault="005C15ED">
          <w:pPr>
            <w:pStyle w:val="TOC1"/>
            <w:rPr>
              <w:rFonts w:asciiTheme="minorHAnsi" w:eastAsiaTheme="minorEastAsia" w:hAnsiTheme="minorHAnsi"/>
              <w:b w:val="0"/>
              <w:noProof/>
              <w:color w:val="auto"/>
              <w:kern w:val="2"/>
              <w:sz w:val="24"/>
              <w:szCs w:val="24"/>
              <w:lang w:eastAsia="en-AU"/>
              <w14:ligatures w14:val="standardContextual"/>
            </w:rPr>
          </w:pPr>
          <w:hyperlink w:anchor="_Toc242271292" w:history="1">
            <w:r w:rsidRPr="00190454">
              <w:rPr>
                <w:rStyle w:val="Hyperlink"/>
                <w:noProof/>
              </w:rPr>
              <w:t>2026 OSL results</w:t>
            </w:r>
            <w:r>
              <w:rPr>
                <w:noProof/>
                <w:webHidden/>
              </w:rPr>
              <w:tab/>
            </w:r>
            <w:r>
              <w:rPr>
                <w:noProof/>
                <w:webHidden/>
              </w:rPr>
              <w:fldChar w:fldCharType="begin"/>
            </w:r>
            <w:r>
              <w:rPr>
                <w:noProof/>
                <w:webHidden/>
              </w:rPr>
              <w:instrText xml:space="preserve"> PAGEREF _Toc242271292 \h </w:instrText>
            </w:r>
            <w:r>
              <w:rPr>
                <w:noProof/>
                <w:webHidden/>
              </w:rPr>
            </w:r>
            <w:r>
              <w:rPr>
                <w:noProof/>
                <w:webHidden/>
              </w:rPr>
              <w:fldChar w:fldCharType="separate"/>
            </w:r>
            <w:r w:rsidR="00286763">
              <w:rPr>
                <w:noProof/>
                <w:webHidden/>
              </w:rPr>
              <w:t>4</w:t>
            </w:r>
            <w:r>
              <w:rPr>
                <w:noProof/>
                <w:webHidden/>
              </w:rPr>
              <w:fldChar w:fldCharType="end"/>
            </w:r>
          </w:hyperlink>
        </w:p>
        <w:p w14:paraId="4486B948" w14:textId="29851FB2" w:rsidR="005C15ED" w:rsidRDefault="005C15ED">
          <w:pPr>
            <w:pStyle w:val="TOC2"/>
            <w:rPr>
              <w:rFonts w:asciiTheme="minorHAnsi" w:eastAsiaTheme="minorEastAsia" w:hAnsiTheme="minorHAnsi"/>
              <w:b w:val="0"/>
              <w:noProof/>
              <w:kern w:val="2"/>
              <w:sz w:val="24"/>
              <w:szCs w:val="24"/>
              <w:lang w:eastAsia="en-AU"/>
              <w14:ligatures w14:val="standardContextual"/>
            </w:rPr>
          </w:pPr>
          <w:hyperlink w:anchor="_Toc242271293" w:history="1">
            <w:r w:rsidRPr="00190454">
              <w:rPr>
                <w:rStyle w:val="Hyperlink"/>
                <w:noProof/>
              </w:rPr>
              <w:t>National level findings</w:t>
            </w:r>
            <w:r>
              <w:rPr>
                <w:noProof/>
                <w:webHidden/>
              </w:rPr>
              <w:tab/>
            </w:r>
            <w:r>
              <w:rPr>
                <w:noProof/>
                <w:webHidden/>
              </w:rPr>
              <w:fldChar w:fldCharType="begin"/>
            </w:r>
            <w:r>
              <w:rPr>
                <w:noProof/>
                <w:webHidden/>
              </w:rPr>
              <w:instrText xml:space="preserve"> PAGEREF _Toc242271293 \h </w:instrText>
            </w:r>
            <w:r>
              <w:rPr>
                <w:noProof/>
                <w:webHidden/>
              </w:rPr>
            </w:r>
            <w:r>
              <w:rPr>
                <w:noProof/>
                <w:webHidden/>
              </w:rPr>
              <w:fldChar w:fldCharType="separate"/>
            </w:r>
            <w:r w:rsidR="00286763">
              <w:rPr>
                <w:noProof/>
                <w:webHidden/>
              </w:rPr>
              <w:t>4</w:t>
            </w:r>
            <w:r>
              <w:rPr>
                <w:noProof/>
                <w:webHidden/>
              </w:rPr>
              <w:fldChar w:fldCharType="end"/>
            </w:r>
          </w:hyperlink>
        </w:p>
        <w:p w14:paraId="7F7ECC54" w14:textId="55E28CE6" w:rsidR="005C15ED" w:rsidRDefault="005C15ED">
          <w:pPr>
            <w:pStyle w:val="TOC2"/>
            <w:rPr>
              <w:rFonts w:asciiTheme="minorHAnsi" w:eastAsiaTheme="minorEastAsia" w:hAnsiTheme="minorHAnsi"/>
              <w:b w:val="0"/>
              <w:noProof/>
              <w:kern w:val="2"/>
              <w:sz w:val="24"/>
              <w:szCs w:val="24"/>
              <w:lang w:eastAsia="en-AU"/>
              <w14:ligatures w14:val="standardContextual"/>
            </w:rPr>
          </w:pPr>
          <w:hyperlink w:anchor="_Toc242271294" w:history="1">
            <w:r w:rsidRPr="00190454">
              <w:rPr>
                <w:rStyle w:val="Hyperlink"/>
                <w:noProof/>
              </w:rPr>
              <w:t>Persistent shortage by major groups</w:t>
            </w:r>
            <w:r>
              <w:rPr>
                <w:noProof/>
                <w:webHidden/>
              </w:rPr>
              <w:tab/>
            </w:r>
            <w:r>
              <w:rPr>
                <w:noProof/>
                <w:webHidden/>
              </w:rPr>
              <w:fldChar w:fldCharType="begin"/>
            </w:r>
            <w:r>
              <w:rPr>
                <w:noProof/>
                <w:webHidden/>
              </w:rPr>
              <w:instrText xml:space="preserve"> PAGEREF _Toc242271294 \h </w:instrText>
            </w:r>
            <w:r>
              <w:rPr>
                <w:noProof/>
                <w:webHidden/>
              </w:rPr>
            </w:r>
            <w:r>
              <w:rPr>
                <w:noProof/>
                <w:webHidden/>
              </w:rPr>
              <w:fldChar w:fldCharType="separate"/>
            </w:r>
            <w:r w:rsidR="00286763">
              <w:rPr>
                <w:noProof/>
                <w:webHidden/>
              </w:rPr>
              <w:t>5</w:t>
            </w:r>
            <w:r>
              <w:rPr>
                <w:noProof/>
                <w:webHidden/>
              </w:rPr>
              <w:fldChar w:fldCharType="end"/>
            </w:r>
          </w:hyperlink>
        </w:p>
        <w:p w14:paraId="3E71B62A" w14:textId="29991ECF" w:rsidR="005C15ED" w:rsidRDefault="005C15ED">
          <w:pPr>
            <w:pStyle w:val="TOC2"/>
            <w:rPr>
              <w:rFonts w:asciiTheme="minorHAnsi" w:eastAsiaTheme="minorEastAsia" w:hAnsiTheme="minorHAnsi"/>
              <w:b w:val="0"/>
              <w:noProof/>
              <w:kern w:val="2"/>
              <w:sz w:val="24"/>
              <w:szCs w:val="24"/>
              <w:lang w:eastAsia="en-AU"/>
              <w14:ligatures w14:val="standardContextual"/>
            </w:rPr>
          </w:pPr>
          <w:hyperlink w:anchor="_Toc242271295" w:history="1">
            <w:r w:rsidRPr="00190454">
              <w:rPr>
                <w:rStyle w:val="Hyperlink"/>
                <w:noProof/>
              </w:rPr>
              <w:t>Shortages by major groups</w:t>
            </w:r>
            <w:r>
              <w:rPr>
                <w:noProof/>
                <w:webHidden/>
              </w:rPr>
              <w:tab/>
            </w:r>
            <w:r>
              <w:rPr>
                <w:noProof/>
                <w:webHidden/>
              </w:rPr>
              <w:fldChar w:fldCharType="begin"/>
            </w:r>
            <w:r>
              <w:rPr>
                <w:noProof/>
                <w:webHidden/>
              </w:rPr>
              <w:instrText xml:space="preserve"> PAGEREF _Toc242271295 \h </w:instrText>
            </w:r>
            <w:r>
              <w:rPr>
                <w:noProof/>
                <w:webHidden/>
              </w:rPr>
            </w:r>
            <w:r>
              <w:rPr>
                <w:noProof/>
                <w:webHidden/>
              </w:rPr>
              <w:fldChar w:fldCharType="separate"/>
            </w:r>
            <w:r w:rsidR="00286763">
              <w:rPr>
                <w:noProof/>
                <w:webHidden/>
              </w:rPr>
              <w:t>7</w:t>
            </w:r>
            <w:r>
              <w:rPr>
                <w:noProof/>
                <w:webHidden/>
              </w:rPr>
              <w:fldChar w:fldCharType="end"/>
            </w:r>
          </w:hyperlink>
        </w:p>
        <w:p w14:paraId="2B6648A5" w14:textId="0F8E8F50" w:rsidR="005C15ED" w:rsidRDefault="005C15ED">
          <w:pPr>
            <w:pStyle w:val="TOC2"/>
            <w:rPr>
              <w:rFonts w:asciiTheme="minorHAnsi" w:eastAsiaTheme="minorEastAsia" w:hAnsiTheme="minorHAnsi"/>
              <w:b w:val="0"/>
              <w:noProof/>
              <w:kern w:val="2"/>
              <w:sz w:val="24"/>
              <w:szCs w:val="24"/>
              <w:lang w:eastAsia="en-AU"/>
              <w14:ligatures w14:val="standardContextual"/>
            </w:rPr>
          </w:pPr>
          <w:hyperlink w:anchor="_Toc242271296" w:history="1">
            <w:r w:rsidRPr="00190454">
              <w:rPr>
                <w:rStyle w:val="Hyperlink"/>
                <w:noProof/>
              </w:rPr>
              <w:t>Shortages by skill level</w:t>
            </w:r>
            <w:r>
              <w:rPr>
                <w:noProof/>
                <w:webHidden/>
              </w:rPr>
              <w:tab/>
            </w:r>
            <w:r>
              <w:rPr>
                <w:noProof/>
                <w:webHidden/>
              </w:rPr>
              <w:fldChar w:fldCharType="begin"/>
            </w:r>
            <w:r>
              <w:rPr>
                <w:noProof/>
                <w:webHidden/>
              </w:rPr>
              <w:instrText xml:space="preserve"> PAGEREF _Toc242271296 \h </w:instrText>
            </w:r>
            <w:r>
              <w:rPr>
                <w:noProof/>
                <w:webHidden/>
              </w:rPr>
            </w:r>
            <w:r>
              <w:rPr>
                <w:noProof/>
                <w:webHidden/>
              </w:rPr>
              <w:fldChar w:fldCharType="separate"/>
            </w:r>
            <w:r w:rsidR="00286763">
              <w:rPr>
                <w:noProof/>
                <w:webHidden/>
              </w:rPr>
              <w:t>8</w:t>
            </w:r>
            <w:r>
              <w:rPr>
                <w:noProof/>
                <w:webHidden/>
              </w:rPr>
              <w:fldChar w:fldCharType="end"/>
            </w:r>
          </w:hyperlink>
        </w:p>
        <w:p w14:paraId="0DFD9E30" w14:textId="46E29DF9" w:rsidR="005C15ED" w:rsidRDefault="005C15ED">
          <w:pPr>
            <w:pStyle w:val="TOC2"/>
            <w:rPr>
              <w:rFonts w:asciiTheme="minorHAnsi" w:eastAsiaTheme="minorEastAsia" w:hAnsiTheme="minorHAnsi"/>
              <w:b w:val="0"/>
              <w:noProof/>
              <w:kern w:val="2"/>
              <w:sz w:val="24"/>
              <w:szCs w:val="24"/>
              <w:lang w:eastAsia="en-AU"/>
              <w14:ligatures w14:val="standardContextual"/>
            </w:rPr>
          </w:pPr>
          <w:hyperlink w:anchor="_Toc242271297" w:history="1">
            <w:r w:rsidRPr="00190454">
              <w:rPr>
                <w:rStyle w:val="Hyperlink"/>
                <w:noProof/>
              </w:rPr>
              <w:t>Select labour market indicators informing the OSL</w:t>
            </w:r>
            <w:r>
              <w:rPr>
                <w:noProof/>
                <w:webHidden/>
              </w:rPr>
              <w:tab/>
            </w:r>
            <w:r>
              <w:rPr>
                <w:noProof/>
                <w:webHidden/>
              </w:rPr>
              <w:fldChar w:fldCharType="begin"/>
            </w:r>
            <w:r>
              <w:rPr>
                <w:noProof/>
                <w:webHidden/>
              </w:rPr>
              <w:instrText xml:space="preserve"> PAGEREF _Toc242271297 \h </w:instrText>
            </w:r>
            <w:r>
              <w:rPr>
                <w:noProof/>
                <w:webHidden/>
              </w:rPr>
            </w:r>
            <w:r>
              <w:rPr>
                <w:noProof/>
                <w:webHidden/>
              </w:rPr>
              <w:fldChar w:fldCharType="separate"/>
            </w:r>
            <w:r w:rsidR="00286763">
              <w:rPr>
                <w:noProof/>
                <w:webHidden/>
              </w:rPr>
              <w:t>9</w:t>
            </w:r>
            <w:r>
              <w:rPr>
                <w:noProof/>
                <w:webHidden/>
              </w:rPr>
              <w:fldChar w:fldCharType="end"/>
            </w:r>
          </w:hyperlink>
        </w:p>
        <w:p w14:paraId="55AA4C69" w14:textId="098023F9" w:rsidR="005C15ED" w:rsidRDefault="005C15ED">
          <w:pPr>
            <w:pStyle w:val="TOC3"/>
            <w:rPr>
              <w:rFonts w:asciiTheme="minorHAnsi" w:eastAsiaTheme="minorEastAsia" w:hAnsiTheme="minorHAnsi"/>
              <w:noProof/>
              <w:kern w:val="2"/>
              <w:sz w:val="24"/>
              <w:szCs w:val="24"/>
              <w:lang w:eastAsia="en-AU"/>
              <w14:ligatures w14:val="standardContextual"/>
            </w:rPr>
          </w:pPr>
          <w:hyperlink w:anchor="_Toc242271298" w:history="1">
            <w:r w:rsidRPr="00190454">
              <w:rPr>
                <w:rStyle w:val="Hyperlink"/>
                <w:noProof/>
              </w:rPr>
              <w:t>Recruitment outcome indicators</w:t>
            </w:r>
            <w:r>
              <w:rPr>
                <w:noProof/>
                <w:webHidden/>
              </w:rPr>
              <w:tab/>
            </w:r>
            <w:r>
              <w:rPr>
                <w:noProof/>
                <w:webHidden/>
              </w:rPr>
              <w:fldChar w:fldCharType="begin"/>
            </w:r>
            <w:r>
              <w:rPr>
                <w:noProof/>
                <w:webHidden/>
              </w:rPr>
              <w:instrText xml:space="preserve"> PAGEREF _Toc242271298 \h </w:instrText>
            </w:r>
            <w:r>
              <w:rPr>
                <w:noProof/>
                <w:webHidden/>
              </w:rPr>
            </w:r>
            <w:r>
              <w:rPr>
                <w:noProof/>
                <w:webHidden/>
              </w:rPr>
              <w:fldChar w:fldCharType="separate"/>
            </w:r>
            <w:r w:rsidR="00286763">
              <w:rPr>
                <w:noProof/>
                <w:webHidden/>
              </w:rPr>
              <w:t>9</w:t>
            </w:r>
            <w:r>
              <w:rPr>
                <w:noProof/>
                <w:webHidden/>
              </w:rPr>
              <w:fldChar w:fldCharType="end"/>
            </w:r>
          </w:hyperlink>
        </w:p>
        <w:p w14:paraId="01424219" w14:textId="141541F3" w:rsidR="005C15ED" w:rsidRDefault="005C15ED">
          <w:pPr>
            <w:pStyle w:val="TOC3"/>
            <w:rPr>
              <w:rFonts w:asciiTheme="minorHAnsi" w:eastAsiaTheme="minorEastAsia" w:hAnsiTheme="minorHAnsi"/>
              <w:noProof/>
              <w:kern w:val="2"/>
              <w:sz w:val="24"/>
              <w:szCs w:val="24"/>
              <w:lang w:eastAsia="en-AU"/>
              <w14:ligatures w14:val="standardContextual"/>
            </w:rPr>
          </w:pPr>
          <w:hyperlink w:anchor="_Toc242271299" w:history="1">
            <w:r w:rsidRPr="00190454">
              <w:rPr>
                <w:rStyle w:val="Hyperlink"/>
                <w:noProof/>
              </w:rPr>
              <w:t>Supply-side indicators</w:t>
            </w:r>
            <w:r>
              <w:rPr>
                <w:noProof/>
                <w:webHidden/>
              </w:rPr>
              <w:tab/>
            </w:r>
            <w:r>
              <w:rPr>
                <w:noProof/>
                <w:webHidden/>
              </w:rPr>
              <w:fldChar w:fldCharType="begin"/>
            </w:r>
            <w:r>
              <w:rPr>
                <w:noProof/>
                <w:webHidden/>
              </w:rPr>
              <w:instrText xml:space="preserve"> PAGEREF _Toc242271299 \h </w:instrText>
            </w:r>
            <w:r>
              <w:rPr>
                <w:noProof/>
                <w:webHidden/>
              </w:rPr>
            </w:r>
            <w:r>
              <w:rPr>
                <w:noProof/>
                <w:webHidden/>
              </w:rPr>
              <w:fldChar w:fldCharType="separate"/>
            </w:r>
            <w:r w:rsidR="00286763">
              <w:rPr>
                <w:noProof/>
                <w:webHidden/>
              </w:rPr>
              <w:t>12</w:t>
            </w:r>
            <w:r>
              <w:rPr>
                <w:noProof/>
                <w:webHidden/>
              </w:rPr>
              <w:fldChar w:fldCharType="end"/>
            </w:r>
          </w:hyperlink>
        </w:p>
        <w:p w14:paraId="65EE6669" w14:textId="3BE8052E" w:rsidR="005C15ED" w:rsidRDefault="005C15ED">
          <w:pPr>
            <w:pStyle w:val="TOC3"/>
            <w:rPr>
              <w:rFonts w:asciiTheme="minorHAnsi" w:eastAsiaTheme="minorEastAsia" w:hAnsiTheme="minorHAnsi"/>
              <w:noProof/>
              <w:kern w:val="2"/>
              <w:sz w:val="24"/>
              <w:szCs w:val="24"/>
              <w:lang w:eastAsia="en-AU"/>
              <w14:ligatures w14:val="standardContextual"/>
            </w:rPr>
          </w:pPr>
          <w:hyperlink w:anchor="_Toc242271300" w:history="1">
            <w:r w:rsidRPr="00190454">
              <w:rPr>
                <w:rStyle w:val="Hyperlink"/>
                <w:noProof/>
              </w:rPr>
              <w:t>Demand-side indicators</w:t>
            </w:r>
            <w:r>
              <w:rPr>
                <w:noProof/>
                <w:webHidden/>
              </w:rPr>
              <w:tab/>
            </w:r>
            <w:r>
              <w:rPr>
                <w:noProof/>
                <w:webHidden/>
              </w:rPr>
              <w:fldChar w:fldCharType="begin"/>
            </w:r>
            <w:r>
              <w:rPr>
                <w:noProof/>
                <w:webHidden/>
              </w:rPr>
              <w:instrText xml:space="preserve"> PAGEREF _Toc242271300 \h </w:instrText>
            </w:r>
            <w:r>
              <w:rPr>
                <w:noProof/>
                <w:webHidden/>
              </w:rPr>
            </w:r>
            <w:r>
              <w:rPr>
                <w:noProof/>
                <w:webHidden/>
              </w:rPr>
              <w:fldChar w:fldCharType="separate"/>
            </w:r>
            <w:r w:rsidR="00286763">
              <w:rPr>
                <w:noProof/>
                <w:webHidden/>
              </w:rPr>
              <w:t>13</w:t>
            </w:r>
            <w:r>
              <w:rPr>
                <w:noProof/>
                <w:webHidden/>
              </w:rPr>
              <w:fldChar w:fldCharType="end"/>
            </w:r>
          </w:hyperlink>
        </w:p>
        <w:p w14:paraId="05DBC63B" w14:textId="706759FE" w:rsidR="005C15ED" w:rsidRDefault="005C15ED">
          <w:pPr>
            <w:pStyle w:val="TOC3"/>
            <w:rPr>
              <w:rFonts w:asciiTheme="minorHAnsi" w:eastAsiaTheme="minorEastAsia" w:hAnsiTheme="minorHAnsi"/>
              <w:noProof/>
              <w:kern w:val="2"/>
              <w:sz w:val="24"/>
              <w:szCs w:val="24"/>
              <w:lang w:eastAsia="en-AU"/>
              <w14:ligatures w14:val="standardContextual"/>
            </w:rPr>
          </w:pPr>
          <w:hyperlink w:anchor="_Toc242271301" w:history="1">
            <w:r w:rsidRPr="00190454">
              <w:rPr>
                <w:rStyle w:val="Hyperlink"/>
                <w:noProof/>
              </w:rPr>
              <w:t>Replacement rates</w:t>
            </w:r>
            <w:r>
              <w:rPr>
                <w:noProof/>
                <w:webHidden/>
              </w:rPr>
              <w:tab/>
            </w:r>
            <w:r>
              <w:rPr>
                <w:noProof/>
                <w:webHidden/>
              </w:rPr>
              <w:fldChar w:fldCharType="begin"/>
            </w:r>
            <w:r>
              <w:rPr>
                <w:noProof/>
                <w:webHidden/>
              </w:rPr>
              <w:instrText xml:space="preserve"> PAGEREF _Toc242271301 \h </w:instrText>
            </w:r>
            <w:r>
              <w:rPr>
                <w:noProof/>
                <w:webHidden/>
              </w:rPr>
            </w:r>
            <w:r>
              <w:rPr>
                <w:noProof/>
                <w:webHidden/>
              </w:rPr>
              <w:fldChar w:fldCharType="separate"/>
            </w:r>
            <w:r w:rsidR="00286763">
              <w:rPr>
                <w:noProof/>
                <w:webHidden/>
              </w:rPr>
              <w:t>14</w:t>
            </w:r>
            <w:r>
              <w:rPr>
                <w:noProof/>
                <w:webHidden/>
              </w:rPr>
              <w:fldChar w:fldCharType="end"/>
            </w:r>
          </w:hyperlink>
        </w:p>
        <w:p w14:paraId="5B507C94" w14:textId="06810416" w:rsidR="005C15ED" w:rsidRDefault="005C15ED">
          <w:pPr>
            <w:pStyle w:val="TOC3"/>
            <w:rPr>
              <w:rFonts w:asciiTheme="minorHAnsi" w:eastAsiaTheme="minorEastAsia" w:hAnsiTheme="minorHAnsi"/>
              <w:noProof/>
              <w:kern w:val="2"/>
              <w:sz w:val="24"/>
              <w:szCs w:val="24"/>
              <w:lang w:eastAsia="en-AU"/>
              <w14:ligatures w14:val="standardContextual"/>
            </w:rPr>
          </w:pPr>
          <w:hyperlink w:anchor="_Toc242271302" w:history="1">
            <w:r w:rsidRPr="00190454">
              <w:rPr>
                <w:rStyle w:val="Hyperlink"/>
                <w:noProof/>
              </w:rPr>
              <w:t>OSL Stakeholder Survey responses</w:t>
            </w:r>
            <w:r>
              <w:rPr>
                <w:noProof/>
                <w:webHidden/>
              </w:rPr>
              <w:tab/>
            </w:r>
            <w:r>
              <w:rPr>
                <w:noProof/>
                <w:webHidden/>
              </w:rPr>
              <w:fldChar w:fldCharType="begin"/>
            </w:r>
            <w:r>
              <w:rPr>
                <w:noProof/>
                <w:webHidden/>
              </w:rPr>
              <w:instrText xml:space="preserve"> PAGEREF _Toc242271302 \h </w:instrText>
            </w:r>
            <w:r>
              <w:rPr>
                <w:noProof/>
                <w:webHidden/>
              </w:rPr>
            </w:r>
            <w:r>
              <w:rPr>
                <w:noProof/>
                <w:webHidden/>
              </w:rPr>
              <w:fldChar w:fldCharType="separate"/>
            </w:r>
            <w:r w:rsidR="00286763">
              <w:rPr>
                <w:noProof/>
                <w:webHidden/>
              </w:rPr>
              <w:t>15</w:t>
            </w:r>
            <w:r>
              <w:rPr>
                <w:noProof/>
                <w:webHidden/>
              </w:rPr>
              <w:fldChar w:fldCharType="end"/>
            </w:r>
          </w:hyperlink>
        </w:p>
        <w:p w14:paraId="39C82DFB" w14:textId="2927DBD3" w:rsidR="005C15ED" w:rsidRDefault="005C15ED">
          <w:pPr>
            <w:pStyle w:val="TOC1"/>
            <w:rPr>
              <w:rFonts w:asciiTheme="minorHAnsi" w:eastAsiaTheme="minorEastAsia" w:hAnsiTheme="minorHAnsi"/>
              <w:b w:val="0"/>
              <w:noProof/>
              <w:color w:val="auto"/>
              <w:kern w:val="2"/>
              <w:sz w:val="24"/>
              <w:szCs w:val="24"/>
              <w:lang w:eastAsia="en-AU"/>
              <w14:ligatures w14:val="standardContextual"/>
            </w:rPr>
          </w:pPr>
          <w:hyperlink w:anchor="_Toc242271303" w:history="1">
            <w:r w:rsidRPr="00190454">
              <w:rPr>
                <w:rStyle w:val="Hyperlink"/>
                <w:rFonts w:ascii="Arial Bold" w:hAnsi="Arial Bold"/>
                <w:noProof/>
                <w:lang w:eastAsia="en-GB"/>
              </w:rPr>
              <w:t>Appendix A</w:t>
            </w:r>
            <w:r>
              <w:rPr>
                <w:noProof/>
                <w:webHidden/>
              </w:rPr>
              <w:tab/>
            </w:r>
            <w:r>
              <w:rPr>
                <w:noProof/>
                <w:webHidden/>
              </w:rPr>
              <w:fldChar w:fldCharType="begin"/>
            </w:r>
            <w:r>
              <w:rPr>
                <w:noProof/>
                <w:webHidden/>
              </w:rPr>
              <w:instrText xml:space="preserve"> PAGEREF _Toc242271303 \h </w:instrText>
            </w:r>
            <w:r>
              <w:rPr>
                <w:noProof/>
                <w:webHidden/>
              </w:rPr>
            </w:r>
            <w:r>
              <w:rPr>
                <w:noProof/>
                <w:webHidden/>
              </w:rPr>
              <w:fldChar w:fldCharType="separate"/>
            </w:r>
            <w:r w:rsidR="00286763">
              <w:rPr>
                <w:noProof/>
                <w:webHidden/>
              </w:rPr>
              <w:t>17</w:t>
            </w:r>
            <w:r>
              <w:rPr>
                <w:noProof/>
                <w:webHidden/>
              </w:rPr>
              <w:fldChar w:fldCharType="end"/>
            </w:r>
          </w:hyperlink>
        </w:p>
        <w:p w14:paraId="4F98C575" w14:textId="34427345" w:rsidR="005C15ED" w:rsidRDefault="005C15ED">
          <w:pPr>
            <w:pStyle w:val="TOC2"/>
            <w:rPr>
              <w:rFonts w:asciiTheme="minorHAnsi" w:eastAsiaTheme="minorEastAsia" w:hAnsiTheme="minorHAnsi"/>
              <w:b w:val="0"/>
              <w:noProof/>
              <w:kern w:val="2"/>
              <w:sz w:val="24"/>
              <w:szCs w:val="24"/>
              <w:lang w:eastAsia="en-AU"/>
              <w14:ligatures w14:val="standardContextual"/>
            </w:rPr>
          </w:pPr>
          <w:hyperlink w:anchor="_Toc242271304" w:history="1">
            <w:r w:rsidRPr="00190454">
              <w:rPr>
                <w:rStyle w:val="Hyperlink"/>
                <w:noProof/>
              </w:rPr>
              <w:t>Regional shortages</w:t>
            </w:r>
            <w:r>
              <w:rPr>
                <w:noProof/>
                <w:webHidden/>
              </w:rPr>
              <w:tab/>
            </w:r>
            <w:r>
              <w:rPr>
                <w:noProof/>
                <w:webHidden/>
              </w:rPr>
              <w:fldChar w:fldCharType="begin"/>
            </w:r>
            <w:r>
              <w:rPr>
                <w:noProof/>
                <w:webHidden/>
              </w:rPr>
              <w:instrText xml:space="preserve"> PAGEREF _Toc242271304 \h </w:instrText>
            </w:r>
            <w:r>
              <w:rPr>
                <w:noProof/>
                <w:webHidden/>
              </w:rPr>
            </w:r>
            <w:r>
              <w:rPr>
                <w:noProof/>
                <w:webHidden/>
              </w:rPr>
              <w:fldChar w:fldCharType="separate"/>
            </w:r>
            <w:r w:rsidR="00286763">
              <w:rPr>
                <w:noProof/>
                <w:webHidden/>
              </w:rPr>
              <w:t>17</w:t>
            </w:r>
            <w:r>
              <w:rPr>
                <w:noProof/>
                <w:webHidden/>
              </w:rPr>
              <w:fldChar w:fldCharType="end"/>
            </w:r>
          </w:hyperlink>
        </w:p>
        <w:p w14:paraId="32DBFA16" w14:textId="43B34049" w:rsidR="005C15ED" w:rsidRDefault="005C15ED">
          <w:pPr>
            <w:pStyle w:val="TOC2"/>
            <w:rPr>
              <w:rFonts w:asciiTheme="minorHAnsi" w:eastAsiaTheme="minorEastAsia" w:hAnsiTheme="minorHAnsi"/>
              <w:b w:val="0"/>
              <w:noProof/>
              <w:kern w:val="2"/>
              <w:sz w:val="24"/>
              <w:szCs w:val="24"/>
              <w:lang w:eastAsia="en-AU"/>
              <w14:ligatures w14:val="standardContextual"/>
            </w:rPr>
          </w:pPr>
          <w:hyperlink w:anchor="_Toc242271305" w:history="1">
            <w:r w:rsidRPr="00190454">
              <w:rPr>
                <w:rStyle w:val="Hyperlink"/>
                <w:noProof/>
              </w:rPr>
              <w:t>Confidence labels</w:t>
            </w:r>
            <w:r>
              <w:rPr>
                <w:noProof/>
                <w:webHidden/>
              </w:rPr>
              <w:tab/>
            </w:r>
            <w:r>
              <w:rPr>
                <w:noProof/>
                <w:webHidden/>
              </w:rPr>
              <w:fldChar w:fldCharType="begin"/>
            </w:r>
            <w:r>
              <w:rPr>
                <w:noProof/>
                <w:webHidden/>
              </w:rPr>
              <w:instrText xml:space="preserve"> PAGEREF _Toc242271305 \h </w:instrText>
            </w:r>
            <w:r>
              <w:rPr>
                <w:noProof/>
                <w:webHidden/>
              </w:rPr>
            </w:r>
            <w:r>
              <w:rPr>
                <w:noProof/>
                <w:webHidden/>
              </w:rPr>
              <w:fldChar w:fldCharType="separate"/>
            </w:r>
            <w:r w:rsidR="00286763">
              <w:rPr>
                <w:noProof/>
                <w:webHidden/>
              </w:rPr>
              <w:t>17</w:t>
            </w:r>
            <w:r>
              <w:rPr>
                <w:noProof/>
                <w:webHidden/>
              </w:rPr>
              <w:fldChar w:fldCharType="end"/>
            </w:r>
          </w:hyperlink>
        </w:p>
        <w:p w14:paraId="3C15FD00" w14:textId="3A78A8EB" w:rsidR="005C15ED" w:rsidRDefault="005C15ED">
          <w:pPr>
            <w:pStyle w:val="TOC1"/>
            <w:rPr>
              <w:rFonts w:asciiTheme="minorHAnsi" w:eastAsiaTheme="minorEastAsia" w:hAnsiTheme="minorHAnsi"/>
              <w:b w:val="0"/>
              <w:noProof/>
              <w:color w:val="auto"/>
              <w:kern w:val="2"/>
              <w:sz w:val="24"/>
              <w:szCs w:val="24"/>
              <w:lang w:eastAsia="en-AU"/>
              <w14:ligatures w14:val="standardContextual"/>
            </w:rPr>
          </w:pPr>
          <w:hyperlink w:anchor="_Toc242271306" w:history="1">
            <w:r w:rsidRPr="00190454">
              <w:rPr>
                <w:rStyle w:val="Hyperlink"/>
                <w:noProof/>
              </w:rPr>
              <w:t>Appendix B</w:t>
            </w:r>
            <w:r>
              <w:rPr>
                <w:noProof/>
                <w:webHidden/>
              </w:rPr>
              <w:tab/>
            </w:r>
            <w:r>
              <w:rPr>
                <w:noProof/>
                <w:webHidden/>
              </w:rPr>
              <w:fldChar w:fldCharType="begin"/>
            </w:r>
            <w:r>
              <w:rPr>
                <w:noProof/>
                <w:webHidden/>
              </w:rPr>
              <w:instrText xml:space="preserve"> PAGEREF _Toc242271306 \h </w:instrText>
            </w:r>
            <w:r>
              <w:rPr>
                <w:noProof/>
                <w:webHidden/>
              </w:rPr>
            </w:r>
            <w:r>
              <w:rPr>
                <w:noProof/>
                <w:webHidden/>
              </w:rPr>
              <w:fldChar w:fldCharType="separate"/>
            </w:r>
            <w:r w:rsidR="00286763">
              <w:rPr>
                <w:noProof/>
                <w:webHidden/>
              </w:rPr>
              <w:t>19</w:t>
            </w:r>
            <w:r>
              <w:rPr>
                <w:noProof/>
                <w:webHidden/>
              </w:rPr>
              <w:fldChar w:fldCharType="end"/>
            </w:r>
          </w:hyperlink>
        </w:p>
        <w:p w14:paraId="3297CF21" w14:textId="74282F07" w:rsidR="005C15ED" w:rsidRDefault="005C15ED">
          <w:pPr>
            <w:pStyle w:val="TOC2"/>
            <w:rPr>
              <w:rFonts w:asciiTheme="minorHAnsi" w:eastAsiaTheme="minorEastAsia" w:hAnsiTheme="minorHAnsi"/>
              <w:b w:val="0"/>
              <w:noProof/>
              <w:kern w:val="2"/>
              <w:sz w:val="24"/>
              <w:szCs w:val="24"/>
              <w:lang w:eastAsia="en-AU"/>
              <w14:ligatures w14:val="standardContextual"/>
            </w:rPr>
          </w:pPr>
          <w:hyperlink w:anchor="_Toc242271307" w:history="1">
            <w:r w:rsidRPr="00190454">
              <w:rPr>
                <w:rStyle w:val="Hyperlink"/>
                <w:noProof/>
              </w:rPr>
              <w:t>Persistent shortages by sub-major group on OSCA basis</w:t>
            </w:r>
            <w:r>
              <w:rPr>
                <w:noProof/>
                <w:webHidden/>
              </w:rPr>
              <w:tab/>
            </w:r>
            <w:r>
              <w:rPr>
                <w:noProof/>
                <w:webHidden/>
              </w:rPr>
              <w:fldChar w:fldCharType="begin"/>
            </w:r>
            <w:r>
              <w:rPr>
                <w:noProof/>
                <w:webHidden/>
              </w:rPr>
              <w:instrText xml:space="preserve"> PAGEREF _Toc242271307 \h </w:instrText>
            </w:r>
            <w:r>
              <w:rPr>
                <w:noProof/>
                <w:webHidden/>
              </w:rPr>
            </w:r>
            <w:r>
              <w:rPr>
                <w:noProof/>
                <w:webHidden/>
              </w:rPr>
              <w:fldChar w:fldCharType="separate"/>
            </w:r>
            <w:r w:rsidR="00286763">
              <w:rPr>
                <w:noProof/>
                <w:webHidden/>
              </w:rPr>
              <w:t>19</w:t>
            </w:r>
            <w:r>
              <w:rPr>
                <w:noProof/>
                <w:webHidden/>
              </w:rPr>
              <w:fldChar w:fldCharType="end"/>
            </w:r>
          </w:hyperlink>
        </w:p>
        <w:p w14:paraId="571553F8" w14:textId="0B33BFFE" w:rsidR="00652DCC" w:rsidRDefault="00652DCC" w:rsidP="009B4E70">
          <w:pPr>
            <w:pStyle w:val="TOC2"/>
          </w:pPr>
          <w:r>
            <w:rPr>
              <w:b w:val="0"/>
              <w:bCs/>
              <w:noProof/>
            </w:rPr>
            <w:fldChar w:fldCharType="end"/>
          </w:r>
        </w:p>
      </w:sdtContent>
    </w:sdt>
    <w:p w14:paraId="78D207C7" w14:textId="18667437" w:rsidR="005418DB" w:rsidRDefault="005418DB" w:rsidP="00051A47">
      <w:pPr>
        <w:pStyle w:val="BodyTextindent"/>
      </w:pPr>
      <w:r>
        <w:br w:type="page"/>
      </w:r>
    </w:p>
    <w:p w14:paraId="53649BB2" w14:textId="73AD5EC5" w:rsidR="00483A0A" w:rsidRPr="004F4D88" w:rsidRDefault="004F4D88" w:rsidP="005418DB">
      <w:pPr>
        <w:pStyle w:val="TOCHeading"/>
      </w:pPr>
      <w:r>
        <w:lastRenderedPageBreak/>
        <w:t>Tables</w:t>
      </w:r>
    </w:p>
    <w:p w14:paraId="74024E37" w14:textId="6EFFE4F3" w:rsidR="005C15ED" w:rsidRDefault="004F4D88">
      <w:pPr>
        <w:pStyle w:val="TableofFigures"/>
        <w:tabs>
          <w:tab w:val="right" w:leader="dot" w:pos="9017"/>
        </w:tabs>
        <w:rPr>
          <w:rFonts w:asciiTheme="minorHAnsi" w:eastAsiaTheme="minorEastAsia" w:hAnsiTheme="minorHAnsi"/>
          <w:noProof/>
          <w:kern w:val="2"/>
          <w:sz w:val="24"/>
          <w:szCs w:val="24"/>
          <w:lang w:eastAsia="en-AU"/>
          <w14:ligatures w14:val="standardContextual"/>
        </w:rPr>
      </w:pPr>
      <w:r>
        <w:fldChar w:fldCharType="begin"/>
      </w:r>
      <w:r>
        <w:instrText xml:space="preserve"> TOC \h \z \c "Table" </w:instrText>
      </w:r>
      <w:r>
        <w:fldChar w:fldCharType="separate"/>
      </w:r>
      <w:hyperlink w:anchor="_Toc242271308" w:history="1">
        <w:r w:rsidR="005C15ED" w:rsidRPr="00694AB9">
          <w:rPr>
            <w:rStyle w:val="Hyperlink"/>
            <w:noProof/>
          </w:rPr>
          <w:t>Table 1: Occupation rating changes between 2025 and 2026 OSLs</w:t>
        </w:r>
        <w:r w:rsidR="005C15ED">
          <w:rPr>
            <w:noProof/>
            <w:webHidden/>
          </w:rPr>
          <w:tab/>
        </w:r>
        <w:r w:rsidR="005C15ED">
          <w:rPr>
            <w:noProof/>
            <w:webHidden/>
          </w:rPr>
          <w:fldChar w:fldCharType="begin"/>
        </w:r>
        <w:r w:rsidR="005C15ED">
          <w:rPr>
            <w:noProof/>
            <w:webHidden/>
          </w:rPr>
          <w:instrText xml:space="preserve"> PAGEREF _Toc242271308 \h </w:instrText>
        </w:r>
        <w:r w:rsidR="005C15ED">
          <w:rPr>
            <w:noProof/>
            <w:webHidden/>
          </w:rPr>
        </w:r>
        <w:r w:rsidR="005C15ED">
          <w:rPr>
            <w:noProof/>
            <w:webHidden/>
          </w:rPr>
          <w:fldChar w:fldCharType="separate"/>
        </w:r>
        <w:r w:rsidR="00286763">
          <w:rPr>
            <w:noProof/>
            <w:webHidden/>
          </w:rPr>
          <w:t>5</w:t>
        </w:r>
        <w:r w:rsidR="005C15ED">
          <w:rPr>
            <w:noProof/>
            <w:webHidden/>
          </w:rPr>
          <w:fldChar w:fldCharType="end"/>
        </w:r>
      </w:hyperlink>
    </w:p>
    <w:p w14:paraId="177F92E9" w14:textId="7D033972" w:rsidR="005C15ED" w:rsidRDefault="005C15ED">
      <w:pPr>
        <w:pStyle w:val="TableofFigures"/>
        <w:tabs>
          <w:tab w:val="right" w:leader="dot" w:pos="9017"/>
        </w:tabs>
        <w:rPr>
          <w:rFonts w:asciiTheme="minorHAnsi" w:eastAsiaTheme="minorEastAsia" w:hAnsiTheme="minorHAnsi"/>
          <w:noProof/>
          <w:kern w:val="2"/>
          <w:sz w:val="24"/>
          <w:szCs w:val="24"/>
          <w:lang w:eastAsia="en-AU"/>
          <w14:ligatures w14:val="standardContextual"/>
        </w:rPr>
      </w:pPr>
      <w:hyperlink w:anchor="_Toc242271309" w:history="1">
        <w:r w:rsidRPr="00694AB9">
          <w:rPr>
            <w:rStyle w:val="Hyperlink"/>
            <w:noProof/>
          </w:rPr>
          <w:t>Table 2: Number of occupations in persistent shortage, by major group, 2021 to 2026 OSLs</w:t>
        </w:r>
        <w:r>
          <w:rPr>
            <w:noProof/>
            <w:webHidden/>
          </w:rPr>
          <w:tab/>
        </w:r>
        <w:r>
          <w:rPr>
            <w:noProof/>
            <w:webHidden/>
          </w:rPr>
          <w:fldChar w:fldCharType="begin"/>
        </w:r>
        <w:r>
          <w:rPr>
            <w:noProof/>
            <w:webHidden/>
          </w:rPr>
          <w:instrText xml:space="preserve"> PAGEREF _Toc242271309 \h </w:instrText>
        </w:r>
        <w:r>
          <w:rPr>
            <w:noProof/>
            <w:webHidden/>
          </w:rPr>
        </w:r>
        <w:r>
          <w:rPr>
            <w:noProof/>
            <w:webHidden/>
          </w:rPr>
          <w:fldChar w:fldCharType="separate"/>
        </w:r>
        <w:r w:rsidR="00286763">
          <w:rPr>
            <w:noProof/>
            <w:webHidden/>
          </w:rPr>
          <w:t>6</w:t>
        </w:r>
        <w:r>
          <w:rPr>
            <w:noProof/>
            <w:webHidden/>
          </w:rPr>
          <w:fldChar w:fldCharType="end"/>
        </w:r>
      </w:hyperlink>
    </w:p>
    <w:p w14:paraId="1433C319" w14:textId="7DA16C23" w:rsidR="005C15ED" w:rsidRDefault="005C15ED">
      <w:pPr>
        <w:pStyle w:val="TableofFigures"/>
        <w:tabs>
          <w:tab w:val="right" w:leader="dot" w:pos="9017"/>
        </w:tabs>
        <w:rPr>
          <w:rFonts w:asciiTheme="minorHAnsi" w:eastAsiaTheme="minorEastAsia" w:hAnsiTheme="minorHAnsi"/>
          <w:noProof/>
          <w:kern w:val="2"/>
          <w:sz w:val="24"/>
          <w:szCs w:val="24"/>
          <w:lang w:eastAsia="en-AU"/>
          <w14:ligatures w14:val="standardContextual"/>
        </w:rPr>
      </w:pPr>
      <w:hyperlink w:anchor="_Toc242271310" w:history="1">
        <w:r w:rsidRPr="00694AB9">
          <w:rPr>
            <w:rStyle w:val="Hyperlink"/>
            <w:noProof/>
          </w:rPr>
          <w:t>Table 3: Number of additional occupations in persistent shortage from 2022 to 2026 OSLs, by major group</w:t>
        </w:r>
        <w:r>
          <w:rPr>
            <w:noProof/>
            <w:webHidden/>
          </w:rPr>
          <w:tab/>
        </w:r>
        <w:r>
          <w:rPr>
            <w:noProof/>
            <w:webHidden/>
          </w:rPr>
          <w:fldChar w:fldCharType="begin"/>
        </w:r>
        <w:r>
          <w:rPr>
            <w:noProof/>
            <w:webHidden/>
          </w:rPr>
          <w:instrText xml:space="preserve"> PAGEREF _Toc242271310 \h </w:instrText>
        </w:r>
        <w:r>
          <w:rPr>
            <w:noProof/>
            <w:webHidden/>
          </w:rPr>
        </w:r>
        <w:r>
          <w:rPr>
            <w:noProof/>
            <w:webHidden/>
          </w:rPr>
          <w:fldChar w:fldCharType="separate"/>
        </w:r>
        <w:r w:rsidR="00286763">
          <w:rPr>
            <w:noProof/>
            <w:webHidden/>
          </w:rPr>
          <w:t>6</w:t>
        </w:r>
        <w:r>
          <w:rPr>
            <w:noProof/>
            <w:webHidden/>
          </w:rPr>
          <w:fldChar w:fldCharType="end"/>
        </w:r>
      </w:hyperlink>
    </w:p>
    <w:p w14:paraId="392A5FE7" w14:textId="09986578" w:rsidR="005C15ED" w:rsidRDefault="004F4D88">
      <w:pPr>
        <w:pStyle w:val="TableofFigures"/>
        <w:tabs>
          <w:tab w:val="right" w:leader="dot" w:pos="9017"/>
        </w:tabs>
        <w:rPr>
          <w:rFonts w:asciiTheme="minorHAnsi" w:eastAsiaTheme="minorEastAsia" w:hAnsiTheme="minorHAnsi"/>
          <w:noProof/>
          <w:kern w:val="2"/>
          <w:sz w:val="24"/>
          <w:szCs w:val="24"/>
          <w:lang w:eastAsia="en-AU"/>
          <w14:ligatures w14:val="standardContextual"/>
        </w:rPr>
      </w:pPr>
      <w:r>
        <w:fldChar w:fldCharType="end"/>
      </w:r>
      <w:r w:rsidR="00F3040F">
        <w:fldChar w:fldCharType="begin"/>
      </w:r>
      <w:r w:rsidR="00F3040F">
        <w:instrText xml:space="preserve"> TOC \h \z \c "Table B" </w:instrText>
      </w:r>
      <w:r w:rsidR="00F3040F">
        <w:fldChar w:fldCharType="separate"/>
      </w:r>
      <w:hyperlink w:anchor="_Toc242271311" w:history="1">
        <w:r w:rsidR="005C15ED" w:rsidRPr="000B6D21">
          <w:rPr>
            <w:rStyle w:val="Hyperlink"/>
            <w:noProof/>
          </w:rPr>
          <w:t>Table B1: Number of occupations in persistent shortage from 2021 to 2026 OSLs, by sub-major group</w:t>
        </w:r>
        <w:r w:rsidR="005C15ED">
          <w:rPr>
            <w:noProof/>
            <w:webHidden/>
          </w:rPr>
          <w:tab/>
        </w:r>
        <w:r w:rsidR="005C15ED">
          <w:rPr>
            <w:noProof/>
            <w:webHidden/>
          </w:rPr>
          <w:fldChar w:fldCharType="begin"/>
        </w:r>
        <w:r w:rsidR="005C15ED">
          <w:rPr>
            <w:noProof/>
            <w:webHidden/>
          </w:rPr>
          <w:instrText xml:space="preserve"> PAGEREF _Toc242271311 \h </w:instrText>
        </w:r>
        <w:r w:rsidR="005C15ED">
          <w:rPr>
            <w:noProof/>
            <w:webHidden/>
          </w:rPr>
        </w:r>
        <w:r w:rsidR="005C15ED">
          <w:rPr>
            <w:noProof/>
            <w:webHidden/>
          </w:rPr>
          <w:fldChar w:fldCharType="separate"/>
        </w:r>
        <w:r w:rsidR="00286763">
          <w:rPr>
            <w:noProof/>
            <w:webHidden/>
          </w:rPr>
          <w:t>19</w:t>
        </w:r>
        <w:r w:rsidR="005C15ED">
          <w:rPr>
            <w:noProof/>
            <w:webHidden/>
          </w:rPr>
          <w:fldChar w:fldCharType="end"/>
        </w:r>
      </w:hyperlink>
    </w:p>
    <w:p w14:paraId="29ADE9C0" w14:textId="680B93DB" w:rsidR="005C15ED" w:rsidRDefault="005C15ED">
      <w:pPr>
        <w:pStyle w:val="TableofFigures"/>
        <w:tabs>
          <w:tab w:val="right" w:leader="dot" w:pos="9017"/>
        </w:tabs>
        <w:rPr>
          <w:rFonts w:asciiTheme="minorHAnsi" w:eastAsiaTheme="minorEastAsia" w:hAnsiTheme="minorHAnsi"/>
          <w:noProof/>
          <w:kern w:val="2"/>
          <w:sz w:val="24"/>
          <w:szCs w:val="24"/>
          <w:lang w:eastAsia="en-AU"/>
          <w14:ligatures w14:val="standardContextual"/>
        </w:rPr>
      </w:pPr>
      <w:hyperlink w:anchor="_Toc242271312" w:history="1">
        <w:r w:rsidRPr="000B6D21">
          <w:rPr>
            <w:rStyle w:val="Hyperlink"/>
            <w:noProof/>
          </w:rPr>
          <w:t>Table B2: Number of additional occupations in persistent shortage from 2022 to 2026 OSLs, by sub-major group</w:t>
        </w:r>
        <w:r>
          <w:rPr>
            <w:noProof/>
            <w:webHidden/>
          </w:rPr>
          <w:tab/>
        </w:r>
        <w:r>
          <w:rPr>
            <w:noProof/>
            <w:webHidden/>
          </w:rPr>
          <w:fldChar w:fldCharType="begin"/>
        </w:r>
        <w:r>
          <w:rPr>
            <w:noProof/>
            <w:webHidden/>
          </w:rPr>
          <w:instrText xml:space="preserve"> PAGEREF _Toc242271312 \h </w:instrText>
        </w:r>
        <w:r>
          <w:rPr>
            <w:noProof/>
            <w:webHidden/>
          </w:rPr>
        </w:r>
        <w:r>
          <w:rPr>
            <w:noProof/>
            <w:webHidden/>
          </w:rPr>
          <w:fldChar w:fldCharType="separate"/>
        </w:r>
        <w:r w:rsidR="00286763">
          <w:rPr>
            <w:noProof/>
            <w:webHidden/>
          </w:rPr>
          <w:t>20</w:t>
        </w:r>
        <w:r>
          <w:rPr>
            <w:noProof/>
            <w:webHidden/>
          </w:rPr>
          <w:fldChar w:fldCharType="end"/>
        </w:r>
      </w:hyperlink>
    </w:p>
    <w:p w14:paraId="736A8666" w14:textId="7F649496" w:rsidR="00483A0A" w:rsidRDefault="00F3040F" w:rsidP="00F3040F">
      <w:pPr>
        <w:pStyle w:val="TableofFigures"/>
        <w:tabs>
          <w:tab w:val="right" w:leader="dot" w:pos="9017"/>
        </w:tabs>
      </w:pPr>
      <w:r>
        <w:fldChar w:fldCharType="end"/>
      </w:r>
    </w:p>
    <w:p w14:paraId="50474801" w14:textId="77777777" w:rsidR="005418DB" w:rsidRDefault="005418DB" w:rsidP="005418DB">
      <w:pPr>
        <w:pStyle w:val="TOCHeading"/>
      </w:pPr>
      <w:r>
        <w:t>Figures</w:t>
      </w:r>
    </w:p>
    <w:p w14:paraId="17ED6A6B" w14:textId="315E436B" w:rsidR="005C15ED" w:rsidRDefault="005418DB">
      <w:pPr>
        <w:pStyle w:val="TableofFigures"/>
        <w:tabs>
          <w:tab w:val="right" w:leader="dot" w:pos="9017"/>
        </w:tabs>
        <w:rPr>
          <w:rFonts w:asciiTheme="minorHAnsi" w:eastAsiaTheme="minorEastAsia" w:hAnsiTheme="minorHAnsi"/>
          <w:noProof/>
          <w:kern w:val="2"/>
          <w:sz w:val="24"/>
          <w:szCs w:val="24"/>
          <w:lang w:eastAsia="en-AU"/>
          <w14:ligatures w14:val="standardContextual"/>
        </w:rPr>
      </w:pPr>
      <w:r>
        <w:fldChar w:fldCharType="begin"/>
      </w:r>
      <w:r>
        <w:instrText xml:space="preserve"> TOC \h \z \c "Figure" </w:instrText>
      </w:r>
      <w:r>
        <w:fldChar w:fldCharType="separate"/>
      </w:r>
      <w:hyperlink w:anchor="_Toc242271313" w:history="1">
        <w:r w:rsidR="005C15ED" w:rsidRPr="002240E3">
          <w:rPr>
            <w:rStyle w:val="Hyperlink"/>
            <w:noProof/>
          </w:rPr>
          <w:t>Figure 1: Percentage of occupations in shortage, 2022 to 2026 OSLs</w:t>
        </w:r>
        <w:r w:rsidR="005C15ED">
          <w:rPr>
            <w:noProof/>
            <w:webHidden/>
          </w:rPr>
          <w:tab/>
        </w:r>
        <w:r w:rsidR="005C15ED">
          <w:rPr>
            <w:noProof/>
            <w:webHidden/>
          </w:rPr>
          <w:fldChar w:fldCharType="begin"/>
        </w:r>
        <w:r w:rsidR="005C15ED">
          <w:rPr>
            <w:noProof/>
            <w:webHidden/>
          </w:rPr>
          <w:instrText xml:space="preserve"> PAGEREF _Toc242271313 \h </w:instrText>
        </w:r>
        <w:r w:rsidR="005C15ED">
          <w:rPr>
            <w:noProof/>
            <w:webHidden/>
          </w:rPr>
        </w:r>
        <w:r w:rsidR="005C15ED">
          <w:rPr>
            <w:noProof/>
            <w:webHidden/>
          </w:rPr>
          <w:fldChar w:fldCharType="separate"/>
        </w:r>
        <w:r w:rsidR="00286763">
          <w:rPr>
            <w:noProof/>
            <w:webHidden/>
          </w:rPr>
          <w:t>4</w:t>
        </w:r>
        <w:r w:rsidR="005C15ED">
          <w:rPr>
            <w:noProof/>
            <w:webHidden/>
          </w:rPr>
          <w:fldChar w:fldCharType="end"/>
        </w:r>
      </w:hyperlink>
    </w:p>
    <w:p w14:paraId="0A18489E" w14:textId="142D7DFE" w:rsidR="005C15ED" w:rsidRDefault="005C15ED">
      <w:pPr>
        <w:pStyle w:val="TableofFigures"/>
        <w:tabs>
          <w:tab w:val="right" w:leader="dot" w:pos="9017"/>
        </w:tabs>
        <w:rPr>
          <w:rFonts w:asciiTheme="minorHAnsi" w:eastAsiaTheme="minorEastAsia" w:hAnsiTheme="minorHAnsi"/>
          <w:noProof/>
          <w:kern w:val="2"/>
          <w:sz w:val="24"/>
          <w:szCs w:val="24"/>
          <w:lang w:eastAsia="en-AU"/>
          <w14:ligatures w14:val="standardContextual"/>
        </w:rPr>
      </w:pPr>
      <w:hyperlink w:anchor="_Toc242271314" w:history="1">
        <w:r w:rsidRPr="002240E3">
          <w:rPr>
            <w:rStyle w:val="Hyperlink"/>
            <w:noProof/>
          </w:rPr>
          <w:t>Figure 2: Percentage of occupations in shortage, by major group, 2022 to 2026 OSLs</w:t>
        </w:r>
        <w:r>
          <w:rPr>
            <w:noProof/>
            <w:webHidden/>
          </w:rPr>
          <w:tab/>
        </w:r>
        <w:r>
          <w:rPr>
            <w:noProof/>
            <w:webHidden/>
          </w:rPr>
          <w:fldChar w:fldCharType="begin"/>
        </w:r>
        <w:r>
          <w:rPr>
            <w:noProof/>
            <w:webHidden/>
          </w:rPr>
          <w:instrText xml:space="preserve"> PAGEREF _Toc242271314 \h </w:instrText>
        </w:r>
        <w:r>
          <w:rPr>
            <w:noProof/>
            <w:webHidden/>
          </w:rPr>
        </w:r>
        <w:r>
          <w:rPr>
            <w:noProof/>
            <w:webHidden/>
          </w:rPr>
          <w:fldChar w:fldCharType="separate"/>
        </w:r>
        <w:r w:rsidR="00286763">
          <w:rPr>
            <w:noProof/>
            <w:webHidden/>
          </w:rPr>
          <w:t>7</w:t>
        </w:r>
        <w:r>
          <w:rPr>
            <w:noProof/>
            <w:webHidden/>
          </w:rPr>
          <w:fldChar w:fldCharType="end"/>
        </w:r>
      </w:hyperlink>
    </w:p>
    <w:p w14:paraId="60A67C49" w14:textId="3721E130" w:rsidR="005C15ED" w:rsidRDefault="005C15ED">
      <w:pPr>
        <w:pStyle w:val="TableofFigures"/>
        <w:tabs>
          <w:tab w:val="right" w:leader="dot" w:pos="9017"/>
        </w:tabs>
        <w:rPr>
          <w:rFonts w:asciiTheme="minorHAnsi" w:eastAsiaTheme="minorEastAsia" w:hAnsiTheme="minorHAnsi"/>
          <w:noProof/>
          <w:kern w:val="2"/>
          <w:sz w:val="24"/>
          <w:szCs w:val="24"/>
          <w:lang w:eastAsia="en-AU"/>
          <w14:ligatures w14:val="standardContextual"/>
        </w:rPr>
      </w:pPr>
      <w:hyperlink w:anchor="_Toc242271315" w:history="1">
        <w:r w:rsidRPr="002240E3">
          <w:rPr>
            <w:rStyle w:val="Hyperlink"/>
            <w:noProof/>
          </w:rPr>
          <w:t>Figure 3: Percentage of occupations in shortage, by skill level, 2022 to 2026 OSLs</w:t>
        </w:r>
        <w:r>
          <w:rPr>
            <w:noProof/>
            <w:webHidden/>
          </w:rPr>
          <w:tab/>
        </w:r>
        <w:r>
          <w:rPr>
            <w:noProof/>
            <w:webHidden/>
          </w:rPr>
          <w:fldChar w:fldCharType="begin"/>
        </w:r>
        <w:r>
          <w:rPr>
            <w:noProof/>
            <w:webHidden/>
          </w:rPr>
          <w:instrText xml:space="preserve"> PAGEREF _Toc242271315 \h </w:instrText>
        </w:r>
        <w:r>
          <w:rPr>
            <w:noProof/>
            <w:webHidden/>
          </w:rPr>
        </w:r>
        <w:r>
          <w:rPr>
            <w:noProof/>
            <w:webHidden/>
          </w:rPr>
          <w:fldChar w:fldCharType="separate"/>
        </w:r>
        <w:r w:rsidR="00286763">
          <w:rPr>
            <w:noProof/>
            <w:webHidden/>
          </w:rPr>
          <w:t>8</w:t>
        </w:r>
        <w:r>
          <w:rPr>
            <w:noProof/>
            <w:webHidden/>
          </w:rPr>
          <w:fldChar w:fldCharType="end"/>
        </w:r>
      </w:hyperlink>
    </w:p>
    <w:p w14:paraId="6DFAE0C5" w14:textId="15CF47F1" w:rsidR="005C15ED" w:rsidRDefault="005C15ED">
      <w:pPr>
        <w:pStyle w:val="TableofFigures"/>
        <w:tabs>
          <w:tab w:val="right" w:leader="dot" w:pos="9017"/>
        </w:tabs>
        <w:rPr>
          <w:rFonts w:asciiTheme="minorHAnsi" w:eastAsiaTheme="minorEastAsia" w:hAnsiTheme="minorHAnsi"/>
          <w:noProof/>
          <w:kern w:val="2"/>
          <w:sz w:val="24"/>
          <w:szCs w:val="24"/>
          <w:lang w:eastAsia="en-AU"/>
          <w14:ligatures w14:val="standardContextual"/>
        </w:rPr>
      </w:pPr>
      <w:hyperlink w:anchor="_Toc242271316" w:history="1">
        <w:r w:rsidRPr="002240E3">
          <w:rPr>
            <w:rStyle w:val="Hyperlink"/>
            <w:noProof/>
          </w:rPr>
          <w:t>Figure 4: Vacancy fill rates (%), 2025–26</w:t>
        </w:r>
        <w:r>
          <w:rPr>
            <w:noProof/>
            <w:webHidden/>
          </w:rPr>
          <w:tab/>
        </w:r>
        <w:r>
          <w:rPr>
            <w:noProof/>
            <w:webHidden/>
          </w:rPr>
          <w:fldChar w:fldCharType="begin"/>
        </w:r>
        <w:r>
          <w:rPr>
            <w:noProof/>
            <w:webHidden/>
          </w:rPr>
          <w:instrText xml:space="preserve"> PAGEREF _Toc242271316 \h </w:instrText>
        </w:r>
        <w:r>
          <w:rPr>
            <w:noProof/>
            <w:webHidden/>
          </w:rPr>
        </w:r>
        <w:r>
          <w:rPr>
            <w:noProof/>
            <w:webHidden/>
          </w:rPr>
          <w:fldChar w:fldCharType="separate"/>
        </w:r>
        <w:r w:rsidR="00286763">
          <w:rPr>
            <w:noProof/>
            <w:webHidden/>
          </w:rPr>
          <w:t>9</w:t>
        </w:r>
        <w:r>
          <w:rPr>
            <w:noProof/>
            <w:webHidden/>
          </w:rPr>
          <w:fldChar w:fldCharType="end"/>
        </w:r>
      </w:hyperlink>
    </w:p>
    <w:p w14:paraId="4C8DE71E" w14:textId="5EF03C90" w:rsidR="005C15ED" w:rsidRDefault="005C15ED">
      <w:pPr>
        <w:pStyle w:val="TableofFigures"/>
        <w:tabs>
          <w:tab w:val="right" w:leader="dot" w:pos="9017"/>
        </w:tabs>
        <w:rPr>
          <w:rFonts w:asciiTheme="minorHAnsi" w:eastAsiaTheme="minorEastAsia" w:hAnsiTheme="minorHAnsi"/>
          <w:noProof/>
          <w:kern w:val="2"/>
          <w:sz w:val="24"/>
          <w:szCs w:val="24"/>
          <w:lang w:eastAsia="en-AU"/>
          <w14:ligatures w14:val="standardContextual"/>
        </w:rPr>
      </w:pPr>
      <w:hyperlink w:anchor="_Toc242271317" w:history="1">
        <w:r w:rsidRPr="002240E3">
          <w:rPr>
            <w:rStyle w:val="Hyperlink"/>
            <w:noProof/>
          </w:rPr>
          <w:t>Figure 5: Recruitment difficulty rates (%), 2025–26</w:t>
        </w:r>
        <w:r>
          <w:rPr>
            <w:noProof/>
            <w:webHidden/>
          </w:rPr>
          <w:tab/>
        </w:r>
        <w:r>
          <w:rPr>
            <w:noProof/>
            <w:webHidden/>
          </w:rPr>
          <w:fldChar w:fldCharType="begin"/>
        </w:r>
        <w:r>
          <w:rPr>
            <w:noProof/>
            <w:webHidden/>
          </w:rPr>
          <w:instrText xml:space="preserve"> PAGEREF _Toc242271317 \h </w:instrText>
        </w:r>
        <w:r>
          <w:rPr>
            <w:noProof/>
            <w:webHidden/>
          </w:rPr>
        </w:r>
        <w:r>
          <w:rPr>
            <w:noProof/>
            <w:webHidden/>
          </w:rPr>
          <w:fldChar w:fldCharType="separate"/>
        </w:r>
        <w:r w:rsidR="00286763">
          <w:rPr>
            <w:noProof/>
            <w:webHidden/>
          </w:rPr>
          <w:t>10</w:t>
        </w:r>
        <w:r>
          <w:rPr>
            <w:noProof/>
            <w:webHidden/>
          </w:rPr>
          <w:fldChar w:fldCharType="end"/>
        </w:r>
      </w:hyperlink>
    </w:p>
    <w:p w14:paraId="7AE845FB" w14:textId="3E385750" w:rsidR="005C15ED" w:rsidRDefault="005C15ED">
      <w:pPr>
        <w:pStyle w:val="TableofFigures"/>
        <w:tabs>
          <w:tab w:val="right" w:leader="dot" w:pos="9017"/>
        </w:tabs>
        <w:rPr>
          <w:rFonts w:asciiTheme="minorHAnsi" w:eastAsiaTheme="minorEastAsia" w:hAnsiTheme="minorHAnsi"/>
          <w:noProof/>
          <w:kern w:val="2"/>
          <w:sz w:val="24"/>
          <w:szCs w:val="24"/>
          <w:lang w:eastAsia="en-AU"/>
          <w14:ligatures w14:val="standardContextual"/>
        </w:rPr>
      </w:pPr>
      <w:hyperlink w:anchor="_Toc242271318" w:history="1">
        <w:r w:rsidRPr="002240E3">
          <w:rPr>
            <w:rStyle w:val="Hyperlink"/>
            <w:noProof/>
          </w:rPr>
          <w:t>Figure 6: Vacancy durations (no.), 2025–26</w:t>
        </w:r>
        <w:r>
          <w:rPr>
            <w:noProof/>
            <w:webHidden/>
          </w:rPr>
          <w:tab/>
        </w:r>
        <w:r>
          <w:rPr>
            <w:noProof/>
            <w:webHidden/>
          </w:rPr>
          <w:fldChar w:fldCharType="begin"/>
        </w:r>
        <w:r>
          <w:rPr>
            <w:noProof/>
            <w:webHidden/>
          </w:rPr>
          <w:instrText xml:space="preserve"> PAGEREF _Toc242271318 \h </w:instrText>
        </w:r>
        <w:r>
          <w:rPr>
            <w:noProof/>
            <w:webHidden/>
          </w:rPr>
        </w:r>
        <w:r>
          <w:rPr>
            <w:noProof/>
            <w:webHidden/>
          </w:rPr>
          <w:fldChar w:fldCharType="separate"/>
        </w:r>
        <w:r w:rsidR="00286763">
          <w:rPr>
            <w:noProof/>
            <w:webHidden/>
          </w:rPr>
          <w:t>10</w:t>
        </w:r>
        <w:r>
          <w:rPr>
            <w:noProof/>
            <w:webHidden/>
          </w:rPr>
          <w:fldChar w:fldCharType="end"/>
        </w:r>
      </w:hyperlink>
    </w:p>
    <w:p w14:paraId="3BD1B774" w14:textId="7FC0CD75" w:rsidR="005C15ED" w:rsidRDefault="005C15ED">
      <w:pPr>
        <w:pStyle w:val="TableofFigures"/>
        <w:tabs>
          <w:tab w:val="right" w:leader="dot" w:pos="9017"/>
        </w:tabs>
        <w:rPr>
          <w:rFonts w:asciiTheme="minorHAnsi" w:eastAsiaTheme="minorEastAsia" w:hAnsiTheme="minorHAnsi"/>
          <w:noProof/>
          <w:kern w:val="2"/>
          <w:sz w:val="24"/>
          <w:szCs w:val="24"/>
          <w:lang w:eastAsia="en-AU"/>
          <w14:ligatures w14:val="standardContextual"/>
        </w:rPr>
      </w:pPr>
      <w:hyperlink w:anchor="_Toc242271319" w:history="1">
        <w:r w:rsidRPr="002240E3">
          <w:rPr>
            <w:rStyle w:val="Hyperlink"/>
            <w:noProof/>
          </w:rPr>
          <w:t>Figure 7: Boxplots of predicted vacancy fill rates (%) for the 2026 OSL</w:t>
        </w:r>
        <w:r>
          <w:rPr>
            <w:noProof/>
            <w:webHidden/>
          </w:rPr>
          <w:tab/>
        </w:r>
        <w:r>
          <w:rPr>
            <w:noProof/>
            <w:webHidden/>
          </w:rPr>
          <w:fldChar w:fldCharType="begin"/>
        </w:r>
        <w:r>
          <w:rPr>
            <w:noProof/>
            <w:webHidden/>
          </w:rPr>
          <w:instrText xml:space="preserve"> PAGEREF _Toc242271319 \h </w:instrText>
        </w:r>
        <w:r>
          <w:rPr>
            <w:noProof/>
            <w:webHidden/>
          </w:rPr>
        </w:r>
        <w:r>
          <w:rPr>
            <w:noProof/>
            <w:webHidden/>
          </w:rPr>
          <w:fldChar w:fldCharType="separate"/>
        </w:r>
        <w:r w:rsidR="00286763">
          <w:rPr>
            <w:noProof/>
            <w:webHidden/>
          </w:rPr>
          <w:t>11</w:t>
        </w:r>
        <w:r>
          <w:rPr>
            <w:noProof/>
            <w:webHidden/>
          </w:rPr>
          <w:fldChar w:fldCharType="end"/>
        </w:r>
      </w:hyperlink>
    </w:p>
    <w:p w14:paraId="7777ADFC" w14:textId="12D394FD" w:rsidR="005C15ED" w:rsidRDefault="005C15ED">
      <w:pPr>
        <w:pStyle w:val="TableofFigures"/>
        <w:tabs>
          <w:tab w:val="right" w:leader="dot" w:pos="9017"/>
        </w:tabs>
        <w:rPr>
          <w:rFonts w:asciiTheme="minorHAnsi" w:eastAsiaTheme="minorEastAsia" w:hAnsiTheme="minorHAnsi"/>
          <w:noProof/>
          <w:kern w:val="2"/>
          <w:sz w:val="24"/>
          <w:szCs w:val="24"/>
          <w:lang w:eastAsia="en-AU"/>
          <w14:ligatures w14:val="standardContextual"/>
        </w:rPr>
      </w:pPr>
      <w:hyperlink w:anchor="_Toc242271320" w:history="1">
        <w:r w:rsidRPr="002240E3">
          <w:rPr>
            <w:rStyle w:val="Hyperlink"/>
            <w:noProof/>
          </w:rPr>
          <w:t>Figure 8: Qualified and suitable applicants per vacancy (no.), 2026</w:t>
        </w:r>
        <w:r>
          <w:rPr>
            <w:noProof/>
            <w:webHidden/>
          </w:rPr>
          <w:tab/>
        </w:r>
        <w:r>
          <w:rPr>
            <w:noProof/>
            <w:webHidden/>
          </w:rPr>
          <w:fldChar w:fldCharType="begin"/>
        </w:r>
        <w:r>
          <w:rPr>
            <w:noProof/>
            <w:webHidden/>
          </w:rPr>
          <w:instrText xml:space="preserve"> PAGEREF _Toc242271320 \h </w:instrText>
        </w:r>
        <w:r>
          <w:rPr>
            <w:noProof/>
            <w:webHidden/>
          </w:rPr>
        </w:r>
        <w:r>
          <w:rPr>
            <w:noProof/>
            <w:webHidden/>
          </w:rPr>
          <w:fldChar w:fldCharType="separate"/>
        </w:r>
        <w:r w:rsidR="00286763">
          <w:rPr>
            <w:noProof/>
            <w:webHidden/>
          </w:rPr>
          <w:t>12</w:t>
        </w:r>
        <w:r>
          <w:rPr>
            <w:noProof/>
            <w:webHidden/>
          </w:rPr>
          <w:fldChar w:fldCharType="end"/>
        </w:r>
      </w:hyperlink>
    </w:p>
    <w:p w14:paraId="455A9C60" w14:textId="69A873B1" w:rsidR="005C15ED" w:rsidRDefault="005C15ED">
      <w:pPr>
        <w:pStyle w:val="TableofFigures"/>
        <w:tabs>
          <w:tab w:val="right" w:leader="dot" w:pos="9017"/>
        </w:tabs>
        <w:rPr>
          <w:rFonts w:asciiTheme="minorHAnsi" w:eastAsiaTheme="minorEastAsia" w:hAnsiTheme="minorHAnsi"/>
          <w:noProof/>
          <w:kern w:val="2"/>
          <w:sz w:val="24"/>
          <w:szCs w:val="24"/>
          <w:lang w:eastAsia="en-AU"/>
          <w14:ligatures w14:val="standardContextual"/>
        </w:rPr>
      </w:pPr>
      <w:hyperlink w:anchor="_Toc242271321" w:history="1">
        <w:r w:rsidRPr="002240E3">
          <w:rPr>
            <w:rStyle w:val="Hyperlink"/>
            <w:noProof/>
          </w:rPr>
          <w:t>Figure 9: Boxplots of Labour Supply Index, 2026 OSL</w:t>
        </w:r>
        <w:r>
          <w:rPr>
            <w:noProof/>
            <w:webHidden/>
          </w:rPr>
          <w:tab/>
        </w:r>
        <w:r>
          <w:rPr>
            <w:noProof/>
            <w:webHidden/>
          </w:rPr>
          <w:fldChar w:fldCharType="begin"/>
        </w:r>
        <w:r>
          <w:rPr>
            <w:noProof/>
            <w:webHidden/>
          </w:rPr>
          <w:instrText xml:space="preserve"> PAGEREF _Toc242271321 \h </w:instrText>
        </w:r>
        <w:r>
          <w:rPr>
            <w:noProof/>
            <w:webHidden/>
          </w:rPr>
        </w:r>
        <w:r>
          <w:rPr>
            <w:noProof/>
            <w:webHidden/>
          </w:rPr>
          <w:fldChar w:fldCharType="separate"/>
        </w:r>
        <w:r w:rsidR="00286763">
          <w:rPr>
            <w:noProof/>
            <w:webHidden/>
          </w:rPr>
          <w:t>13</w:t>
        </w:r>
        <w:r>
          <w:rPr>
            <w:noProof/>
            <w:webHidden/>
          </w:rPr>
          <w:fldChar w:fldCharType="end"/>
        </w:r>
      </w:hyperlink>
    </w:p>
    <w:p w14:paraId="402DE438" w14:textId="750D8518" w:rsidR="005C15ED" w:rsidRDefault="005C15ED">
      <w:pPr>
        <w:pStyle w:val="TableofFigures"/>
        <w:tabs>
          <w:tab w:val="right" w:leader="dot" w:pos="9017"/>
        </w:tabs>
        <w:rPr>
          <w:rFonts w:asciiTheme="minorHAnsi" w:eastAsiaTheme="minorEastAsia" w:hAnsiTheme="minorHAnsi"/>
          <w:noProof/>
          <w:kern w:val="2"/>
          <w:sz w:val="24"/>
          <w:szCs w:val="24"/>
          <w:lang w:eastAsia="en-AU"/>
          <w14:ligatures w14:val="standardContextual"/>
        </w:rPr>
      </w:pPr>
      <w:hyperlink w:anchor="_Toc242271322" w:history="1">
        <w:r w:rsidRPr="002240E3">
          <w:rPr>
            <w:rStyle w:val="Hyperlink"/>
            <w:noProof/>
          </w:rPr>
          <w:t>Figure 10: IVI, 5-year change, 2022 to 2026</w:t>
        </w:r>
        <w:r>
          <w:rPr>
            <w:noProof/>
            <w:webHidden/>
          </w:rPr>
          <w:tab/>
        </w:r>
        <w:r>
          <w:rPr>
            <w:noProof/>
            <w:webHidden/>
          </w:rPr>
          <w:fldChar w:fldCharType="begin"/>
        </w:r>
        <w:r>
          <w:rPr>
            <w:noProof/>
            <w:webHidden/>
          </w:rPr>
          <w:instrText xml:space="preserve"> PAGEREF _Toc242271322 \h </w:instrText>
        </w:r>
        <w:r>
          <w:rPr>
            <w:noProof/>
            <w:webHidden/>
          </w:rPr>
        </w:r>
        <w:r>
          <w:rPr>
            <w:noProof/>
            <w:webHidden/>
          </w:rPr>
          <w:fldChar w:fldCharType="separate"/>
        </w:r>
        <w:r w:rsidR="00286763">
          <w:rPr>
            <w:noProof/>
            <w:webHidden/>
          </w:rPr>
          <w:t>13</w:t>
        </w:r>
        <w:r>
          <w:rPr>
            <w:noProof/>
            <w:webHidden/>
          </w:rPr>
          <w:fldChar w:fldCharType="end"/>
        </w:r>
      </w:hyperlink>
    </w:p>
    <w:p w14:paraId="3B990DEA" w14:textId="0256EE5A" w:rsidR="005C15ED" w:rsidRDefault="005C15ED">
      <w:pPr>
        <w:pStyle w:val="TableofFigures"/>
        <w:tabs>
          <w:tab w:val="right" w:leader="dot" w:pos="9017"/>
        </w:tabs>
        <w:rPr>
          <w:rFonts w:asciiTheme="minorHAnsi" w:eastAsiaTheme="minorEastAsia" w:hAnsiTheme="minorHAnsi"/>
          <w:noProof/>
          <w:kern w:val="2"/>
          <w:sz w:val="24"/>
          <w:szCs w:val="24"/>
          <w:lang w:eastAsia="en-AU"/>
          <w14:ligatures w14:val="standardContextual"/>
        </w:rPr>
      </w:pPr>
      <w:hyperlink w:anchor="_Toc242271323" w:history="1">
        <w:r w:rsidRPr="002240E3">
          <w:rPr>
            <w:rStyle w:val="Hyperlink"/>
            <w:noProof/>
          </w:rPr>
          <w:t>Figure 11: Replacement rates, 3-year average, 2023–25</w:t>
        </w:r>
        <w:r>
          <w:rPr>
            <w:noProof/>
            <w:webHidden/>
          </w:rPr>
          <w:tab/>
        </w:r>
        <w:r>
          <w:rPr>
            <w:noProof/>
            <w:webHidden/>
          </w:rPr>
          <w:fldChar w:fldCharType="begin"/>
        </w:r>
        <w:r>
          <w:rPr>
            <w:noProof/>
            <w:webHidden/>
          </w:rPr>
          <w:instrText xml:space="preserve"> PAGEREF _Toc242271323 \h </w:instrText>
        </w:r>
        <w:r>
          <w:rPr>
            <w:noProof/>
            <w:webHidden/>
          </w:rPr>
        </w:r>
        <w:r>
          <w:rPr>
            <w:noProof/>
            <w:webHidden/>
          </w:rPr>
          <w:fldChar w:fldCharType="separate"/>
        </w:r>
        <w:r w:rsidR="00286763">
          <w:rPr>
            <w:noProof/>
            <w:webHidden/>
          </w:rPr>
          <w:t>14</w:t>
        </w:r>
        <w:r>
          <w:rPr>
            <w:noProof/>
            <w:webHidden/>
          </w:rPr>
          <w:fldChar w:fldCharType="end"/>
        </w:r>
      </w:hyperlink>
    </w:p>
    <w:p w14:paraId="79B78E1D" w14:textId="6AB0EE8C" w:rsidR="005C15ED" w:rsidRDefault="005C15ED">
      <w:pPr>
        <w:pStyle w:val="TableofFigures"/>
        <w:tabs>
          <w:tab w:val="right" w:leader="dot" w:pos="9017"/>
        </w:tabs>
        <w:rPr>
          <w:rFonts w:asciiTheme="minorHAnsi" w:eastAsiaTheme="minorEastAsia" w:hAnsiTheme="minorHAnsi"/>
          <w:noProof/>
          <w:kern w:val="2"/>
          <w:sz w:val="24"/>
          <w:szCs w:val="24"/>
          <w:lang w:eastAsia="en-AU"/>
          <w14:ligatures w14:val="standardContextual"/>
        </w:rPr>
      </w:pPr>
      <w:hyperlink w:anchor="_Toc242271324" w:history="1">
        <w:r w:rsidRPr="002240E3">
          <w:rPr>
            <w:rStyle w:val="Hyperlink"/>
            <w:noProof/>
          </w:rPr>
          <w:t>Figure 12: OSS responses on worker supply, 2026 OSL</w:t>
        </w:r>
        <w:r>
          <w:rPr>
            <w:noProof/>
            <w:webHidden/>
          </w:rPr>
          <w:tab/>
        </w:r>
        <w:r>
          <w:rPr>
            <w:noProof/>
            <w:webHidden/>
          </w:rPr>
          <w:fldChar w:fldCharType="begin"/>
        </w:r>
        <w:r>
          <w:rPr>
            <w:noProof/>
            <w:webHidden/>
          </w:rPr>
          <w:instrText xml:space="preserve"> PAGEREF _Toc242271324 \h </w:instrText>
        </w:r>
        <w:r>
          <w:rPr>
            <w:noProof/>
            <w:webHidden/>
          </w:rPr>
        </w:r>
        <w:r>
          <w:rPr>
            <w:noProof/>
            <w:webHidden/>
          </w:rPr>
          <w:fldChar w:fldCharType="separate"/>
        </w:r>
        <w:r w:rsidR="00286763">
          <w:rPr>
            <w:noProof/>
            <w:webHidden/>
          </w:rPr>
          <w:t>15</w:t>
        </w:r>
        <w:r>
          <w:rPr>
            <w:noProof/>
            <w:webHidden/>
          </w:rPr>
          <w:fldChar w:fldCharType="end"/>
        </w:r>
      </w:hyperlink>
    </w:p>
    <w:p w14:paraId="11D3F303" w14:textId="75FFDEDD" w:rsidR="005C15ED" w:rsidRDefault="005C15ED">
      <w:pPr>
        <w:pStyle w:val="TableofFigures"/>
        <w:tabs>
          <w:tab w:val="right" w:leader="dot" w:pos="9017"/>
        </w:tabs>
        <w:rPr>
          <w:rFonts w:asciiTheme="minorHAnsi" w:eastAsiaTheme="minorEastAsia" w:hAnsiTheme="minorHAnsi"/>
          <w:noProof/>
          <w:kern w:val="2"/>
          <w:sz w:val="24"/>
          <w:szCs w:val="24"/>
          <w:lang w:eastAsia="en-AU"/>
          <w14:ligatures w14:val="standardContextual"/>
        </w:rPr>
      </w:pPr>
      <w:hyperlink w:anchor="_Toc242271325" w:history="1">
        <w:r w:rsidRPr="002240E3">
          <w:rPr>
            <w:rStyle w:val="Hyperlink"/>
            <w:noProof/>
          </w:rPr>
          <w:t>Figure 13: OSS responses on change in demand, 2026 OSL</w:t>
        </w:r>
        <w:r>
          <w:rPr>
            <w:noProof/>
            <w:webHidden/>
          </w:rPr>
          <w:tab/>
        </w:r>
        <w:r>
          <w:rPr>
            <w:noProof/>
            <w:webHidden/>
          </w:rPr>
          <w:fldChar w:fldCharType="begin"/>
        </w:r>
        <w:r>
          <w:rPr>
            <w:noProof/>
            <w:webHidden/>
          </w:rPr>
          <w:instrText xml:space="preserve"> PAGEREF _Toc242271325 \h </w:instrText>
        </w:r>
        <w:r>
          <w:rPr>
            <w:noProof/>
            <w:webHidden/>
          </w:rPr>
        </w:r>
        <w:r>
          <w:rPr>
            <w:noProof/>
            <w:webHidden/>
          </w:rPr>
          <w:fldChar w:fldCharType="separate"/>
        </w:r>
        <w:r w:rsidR="00286763">
          <w:rPr>
            <w:noProof/>
            <w:webHidden/>
          </w:rPr>
          <w:t>15</w:t>
        </w:r>
        <w:r>
          <w:rPr>
            <w:noProof/>
            <w:webHidden/>
          </w:rPr>
          <w:fldChar w:fldCharType="end"/>
        </w:r>
      </w:hyperlink>
    </w:p>
    <w:p w14:paraId="0EF5721F" w14:textId="019007A1" w:rsidR="005C15ED" w:rsidRDefault="005418DB">
      <w:pPr>
        <w:pStyle w:val="TableofFigures"/>
        <w:tabs>
          <w:tab w:val="right" w:leader="dot" w:pos="9017"/>
        </w:tabs>
        <w:rPr>
          <w:rFonts w:asciiTheme="minorHAnsi" w:eastAsiaTheme="minorEastAsia" w:hAnsiTheme="minorHAnsi"/>
          <w:noProof/>
          <w:kern w:val="2"/>
          <w:sz w:val="24"/>
          <w:szCs w:val="24"/>
          <w:lang w:eastAsia="en-AU"/>
          <w14:ligatures w14:val="standardContextual"/>
        </w:rPr>
      </w:pPr>
      <w:r>
        <w:fldChar w:fldCharType="end"/>
      </w:r>
      <w:r>
        <w:fldChar w:fldCharType="begin"/>
      </w:r>
      <w:r>
        <w:instrText xml:space="preserve"> TOC \h \z \c "Figure A" </w:instrText>
      </w:r>
      <w:r>
        <w:fldChar w:fldCharType="separate"/>
      </w:r>
      <w:hyperlink w:anchor="_Toc242271326" w:history="1">
        <w:r w:rsidR="005C15ED" w:rsidRPr="00EA3C75">
          <w:rPr>
            <w:rStyle w:val="Hyperlink"/>
            <w:noProof/>
          </w:rPr>
          <w:t>Figure A1: Shortage status of occupations (%), by major group, and confidence labels, 2026 OSL</w:t>
        </w:r>
        <w:r w:rsidR="005C15ED">
          <w:rPr>
            <w:noProof/>
            <w:webHidden/>
          </w:rPr>
          <w:tab/>
        </w:r>
        <w:r w:rsidR="005C15ED">
          <w:rPr>
            <w:noProof/>
            <w:webHidden/>
          </w:rPr>
          <w:fldChar w:fldCharType="begin"/>
        </w:r>
        <w:r w:rsidR="005C15ED">
          <w:rPr>
            <w:noProof/>
            <w:webHidden/>
          </w:rPr>
          <w:instrText xml:space="preserve"> PAGEREF _Toc242271326 \h </w:instrText>
        </w:r>
        <w:r w:rsidR="005C15ED">
          <w:rPr>
            <w:noProof/>
            <w:webHidden/>
          </w:rPr>
        </w:r>
        <w:r w:rsidR="005C15ED">
          <w:rPr>
            <w:noProof/>
            <w:webHidden/>
          </w:rPr>
          <w:fldChar w:fldCharType="separate"/>
        </w:r>
        <w:r w:rsidR="00286763">
          <w:rPr>
            <w:noProof/>
            <w:webHidden/>
          </w:rPr>
          <w:t>17</w:t>
        </w:r>
        <w:r w:rsidR="005C15ED">
          <w:rPr>
            <w:noProof/>
            <w:webHidden/>
          </w:rPr>
          <w:fldChar w:fldCharType="end"/>
        </w:r>
      </w:hyperlink>
    </w:p>
    <w:p w14:paraId="7927BF5D" w14:textId="348459AB" w:rsidR="005C15ED" w:rsidRDefault="005C15ED">
      <w:pPr>
        <w:pStyle w:val="TableofFigures"/>
        <w:tabs>
          <w:tab w:val="right" w:leader="dot" w:pos="9017"/>
        </w:tabs>
        <w:rPr>
          <w:rFonts w:asciiTheme="minorHAnsi" w:eastAsiaTheme="minorEastAsia" w:hAnsiTheme="minorHAnsi"/>
          <w:noProof/>
          <w:kern w:val="2"/>
          <w:sz w:val="24"/>
          <w:szCs w:val="24"/>
          <w:lang w:eastAsia="en-AU"/>
          <w14:ligatures w14:val="standardContextual"/>
        </w:rPr>
      </w:pPr>
      <w:hyperlink w:anchor="_Toc242271327" w:history="1">
        <w:r w:rsidRPr="00EA3C75">
          <w:rPr>
            <w:rStyle w:val="Hyperlink"/>
            <w:noProof/>
          </w:rPr>
          <w:t>Figure A2: Shortage status of occupations (%), by skill level, and confidence labels, 2026 OSL</w:t>
        </w:r>
        <w:r>
          <w:rPr>
            <w:noProof/>
            <w:webHidden/>
          </w:rPr>
          <w:tab/>
        </w:r>
        <w:r>
          <w:rPr>
            <w:noProof/>
            <w:webHidden/>
          </w:rPr>
          <w:fldChar w:fldCharType="begin"/>
        </w:r>
        <w:r>
          <w:rPr>
            <w:noProof/>
            <w:webHidden/>
          </w:rPr>
          <w:instrText xml:space="preserve"> PAGEREF _Toc242271327 \h </w:instrText>
        </w:r>
        <w:r>
          <w:rPr>
            <w:noProof/>
            <w:webHidden/>
          </w:rPr>
        </w:r>
        <w:r>
          <w:rPr>
            <w:noProof/>
            <w:webHidden/>
          </w:rPr>
          <w:fldChar w:fldCharType="separate"/>
        </w:r>
        <w:r w:rsidR="00286763">
          <w:rPr>
            <w:noProof/>
            <w:webHidden/>
          </w:rPr>
          <w:t>18</w:t>
        </w:r>
        <w:r>
          <w:rPr>
            <w:noProof/>
            <w:webHidden/>
          </w:rPr>
          <w:fldChar w:fldCharType="end"/>
        </w:r>
      </w:hyperlink>
    </w:p>
    <w:p w14:paraId="6699CB35" w14:textId="7E50DE5D" w:rsidR="005418DB" w:rsidRPr="005418DB" w:rsidRDefault="005418DB" w:rsidP="009B4E70">
      <w:pPr>
        <w:pStyle w:val="BodyTextindent"/>
      </w:pPr>
      <w:r>
        <w:fldChar w:fldCharType="end"/>
      </w:r>
    </w:p>
    <w:p w14:paraId="3A42B941" w14:textId="77777777" w:rsidR="00483A0A" w:rsidRDefault="00483A0A" w:rsidP="00051A47">
      <w:pPr>
        <w:pStyle w:val="BodyTextindent"/>
      </w:pPr>
      <w:r>
        <w:rPr>
          <w:color w:val="6929C4"/>
        </w:rPr>
        <w:br w:type="page"/>
      </w:r>
    </w:p>
    <w:p w14:paraId="225782EF" w14:textId="55B5CB3D" w:rsidR="00543936" w:rsidRDefault="00543936" w:rsidP="006C4B57">
      <w:pPr>
        <w:pStyle w:val="Heading1"/>
      </w:pPr>
      <w:bookmarkStart w:id="0" w:name="_Toc201559943"/>
      <w:bookmarkStart w:id="1" w:name="_Toc211349833"/>
      <w:bookmarkStart w:id="2" w:name="_Toc233638598"/>
      <w:bookmarkStart w:id="3" w:name="_Toc235186768"/>
      <w:bookmarkStart w:id="4" w:name="_Toc242271290"/>
      <w:r w:rsidRPr="00044EF4">
        <w:lastRenderedPageBreak/>
        <w:t>Introduction</w:t>
      </w:r>
      <w:bookmarkStart w:id="5" w:name="_Toc142323448"/>
      <w:bookmarkStart w:id="6" w:name="_Toc174355988"/>
      <w:bookmarkStart w:id="7" w:name="_Toc194052692"/>
      <w:bookmarkEnd w:id="0"/>
      <w:bookmarkEnd w:id="1"/>
      <w:bookmarkEnd w:id="2"/>
      <w:bookmarkEnd w:id="3"/>
      <w:bookmarkEnd w:id="4"/>
      <w:r w:rsidRPr="00E213C3">
        <w:t xml:space="preserve"> </w:t>
      </w:r>
    </w:p>
    <w:p w14:paraId="1246CC17" w14:textId="77777777" w:rsidR="00543936" w:rsidRPr="001D63C2" w:rsidRDefault="00543936" w:rsidP="00543936">
      <w:pPr>
        <w:pStyle w:val="Heading2"/>
      </w:pPr>
      <w:bookmarkStart w:id="8" w:name="_Toc180136431"/>
      <w:bookmarkStart w:id="9" w:name="_Toc201559944"/>
      <w:bookmarkStart w:id="10" w:name="_Toc211349834"/>
      <w:bookmarkStart w:id="11" w:name="_Toc233638599"/>
      <w:bookmarkStart w:id="12" w:name="_Toc235186769"/>
      <w:bookmarkStart w:id="13" w:name="_Toc242271291"/>
      <w:permStart w:id="1344294785" w:edGrp="everyone"/>
      <w:permEnd w:id="1344294785"/>
      <w:r w:rsidRPr="001D63C2">
        <w:t>Overview</w:t>
      </w:r>
      <w:bookmarkEnd w:id="8"/>
      <w:bookmarkEnd w:id="9"/>
      <w:bookmarkEnd w:id="10"/>
      <w:bookmarkEnd w:id="11"/>
      <w:bookmarkEnd w:id="12"/>
      <w:bookmarkEnd w:id="13"/>
    </w:p>
    <w:p w14:paraId="26509CBD" w14:textId="746EFF95" w:rsidR="000A28FA" w:rsidRDefault="000A28FA" w:rsidP="000A28FA">
      <w:pPr>
        <w:pStyle w:val="BodyText"/>
      </w:pPr>
      <w:r w:rsidRPr="006664E2">
        <w:t>The</w:t>
      </w:r>
      <w:r>
        <w:t xml:space="preserve"> O</w:t>
      </w:r>
      <w:r w:rsidR="00236F09">
        <w:t>ccupation Shortage List (OSL)</w:t>
      </w:r>
      <w:r w:rsidRPr="006664E2">
        <w:t xml:space="preserve">, produced by Jobs and Skills Australia, is released annually and </w:t>
      </w:r>
      <w:r>
        <w:t>i</w:t>
      </w:r>
      <w:r w:rsidRPr="006664E2">
        <w:t xml:space="preserve">s a point-in-time assessment of occupations in </w:t>
      </w:r>
      <w:r>
        <w:t xml:space="preserve">the Australian </w:t>
      </w:r>
      <w:r w:rsidRPr="006664E2">
        <w:t xml:space="preserve">labour market. </w:t>
      </w:r>
      <w:r w:rsidR="009B1B09">
        <w:t xml:space="preserve">More detail on the OSL is provided in the 2026 OSL Methodology Report. </w:t>
      </w:r>
    </w:p>
    <w:p w14:paraId="348E85A7" w14:textId="74D912A0" w:rsidR="000A28FA" w:rsidRDefault="000A28FA" w:rsidP="000A28FA">
      <w:pPr>
        <w:pStyle w:val="BodyText"/>
      </w:pPr>
      <w:r w:rsidRPr="00D232DC">
        <w:t xml:space="preserve">The </w:t>
      </w:r>
      <w:r>
        <w:t xml:space="preserve">2026 </w:t>
      </w:r>
      <w:r w:rsidRPr="00430E32">
        <w:t>O</w:t>
      </w:r>
      <w:r w:rsidR="00A87876">
        <w:t xml:space="preserve">SL </w:t>
      </w:r>
      <w:r w:rsidRPr="00D232DC">
        <w:t xml:space="preserve">Key Findings Report provides an overview of the </w:t>
      </w:r>
      <w:r>
        <w:t>2026</w:t>
      </w:r>
      <w:r w:rsidRPr="00D232DC">
        <w:t xml:space="preserve"> OSL results</w:t>
      </w:r>
      <w:r>
        <w:t xml:space="preserve"> and </w:t>
      </w:r>
      <w:r w:rsidRPr="00D232DC">
        <w:t xml:space="preserve">select indicators that </w:t>
      </w:r>
      <w:r w:rsidR="002B5E38">
        <w:t xml:space="preserve">informed the occupation assessments and </w:t>
      </w:r>
      <w:r>
        <w:t xml:space="preserve">ratings. </w:t>
      </w:r>
    </w:p>
    <w:p w14:paraId="576A50DC" w14:textId="09E26451" w:rsidR="00F76E83" w:rsidRDefault="00543936" w:rsidP="00543936">
      <w:pPr>
        <w:pStyle w:val="BodyText"/>
      </w:pPr>
      <w:r w:rsidRPr="00FF7EA0">
        <w:t>This report</w:t>
      </w:r>
      <w:r w:rsidR="009D6FF8">
        <w:t>,</w:t>
      </w:r>
      <w:r w:rsidRPr="00FF7EA0">
        <w:t xml:space="preserve"> </w:t>
      </w:r>
      <w:r w:rsidR="009D6FF8">
        <w:t>when used along</w:t>
      </w:r>
      <w:r w:rsidR="00DF0037">
        <w:t>side</w:t>
      </w:r>
      <w:r w:rsidR="009D6FF8">
        <w:t xml:space="preserve"> other evidence</w:t>
      </w:r>
      <w:r w:rsidR="00DF0037">
        <w:t>,</w:t>
      </w:r>
      <w:r w:rsidR="009D6FF8">
        <w:t xml:space="preserve"> </w:t>
      </w:r>
      <w:r w:rsidR="007E01A8">
        <w:t xml:space="preserve">is intended to </w:t>
      </w:r>
      <w:r w:rsidR="00871BDF">
        <w:t xml:space="preserve">provide </w:t>
      </w:r>
      <w:r w:rsidR="00D63D3E">
        <w:t>high</w:t>
      </w:r>
      <w:r w:rsidR="00606D40">
        <w:t>-</w:t>
      </w:r>
      <w:r w:rsidR="00D63D3E">
        <w:t xml:space="preserve">level insights that could assist </w:t>
      </w:r>
      <w:r>
        <w:t xml:space="preserve">government, </w:t>
      </w:r>
      <w:r w:rsidRPr="00FF7EA0">
        <w:t>Jobs and Skills Councils</w:t>
      </w:r>
      <w:r w:rsidR="007E01A8">
        <w:t xml:space="preserve">, </w:t>
      </w:r>
      <w:r w:rsidRPr="00FF7EA0">
        <w:t xml:space="preserve">industry, </w:t>
      </w:r>
      <w:r w:rsidR="008E3425">
        <w:t xml:space="preserve">and education and training providers </w:t>
      </w:r>
      <w:r w:rsidR="00FB339E">
        <w:t>with</w:t>
      </w:r>
      <w:r w:rsidRPr="00FF7EA0">
        <w:t xml:space="preserve"> workforce planning, policy development, and labour market analysis</w:t>
      </w:r>
      <w:r>
        <w:t>.</w:t>
      </w:r>
      <w:r w:rsidR="00DF0037">
        <w:t xml:space="preserve"> </w:t>
      </w:r>
    </w:p>
    <w:p w14:paraId="3270C14E" w14:textId="69B7EA70" w:rsidR="00C02A0A" w:rsidRDefault="00C02A0A" w:rsidP="00543936">
      <w:pPr>
        <w:pStyle w:val="BodyText"/>
      </w:pPr>
      <w:r>
        <w:t xml:space="preserve">The main body of the report presents the OSL results on the </w:t>
      </w:r>
      <w:r w:rsidR="004D2482">
        <w:t>Occupation Standard Classification for Australia (</w:t>
      </w:r>
      <w:r>
        <w:t>OSCA</w:t>
      </w:r>
      <w:r w:rsidR="004D2482">
        <w:t>)</w:t>
      </w:r>
      <w:r>
        <w:t xml:space="preserve"> basis. </w:t>
      </w:r>
    </w:p>
    <w:p w14:paraId="7830696E" w14:textId="237437F1" w:rsidR="009A5367" w:rsidRDefault="009A5367" w:rsidP="00051A47">
      <w:pPr>
        <w:pStyle w:val="BodyTextindent"/>
        <w:rPr>
          <w:lang w:eastAsia="en-AU"/>
        </w:rPr>
      </w:pPr>
      <w:r>
        <w:rPr>
          <w:lang w:eastAsia="en-AU"/>
        </w:rPr>
        <w:br w:type="page"/>
      </w:r>
    </w:p>
    <w:p w14:paraId="74499027" w14:textId="77F1B23D" w:rsidR="00543936" w:rsidRPr="00044EF4" w:rsidRDefault="00042749" w:rsidP="00543936">
      <w:pPr>
        <w:pStyle w:val="Heading1"/>
      </w:pPr>
      <w:bookmarkStart w:id="14" w:name="SERA_Fill_Rates"/>
      <w:bookmarkStart w:id="15" w:name="_Toc194052694"/>
      <w:bookmarkStart w:id="16" w:name="_Toc201559948"/>
      <w:bookmarkStart w:id="17" w:name="_Toc211349835"/>
      <w:bookmarkStart w:id="18" w:name="_Toc233638600"/>
      <w:bookmarkStart w:id="19" w:name="_Toc235186770"/>
      <w:bookmarkStart w:id="20" w:name="_Toc235189834"/>
      <w:bookmarkStart w:id="21" w:name="_Toc235189904"/>
      <w:bookmarkStart w:id="22" w:name="_Toc235190203"/>
      <w:bookmarkStart w:id="23" w:name="_Toc242271292"/>
      <w:bookmarkEnd w:id="5"/>
      <w:bookmarkEnd w:id="6"/>
      <w:bookmarkEnd w:id="7"/>
      <w:bookmarkEnd w:id="14"/>
      <w:r>
        <w:lastRenderedPageBreak/>
        <w:t>2026</w:t>
      </w:r>
      <w:r w:rsidR="00543936" w:rsidRPr="00044EF4">
        <w:t xml:space="preserve"> OSL results</w:t>
      </w:r>
      <w:bookmarkEnd w:id="15"/>
      <w:bookmarkEnd w:id="16"/>
      <w:bookmarkEnd w:id="17"/>
      <w:bookmarkEnd w:id="18"/>
      <w:bookmarkEnd w:id="19"/>
      <w:bookmarkEnd w:id="20"/>
      <w:bookmarkEnd w:id="21"/>
      <w:bookmarkEnd w:id="22"/>
      <w:bookmarkEnd w:id="23"/>
    </w:p>
    <w:p w14:paraId="452C1749" w14:textId="77777777" w:rsidR="00543936" w:rsidRPr="00044EF4" w:rsidRDefault="00543936" w:rsidP="00543936">
      <w:pPr>
        <w:pStyle w:val="Heading2"/>
      </w:pPr>
      <w:bookmarkStart w:id="24" w:name="_Toc142323452"/>
      <w:bookmarkStart w:id="25" w:name="_Toc174355991"/>
      <w:bookmarkStart w:id="26" w:name="_Toc194052695"/>
      <w:bookmarkStart w:id="27" w:name="_Toc201559949"/>
      <w:bookmarkStart w:id="28" w:name="_Toc211349836"/>
      <w:bookmarkStart w:id="29" w:name="_Toc233638601"/>
      <w:bookmarkStart w:id="30" w:name="_Toc235186771"/>
      <w:bookmarkStart w:id="31" w:name="_Toc242271293"/>
      <w:r w:rsidRPr="00044EF4">
        <w:t>National level findings</w:t>
      </w:r>
      <w:bookmarkEnd w:id="24"/>
      <w:bookmarkEnd w:id="25"/>
      <w:bookmarkEnd w:id="26"/>
      <w:bookmarkEnd w:id="27"/>
      <w:bookmarkEnd w:id="28"/>
      <w:bookmarkEnd w:id="29"/>
      <w:bookmarkEnd w:id="30"/>
      <w:bookmarkEnd w:id="31"/>
    </w:p>
    <w:p w14:paraId="1BA85F0F" w14:textId="140C654D" w:rsidR="00CA7369" w:rsidRDefault="00275423" w:rsidP="00635FBD">
      <w:pPr>
        <w:pStyle w:val="BodyText"/>
      </w:pPr>
      <w:r>
        <w:t>T</w:t>
      </w:r>
      <w:r w:rsidR="00635FBD">
        <w:t xml:space="preserve">he 2026 OSL results show that occupation shortages continued to ease from the </w:t>
      </w:r>
      <w:r w:rsidR="00B25729">
        <w:t xml:space="preserve">peak reached in </w:t>
      </w:r>
      <w:r w:rsidR="00635FBD">
        <w:t>2023</w:t>
      </w:r>
      <w:r w:rsidR="00CA7369">
        <w:t xml:space="preserve">. </w:t>
      </w:r>
    </w:p>
    <w:p w14:paraId="478633BF" w14:textId="603CA8BC" w:rsidR="00543936" w:rsidRDefault="00543936" w:rsidP="00373386">
      <w:pPr>
        <w:pStyle w:val="BodyText"/>
      </w:pPr>
      <w:r>
        <w:t>In t</w:t>
      </w:r>
      <w:r w:rsidRPr="1A647D3A">
        <w:t xml:space="preserve">he </w:t>
      </w:r>
      <w:r w:rsidR="00042749">
        <w:t>2026</w:t>
      </w:r>
      <w:r w:rsidRPr="1A647D3A">
        <w:t xml:space="preserve"> </w:t>
      </w:r>
      <w:r>
        <w:t>OSL,</w:t>
      </w:r>
      <w:r w:rsidRPr="1A647D3A">
        <w:t xml:space="preserve"> </w:t>
      </w:r>
      <w:r w:rsidR="009E69F0">
        <w:t>2</w:t>
      </w:r>
      <w:r w:rsidR="008812D2">
        <w:t>79</w:t>
      </w:r>
      <w:r w:rsidR="009E69F0">
        <w:t xml:space="preserve"> of the 1</w:t>
      </w:r>
      <w:r w:rsidR="009D61E9">
        <w:t>,</w:t>
      </w:r>
      <w:r w:rsidR="009E69F0">
        <w:t xml:space="preserve">021 assessed </w:t>
      </w:r>
      <w:r w:rsidRPr="1A647D3A">
        <w:t>occupations</w:t>
      </w:r>
      <w:r w:rsidR="00305538">
        <w:t xml:space="preserve"> (</w:t>
      </w:r>
      <w:r w:rsidR="008B27FC">
        <w:t xml:space="preserve">or </w:t>
      </w:r>
      <w:r w:rsidR="00305538">
        <w:t>27%</w:t>
      </w:r>
      <w:r w:rsidR="008B27FC">
        <w:t xml:space="preserve"> of assessed occupations</w:t>
      </w:r>
      <w:r w:rsidR="00305538">
        <w:t>)</w:t>
      </w:r>
      <w:r w:rsidRPr="1A647D3A">
        <w:t xml:space="preserve"> </w:t>
      </w:r>
      <w:r>
        <w:t xml:space="preserve">were in </w:t>
      </w:r>
      <w:r w:rsidRPr="1A647D3A">
        <w:t xml:space="preserve">national </w:t>
      </w:r>
      <w:r>
        <w:t>s</w:t>
      </w:r>
      <w:r w:rsidRPr="005965A3">
        <w:t>hortage</w:t>
      </w:r>
      <w:r w:rsidR="00FB571F">
        <w:t xml:space="preserve"> </w:t>
      </w:r>
      <w:r>
        <w:t>(</w:t>
      </w:r>
      <w:r w:rsidR="00F66080">
        <w:t xml:space="preserve">Figure </w:t>
      </w:r>
      <w:r w:rsidR="00F66080">
        <w:rPr>
          <w:noProof/>
        </w:rPr>
        <w:t>1</w:t>
      </w:r>
      <w:r>
        <w:t>).</w:t>
      </w:r>
      <w:r>
        <w:rPr>
          <w:rStyle w:val="FootnoteReference"/>
        </w:rPr>
        <w:footnoteReference w:id="1"/>
      </w:r>
      <w:r>
        <w:t xml:space="preserve"> </w:t>
      </w:r>
      <w:r w:rsidRPr="57FFE815">
        <w:t>This</w:t>
      </w:r>
      <w:r w:rsidRPr="57FFE815" w:rsidDel="00CA1D4C">
        <w:t xml:space="preserve"> </w:t>
      </w:r>
      <w:r w:rsidR="009E69F0">
        <w:t>wa</w:t>
      </w:r>
      <w:r>
        <w:t xml:space="preserve">s </w:t>
      </w:r>
      <w:r w:rsidR="00042749">
        <w:t>2</w:t>
      </w:r>
      <w:r w:rsidRPr="1A647D3A">
        <w:t xml:space="preserve"> percentage points </w:t>
      </w:r>
      <w:r>
        <w:t xml:space="preserve">lower than in </w:t>
      </w:r>
      <w:r w:rsidR="00042749">
        <w:t>2025</w:t>
      </w:r>
      <w:r w:rsidR="00F2688B">
        <w:t xml:space="preserve"> </w:t>
      </w:r>
      <w:r w:rsidR="00A27FFC">
        <w:t>(</w:t>
      </w:r>
      <w:r w:rsidR="00042749">
        <w:t>29</w:t>
      </w:r>
      <w:r w:rsidRPr="1A647D3A">
        <w:t>%</w:t>
      </w:r>
      <w:r w:rsidR="00A27FFC">
        <w:t>)</w:t>
      </w:r>
      <w:r w:rsidR="00F2688B">
        <w:t>,</w:t>
      </w:r>
      <w:r>
        <w:t xml:space="preserve"> and </w:t>
      </w:r>
      <w:r w:rsidR="00042749">
        <w:t>9</w:t>
      </w:r>
      <w:r>
        <w:t xml:space="preserve"> percentage points </w:t>
      </w:r>
      <w:r w:rsidR="00F2688B">
        <w:t xml:space="preserve">below </w:t>
      </w:r>
      <w:r>
        <w:t xml:space="preserve">the </w:t>
      </w:r>
      <w:r w:rsidR="00F2688B">
        <w:t xml:space="preserve">2023 </w:t>
      </w:r>
      <w:r>
        <w:t xml:space="preserve">peak </w:t>
      </w:r>
      <w:r w:rsidR="0031665A">
        <w:t>(</w:t>
      </w:r>
      <w:r>
        <w:t>36%</w:t>
      </w:r>
      <w:r w:rsidR="0031665A">
        <w:t>)</w:t>
      </w:r>
      <w:r>
        <w:t>.</w:t>
      </w:r>
      <w:r w:rsidR="00FD0667">
        <w:rPr>
          <w:rStyle w:val="FootnoteReference"/>
        </w:rPr>
        <w:footnoteReference w:id="2"/>
      </w:r>
      <w:r w:rsidR="00083CD1" w:rsidRPr="009B4E70">
        <w:rPr>
          <w:vertAlign w:val="superscript"/>
        </w:rPr>
        <w:t>,</w:t>
      </w:r>
      <w:r w:rsidRPr="009B4E70">
        <w:rPr>
          <w:vertAlign w:val="superscript"/>
        </w:rPr>
        <w:t xml:space="preserve"> </w:t>
      </w:r>
      <w:r w:rsidR="00083CD1">
        <w:rPr>
          <w:rStyle w:val="FootnoteReference"/>
        </w:rPr>
        <w:footnoteReference w:id="3"/>
      </w:r>
      <w:r w:rsidR="00373386">
        <w:rPr>
          <w:vertAlign w:val="superscript"/>
        </w:rPr>
        <w:t xml:space="preserve"> </w:t>
      </w:r>
    </w:p>
    <w:p w14:paraId="4468AE05" w14:textId="0F72E3B5" w:rsidR="00FB746D" w:rsidRPr="00934148" w:rsidRDefault="001C2F3D" w:rsidP="00934148">
      <w:pPr>
        <w:pStyle w:val="BodyText"/>
        <w:rPr>
          <w:highlight w:val="yellow"/>
        </w:rPr>
      </w:pPr>
      <w:r w:rsidRPr="00934148">
        <w:t>The result was consistent with gradual labour market softening over the 12 months to July 2026, reflected by indicators such as the employment-to-population ratio decreasing by 0.3 percentage points; the unemployment rate increasing by 0.2 percentage points; and the underemployment rate increasing by 0.5 percentage points.</w:t>
      </w:r>
      <w:r w:rsidR="00892C83" w:rsidRPr="00934148">
        <w:t xml:space="preserve"> At the same time, a range of occupational shortages remain persistent.</w:t>
      </w:r>
    </w:p>
    <w:p w14:paraId="4922CED2" w14:textId="38022020" w:rsidR="003E5AB7" w:rsidRDefault="006559EA" w:rsidP="006559EA">
      <w:pPr>
        <w:pStyle w:val="Caption"/>
      </w:pPr>
      <w:bookmarkStart w:id="32" w:name="_Ref240642698"/>
      <w:bookmarkStart w:id="33" w:name="_Toc242271313"/>
      <w:r>
        <w:t xml:space="preserve">Figure </w:t>
      </w:r>
      <w:r w:rsidRPr="00E213C3">
        <w:fldChar w:fldCharType="begin"/>
      </w:r>
      <w:r>
        <w:instrText xml:space="preserve"> SEQ Figure \* ARABIC </w:instrText>
      </w:r>
      <w:r w:rsidRPr="00E213C3">
        <w:fldChar w:fldCharType="separate"/>
      </w:r>
      <w:r w:rsidR="00286763">
        <w:rPr>
          <w:noProof/>
        </w:rPr>
        <w:t>1</w:t>
      </w:r>
      <w:r w:rsidRPr="00E213C3">
        <w:fldChar w:fldCharType="end"/>
      </w:r>
      <w:bookmarkEnd w:id="32"/>
      <w:r>
        <w:t>: Percentage of o</w:t>
      </w:r>
      <w:r w:rsidRPr="006F18E6">
        <w:t xml:space="preserve">ccupations in </w:t>
      </w:r>
      <w:r>
        <w:t>s</w:t>
      </w:r>
      <w:r w:rsidRPr="005965A3">
        <w:t>hortage</w:t>
      </w:r>
      <w:r w:rsidR="00016E59">
        <w:t>,</w:t>
      </w:r>
      <w:r w:rsidR="009F4B6D">
        <w:t xml:space="preserve"> </w:t>
      </w:r>
      <w:r>
        <w:t>2022 to 2026 OSLs</w:t>
      </w:r>
      <w:bookmarkEnd w:id="33"/>
      <w:r>
        <w:t xml:space="preserve"> </w:t>
      </w:r>
    </w:p>
    <w:p w14:paraId="2DA2AB81" w14:textId="020C3ADE" w:rsidR="003E5AB7" w:rsidRDefault="006559EA" w:rsidP="006559EA">
      <w:pPr>
        <w:pStyle w:val="Source"/>
      </w:pPr>
      <w:r w:rsidRPr="00AA084E">
        <w:rPr>
          <w:noProof/>
        </w:rPr>
        <w:drawing>
          <wp:inline distT="0" distB="0" distL="0" distR="0" wp14:anchorId="46ECE70F" wp14:editId="6C01E06F">
            <wp:extent cx="5731200" cy="3060000"/>
            <wp:effectExtent l="0" t="0" r="3175" b="7620"/>
            <wp:docPr id="2066601642" name="Chart 1" descr="Figure 1 shows the percentage of assessed occupations in national shortage from 2022 to 2026. In 2026, 27% of occupations— or 279 of 1,021—were in shortage. This was down from 29% in 2025 and 9 percentage points below the 2023 peak of 36%. ">
              <a:extLst xmlns:a="http://schemas.openxmlformats.org/drawingml/2006/main">
                <a:ext uri="{FF2B5EF4-FFF2-40B4-BE49-F238E27FC236}">
                  <a16:creationId xmlns:a16="http://schemas.microsoft.com/office/drawing/2014/main" id="{873B4F3D-4400-4C8F-8D42-275EE1CBFC3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0035035E">
        <w:br/>
        <w:t xml:space="preserve">Source: </w:t>
      </w:r>
      <w:r w:rsidR="00362BD6">
        <w:t>J</w:t>
      </w:r>
      <w:r w:rsidR="00B52916">
        <w:t xml:space="preserve">obs and Skills Australia </w:t>
      </w:r>
      <w:r w:rsidR="00A36D28">
        <w:t>(</w:t>
      </w:r>
      <w:r w:rsidR="007C3153">
        <w:t>2026</w:t>
      </w:r>
      <w:r w:rsidR="00A36D28">
        <w:t>)</w:t>
      </w:r>
      <w:r w:rsidR="004C13D4">
        <w:t>.</w:t>
      </w:r>
    </w:p>
    <w:p w14:paraId="45254B13" w14:textId="77777777" w:rsidR="00BF58E7" w:rsidRDefault="00BF58E7">
      <w:pPr>
        <w:spacing w:before="0" w:after="200" w:line="276" w:lineRule="auto"/>
      </w:pPr>
      <w:r>
        <w:br w:type="page"/>
      </w:r>
    </w:p>
    <w:p w14:paraId="396537AA" w14:textId="1FDA890E" w:rsidR="00D4791A" w:rsidRDefault="00543936" w:rsidP="00F56615">
      <w:pPr>
        <w:pStyle w:val="BodyText"/>
      </w:pPr>
      <w:r>
        <w:lastRenderedPageBreak/>
        <w:t xml:space="preserve">In </w:t>
      </w:r>
      <w:r w:rsidR="00042749">
        <w:t>2026</w:t>
      </w:r>
      <w:r>
        <w:t>, 2</w:t>
      </w:r>
      <w:r w:rsidR="009425DD">
        <w:t>8</w:t>
      </w:r>
      <w:r w:rsidRPr="6DCE0227">
        <w:t xml:space="preserve"> occupations</w:t>
      </w:r>
      <w:r>
        <w:t xml:space="preserve"> </w:t>
      </w:r>
      <w:r w:rsidRPr="6DCE0227">
        <w:t xml:space="preserve">were newly in </w:t>
      </w:r>
      <w:r>
        <w:t>s</w:t>
      </w:r>
      <w:r w:rsidRPr="00AE76FD">
        <w:t>hortage</w:t>
      </w:r>
      <w:r w:rsidRPr="00AE76FD" w:rsidDel="00644209">
        <w:t xml:space="preserve"> </w:t>
      </w:r>
      <w:r w:rsidRPr="00AE76FD">
        <w:t xml:space="preserve">compared to </w:t>
      </w:r>
      <w:r w:rsidR="00042749">
        <w:t>2025</w:t>
      </w:r>
      <w:r w:rsidRPr="00AE76FD">
        <w:t xml:space="preserve"> </w:t>
      </w:r>
      <w:r>
        <w:t>(</w:t>
      </w:r>
      <w:r w:rsidR="00F66080">
        <w:t xml:space="preserve">Table </w:t>
      </w:r>
      <w:r w:rsidR="00F66080" w:rsidRPr="00543936">
        <w:t>1</w:t>
      </w:r>
      <w:r w:rsidR="00F66080">
        <w:t>)</w:t>
      </w:r>
      <w:r>
        <w:t>.</w:t>
      </w:r>
      <w:r w:rsidRPr="00AE76FD">
        <w:t xml:space="preserve"> </w:t>
      </w:r>
      <w:r>
        <w:t>These</w:t>
      </w:r>
      <w:r w:rsidR="00F505F8">
        <w:t xml:space="preserve"> newly rated shortage</w:t>
      </w:r>
      <w:r>
        <w:t xml:space="preserve"> occupations were </w:t>
      </w:r>
      <w:r w:rsidR="00F505F8">
        <w:t xml:space="preserve">spread across several areas, including </w:t>
      </w:r>
      <w:r>
        <w:t>health, science, technicians and trades, and machinery operator and driver</w:t>
      </w:r>
      <w:r w:rsidR="00B65DB1">
        <w:t xml:space="preserve"> roles</w:t>
      </w:r>
      <w:r>
        <w:t xml:space="preserve">. </w:t>
      </w:r>
    </w:p>
    <w:p w14:paraId="1CB8937E" w14:textId="05B13194" w:rsidR="00ED5C1B" w:rsidRDefault="000D3EB4" w:rsidP="00543936">
      <w:pPr>
        <w:pStyle w:val="BodyText"/>
      </w:pPr>
      <w:r>
        <w:t xml:space="preserve">There were </w:t>
      </w:r>
      <w:r w:rsidR="009425DD">
        <w:t>42</w:t>
      </w:r>
      <w:r w:rsidR="00543936" w:rsidRPr="005C57E4">
        <w:t xml:space="preserve"> occupations </w:t>
      </w:r>
      <w:r w:rsidR="000B227D">
        <w:t xml:space="preserve">that </w:t>
      </w:r>
      <w:r w:rsidR="00543936">
        <w:t>changed</w:t>
      </w:r>
      <w:r w:rsidR="00543936" w:rsidRPr="005C57E4">
        <w:t xml:space="preserve"> from </w:t>
      </w:r>
      <w:r w:rsidR="00543936">
        <w:t xml:space="preserve">a </w:t>
      </w:r>
      <w:r w:rsidR="00543936" w:rsidRPr="005C57E4">
        <w:t xml:space="preserve">shortage in </w:t>
      </w:r>
      <w:r w:rsidR="00042749">
        <w:t>2025</w:t>
      </w:r>
      <w:r w:rsidR="00543936" w:rsidRPr="005C57E4">
        <w:t xml:space="preserve"> to no shortage in </w:t>
      </w:r>
      <w:r w:rsidR="00042749">
        <w:t>2026</w:t>
      </w:r>
      <w:r w:rsidR="00543936" w:rsidRPr="005C57E4">
        <w:t xml:space="preserve">. </w:t>
      </w:r>
      <w:bookmarkStart w:id="34" w:name="_Hlk211247225"/>
      <w:r w:rsidR="00543936" w:rsidRPr="005C57E4">
        <w:t xml:space="preserve">Among the </w:t>
      </w:r>
      <w:r w:rsidR="009425DD">
        <w:t>42</w:t>
      </w:r>
      <w:r w:rsidR="00ED5C1B">
        <w:t>:</w:t>
      </w:r>
    </w:p>
    <w:p w14:paraId="7F4F7FF5" w14:textId="79C7AC4A" w:rsidR="00F323F3" w:rsidRDefault="00821DDE" w:rsidP="0069025A">
      <w:pPr>
        <w:pStyle w:val="ListBullet"/>
      </w:pPr>
      <w:r>
        <w:t>20</w:t>
      </w:r>
      <w:r w:rsidR="00543936" w:rsidRPr="005C57E4">
        <w:t xml:space="preserve"> occupations were from the Professionals major group, with a cluster of </w:t>
      </w:r>
      <w:r w:rsidR="0018387B">
        <w:t xml:space="preserve">health, </w:t>
      </w:r>
      <w:r w:rsidR="00543936">
        <w:t>engineering</w:t>
      </w:r>
      <w:r w:rsidR="00D32688">
        <w:t>, science</w:t>
      </w:r>
      <w:r w:rsidR="00543936">
        <w:t xml:space="preserve"> </w:t>
      </w:r>
      <w:r w:rsidR="00543936" w:rsidRPr="005C57E4">
        <w:t>and ICT roles</w:t>
      </w:r>
      <w:r w:rsidR="000B3CE1">
        <w:t xml:space="preserve">, </w:t>
      </w:r>
    </w:p>
    <w:p w14:paraId="2FB94EB0" w14:textId="7C29958E" w:rsidR="00F323F3" w:rsidRDefault="00AA39A9" w:rsidP="0069025A">
      <w:pPr>
        <w:pStyle w:val="ListBullet"/>
      </w:pPr>
      <w:r>
        <w:t>9</w:t>
      </w:r>
      <w:r w:rsidR="000B3CE1">
        <w:t xml:space="preserve"> occupations were from the Machinery Operators and Drivers</w:t>
      </w:r>
    </w:p>
    <w:p w14:paraId="766067B8" w14:textId="6A22C1CE" w:rsidR="00543936" w:rsidRDefault="002E06EF" w:rsidP="009B4E70">
      <w:pPr>
        <w:pStyle w:val="ListBullet"/>
      </w:pPr>
      <w:r>
        <w:t>8 occupations were from Techn</w:t>
      </w:r>
      <w:r w:rsidR="00B64DCC">
        <w:t>i</w:t>
      </w:r>
      <w:r>
        <w:t xml:space="preserve">cians and Trades Workers </w:t>
      </w:r>
      <w:r w:rsidR="0070463A">
        <w:t>major group</w:t>
      </w:r>
      <w:r w:rsidR="00BA52EF">
        <w:t xml:space="preserve"> and </w:t>
      </w:r>
      <w:bookmarkEnd w:id="34"/>
      <w:r w:rsidR="00BA52EF">
        <w:t>t</w:t>
      </w:r>
      <w:r w:rsidR="00932879">
        <w:t>he rest were from Labourers and Community and Personal</w:t>
      </w:r>
      <w:r w:rsidR="00EA5ED2">
        <w:t xml:space="preserve"> Service Workers</w:t>
      </w:r>
      <w:r w:rsidR="0070463A">
        <w:t xml:space="preserve">. </w:t>
      </w:r>
    </w:p>
    <w:p w14:paraId="3124EDF7" w14:textId="5F1A681B" w:rsidR="00EA0BEE" w:rsidRPr="00673090" w:rsidRDefault="00EA0BEE" w:rsidP="00EA0BEE">
      <w:pPr>
        <w:pStyle w:val="Caption"/>
      </w:pPr>
      <w:bookmarkStart w:id="35" w:name="_Ref240642724"/>
      <w:bookmarkStart w:id="36" w:name="_Toc242271308"/>
      <w:r>
        <w:t xml:space="preserve">Table </w:t>
      </w:r>
      <w:r w:rsidRPr="00673090">
        <w:fldChar w:fldCharType="begin"/>
      </w:r>
      <w:r w:rsidRPr="00673090">
        <w:instrText xml:space="preserve"> SEQ Table \* ARABIC </w:instrText>
      </w:r>
      <w:r w:rsidRPr="00673090">
        <w:fldChar w:fldCharType="separate"/>
      </w:r>
      <w:r w:rsidR="00286763">
        <w:rPr>
          <w:noProof/>
        </w:rPr>
        <w:t>1</w:t>
      </w:r>
      <w:r w:rsidRPr="00673090">
        <w:fldChar w:fldCharType="end"/>
      </w:r>
      <w:bookmarkEnd w:id="35"/>
      <w:r w:rsidRPr="00673090">
        <w:t xml:space="preserve">: </w:t>
      </w:r>
      <w:r>
        <w:t>O</w:t>
      </w:r>
      <w:r w:rsidRPr="00673090">
        <w:t>ccupation rating change</w:t>
      </w:r>
      <w:r>
        <w:t xml:space="preserve">s </w:t>
      </w:r>
      <w:r w:rsidRPr="00673090">
        <w:t xml:space="preserve">between </w:t>
      </w:r>
      <w:r>
        <w:t>2025</w:t>
      </w:r>
      <w:r w:rsidRPr="00673090">
        <w:t xml:space="preserve"> and </w:t>
      </w:r>
      <w:r>
        <w:t>2026</w:t>
      </w:r>
      <w:r w:rsidRPr="00673090">
        <w:t xml:space="preserve"> OSLs</w:t>
      </w:r>
      <w:bookmarkEnd w:id="36"/>
    </w:p>
    <w:tbl>
      <w:tblPr>
        <w:tblStyle w:val="CustomTablebasic"/>
        <w:tblW w:w="5000" w:type="pct"/>
        <w:tblLook w:val="0020" w:firstRow="1" w:lastRow="0" w:firstColumn="0" w:lastColumn="0" w:noHBand="0" w:noVBand="0"/>
      </w:tblPr>
      <w:tblGrid>
        <w:gridCol w:w="4635"/>
        <w:gridCol w:w="2280"/>
        <w:gridCol w:w="2112"/>
      </w:tblGrid>
      <w:tr w:rsidR="00EA0BEE" w:rsidRPr="00EB015F" w14:paraId="364D6194" w14:textId="77777777" w:rsidTr="006E3D78">
        <w:trPr>
          <w:cnfStyle w:val="100000000000" w:firstRow="1" w:lastRow="0" w:firstColumn="0" w:lastColumn="0" w:oddVBand="0" w:evenVBand="0" w:oddHBand="0" w:evenHBand="0" w:firstRowFirstColumn="0" w:firstRowLastColumn="0" w:lastRowFirstColumn="0" w:lastRowLastColumn="0"/>
          <w:trHeight w:val="386"/>
        </w:trPr>
        <w:tc>
          <w:tcPr>
            <w:tcW w:w="2567" w:type="pct"/>
          </w:tcPr>
          <w:p w14:paraId="70C9F298" w14:textId="77777777" w:rsidR="00EA0BEE" w:rsidRPr="00543936" w:rsidRDefault="00EA0BEE" w:rsidP="006E3D78">
            <w:pPr>
              <w:pStyle w:val="TableHeading1"/>
            </w:pPr>
            <w:r w:rsidRPr="00EB015F">
              <w:t xml:space="preserve">Change from </w:t>
            </w:r>
            <w:r>
              <w:t>2025</w:t>
            </w:r>
            <w:r w:rsidRPr="00543936">
              <w:t xml:space="preserve"> to </w:t>
            </w:r>
            <w:r>
              <w:t>2026</w:t>
            </w:r>
          </w:p>
        </w:tc>
        <w:tc>
          <w:tcPr>
            <w:tcW w:w="1263" w:type="pct"/>
          </w:tcPr>
          <w:p w14:paraId="0E6CB792" w14:textId="77777777" w:rsidR="00EA0BEE" w:rsidRPr="00543936" w:rsidRDefault="00EA0BEE" w:rsidP="006E3D78">
            <w:pPr>
              <w:pStyle w:val="TableHeading1right"/>
            </w:pPr>
            <w:r w:rsidRPr="00EB015F">
              <w:t>Occupations (No.)</w:t>
            </w:r>
          </w:p>
        </w:tc>
        <w:tc>
          <w:tcPr>
            <w:tcW w:w="1170" w:type="pct"/>
          </w:tcPr>
          <w:p w14:paraId="7BCB0360" w14:textId="77777777" w:rsidR="00EA0BEE" w:rsidRPr="00543936" w:rsidRDefault="00EA0BEE" w:rsidP="006E3D78">
            <w:pPr>
              <w:pStyle w:val="TableHeading1right"/>
            </w:pPr>
            <w:r w:rsidRPr="00EB015F">
              <w:t>Occupations (%)</w:t>
            </w:r>
          </w:p>
        </w:tc>
      </w:tr>
      <w:tr w:rsidR="00EA0BEE" w:rsidRPr="00EB015F" w14:paraId="56BFEB5D" w14:textId="77777777" w:rsidTr="006E3D78">
        <w:trPr>
          <w:trHeight w:val="397"/>
        </w:trPr>
        <w:tc>
          <w:tcPr>
            <w:tcW w:w="2567" w:type="pct"/>
          </w:tcPr>
          <w:p w14:paraId="51A52D3A" w14:textId="77777777" w:rsidR="00EA0BEE" w:rsidRPr="002F5D97" w:rsidRDefault="00EA0BEE" w:rsidP="006E3D78">
            <w:pPr>
              <w:pStyle w:val="TableBodyText"/>
            </w:pPr>
            <w:r w:rsidRPr="002F5D97">
              <w:t>Still in shortage</w:t>
            </w:r>
          </w:p>
        </w:tc>
        <w:tc>
          <w:tcPr>
            <w:tcW w:w="1263" w:type="pct"/>
          </w:tcPr>
          <w:p w14:paraId="48C4E854" w14:textId="77777777" w:rsidR="00EA0BEE" w:rsidRPr="002F5D97" w:rsidRDefault="00EA0BEE" w:rsidP="006E3D78">
            <w:pPr>
              <w:pStyle w:val="TableBodyTextright"/>
            </w:pPr>
            <w:r w:rsidRPr="002F5D97">
              <w:t>251</w:t>
            </w:r>
          </w:p>
        </w:tc>
        <w:tc>
          <w:tcPr>
            <w:tcW w:w="1170" w:type="pct"/>
          </w:tcPr>
          <w:p w14:paraId="4511CBB0" w14:textId="77777777" w:rsidR="00EA0BEE" w:rsidRPr="002F5D97" w:rsidRDefault="00EA0BEE" w:rsidP="006E3D78">
            <w:pPr>
              <w:pStyle w:val="TableBodyTextright"/>
            </w:pPr>
            <w:r w:rsidRPr="002F5D97">
              <w:t>25%</w:t>
            </w:r>
          </w:p>
        </w:tc>
      </w:tr>
      <w:tr w:rsidR="00EA0BEE" w:rsidRPr="00EB015F" w14:paraId="320FE31D" w14:textId="77777777" w:rsidTr="006E3D78">
        <w:trPr>
          <w:cnfStyle w:val="000000010000" w:firstRow="0" w:lastRow="0" w:firstColumn="0" w:lastColumn="0" w:oddVBand="0" w:evenVBand="0" w:oddHBand="0" w:evenHBand="1" w:firstRowFirstColumn="0" w:firstRowLastColumn="0" w:lastRowFirstColumn="0" w:lastRowLastColumn="0"/>
          <w:trHeight w:val="386"/>
        </w:trPr>
        <w:tc>
          <w:tcPr>
            <w:tcW w:w="2567" w:type="pct"/>
          </w:tcPr>
          <w:p w14:paraId="1BB5331E" w14:textId="5271DF57" w:rsidR="00EA0BEE" w:rsidRPr="002F5D97" w:rsidRDefault="00950EA1" w:rsidP="006E3D78">
            <w:pPr>
              <w:pStyle w:val="TableBodyText"/>
            </w:pPr>
            <w:r>
              <w:t>Moved into shortage</w:t>
            </w:r>
          </w:p>
        </w:tc>
        <w:tc>
          <w:tcPr>
            <w:tcW w:w="1263" w:type="pct"/>
          </w:tcPr>
          <w:p w14:paraId="1176C1B2" w14:textId="77777777" w:rsidR="00EA0BEE" w:rsidRPr="002F5D97" w:rsidRDefault="00EA0BEE" w:rsidP="006E3D78">
            <w:pPr>
              <w:pStyle w:val="TableBodyTextright"/>
            </w:pPr>
            <w:r w:rsidRPr="002F5D97">
              <w:t>28</w:t>
            </w:r>
          </w:p>
        </w:tc>
        <w:tc>
          <w:tcPr>
            <w:tcW w:w="1170" w:type="pct"/>
          </w:tcPr>
          <w:p w14:paraId="13F17B32" w14:textId="77777777" w:rsidR="00EA0BEE" w:rsidRPr="002F5D97" w:rsidRDefault="00EA0BEE" w:rsidP="006E3D78">
            <w:pPr>
              <w:pStyle w:val="TableBodyTextright"/>
            </w:pPr>
            <w:r w:rsidRPr="002F5D97">
              <w:t>3%</w:t>
            </w:r>
          </w:p>
        </w:tc>
      </w:tr>
      <w:tr w:rsidR="00EA0BEE" w:rsidRPr="00EB015F" w14:paraId="03E873C5" w14:textId="77777777" w:rsidTr="006E3D78">
        <w:trPr>
          <w:trHeight w:val="386"/>
        </w:trPr>
        <w:tc>
          <w:tcPr>
            <w:tcW w:w="2567" w:type="pct"/>
          </w:tcPr>
          <w:p w14:paraId="2688A0FC" w14:textId="7A846699" w:rsidR="00EA0BEE" w:rsidRPr="002F5D97" w:rsidRDefault="00950EA1" w:rsidP="006E3D78">
            <w:pPr>
              <w:pStyle w:val="TableBodyText"/>
            </w:pPr>
            <w:r>
              <w:t xml:space="preserve">Moved out </w:t>
            </w:r>
            <w:r w:rsidR="008A2319">
              <w:t xml:space="preserve">of </w:t>
            </w:r>
            <w:r>
              <w:t>shortage</w:t>
            </w:r>
          </w:p>
        </w:tc>
        <w:tc>
          <w:tcPr>
            <w:tcW w:w="1263" w:type="pct"/>
          </w:tcPr>
          <w:p w14:paraId="6294A808" w14:textId="77777777" w:rsidR="00EA0BEE" w:rsidRPr="002F5D97" w:rsidRDefault="00EA0BEE" w:rsidP="006E3D78">
            <w:pPr>
              <w:pStyle w:val="TableBodyTextright"/>
            </w:pPr>
            <w:r w:rsidRPr="002F5D97">
              <w:t>42</w:t>
            </w:r>
          </w:p>
        </w:tc>
        <w:tc>
          <w:tcPr>
            <w:tcW w:w="1170" w:type="pct"/>
          </w:tcPr>
          <w:p w14:paraId="7BFF157E" w14:textId="77777777" w:rsidR="00EA0BEE" w:rsidRPr="002F5D97" w:rsidRDefault="00EA0BEE" w:rsidP="006E3D78">
            <w:pPr>
              <w:pStyle w:val="TableBodyTextright"/>
            </w:pPr>
            <w:r w:rsidRPr="002F5D97">
              <w:t>4%</w:t>
            </w:r>
          </w:p>
        </w:tc>
      </w:tr>
      <w:tr w:rsidR="00EA0BEE" w:rsidRPr="00EB015F" w14:paraId="688F0AE4" w14:textId="77777777" w:rsidTr="006E3D78">
        <w:trPr>
          <w:cnfStyle w:val="000000010000" w:firstRow="0" w:lastRow="0" w:firstColumn="0" w:lastColumn="0" w:oddVBand="0" w:evenVBand="0" w:oddHBand="0" w:evenHBand="1" w:firstRowFirstColumn="0" w:firstRowLastColumn="0" w:lastRowFirstColumn="0" w:lastRowLastColumn="0"/>
          <w:trHeight w:val="386"/>
        </w:trPr>
        <w:tc>
          <w:tcPr>
            <w:tcW w:w="2567" w:type="pct"/>
          </w:tcPr>
          <w:p w14:paraId="07ADFCC0" w14:textId="77777777" w:rsidR="00EA0BEE" w:rsidRPr="002F5D97" w:rsidRDefault="00EA0BEE" w:rsidP="006E3D78">
            <w:pPr>
              <w:pStyle w:val="TableBodyText"/>
            </w:pPr>
            <w:r w:rsidRPr="002F5D97">
              <w:t>Still in no shortage</w:t>
            </w:r>
          </w:p>
        </w:tc>
        <w:tc>
          <w:tcPr>
            <w:tcW w:w="1263" w:type="pct"/>
          </w:tcPr>
          <w:p w14:paraId="38C5FD5C" w14:textId="77777777" w:rsidR="00EA0BEE" w:rsidRPr="002F5D97" w:rsidRDefault="00EA0BEE" w:rsidP="006E3D78">
            <w:pPr>
              <w:pStyle w:val="TableBodyTextright"/>
            </w:pPr>
            <w:r w:rsidRPr="002F5D97">
              <w:t>700</w:t>
            </w:r>
          </w:p>
        </w:tc>
        <w:tc>
          <w:tcPr>
            <w:tcW w:w="1170" w:type="pct"/>
          </w:tcPr>
          <w:p w14:paraId="1E958153" w14:textId="77777777" w:rsidR="00EA0BEE" w:rsidRPr="002F5D97" w:rsidRDefault="00EA0BEE" w:rsidP="006E3D78">
            <w:pPr>
              <w:pStyle w:val="TableBodyTextright"/>
            </w:pPr>
            <w:r w:rsidRPr="002F5D97">
              <w:t>6</w:t>
            </w:r>
            <w:r>
              <w:t>9</w:t>
            </w:r>
            <w:r w:rsidRPr="002F5D97">
              <w:t>%</w:t>
            </w:r>
          </w:p>
        </w:tc>
      </w:tr>
      <w:tr w:rsidR="00EA0BEE" w:rsidRPr="00EB015F" w14:paraId="0F07DAB2" w14:textId="77777777" w:rsidTr="006E3D78">
        <w:trPr>
          <w:trHeight w:val="397"/>
        </w:trPr>
        <w:tc>
          <w:tcPr>
            <w:tcW w:w="2567" w:type="pct"/>
          </w:tcPr>
          <w:p w14:paraId="52A1C071" w14:textId="77777777" w:rsidR="00EA0BEE" w:rsidRPr="002F5D97" w:rsidRDefault="00EA0BEE" w:rsidP="006E3D78">
            <w:pPr>
              <w:pStyle w:val="TableBodyText"/>
            </w:pPr>
            <w:r w:rsidRPr="002F5D97">
              <w:t>All occupations</w:t>
            </w:r>
          </w:p>
        </w:tc>
        <w:tc>
          <w:tcPr>
            <w:tcW w:w="1263" w:type="pct"/>
          </w:tcPr>
          <w:p w14:paraId="2260934F" w14:textId="77777777" w:rsidR="00EA0BEE" w:rsidRPr="002F5D97" w:rsidRDefault="00EA0BEE" w:rsidP="006E3D78">
            <w:pPr>
              <w:pStyle w:val="TableBodyTextright"/>
            </w:pPr>
            <w:r w:rsidRPr="002F5D97">
              <w:t>1</w:t>
            </w:r>
            <w:r>
              <w:t>,</w:t>
            </w:r>
            <w:r w:rsidRPr="002F5D97">
              <w:t>021</w:t>
            </w:r>
          </w:p>
        </w:tc>
        <w:tc>
          <w:tcPr>
            <w:tcW w:w="1170" w:type="pct"/>
          </w:tcPr>
          <w:p w14:paraId="6DFFF285" w14:textId="77777777" w:rsidR="00EA0BEE" w:rsidRPr="002F5D97" w:rsidRDefault="00EA0BEE" w:rsidP="006E3D78">
            <w:pPr>
              <w:pStyle w:val="TableBodyTextright"/>
            </w:pPr>
            <w:r w:rsidRPr="002F5D97">
              <w:t>100%</w:t>
            </w:r>
          </w:p>
        </w:tc>
      </w:tr>
    </w:tbl>
    <w:p w14:paraId="3B5D943D" w14:textId="2D2B399F" w:rsidR="00EA0BEE" w:rsidRPr="0091517F" w:rsidRDefault="00EA0BEE" w:rsidP="00EA0BEE">
      <w:pPr>
        <w:pStyle w:val="Source"/>
      </w:pPr>
      <w:r w:rsidRPr="00EB015F">
        <w:t>Source: Jobs and Skills Australia</w:t>
      </w:r>
      <w:r w:rsidR="00A36D28">
        <w:t xml:space="preserve"> (2026)</w:t>
      </w:r>
      <w:r w:rsidR="003A0E3F">
        <w:t>.</w:t>
      </w:r>
    </w:p>
    <w:p w14:paraId="738B1900" w14:textId="41A14248" w:rsidR="00543936" w:rsidRPr="005965A3" w:rsidRDefault="008F560F" w:rsidP="00543936">
      <w:pPr>
        <w:pStyle w:val="BodyText"/>
      </w:pPr>
      <w:r>
        <w:t>A</w:t>
      </w:r>
      <w:r w:rsidR="00543936">
        <w:t xml:space="preserve"> quarter of </w:t>
      </w:r>
      <w:r w:rsidR="00EA0B00">
        <w:t xml:space="preserve">assessed </w:t>
      </w:r>
      <w:r w:rsidR="00543936" w:rsidRPr="005965A3">
        <w:t xml:space="preserve">occupations </w:t>
      </w:r>
      <w:r w:rsidR="00543936">
        <w:t>(or 2</w:t>
      </w:r>
      <w:r w:rsidR="003519D6">
        <w:t>51</w:t>
      </w:r>
      <w:r w:rsidR="00543936">
        <w:t>)</w:t>
      </w:r>
      <w:r w:rsidR="00543936" w:rsidRPr="005965A3">
        <w:t xml:space="preserve"> were in </w:t>
      </w:r>
      <w:r w:rsidR="00543936">
        <w:t>s</w:t>
      </w:r>
      <w:r w:rsidR="00543936" w:rsidRPr="005965A3">
        <w:t xml:space="preserve">hortage in both </w:t>
      </w:r>
      <w:r w:rsidR="00042749">
        <w:t>2025</w:t>
      </w:r>
      <w:r w:rsidR="00543936" w:rsidRPr="005965A3">
        <w:t xml:space="preserve"> and </w:t>
      </w:r>
      <w:r w:rsidR="00042749">
        <w:t>2026</w:t>
      </w:r>
      <w:r w:rsidR="00E71E51">
        <w:t xml:space="preserve">. </w:t>
      </w:r>
      <w:r w:rsidR="00920AA5">
        <w:t>Of</w:t>
      </w:r>
      <w:r w:rsidR="00654845">
        <w:t xml:space="preserve"> </w:t>
      </w:r>
      <w:r w:rsidR="00920AA5">
        <w:t>these</w:t>
      </w:r>
      <w:r w:rsidR="00543936" w:rsidRPr="005965A3">
        <w:t>:</w:t>
      </w:r>
    </w:p>
    <w:p w14:paraId="3A4B07B7" w14:textId="6E4E4753" w:rsidR="00543936" w:rsidRPr="00EB015F" w:rsidRDefault="00C43E04" w:rsidP="00543936">
      <w:pPr>
        <w:pStyle w:val="ListBullet"/>
        <w:numPr>
          <w:ilvl w:val="0"/>
          <w:numId w:val="4"/>
        </w:numPr>
      </w:pPr>
      <w:r>
        <w:t>l</w:t>
      </w:r>
      <w:r w:rsidR="003837E1">
        <w:t>ess than h</w:t>
      </w:r>
      <w:r w:rsidR="00543936">
        <w:t xml:space="preserve">alf </w:t>
      </w:r>
      <w:r w:rsidR="00543936" w:rsidRPr="00EB015F">
        <w:t>(</w:t>
      </w:r>
      <w:r w:rsidR="00654845">
        <w:t xml:space="preserve">or </w:t>
      </w:r>
      <w:r w:rsidR="00543936" w:rsidRPr="00EB015F">
        <w:t>1</w:t>
      </w:r>
      <w:r w:rsidR="00B66B74">
        <w:t>1</w:t>
      </w:r>
      <w:r w:rsidR="003837E1">
        <w:t>2</w:t>
      </w:r>
      <w:r w:rsidR="00543936" w:rsidRPr="00EB015F">
        <w:t xml:space="preserve">) were Professionals </w:t>
      </w:r>
      <w:r w:rsidR="00543936">
        <w:t xml:space="preserve">occupations, with many in </w:t>
      </w:r>
      <w:r w:rsidR="00543936" w:rsidRPr="00EB015F">
        <w:t>health</w:t>
      </w:r>
      <w:r w:rsidR="00543936">
        <w:t>, education, engineering and science.</w:t>
      </w:r>
      <w:r w:rsidR="00543936">
        <w:rPr>
          <w:rStyle w:val="FootnoteReference"/>
        </w:rPr>
        <w:footnoteReference w:id="4"/>
      </w:r>
      <w:r w:rsidR="00543936">
        <w:t xml:space="preserve"> </w:t>
      </w:r>
    </w:p>
    <w:p w14:paraId="6B73D4EA" w14:textId="4C132EB1" w:rsidR="00543936" w:rsidRPr="00EB015F" w:rsidRDefault="00C43E04" w:rsidP="00543936">
      <w:pPr>
        <w:pStyle w:val="ListBullet"/>
        <w:numPr>
          <w:ilvl w:val="0"/>
          <w:numId w:val="4"/>
        </w:numPr>
      </w:pPr>
      <w:r>
        <w:t>a</w:t>
      </w:r>
      <w:r w:rsidR="00543936">
        <w:t>bout 2 in 5 (</w:t>
      </w:r>
      <w:r w:rsidR="00654845">
        <w:t xml:space="preserve">or </w:t>
      </w:r>
      <w:r w:rsidR="00CC470E">
        <w:t>10</w:t>
      </w:r>
      <w:r w:rsidR="00BD4CA9">
        <w:t>2</w:t>
      </w:r>
      <w:r w:rsidR="00543936" w:rsidRPr="00EB015F">
        <w:t xml:space="preserve">) were Technicians and Trades Workers </w:t>
      </w:r>
      <w:r w:rsidR="00543936">
        <w:t xml:space="preserve">occupations </w:t>
      </w:r>
      <w:r w:rsidR="00D35F4C">
        <w:t>including many</w:t>
      </w:r>
      <w:r w:rsidR="00543936">
        <w:t xml:space="preserve"> from construction trades and those important to </w:t>
      </w:r>
      <w:r w:rsidR="00751019">
        <w:t xml:space="preserve">a </w:t>
      </w:r>
      <w:r w:rsidR="00543936">
        <w:t>clean energy transition.</w:t>
      </w:r>
    </w:p>
    <w:p w14:paraId="55BC0241" w14:textId="16F319BD" w:rsidR="00543936" w:rsidRPr="00066266" w:rsidRDefault="00C43E04" w:rsidP="00543936">
      <w:pPr>
        <w:pStyle w:val="ListBullet"/>
        <w:numPr>
          <w:ilvl w:val="0"/>
          <w:numId w:val="4"/>
        </w:numPr>
      </w:pPr>
      <w:r>
        <w:t>m</w:t>
      </w:r>
      <w:r w:rsidR="00543936" w:rsidRPr="00EB015F">
        <w:t xml:space="preserve">ost of the remaining </w:t>
      </w:r>
      <w:r w:rsidR="00CC470E">
        <w:t>3</w:t>
      </w:r>
      <w:r w:rsidR="00276C92">
        <w:t>7</w:t>
      </w:r>
      <w:r w:rsidR="00543936" w:rsidRPr="00EB015F">
        <w:t xml:space="preserve"> occupations </w:t>
      </w:r>
      <w:r w:rsidR="00543936">
        <w:t xml:space="preserve">were from </w:t>
      </w:r>
      <w:r w:rsidR="00543936" w:rsidRPr="00EB015F">
        <w:t>Community and Personal Service Workers</w:t>
      </w:r>
      <w:r w:rsidR="00543936">
        <w:t xml:space="preserve">, </w:t>
      </w:r>
      <w:r w:rsidR="00543936" w:rsidRPr="00EB015F">
        <w:t>Machinery Operators and Drivers</w:t>
      </w:r>
      <w:r w:rsidR="003234FF">
        <w:t>, and Labourers</w:t>
      </w:r>
      <w:r w:rsidR="00543936" w:rsidRPr="00EB015F">
        <w:t>.</w:t>
      </w:r>
    </w:p>
    <w:p w14:paraId="55213B63" w14:textId="428E5384" w:rsidR="00FC199A" w:rsidRPr="00044EF4" w:rsidRDefault="00FC199A" w:rsidP="00FC199A">
      <w:pPr>
        <w:pStyle w:val="Heading2"/>
      </w:pPr>
      <w:bookmarkStart w:id="37" w:name="_Toc242271294"/>
      <w:r>
        <w:t xml:space="preserve">Persistent shortage </w:t>
      </w:r>
      <w:r w:rsidR="004A35D4">
        <w:t>by major groups</w:t>
      </w:r>
      <w:bookmarkEnd w:id="37"/>
      <w:r>
        <w:t xml:space="preserve"> </w:t>
      </w:r>
    </w:p>
    <w:p w14:paraId="78474F0F" w14:textId="38195DE4" w:rsidR="00FC199A" w:rsidRDefault="00BE2800" w:rsidP="00FC199A">
      <w:pPr>
        <w:pStyle w:val="BodyText"/>
      </w:pPr>
      <w:r w:rsidRPr="009B4E70">
        <w:t>Persistent s</w:t>
      </w:r>
      <w:r w:rsidR="00FC199A" w:rsidRPr="009B4E70">
        <w:t>hortages were most common among Technicians and Trades Workers</w:t>
      </w:r>
      <w:r w:rsidR="00AD5397">
        <w:t xml:space="preserve"> and</w:t>
      </w:r>
      <w:r w:rsidR="00FC199A" w:rsidRPr="009B4E70">
        <w:t xml:space="preserve"> Professionals</w:t>
      </w:r>
      <w:r w:rsidR="00E5598F">
        <w:t>.</w:t>
      </w:r>
      <w:r w:rsidR="00FC199A" w:rsidRPr="009B4E70">
        <w:t xml:space="preserve"> </w:t>
      </w:r>
    </w:p>
    <w:p w14:paraId="16A3BFE6" w14:textId="6C6B9C6C" w:rsidR="00F20605" w:rsidRPr="00171ECB" w:rsidRDefault="00F66080" w:rsidP="00DC6C19">
      <w:pPr>
        <w:pStyle w:val="BodyText"/>
      </w:pPr>
      <w:r w:rsidRPr="00171ECB">
        <w:t>Table 2</w:t>
      </w:r>
      <w:r w:rsidR="00543936" w:rsidRPr="00171ECB">
        <w:t xml:space="preserve"> shows</w:t>
      </w:r>
      <w:r w:rsidR="00E2374D">
        <w:t xml:space="preserve"> that </w:t>
      </w:r>
      <w:r w:rsidR="00605522" w:rsidRPr="00171ECB">
        <w:t>1</w:t>
      </w:r>
      <w:r w:rsidR="00387C80" w:rsidRPr="00171ECB">
        <w:t>2</w:t>
      </w:r>
      <w:r w:rsidR="003014DD">
        <w:t>7</w:t>
      </w:r>
      <w:r w:rsidR="00605522" w:rsidRPr="00171ECB">
        <w:t xml:space="preserve"> </w:t>
      </w:r>
      <w:r w:rsidR="00543936" w:rsidRPr="00171ECB">
        <w:t xml:space="preserve">occupations </w:t>
      </w:r>
      <w:r w:rsidR="00D65564">
        <w:t xml:space="preserve">that have been </w:t>
      </w:r>
      <w:r w:rsidR="00543936" w:rsidRPr="00171ECB">
        <w:t xml:space="preserve">in shortage </w:t>
      </w:r>
      <w:r w:rsidR="001D254C" w:rsidRPr="00171ECB">
        <w:t xml:space="preserve">in every OSL </w:t>
      </w:r>
      <w:r w:rsidR="00543936" w:rsidRPr="00171ECB">
        <w:t xml:space="preserve">from </w:t>
      </w:r>
      <w:r w:rsidR="00042749" w:rsidRPr="00171ECB">
        <w:t>202</w:t>
      </w:r>
      <w:r w:rsidR="00BF2DB6" w:rsidRPr="00171ECB">
        <w:t>1</w:t>
      </w:r>
      <w:r w:rsidR="00543936" w:rsidRPr="00171ECB">
        <w:t xml:space="preserve"> to </w:t>
      </w:r>
      <w:r w:rsidR="00042749" w:rsidRPr="00171ECB">
        <w:t>2026</w:t>
      </w:r>
      <w:r w:rsidR="00543936" w:rsidRPr="00171ECB">
        <w:t>.</w:t>
      </w:r>
      <w:r w:rsidR="00053074" w:rsidRPr="00171ECB">
        <w:t xml:space="preserve"> </w:t>
      </w:r>
      <w:r w:rsidR="00663EAD" w:rsidRPr="00171ECB">
        <w:t>The</w:t>
      </w:r>
      <w:r w:rsidR="00053074" w:rsidRPr="00171ECB">
        <w:t>se</w:t>
      </w:r>
      <w:r w:rsidR="00663EAD" w:rsidRPr="00171ECB">
        <w:t xml:space="preserve"> persistent shortages </w:t>
      </w:r>
      <w:r w:rsidR="0004134B">
        <w:t>a</w:t>
      </w:r>
      <w:r w:rsidR="00663EAD" w:rsidRPr="00171ECB">
        <w:t xml:space="preserve">re </w:t>
      </w:r>
      <w:r w:rsidR="00053074" w:rsidRPr="00171ECB">
        <w:t xml:space="preserve">highly </w:t>
      </w:r>
      <w:r w:rsidR="00663EAD" w:rsidRPr="00171ECB">
        <w:t xml:space="preserve">concentrated in </w:t>
      </w:r>
      <w:r w:rsidR="00217AFE" w:rsidRPr="00171ECB">
        <w:t>Technicians and Trades Workers and Professionals</w:t>
      </w:r>
      <w:r w:rsidR="00053074" w:rsidRPr="00171ECB">
        <w:t>, which together accounted for 11</w:t>
      </w:r>
      <w:r w:rsidR="00EC699B">
        <w:t>5</w:t>
      </w:r>
      <w:r w:rsidR="00053074" w:rsidRPr="00171ECB">
        <w:t xml:space="preserve"> </w:t>
      </w:r>
      <w:r w:rsidR="00237B75" w:rsidRPr="00171ECB">
        <w:t>occupations</w:t>
      </w:r>
      <w:r w:rsidR="00624FAA">
        <w:t xml:space="preserve"> </w:t>
      </w:r>
      <w:r w:rsidR="00624FAA">
        <w:br/>
        <w:t>(</w:t>
      </w:r>
      <w:r w:rsidR="00237B75" w:rsidRPr="00171ECB">
        <w:t>9</w:t>
      </w:r>
      <w:r w:rsidR="00EC699B">
        <w:t>0</w:t>
      </w:r>
      <w:r w:rsidR="00237B75" w:rsidRPr="00171ECB">
        <w:t>% of all persistent shortages</w:t>
      </w:r>
      <w:r w:rsidR="00624FAA">
        <w:t>)</w:t>
      </w:r>
      <w:r w:rsidR="00237B75" w:rsidRPr="00171ECB">
        <w:t>.</w:t>
      </w:r>
      <w:r w:rsidR="00217AFE" w:rsidRPr="00171ECB">
        <w:t xml:space="preserve"> </w:t>
      </w:r>
      <w:bookmarkStart w:id="38" w:name="_Ref207792693"/>
      <w:bookmarkStart w:id="39" w:name="_Toc211349856"/>
    </w:p>
    <w:p w14:paraId="2C2821AC" w14:textId="77777777" w:rsidR="00BF58E7" w:rsidRDefault="00BF58E7">
      <w:pPr>
        <w:spacing w:before="0" w:after="200" w:line="276" w:lineRule="auto"/>
        <w:rPr>
          <w:rFonts w:eastAsia="Times New Roman" w:cs="Times New Roman"/>
          <w:szCs w:val="24"/>
          <w:lang w:eastAsia="en-GB"/>
        </w:rPr>
      </w:pPr>
      <w:r>
        <w:br w:type="page"/>
      </w:r>
    </w:p>
    <w:p w14:paraId="3618FFD1" w14:textId="343CA3C8" w:rsidR="000572D9" w:rsidRPr="00171ECB" w:rsidRDefault="00B00571" w:rsidP="000572D9">
      <w:pPr>
        <w:pStyle w:val="ListBullet"/>
        <w:numPr>
          <w:ilvl w:val="0"/>
          <w:numId w:val="4"/>
        </w:numPr>
      </w:pPr>
      <w:r w:rsidRPr="00171ECB">
        <w:lastRenderedPageBreak/>
        <w:t xml:space="preserve">Technicians and Trades Workers made up the largest share, </w:t>
      </w:r>
      <w:r w:rsidR="00011B42" w:rsidRPr="00171ECB">
        <w:t xml:space="preserve">with </w:t>
      </w:r>
      <w:r w:rsidR="00EC699B">
        <w:t>69</w:t>
      </w:r>
      <w:r w:rsidR="003761B3" w:rsidRPr="00171ECB">
        <w:t xml:space="preserve"> occupations, or </w:t>
      </w:r>
      <w:r w:rsidRPr="00171ECB">
        <w:t xml:space="preserve">54% </w:t>
      </w:r>
      <w:r w:rsidR="003761B3" w:rsidRPr="00171ECB">
        <w:t xml:space="preserve">of all persistent shortages. Many of these were </w:t>
      </w:r>
      <w:r w:rsidR="00526F8F" w:rsidRPr="00171ECB">
        <w:t xml:space="preserve">in </w:t>
      </w:r>
      <w:r w:rsidRPr="00171ECB">
        <w:t>construction, engineering trades, and electrotechnology and telecommunications trades.</w:t>
      </w:r>
      <w:r w:rsidR="007E7B19" w:rsidRPr="00171ECB">
        <w:t xml:space="preserve"> </w:t>
      </w:r>
    </w:p>
    <w:p w14:paraId="644D6090" w14:textId="360D0A01" w:rsidR="00877FA9" w:rsidRPr="00171ECB" w:rsidRDefault="00653DD9" w:rsidP="000572D9">
      <w:pPr>
        <w:pStyle w:val="ListBullet"/>
        <w:numPr>
          <w:ilvl w:val="0"/>
          <w:numId w:val="4"/>
        </w:numPr>
      </w:pPr>
      <w:r w:rsidRPr="00171ECB">
        <w:t>Professional</w:t>
      </w:r>
      <w:r w:rsidR="00F20605" w:rsidRPr="00171ECB">
        <w:t>s accounted for a further 4</w:t>
      </w:r>
      <w:r w:rsidR="00A86730">
        <w:t>6</w:t>
      </w:r>
      <w:r w:rsidR="00F20605" w:rsidRPr="00171ECB">
        <w:t xml:space="preserve"> occupations, or 3</w:t>
      </w:r>
      <w:r w:rsidR="00A86730">
        <w:t>6</w:t>
      </w:r>
      <w:r w:rsidR="00F20605" w:rsidRPr="00171ECB">
        <w:t xml:space="preserve">% </w:t>
      </w:r>
      <w:r w:rsidR="00381B74" w:rsidRPr="00066266">
        <w:t xml:space="preserve">of all persistent shortages, </w:t>
      </w:r>
      <w:r w:rsidR="00F20605" w:rsidRPr="00171ECB">
        <w:t>with</w:t>
      </w:r>
      <w:r w:rsidR="007E7B19" w:rsidRPr="00171ECB">
        <w:t xml:space="preserve"> shortages</w:t>
      </w:r>
      <w:r w:rsidR="00F20605" w:rsidRPr="00171ECB">
        <w:t xml:space="preserve"> across </w:t>
      </w:r>
      <w:r w:rsidRPr="00171ECB">
        <w:t>health, early childhood education, and engineering and science</w:t>
      </w:r>
      <w:r w:rsidR="0061640A" w:rsidRPr="00171ECB">
        <w:t xml:space="preserve"> roles</w:t>
      </w:r>
      <w:r w:rsidRPr="00171ECB">
        <w:t xml:space="preserve">. </w:t>
      </w:r>
    </w:p>
    <w:p w14:paraId="53044844" w14:textId="2D459D1C" w:rsidR="0061640A" w:rsidRPr="00171ECB" w:rsidRDefault="0061640A" w:rsidP="000572D9">
      <w:pPr>
        <w:pStyle w:val="ListBullet"/>
        <w:numPr>
          <w:ilvl w:val="0"/>
          <w:numId w:val="4"/>
        </w:numPr>
      </w:pPr>
      <w:r w:rsidRPr="00171ECB">
        <w:t xml:space="preserve">The remaining </w:t>
      </w:r>
      <w:r w:rsidR="00923C56" w:rsidRPr="00171ECB">
        <w:t>1</w:t>
      </w:r>
      <w:r w:rsidR="00540ABA">
        <w:t>2</w:t>
      </w:r>
      <w:r w:rsidR="00923C56" w:rsidRPr="00171ECB">
        <w:t xml:space="preserve"> </w:t>
      </w:r>
      <w:r w:rsidRPr="00171ECB">
        <w:t xml:space="preserve">persistent shortages were mainly in care-related occupations, machinery operator and driver roles, and a small number of manager occupations. </w:t>
      </w:r>
    </w:p>
    <w:p w14:paraId="015CE59C" w14:textId="1006E081" w:rsidR="004F5021" w:rsidRPr="003835B2" w:rsidRDefault="002D476E" w:rsidP="003835B2">
      <w:pPr>
        <w:pStyle w:val="BodyText"/>
      </w:pPr>
      <w:bookmarkStart w:id="40" w:name="_Ref236236151"/>
      <w:r w:rsidRPr="003835B2">
        <w:t xml:space="preserve">A detailed breakdown of persistent shortages from 2021 to 2026 by sub-major group is provided in </w:t>
      </w:r>
      <w:r w:rsidR="0048341F" w:rsidRPr="003835B2">
        <w:t>Appendi</w:t>
      </w:r>
      <w:r w:rsidR="008E2A30" w:rsidRPr="003835B2">
        <w:t>x B,</w:t>
      </w:r>
      <w:r w:rsidR="003835B2">
        <w:t xml:space="preserve"> Table B</w:t>
      </w:r>
      <w:r w:rsidR="003835B2">
        <w:rPr>
          <w:noProof/>
        </w:rPr>
        <w:t>1</w:t>
      </w:r>
      <w:r w:rsidRPr="003835B2">
        <w:t>.</w:t>
      </w:r>
    </w:p>
    <w:p w14:paraId="67E32BAC" w14:textId="19F18365" w:rsidR="00543936" w:rsidRPr="00171ECB" w:rsidRDefault="00543936" w:rsidP="00E3446B">
      <w:pPr>
        <w:pStyle w:val="Caption"/>
        <w:keepNext/>
        <w:keepLines/>
      </w:pPr>
      <w:bookmarkStart w:id="41" w:name="_Ref240642748"/>
      <w:bookmarkStart w:id="42" w:name="_Toc242271309"/>
      <w:r w:rsidRPr="00171ECB">
        <w:t xml:space="preserve">Table </w:t>
      </w:r>
      <w:r w:rsidRPr="00171ECB">
        <w:fldChar w:fldCharType="begin"/>
      </w:r>
      <w:r w:rsidRPr="00171ECB">
        <w:instrText xml:space="preserve"> SEQ Table \* ARABIC </w:instrText>
      </w:r>
      <w:r w:rsidRPr="00171ECB">
        <w:fldChar w:fldCharType="separate"/>
      </w:r>
      <w:r w:rsidR="00286763">
        <w:rPr>
          <w:noProof/>
        </w:rPr>
        <w:t>2</w:t>
      </w:r>
      <w:r w:rsidRPr="00171ECB">
        <w:fldChar w:fldCharType="end"/>
      </w:r>
      <w:bookmarkEnd w:id="38"/>
      <w:bookmarkEnd w:id="40"/>
      <w:bookmarkEnd w:id="41"/>
      <w:r w:rsidRPr="00171ECB">
        <w:t xml:space="preserve">: Number of occupations in persistent shortage, by major group, </w:t>
      </w:r>
      <w:r w:rsidR="00042749" w:rsidRPr="00171ECB">
        <w:t>202</w:t>
      </w:r>
      <w:r w:rsidR="00BF2DB6" w:rsidRPr="00171ECB">
        <w:t>1</w:t>
      </w:r>
      <w:r w:rsidRPr="00171ECB">
        <w:t xml:space="preserve"> to </w:t>
      </w:r>
      <w:r w:rsidR="00042749" w:rsidRPr="00171ECB">
        <w:t>2026</w:t>
      </w:r>
      <w:r w:rsidRPr="00171ECB">
        <w:t xml:space="preserve"> OSLs</w:t>
      </w:r>
      <w:bookmarkEnd w:id="39"/>
      <w:bookmarkEnd w:id="42"/>
    </w:p>
    <w:tbl>
      <w:tblPr>
        <w:tblStyle w:val="CustomTablebasic"/>
        <w:tblW w:w="5000" w:type="pct"/>
        <w:tblLook w:val="0020" w:firstRow="1" w:lastRow="0" w:firstColumn="0" w:lastColumn="0" w:noHBand="0" w:noVBand="0"/>
      </w:tblPr>
      <w:tblGrid>
        <w:gridCol w:w="4860"/>
        <w:gridCol w:w="2163"/>
        <w:gridCol w:w="2004"/>
      </w:tblGrid>
      <w:tr w:rsidR="00543936" w:rsidRPr="00066266" w14:paraId="56C59941" w14:textId="77777777">
        <w:trPr>
          <w:cnfStyle w:val="100000000000" w:firstRow="1" w:lastRow="0" w:firstColumn="0" w:lastColumn="0" w:oddVBand="0" w:evenVBand="0" w:oddHBand="0" w:evenHBand="0" w:firstRowFirstColumn="0" w:firstRowLastColumn="0" w:lastRowFirstColumn="0" w:lastRowLastColumn="0"/>
        </w:trPr>
        <w:tc>
          <w:tcPr>
            <w:tcW w:w="2692" w:type="pct"/>
          </w:tcPr>
          <w:p w14:paraId="110F6624" w14:textId="08BE3BA8" w:rsidR="00543936" w:rsidRPr="00171ECB" w:rsidRDefault="00AC6E00" w:rsidP="00543936">
            <w:pPr>
              <w:pStyle w:val="TableHeading1"/>
            </w:pPr>
            <w:r>
              <w:t>Major group</w:t>
            </w:r>
          </w:p>
        </w:tc>
        <w:tc>
          <w:tcPr>
            <w:tcW w:w="1198" w:type="pct"/>
          </w:tcPr>
          <w:p w14:paraId="16CE21D6" w14:textId="77777777" w:rsidR="00543936" w:rsidRPr="00171ECB" w:rsidRDefault="00543936" w:rsidP="00543936">
            <w:pPr>
              <w:pStyle w:val="TableHeading1"/>
            </w:pPr>
            <w:r w:rsidRPr="00171ECB">
              <w:t>Occupations (No.)</w:t>
            </w:r>
          </w:p>
        </w:tc>
        <w:tc>
          <w:tcPr>
            <w:tcW w:w="1110" w:type="pct"/>
          </w:tcPr>
          <w:p w14:paraId="7CF4CF67" w14:textId="77777777" w:rsidR="00543936" w:rsidRPr="00171ECB" w:rsidRDefault="00543936" w:rsidP="00543936">
            <w:pPr>
              <w:pStyle w:val="TableHeading1"/>
            </w:pPr>
            <w:r w:rsidRPr="00171ECB">
              <w:t>Occupations (%)</w:t>
            </w:r>
          </w:p>
        </w:tc>
      </w:tr>
      <w:tr w:rsidR="00E86647" w:rsidRPr="00066266" w14:paraId="5191429A" w14:textId="77777777">
        <w:tc>
          <w:tcPr>
            <w:tcW w:w="2692" w:type="pct"/>
          </w:tcPr>
          <w:p w14:paraId="75952FBF" w14:textId="77777777" w:rsidR="00E86647" w:rsidRPr="00171ECB" w:rsidRDefault="00E86647" w:rsidP="00E86647">
            <w:pPr>
              <w:pStyle w:val="TableBodyText"/>
            </w:pPr>
            <w:r w:rsidRPr="00171ECB">
              <w:t>Managers</w:t>
            </w:r>
          </w:p>
        </w:tc>
        <w:tc>
          <w:tcPr>
            <w:tcW w:w="1198" w:type="pct"/>
          </w:tcPr>
          <w:p w14:paraId="7755AA1E" w14:textId="4A9DD785" w:rsidR="00E86647" w:rsidRPr="00171ECB" w:rsidRDefault="00E86647" w:rsidP="00E86647">
            <w:pPr>
              <w:pStyle w:val="TableBodyTextright"/>
            </w:pPr>
            <w:r w:rsidRPr="00171ECB">
              <w:t>2</w:t>
            </w:r>
          </w:p>
        </w:tc>
        <w:tc>
          <w:tcPr>
            <w:tcW w:w="1110" w:type="pct"/>
          </w:tcPr>
          <w:p w14:paraId="2C6C4B4B" w14:textId="5A4E8776" w:rsidR="00E86647" w:rsidRPr="00171ECB" w:rsidRDefault="00E86647" w:rsidP="00E86647">
            <w:pPr>
              <w:pStyle w:val="TableBodyTextright"/>
            </w:pPr>
            <w:r w:rsidRPr="00171ECB">
              <w:t>2%</w:t>
            </w:r>
          </w:p>
        </w:tc>
      </w:tr>
      <w:tr w:rsidR="00E86647" w:rsidRPr="00066266" w14:paraId="5403B4B8" w14:textId="77777777">
        <w:trPr>
          <w:cnfStyle w:val="000000010000" w:firstRow="0" w:lastRow="0" w:firstColumn="0" w:lastColumn="0" w:oddVBand="0" w:evenVBand="0" w:oddHBand="0" w:evenHBand="1" w:firstRowFirstColumn="0" w:firstRowLastColumn="0" w:lastRowFirstColumn="0" w:lastRowLastColumn="0"/>
        </w:trPr>
        <w:tc>
          <w:tcPr>
            <w:tcW w:w="2692" w:type="pct"/>
          </w:tcPr>
          <w:p w14:paraId="4CB4FD4A" w14:textId="77777777" w:rsidR="00E86647" w:rsidRPr="00171ECB" w:rsidRDefault="00E86647" w:rsidP="00E86647">
            <w:pPr>
              <w:pStyle w:val="TableBodyText"/>
            </w:pPr>
            <w:r w:rsidRPr="00171ECB">
              <w:t>Professionals</w:t>
            </w:r>
          </w:p>
        </w:tc>
        <w:tc>
          <w:tcPr>
            <w:tcW w:w="1198" w:type="pct"/>
          </w:tcPr>
          <w:p w14:paraId="5665D693" w14:textId="05034120" w:rsidR="00E86647" w:rsidRPr="00171ECB" w:rsidRDefault="00E86647" w:rsidP="00E86647">
            <w:pPr>
              <w:pStyle w:val="TableBodyTextright"/>
            </w:pPr>
            <w:r w:rsidRPr="00171ECB">
              <w:t>4</w:t>
            </w:r>
            <w:r w:rsidR="005C69CD">
              <w:t>6</w:t>
            </w:r>
          </w:p>
        </w:tc>
        <w:tc>
          <w:tcPr>
            <w:tcW w:w="1110" w:type="pct"/>
          </w:tcPr>
          <w:p w14:paraId="1BE5A550" w14:textId="68E618BA" w:rsidR="00E86647" w:rsidRPr="00171ECB" w:rsidRDefault="00E86647" w:rsidP="00E86647">
            <w:pPr>
              <w:pStyle w:val="TableBodyTextright"/>
            </w:pPr>
            <w:r w:rsidRPr="00171ECB">
              <w:t>3</w:t>
            </w:r>
            <w:r w:rsidR="005F79D5">
              <w:t>6</w:t>
            </w:r>
            <w:r w:rsidRPr="00171ECB">
              <w:t>%</w:t>
            </w:r>
          </w:p>
        </w:tc>
      </w:tr>
      <w:tr w:rsidR="00E86647" w:rsidRPr="00066266" w14:paraId="346114D3" w14:textId="77777777">
        <w:tc>
          <w:tcPr>
            <w:tcW w:w="2692" w:type="pct"/>
          </w:tcPr>
          <w:p w14:paraId="2D38DBB3" w14:textId="77777777" w:rsidR="00E86647" w:rsidRPr="00171ECB" w:rsidRDefault="00E86647" w:rsidP="00E86647">
            <w:pPr>
              <w:pStyle w:val="TableBodyText"/>
            </w:pPr>
            <w:r w:rsidRPr="00171ECB">
              <w:t>Technicians and Trades Workers</w:t>
            </w:r>
          </w:p>
        </w:tc>
        <w:tc>
          <w:tcPr>
            <w:tcW w:w="1198" w:type="pct"/>
          </w:tcPr>
          <w:p w14:paraId="7951283B" w14:textId="5E4F88EF" w:rsidR="00E86647" w:rsidRPr="00171ECB" w:rsidRDefault="005F79D5" w:rsidP="00E86647">
            <w:pPr>
              <w:pStyle w:val="TableBodyTextright"/>
            </w:pPr>
            <w:r>
              <w:t>69</w:t>
            </w:r>
          </w:p>
        </w:tc>
        <w:tc>
          <w:tcPr>
            <w:tcW w:w="1110" w:type="pct"/>
          </w:tcPr>
          <w:p w14:paraId="39816734" w14:textId="4010D04C" w:rsidR="00E86647" w:rsidRPr="00171ECB" w:rsidRDefault="00E86647" w:rsidP="00E86647">
            <w:pPr>
              <w:pStyle w:val="TableBodyTextright"/>
            </w:pPr>
            <w:r w:rsidRPr="00171ECB">
              <w:t>54%</w:t>
            </w:r>
          </w:p>
        </w:tc>
      </w:tr>
      <w:tr w:rsidR="00E86647" w:rsidRPr="00066266" w14:paraId="107F9876" w14:textId="77777777">
        <w:trPr>
          <w:cnfStyle w:val="000000010000" w:firstRow="0" w:lastRow="0" w:firstColumn="0" w:lastColumn="0" w:oddVBand="0" w:evenVBand="0" w:oddHBand="0" w:evenHBand="1" w:firstRowFirstColumn="0" w:firstRowLastColumn="0" w:lastRowFirstColumn="0" w:lastRowLastColumn="0"/>
        </w:trPr>
        <w:tc>
          <w:tcPr>
            <w:tcW w:w="2692" w:type="pct"/>
          </w:tcPr>
          <w:p w14:paraId="0B68C1D1" w14:textId="77777777" w:rsidR="00E86647" w:rsidRPr="00171ECB" w:rsidRDefault="00E86647" w:rsidP="00E86647">
            <w:pPr>
              <w:pStyle w:val="TableBodyText"/>
            </w:pPr>
            <w:r w:rsidRPr="00171ECB">
              <w:t>Community and Personal Service Workers</w:t>
            </w:r>
          </w:p>
        </w:tc>
        <w:tc>
          <w:tcPr>
            <w:tcW w:w="1198" w:type="pct"/>
          </w:tcPr>
          <w:p w14:paraId="4CE01643" w14:textId="728CA8A5" w:rsidR="00E86647" w:rsidRPr="00171ECB" w:rsidRDefault="00E86647" w:rsidP="00E86647">
            <w:pPr>
              <w:pStyle w:val="TableBodyTextright"/>
            </w:pPr>
            <w:r w:rsidRPr="00171ECB">
              <w:t>6</w:t>
            </w:r>
          </w:p>
        </w:tc>
        <w:tc>
          <w:tcPr>
            <w:tcW w:w="1110" w:type="pct"/>
          </w:tcPr>
          <w:p w14:paraId="4BC2F00A" w14:textId="30C9C367" w:rsidR="00E86647" w:rsidRPr="00171ECB" w:rsidRDefault="00E86647" w:rsidP="00E86647">
            <w:pPr>
              <w:pStyle w:val="TableBodyTextright"/>
            </w:pPr>
            <w:r w:rsidRPr="00171ECB">
              <w:t>5%</w:t>
            </w:r>
          </w:p>
        </w:tc>
      </w:tr>
      <w:tr w:rsidR="00E86647" w:rsidRPr="00066266" w14:paraId="5A0B7B48" w14:textId="77777777">
        <w:tc>
          <w:tcPr>
            <w:tcW w:w="2692" w:type="pct"/>
          </w:tcPr>
          <w:p w14:paraId="0A089EC4" w14:textId="77777777" w:rsidR="00E86647" w:rsidRPr="00171ECB" w:rsidRDefault="00E86647" w:rsidP="00E86647">
            <w:pPr>
              <w:pStyle w:val="TableBodyText"/>
            </w:pPr>
            <w:r w:rsidRPr="00171ECB">
              <w:t>Machinery Operators and Drivers</w:t>
            </w:r>
          </w:p>
        </w:tc>
        <w:tc>
          <w:tcPr>
            <w:tcW w:w="1198" w:type="pct"/>
          </w:tcPr>
          <w:p w14:paraId="07BF8C04" w14:textId="2C453236" w:rsidR="00E86647" w:rsidRPr="00171ECB" w:rsidRDefault="005F79D5" w:rsidP="00E86647">
            <w:pPr>
              <w:pStyle w:val="TableBodyTextright"/>
            </w:pPr>
            <w:r>
              <w:t>4</w:t>
            </w:r>
          </w:p>
        </w:tc>
        <w:tc>
          <w:tcPr>
            <w:tcW w:w="1110" w:type="pct"/>
          </w:tcPr>
          <w:p w14:paraId="5A6B1B84" w14:textId="75A3FEFB" w:rsidR="00E86647" w:rsidRPr="00171ECB" w:rsidRDefault="005F79D5" w:rsidP="00E86647">
            <w:pPr>
              <w:pStyle w:val="TableBodyTextright"/>
            </w:pPr>
            <w:r>
              <w:t>3</w:t>
            </w:r>
            <w:r w:rsidR="00E86647" w:rsidRPr="00171ECB">
              <w:t>%</w:t>
            </w:r>
          </w:p>
        </w:tc>
      </w:tr>
      <w:tr w:rsidR="00E86647" w:rsidRPr="00066266" w14:paraId="64E2D916" w14:textId="77777777">
        <w:trPr>
          <w:cnfStyle w:val="000000010000" w:firstRow="0" w:lastRow="0" w:firstColumn="0" w:lastColumn="0" w:oddVBand="0" w:evenVBand="0" w:oddHBand="0" w:evenHBand="1" w:firstRowFirstColumn="0" w:firstRowLastColumn="0" w:lastRowFirstColumn="0" w:lastRowLastColumn="0"/>
        </w:trPr>
        <w:tc>
          <w:tcPr>
            <w:tcW w:w="2692" w:type="pct"/>
          </w:tcPr>
          <w:p w14:paraId="05855B51" w14:textId="77777777" w:rsidR="00E86647" w:rsidRPr="00171ECB" w:rsidRDefault="00E86647" w:rsidP="00E86647">
            <w:pPr>
              <w:pStyle w:val="TableBodyText"/>
            </w:pPr>
            <w:r w:rsidRPr="00171ECB">
              <w:t>All occupations</w:t>
            </w:r>
          </w:p>
        </w:tc>
        <w:tc>
          <w:tcPr>
            <w:tcW w:w="1198" w:type="pct"/>
          </w:tcPr>
          <w:p w14:paraId="680CE3F4" w14:textId="2F79DA52" w:rsidR="00E86647" w:rsidRPr="00171ECB" w:rsidRDefault="00E86647" w:rsidP="00E86647">
            <w:pPr>
              <w:pStyle w:val="TableBodyTextright"/>
            </w:pPr>
            <w:r w:rsidRPr="00171ECB">
              <w:t>12</w:t>
            </w:r>
            <w:r w:rsidR="005F79D5">
              <w:t>7</w:t>
            </w:r>
          </w:p>
        </w:tc>
        <w:tc>
          <w:tcPr>
            <w:tcW w:w="1110" w:type="pct"/>
          </w:tcPr>
          <w:p w14:paraId="5191E3F4" w14:textId="20B703DE" w:rsidR="00E86647" w:rsidRPr="00171ECB" w:rsidRDefault="00E86647" w:rsidP="00E86647">
            <w:pPr>
              <w:pStyle w:val="TableBodyTextright"/>
            </w:pPr>
            <w:r w:rsidRPr="00171ECB">
              <w:t>100%</w:t>
            </w:r>
          </w:p>
        </w:tc>
      </w:tr>
    </w:tbl>
    <w:p w14:paraId="6DAF0BD6" w14:textId="5AD7CE08" w:rsidR="00543936" w:rsidRPr="00171ECB" w:rsidRDefault="00543936" w:rsidP="00543936">
      <w:pPr>
        <w:pStyle w:val="Source"/>
      </w:pPr>
      <w:r w:rsidRPr="00171ECB">
        <w:t>Source: Jobs and Skills Australia</w:t>
      </w:r>
      <w:r w:rsidR="00B80644">
        <w:t xml:space="preserve"> (</w:t>
      </w:r>
      <w:r w:rsidR="00042749" w:rsidRPr="00171ECB">
        <w:t>2026</w:t>
      </w:r>
      <w:r w:rsidR="00B80644">
        <w:t>)</w:t>
      </w:r>
      <w:r w:rsidRPr="00171ECB">
        <w:t>.</w:t>
      </w:r>
      <w:r w:rsidR="008E2A30">
        <w:br/>
      </w:r>
      <w:r w:rsidRPr="00171ECB">
        <w:t xml:space="preserve">Note: </w:t>
      </w:r>
      <w:r w:rsidR="003620FB" w:rsidRPr="00171ECB">
        <w:t xml:space="preserve">Persistent shortages are occupations </w:t>
      </w:r>
      <w:r w:rsidR="00DD69CC" w:rsidRPr="00171ECB">
        <w:t xml:space="preserve">that were in shortage in </w:t>
      </w:r>
      <w:r w:rsidR="003620FB" w:rsidRPr="00171ECB">
        <w:t>every</w:t>
      </w:r>
      <w:r w:rsidR="00C34C9C" w:rsidRPr="00171ECB">
        <w:t xml:space="preserve"> </w:t>
      </w:r>
      <w:r w:rsidR="00DD69CC" w:rsidRPr="00171ECB">
        <w:t>OSL from 2021</w:t>
      </w:r>
      <w:r w:rsidR="00C34C9C" w:rsidRPr="00171ECB">
        <w:t xml:space="preserve"> to 2026. </w:t>
      </w:r>
      <w:r w:rsidRPr="00171ECB">
        <w:t xml:space="preserve">No </w:t>
      </w:r>
      <w:r w:rsidR="00D13E19" w:rsidRPr="00171ECB">
        <w:t xml:space="preserve">Clerical and Administrative Workers, </w:t>
      </w:r>
      <w:r w:rsidRPr="00171ECB">
        <w:t>Sales Workers</w:t>
      </w:r>
      <w:r w:rsidR="00DD3C42" w:rsidRPr="00171ECB">
        <w:t>, and Labourers</w:t>
      </w:r>
      <w:r w:rsidRPr="00171ECB">
        <w:t xml:space="preserve"> </w:t>
      </w:r>
      <w:r w:rsidR="00B6375A" w:rsidRPr="00171ECB">
        <w:t xml:space="preserve">occupations </w:t>
      </w:r>
      <w:r w:rsidRPr="00171ECB">
        <w:t>were in persistent shortage</w:t>
      </w:r>
      <w:r w:rsidR="00DD3C42" w:rsidRPr="00171ECB">
        <w:t xml:space="preserve"> </w:t>
      </w:r>
      <w:r w:rsidR="00B6375A" w:rsidRPr="00171ECB">
        <w:t>over this period.</w:t>
      </w:r>
    </w:p>
    <w:p w14:paraId="2D681138" w14:textId="33D70345" w:rsidR="007F5B93" w:rsidRPr="00171ECB" w:rsidRDefault="009265BB" w:rsidP="1E66A55C">
      <w:pPr>
        <w:pStyle w:val="BodyText"/>
      </w:pPr>
      <w:r w:rsidRPr="00171ECB">
        <w:t xml:space="preserve">Table </w:t>
      </w:r>
      <w:r w:rsidRPr="00171ECB">
        <w:rPr>
          <w:noProof/>
        </w:rPr>
        <w:t>3</w:t>
      </w:r>
      <w:r w:rsidRPr="00171ECB">
        <w:t xml:space="preserve"> shows </w:t>
      </w:r>
      <w:r w:rsidR="004E1E5B" w:rsidRPr="00171ECB">
        <w:t>6</w:t>
      </w:r>
      <w:r w:rsidR="0093664A">
        <w:t>6</w:t>
      </w:r>
      <w:r w:rsidR="004E1E5B" w:rsidRPr="00171ECB">
        <w:t xml:space="preserve"> </w:t>
      </w:r>
      <w:r w:rsidR="00B63F48">
        <w:t xml:space="preserve">additional </w:t>
      </w:r>
      <w:r w:rsidR="004E1E5B" w:rsidRPr="00171ECB">
        <w:t xml:space="preserve">occupations that </w:t>
      </w:r>
      <w:r w:rsidR="004D095F">
        <w:t>were</w:t>
      </w:r>
      <w:r w:rsidR="002F0B23">
        <w:t xml:space="preserve"> in </w:t>
      </w:r>
      <w:r w:rsidR="005A1321" w:rsidRPr="00171ECB">
        <w:t>shortage</w:t>
      </w:r>
      <w:r w:rsidR="004E1E5B" w:rsidRPr="00171ECB">
        <w:t>s</w:t>
      </w:r>
      <w:r w:rsidR="005A1321" w:rsidRPr="00171ECB">
        <w:t xml:space="preserve"> from 2022</w:t>
      </w:r>
      <w:r w:rsidR="00A840DE">
        <w:t xml:space="preserve"> to 2026</w:t>
      </w:r>
      <w:r w:rsidR="00F04027" w:rsidRPr="00171ECB">
        <w:t xml:space="preserve">. These occupations were </w:t>
      </w:r>
      <w:r w:rsidR="00166723" w:rsidRPr="00171ECB">
        <w:t xml:space="preserve">either </w:t>
      </w:r>
      <w:r w:rsidR="00200676" w:rsidRPr="00171ECB">
        <w:t xml:space="preserve">not in shortage in </w:t>
      </w:r>
      <w:r w:rsidR="00E3716D" w:rsidRPr="00171ECB">
        <w:t>2021 or</w:t>
      </w:r>
      <w:r w:rsidR="00200676" w:rsidRPr="00171ECB">
        <w:t xml:space="preserve"> </w:t>
      </w:r>
      <w:r w:rsidR="00F04027" w:rsidRPr="00171ECB">
        <w:t xml:space="preserve">did not have a </w:t>
      </w:r>
      <w:r w:rsidR="007F5B93" w:rsidRPr="00171ECB">
        <w:t xml:space="preserve">2021 rating because they were </w:t>
      </w:r>
      <w:r w:rsidR="00F454D9" w:rsidRPr="00171ECB">
        <w:t>new to the 2022 A</w:t>
      </w:r>
      <w:r w:rsidR="008A2F42">
        <w:t xml:space="preserve">ustralian </w:t>
      </w:r>
      <w:r w:rsidR="00BE795C">
        <w:t xml:space="preserve">and </w:t>
      </w:r>
      <w:r w:rsidR="00F454D9" w:rsidRPr="00171ECB">
        <w:t>N</w:t>
      </w:r>
      <w:r w:rsidR="00BE795C">
        <w:t xml:space="preserve">ew </w:t>
      </w:r>
      <w:r w:rsidR="00F454D9" w:rsidRPr="00171ECB">
        <w:t>Z</w:t>
      </w:r>
      <w:r w:rsidR="00BE795C">
        <w:t xml:space="preserve">ealand </w:t>
      </w:r>
      <w:r w:rsidR="00F454D9" w:rsidRPr="00171ECB">
        <w:t>S</w:t>
      </w:r>
      <w:r w:rsidR="00BE795C">
        <w:t xml:space="preserve">tandard </w:t>
      </w:r>
      <w:r w:rsidR="00F454D9" w:rsidRPr="00171ECB">
        <w:t>C</w:t>
      </w:r>
      <w:r w:rsidR="00BE795C">
        <w:t xml:space="preserve">lassification of </w:t>
      </w:r>
      <w:r w:rsidR="00F454D9" w:rsidRPr="00171ECB">
        <w:t>O</w:t>
      </w:r>
      <w:r w:rsidR="00BE795C">
        <w:t>ccupations (ANZSC</w:t>
      </w:r>
      <w:r w:rsidR="00934A1B">
        <w:t>O)</w:t>
      </w:r>
      <w:r w:rsidR="000A741C" w:rsidRPr="00171ECB">
        <w:t>.</w:t>
      </w:r>
      <w:r w:rsidR="002C4629">
        <w:rPr>
          <w:rStyle w:val="FootnoteReference"/>
        </w:rPr>
        <w:footnoteReference w:id="5"/>
      </w:r>
      <w:r w:rsidR="000A741C" w:rsidRPr="00171ECB">
        <w:t xml:space="preserve"> </w:t>
      </w:r>
      <w:r w:rsidR="007F5B93" w:rsidRPr="00171ECB">
        <w:t xml:space="preserve">However, they were in shortage in every OSL </w:t>
      </w:r>
      <w:r w:rsidR="00F21B75">
        <w:t xml:space="preserve">since </w:t>
      </w:r>
      <w:r w:rsidR="007F5B93" w:rsidRPr="00171ECB">
        <w:t xml:space="preserve">2022. </w:t>
      </w:r>
    </w:p>
    <w:p w14:paraId="2802224E" w14:textId="45AE16EE" w:rsidR="00A03BF7" w:rsidRPr="00171ECB" w:rsidRDefault="00A03BF7" w:rsidP="00A03BF7">
      <w:pPr>
        <w:pStyle w:val="Caption"/>
      </w:pPr>
      <w:bookmarkStart w:id="43" w:name="_Ref236230817"/>
      <w:bookmarkStart w:id="44" w:name="_Toc242271310"/>
      <w:r w:rsidRPr="00171ECB">
        <w:t xml:space="preserve">Table </w:t>
      </w:r>
      <w:r w:rsidRPr="00171ECB">
        <w:fldChar w:fldCharType="begin"/>
      </w:r>
      <w:r w:rsidRPr="00171ECB">
        <w:instrText xml:space="preserve"> SEQ Table \* ARABIC </w:instrText>
      </w:r>
      <w:r w:rsidRPr="00171ECB">
        <w:fldChar w:fldCharType="separate"/>
      </w:r>
      <w:r w:rsidR="00286763">
        <w:rPr>
          <w:noProof/>
        </w:rPr>
        <w:t>3</w:t>
      </w:r>
      <w:r w:rsidRPr="00171ECB">
        <w:fldChar w:fldCharType="end"/>
      </w:r>
      <w:bookmarkEnd w:id="43"/>
      <w:r w:rsidRPr="00171ECB">
        <w:t xml:space="preserve">: Number of </w:t>
      </w:r>
      <w:r w:rsidR="00845F52" w:rsidRPr="00171ECB">
        <w:t xml:space="preserve">additional </w:t>
      </w:r>
      <w:r w:rsidRPr="00171ECB">
        <w:t>occupations in</w:t>
      </w:r>
      <w:r w:rsidR="00D51CA6">
        <w:t xml:space="preserve"> </w:t>
      </w:r>
      <w:r w:rsidRPr="00171ECB">
        <w:t>persistent shortage</w:t>
      </w:r>
      <w:r w:rsidR="007F3AC1" w:rsidRPr="00171ECB">
        <w:t xml:space="preserve"> from 2022 to 2026 OSLs</w:t>
      </w:r>
      <w:r w:rsidRPr="00171ECB">
        <w:t>, by major group</w:t>
      </w:r>
      <w:bookmarkEnd w:id="44"/>
    </w:p>
    <w:tbl>
      <w:tblPr>
        <w:tblStyle w:val="CustomTablebasic"/>
        <w:tblW w:w="5000" w:type="pct"/>
        <w:tblLook w:val="0020" w:firstRow="1" w:lastRow="0" w:firstColumn="0" w:lastColumn="0" w:noHBand="0" w:noVBand="0"/>
      </w:tblPr>
      <w:tblGrid>
        <w:gridCol w:w="4860"/>
        <w:gridCol w:w="2163"/>
        <w:gridCol w:w="2004"/>
      </w:tblGrid>
      <w:tr w:rsidR="00036C45" w:rsidRPr="00066266" w14:paraId="001110CD" w14:textId="77777777">
        <w:trPr>
          <w:cnfStyle w:val="100000000000" w:firstRow="1" w:lastRow="0" w:firstColumn="0" w:lastColumn="0" w:oddVBand="0" w:evenVBand="0" w:oddHBand="0" w:evenHBand="0" w:firstRowFirstColumn="0" w:firstRowLastColumn="0" w:lastRowFirstColumn="0" w:lastRowLastColumn="0"/>
        </w:trPr>
        <w:tc>
          <w:tcPr>
            <w:tcW w:w="2692" w:type="pct"/>
          </w:tcPr>
          <w:p w14:paraId="77C396A6" w14:textId="32EA9460" w:rsidR="00036C45" w:rsidRPr="00171ECB" w:rsidRDefault="00715579">
            <w:pPr>
              <w:pStyle w:val="TableHeading1"/>
            </w:pPr>
            <w:r>
              <w:t>Major group</w:t>
            </w:r>
            <w:r w:rsidR="00036C45" w:rsidRPr="00171ECB">
              <w:t xml:space="preserve"> </w:t>
            </w:r>
          </w:p>
        </w:tc>
        <w:tc>
          <w:tcPr>
            <w:tcW w:w="1198" w:type="pct"/>
          </w:tcPr>
          <w:p w14:paraId="25775E6F" w14:textId="77777777" w:rsidR="00036C45" w:rsidRPr="00171ECB" w:rsidRDefault="00036C45">
            <w:pPr>
              <w:pStyle w:val="TableHeading1"/>
            </w:pPr>
            <w:r w:rsidRPr="00171ECB">
              <w:t>Occupations (No.)</w:t>
            </w:r>
          </w:p>
        </w:tc>
        <w:tc>
          <w:tcPr>
            <w:tcW w:w="1110" w:type="pct"/>
          </w:tcPr>
          <w:p w14:paraId="6F6E932D" w14:textId="77777777" w:rsidR="00036C45" w:rsidRPr="00171ECB" w:rsidRDefault="00036C45">
            <w:pPr>
              <w:pStyle w:val="TableHeading1"/>
            </w:pPr>
            <w:r w:rsidRPr="00171ECB">
              <w:t>Occupations (%)</w:t>
            </w:r>
          </w:p>
        </w:tc>
      </w:tr>
      <w:tr w:rsidR="006979AA" w:rsidRPr="00066266" w14:paraId="4A795629" w14:textId="77777777">
        <w:tc>
          <w:tcPr>
            <w:tcW w:w="2692" w:type="pct"/>
          </w:tcPr>
          <w:p w14:paraId="7452B62A" w14:textId="77777777" w:rsidR="006979AA" w:rsidRPr="00171ECB" w:rsidRDefault="006979AA" w:rsidP="006979AA">
            <w:pPr>
              <w:pStyle w:val="TableBodyText"/>
            </w:pPr>
            <w:r w:rsidRPr="00171ECB">
              <w:t>Professionals</w:t>
            </w:r>
          </w:p>
        </w:tc>
        <w:tc>
          <w:tcPr>
            <w:tcW w:w="1198" w:type="pct"/>
          </w:tcPr>
          <w:p w14:paraId="24234CD7" w14:textId="6C4AF3C0" w:rsidR="006979AA" w:rsidRPr="00171ECB" w:rsidRDefault="006979AA" w:rsidP="006979AA">
            <w:pPr>
              <w:pStyle w:val="TableBodyTextright"/>
            </w:pPr>
            <w:r w:rsidRPr="00171ECB">
              <w:t>3</w:t>
            </w:r>
            <w:r w:rsidR="00AE514F">
              <w:t>9</w:t>
            </w:r>
          </w:p>
        </w:tc>
        <w:tc>
          <w:tcPr>
            <w:tcW w:w="1110" w:type="pct"/>
          </w:tcPr>
          <w:p w14:paraId="79479703" w14:textId="1275F487" w:rsidR="006979AA" w:rsidRPr="00171ECB" w:rsidRDefault="006979AA" w:rsidP="006979AA">
            <w:pPr>
              <w:pStyle w:val="TableBodyTextright"/>
            </w:pPr>
            <w:r w:rsidRPr="00171ECB">
              <w:t>5</w:t>
            </w:r>
            <w:r w:rsidR="00575711">
              <w:t>9</w:t>
            </w:r>
            <w:r w:rsidRPr="00171ECB">
              <w:t>%</w:t>
            </w:r>
          </w:p>
        </w:tc>
      </w:tr>
      <w:tr w:rsidR="006979AA" w:rsidRPr="00066266" w14:paraId="6AB5BCBF" w14:textId="77777777">
        <w:trPr>
          <w:cnfStyle w:val="000000010000" w:firstRow="0" w:lastRow="0" w:firstColumn="0" w:lastColumn="0" w:oddVBand="0" w:evenVBand="0" w:oddHBand="0" w:evenHBand="1" w:firstRowFirstColumn="0" w:firstRowLastColumn="0" w:lastRowFirstColumn="0" w:lastRowLastColumn="0"/>
        </w:trPr>
        <w:tc>
          <w:tcPr>
            <w:tcW w:w="2692" w:type="pct"/>
          </w:tcPr>
          <w:p w14:paraId="2BEB3757" w14:textId="77777777" w:rsidR="006979AA" w:rsidRPr="00171ECB" w:rsidRDefault="006979AA" w:rsidP="006979AA">
            <w:pPr>
              <w:pStyle w:val="TableBodyText"/>
            </w:pPr>
            <w:r w:rsidRPr="00171ECB">
              <w:t>Technicians and Trades Workers</w:t>
            </w:r>
          </w:p>
        </w:tc>
        <w:tc>
          <w:tcPr>
            <w:tcW w:w="1198" w:type="pct"/>
          </w:tcPr>
          <w:p w14:paraId="79B6D347" w14:textId="5232A88C" w:rsidR="006979AA" w:rsidRPr="00171ECB" w:rsidRDefault="006979AA" w:rsidP="006979AA">
            <w:pPr>
              <w:pStyle w:val="TableBodyTextright"/>
            </w:pPr>
            <w:r w:rsidRPr="00171ECB">
              <w:t>1</w:t>
            </w:r>
            <w:r w:rsidR="00AE514F">
              <w:t>3</w:t>
            </w:r>
          </w:p>
        </w:tc>
        <w:tc>
          <w:tcPr>
            <w:tcW w:w="1110" w:type="pct"/>
          </w:tcPr>
          <w:p w14:paraId="75D4405A" w14:textId="7C78E3F7" w:rsidR="006979AA" w:rsidRPr="00171ECB" w:rsidRDefault="006979AA" w:rsidP="006979AA">
            <w:pPr>
              <w:pStyle w:val="TableBodyTextright"/>
            </w:pPr>
            <w:r w:rsidRPr="00171ECB">
              <w:t>2</w:t>
            </w:r>
            <w:r w:rsidR="00575711">
              <w:t>0</w:t>
            </w:r>
            <w:r w:rsidRPr="00171ECB">
              <w:t>%</w:t>
            </w:r>
          </w:p>
        </w:tc>
      </w:tr>
      <w:tr w:rsidR="006979AA" w:rsidRPr="00066266" w14:paraId="737EB1EF" w14:textId="77777777">
        <w:tc>
          <w:tcPr>
            <w:tcW w:w="2692" w:type="pct"/>
          </w:tcPr>
          <w:p w14:paraId="5916D58F" w14:textId="77777777" w:rsidR="006979AA" w:rsidRPr="00171ECB" w:rsidRDefault="006979AA" w:rsidP="006979AA">
            <w:pPr>
              <w:pStyle w:val="TableBodyText"/>
            </w:pPr>
            <w:r w:rsidRPr="00171ECB">
              <w:t>Community and Personal Service Workers</w:t>
            </w:r>
          </w:p>
        </w:tc>
        <w:tc>
          <w:tcPr>
            <w:tcW w:w="1198" w:type="pct"/>
          </w:tcPr>
          <w:p w14:paraId="5C0BB78C" w14:textId="5CD8CA78" w:rsidR="006979AA" w:rsidRPr="00171ECB" w:rsidRDefault="006979AA" w:rsidP="006979AA">
            <w:pPr>
              <w:pStyle w:val="TableBodyTextright"/>
            </w:pPr>
            <w:r w:rsidRPr="00171ECB">
              <w:t>6</w:t>
            </w:r>
          </w:p>
        </w:tc>
        <w:tc>
          <w:tcPr>
            <w:tcW w:w="1110" w:type="pct"/>
          </w:tcPr>
          <w:p w14:paraId="488D6594" w14:textId="35104EED" w:rsidR="006979AA" w:rsidRPr="00171ECB" w:rsidRDefault="006979AA" w:rsidP="006979AA">
            <w:pPr>
              <w:pStyle w:val="TableBodyTextright"/>
            </w:pPr>
            <w:r w:rsidRPr="00171ECB">
              <w:t>9%</w:t>
            </w:r>
          </w:p>
        </w:tc>
      </w:tr>
      <w:tr w:rsidR="006979AA" w:rsidRPr="00066266" w14:paraId="6230ABDE" w14:textId="77777777">
        <w:trPr>
          <w:cnfStyle w:val="000000010000" w:firstRow="0" w:lastRow="0" w:firstColumn="0" w:lastColumn="0" w:oddVBand="0" w:evenVBand="0" w:oddHBand="0" w:evenHBand="1" w:firstRowFirstColumn="0" w:firstRowLastColumn="0" w:lastRowFirstColumn="0" w:lastRowLastColumn="0"/>
        </w:trPr>
        <w:tc>
          <w:tcPr>
            <w:tcW w:w="2692" w:type="pct"/>
          </w:tcPr>
          <w:p w14:paraId="11B66726" w14:textId="384315A1" w:rsidR="006979AA" w:rsidRPr="00171ECB" w:rsidRDefault="006979AA" w:rsidP="006979AA">
            <w:pPr>
              <w:pStyle w:val="TableBodyText"/>
            </w:pPr>
            <w:r w:rsidRPr="00171ECB">
              <w:t>Clerical and Administrative Workers</w:t>
            </w:r>
          </w:p>
        </w:tc>
        <w:tc>
          <w:tcPr>
            <w:tcW w:w="1198" w:type="pct"/>
          </w:tcPr>
          <w:p w14:paraId="1D9FE8A2" w14:textId="4DB09AE9" w:rsidR="006979AA" w:rsidRPr="00171ECB" w:rsidRDefault="006979AA" w:rsidP="006979AA">
            <w:pPr>
              <w:pStyle w:val="TableBodyTextright"/>
            </w:pPr>
            <w:r w:rsidRPr="00171ECB">
              <w:t>1</w:t>
            </w:r>
          </w:p>
        </w:tc>
        <w:tc>
          <w:tcPr>
            <w:tcW w:w="1110" w:type="pct"/>
          </w:tcPr>
          <w:p w14:paraId="1AAC61CD" w14:textId="0B33BB0F" w:rsidR="006979AA" w:rsidRPr="00171ECB" w:rsidRDefault="006979AA" w:rsidP="006979AA">
            <w:pPr>
              <w:pStyle w:val="TableBodyTextright"/>
            </w:pPr>
            <w:r w:rsidRPr="00171ECB">
              <w:t>2%</w:t>
            </w:r>
          </w:p>
        </w:tc>
      </w:tr>
      <w:tr w:rsidR="006979AA" w:rsidRPr="00066266" w14:paraId="704AEC4A" w14:textId="77777777">
        <w:tc>
          <w:tcPr>
            <w:tcW w:w="2692" w:type="pct"/>
          </w:tcPr>
          <w:p w14:paraId="5E7D0F7D" w14:textId="77777777" w:rsidR="006979AA" w:rsidRPr="00171ECB" w:rsidRDefault="006979AA" w:rsidP="006979AA">
            <w:pPr>
              <w:pStyle w:val="TableBodyText"/>
            </w:pPr>
            <w:r w:rsidRPr="00171ECB">
              <w:t>Machinery Operators and Drivers</w:t>
            </w:r>
          </w:p>
        </w:tc>
        <w:tc>
          <w:tcPr>
            <w:tcW w:w="1198" w:type="pct"/>
          </w:tcPr>
          <w:p w14:paraId="7EC81D60" w14:textId="44CE6428" w:rsidR="006979AA" w:rsidRPr="00171ECB" w:rsidRDefault="00AE514F" w:rsidP="006979AA">
            <w:pPr>
              <w:pStyle w:val="TableBodyTextright"/>
            </w:pPr>
            <w:r>
              <w:t>4</w:t>
            </w:r>
          </w:p>
        </w:tc>
        <w:tc>
          <w:tcPr>
            <w:tcW w:w="1110" w:type="pct"/>
          </w:tcPr>
          <w:p w14:paraId="5E1BEC73" w14:textId="3CE51BE3" w:rsidR="006979AA" w:rsidRPr="00171ECB" w:rsidRDefault="00575711" w:rsidP="006979AA">
            <w:pPr>
              <w:pStyle w:val="TableBodyTextright"/>
            </w:pPr>
            <w:r>
              <w:t>6</w:t>
            </w:r>
            <w:r w:rsidR="006979AA" w:rsidRPr="00171ECB">
              <w:t>%</w:t>
            </w:r>
          </w:p>
        </w:tc>
      </w:tr>
      <w:tr w:rsidR="006979AA" w:rsidRPr="00066266" w14:paraId="73B61170" w14:textId="77777777">
        <w:trPr>
          <w:cnfStyle w:val="000000010000" w:firstRow="0" w:lastRow="0" w:firstColumn="0" w:lastColumn="0" w:oddVBand="0" w:evenVBand="0" w:oddHBand="0" w:evenHBand="1" w:firstRowFirstColumn="0" w:firstRowLastColumn="0" w:lastRowFirstColumn="0" w:lastRowLastColumn="0"/>
        </w:trPr>
        <w:tc>
          <w:tcPr>
            <w:tcW w:w="2692" w:type="pct"/>
          </w:tcPr>
          <w:p w14:paraId="47E1E539" w14:textId="7A2EC52D" w:rsidR="006979AA" w:rsidRPr="00171ECB" w:rsidRDefault="006979AA" w:rsidP="006979AA">
            <w:pPr>
              <w:pStyle w:val="TableBodyText"/>
            </w:pPr>
            <w:r w:rsidRPr="00171ECB">
              <w:t>Labourers</w:t>
            </w:r>
          </w:p>
        </w:tc>
        <w:tc>
          <w:tcPr>
            <w:tcW w:w="1198" w:type="pct"/>
          </w:tcPr>
          <w:p w14:paraId="40239E03" w14:textId="7AE4E717" w:rsidR="006979AA" w:rsidRPr="00171ECB" w:rsidRDefault="006979AA" w:rsidP="006979AA">
            <w:pPr>
              <w:pStyle w:val="TableBodyTextright"/>
            </w:pPr>
            <w:r w:rsidRPr="00171ECB">
              <w:t>3</w:t>
            </w:r>
          </w:p>
        </w:tc>
        <w:tc>
          <w:tcPr>
            <w:tcW w:w="1110" w:type="pct"/>
          </w:tcPr>
          <w:p w14:paraId="3171BEEB" w14:textId="3A8263C7" w:rsidR="006979AA" w:rsidRPr="00171ECB" w:rsidRDefault="006979AA" w:rsidP="006979AA">
            <w:pPr>
              <w:pStyle w:val="TableBodyTextright"/>
            </w:pPr>
            <w:r w:rsidRPr="00171ECB">
              <w:t>5%</w:t>
            </w:r>
          </w:p>
        </w:tc>
      </w:tr>
      <w:tr w:rsidR="006979AA" w:rsidRPr="00066266" w14:paraId="4EB855D5" w14:textId="77777777">
        <w:tc>
          <w:tcPr>
            <w:tcW w:w="2692" w:type="pct"/>
          </w:tcPr>
          <w:p w14:paraId="0557BE09" w14:textId="77777777" w:rsidR="006979AA" w:rsidRPr="00171ECB" w:rsidRDefault="006979AA" w:rsidP="006979AA">
            <w:pPr>
              <w:pStyle w:val="TableBodyText"/>
            </w:pPr>
            <w:r w:rsidRPr="00171ECB">
              <w:t>All occupations</w:t>
            </w:r>
          </w:p>
        </w:tc>
        <w:tc>
          <w:tcPr>
            <w:tcW w:w="1198" w:type="pct"/>
          </w:tcPr>
          <w:p w14:paraId="12220928" w14:textId="3C6BA6A3" w:rsidR="006979AA" w:rsidRPr="00171ECB" w:rsidRDefault="006979AA" w:rsidP="006979AA">
            <w:pPr>
              <w:pStyle w:val="TableBodyTextright"/>
            </w:pPr>
            <w:r w:rsidRPr="00171ECB">
              <w:t>6</w:t>
            </w:r>
            <w:r w:rsidR="00AE514F">
              <w:t>6</w:t>
            </w:r>
          </w:p>
        </w:tc>
        <w:tc>
          <w:tcPr>
            <w:tcW w:w="1110" w:type="pct"/>
          </w:tcPr>
          <w:p w14:paraId="3EC60B9D" w14:textId="6685AD79" w:rsidR="006979AA" w:rsidRPr="00171ECB" w:rsidRDefault="006979AA" w:rsidP="006979AA">
            <w:pPr>
              <w:pStyle w:val="TableBodyTextright"/>
            </w:pPr>
            <w:r w:rsidRPr="00171ECB">
              <w:t>100%</w:t>
            </w:r>
          </w:p>
        </w:tc>
      </w:tr>
    </w:tbl>
    <w:p w14:paraId="2122E4DA" w14:textId="25E9F946" w:rsidR="0013748B" w:rsidRDefault="00036C45" w:rsidP="00622CD0">
      <w:pPr>
        <w:pStyle w:val="Source"/>
      </w:pPr>
      <w:r w:rsidRPr="00171ECB">
        <w:t xml:space="preserve">Source: Jobs and Skills Australia </w:t>
      </w:r>
      <w:r w:rsidR="00995573">
        <w:t>(</w:t>
      </w:r>
      <w:r w:rsidRPr="00171ECB">
        <w:t>2026</w:t>
      </w:r>
      <w:r w:rsidR="00995573">
        <w:t>)</w:t>
      </w:r>
      <w:r w:rsidRPr="00171ECB">
        <w:t>.</w:t>
      </w:r>
      <w:r w:rsidR="00C02A0A">
        <w:br/>
      </w:r>
      <w:r w:rsidRPr="00171ECB">
        <w:t xml:space="preserve">Note: </w:t>
      </w:r>
      <w:r w:rsidR="00754C75" w:rsidRPr="00754C75">
        <w:t>Additional persistent shortages are occupations that were not in shortage in 2021</w:t>
      </w:r>
      <w:r w:rsidR="006E4162">
        <w:t xml:space="preserve"> (6</w:t>
      </w:r>
      <w:r w:rsidR="00923839">
        <w:t>2</w:t>
      </w:r>
      <w:r w:rsidR="006E4162">
        <w:t xml:space="preserve"> occupations)</w:t>
      </w:r>
      <w:r w:rsidR="00754C75" w:rsidRPr="00754C75">
        <w:t>, or had no 2021 OSL rating because they were new to the 2022 ANZSCO classification</w:t>
      </w:r>
      <w:r w:rsidR="006E4162">
        <w:t xml:space="preserve"> (4 occupations)</w:t>
      </w:r>
      <w:r w:rsidR="00754C75" w:rsidRPr="00754C75">
        <w:t xml:space="preserve">. They were then in shortage in every OSL from 2022 to 2026. </w:t>
      </w:r>
      <w:r w:rsidR="00CA73CE" w:rsidRPr="00066266">
        <w:t>Percentages may not sum to 100</w:t>
      </w:r>
      <w:r w:rsidR="0002166F">
        <w:t>%</w:t>
      </w:r>
      <w:r w:rsidR="00CA73CE" w:rsidRPr="00066266">
        <w:t xml:space="preserve"> due to rounding.</w:t>
      </w:r>
    </w:p>
    <w:p w14:paraId="0333832F" w14:textId="77777777" w:rsidR="00841085" w:rsidRDefault="00F21B75">
      <w:pPr>
        <w:pStyle w:val="BodyText"/>
      </w:pPr>
      <w:r w:rsidRPr="00447271">
        <w:lastRenderedPageBreak/>
        <w:t xml:space="preserve">These additional persistent shortages were mainly in the Professionals major group, which accounted for 39 out of the 66 occupations, or 59%. </w:t>
      </w:r>
    </w:p>
    <w:p w14:paraId="495CEE71" w14:textId="3D9111BD" w:rsidR="00B2320F" w:rsidRDefault="00887549" w:rsidP="009B4E70">
      <w:pPr>
        <w:pStyle w:val="BodyText"/>
      </w:pPr>
      <w:r>
        <w:t>Table B</w:t>
      </w:r>
      <w:r>
        <w:rPr>
          <w:noProof/>
        </w:rPr>
        <w:t>2</w:t>
      </w:r>
      <w:r>
        <w:t xml:space="preserve"> </w:t>
      </w:r>
      <w:r w:rsidR="007844C5">
        <w:t xml:space="preserve">in Appendix B </w:t>
      </w:r>
      <w:r w:rsidR="00F21B75" w:rsidRPr="00447271">
        <w:t>shows that many of these were Health Professionals, with 31 occupations in this sub-major group. This suggests that some shortages that emerged around 2022 have continued over several years, particularly in health-related professional roles.</w:t>
      </w:r>
    </w:p>
    <w:p w14:paraId="0E35840B" w14:textId="13D273EE" w:rsidR="00F21B75" w:rsidRDefault="00F21B75" w:rsidP="00F21B75">
      <w:pPr>
        <w:pStyle w:val="BodyText"/>
        <w:rPr>
          <w:kern w:val="2"/>
          <w:szCs w:val="22"/>
          <w:lang w:eastAsia="en-AU"/>
          <w14:ligatures w14:val="standardContextual"/>
        </w:rPr>
      </w:pPr>
      <w:r w:rsidRPr="00447271">
        <w:t xml:space="preserve">This may partly reflect </w:t>
      </w:r>
      <w:r w:rsidR="00040845">
        <w:t xml:space="preserve">a higher </w:t>
      </w:r>
      <w:r w:rsidRPr="00447271">
        <w:t>demand for health professionals during and after the COVID-19 pandemic, as well as the time needed to train and qualify workers in many health occupations.</w:t>
      </w:r>
    </w:p>
    <w:p w14:paraId="5D007312" w14:textId="7DEBF3B3" w:rsidR="00F21B75" w:rsidRPr="00C85598" w:rsidRDefault="00F21B75" w:rsidP="009B4E70">
      <w:pPr>
        <w:pStyle w:val="BodyText"/>
      </w:pPr>
      <w:r w:rsidRPr="00171ECB">
        <w:t xml:space="preserve">Taken together, Table 2 and Table </w:t>
      </w:r>
      <w:r w:rsidRPr="00171ECB">
        <w:rPr>
          <w:noProof/>
        </w:rPr>
        <w:t>3</w:t>
      </w:r>
      <w:r w:rsidRPr="00171ECB">
        <w:t xml:space="preserve"> show that persistent shortages are not spread evenly across the labour market. Long-running shortages are concentrated in professional, </w:t>
      </w:r>
      <w:r w:rsidR="00D64CA0">
        <w:t xml:space="preserve">and </w:t>
      </w:r>
      <w:r w:rsidRPr="00171ECB">
        <w:t>techni</w:t>
      </w:r>
      <w:r w:rsidR="00D64CA0">
        <w:t xml:space="preserve">cian </w:t>
      </w:r>
      <w:r w:rsidRPr="00171ECB">
        <w:t>and trade</w:t>
      </w:r>
      <w:r w:rsidR="00D64CA0">
        <w:t xml:space="preserve"> </w:t>
      </w:r>
      <w:r w:rsidR="002A5ADF">
        <w:t>occupations</w:t>
      </w:r>
      <w:r w:rsidR="00E074CF">
        <w:t>. T</w:t>
      </w:r>
      <w:r w:rsidRPr="00171ECB">
        <w:t>he newer group of shortages from 2022 to 2026 is especially concentrated in health-related profession</w:t>
      </w:r>
      <w:r w:rsidR="00F91953">
        <w:t>s</w:t>
      </w:r>
      <w:r w:rsidRPr="00171ECB">
        <w:t xml:space="preserve">. </w:t>
      </w:r>
    </w:p>
    <w:p w14:paraId="3F344AF8" w14:textId="6798C23C" w:rsidR="00520AF0" w:rsidRDefault="00CA484F" w:rsidP="00005BCF">
      <w:pPr>
        <w:pStyle w:val="Heading2"/>
      </w:pPr>
      <w:bookmarkStart w:id="45" w:name="_Toc242271295"/>
      <w:bookmarkStart w:id="46" w:name="_Ref207885563"/>
      <w:bookmarkStart w:id="47" w:name="_Ref207872530"/>
      <w:bookmarkStart w:id="48" w:name="_Ref207872578"/>
      <w:r>
        <w:t>Shortages by major groups</w:t>
      </w:r>
      <w:bookmarkEnd w:id="45"/>
    </w:p>
    <w:p w14:paraId="5A47E22F" w14:textId="0F18D47F" w:rsidR="00BA3872" w:rsidRDefault="003B418B" w:rsidP="009B4E70">
      <w:pPr>
        <w:pStyle w:val="BodyText"/>
        <w:rPr>
          <w:b/>
          <w:bCs/>
          <w:color w:val="012749"/>
          <w:sz w:val="18"/>
          <w:szCs w:val="18"/>
        </w:rPr>
      </w:pPr>
      <w:r>
        <w:t>T</w:t>
      </w:r>
      <w:r w:rsidR="002960B9" w:rsidRPr="00CF7ED9">
        <w:t xml:space="preserve">he </w:t>
      </w:r>
      <w:r>
        <w:t xml:space="preserve">shortage </w:t>
      </w:r>
      <w:r w:rsidR="00D830B5" w:rsidRPr="00CF7ED9">
        <w:t>result</w:t>
      </w:r>
      <w:r w:rsidR="003468A6" w:rsidRPr="00CF7ED9">
        <w:t xml:space="preserve">s </w:t>
      </w:r>
      <w:r w:rsidR="003C4DB8" w:rsidRPr="00CF7ED9">
        <w:t>vary by</w:t>
      </w:r>
      <w:r w:rsidR="003468A6" w:rsidRPr="00CF7ED9">
        <w:t xml:space="preserve"> major group </w:t>
      </w:r>
      <w:r w:rsidR="00E33451" w:rsidRPr="00CF7ED9">
        <w:t>(</w:t>
      </w:r>
      <w:r w:rsidR="00EE31E5" w:rsidRPr="00CF7ED9">
        <w:t>Figure 2</w:t>
      </w:r>
      <w:r w:rsidR="00E33451" w:rsidRPr="00CF7ED9">
        <w:t>).</w:t>
      </w:r>
      <w:r w:rsidR="00C82DFF" w:rsidRPr="00CF7ED9">
        <w:t xml:space="preserve"> </w:t>
      </w:r>
      <w:bookmarkEnd w:id="46"/>
      <w:bookmarkEnd w:id="47"/>
      <w:bookmarkEnd w:id="48"/>
    </w:p>
    <w:p w14:paraId="04F0C07C" w14:textId="6F15DED0" w:rsidR="00DF6C57" w:rsidRPr="00ED3789" w:rsidRDefault="00CB11C5" w:rsidP="00766122">
      <w:pPr>
        <w:pStyle w:val="Caption"/>
        <w:keepNext/>
        <w:keepLines/>
        <w:rPr>
          <w:lang w:eastAsia="en-GB"/>
        </w:rPr>
      </w:pPr>
      <w:bookmarkStart w:id="49" w:name="_Ref235185876"/>
      <w:bookmarkStart w:id="50" w:name="_Toc235190219"/>
      <w:bookmarkStart w:id="51" w:name="_Toc235190654"/>
      <w:bookmarkStart w:id="52" w:name="_Toc242271314"/>
      <w:r w:rsidRPr="005F259A">
        <w:t xml:space="preserve">Figure </w:t>
      </w:r>
      <w:r w:rsidR="00EE31E5">
        <w:fldChar w:fldCharType="begin"/>
      </w:r>
      <w:r w:rsidR="00EE31E5">
        <w:instrText xml:space="preserve"> SEQ Figure \* ARABIC </w:instrText>
      </w:r>
      <w:r w:rsidR="00EE31E5">
        <w:fldChar w:fldCharType="separate"/>
      </w:r>
      <w:r w:rsidR="00286763">
        <w:rPr>
          <w:noProof/>
        </w:rPr>
        <w:t>2</w:t>
      </w:r>
      <w:r w:rsidR="00EE31E5">
        <w:fldChar w:fldCharType="end"/>
      </w:r>
      <w:bookmarkEnd w:id="49"/>
      <w:r w:rsidRPr="005F259A">
        <w:t xml:space="preserve">: </w:t>
      </w:r>
      <w:r w:rsidR="00F177D8">
        <w:t xml:space="preserve">Percentage of </w:t>
      </w:r>
      <w:r w:rsidR="00DE6E2F">
        <w:t>o</w:t>
      </w:r>
      <w:r w:rsidR="006E2820" w:rsidRPr="006F18E6">
        <w:t xml:space="preserve">ccupations in </w:t>
      </w:r>
      <w:r w:rsidR="006E2820">
        <w:t>s</w:t>
      </w:r>
      <w:r w:rsidR="006E2820" w:rsidRPr="005965A3">
        <w:t>hortage</w:t>
      </w:r>
      <w:r w:rsidR="006E2820">
        <w:t xml:space="preserve">, </w:t>
      </w:r>
      <w:r w:rsidR="00320D65">
        <w:t>by major group</w:t>
      </w:r>
      <w:r w:rsidR="00717AE4">
        <w:t>,</w:t>
      </w:r>
      <w:bookmarkEnd w:id="50"/>
      <w:bookmarkEnd w:id="51"/>
      <w:r w:rsidR="003F330F">
        <w:t xml:space="preserve"> </w:t>
      </w:r>
      <w:r>
        <w:t>2022</w:t>
      </w:r>
      <w:r w:rsidRPr="005F259A">
        <w:t xml:space="preserve"> to </w:t>
      </w:r>
      <w:r>
        <w:t>2026</w:t>
      </w:r>
      <w:r w:rsidRPr="005F259A">
        <w:t xml:space="preserve"> OSLs</w:t>
      </w:r>
      <w:r w:rsidR="009E2F88" w:rsidRPr="005F259A">
        <w:rPr>
          <w:rStyle w:val="FootnoteReference"/>
        </w:rPr>
        <w:footnoteReference w:id="6"/>
      </w:r>
      <w:bookmarkEnd w:id="52"/>
      <w:r w:rsidR="009E2F88">
        <w:t xml:space="preserve"> </w:t>
      </w:r>
    </w:p>
    <w:p w14:paraId="6A2F5FAC" w14:textId="22B5D3DC" w:rsidR="00934822" w:rsidRPr="00ED71A9" w:rsidRDefault="005A5E9C" w:rsidP="00934822">
      <w:pPr>
        <w:pStyle w:val="Source"/>
      </w:pPr>
      <w:r>
        <w:rPr>
          <w:noProof/>
        </w:rPr>
        <w:drawing>
          <wp:inline distT="0" distB="0" distL="0" distR="0" wp14:anchorId="1E93C93F" wp14:editId="1F0BEAC7">
            <wp:extent cx="5732145" cy="3060000"/>
            <wp:effectExtent l="0" t="0" r="1905" b="7620"/>
            <wp:docPr id="832503953" name="Chart 1" descr="Figure 2 is a grouped bar chart showing the percentage of occupations in shortage by major group from 2022 to 2026. Overall, the shortage percentage fell from 29% in 2025 to 27% in 2026. The largest decrease was for Machinery Operators and Drivers, down 11 percentage points from 28% to 17%, followed by Labourers and Professionals. These decreases were partly offset by small increases for Managers, Community and Personal Service Workers, and Clerical and Administrative Workers.&#10;&#10;">
              <a:extLst xmlns:a="http://schemas.openxmlformats.org/drawingml/2006/main">
                <a:ext uri="{FF2B5EF4-FFF2-40B4-BE49-F238E27FC236}">
                  <a16:creationId xmlns:a16="http://schemas.microsoft.com/office/drawing/2014/main" id="{78918DFC-B80C-FEB1-7985-B75D5AF862F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00543936">
        <w:t xml:space="preserve"> </w:t>
      </w:r>
      <w:r w:rsidR="00543936">
        <w:br/>
      </w:r>
      <w:r w:rsidR="00934822">
        <w:t>Source: Jobs and Skills Australia (2026).</w:t>
      </w:r>
    </w:p>
    <w:p w14:paraId="5CFFCDEC" w14:textId="584A144D" w:rsidR="000039EA" w:rsidRDefault="003E5AAF" w:rsidP="00D00D5C">
      <w:pPr>
        <w:pStyle w:val="BodyText"/>
      </w:pPr>
      <w:r>
        <w:t xml:space="preserve">Shortage varied across major groups. In 2026, </w:t>
      </w:r>
      <w:r w:rsidR="00CB3D6A">
        <w:t xml:space="preserve">48% of </w:t>
      </w:r>
      <w:bookmarkStart w:id="53" w:name="_Ref207884725"/>
      <w:r w:rsidR="00914CD2" w:rsidRPr="00CF7ED9">
        <w:t>Technicians and Trades Workers</w:t>
      </w:r>
      <w:r w:rsidR="001C02AD">
        <w:t xml:space="preserve"> </w:t>
      </w:r>
      <w:r w:rsidR="00A76BA1">
        <w:t xml:space="preserve">occupations were </w:t>
      </w:r>
      <w:r w:rsidR="00914CD2" w:rsidRPr="00CF7ED9">
        <w:t>in shortage</w:t>
      </w:r>
      <w:r w:rsidR="00CA2922">
        <w:t>.</w:t>
      </w:r>
      <w:r w:rsidR="00333AC9">
        <w:t xml:space="preserve"> This was the highest proportion of any major group: </w:t>
      </w:r>
      <w:r w:rsidR="00914CD2" w:rsidRPr="00CF7ED9">
        <w:t xml:space="preserve"> </w:t>
      </w:r>
    </w:p>
    <w:p w14:paraId="26724127" w14:textId="5CC4BA8E" w:rsidR="004502B4" w:rsidRDefault="00914CD2" w:rsidP="009B4E70">
      <w:pPr>
        <w:pStyle w:val="ListBullet"/>
      </w:pPr>
      <w:r w:rsidRPr="00CF7ED9">
        <w:t>Professionals had a relatively high percentage</w:t>
      </w:r>
      <w:r w:rsidR="00787C15">
        <w:t xml:space="preserve"> of</w:t>
      </w:r>
      <w:r w:rsidRPr="00CF7ED9">
        <w:t xml:space="preserve"> 37</w:t>
      </w:r>
      <w:r w:rsidR="00787C15">
        <w:t>%</w:t>
      </w:r>
      <w:r w:rsidRPr="00CF7ED9">
        <w:t xml:space="preserve">. </w:t>
      </w:r>
    </w:p>
    <w:p w14:paraId="1F467A35" w14:textId="2CDAEB56" w:rsidR="00AD1CB9" w:rsidRDefault="00976243" w:rsidP="00861A66">
      <w:pPr>
        <w:pStyle w:val="ListBullet"/>
      </w:pPr>
      <w:r>
        <w:t>Results f</w:t>
      </w:r>
      <w:r w:rsidR="00914CD2" w:rsidRPr="00CF7ED9">
        <w:t xml:space="preserve">or </w:t>
      </w:r>
      <w:r w:rsidR="009E2B06">
        <w:t xml:space="preserve">other </w:t>
      </w:r>
      <w:r w:rsidR="00914CD2" w:rsidRPr="00CF7ED9">
        <w:t>major groups</w:t>
      </w:r>
      <w:r w:rsidR="009E2B06">
        <w:t xml:space="preserve"> </w:t>
      </w:r>
      <w:r w:rsidR="00914CD2" w:rsidRPr="00CF7ED9">
        <w:t>rang</w:t>
      </w:r>
      <w:r w:rsidR="009E2B06">
        <w:t xml:space="preserve">ed </w:t>
      </w:r>
      <w:r w:rsidR="00914CD2" w:rsidRPr="00CF7ED9">
        <w:t>from 2% to 16%.</w:t>
      </w:r>
    </w:p>
    <w:p w14:paraId="524FDDB2" w14:textId="77777777" w:rsidR="002F5155" w:rsidRDefault="00AD1CB9" w:rsidP="002F5155">
      <w:pPr>
        <w:pStyle w:val="ListBullet"/>
        <w:spacing w:before="0" w:after="200"/>
        <w:sectPr w:rsidR="002F5155" w:rsidSect="00A54DF3">
          <w:footerReference w:type="first" r:id="rId17"/>
          <w:pgSz w:w="11907" w:h="16839" w:code="9"/>
          <w:pgMar w:top="1270" w:right="1440" w:bottom="1270" w:left="1440" w:header="720" w:footer="720" w:gutter="0"/>
          <w:pgNumType w:start="1"/>
          <w:cols w:space="720"/>
          <w:docGrid w:linePitch="360"/>
        </w:sectPr>
      </w:pPr>
      <w:r>
        <w:t>No Sales Workers occupations were in shortage.</w:t>
      </w:r>
      <w:r w:rsidR="00914CD2" w:rsidRPr="00CF7ED9">
        <w:t xml:space="preserve"> </w:t>
      </w:r>
      <w:r w:rsidR="002F5155">
        <w:t xml:space="preserve"> </w:t>
      </w:r>
    </w:p>
    <w:p w14:paraId="285D4A05" w14:textId="4043A097" w:rsidR="00741FF6" w:rsidRPr="00CF7ED9" w:rsidRDefault="00741FF6" w:rsidP="00741FF6">
      <w:pPr>
        <w:pStyle w:val="BodyText"/>
      </w:pPr>
      <w:r w:rsidRPr="00CF7ED9">
        <w:lastRenderedPageBreak/>
        <w:t>Machinery Operator and Driver</w:t>
      </w:r>
      <w:r>
        <w:t>s</w:t>
      </w:r>
      <w:r w:rsidR="004B1179">
        <w:t xml:space="preserve"> had the largest fall</w:t>
      </w:r>
      <w:r w:rsidR="00E468B6">
        <w:t xml:space="preserve"> (11 percentage points) </w:t>
      </w:r>
      <w:r w:rsidRPr="00CF7ED9">
        <w:t>from 28% in 2025 to 17% in 2026</w:t>
      </w:r>
      <w:r w:rsidR="00D908EF">
        <w:t xml:space="preserve">, </w:t>
      </w:r>
      <w:r w:rsidRPr="00CF7ED9">
        <w:t>this was followed by Labourers</w:t>
      </w:r>
      <w:r>
        <w:t xml:space="preserve"> and </w:t>
      </w:r>
      <w:r w:rsidRPr="00CF7ED9">
        <w:t>Professionals.</w:t>
      </w:r>
      <w:r>
        <w:rPr>
          <w:rStyle w:val="FootnoteReference"/>
        </w:rPr>
        <w:footnoteReference w:id="7"/>
      </w:r>
      <w:r w:rsidRPr="00CF7ED9">
        <w:t xml:space="preserve"> The decline was partly offset by small increases in Managers, Community and Personal Service Workers, and Clerical and Administrative Workers. </w:t>
      </w:r>
    </w:p>
    <w:p w14:paraId="16BA3702" w14:textId="724FF4AC" w:rsidR="00543936" w:rsidRPr="00543936" w:rsidRDefault="00586C75" w:rsidP="00FB4F0D">
      <w:pPr>
        <w:pStyle w:val="Heading2"/>
      </w:pPr>
      <w:bookmarkStart w:id="54" w:name="_Toc242271296"/>
      <w:bookmarkEnd w:id="53"/>
      <w:r>
        <w:t>Shortages by skill level</w:t>
      </w:r>
      <w:bookmarkEnd w:id="54"/>
    </w:p>
    <w:p w14:paraId="7E3AF8D9" w14:textId="3BBF8B6F" w:rsidR="00E65D17" w:rsidRDefault="008579DB" w:rsidP="00543936">
      <w:pPr>
        <w:pStyle w:val="BodyText"/>
      </w:pPr>
      <w:r>
        <w:t xml:space="preserve">Figure </w:t>
      </w:r>
      <w:r>
        <w:rPr>
          <w:noProof/>
        </w:rPr>
        <w:t>3</w:t>
      </w:r>
      <w:r w:rsidR="003704AA">
        <w:t xml:space="preserve"> shows </w:t>
      </w:r>
      <w:r w:rsidR="007F715A">
        <w:t xml:space="preserve">the percentage of </w:t>
      </w:r>
      <w:r w:rsidR="00543936" w:rsidRPr="00B91F6D">
        <w:t>shortage</w:t>
      </w:r>
      <w:r w:rsidR="00923D9A">
        <w:t>s</w:t>
      </w:r>
      <w:r w:rsidR="0037221D">
        <w:t xml:space="preserve"> </w:t>
      </w:r>
      <w:r w:rsidR="007F715A">
        <w:t xml:space="preserve">by </w:t>
      </w:r>
      <w:r w:rsidR="00E65D17">
        <w:t xml:space="preserve">OSCA </w:t>
      </w:r>
      <w:r w:rsidR="00610E5B">
        <w:t>s</w:t>
      </w:r>
      <w:r w:rsidR="007F715A">
        <w:t xml:space="preserve">kill </w:t>
      </w:r>
      <w:r w:rsidR="00E65D17">
        <w:t>level.</w:t>
      </w:r>
    </w:p>
    <w:p w14:paraId="26B5D8A9" w14:textId="48989BD8" w:rsidR="008E1EAC" w:rsidRDefault="00E65D17" w:rsidP="00543936">
      <w:pPr>
        <w:pStyle w:val="BodyText"/>
      </w:pPr>
      <w:r>
        <w:t>The figure shows that</w:t>
      </w:r>
      <w:r w:rsidR="00B23D22">
        <w:t xml:space="preserve">, </w:t>
      </w:r>
      <w:r w:rsidR="00F86030">
        <w:t>whi</w:t>
      </w:r>
      <w:r w:rsidR="004460E1">
        <w:t xml:space="preserve">le </w:t>
      </w:r>
      <w:r w:rsidR="00B23D22">
        <w:t xml:space="preserve">shortages </w:t>
      </w:r>
      <w:r w:rsidR="00F403B8">
        <w:t xml:space="preserve">have fallen </w:t>
      </w:r>
      <w:r w:rsidR="00366551">
        <w:t>over time</w:t>
      </w:r>
      <w:r w:rsidR="008E1EAC">
        <w:t>:</w:t>
      </w:r>
    </w:p>
    <w:p w14:paraId="70C6D477" w14:textId="52CD975A" w:rsidR="00D20B9C" w:rsidRDefault="00F403B8" w:rsidP="0069025A">
      <w:pPr>
        <w:pStyle w:val="ListBullet"/>
      </w:pPr>
      <w:r>
        <w:t xml:space="preserve">they </w:t>
      </w:r>
      <w:r w:rsidR="004460E1">
        <w:t xml:space="preserve">remain </w:t>
      </w:r>
      <w:r w:rsidR="009F154D">
        <w:t xml:space="preserve">prevalent </w:t>
      </w:r>
      <w:r w:rsidR="00DF7F32">
        <w:t>in s</w:t>
      </w:r>
      <w:r w:rsidR="00FC58C7">
        <w:t xml:space="preserve">kill </w:t>
      </w:r>
      <w:r w:rsidR="00DF7F32">
        <w:t>l</w:t>
      </w:r>
      <w:r w:rsidR="00FC58C7">
        <w:t xml:space="preserve">evel </w:t>
      </w:r>
      <w:r w:rsidR="00DF7F32">
        <w:t xml:space="preserve">1 and </w:t>
      </w:r>
      <w:r w:rsidR="00FC58C7">
        <w:t>3 occupations</w:t>
      </w:r>
      <w:r w:rsidR="004460E1">
        <w:t xml:space="preserve"> in 2026 (</w:t>
      </w:r>
      <w:r w:rsidR="000D56A0">
        <w:t>30% and 42%, respectively)</w:t>
      </w:r>
      <w:r w:rsidR="00952F22">
        <w:t xml:space="preserve">. </w:t>
      </w:r>
    </w:p>
    <w:p w14:paraId="052D7C60" w14:textId="272D39B0" w:rsidR="00271B64" w:rsidRDefault="00F403B8" w:rsidP="0069025A">
      <w:pPr>
        <w:pStyle w:val="ListBullet"/>
      </w:pPr>
      <w:r>
        <w:t xml:space="preserve">between </w:t>
      </w:r>
      <w:r w:rsidR="000245BE">
        <w:t>2025</w:t>
      </w:r>
      <w:r>
        <w:t xml:space="preserve"> and 2026</w:t>
      </w:r>
      <w:r w:rsidR="000245BE">
        <w:t xml:space="preserve">, </w:t>
      </w:r>
      <w:r>
        <w:t>shortages</w:t>
      </w:r>
      <w:r w:rsidR="000245BE">
        <w:t xml:space="preserve"> </w:t>
      </w:r>
      <w:r w:rsidR="00543936" w:rsidRPr="00B91F6D">
        <w:t xml:space="preserve">fell </w:t>
      </w:r>
      <w:r w:rsidR="007B14B2">
        <w:t xml:space="preserve">most </w:t>
      </w:r>
      <w:r w:rsidR="006A4FFC">
        <w:t>for</w:t>
      </w:r>
      <w:r w:rsidR="007B14B2">
        <w:t xml:space="preserve"> Skill Level </w:t>
      </w:r>
      <w:r w:rsidR="004D3204">
        <w:t xml:space="preserve">4 </w:t>
      </w:r>
      <w:r w:rsidR="004E23AB">
        <w:t>occupations</w:t>
      </w:r>
      <w:r w:rsidR="006A4FFC">
        <w:t xml:space="preserve">, from </w:t>
      </w:r>
      <w:r w:rsidR="002A51DC">
        <w:t>15% to 1</w:t>
      </w:r>
      <w:r w:rsidR="00CB413B">
        <w:t>1</w:t>
      </w:r>
      <w:r w:rsidR="002A51DC">
        <w:t>%</w:t>
      </w:r>
      <w:r w:rsidR="009E7C78">
        <w:t>.</w:t>
      </w:r>
    </w:p>
    <w:p w14:paraId="5AA77D31" w14:textId="75D56867" w:rsidR="005F571D" w:rsidRDefault="002737B0" w:rsidP="005F571D">
      <w:pPr>
        <w:pStyle w:val="BodyText"/>
      </w:pPr>
      <w:r>
        <w:t xml:space="preserve">Together, </w:t>
      </w:r>
      <w:r w:rsidR="005A7599">
        <w:t>s</w:t>
      </w:r>
      <w:r w:rsidR="00B0092E">
        <w:t xml:space="preserve">kill level 2 and 3 </w:t>
      </w:r>
      <w:r w:rsidR="00BA36AB">
        <w:t xml:space="preserve">accounted for more than </w:t>
      </w:r>
      <w:r w:rsidR="00B0092E">
        <w:t>60%</w:t>
      </w:r>
      <w:r w:rsidR="00C149CA">
        <w:t xml:space="preserve"> of </w:t>
      </w:r>
      <w:r w:rsidR="00B0092E">
        <w:t>occupations</w:t>
      </w:r>
      <w:r w:rsidR="00C149CA">
        <w:t xml:space="preserve"> in shortage. These occupations commonly </w:t>
      </w:r>
      <w:r w:rsidR="00020095">
        <w:t>requir</w:t>
      </w:r>
      <w:r w:rsidR="00C149CA">
        <w:t>e</w:t>
      </w:r>
      <w:r w:rsidR="00020095">
        <w:t xml:space="preserve"> at least </w:t>
      </w:r>
      <w:r w:rsidR="00020095" w:rsidRPr="00027288">
        <w:t>Certificate III</w:t>
      </w:r>
      <w:r w:rsidR="00020095">
        <w:t xml:space="preserve"> or </w:t>
      </w:r>
      <w:r w:rsidR="00020095" w:rsidRPr="00027288">
        <w:t>IV</w:t>
      </w:r>
      <w:r w:rsidR="00020095">
        <w:t xml:space="preserve"> </w:t>
      </w:r>
      <w:r w:rsidR="00DC02DC">
        <w:t xml:space="preserve">and with </w:t>
      </w:r>
      <w:r w:rsidR="00020095">
        <w:t>v</w:t>
      </w:r>
      <w:r w:rsidR="00020095" w:rsidRPr="00027288">
        <w:t xml:space="preserve">ocational </w:t>
      </w:r>
      <w:r w:rsidR="00020095">
        <w:t>e</w:t>
      </w:r>
      <w:r w:rsidR="00020095" w:rsidRPr="00027288">
        <w:t xml:space="preserve">ducation and </w:t>
      </w:r>
      <w:r w:rsidR="00020095">
        <w:t>t</w:t>
      </w:r>
      <w:r w:rsidR="00020095" w:rsidRPr="00027288">
        <w:t>raining</w:t>
      </w:r>
      <w:r w:rsidR="00020095">
        <w:t xml:space="preserve"> </w:t>
      </w:r>
      <w:r w:rsidR="00DC02DC">
        <w:t xml:space="preserve">(VET) </w:t>
      </w:r>
      <w:r w:rsidR="00020095">
        <w:t>or</w:t>
      </w:r>
      <w:r w:rsidR="00CD18B7">
        <w:t xml:space="preserve"> </w:t>
      </w:r>
      <w:r w:rsidR="00020095" w:rsidRPr="00203BC8">
        <w:t>apprenticeship</w:t>
      </w:r>
      <w:r w:rsidR="00020095">
        <w:t>s.</w:t>
      </w:r>
      <w:r w:rsidR="004927D1">
        <w:t xml:space="preserve"> </w:t>
      </w:r>
    </w:p>
    <w:p w14:paraId="2DD622DE" w14:textId="69C10461" w:rsidR="009A4776" w:rsidRPr="009A4776" w:rsidRDefault="00543936" w:rsidP="001B571A">
      <w:pPr>
        <w:pStyle w:val="Caption"/>
      </w:pPr>
      <w:bookmarkStart w:id="55" w:name="_Ref207794021"/>
      <w:bookmarkStart w:id="56" w:name="_Ref207885640"/>
      <w:bookmarkStart w:id="57" w:name="_Ref240378978"/>
      <w:bookmarkStart w:id="58" w:name="_Toc211349847"/>
      <w:bookmarkStart w:id="59" w:name="_Toc235190221"/>
      <w:bookmarkStart w:id="60" w:name="_Toc235190656"/>
      <w:bookmarkStart w:id="61" w:name="_Toc242271315"/>
      <w:r>
        <w:t xml:space="preserve">Figure </w:t>
      </w:r>
      <w:r>
        <w:fldChar w:fldCharType="begin"/>
      </w:r>
      <w:r>
        <w:instrText xml:space="preserve"> SEQ Figure \* ARABIC </w:instrText>
      </w:r>
      <w:r>
        <w:fldChar w:fldCharType="separate"/>
      </w:r>
      <w:r w:rsidR="00286763">
        <w:rPr>
          <w:noProof/>
        </w:rPr>
        <w:t>3</w:t>
      </w:r>
      <w:r>
        <w:fldChar w:fldCharType="end"/>
      </w:r>
      <w:bookmarkEnd w:id="55"/>
      <w:bookmarkEnd w:id="56"/>
      <w:bookmarkEnd w:id="57"/>
      <w:r>
        <w:t xml:space="preserve">: Percentage of </w:t>
      </w:r>
      <w:r w:rsidRPr="00705D81">
        <w:t xml:space="preserve">occupations in </w:t>
      </w:r>
      <w:r>
        <w:t>s</w:t>
      </w:r>
      <w:r w:rsidRPr="005965A3">
        <w:t>hortage</w:t>
      </w:r>
      <w:r w:rsidRPr="00705D81">
        <w:t>,</w:t>
      </w:r>
      <w:r w:rsidR="004842C4">
        <w:t xml:space="preserve"> </w:t>
      </w:r>
      <w:r w:rsidR="00636F33">
        <w:t xml:space="preserve">by </w:t>
      </w:r>
      <w:r w:rsidR="000A3CB3">
        <w:t>s</w:t>
      </w:r>
      <w:r w:rsidR="002461D9">
        <w:t xml:space="preserve">kill </w:t>
      </w:r>
      <w:r w:rsidR="000A3CB3">
        <w:t>l</w:t>
      </w:r>
      <w:r w:rsidR="002461D9">
        <w:t>evel</w:t>
      </w:r>
      <w:bookmarkEnd w:id="58"/>
      <w:bookmarkEnd w:id="59"/>
      <w:bookmarkEnd w:id="60"/>
      <w:r w:rsidR="009830B9">
        <w:t>,</w:t>
      </w:r>
      <w:r w:rsidR="009A4776" w:rsidRPr="009A4776">
        <w:t xml:space="preserve"> </w:t>
      </w:r>
      <w:r w:rsidR="009A4776">
        <w:t>2022 to 2026 OSLs</w:t>
      </w:r>
      <w:bookmarkEnd w:id="61"/>
      <w:r w:rsidR="006D6DA8">
        <w:t xml:space="preserve"> </w:t>
      </w:r>
    </w:p>
    <w:p w14:paraId="2645108C" w14:textId="77777777" w:rsidR="002F5155" w:rsidRDefault="00AA1F70" w:rsidP="009B4E70">
      <w:pPr>
        <w:pStyle w:val="Source"/>
        <w:sectPr w:rsidR="002F5155" w:rsidSect="00CA5E5C">
          <w:pgSz w:w="11907" w:h="16839" w:code="9"/>
          <w:pgMar w:top="1270" w:right="1440" w:bottom="1270" w:left="1440" w:header="720" w:footer="720" w:gutter="0"/>
          <w:cols w:space="720"/>
          <w:docGrid w:linePitch="360"/>
        </w:sectPr>
      </w:pPr>
      <w:r>
        <w:rPr>
          <w:bCs w:val="0"/>
          <w:noProof/>
        </w:rPr>
        <w:drawing>
          <wp:inline distT="0" distB="0" distL="0" distR="0" wp14:anchorId="1C0944B0" wp14:editId="273A8FDD">
            <wp:extent cx="5731200" cy="3060000"/>
            <wp:effectExtent l="0" t="0" r="3175" b="7620"/>
            <wp:docPr id="165682941" name="Chart 1" descr="Figure 3 is a grouped bar chart showing the percentage of occupations in shortage across Skill Levels 1 to 4 from 2022 to 2026. In 2026, shortages were most prevalent in Skill Level 3 occupations, followed by Skill Level 1 occupations. Compared with 2025, the shortage percentage fell most for Skill Level 4 occupations, from 15% to 11%. Smaller decreases occurred for Skill Levels 1 and 3, while Skill Level 2 increased slightly from 19% to 20%.&#10;">
              <a:extLst xmlns:a="http://schemas.openxmlformats.org/drawingml/2006/main">
                <a:ext uri="{FF2B5EF4-FFF2-40B4-BE49-F238E27FC236}">
                  <a16:creationId xmlns:a16="http://schemas.microsoft.com/office/drawing/2014/main" id="{F74619C1-E197-C765-2DAD-2EFF7F0981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003955A8">
        <w:br/>
      </w:r>
      <w:r w:rsidR="002506CE">
        <w:t>Source: Jobs and Skills Australia (2026).</w:t>
      </w:r>
      <w:r w:rsidR="002F5155">
        <w:t xml:space="preserve"> </w:t>
      </w:r>
    </w:p>
    <w:p w14:paraId="0BBD9AA3" w14:textId="0B0F81A2" w:rsidR="00543936" w:rsidRDefault="009C159B" w:rsidP="00582790">
      <w:pPr>
        <w:pStyle w:val="Heading2"/>
      </w:pPr>
      <w:bookmarkStart w:id="62" w:name="_Toc211349837"/>
      <w:bookmarkStart w:id="63" w:name="_Toc233638602"/>
      <w:bookmarkStart w:id="64" w:name="_Toc235186772"/>
      <w:bookmarkStart w:id="65" w:name="_Toc242271297"/>
      <w:r>
        <w:lastRenderedPageBreak/>
        <w:t>S</w:t>
      </w:r>
      <w:r w:rsidR="00543936" w:rsidRPr="00582790">
        <w:t xml:space="preserve">elect </w:t>
      </w:r>
      <w:r>
        <w:t xml:space="preserve">labour market </w:t>
      </w:r>
      <w:r w:rsidR="00543936" w:rsidRPr="00582790">
        <w:t>indicators</w:t>
      </w:r>
      <w:bookmarkEnd w:id="62"/>
      <w:bookmarkEnd w:id="63"/>
      <w:bookmarkEnd w:id="64"/>
      <w:r>
        <w:t xml:space="preserve"> informing the OSL</w:t>
      </w:r>
      <w:bookmarkEnd w:id="65"/>
    </w:p>
    <w:p w14:paraId="00F44864" w14:textId="21D23215" w:rsidR="00581926" w:rsidRDefault="004C1866" w:rsidP="00543936">
      <w:pPr>
        <w:pStyle w:val="BodyText"/>
      </w:pPr>
      <w:r>
        <w:t xml:space="preserve">Occupation assessments </w:t>
      </w:r>
      <w:r w:rsidR="00BA7373">
        <w:t xml:space="preserve">for </w:t>
      </w:r>
      <w:r w:rsidR="00F1218D">
        <w:t xml:space="preserve">the OSL </w:t>
      </w:r>
      <w:r w:rsidR="00BA7373">
        <w:t xml:space="preserve">draw on a </w:t>
      </w:r>
      <w:r w:rsidR="00581926">
        <w:t>broad range of quantitative and qualitative</w:t>
      </w:r>
      <w:r w:rsidR="00823EBC">
        <w:t xml:space="preserve"> evidence</w:t>
      </w:r>
      <w:r w:rsidR="00FD2687">
        <w:t xml:space="preserve">, including </w:t>
      </w:r>
      <w:r w:rsidR="00823EBC">
        <w:t>stakeholder</w:t>
      </w:r>
      <w:r w:rsidR="00DD105A">
        <w:t xml:space="preserve"> </w:t>
      </w:r>
      <w:r w:rsidR="00FD2687">
        <w:t>engagement</w:t>
      </w:r>
      <w:r w:rsidR="00581926">
        <w:t>.</w:t>
      </w:r>
      <w:r w:rsidR="00DD105A">
        <w:t xml:space="preserve"> </w:t>
      </w:r>
      <w:r w:rsidR="00BB464B">
        <w:t>T</w:t>
      </w:r>
      <w:r w:rsidR="00DD105A">
        <w:t>he 2026 OSL Methodology Report</w:t>
      </w:r>
      <w:r w:rsidR="00BB464B">
        <w:t xml:space="preserve"> explains the assessment process</w:t>
      </w:r>
      <w:r w:rsidR="00DD105A">
        <w:t xml:space="preserve">. </w:t>
      </w:r>
    </w:p>
    <w:p w14:paraId="5FDCB78D" w14:textId="792C232F" w:rsidR="00DD105A" w:rsidRDefault="00DD105A" w:rsidP="00543936">
      <w:pPr>
        <w:pStyle w:val="BodyText"/>
      </w:pPr>
      <w:r>
        <w:t xml:space="preserve">This section </w:t>
      </w:r>
      <w:r w:rsidR="00C83AF8">
        <w:t xml:space="preserve">compares </w:t>
      </w:r>
      <w:r w:rsidR="00A80BDB">
        <w:t xml:space="preserve">key labour market indicators </w:t>
      </w:r>
      <w:r w:rsidR="00D5383E">
        <w:t>—</w:t>
      </w:r>
      <w:r w:rsidR="00A80BDB">
        <w:t xml:space="preserve">that informed </w:t>
      </w:r>
      <w:r w:rsidR="001877D9">
        <w:t xml:space="preserve">the </w:t>
      </w:r>
      <w:r w:rsidR="00A80BDB">
        <w:t>2026 OSL</w:t>
      </w:r>
      <w:r w:rsidR="00D5383E">
        <w:t>—</w:t>
      </w:r>
      <w:r w:rsidR="00CD6621">
        <w:t xml:space="preserve">for </w:t>
      </w:r>
      <w:r w:rsidR="00CE779E">
        <w:t xml:space="preserve">occupations in shortage </w:t>
      </w:r>
      <w:r w:rsidR="0048525F">
        <w:t xml:space="preserve">and </w:t>
      </w:r>
      <w:r w:rsidR="00C83AF8">
        <w:t xml:space="preserve">occupations </w:t>
      </w:r>
      <w:r w:rsidR="00CE779E">
        <w:t xml:space="preserve">not in </w:t>
      </w:r>
      <w:r w:rsidR="007A7BDF">
        <w:t>shortag</w:t>
      </w:r>
      <w:r w:rsidR="0048525F">
        <w:t>e</w:t>
      </w:r>
      <w:r w:rsidR="00D77FA0">
        <w:t>.</w:t>
      </w:r>
    </w:p>
    <w:p w14:paraId="212A8CB3" w14:textId="74CCEF72" w:rsidR="003D272A" w:rsidRDefault="007454E0" w:rsidP="00543936">
      <w:pPr>
        <w:pStyle w:val="BodyText"/>
      </w:pPr>
      <w:r>
        <w:t xml:space="preserve">The </w:t>
      </w:r>
      <w:r w:rsidR="00A22B90">
        <w:t>indicators</w:t>
      </w:r>
      <w:r>
        <w:t xml:space="preserve"> showed </w:t>
      </w:r>
      <w:r w:rsidR="00A22B90">
        <w:t xml:space="preserve">that </w:t>
      </w:r>
      <w:r w:rsidR="00B071C3" w:rsidRPr="00B071C3">
        <w:t xml:space="preserve">occupations rated in shortage generally </w:t>
      </w:r>
      <w:r w:rsidR="00F5682C">
        <w:t xml:space="preserve">faced </w:t>
      </w:r>
      <w:r w:rsidR="00B071C3" w:rsidRPr="00B071C3">
        <w:t>tighter labour market conditions than occupations not in shortage</w:t>
      </w:r>
      <w:r w:rsidR="00AB407B">
        <w:t xml:space="preserve">, including compared to the national </w:t>
      </w:r>
      <w:r w:rsidR="00F5682C">
        <w:t xml:space="preserve">average </w:t>
      </w:r>
      <w:r w:rsidR="00AB407B">
        <w:t xml:space="preserve">(average </w:t>
      </w:r>
      <w:r w:rsidR="00F5682C">
        <w:t>across all occupations</w:t>
      </w:r>
      <w:r w:rsidR="00AB407B">
        <w:t>)</w:t>
      </w:r>
      <w:r w:rsidR="00543936">
        <w:t>.</w:t>
      </w:r>
      <w:r w:rsidR="00FF1EBC">
        <w:t xml:space="preserve"> </w:t>
      </w:r>
    </w:p>
    <w:p w14:paraId="75B605DC" w14:textId="5B7876B9" w:rsidR="00AB407B" w:rsidRDefault="003D272A" w:rsidP="00543936">
      <w:pPr>
        <w:pStyle w:val="BodyText"/>
      </w:pPr>
      <w:r>
        <w:t>Most labour market indicators presented below are analysed on the ANZSCO 2022 basis.</w:t>
      </w:r>
      <w:r>
        <w:rPr>
          <w:rStyle w:val="FootnoteReference"/>
        </w:rPr>
        <w:footnoteReference w:id="8"/>
      </w:r>
    </w:p>
    <w:p w14:paraId="6C461C92" w14:textId="397319D8" w:rsidR="00E14326" w:rsidRDefault="00E14326" w:rsidP="00336D3A">
      <w:pPr>
        <w:pStyle w:val="Heading3"/>
      </w:pPr>
      <w:bookmarkStart w:id="66" w:name="_Toc235186773"/>
      <w:bookmarkStart w:id="67" w:name="_Toc242271298"/>
      <w:r>
        <w:t>Recruitment outcome</w:t>
      </w:r>
      <w:r w:rsidR="00DE62A3">
        <w:t xml:space="preserve"> indicators</w:t>
      </w:r>
      <w:bookmarkEnd w:id="66"/>
      <w:bookmarkEnd w:id="67"/>
    </w:p>
    <w:p w14:paraId="37CA9488" w14:textId="498BA4F6" w:rsidR="004D41F1" w:rsidRDefault="00A056FB" w:rsidP="00AA108D">
      <w:pPr>
        <w:pStyle w:val="BodyText"/>
      </w:pPr>
      <w:r>
        <w:t xml:space="preserve">Figure </w:t>
      </w:r>
      <w:r>
        <w:rPr>
          <w:noProof/>
        </w:rPr>
        <w:t>4</w:t>
      </w:r>
      <w:r w:rsidR="00FD15F9">
        <w:t xml:space="preserve"> </w:t>
      </w:r>
      <w:r w:rsidR="00AE0F16">
        <w:t>shows that d</w:t>
      </w:r>
      <w:r w:rsidR="00817781">
        <w:t>uring</w:t>
      </w:r>
      <w:r w:rsidR="00987553">
        <w:t xml:space="preserve"> the 2026 OSL </w:t>
      </w:r>
      <w:r w:rsidR="0036273D">
        <w:t xml:space="preserve">assessment period, </w:t>
      </w:r>
      <w:r w:rsidR="00FB525A">
        <w:t>occupations</w:t>
      </w:r>
      <w:r w:rsidR="00682610">
        <w:t xml:space="preserve"> in shortage</w:t>
      </w:r>
      <w:r w:rsidR="00057E5E">
        <w:t xml:space="preserve"> </w:t>
      </w:r>
      <w:r w:rsidR="00FB525A">
        <w:t xml:space="preserve">had </w:t>
      </w:r>
      <w:r w:rsidR="0036273D">
        <w:t>a</w:t>
      </w:r>
      <w:r w:rsidR="00E96DF1">
        <w:t xml:space="preserve"> </w:t>
      </w:r>
      <w:r w:rsidR="00FB525A">
        <w:t>fill rate</w:t>
      </w:r>
      <w:r w:rsidR="00682610">
        <w:t xml:space="preserve"> of 57%</w:t>
      </w:r>
      <w:r w:rsidR="00E96DF1">
        <w:t>,</w:t>
      </w:r>
      <w:r w:rsidR="00987553">
        <w:t xml:space="preserve"> </w:t>
      </w:r>
      <w:r w:rsidR="00682610">
        <w:t xml:space="preserve">compared with 78% for </w:t>
      </w:r>
      <w:r w:rsidR="00837837">
        <w:t xml:space="preserve">occupations not in shortage </w:t>
      </w:r>
      <w:r w:rsidR="00422443">
        <w:t xml:space="preserve">and </w:t>
      </w:r>
      <w:r w:rsidR="00DC426F">
        <w:t xml:space="preserve">an average </w:t>
      </w:r>
      <w:r w:rsidR="00682610">
        <w:t xml:space="preserve">72% </w:t>
      </w:r>
      <w:r w:rsidR="00A13FA1">
        <w:t>across all occupations</w:t>
      </w:r>
      <w:r w:rsidR="009E5690">
        <w:t>.</w:t>
      </w:r>
      <w:r w:rsidR="0070178B">
        <w:rPr>
          <w:rStyle w:val="FootnoteReference"/>
        </w:rPr>
        <w:footnoteReference w:id="9"/>
      </w:r>
      <w:r w:rsidR="003F7852">
        <w:t xml:space="preserve"> </w:t>
      </w:r>
    </w:p>
    <w:p w14:paraId="16FFB6E9" w14:textId="3EA6EE2D" w:rsidR="00A844C1" w:rsidRDefault="00AF573F" w:rsidP="00495BD4">
      <w:pPr>
        <w:pStyle w:val="Caption"/>
      </w:pPr>
      <w:bookmarkStart w:id="68" w:name="_Ref235186468"/>
      <w:bookmarkStart w:id="69" w:name="_Toc235190222"/>
      <w:bookmarkStart w:id="70" w:name="_Toc235190657"/>
      <w:bookmarkStart w:id="71" w:name="_Toc242271316"/>
      <w:r>
        <w:t xml:space="preserve">Figure </w:t>
      </w:r>
      <w:bookmarkStart w:id="72" w:name="_Toc211349848"/>
      <w:r w:rsidR="002578F8">
        <w:fldChar w:fldCharType="begin"/>
      </w:r>
      <w:r w:rsidR="002578F8">
        <w:instrText xml:space="preserve"> SEQ Figure \* ARABIC </w:instrText>
      </w:r>
      <w:r w:rsidR="002578F8">
        <w:fldChar w:fldCharType="separate"/>
      </w:r>
      <w:r w:rsidR="00286763">
        <w:rPr>
          <w:noProof/>
        </w:rPr>
        <w:t>4</w:t>
      </w:r>
      <w:r w:rsidR="002578F8">
        <w:fldChar w:fldCharType="end"/>
      </w:r>
      <w:bookmarkEnd w:id="68"/>
      <w:r w:rsidR="00A37476">
        <w:t>:</w:t>
      </w:r>
      <w:r w:rsidR="00543936">
        <w:t xml:space="preserve"> </w:t>
      </w:r>
      <w:r w:rsidR="00537165">
        <w:t>Vacancy f</w:t>
      </w:r>
      <w:r w:rsidR="00543936" w:rsidRPr="00800FD2">
        <w:t>ill rate</w:t>
      </w:r>
      <w:r w:rsidR="004D54A1">
        <w:t>s</w:t>
      </w:r>
      <w:r w:rsidR="00703C3B">
        <w:t xml:space="preserve"> </w:t>
      </w:r>
      <w:r w:rsidR="00537165">
        <w:t>(</w:t>
      </w:r>
      <w:r w:rsidR="00495BD4">
        <w:t>%)</w:t>
      </w:r>
      <w:bookmarkEnd w:id="69"/>
      <w:bookmarkEnd w:id="70"/>
      <w:bookmarkEnd w:id="72"/>
      <w:r w:rsidR="00495BD4">
        <w:t xml:space="preserve">, </w:t>
      </w:r>
      <w:r w:rsidR="002C743F">
        <w:t>2025</w:t>
      </w:r>
      <w:r w:rsidR="00D50E4F">
        <w:t>–</w:t>
      </w:r>
      <w:r w:rsidR="002C743F">
        <w:t>26</w:t>
      </w:r>
      <w:bookmarkEnd w:id="71"/>
    </w:p>
    <w:p w14:paraId="6A802D8D" w14:textId="09AD4957" w:rsidR="006C6E86" w:rsidRDefault="001E4DC0" w:rsidP="00C12468">
      <w:pPr>
        <w:pStyle w:val="Source"/>
        <w:rPr>
          <w:lang w:eastAsia="en-AU"/>
        </w:rPr>
      </w:pPr>
      <w:r>
        <w:rPr>
          <w:noProof/>
        </w:rPr>
        <mc:AlternateContent>
          <mc:Choice Requires="wpg">
            <w:drawing>
              <wp:anchor distT="0" distB="0" distL="114300" distR="114300" simplePos="0" relativeHeight="251658242" behindDoc="0" locked="0" layoutInCell="1" allowOverlap="1" wp14:anchorId="5AC10E1B" wp14:editId="0CADD446">
                <wp:simplePos x="0" y="0"/>
                <wp:positionH relativeFrom="margin">
                  <wp:align>center</wp:align>
                </wp:positionH>
                <wp:positionV relativeFrom="paragraph">
                  <wp:posOffset>573984</wp:posOffset>
                </wp:positionV>
                <wp:extent cx="4996281" cy="270663"/>
                <wp:effectExtent l="0" t="0" r="0" b="15240"/>
                <wp:wrapNone/>
                <wp:docPr id="896762715" name="Group 5"/>
                <wp:cNvGraphicFramePr/>
                <a:graphic xmlns:a="http://schemas.openxmlformats.org/drawingml/2006/main">
                  <a:graphicData uri="http://schemas.microsoft.com/office/word/2010/wordprocessingGroup">
                    <wpg:wgp>
                      <wpg:cNvGrpSpPr/>
                      <wpg:grpSpPr>
                        <a:xfrm>
                          <a:off x="0" y="0"/>
                          <a:ext cx="4996281" cy="270663"/>
                          <a:chOff x="0" y="0"/>
                          <a:chExt cx="4996281" cy="270663"/>
                        </a:xfrm>
                      </wpg:grpSpPr>
                      <wps:wsp>
                        <wps:cNvPr id="1737026945" name="TextBox 6"/>
                        <wps:cNvSpPr txBox="1"/>
                        <wps:spPr>
                          <a:xfrm>
                            <a:off x="4572000" y="0"/>
                            <a:ext cx="424281" cy="261289"/>
                          </a:xfrm>
                          <a:prstGeom prst="rect">
                            <a:avLst/>
                          </a:prstGeom>
                        </wps:spPr>
                        <wps:txbx>
                          <w:txbxContent>
                            <w:p w14:paraId="092285F4" w14:textId="3EB5FE2C" w:rsidR="005F6CDA" w:rsidRPr="00232343" w:rsidRDefault="003E11D0" w:rsidP="001A2541">
                              <w:pPr>
                                <w:pStyle w:val="Source"/>
                                <w:rPr>
                                  <w:rFonts w:asciiTheme="minorHAnsi" w:hAnsi="Calibri"/>
                                  <w:color w:val="1192E8"/>
                                  <w:kern w:val="24"/>
                                  <w:sz w:val="16"/>
                                  <w:szCs w:val="16"/>
                                </w:rPr>
                              </w:pPr>
                              <w:r w:rsidRPr="00232343">
                                <w:rPr>
                                  <w:sz w:val="16"/>
                                  <w:szCs w:val="22"/>
                                </w:rPr>
                                <w:t>72</w:t>
                              </w:r>
                              <w:r w:rsidR="00023644" w:rsidRPr="00232343">
                                <w:rPr>
                                  <w:sz w:val="16"/>
                                  <w:szCs w:val="22"/>
                                </w:rPr>
                                <w:t>%</w:t>
                              </w:r>
                            </w:p>
                          </w:txbxContent>
                        </wps:txbx>
                        <wps:bodyPr vertOverflow="clip" wrap="square" rtlCol="0">
                          <a:noAutofit/>
                        </wps:bodyPr>
                      </wps:wsp>
                      <wps:wsp>
                        <wps:cNvPr id="2044559513" name="Straight Connector 1"/>
                        <wps:cNvCnPr/>
                        <wps:spPr>
                          <a:xfrm flipV="1">
                            <a:off x="0" y="270663"/>
                            <a:ext cx="4829175" cy="0"/>
                          </a:xfrm>
                          <a:prstGeom prst="line">
                            <a:avLst/>
                          </a:prstGeom>
                          <a:ln w="12700" cap="flat" cmpd="sng" algn="ctr">
                            <a:solidFill>
                              <a:srgbClr val="1192E8"/>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g:wgp>
                  </a:graphicData>
                </a:graphic>
              </wp:anchor>
            </w:drawing>
          </mc:Choice>
          <mc:Fallback>
            <w:pict>
              <v:group w14:anchorId="5AC10E1B" id="Group 5" o:spid="_x0000_s1026" style="position:absolute;margin-left:0;margin-top:45.2pt;width:393.4pt;height:21.3pt;z-index:251658242;mso-position-horizontal:center;mso-position-horizontal-relative:margin" coordsize="49962,27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">
                <v:shapetype id="_x0000_t202" coordsize="21600,21600" o:spt="202" path="m,l,21600r21600,l21600,xe">
                  <v:stroke joinstyle="miter"/>
                  <v:path gradientshapeok="t" o:connecttype="rect"/>
                </v:shapetype>
                <v:shape id="_x0000_s1027" type="#_x0000_t202" style="position:absolute;left:45720;width:4242;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" filled="f" stroked="f">
                  <v:textbox>
                    <w:txbxContent>
                      <w:p w14:paraId="092285F4" w14:textId="3EB5FE2C" w:rsidR="005F6CDA" w:rsidRPr="00232343" w:rsidRDefault="003E11D0" w:rsidP="001A2541">
                        <w:pPr>
                          <w:pStyle w:val="Source"/>
                          <w:rPr>
                            <w:rFonts w:asciiTheme="minorHAnsi" w:hAnsi="Calibri"/>
                            <w:color w:val="1192E8"/>
                            <w:kern w:val="24"/>
                            <w:sz w:val="16"/>
                            <w:szCs w:val="16"/>
                          </w:rPr>
                        </w:pPr>
                        <w:r w:rsidRPr="00232343">
                          <w:rPr>
                            <w:sz w:val="16"/>
                            <w:szCs w:val="22"/>
                          </w:rPr>
                          <w:t>72</w:t>
                        </w:r>
                        <w:r w:rsidR="00023644" w:rsidRPr="00232343">
                          <w:rPr>
                            <w:sz w:val="16"/>
                            <w:szCs w:val="22"/>
                          </w:rPr>
                          <w:t>%</w:t>
                        </w:r>
                      </w:p>
                    </w:txbxContent>
                  </v:textbox>
                </v:shape>
                <v:line id="Straight Connector 1" o:spid="_x0000_s1028" style="position:absolute;flip:y;visibility:visible;mso-wrap-style:square" from="0,2706" to="48291,2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" strokecolor="#1192e8" strokeweight="1pt">
                  <v:stroke dashstyle="dash"/>
                </v:line>
                <w10:wrap anchorx="margin"/>
              </v:group>
            </w:pict>
          </mc:Fallback>
        </mc:AlternateContent>
      </w:r>
      <w:r w:rsidR="00A21432">
        <w:rPr>
          <w:noProof/>
        </w:rPr>
        <w:drawing>
          <wp:inline distT="0" distB="0" distL="0" distR="0" wp14:anchorId="25D5476D" wp14:editId="03B543BF">
            <wp:extent cx="5724000" cy="3060000"/>
            <wp:effectExtent l="0" t="0" r="0" b="7620"/>
            <wp:docPr id="1128752021" name="Chart 1" descr="Figure 4 shows the fill rates from the Survey of Employers who have Recently Advertised (SERA). During the 2026 OSL assessment period, occupations in shortage had a fill rate of 57%, compared with 78% for occupations not in shortage and 72% across all occupations. ">
              <a:extLst xmlns:a="http://schemas.openxmlformats.org/drawingml/2006/main">
                <a:ext uri="{FF2B5EF4-FFF2-40B4-BE49-F238E27FC236}">
                  <a16:creationId xmlns:a16="http://schemas.microsoft.com/office/drawing/2014/main" id="{19E17C5B-5983-4329-BD97-709DD0B2310E}"/>
                </a:ext>
                <a:ext uri="{147F2762-F138-4A5C-976F-8EAC2B608ADB}">
                  <a16:predDERef xmlns:a16="http://schemas.microsoft.com/office/drawing/2014/main" pred="{214CC9C2-1A76-4ECC-8490-452E57DC4C7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00C12468">
        <w:br/>
      </w:r>
      <w:r w:rsidR="006C6E86" w:rsidRPr="00F86BE2">
        <w:t>Source:</w:t>
      </w:r>
      <w:r w:rsidR="006C6E86" w:rsidRPr="00302070">
        <w:t xml:space="preserve"> </w:t>
      </w:r>
      <w:r w:rsidR="006C6E86" w:rsidRPr="00F86BE2">
        <w:t>Jobs and Skills Australia</w:t>
      </w:r>
      <w:r w:rsidR="006C6E86">
        <w:t xml:space="preserve"> (2026). </w:t>
      </w:r>
      <w:r w:rsidR="006C6E86" w:rsidRPr="00475D8A">
        <w:rPr>
          <w:i/>
          <w:iCs/>
        </w:rPr>
        <w:t>S</w:t>
      </w:r>
      <w:r w:rsidR="00340363">
        <w:rPr>
          <w:i/>
          <w:iCs/>
        </w:rPr>
        <w:t xml:space="preserve">urvey of </w:t>
      </w:r>
      <w:r w:rsidR="006C6E86" w:rsidRPr="00475D8A">
        <w:rPr>
          <w:i/>
          <w:iCs/>
        </w:rPr>
        <w:t>E</w:t>
      </w:r>
      <w:r w:rsidR="00340363">
        <w:rPr>
          <w:i/>
          <w:iCs/>
        </w:rPr>
        <w:t xml:space="preserve">mployers who have </w:t>
      </w:r>
      <w:r w:rsidR="006C6E86" w:rsidRPr="00475D8A">
        <w:rPr>
          <w:i/>
          <w:iCs/>
        </w:rPr>
        <w:t>R</w:t>
      </w:r>
      <w:r w:rsidR="00340363">
        <w:rPr>
          <w:i/>
          <w:iCs/>
        </w:rPr>
        <w:t xml:space="preserve">ecently </w:t>
      </w:r>
      <w:r w:rsidR="006C6E86" w:rsidRPr="00475D8A">
        <w:rPr>
          <w:i/>
          <w:iCs/>
        </w:rPr>
        <w:t>A</w:t>
      </w:r>
      <w:r w:rsidR="00340363">
        <w:rPr>
          <w:i/>
          <w:iCs/>
        </w:rPr>
        <w:t>dvertised (SERA)</w:t>
      </w:r>
      <w:r w:rsidR="006C6E86" w:rsidRPr="00475D8A">
        <w:rPr>
          <w:i/>
          <w:iCs/>
        </w:rPr>
        <w:t>, 2025</w:t>
      </w:r>
      <w:r w:rsidR="00D50E4F">
        <w:rPr>
          <w:i/>
          <w:iCs/>
        </w:rPr>
        <w:t>–</w:t>
      </w:r>
      <w:r w:rsidR="006C6E86" w:rsidRPr="00475D8A">
        <w:rPr>
          <w:i/>
          <w:iCs/>
        </w:rPr>
        <w:t>26</w:t>
      </w:r>
      <w:r w:rsidR="006C6E86">
        <w:t>.</w:t>
      </w:r>
    </w:p>
    <w:p w14:paraId="576A0945" w14:textId="7461A741" w:rsidR="002F5155" w:rsidRDefault="00A056FB" w:rsidP="002F5155">
      <w:pPr>
        <w:pStyle w:val="BodyText"/>
        <w:sectPr w:rsidR="002F5155" w:rsidSect="00CA5E5C">
          <w:pgSz w:w="11907" w:h="16839" w:code="9"/>
          <w:pgMar w:top="1270" w:right="1440" w:bottom="1270" w:left="1440" w:header="720" w:footer="720" w:gutter="0"/>
          <w:cols w:space="720"/>
          <w:docGrid w:linePitch="360"/>
        </w:sectPr>
      </w:pPr>
      <w:r>
        <w:t xml:space="preserve">Figure </w:t>
      </w:r>
      <w:r>
        <w:rPr>
          <w:noProof/>
        </w:rPr>
        <w:t>5</w:t>
      </w:r>
      <w:r w:rsidR="00A2268E">
        <w:t xml:space="preserve"> show</w:t>
      </w:r>
      <w:r w:rsidR="00EC0ACB">
        <w:t>s</w:t>
      </w:r>
      <w:r w:rsidR="00A2268E">
        <w:t xml:space="preserve"> that occupations</w:t>
      </w:r>
      <w:r w:rsidR="00CF7FFC">
        <w:t xml:space="preserve"> in shortages</w:t>
      </w:r>
      <w:r w:rsidR="00A2268E">
        <w:t xml:space="preserve"> had a higher recruitment difficulty rate (54%) </w:t>
      </w:r>
      <w:r w:rsidR="0006494A">
        <w:t xml:space="preserve">than </w:t>
      </w:r>
      <w:r w:rsidR="00A2268E">
        <w:t>occupations not in shortage (36%)</w:t>
      </w:r>
      <w:r w:rsidR="00EB08F8">
        <w:t>. A</w:t>
      </w:r>
      <w:r w:rsidR="00A2268E">
        <w:t>cross all occupations</w:t>
      </w:r>
      <w:r w:rsidR="009F2CF7">
        <w:t xml:space="preserve">, </w:t>
      </w:r>
      <w:r w:rsidR="00276D3C">
        <w:t xml:space="preserve">the average recruitment difficulty was </w:t>
      </w:r>
      <w:r w:rsidR="00A2268E">
        <w:t>44%.</w:t>
      </w:r>
      <w:r w:rsidR="00A2268E" w:rsidRPr="00EB015F">
        <w:rPr>
          <w:rStyle w:val="FootnoteReference"/>
        </w:rPr>
        <w:footnoteReference w:id="10"/>
      </w:r>
      <w:r w:rsidR="00A2268E">
        <w:t xml:space="preserve"> </w:t>
      </w:r>
    </w:p>
    <w:p w14:paraId="71C76BFD" w14:textId="613F5B09" w:rsidR="00DF475B" w:rsidRDefault="006C6E86" w:rsidP="00C41DC1">
      <w:pPr>
        <w:pStyle w:val="Caption"/>
      </w:pPr>
      <w:bookmarkStart w:id="73" w:name="_Ref240454583"/>
      <w:bookmarkStart w:id="74" w:name="_Toc242271317"/>
      <w:r>
        <w:lastRenderedPageBreak/>
        <w:t xml:space="preserve">Figure </w:t>
      </w:r>
      <w:r>
        <w:fldChar w:fldCharType="begin"/>
      </w:r>
      <w:r>
        <w:instrText xml:space="preserve"> SEQ Figure \* ARABIC </w:instrText>
      </w:r>
      <w:r>
        <w:fldChar w:fldCharType="separate"/>
      </w:r>
      <w:r w:rsidR="00286763">
        <w:rPr>
          <w:noProof/>
        </w:rPr>
        <w:t>5</w:t>
      </w:r>
      <w:r>
        <w:fldChar w:fldCharType="end"/>
      </w:r>
      <w:bookmarkEnd w:id="73"/>
      <w:r>
        <w:t xml:space="preserve">: </w:t>
      </w:r>
      <w:r w:rsidR="00DF475B">
        <w:t>Recruitment difficulty rates</w:t>
      </w:r>
      <w:r w:rsidR="00495BD4">
        <w:t xml:space="preserve"> (</w:t>
      </w:r>
      <w:r w:rsidR="004A3E17">
        <w:t>%)</w:t>
      </w:r>
      <w:r w:rsidR="00987DF9">
        <w:t>,</w:t>
      </w:r>
      <w:r w:rsidR="00C12468">
        <w:t xml:space="preserve"> </w:t>
      </w:r>
      <w:r w:rsidR="00987DF9">
        <w:t>202</w:t>
      </w:r>
      <w:r w:rsidR="002C743F">
        <w:t>5</w:t>
      </w:r>
      <w:r w:rsidR="008050FD">
        <w:t>–</w:t>
      </w:r>
      <w:r w:rsidR="002C743F">
        <w:t>2</w:t>
      </w:r>
      <w:r w:rsidR="00987DF9">
        <w:t>6</w:t>
      </w:r>
      <w:bookmarkEnd w:id="74"/>
    </w:p>
    <w:p w14:paraId="1E31C3C7" w14:textId="41D28003" w:rsidR="00916711" w:rsidRPr="00916711" w:rsidRDefault="00DF475B" w:rsidP="00C12468">
      <w:pPr>
        <w:pStyle w:val="Source"/>
      </w:pPr>
      <w:r w:rsidRPr="00350DA2">
        <w:rPr>
          <w:noProof/>
        </w:rPr>
        <mc:AlternateContent>
          <mc:Choice Requires="wps">
            <w:drawing>
              <wp:anchor distT="0" distB="0" distL="114300" distR="114300" simplePos="0" relativeHeight="251658240" behindDoc="0" locked="0" layoutInCell="1" allowOverlap="1" wp14:anchorId="26687FFB" wp14:editId="5BF4A058">
                <wp:simplePos x="0" y="0"/>
                <wp:positionH relativeFrom="column">
                  <wp:posOffset>4988966</wp:posOffset>
                </wp:positionH>
                <wp:positionV relativeFrom="paragraph">
                  <wp:posOffset>1284732</wp:posOffset>
                </wp:positionV>
                <wp:extent cx="402336" cy="268529"/>
                <wp:effectExtent l="0" t="0" r="0" b="0"/>
                <wp:wrapNone/>
                <wp:docPr id="607646956" name="TextBox 6"/>
                <wp:cNvGraphicFramePr/>
                <a:graphic xmlns:a="http://schemas.openxmlformats.org/drawingml/2006/main">
                  <a:graphicData uri="http://schemas.microsoft.com/office/word/2010/wordprocessingShape">
                    <wps:wsp>
                      <wps:cNvSpPr txBox="1"/>
                      <wps:spPr>
                        <a:xfrm>
                          <a:off x="0" y="0"/>
                          <a:ext cx="402336" cy="268529"/>
                        </a:xfrm>
                        <a:prstGeom prst="rect">
                          <a:avLst/>
                        </a:prstGeom>
                      </wps:spPr>
                      <wps:txbx>
                        <w:txbxContent>
                          <w:p w14:paraId="5DFC6766" w14:textId="1A2A6C44" w:rsidR="00350DA2" w:rsidRPr="00232343" w:rsidRDefault="00C41F49" w:rsidP="001A2541">
                            <w:pPr>
                              <w:pStyle w:val="Source"/>
                              <w:rPr>
                                <w:rFonts w:asciiTheme="minorHAnsi" w:hAnsi="Calibri"/>
                                <w:kern w:val="24"/>
                                <w:sz w:val="16"/>
                                <w:szCs w:val="16"/>
                              </w:rPr>
                            </w:pPr>
                            <w:r w:rsidRPr="00232343">
                              <w:rPr>
                                <w:sz w:val="16"/>
                                <w:szCs w:val="22"/>
                              </w:rPr>
                              <w:t>44</w:t>
                            </w:r>
                            <w:r w:rsidR="00350DA2" w:rsidRPr="00232343">
                              <w:rPr>
                                <w:sz w:val="16"/>
                                <w:szCs w:val="22"/>
                              </w:rPr>
                              <w:t>%</w:t>
                            </w:r>
                          </w:p>
                        </w:txbxContent>
                      </wps:txbx>
                      <wps:bodyPr vertOverflow="clip" wrap="square" rtlCol="0">
                        <a:noAutofit/>
                      </wps:bodyPr>
                    </wps:wsp>
                  </a:graphicData>
                </a:graphic>
                <wp14:sizeRelH relativeFrom="margin">
                  <wp14:pctWidth>0</wp14:pctWidth>
                </wp14:sizeRelH>
                <wp14:sizeRelV relativeFrom="margin">
                  <wp14:pctHeight>0</wp14:pctHeight>
                </wp14:sizeRelV>
              </wp:anchor>
            </w:drawing>
          </mc:Choice>
          <mc:Fallback>
            <w:pict>
              <v:shape w14:anchorId="26687FFB" id="TextBox 6" o:spid="_x0000_s1029" type="#_x0000_t202" style="position:absolute;margin-left:392.85pt;margin-top:101.15pt;width:31.7pt;height:21.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" filled="f" stroked="f">
                <v:textbox>
                  <w:txbxContent>
                    <w:p w14:paraId="5DFC6766" w14:textId="1A2A6C44" w:rsidR="00350DA2" w:rsidRPr="00232343" w:rsidRDefault="00C41F49" w:rsidP="001A2541">
                      <w:pPr>
                        <w:pStyle w:val="Source"/>
                        <w:rPr>
                          <w:rFonts w:asciiTheme="minorHAnsi" w:hAnsi="Calibri"/>
                          <w:kern w:val="24"/>
                          <w:sz w:val="16"/>
                          <w:szCs w:val="16"/>
                        </w:rPr>
                      </w:pPr>
                      <w:r w:rsidRPr="00232343">
                        <w:rPr>
                          <w:sz w:val="16"/>
                          <w:szCs w:val="22"/>
                        </w:rPr>
                        <w:t>44</w:t>
                      </w:r>
                      <w:r w:rsidR="00350DA2" w:rsidRPr="00232343">
                        <w:rPr>
                          <w:sz w:val="16"/>
                          <w:szCs w:val="22"/>
                        </w:rPr>
                        <w:t>%</w:t>
                      </w:r>
                    </w:p>
                  </w:txbxContent>
                </v:textbox>
              </v:shape>
            </w:pict>
          </mc:Fallback>
        </mc:AlternateContent>
      </w:r>
      <w:r w:rsidR="007C4356">
        <w:rPr>
          <w:noProof/>
        </w:rPr>
        <w:drawing>
          <wp:inline distT="0" distB="0" distL="0" distR="0" wp14:anchorId="0514D751" wp14:editId="52B84561">
            <wp:extent cx="5731200" cy="3060000"/>
            <wp:effectExtent l="0" t="0" r="3175" b="7620"/>
            <wp:docPr id="1214151743" name="Chart 1" descr="Figure 5 is a bar chart showing recruitment difficulty rates from the Recruitment Experience and Outlook Survey during the 2026 Occupation Shortage List assessment period. Occupations in shortage had a recruitment difficulty rate of 54%, compared with 36% for occupations not in shortage. The average across all occupations, shown by a dashed line, was 44%.&#10;">
              <a:extLst xmlns:a="http://schemas.openxmlformats.org/drawingml/2006/main">
                <a:ext uri="{FF2B5EF4-FFF2-40B4-BE49-F238E27FC236}">
                  <a16:creationId xmlns:a16="http://schemas.microsoft.com/office/drawing/2014/main" id="{C79C0EE2-CB25-4692-83F6-8CDBC79295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00C12468">
        <w:br/>
      </w:r>
      <w:r w:rsidR="006C6E86" w:rsidRPr="00F86BE2">
        <w:t>Source:</w:t>
      </w:r>
      <w:r w:rsidR="006C6E86" w:rsidRPr="00302070">
        <w:t xml:space="preserve"> </w:t>
      </w:r>
      <w:r w:rsidR="006C6E86" w:rsidRPr="00F86BE2">
        <w:t>Jobs and Skills Australia</w:t>
      </w:r>
      <w:r w:rsidR="006C6E86">
        <w:t xml:space="preserve"> (2026). </w:t>
      </w:r>
      <w:r w:rsidR="00732503">
        <w:t>Recruitment Experiences and Outlook Survey (REOS)</w:t>
      </w:r>
      <w:r w:rsidR="006C6E86" w:rsidRPr="00475D8A">
        <w:rPr>
          <w:i/>
          <w:iCs/>
        </w:rPr>
        <w:t>, 2025</w:t>
      </w:r>
      <w:r w:rsidR="00791420">
        <w:rPr>
          <w:i/>
          <w:iCs/>
        </w:rPr>
        <w:t>–</w:t>
      </w:r>
      <w:r w:rsidR="006C6E86" w:rsidRPr="00475D8A">
        <w:rPr>
          <w:i/>
          <w:iCs/>
        </w:rPr>
        <w:t>26</w:t>
      </w:r>
      <w:r w:rsidR="006C6E86">
        <w:t>.</w:t>
      </w:r>
    </w:p>
    <w:p w14:paraId="6BEDB92F" w14:textId="62A1DB4F" w:rsidR="00916711" w:rsidRPr="009B4E70" w:rsidRDefault="00D00DB3" w:rsidP="00A2268E">
      <w:pPr>
        <w:pStyle w:val="BodyText"/>
      </w:pPr>
      <w:r>
        <w:t xml:space="preserve">Figure </w:t>
      </w:r>
      <w:r>
        <w:rPr>
          <w:noProof/>
        </w:rPr>
        <w:t>6</w:t>
      </w:r>
      <w:r w:rsidR="00A2268E">
        <w:t xml:space="preserve"> show</w:t>
      </w:r>
      <w:r w:rsidR="00EC0ACB">
        <w:t>s</w:t>
      </w:r>
      <w:r w:rsidR="00A2268E">
        <w:t xml:space="preserve"> that occupations in shortage had a longer </w:t>
      </w:r>
      <w:r w:rsidR="00FC22E2">
        <w:t xml:space="preserve">average </w:t>
      </w:r>
      <w:r w:rsidR="00A2268E">
        <w:t xml:space="preserve">vacancy duration at 10.6 weeks, compared with 7.8 weeks for occupations not in shortage and 8.5 weeks across all occupations. </w:t>
      </w:r>
    </w:p>
    <w:p w14:paraId="2CB0DC5E" w14:textId="635E5095" w:rsidR="004866F7" w:rsidRPr="00A844C1" w:rsidRDefault="006C6E86" w:rsidP="005E5290">
      <w:pPr>
        <w:pStyle w:val="Caption"/>
        <w:keepNext/>
        <w:keepLines/>
      </w:pPr>
      <w:bookmarkStart w:id="75" w:name="_Ref240459851"/>
      <w:bookmarkStart w:id="76" w:name="_Toc242271318"/>
      <w:r>
        <w:t xml:space="preserve">Figure </w:t>
      </w:r>
      <w:r>
        <w:fldChar w:fldCharType="begin"/>
      </w:r>
      <w:r>
        <w:instrText xml:space="preserve"> SEQ Figure \* ARABIC </w:instrText>
      </w:r>
      <w:r>
        <w:fldChar w:fldCharType="separate"/>
      </w:r>
      <w:r w:rsidR="00286763">
        <w:rPr>
          <w:noProof/>
        </w:rPr>
        <w:t>6</w:t>
      </w:r>
      <w:r>
        <w:fldChar w:fldCharType="end"/>
      </w:r>
      <w:bookmarkEnd w:id="75"/>
      <w:r w:rsidR="004866F7">
        <w:t>: Vacancy duration</w:t>
      </w:r>
      <w:r w:rsidR="004D54A1">
        <w:t>s</w:t>
      </w:r>
      <w:r w:rsidR="004A3E17">
        <w:t xml:space="preserve"> (no.)</w:t>
      </w:r>
      <w:r w:rsidR="002C743F">
        <w:t>, 2025</w:t>
      </w:r>
      <w:r w:rsidR="00F02BA7">
        <w:t>–</w:t>
      </w:r>
      <w:r w:rsidR="002C743F">
        <w:t>26</w:t>
      </w:r>
      <w:bookmarkEnd w:id="76"/>
    </w:p>
    <w:p w14:paraId="6D166ACB" w14:textId="77777777" w:rsidR="002F5155" w:rsidRDefault="000229C4" w:rsidP="002F5155">
      <w:pPr>
        <w:pStyle w:val="Source"/>
        <w:sectPr w:rsidR="002F5155" w:rsidSect="00CA5E5C">
          <w:pgSz w:w="11907" w:h="16839" w:code="9"/>
          <w:pgMar w:top="1270" w:right="1440" w:bottom="1270" w:left="1440" w:header="720" w:footer="720" w:gutter="0"/>
          <w:cols w:space="720"/>
          <w:docGrid w:linePitch="360"/>
        </w:sectPr>
      </w:pPr>
      <w:r>
        <w:rPr>
          <w:noProof/>
        </w:rPr>
        <w:drawing>
          <wp:inline distT="0" distB="0" distL="0" distR="0" wp14:anchorId="4FC96F7C" wp14:editId="024A8C49">
            <wp:extent cx="5731200" cy="3060000"/>
            <wp:effectExtent l="0" t="0" r="3175" b="7620"/>
            <wp:docPr id="1442413452" name="Chart 1" descr="Figure 6 is a bar chart showing vacancy durations from the Survey of Employers who have Recently Advertised during the 2026 Occupation Shortage List assessment period. Occupations in shortage had an average vacancy duration of 10.6 weeks, compared with 7.8 weeks for occupations not in shortage. The average across all occupations, shown by a dashed line, was 8.5 weeks.&#10;">
              <a:extLst xmlns:a="http://schemas.openxmlformats.org/drawingml/2006/main">
                <a:ext uri="{FF2B5EF4-FFF2-40B4-BE49-F238E27FC236}">
                  <a16:creationId xmlns:a16="http://schemas.microsoft.com/office/drawing/2014/main" id="{2C5ECF48-1C4C-4EAF-B96A-9B6D315574B6}"/>
                </a:ext>
                <a:ext uri="{147F2762-F138-4A5C-976F-8EAC2B608ADB}">
                  <a16:predDERef xmlns:a16="http://schemas.microsoft.com/office/drawing/2014/main" pred="{19E17C5B-5983-4329-BD97-709DD0B231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sidR="004A3E17">
        <w:br/>
      </w:r>
      <w:r w:rsidR="00543936" w:rsidRPr="00F86BE2">
        <w:t>Source:</w:t>
      </w:r>
      <w:r w:rsidR="00543936" w:rsidRPr="00302070">
        <w:t xml:space="preserve"> </w:t>
      </w:r>
      <w:r w:rsidR="00543936" w:rsidRPr="00F86BE2">
        <w:t>Jobs and Skills Australia</w:t>
      </w:r>
      <w:r w:rsidR="00856CED">
        <w:t xml:space="preserve"> (</w:t>
      </w:r>
      <w:r w:rsidR="00042749">
        <w:t>2026</w:t>
      </w:r>
      <w:r w:rsidR="00856CED">
        <w:t>)</w:t>
      </w:r>
      <w:r w:rsidR="00543936">
        <w:t>.</w:t>
      </w:r>
      <w:r w:rsidR="00C40EB2">
        <w:t xml:space="preserve"> </w:t>
      </w:r>
      <w:r w:rsidR="00C40EB2" w:rsidRPr="009B4E70">
        <w:rPr>
          <w:i/>
          <w:iCs/>
        </w:rPr>
        <w:t>SERA</w:t>
      </w:r>
      <w:r w:rsidR="007316FF" w:rsidRPr="009B4E70">
        <w:rPr>
          <w:i/>
          <w:iCs/>
        </w:rPr>
        <w:t>, 2025</w:t>
      </w:r>
      <w:r w:rsidR="00F02BA7">
        <w:rPr>
          <w:i/>
          <w:iCs/>
        </w:rPr>
        <w:t>–</w:t>
      </w:r>
      <w:r w:rsidR="007316FF" w:rsidRPr="009B4E70">
        <w:rPr>
          <w:i/>
          <w:iCs/>
        </w:rPr>
        <w:t>26</w:t>
      </w:r>
      <w:r w:rsidR="007316FF">
        <w:t>.</w:t>
      </w:r>
      <w:r w:rsidR="002F5155">
        <w:t xml:space="preserve"> </w:t>
      </w:r>
    </w:p>
    <w:p w14:paraId="59FA6FF1" w14:textId="7D8FCF7E" w:rsidR="005E5290" w:rsidRDefault="007A3F92" w:rsidP="009B4E70">
      <w:pPr>
        <w:pStyle w:val="BodyText"/>
      </w:pPr>
      <w:r w:rsidRPr="00222B28">
        <w:lastRenderedPageBreak/>
        <w:t xml:space="preserve">Figure </w:t>
      </w:r>
      <w:r w:rsidR="00D00DB3">
        <w:rPr>
          <w:noProof/>
        </w:rPr>
        <w:t>7</w:t>
      </w:r>
      <w:r>
        <w:t xml:space="preserve"> shows the p</w:t>
      </w:r>
      <w:r w:rsidR="00B80F6A">
        <w:t>redicted</w:t>
      </w:r>
      <w:r w:rsidR="00543936">
        <w:t xml:space="preserve"> </w:t>
      </w:r>
      <w:r w:rsidR="00543936" w:rsidRPr="00222B28">
        <w:t xml:space="preserve">fill rates from the OSL </w:t>
      </w:r>
      <w:r w:rsidR="00EF3040">
        <w:t>m</w:t>
      </w:r>
      <w:r w:rsidR="00543936" w:rsidRPr="00222B28">
        <w:t>achine learning mode</w:t>
      </w:r>
      <w:r w:rsidR="006239B1">
        <w:t xml:space="preserve">l for occupations in shortage and those not in shortage. </w:t>
      </w:r>
    </w:p>
    <w:p w14:paraId="0241B4E7" w14:textId="5CABA947" w:rsidR="00543936" w:rsidRPr="006F18E6" w:rsidRDefault="00543936" w:rsidP="00543936">
      <w:pPr>
        <w:pStyle w:val="Caption"/>
      </w:pPr>
      <w:bookmarkStart w:id="77" w:name="_Ref235186497"/>
      <w:bookmarkStart w:id="78" w:name="_Toc211349849"/>
      <w:bookmarkStart w:id="79" w:name="_Toc235190223"/>
      <w:bookmarkStart w:id="80" w:name="_Toc235190658"/>
      <w:bookmarkStart w:id="81" w:name="_Ref176192348"/>
      <w:bookmarkStart w:id="82" w:name="_Ref174547600"/>
      <w:bookmarkStart w:id="83" w:name="_Toc242271319"/>
      <w:r>
        <w:t xml:space="preserve">Figure </w:t>
      </w:r>
      <w:r w:rsidR="00090CC6">
        <w:fldChar w:fldCharType="begin"/>
      </w:r>
      <w:r w:rsidR="00090CC6">
        <w:instrText xml:space="preserve"> SEQ Figure \* ARABIC </w:instrText>
      </w:r>
      <w:r w:rsidR="00090CC6">
        <w:fldChar w:fldCharType="separate"/>
      </w:r>
      <w:r w:rsidR="00286763">
        <w:rPr>
          <w:noProof/>
        </w:rPr>
        <w:t>7</w:t>
      </w:r>
      <w:r w:rsidR="00090CC6">
        <w:fldChar w:fldCharType="end"/>
      </w:r>
      <w:bookmarkEnd w:id="77"/>
      <w:r>
        <w:t xml:space="preserve">: Boxplots of predicted </w:t>
      </w:r>
      <w:r w:rsidR="004A3E17">
        <w:t xml:space="preserve">vacancy </w:t>
      </w:r>
      <w:r>
        <w:t xml:space="preserve">fill rates (%) for the </w:t>
      </w:r>
      <w:r w:rsidR="00042749">
        <w:t>2026</w:t>
      </w:r>
      <w:r>
        <w:t xml:space="preserve"> OSL</w:t>
      </w:r>
      <w:bookmarkEnd w:id="78"/>
      <w:bookmarkEnd w:id="79"/>
      <w:bookmarkEnd w:id="80"/>
      <w:bookmarkEnd w:id="81"/>
      <w:bookmarkEnd w:id="82"/>
      <w:bookmarkEnd w:id="83"/>
    </w:p>
    <w:p w14:paraId="2DC5AA15" w14:textId="6D40EB3F" w:rsidR="00543936" w:rsidRDefault="00A37498" w:rsidP="00543936">
      <w:pPr>
        <w:pStyle w:val="Source"/>
      </w:pPr>
      <w:r w:rsidRPr="00A37498">
        <w:rPr>
          <w:noProof/>
        </w:rPr>
        <mc:AlternateContent>
          <mc:Choice Requires="cx1">
            <w:drawing>
              <wp:inline distT="0" distB="0" distL="0" distR="0" wp14:anchorId="32C6A429" wp14:editId="00F46B2B">
                <wp:extent cx="5731200" cy="3060000"/>
                <wp:effectExtent l="0" t="0" r="3175" b="7620"/>
                <wp:docPr id="772691809" name="Chart 1" descr="Figure 7 shows boxplots of predicted fill rates from the 2026 Occupation Shortage List machine learning model. The median predicted occupation fill rate, represented by the middle lines in the boxes in Figure 6, was 54% for occupations in shortage, compared with 70% for occupations not in shortage and 66% across all occupations. ">
                  <a:extLst xmlns:a="http://schemas.openxmlformats.org/drawingml/2006/main">
                    <a:ext uri="{FF2B5EF4-FFF2-40B4-BE49-F238E27FC236}">
                      <a16:creationId xmlns:a16="http://schemas.microsoft.com/office/drawing/2014/main" id="{FD45A315-3F6D-4D9F-8158-AA7EEEED98AA}"/>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22"/>
                  </a:graphicData>
                </a:graphic>
              </wp:inline>
            </w:drawing>
          </mc:Choice>
          <mc:Fallback>
            <w:drawing>
              <wp:inline distT="0" distB="0" distL="0" distR="0" wp14:anchorId="32C6A429" wp14:editId="00F46B2B">
                <wp:extent cx="5731200" cy="3060000"/>
                <wp:effectExtent l="0" t="0" r="3175" b="7620"/>
                <wp:docPr id="772691809" name="Chart 1" descr="Figure 7 shows boxplots of predicted fill rates from the 2026 Occupation Shortage List machine learning model. The median predicted occupation fill rate, represented by the middle lines in the boxes in Figure 6, was 54% for occupations in shortage, compared with 70% for occupations not in shortage and 66% across all occupations. ">
                  <a:extLst xmlns:a="http://schemas.openxmlformats.org/drawingml/2006/main">
                    <a:ext uri="{FF2B5EF4-FFF2-40B4-BE49-F238E27FC236}">
                      <a16:creationId xmlns:a16="http://schemas.microsoft.com/office/drawing/2014/main" id="{FD45A315-3F6D-4D9F-8158-AA7EEEED98AA}"/>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772691809" name="Chart 1" descr="Figure 7 shows boxplots of predicted fill rates from the 2026 Occupation Shortage List machine learning model. The median predicted occupation fill rate, represented by the middle lines in the boxes in Figure 6, was 54% for occupations in shortage, compared with 70% for occupations not in shortage and 66% across all occupations. ">
                          <a:extLst>
                            <a:ext uri="{FF2B5EF4-FFF2-40B4-BE49-F238E27FC236}">
                              <a16:creationId xmlns:a16="http://schemas.microsoft.com/office/drawing/2014/main" id="{FD45A315-3F6D-4D9F-8158-AA7EEEED98AA}"/>
                            </a:ext>
                          </a:extLst>
                        </pic:cNvPr>
                        <pic:cNvPicPr>
                          <a:picLocks noGrp="1" noRot="1" noChangeAspect="1" noMove="1" noResize="1" noEditPoints="1" noAdjustHandles="1" noChangeArrowheads="1" noChangeShapeType="1"/>
                        </pic:cNvPicPr>
                      </pic:nvPicPr>
                      <pic:blipFill>
                        <a:blip r:embed="rId23"/>
                        <a:stretch>
                          <a:fillRect/>
                        </a:stretch>
                      </pic:blipFill>
                      <pic:spPr>
                        <a:xfrm>
                          <a:off x="0" y="0"/>
                          <a:ext cx="5730875" cy="3059430"/>
                        </a:xfrm>
                        <a:prstGeom prst="rect">
                          <a:avLst/>
                        </a:prstGeom>
                      </pic:spPr>
                    </pic:pic>
                  </a:graphicData>
                </a:graphic>
              </wp:inline>
            </w:drawing>
          </mc:Fallback>
        </mc:AlternateContent>
      </w:r>
      <w:r w:rsidR="00543936">
        <w:br/>
      </w:r>
      <w:r w:rsidR="003346C3">
        <w:t>Source: Jobs and Skills Australia (2026)</w:t>
      </w:r>
      <w:r w:rsidR="00543936" w:rsidRPr="00235EA8">
        <w:t>.</w:t>
      </w:r>
    </w:p>
    <w:p w14:paraId="680D56F4" w14:textId="6E4298CD" w:rsidR="004A6961" w:rsidRDefault="009F4F47" w:rsidP="009B4E70">
      <w:pPr>
        <w:pStyle w:val="BodyText"/>
      </w:pPr>
      <w:bookmarkStart w:id="84" w:name="_Toc235186774"/>
      <w:r w:rsidRPr="00222B28">
        <w:t>The median</w:t>
      </w:r>
      <w:r w:rsidRPr="00222B28" w:rsidDel="00FE3768">
        <w:t xml:space="preserve"> </w:t>
      </w:r>
      <w:r w:rsidRPr="00222B28">
        <w:t>predicted occupation fill rate, represented by the middle lines in the boxes</w:t>
      </w:r>
      <w:r w:rsidR="000D50DE">
        <w:t>,</w:t>
      </w:r>
      <w:r w:rsidRPr="00222B28">
        <w:t xml:space="preserve"> was</w:t>
      </w:r>
      <w:r w:rsidR="007853EB">
        <w:t xml:space="preserve"> </w:t>
      </w:r>
      <w:r w:rsidRPr="00222B28">
        <w:t>54% for occupations in shortage</w:t>
      </w:r>
      <w:r w:rsidR="007853EB">
        <w:t xml:space="preserve"> and </w:t>
      </w:r>
      <w:r w:rsidRPr="00222B28">
        <w:t>70% for occupations not in shortage.</w:t>
      </w:r>
      <w:r w:rsidR="008332BA" w:rsidRPr="008332BA">
        <w:rPr>
          <w:rStyle w:val="FootnoteReference"/>
        </w:rPr>
        <w:t xml:space="preserve"> </w:t>
      </w:r>
      <w:r w:rsidR="008332BA" w:rsidRPr="00222B28">
        <w:rPr>
          <w:rStyle w:val="FootnoteReference"/>
        </w:rPr>
        <w:footnoteReference w:id="11"/>
      </w:r>
      <w:r w:rsidRPr="00222B28">
        <w:rPr>
          <w:rStyle w:val="FootnoteReference"/>
        </w:rPr>
        <w:t xml:space="preserve"> </w:t>
      </w:r>
    </w:p>
    <w:p w14:paraId="49974906" w14:textId="1B1871E1" w:rsidR="00FB13EB" w:rsidRDefault="00BC24FC" w:rsidP="00FB13EB">
      <w:pPr>
        <w:pStyle w:val="BodyText"/>
      </w:pPr>
      <w:r w:rsidRPr="00222B28">
        <w:t xml:space="preserve">The boxplots show that the distribution of fill rates for occupations in shortage </w:t>
      </w:r>
      <w:r w:rsidR="00432F81">
        <w:t xml:space="preserve">was lower than </w:t>
      </w:r>
      <w:r w:rsidRPr="00222B28">
        <w:t>the distribution for occupations not in shortage</w:t>
      </w:r>
      <w:r w:rsidR="001B4123">
        <w:t>.</w:t>
      </w:r>
      <w:r w:rsidR="00CD3AC3">
        <w:rPr>
          <w:rStyle w:val="FootnoteReference"/>
        </w:rPr>
        <w:footnoteReference w:id="12"/>
      </w:r>
      <w:r w:rsidRPr="00222B28">
        <w:t xml:space="preserve"> </w:t>
      </w:r>
      <w:r w:rsidR="00DF55CB">
        <w:t>Further, t</w:t>
      </w:r>
      <w:r w:rsidR="00530B14">
        <w:t xml:space="preserve">he third quartile </w:t>
      </w:r>
      <w:r w:rsidR="00E80409">
        <w:t xml:space="preserve">of </w:t>
      </w:r>
      <w:r w:rsidR="0044475C">
        <w:t>predicted fill rates for shortage occupations</w:t>
      </w:r>
      <w:r w:rsidR="00FB13EB">
        <w:t xml:space="preserve"> </w:t>
      </w:r>
      <w:r w:rsidR="00552F4F">
        <w:t xml:space="preserve">was </w:t>
      </w:r>
      <w:r w:rsidR="00FB13EB">
        <w:t xml:space="preserve">below </w:t>
      </w:r>
      <w:r w:rsidR="00AA45E9">
        <w:t xml:space="preserve">the </w:t>
      </w:r>
      <w:r w:rsidR="00781CCD">
        <w:t xml:space="preserve">67% </w:t>
      </w:r>
      <w:r w:rsidR="00EA68F3">
        <w:t xml:space="preserve">threshold </w:t>
      </w:r>
      <w:r w:rsidR="003230DF">
        <w:t xml:space="preserve">used to </w:t>
      </w:r>
      <w:r w:rsidR="00EA68F3">
        <w:t xml:space="preserve">assess </w:t>
      </w:r>
      <w:r w:rsidR="00AA45E9">
        <w:t>whether</w:t>
      </w:r>
      <w:r w:rsidR="00EA68F3">
        <w:t xml:space="preserve"> an occupation is likely to be in shortage</w:t>
      </w:r>
      <w:r w:rsidR="00EA68F3" w:rsidRPr="00F502CD">
        <w:t>.</w:t>
      </w:r>
      <w:r w:rsidR="00EA68F3">
        <w:rPr>
          <w:rStyle w:val="FootnoteReference"/>
        </w:rPr>
        <w:footnoteReference w:id="13"/>
      </w:r>
      <w:r w:rsidR="00EA68F3" w:rsidRPr="00F502CD">
        <w:t xml:space="preserve"> </w:t>
      </w:r>
    </w:p>
    <w:p w14:paraId="1B0CF43F" w14:textId="32AD512D" w:rsidR="00BC24FC" w:rsidRDefault="00BC24FC" w:rsidP="00BC24FC">
      <w:pPr>
        <w:pStyle w:val="BodyText"/>
      </w:pPr>
      <w:r w:rsidRPr="00222B28">
        <w:t>While the</w:t>
      </w:r>
      <w:r>
        <w:t xml:space="preserve"> median and mean fill rate differ</w:t>
      </w:r>
      <w:r w:rsidR="00A3296B">
        <w:t xml:space="preserve">ed between </w:t>
      </w:r>
      <w:r w:rsidR="00651F94">
        <w:t>the machine learning model</w:t>
      </w:r>
      <w:r>
        <w:t xml:space="preserve"> </w:t>
      </w:r>
      <w:r w:rsidR="00651F94">
        <w:t xml:space="preserve">and </w:t>
      </w:r>
      <w:r w:rsidR="00DE7A0F">
        <w:t xml:space="preserve">from the </w:t>
      </w:r>
      <w:r>
        <w:t>S</w:t>
      </w:r>
      <w:r w:rsidR="00DE7A0F">
        <w:t>urvey of Employers who have Recently Advertised (</w:t>
      </w:r>
      <w:r>
        <w:t>SERA</w:t>
      </w:r>
      <w:r w:rsidR="00DE7A0F">
        <w:t>)</w:t>
      </w:r>
      <w:r w:rsidR="00651F94">
        <w:t xml:space="preserve"> (</w:t>
      </w:r>
      <w:r w:rsidR="001F204E">
        <w:t xml:space="preserve">Figure </w:t>
      </w:r>
      <w:r w:rsidR="001F204E">
        <w:rPr>
          <w:noProof/>
        </w:rPr>
        <w:t>4</w:t>
      </w:r>
      <w:r w:rsidR="001F204E">
        <w:t>)</w:t>
      </w:r>
      <w:r>
        <w:t>, both sources show</w:t>
      </w:r>
      <w:r w:rsidR="00A93C3B">
        <w:t xml:space="preserve"> the same </w:t>
      </w:r>
      <w:r>
        <w:t>pattern. That is, occupations in shortage had lower fill rates.</w:t>
      </w:r>
    </w:p>
    <w:p w14:paraId="070F7678" w14:textId="77777777" w:rsidR="002F5155" w:rsidRDefault="00BC24FC" w:rsidP="009B4E70">
      <w:pPr>
        <w:pStyle w:val="BodyText"/>
        <w:sectPr w:rsidR="002F5155" w:rsidSect="00CA5E5C">
          <w:pgSz w:w="11907" w:h="16839" w:code="9"/>
          <w:pgMar w:top="1270" w:right="1440" w:bottom="1270" w:left="1440" w:header="720" w:footer="720" w:gutter="0"/>
          <w:cols w:space="720"/>
          <w:docGrid w:linePitch="360"/>
        </w:sectPr>
      </w:pPr>
      <w:r>
        <w:t xml:space="preserve">Together, </w:t>
      </w:r>
      <w:r w:rsidR="00592114">
        <w:t>Figure 4 to 6</w:t>
      </w:r>
      <w:r w:rsidR="00317A08">
        <w:t xml:space="preserve"> </w:t>
      </w:r>
      <w:r>
        <w:t xml:space="preserve">suggest </w:t>
      </w:r>
      <w:r w:rsidRPr="00B710BE">
        <w:t>that</w:t>
      </w:r>
      <w:r w:rsidR="00C15981">
        <w:t xml:space="preserve"> </w:t>
      </w:r>
      <w:r w:rsidRPr="00B710BE">
        <w:t>employers</w:t>
      </w:r>
      <w:r w:rsidR="00C15981">
        <w:t xml:space="preserve"> </w:t>
      </w:r>
      <w:r w:rsidRPr="00B710BE">
        <w:t>were less likely to fill vacancies</w:t>
      </w:r>
      <w:r w:rsidR="006C3860">
        <w:t xml:space="preserve"> in occupations</w:t>
      </w:r>
      <w:r w:rsidR="0096603E">
        <w:t xml:space="preserve"> in shortage</w:t>
      </w:r>
      <w:r w:rsidR="002E4A28">
        <w:t xml:space="preserve">. Recruitment </w:t>
      </w:r>
      <w:r w:rsidR="00DD2D84">
        <w:t xml:space="preserve">for </w:t>
      </w:r>
      <w:r w:rsidR="0096603E">
        <w:t xml:space="preserve">those </w:t>
      </w:r>
      <w:r w:rsidR="00DD2D84">
        <w:t xml:space="preserve">occupations </w:t>
      </w:r>
      <w:r w:rsidR="002E4A28">
        <w:t xml:space="preserve">was also more </w:t>
      </w:r>
      <w:r w:rsidRPr="00B710BE">
        <w:t xml:space="preserve">difficult and </w:t>
      </w:r>
      <w:r w:rsidR="00531748">
        <w:t>took longer</w:t>
      </w:r>
      <w:r w:rsidR="0096603E">
        <w:t xml:space="preserve"> than for occupations not in shortage.</w:t>
      </w:r>
      <w:r w:rsidR="002F5155">
        <w:t xml:space="preserve"> </w:t>
      </w:r>
    </w:p>
    <w:p w14:paraId="2D9728DB" w14:textId="694A8F3F" w:rsidR="007309C4" w:rsidRDefault="00444526" w:rsidP="00336D3A">
      <w:pPr>
        <w:pStyle w:val="Heading3"/>
      </w:pPr>
      <w:bookmarkStart w:id="85" w:name="_Toc242271299"/>
      <w:r>
        <w:lastRenderedPageBreak/>
        <w:t>Supply-side indicators</w:t>
      </w:r>
      <w:bookmarkEnd w:id="84"/>
      <w:bookmarkEnd w:id="85"/>
      <w:r>
        <w:t xml:space="preserve"> </w:t>
      </w:r>
      <w:bookmarkStart w:id="86" w:name="_Toc211349840"/>
      <w:bookmarkStart w:id="87" w:name="_Toc233638605"/>
    </w:p>
    <w:p w14:paraId="7BED3178" w14:textId="6D477FA1" w:rsidR="00E932EA" w:rsidRDefault="008337B5" w:rsidP="009B4E70">
      <w:pPr>
        <w:pStyle w:val="BodyText"/>
        <w:rPr>
          <w:b/>
          <w:bCs/>
          <w:color w:val="012749"/>
          <w:sz w:val="18"/>
          <w:szCs w:val="18"/>
        </w:rPr>
      </w:pPr>
      <w:r w:rsidRPr="00516A91">
        <w:t xml:space="preserve">Supply-side indicators </w:t>
      </w:r>
      <w:r w:rsidR="00BA05D2">
        <w:t>show that shortage occupations had</w:t>
      </w:r>
      <w:r w:rsidR="006F4ACF">
        <w:t xml:space="preserve"> both</w:t>
      </w:r>
      <w:r w:rsidR="00BA05D2">
        <w:t xml:space="preserve"> </w:t>
      </w:r>
      <w:r w:rsidRPr="00516A91">
        <w:t xml:space="preserve">fewer </w:t>
      </w:r>
      <w:r w:rsidR="00BA05D2">
        <w:t xml:space="preserve">qualified </w:t>
      </w:r>
      <w:r w:rsidRPr="00516A91">
        <w:t xml:space="preserve">and suitable </w:t>
      </w:r>
      <w:r w:rsidR="00BA05D2">
        <w:t xml:space="preserve">applicants per vacancy than </w:t>
      </w:r>
      <w:r w:rsidRPr="00516A91">
        <w:t xml:space="preserve">occupations </w:t>
      </w:r>
      <w:r w:rsidR="00BA05D2">
        <w:t>not</w:t>
      </w:r>
      <w:r w:rsidRPr="00516A91">
        <w:t xml:space="preserve"> in shortage</w:t>
      </w:r>
      <w:r w:rsidR="009E12ED">
        <w:t xml:space="preserve"> (</w:t>
      </w:r>
      <w:r w:rsidR="00CC390A">
        <w:t xml:space="preserve">Figure </w:t>
      </w:r>
      <w:r w:rsidR="001D752A">
        <w:rPr>
          <w:noProof/>
        </w:rPr>
        <w:t>8</w:t>
      </w:r>
      <w:r w:rsidR="009E12ED">
        <w:t>)</w:t>
      </w:r>
      <w:r w:rsidRPr="00516A91">
        <w:t xml:space="preserve">. </w:t>
      </w:r>
      <w:bookmarkStart w:id="88" w:name="_Ref235186520"/>
      <w:bookmarkStart w:id="89" w:name="_Toc235190224"/>
      <w:bookmarkStart w:id="90" w:name="_Toc235190659"/>
    </w:p>
    <w:p w14:paraId="1E27B8C4" w14:textId="46026DB6" w:rsidR="00E926DB" w:rsidRDefault="00E53599" w:rsidP="00681BE9">
      <w:pPr>
        <w:pStyle w:val="Caption"/>
      </w:pPr>
      <w:bookmarkStart w:id="91" w:name="_Ref240379014"/>
      <w:bookmarkStart w:id="92" w:name="_Toc242271320"/>
      <w:r>
        <w:t xml:space="preserve">Figure </w:t>
      </w:r>
      <w:r w:rsidR="00090CC6">
        <w:fldChar w:fldCharType="begin"/>
      </w:r>
      <w:r w:rsidR="00090CC6">
        <w:instrText xml:space="preserve"> SEQ Figure \* ARABIC </w:instrText>
      </w:r>
      <w:r w:rsidR="00090CC6">
        <w:fldChar w:fldCharType="separate"/>
      </w:r>
      <w:r w:rsidR="00286763">
        <w:rPr>
          <w:noProof/>
        </w:rPr>
        <w:t>8</w:t>
      </w:r>
      <w:r w:rsidR="00090CC6">
        <w:fldChar w:fldCharType="end"/>
      </w:r>
      <w:bookmarkEnd w:id="88"/>
      <w:bookmarkEnd w:id="91"/>
      <w:r w:rsidR="00B97809">
        <w:t xml:space="preserve">: </w:t>
      </w:r>
      <w:r w:rsidR="00FD4B11">
        <w:t>Qualified and suitable applicants per vacancy</w:t>
      </w:r>
      <w:r w:rsidR="00C751B1">
        <w:t xml:space="preserve"> (no.)</w:t>
      </w:r>
      <w:r w:rsidR="00FD4B11">
        <w:t>, 2026</w:t>
      </w:r>
      <w:bookmarkEnd w:id="89"/>
      <w:bookmarkEnd w:id="90"/>
      <w:bookmarkEnd w:id="92"/>
    </w:p>
    <w:p w14:paraId="0FF952B5" w14:textId="04ACF641" w:rsidR="00FD4B11" w:rsidRDefault="00AD14F0" w:rsidP="00681BE9">
      <w:pPr>
        <w:pStyle w:val="Source"/>
      </w:pPr>
      <w:r>
        <w:rPr>
          <w:noProof/>
        </w:rPr>
        <w:drawing>
          <wp:inline distT="0" distB="0" distL="0" distR="0" wp14:anchorId="1BE1C0E7" wp14:editId="3BC00F44">
            <wp:extent cx="5730875" cy="3060000"/>
            <wp:effectExtent l="0" t="0" r="3175" b="7620"/>
            <wp:docPr id="1107362160" name="Chart 1" descr="Figure 8 is a grouped bar chart showing the average number of qualified and suitable applicants per vacancy in 2026. Occupations in shortage had 6.3 qualified applicants and 3.3 suitable applicants per vacancy, compared with 12.8 and 6.3, respectively, for occupations not in shortage. Across all occupations, the averages were 11.0 qualified applicants and 5.4 suitable applicants per vacancy, shown by dotted lines. This indicates that occupations in shortage had a smaller supply of qualified and suitable applicants.&#10;">
              <a:extLst xmlns:a="http://schemas.openxmlformats.org/drawingml/2006/main">
                <a:ext uri="{FF2B5EF4-FFF2-40B4-BE49-F238E27FC236}">
                  <a16:creationId xmlns:a16="http://schemas.microsoft.com/office/drawing/2014/main" id="{B545AEF9-1B9F-43C2-8E4D-0D606008AF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000C0662">
        <w:br/>
      </w:r>
      <w:r w:rsidR="009336A1" w:rsidRPr="009336A1">
        <w:t>Source: Jobs and Skills Australia</w:t>
      </w:r>
      <w:r w:rsidR="00856CED">
        <w:t xml:space="preserve"> (</w:t>
      </w:r>
      <w:r w:rsidR="009336A1" w:rsidRPr="009336A1">
        <w:t>2026</w:t>
      </w:r>
      <w:r w:rsidR="00856CED">
        <w:t>)</w:t>
      </w:r>
      <w:r w:rsidR="008B4AC1">
        <w:t>.</w:t>
      </w:r>
      <w:r w:rsidR="00695B19">
        <w:t xml:space="preserve"> </w:t>
      </w:r>
      <w:r w:rsidR="007316FF" w:rsidRPr="009B4E70">
        <w:rPr>
          <w:i/>
          <w:iCs/>
        </w:rPr>
        <w:t>SERA</w:t>
      </w:r>
      <w:r w:rsidR="00534593" w:rsidRPr="009B4E70">
        <w:rPr>
          <w:i/>
          <w:iCs/>
        </w:rPr>
        <w:t>, 2025</w:t>
      </w:r>
      <w:r w:rsidR="00C56015">
        <w:rPr>
          <w:i/>
          <w:iCs/>
        </w:rPr>
        <w:t>–</w:t>
      </w:r>
      <w:r w:rsidR="00534593" w:rsidRPr="009B4E70">
        <w:rPr>
          <w:i/>
          <w:iCs/>
        </w:rPr>
        <w:t>26</w:t>
      </w:r>
    </w:p>
    <w:p w14:paraId="1C8B32AF" w14:textId="77777777" w:rsidR="00DD7CF6" w:rsidRDefault="00DD7CF6" w:rsidP="00E55AA2">
      <w:pPr>
        <w:pStyle w:val="BodyText"/>
      </w:pPr>
      <w:r>
        <w:t>In 2026, s</w:t>
      </w:r>
      <w:r w:rsidRPr="00516A91">
        <w:t xml:space="preserve">hortage occupations had </w:t>
      </w:r>
      <w:r>
        <w:t xml:space="preserve">6.3 </w:t>
      </w:r>
      <w:r w:rsidRPr="00516A91">
        <w:t xml:space="preserve">qualified applicants and </w:t>
      </w:r>
      <w:r>
        <w:t xml:space="preserve">3.3 </w:t>
      </w:r>
      <w:r w:rsidRPr="00516A91">
        <w:t>suitable applicants per vacancy</w:t>
      </w:r>
      <w:r>
        <w:t>, compared to 12.8 and</w:t>
      </w:r>
      <w:r w:rsidRPr="00516A91">
        <w:t xml:space="preserve"> </w:t>
      </w:r>
      <w:r>
        <w:t xml:space="preserve">6.3 respectively for </w:t>
      </w:r>
      <w:r w:rsidRPr="00516A91">
        <w:t>occupations not in shortage</w:t>
      </w:r>
      <w:r>
        <w:t xml:space="preserve">. </w:t>
      </w:r>
    </w:p>
    <w:p w14:paraId="7112F41C" w14:textId="6D1AEA41" w:rsidR="00DD7CF6" w:rsidRDefault="000B1704" w:rsidP="0073427B">
      <w:pPr>
        <w:pStyle w:val="BodyText"/>
      </w:pPr>
      <w:r>
        <w:t>The dashed lines show the a</w:t>
      </w:r>
      <w:r w:rsidR="00DD7CF6">
        <w:t>verage</w:t>
      </w:r>
      <w:r w:rsidR="00D50A2E">
        <w:t>s</w:t>
      </w:r>
      <w:r w:rsidR="00DD7CF6">
        <w:t xml:space="preserve"> across all occupations</w:t>
      </w:r>
      <w:r>
        <w:t>:</w:t>
      </w:r>
      <w:r w:rsidR="00DD7CF6">
        <w:t xml:space="preserve"> 11.0 qualified applicants and 5.4 suitable applicants per vacancy. </w:t>
      </w:r>
    </w:p>
    <w:p w14:paraId="3B9A6EB4" w14:textId="525AFFB3" w:rsidR="00DD7CF6" w:rsidRDefault="00DD7CF6" w:rsidP="009B4E70">
      <w:pPr>
        <w:pStyle w:val="BodyText"/>
      </w:pPr>
      <w:r>
        <w:t>This suggests that supply constraints were more pronounced for occupations rated in shortage.</w:t>
      </w:r>
    </w:p>
    <w:p w14:paraId="1DE1A7E6" w14:textId="72FE95B9" w:rsidR="005931CC" w:rsidRDefault="003256B3" w:rsidP="005931CC">
      <w:pPr>
        <w:pStyle w:val="BodyText"/>
      </w:pPr>
      <w:r w:rsidRPr="00AD5C74">
        <w:t xml:space="preserve">Figure </w:t>
      </w:r>
      <w:r>
        <w:rPr>
          <w:noProof/>
        </w:rPr>
        <w:t>9</w:t>
      </w:r>
      <w:r w:rsidR="005931CC" w:rsidRPr="00C96453">
        <w:t xml:space="preserve"> </w:t>
      </w:r>
      <w:r w:rsidR="005931CC">
        <w:t xml:space="preserve">shows </w:t>
      </w:r>
      <w:r w:rsidR="005931CC" w:rsidRPr="00C96453">
        <w:t>the Labour Supply Index (LSI), compar</w:t>
      </w:r>
      <w:r w:rsidR="005931CC">
        <w:t>ing</w:t>
      </w:r>
      <w:r w:rsidR="005931CC" w:rsidRPr="00C96453">
        <w:t xml:space="preserve"> applicant availability </w:t>
      </w:r>
      <w:r w:rsidR="005931CC">
        <w:t xml:space="preserve">of </w:t>
      </w:r>
      <w:r w:rsidR="005931CC" w:rsidRPr="00C96453">
        <w:t xml:space="preserve">occupations. </w:t>
      </w:r>
    </w:p>
    <w:p w14:paraId="6EED91FC" w14:textId="77777777" w:rsidR="00B72FB2" w:rsidRDefault="00B72FB2" w:rsidP="00B72FB2">
      <w:pPr>
        <w:pStyle w:val="BodyText"/>
        <w:rPr>
          <w:kern w:val="2"/>
          <w:szCs w:val="22"/>
          <w:lang w:eastAsia="en-AU"/>
          <w14:ligatures w14:val="standardContextual"/>
        </w:rPr>
      </w:pPr>
      <w:r w:rsidRPr="00C96453">
        <w:t>The index is based on the number of applicants per advertised vacancy, using data from the SERA and the REOS. A positive value indicates that applicant availability is above the average across occupations, while a negative value indicates that it is below average.</w:t>
      </w:r>
    </w:p>
    <w:p w14:paraId="2B065960" w14:textId="77777777" w:rsidR="00B72FB2" w:rsidRDefault="00B72FB2" w:rsidP="00B72FB2">
      <w:pPr>
        <w:pStyle w:val="BodyText"/>
      </w:pPr>
      <w:r w:rsidRPr="00774092">
        <w:t xml:space="preserve">The distribution of LSI values was lower for occupations in shortage than for occupations not in shortage. </w:t>
      </w:r>
    </w:p>
    <w:p w14:paraId="26E2BA36" w14:textId="2D9F6FD9" w:rsidR="00B72FB2" w:rsidRDefault="00B72FB2" w:rsidP="00B72FB2">
      <w:pPr>
        <w:pStyle w:val="BodyText"/>
      </w:pPr>
      <w:r w:rsidRPr="00774092">
        <w:t>The median LSI was below zero for shortage occupations and above zero for occupations not in shortage, indicating relatively fewer applicants per vacancy for occupations in shortage. This is consistent with other supply-side indicators showing that these occupations faced a more limited pool of available applicants.</w:t>
      </w:r>
    </w:p>
    <w:p w14:paraId="74F2EA42" w14:textId="381397D6" w:rsidR="005931CC" w:rsidRDefault="005931CC" w:rsidP="009B4E70">
      <w:pPr>
        <w:pStyle w:val="Caption"/>
        <w:keepNext/>
        <w:keepLines/>
      </w:pPr>
      <w:bookmarkStart w:id="93" w:name="_Ref240461111"/>
      <w:bookmarkStart w:id="94" w:name="_Toc242271321"/>
      <w:r w:rsidRPr="00AD5C74">
        <w:lastRenderedPageBreak/>
        <w:t xml:space="preserve">Figure </w:t>
      </w:r>
      <w:r w:rsidRPr="00AD5C74">
        <w:fldChar w:fldCharType="begin"/>
      </w:r>
      <w:r w:rsidRPr="00AD5C74">
        <w:instrText xml:space="preserve"> SEQ Figure \* ARABIC </w:instrText>
      </w:r>
      <w:r w:rsidRPr="00AD5C74">
        <w:fldChar w:fldCharType="separate"/>
      </w:r>
      <w:r w:rsidR="00286763">
        <w:rPr>
          <w:noProof/>
        </w:rPr>
        <w:t>9</w:t>
      </w:r>
      <w:r w:rsidRPr="00AD5C74">
        <w:fldChar w:fldCharType="end"/>
      </w:r>
      <w:bookmarkEnd w:id="93"/>
      <w:r w:rsidRPr="00AD5C74">
        <w:t>: Boxplots of Labour Supply Index, 2026 OSL</w:t>
      </w:r>
      <w:bookmarkEnd w:id="94"/>
    </w:p>
    <w:p w14:paraId="515568DB" w14:textId="36969468" w:rsidR="005931CC" w:rsidRPr="00C85598" w:rsidRDefault="005931CC" w:rsidP="009B4E70">
      <w:pPr>
        <w:pStyle w:val="Source"/>
      </w:pPr>
      <w:r>
        <w:rPr>
          <w:bCs w:val="0"/>
          <w:noProof/>
        </w:rPr>
        <mc:AlternateContent>
          <mc:Choice Requires="cx1">
            <w:drawing>
              <wp:inline distT="0" distB="0" distL="0" distR="0" wp14:anchorId="5870954C" wp14:editId="5216687B">
                <wp:extent cx="5732145" cy="3060000"/>
                <wp:effectExtent l="0" t="0" r="1905" b="7620"/>
                <wp:docPr id="1479863935" name="Chart 1" descr="Boxplots compare the distribution of the Labour Supply Index for occupations in shortage, occupations not in shortage and all occupations in the 2026 OSL. The median index is below zero for shortage occupations and above zero for occupations not in shortage, indicating relatively fewer applicants per vacancy for shortage occupations. ">
                  <a:extLst xmlns:a="http://schemas.openxmlformats.org/drawingml/2006/main">
                    <a:ext uri="{FF2B5EF4-FFF2-40B4-BE49-F238E27FC236}">
                      <a16:creationId xmlns:a16="http://schemas.microsoft.com/office/drawing/2014/main" id="{00D5E1A5-3FD7-4E94-ADF9-F3BDE1777F3A}"/>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25"/>
                  </a:graphicData>
                </a:graphic>
              </wp:inline>
            </w:drawing>
          </mc:Choice>
          <mc:Fallback>
            <w:drawing>
              <wp:inline distT="0" distB="0" distL="0" distR="0" wp14:anchorId="5870954C" wp14:editId="5216687B">
                <wp:extent cx="5732145" cy="3060000"/>
                <wp:effectExtent l="0" t="0" r="1905" b="7620"/>
                <wp:docPr id="1479863935" name="Chart 1" descr="Boxplots compare the distribution of the Labour Supply Index for occupations in shortage, occupations not in shortage and all occupations in the 2026 OSL. The median index is below zero for shortage occupations and above zero for occupations not in shortage, indicating relatively fewer applicants per vacancy for shortage occupations. ">
                  <a:extLst xmlns:a="http://schemas.openxmlformats.org/drawingml/2006/main">
                    <a:ext uri="{FF2B5EF4-FFF2-40B4-BE49-F238E27FC236}">
                      <a16:creationId xmlns:a16="http://schemas.microsoft.com/office/drawing/2014/main" id="{00D5E1A5-3FD7-4E94-ADF9-F3BDE1777F3A}"/>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479863935" name="Chart 1" descr="Boxplots compare the distribution of the Labour Supply Index for occupations in shortage, occupations not in shortage and all occupations in the 2026 OSL. The median index is below zero for shortage occupations and above zero for occupations not in shortage, indicating relatively fewer applicants per vacancy for shortage occupations. ">
                          <a:extLst>
                            <a:ext uri="{FF2B5EF4-FFF2-40B4-BE49-F238E27FC236}">
                              <a16:creationId xmlns:a16="http://schemas.microsoft.com/office/drawing/2014/main" id="{00D5E1A5-3FD7-4E94-ADF9-F3BDE1777F3A}"/>
                            </a:ext>
                          </a:extLst>
                        </pic:cNvPr>
                        <pic:cNvPicPr>
                          <a:picLocks noGrp="1" noRot="1" noChangeAspect="1" noMove="1" noResize="1" noEditPoints="1" noAdjustHandles="1" noChangeArrowheads="1" noChangeShapeType="1"/>
                        </pic:cNvPicPr>
                      </pic:nvPicPr>
                      <pic:blipFill>
                        <a:blip r:embed="rId26"/>
                        <a:stretch>
                          <a:fillRect/>
                        </a:stretch>
                      </pic:blipFill>
                      <pic:spPr>
                        <a:xfrm>
                          <a:off x="0" y="0"/>
                          <a:ext cx="5732145" cy="3059430"/>
                        </a:xfrm>
                        <a:prstGeom prst="rect">
                          <a:avLst/>
                        </a:prstGeom>
                      </pic:spPr>
                    </pic:pic>
                  </a:graphicData>
                </a:graphic>
              </wp:inline>
            </w:drawing>
          </mc:Fallback>
        </mc:AlternateContent>
      </w:r>
      <w:r>
        <w:br/>
      </w:r>
      <w:r w:rsidRPr="009336A1">
        <w:t>Source: Jobs and Skills Australia</w:t>
      </w:r>
      <w:r>
        <w:t xml:space="preserve"> (2026).</w:t>
      </w:r>
      <w:r w:rsidRPr="009336A1">
        <w:t xml:space="preserve"> </w:t>
      </w:r>
      <w:r w:rsidRPr="00475D8A">
        <w:rPr>
          <w:i/>
          <w:iCs/>
        </w:rPr>
        <w:t>SERA and REOS, 2025</w:t>
      </w:r>
      <w:r w:rsidR="00A74CA9">
        <w:rPr>
          <w:i/>
          <w:iCs/>
        </w:rPr>
        <w:t>–</w:t>
      </w:r>
      <w:r w:rsidRPr="00475D8A">
        <w:rPr>
          <w:i/>
          <w:iCs/>
        </w:rPr>
        <w:t>26</w:t>
      </w:r>
      <w:r w:rsidRPr="009336A1">
        <w:t>.</w:t>
      </w:r>
      <w:r>
        <w:br/>
        <w:t>N</w:t>
      </w:r>
      <w:r w:rsidRPr="00D53EDE">
        <w:t>ote:</w:t>
      </w:r>
      <w:r>
        <w:t xml:space="preserve"> </w:t>
      </w:r>
      <w:r w:rsidRPr="009F111E">
        <w:t xml:space="preserve">Results </w:t>
      </w:r>
      <w:r>
        <w:t xml:space="preserve">are </w:t>
      </w:r>
      <w:r w:rsidRPr="009F111E">
        <w:t xml:space="preserve">presented on an </w:t>
      </w:r>
      <w:r w:rsidRPr="00332C75">
        <w:t>ANZSCO 2022 basis.</w:t>
      </w:r>
    </w:p>
    <w:p w14:paraId="4787AF24" w14:textId="765BC4E2" w:rsidR="004E2DFB" w:rsidRDefault="007309C4" w:rsidP="00336D3A">
      <w:pPr>
        <w:pStyle w:val="Heading3"/>
      </w:pPr>
      <w:bookmarkStart w:id="95" w:name="_Toc235186775"/>
      <w:bookmarkStart w:id="96" w:name="_Toc242271300"/>
      <w:r>
        <w:t>Demand-side indicators</w:t>
      </w:r>
      <w:bookmarkEnd w:id="95"/>
      <w:bookmarkEnd w:id="96"/>
      <w:r w:rsidR="00146ED2">
        <w:t xml:space="preserve"> </w:t>
      </w:r>
    </w:p>
    <w:p w14:paraId="2D0F7F28" w14:textId="5A38E88D" w:rsidR="004528EE" w:rsidRDefault="00CD0CD0" w:rsidP="004E2DFB">
      <w:pPr>
        <w:pStyle w:val="BodyText"/>
      </w:pPr>
      <w:r>
        <w:t>The d</w:t>
      </w:r>
      <w:r w:rsidR="009B7E8D">
        <w:t>emand-side indicator showed stronger demand for occupations in shortage</w:t>
      </w:r>
      <w:r>
        <w:t xml:space="preserve"> </w:t>
      </w:r>
      <w:r w:rsidR="00EF596A">
        <w:br/>
      </w:r>
      <w:r>
        <w:t>(</w:t>
      </w:r>
      <w:r w:rsidR="00E870D9">
        <w:t xml:space="preserve">Figure </w:t>
      </w:r>
      <w:r w:rsidR="00E870D9">
        <w:rPr>
          <w:noProof/>
        </w:rPr>
        <w:t>10</w:t>
      </w:r>
      <w:r>
        <w:t>).</w:t>
      </w:r>
      <w:r w:rsidR="009B7E8D">
        <w:t xml:space="preserve"> </w:t>
      </w:r>
    </w:p>
    <w:p w14:paraId="2CD048B0" w14:textId="7A72CAE7" w:rsidR="00AA3E84" w:rsidRDefault="00E53599" w:rsidP="00105A16">
      <w:pPr>
        <w:pStyle w:val="Caption"/>
        <w:keepNext/>
        <w:keepLines/>
      </w:pPr>
      <w:bookmarkStart w:id="97" w:name="_Ref235186553"/>
      <w:bookmarkStart w:id="98" w:name="_Toc235190225"/>
      <w:bookmarkStart w:id="99" w:name="_Toc235190660"/>
      <w:bookmarkStart w:id="100" w:name="_Toc242271322"/>
      <w:r>
        <w:t xml:space="preserve">Figure </w:t>
      </w:r>
      <w:r w:rsidR="006F404E">
        <w:fldChar w:fldCharType="begin"/>
      </w:r>
      <w:r w:rsidR="006F404E">
        <w:instrText xml:space="preserve"> SEQ Figure \* ARABIC </w:instrText>
      </w:r>
      <w:r w:rsidR="006F404E">
        <w:fldChar w:fldCharType="separate"/>
      </w:r>
      <w:r w:rsidR="00286763">
        <w:rPr>
          <w:noProof/>
        </w:rPr>
        <w:t>10</w:t>
      </w:r>
      <w:r w:rsidR="006F404E">
        <w:fldChar w:fldCharType="end"/>
      </w:r>
      <w:bookmarkEnd w:id="97"/>
      <w:r w:rsidR="00AA3E84">
        <w:t xml:space="preserve">: </w:t>
      </w:r>
      <w:r w:rsidR="00B66794">
        <w:t>I</w:t>
      </w:r>
      <w:r w:rsidR="002C7BAD">
        <w:t>VI</w:t>
      </w:r>
      <w:r w:rsidR="00B66794">
        <w:t>, 5</w:t>
      </w:r>
      <w:r w:rsidR="007601BC">
        <w:t>-</w:t>
      </w:r>
      <w:r w:rsidR="002A1D5B">
        <w:t>year</w:t>
      </w:r>
      <w:r w:rsidR="00B66794">
        <w:t xml:space="preserve"> change, 2022</w:t>
      </w:r>
      <w:r w:rsidR="008579CE">
        <w:t xml:space="preserve"> to </w:t>
      </w:r>
      <w:r w:rsidR="007564C6">
        <w:t>20</w:t>
      </w:r>
      <w:r w:rsidR="00B66794">
        <w:t>26</w:t>
      </w:r>
      <w:bookmarkEnd w:id="98"/>
      <w:bookmarkEnd w:id="99"/>
      <w:bookmarkEnd w:id="100"/>
      <w:r w:rsidR="00B66794">
        <w:t xml:space="preserve"> </w:t>
      </w:r>
    </w:p>
    <w:p w14:paraId="6BAD0766" w14:textId="77777777" w:rsidR="002F5155" w:rsidRDefault="00DA08E9" w:rsidP="00D53EDE">
      <w:pPr>
        <w:pStyle w:val="Source"/>
        <w:sectPr w:rsidR="002F5155" w:rsidSect="00CA5E5C">
          <w:pgSz w:w="11907" w:h="16839" w:code="9"/>
          <w:pgMar w:top="1270" w:right="1440" w:bottom="1270" w:left="1440" w:header="720" w:footer="720" w:gutter="0"/>
          <w:cols w:space="720"/>
          <w:docGrid w:linePitch="360"/>
        </w:sectPr>
      </w:pPr>
      <w:r w:rsidRPr="00DA08E9">
        <w:rPr>
          <w:noProof/>
        </w:rPr>
        <w:drawing>
          <wp:inline distT="0" distB="0" distL="0" distR="0" wp14:anchorId="690DB80A" wp14:editId="40B31A0A">
            <wp:extent cx="5731200" cy="3060000"/>
            <wp:effectExtent l="0" t="0" r="3175" b="7620"/>
            <wp:docPr id="974481122" name="Chart 1" descr="Figure 10 is a bar chart showing the 5-year percentage change in the Internet Vacancy Index from 2022 to 2026. The index measures online job advertisements. It increased by 4% for occupations in shortage but decreased by 4% for occupations not in shortage. Across all occupations, the index decreased by an average of 2%, shown by a dashed line. Results are presented on an ANZSCO 2022 basis.&#10;&#10;">
              <a:extLst xmlns:a="http://schemas.openxmlformats.org/drawingml/2006/main">
                <a:ext uri="{FF2B5EF4-FFF2-40B4-BE49-F238E27FC236}">
                  <a16:creationId xmlns:a16="http://schemas.microsoft.com/office/drawing/2014/main" id="{21AD677E-3B44-4D1E-A7F1-FD828A33222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r w:rsidR="008D5D65">
        <w:br/>
      </w:r>
      <w:r w:rsidR="00FD473A" w:rsidRPr="00FD473A">
        <w:t>Source: Jobs and Skills Australia</w:t>
      </w:r>
      <w:r w:rsidR="004D029D">
        <w:t xml:space="preserve"> (2026).</w:t>
      </w:r>
      <w:r w:rsidR="00FD473A" w:rsidRPr="00FD473A">
        <w:t xml:space="preserve"> </w:t>
      </w:r>
      <w:r w:rsidR="00F40804" w:rsidRPr="009B4E70">
        <w:rPr>
          <w:bCs w:val="0"/>
          <w:i/>
          <w:iCs/>
        </w:rPr>
        <w:t>Internet Vacancy Index (</w:t>
      </w:r>
      <w:r w:rsidR="00FD473A" w:rsidRPr="009B4E70">
        <w:rPr>
          <w:i/>
        </w:rPr>
        <w:t>I</w:t>
      </w:r>
      <w:r w:rsidR="002C7BAD" w:rsidRPr="009B4E70">
        <w:rPr>
          <w:i/>
        </w:rPr>
        <w:t>VI</w:t>
      </w:r>
      <w:r w:rsidR="00F40804" w:rsidRPr="00F40804">
        <w:rPr>
          <w:i/>
          <w:iCs/>
        </w:rPr>
        <w:t>)</w:t>
      </w:r>
      <w:r w:rsidR="00FD473A" w:rsidRPr="009B4E70">
        <w:rPr>
          <w:bCs w:val="0"/>
          <w:i/>
          <w:iCs/>
        </w:rPr>
        <w:t>,</w:t>
      </w:r>
      <w:r w:rsidR="00FD473A" w:rsidRPr="009B4E70">
        <w:rPr>
          <w:i/>
        </w:rPr>
        <w:t xml:space="preserve"> </w:t>
      </w:r>
      <w:r w:rsidR="00591C4E" w:rsidRPr="009B4E70">
        <w:rPr>
          <w:i/>
          <w:iCs/>
        </w:rPr>
        <w:t>20</w:t>
      </w:r>
      <w:r w:rsidR="00FD473A" w:rsidRPr="009B4E70">
        <w:rPr>
          <w:i/>
        </w:rPr>
        <w:t>26</w:t>
      </w:r>
      <w:r w:rsidR="00A06B42">
        <w:rPr>
          <w:i/>
        </w:rPr>
        <w:t xml:space="preserve"> July</w:t>
      </w:r>
      <w:r w:rsidR="00FD473A" w:rsidRPr="009B4E70">
        <w:rPr>
          <w:bCs w:val="0"/>
          <w:i/>
        </w:rPr>
        <w:t>.</w:t>
      </w:r>
      <w:r w:rsidR="00EF1DC3">
        <w:t xml:space="preserve"> </w:t>
      </w:r>
      <w:r w:rsidR="00205378">
        <w:br/>
      </w:r>
      <w:r w:rsidR="00D53EDE">
        <w:t>N</w:t>
      </w:r>
      <w:r w:rsidR="00D53EDE" w:rsidRPr="00D53EDE">
        <w:t xml:space="preserve">ote: </w:t>
      </w:r>
      <w:r w:rsidR="008579CE">
        <w:t>The dashed</w:t>
      </w:r>
      <w:r w:rsidR="008579CE" w:rsidRPr="00D53EDE">
        <w:t xml:space="preserve"> </w:t>
      </w:r>
      <w:r w:rsidR="00D53EDE" w:rsidRPr="00D53EDE">
        <w:t>line in the figure show</w:t>
      </w:r>
      <w:r w:rsidR="008579CE">
        <w:t>s</w:t>
      </w:r>
      <w:r w:rsidR="00D53EDE" w:rsidRPr="00D53EDE">
        <w:t xml:space="preserve"> the average values across all occupations.</w:t>
      </w:r>
      <w:r w:rsidR="008579CE">
        <w:t xml:space="preserve"> These are calculated on an ANZSCO 2022 basis.</w:t>
      </w:r>
      <w:r w:rsidR="002F5155">
        <w:t xml:space="preserve"> </w:t>
      </w:r>
    </w:p>
    <w:p w14:paraId="7DB8B028" w14:textId="596C1CC6" w:rsidR="00B9085B" w:rsidRDefault="00B9085B" w:rsidP="009B4E70">
      <w:pPr>
        <w:pStyle w:val="BodyText"/>
      </w:pPr>
      <w:bookmarkStart w:id="101" w:name="_Toc235186776"/>
      <w:r>
        <w:lastRenderedPageBreak/>
        <w:t xml:space="preserve">For shortage occupations, </w:t>
      </w:r>
      <w:r w:rsidR="006A5F5A">
        <w:t xml:space="preserve">the </w:t>
      </w:r>
      <w:r>
        <w:t xml:space="preserve">Internet Vacancy Index (IVI) increased by 4% from 2022 to 2026. In contrast, </w:t>
      </w:r>
      <w:r w:rsidR="000933E9">
        <w:t xml:space="preserve">the </w:t>
      </w:r>
      <w:r>
        <w:t xml:space="preserve">IVI decreased by 4% for occupations not in shortage. </w:t>
      </w:r>
    </w:p>
    <w:p w14:paraId="245081A1" w14:textId="6FD62E20" w:rsidR="00B9085B" w:rsidRDefault="00B9085B" w:rsidP="00C60AD4">
      <w:pPr>
        <w:pStyle w:val="BodyText"/>
      </w:pPr>
      <w:r>
        <w:t>In line with softer demand in the labour market, the average change in IVI across all occupations was -2%</w:t>
      </w:r>
      <w:r w:rsidR="00570C21">
        <w:t xml:space="preserve"> and consistent with </w:t>
      </w:r>
      <w:r w:rsidR="00363B22">
        <w:t>trends in Jobs and Skills Australia’s T</w:t>
      </w:r>
      <w:r w:rsidRPr="007D1B04">
        <w:t xml:space="preserve">otal </w:t>
      </w:r>
      <w:r w:rsidR="00363B22">
        <w:t>N</w:t>
      </w:r>
      <w:r w:rsidRPr="007D1B04">
        <w:t xml:space="preserve">ew </w:t>
      </w:r>
      <w:r w:rsidR="00363B22">
        <w:t>V</w:t>
      </w:r>
      <w:r w:rsidRPr="007D1B04">
        <w:t xml:space="preserve">acancies </w:t>
      </w:r>
      <w:r w:rsidR="00AC5705">
        <w:t>measure</w:t>
      </w:r>
      <w:r>
        <w:t>.</w:t>
      </w:r>
      <w:r>
        <w:rPr>
          <w:rStyle w:val="FootnoteReference"/>
        </w:rPr>
        <w:footnoteReference w:id="14"/>
      </w:r>
      <w:r>
        <w:t xml:space="preserve"> </w:t>
      </w:r>
    </w:p>
    <w:p w14:paraId="61A78522" w14:textId="26058B4E" w:rsidR="002045BA" w:rsidRDefault="002045BA" w:rsidP="002045BA">
      <w:pPr>
        <w:pStyle w:val="Heading3"/>
      </w:pPr>
      <w:bookmarkStart w:id="102" w:name="_Toc242271301"/>
      <w:r>
        <w:t>Replacement rates</w:t>
      </w:r>
      <w:bookmarkEnd w:id="102"/>
      <w:r>
        <w:t xml:space="preserve"> </w:t>
      </w:r>
    </w:p>
    <w:p w14:paraId="1A8F6B86" w14:textId="5104857E" w:rsidR="009540EA" w:rsidRDefault="001D68AB" w:rsidP="009540EA">
      <w:pPr>
        <w:pStyle w:val="BodyText"/>
      </w:pPr>
      <w:r>
        <w:t xml:space="preserve">Figure </w:t>
      </w:r>
      <w:r>
        <w:rPr>
          <w:noProof/>
        </w:rPr>
        <w:t>11</w:t>
      </w:r>
      <w:r>
        <w:t xml:space="preserve"> </w:t>
      </w:r>
      <w:r w:rsidR="009540EA">
        <w:t xml:space="preserve">shows that shortage occupations also had lower replacement rates than those not in shortage. </w:t>
      </w:r>
    </w:p>
    <w:p w14:paraId="0B1CAFA0" w14:textId="307C0454" w:rsidR="009540EA" w:rsidRDefault="009540EA" w:rsidP="009540EA">
      <w:pPr>
        <w:pStyle w:val="BodyText"/>
      </w:pPr>
      <w:r>
        <w:t>The replacement rate measures the number of new workers needed to replace those who left their occupation over a given year.</w:t>
      </w:r>
      <w:r>
        <w:rPr>
          <w:rStyle w:val="FootnoteReference"/>
        </w:rPr>
        <w:footnoteReference w:id="15"/>
      </w:r>
    </w:p>
    <w:p w14:paraId="0AFB264C" w14:textId="4CF0E820" w:rsidR="009540EA" w:rsidRDefault="009540EA" w:rsidP="009B4E70">
      <w:pPr>
        <w:pStyle w:val="BodyText"/>
        <w:rPr>
          <w:b/>
          <w:bCs/>
          <w:color w:val="012749"/>
          <w:sz w:val="18"/>
          <w:szCs w:val="18"/>
        </w:rPr>
      </w:pPr>
      <w:r>
        <w:t>Between 2023 and 2025, the average replacement rate was 14% for occupations in shortage, compared with 17% for those not in shortage</w:t>
      </w:r>
      <w:r w:rsidR="00BB65AB">
        <w:t>—</w:t>
      </w:r>
      <w:r>
        <w:t xml:space="preserve">similar to the national average. </w:t>
      </w:r>
    </w:p>
    <w:p w14:paraId="5FF8EF0D" w14:textId="4AADF2B4" w:rsidR="009540EA" w:rsidRDefault="009540EA" w:rsidP="009540EA">
      <w:pPr>
        <w:pStyle w:val="Caption"/>
      </w:pPr>
      <w:bookmarkStart w:id="103" w:name="_Ref240462128"/>
      <w:bookmarkStart w:id="104" w:name="_Toc242271323"/>
      <w:r>
        <w:t xml:space="preserve">Figure </w:t>
      </w:r>
      <w:r>
        <w:fldChar w:fldCharType="begin"/>
      </w:r>
      <w:r>
        <w:instrText xml:space="preserve"> SEQ Figure \* ARABIC </w:instrText>
      </w:r>
      <w:r>
        <w:fldChar w:fldCharType="separate"/>
      </w:r>
      <w:r w:rsidR="00286763">
        <w:rPr>
          <w:noProof/>
        </w:rPr>
        <w:t>11</w:t>
      </w:r>
      <w:r>
        <w:fldChar w:fldCharType="end"/>
      </w:r>
      <w:bookmarkEnd w:id="103"/>
      <w:r>
        <w:t>: Replacement rate</w:t>
      </w:r>
      <w:r w:rsidR="0005796E">
        <w:t>s</w:t>
      </w:r>
      <w:r>
        <w:t>, 3</w:t>
      </w:r>
      <w:r w:rsidR="00324932">
        <w:t>-</w:t>
      </w:r>
      <w:r>
        <w:t>year average, 2023</w:t>
      </w:r>
      <w:r w:rsidR="0075740C">
        <w:t>–</w:t>
      </w:r>
      <w:r>
        <w:t>25</w:t>
      </w:r>
      <w:bookmarkEnd w:id="104"/>
    </w:p>
    <w:p w14:paraId="6BF79D76" w14:textId="54635EFC" w:rsidR="009540EA" w:rsidRDefault="009540EA" w:rsidP="009540EA">
      <w:pPr>
        <w:pStyle w:val="Source"/>
      </w:pPr>
      <w:r>
        <w:rPr>
          <w:noProof/>
        </w:rPr>
        <w:drawing>
          <wp:inline distT="0" distB="0" distL="0" distR="0" wp14:anchorId="38CA9026" wp14:editId="31FAC5EE">
            <wp:extent cx="5731200" cy="3060000"/>
            <wp:effectExtent l="0" t="0" r="3175" b="7620"/>
            <wp:docPr id="50950203" name="Chart 1" descr="Figure 11 is a bar chart showing the average replacement rate from 2023 to 2025. Occupations in shortage had an average replacement rate of 14%, compared with 17% for occupations not in shortage. The average across all occupations is shown by a dotted line. This indicates that fewer workers moved into shortage occupations to replace workers who left. Results are presented on ANZSCO 2022 basis.&#10;">
              <a:extLst xmlns:a="http://schemas.openxmlformats.org/drawingml/2006/main">
                <a:ext uri="{FF2B5EF4-FFF2-40B4-BE49-F238E27FC236}">
                  <a16:creationId xmlns:a16="http://schemas.microsoft.com/office/drawing/2014/main" id="{4B43CB50-2F6B-41FD-BB96-66C279F7005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r>
        <w:br/>
      </w:r>
      <w:r w:rsidRPr="009336A1">
        <w:t>Source: Jobs and Skills Australia</w:t>
      </w:r>
      <w:r>
        <w:t xml:space="preserve"> (2026).</w:t>
      </w:r>
      <w:r w:rsidRPr="009336A1">
        <w:t xml:space="preserve"> </w:t>
      </w:r>
      <w:r w:rsidRPr="00FE2063">
        <w:t xml:space="preserve">Replacement rate was constructed from Data on Occupation Mobility </w:t>
      </w:r>
      <w:r w:rsidR="00EF0968" w:rsidRPr="00EF0968">
        <w:t>which was created using Person Level Integrated Data Asset, 2010</w:t>
      </w:r>
      <w:r w:rsidR="00156212">
        <w:t>–</w:t>
      </w:r>
      <w:r w:rsidR="00EF0968" w:rsidRPr="00EF0968">
        <w:t>11 to 2023</w:t>
      </w:r>
      <w:r w:rsidR="00156212">
        <w:t>–</w:t>
      </w:r>
      <w:r w:rsidR="00EF0968" w:rsidRPr="00EF0968">
        <w:t>24, Income Tax Return data, ABS DataLab</w:t>
      </w:r>
      <w:r w:rsidRPr="009336A1">
        <w:t>.</w:t>
      </w:r>
    </w:p>
    <w:p w14:paraId="2CC5C707" w14:textId="5715017F" w:rsidR="00AC5705" w:rsidRDefault="00AC5705" w:rsidP="009B4E70">
      <w:pPr>
        <w:pStyle w:val="BodyText"/>
      </w:pPr>
      <w:r>
        <w:t xml:space="preserve">Lower replacement rates among shortage occupations could reflect fewer workers moving into and replacing workers leaving shortage occupations, consistent with a more limited pool of available labour supply, and vacancies being harder to refill once workers </w:t>
      </w:r>
      <w:r w:rsidR="00A9527E">
        <w:t xml:space="preserve">have </w:t>
      </w:r>
      <w:r>
        <w:t>left.</w:t>
      </w:r>
    </w:p>
    <w:p w14:paraId="0AC08FBF" w14:textId="77777777" w:rsidR="002F5155" w:rsidRDefault="009540EA" w:rsidP="009B4E70">
      <w:pPr>
        <w:pStyle w:val="BodyText"/>
        <w:sectPr w:rsidR="002F5155" w:rsidSect="00CA5E5C">
          <w:pgSz w:w="11907" w:h="16839" w:code="9"/>
          <w:pgMar w:top="1270" w:right="1440" w:bottom="1270" w:left="1440" w:header="720" w:footer="720" w:gutter="0"/>
          <w:cols w:space="720"/>
          <w:docGrid w:linePitch="360"/>
        </w:sectPr>
      </w:pPr>
      <w:r>
        <w:t>Occupations not in shortage ha</w:t>
      </w:r>
      <w:r w:rsidR="000933E9">
        <w:t>d</w:t>
      </w:r>
      <w:r>
        <w:t xml:space="preserve"> higher average replacement rates as </w:t>
      </w:r>
      <w:r w:rsidR="007E077D">
        <w:t xml:space="preserve">they </w:t>
      </w:r>
      <w:r>
        <w:t>include occupations such as waiters, sales workers, general receptionist</w:t>
      </w:r>
      <w:r w:rsidR="00B42AEC">
        <w:t>s</w:t>
      </w:r>
      <w:r>
        <w:t xml:space="preserve"> and other lower skill level roles. These professions can be filled by individuals undertaking education </w:t>
      </w:r>
      <w:r w:rsidR="00C41FAA">
        <w:t>or</w:t>
      </w:r>
      <w:r>
        <w:t xml:space="preserve"> training while acquiring valuable foundation skills and experience to improve their employability, filled by new graduates while transitioning into higher-skilled occupations, or filled by individuals looking for casual work that fit</w:t>
      </w:r>
      <w:r w:rsidR="00C41FAA">
        <w:t>s</w:t>
      </w:r>
      <w:r>
        <w:t xml:space="preserve"> with their lifestyle. </w:t>
      </w:r>
    </w:p>
    <w:p w14:paraId="759B0619" w14:textId="0010B769" w:rsidR="00D15E53" w:rsidRDefault="009540EA" w:rsidP="009B4E70">
      <w:pPr>
        <w:pStyle w:val="BodyText"/>
        <w:rPr>
          <w:rFonts w:cs="Arial"/>
          <w:b/>
          <w:color w:val="4B0985"/>
          <w:sz w:val="26"/>
          <w:szCs w:val="26"/>
          <w:lang w:eastAsia="en-AU"/>
        </w:rPr>
      </w:pPr>
      <w:r>
        <w:lastRenderedPageBreak/>
        <w:t>While worker transitions into and out of these occupations can be more frequent compared to other occupations, the degree of fluidity shows the labour market is working to assign workers to where demand is.</w:t>
      </w:r>
    </w:p>
    <w:p w14:paraId="006ED842" w14:textId="6508D8EC" w:rsidR="00543936" w:rsidRDefault="003057A6" w:rsidP="00336D3A">
      <w:pPr>
        <w:pStyle w:val="Heading3"/>
      </w:pPr>
      <w:bookmarkStart w:id="105" w:name="_Toc242271302"/>
      <w:r>
        <w:t xml:space="preserve">OSL </w:t>
      </w:r>
      <w:r w:rsidR="00543936">
        <w:t xml:space="preserve">Stakeholder Survey </w:t>
      </w:r>
      <w:r w:rsidR="007309C4">
        <w:t>responses</w:t>
      </w:r>
      <w:bookmarkEnd w:id="101"/>
      <w:bookmarkEnd w:id="105"/>
      <w:r w:rsidR="007309C4">
        <w:t xml:space="preserve"> </w:t>
      </w:r>
      <w:bookmarkEnd w:id="86"/>
      <w:bookmarkEnd w:id="87"/>
    </w:p>
    <w:p w14:paraId="0ADC8A44" w14:textId="7A6FDC6C" w:rsidR="00972A3D" w:rsidRDefault="003057A6" w:rsidP="009B4E70">
      <w:pPr>
        <w:pStyle w:val="BodyText"/>
      </w:pPr>
      <w:r>
        <w:rPr>
          <w:rStyle w:val="BodyTextChar"/>
        </w:rPr>
        <w:t xml:space="preserve">The OSL </w:t>
      </w:r>
      <w:r w:rsidR="00972A3D" w:rsidRPr="009B4E70">
        <w:rPr>
          <w:rStyle w:val="BodyTextChar"/>
        </w:rPr>
        <w:t xml:space="preserve">Stakeholder </w:t>
      </w:r>
      <w:r w:rsidR="00136002">
        <w:rPr>
          <w:rStyle w:val="BodyTextChar"/>
        </w:rPr>
        <w:t>S</w:t>
      </w:r>
      <w:r w:rsidR="00972A3D" w:rsidRPr="009B4E70">
        <w:rPr>
          <w:rStyle w:val="BodyTextChar"/>
        </w:rPr>
        <w:t xml:space="preserve">urvey </w:t>
      </w:r>
      <w:r>
        <w:rPr>
          <w:rStyle w:val="BodyTextChar"/>
        </w:rPr>
        <w:t xml:space="preserve">(OSS) </w:t>
      </w:r>
      <w:r w:rsidR="00972A3D" w:rsidRPr="009B4E70">
        <w:rPr>
          <w:rStyle w:val="BodyTextChar"/>
        </w:rPr>
        <w:t>responses show that shortage occupations were more likely to be reported as being in undersupply or</w:t>
      </w:r>
      <w:r w:rsidR="00972A3D">
        <w:t xml:space="preserve"> severe undersupply and/or as having much higher demand than in the previous year</w:t>
      </w:r>
      <w:r w:rsidR="00D36BF2">
        <w:t xml:space="preserve"> (Figure </w:t>
      </w:r>
      <w:r w:rsidR="00D36BF2">
        <w:rPr>
          <w:noProof/>
        </w:rPr>
        <w:t>12</w:t>
      </w:r>
      <w:r w:rsidR="00D36BF2">
        <w:t xml:space="preserve"> and Figure </w:t>
      </w:r>
      <w:r w:rsidR="00D36BF2">
        <w:rPr>
          <w:noProof/>
        </w:rPr>
        <w:t>13</w:t>
      </w:r>
      <w:r w:rsidR="00D36BF2">
        <w:t>)</w:t>
      </w:r>
      <w:r w:rsidR="00972A3D">
        <w:t>.</w:t>
      </w:r>
    </w:p>
    <w:p w14:paraId="458F7C90" w14:textId="1FBFFE9B" w:rsidR="0085722A" w:rsidRDefault="00E53599" w:rsidP="00A047F3">
      <w:pPr>
        <w:pStyle w:val="Caption"/>
        <w:keepNext/>
        <w:keepLines/>
      </w:pPr>
      <w:bookmarkStart w:id="106" w:name="_Ref235186643"/>
      <w:bookmarkStart w:id="107" w:name="_Toc235190226"/>
      <w:bookmarkStart w:id="108" w:name="_Toc235190661"/>
      <w:bookmarkStart w:id="109" w:name="_Toc242271324"/>
      <w:r>
        <w:t xml:space="preserve">Figure </w:t>
      </w:r>
      <w:r w:rsidR="0056320A">
        <w:fldChar w:fldCharType="begin"/>
      </w:r>
      <w:r w:rsidR="0056320A">
        <w:instrText xml:space="preserve"> SEQ Figure \* ARABIC </w:instrText>
      </w:r>
      <w:r w:rsidR="0056320A">
        <w:fldChar w:fldCharType="separate"/>
      </w:r>
      <w:r w:rsidR="00286763">
        <w:rPr>
          <w:noProof/>
        </w:rPr>
        <w:t>12</w:t>
      </w:r>
      <w:r w:rsidR="0056320A">
        <w:fldChar w:fldCharType="end"/>
      </w:r>
      <w:bookmarkEnd w:id="106"/>
      <w:r w:rsidR="0085722A">
        <w:t xml:space="preserve">: </w:t>
      </w:r>
      <w:r w:rsidR="00503D55">
        <w:t xml:space="preserve">OSS </w:t>
      </w:r>
      <w:r w:rsidR="0085722A">
        <w:t>responses</w:t>
      </w:r>
      <w:r w:rsidR="00087847">
        <w:t xml:space="preserve"> on worker supply</w:t>
      </w:r>
      <w:r w:rsidR="0085722A">
        <w:t>, 2026</w:t>
      </w:r>
      <w:r w:rsidR="00087847">
        <w:t xml:space="preserve"> OSL</w:t>
      </w:r>
      <w:bookmarkEnd w:id="107"/>
      <w:bookmarkEnd w:id="108"/>
      <w:bookmarkEnd w:id="109"/>
    </w:p>
    <w:p w14:paraId="1AEEDB24" w14:textId="28CC819C" w:rsidR="002B676A" w:rsidRPr="00674827" w:rsidRDefault="007734C3" w:rsidP="002B676A">
      <w:pPr>
        <w:pStyle w:val="Source"/>
      </w:pPr>
      <w:r>
        <w:rPr>
          <w:noProof/>
        </w:rPr>
        <w:drawing>
          <wp:inline distT="0" distB="0" distL="0" distR="0" wp14:anchorId="2DFA362C" wp14:editId="7C87FC32">
            <wp:extent cx="5731200" cy="3060000"/>
            <wp:effectExtent l="0" t="0" r="3175" b="7620"/>
            <wp:docPr id="1854864321" name="Chart 1" descr="Figure 12 is a stacked bar chart showing weighted stakeholder survey responses about worker supply for the 2026 Occupation Shortage List. Occupations in shortage were more likely to be reported as in severe undersupply or undersupply. For occupations in shortage, 39% of weighted responses reported severe undersupply and 52% reported undersupply, compared with 28% and 47%, respectively, for occupations not in shortage. Across all occupations, 32% of weighted responses reported severe undersupply and 49% reported undersupply. Results are presented on an OSCA  basis.&#10;&#10;">
              <a:extLst xmlns:a="http://schemas.openxmlformats.org/drawingml/2006/main">
                <a:ext uri="{FF2B5EF4-FFF2-40B4-BE49-F238E27FC236}">
                  <a16:creationId xmlns:a16="http://schemas.microsoft.com/office/drawing/2014/main" id="{FE613426-FDED-4DA0-9551-DD78E5FC16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r w:rsidR="002B676A">
        <w:br/>
      </w:r>
      <w:r w:rsidR="002B676A" w:rsidRPr="000C3479">
        <w:t>Source: Jobs and Skills Australia</w:t>
      </w:r>
      <w:r w:rsidR="002B676A">
        <w:t xml:space="preserve"> (2026).</w:t>
      </w:r>
      <w:r w:rsidR="002B676A">
        <w:br/>
        <w:t>Note: Percentages are based on weighted stakeholder survey responses</w:t>
      </w:r>
      <w:r w:rsidR="002B676A" w:rsidRPr="00A95F87">
        <w:t>.</w:t>
      </w:r>
      <w:r w:rsidR="002B676A">
        <w:t xml:space="preserve"> Due to rounding, </w:t>
      </w:r>
      <w:r w:rsidR="002B676A" w:rsidRPr="00A95F87">
        <w:t>percentages by shortage status may not sum to 100%.</w:t>
      </w:r>
      <w:r w:rsidR="002B676A">
        <w:t xml:space="preserve"> Results are on the OSCA basis. </w:t>
      </w:r>
    </w:p>
    <w:p w14:paraId="3654E696" w14:textId="543EECF9" w:rsidR="00FE117F" w:rsidRDefault="002B676A" w:rsidP="002B676A">
      <w:pPr>
        <w:pStyle w:val="Caption"/>
        <w:keepNext/>
        <w:keepLines/>
      </w:pPr>
      <w:bookmarkStart w:id="110" w:name="_Ref240460091"/>
      <w:bookmarkStart w:id="111" w:name="_Toc242271325"/>
      <w:r>
        <w:t xml:space="preserve">Figure </w:t>
      </w:r>
      <w:r>
        <w:fldChar w:fldCharType="begin"/>
      </w:r>
      <w:r>
        <w:instrText xml:space="preserve"> SEQ Figure \* ARABIC </w:instrText>
      </w:r>
      <w:r>
        <w:fldChar w:fldCharType="separate"/>
      </w:r>
      <w:r w:rsidR="00286763">
        <w:rPr>
          <w:noProof/>
        </w:rPr>
        <w:t>13</w:t>
      </w:r>
      <w:r>
        <w:fldChar w:fldCharType="end"/>
      </w:r>
      <w:bookmarkEnd w:id="110"/>
      <w:r>
        <w:t xml:space="preserve">: OSS responses on </w:t>
      </w:r>
      <w:r w:rsidR="00FE117F">
        <w:t>change in demand</w:t>
      </w:r>
      <w:r>
        <w:t>, 2026 OSL</w:t>
      </w:r>
      <w:bookmarkEnd w:id="111"/>
    </w:p>
    <w:p w14:paraId="68335598" w14:textId="77777777" w:rsidR="002F5155" w:rsidRDefault="00D6071C" w:rsidP="009B4E70">
      <w:pPr>
        <w:pStyle w:val="Source"/>
        <w:sectPr w:rsidR="002F5155" w:rsidSect="00CA5E5C">
          <w:pgSz w:w="11907" w:h="16839" w:code="9"/>
          <w:pgMar w:top="1270" w:right="1440" w:bottom="1270" w:left="1440" w:header="720" w:footer="720" w:gutter="0"/>
          <w:cols w:space="720"/>
          <w:docGrid w:linePitch="360"/>
        </w:sectPr>
      </w:pPr>
      <w:r>
        <w:rPr>
          <w:noProof/>
        </w:rPr>
        <w:drawing>
          <wp:inline distT="0" distB="0" distL="0" distR="0" wp14:anchorId="135A0E1E" wp14:editId="07E307F9">
            <wp:extent cx="5731200" cy="3060000"/>
            <wp:effectExtent l="0" t="0" r="3175" b="7620"/>
            <wp:docPr id="1435055027" name="Chart 1" descr="Figure 13 is a stacked bar chart showing weighted stakeholder survey responses about changes in worker demand over the previous year. Occupations in shortage were more likely to be reported as having much higher demand. This response accounted for 19% of weighted responses for occupations in shortage, compared with 13% for occupations not in shortage and 15% across all occupations. Results are presented on an OSCA basis.&#10;">
              <a:extLst xmlns:a="http://schemas.openxmlformats.org/drawingml/2006/main">
                <a:ext uri="{FF2B5EF4-FFF2-40B4-BE49-F238E27FC236}">
                  <a16:creationId xmlns:a16="http://schemas.microsoft.com/office/drawing/2014/main" id="{FC3C8031-C3CA-4579-9149-79538F17CE13}"/>
                </a:ext>
                <a:ext uri="{147F2762-F138-4A5C-976F-8EAC2B608ADB}">
                  <a16:predDERef xmlns:a16="http://schemas.microsoft.com/office/drawing/2014/main" pred="{FE613426-FDED-4DA0-9551-DD78E5FC16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r w:rsidR="002B676A">
        <w:rPr>
          <w:noProof/>
        </w:rPr>
        <w:br/>
      </w:r>
      <w:r w:rsidR="00543936" w:rsidRPr="000C3479">
        <w:t>Source: Jobs and Skills Australia</w:t>
      </w:r>
      <w:r w:rsidR="0082573E">
        <w:t xml:space="preserve"> (2026).</w:t>
      </w:r>
      <w:r w:rsidR="002B676A">
        <w:br/>
      </w:r>
      <w:r w:rsidR="004F5021">
        <w:t>Note: Percentages are based on weighted stakeholder survey responses</w:t>
      </w:r>
      <w:r w:rsidR="00A95F87" w:rsidRPr="00A95F87">
        <w:t>.</w:t>
      </w:r>
      <w:r w:rsidR="004F5021">
        <w:t xml:space="preserve"> Due to rounding, </w:t>
      </w:r>
      <w:r w:rsidR="00A95F87" w:rsidRPr="00A95F87">
        <w:t>percentages by shortage status may not sum to 100%.</w:t>
      </w:r>
      <w:r w:rsidR="00C709F4">
        <w:t xml:space="preserve"> Results are on the OSCA basis. </w:t>
      </w:r>
    </w:p>
    <w:p w14:paraId="30435016" w14:textId="65D084C3" w:rsidR="00C917E9" w:rsidRDefault="00503D55" w:rsidP="00503D55">
      <w:pPr>
        <w:pStyle w:val="BodyText"/>
      </w:pPr>
      <w:r>
        <w:lastRenderedPageBreak/>
        <w:t>The survey asked stakeholders about current supply of workers and changes in demand over the past year.</w:t>
      </w:r>
      <w:r w:rsidR="00520C65">
        <w:rPr>
          <w:rStyle w:val="FootnoteReference"/>
        </w:rPr>
        <w:footnoteReference w:id="16"/>
      </w:r>
      <w:r>
        <w:t xml:space="preserve"> </w:t>
      </w:r>
    </w:p>
    <w:p w14:paraId="3804D6EF" w14:textId="62856A42" w:rsidR="00507199" w:rsidRDefault="00BE31C9" w:rsidP="00DF6748">
      <w:pPr>
        <w:pStyle w:val="BodyText"/>
      </w:pPr>
      <w:r>
        <w:t xml:space="preserve">Figure </w:t>
      </w:r>
      <w:r>
        <w:rPr>
          <w:noProof/>
        </w:rPr>
        <w:t>12</w:t>
      </w:r>
      <w:r w:rsidR="00432840">
        <w:t xml:space="preserve"> and </w:t>
      </w:r>
      <w:r>
        <w:t xml:space="preserve">Figure </w:t>
      </w:r>
      <w:r>
        <w:rPr>
          <w:noProof/>
        </w:rPr>
        <w:t>13</w:t>
      </w:r>
      <w:r w:rsidR="00503D55">
        <w:t xml:space="preserve"> show </w:t>
      </w:r>
      <w:r w:rsidR="00507199">
        <w:t xml:space="preserve">the following: </w:t>
      </w:r>
    </w:p>
    <w:p w14:paraId="1F84A0FC" w14:textId="06AE5A6A" w:rsidR="009C0C11" w:rsidRDefault="00343F7B" w:rsidP="009B4E70">
      <w:pPr>
        <w:pStyle w:val="ListBullet"/>
      </w:pPr>
      <w:r>
        <w:t>For o</w:t>
      </w:r>
      <w:r w:rsidR="00503D55">
        <w:t>ccupations</w:t>
      </w:r>
      <w:r w:rsidR="00DF6748">
        <w:t xml:space="preserve"> </w:t>
      </w:r>
      <w:r w:rsidR="00503D55">
        <w:t>in shortage</w:t>
      </w:r>
      <w:r w:rsidR="005D72CA">
        <w:t>,</w:t>
      </w:r>
      <w:r w:rsidR="00503D55">
        <w:t xml:space="preserve"> </w:t>
      </w:r>
      <w:r w:rsidR="00C207B3">
        <w:t xml:space="preserve">39% of </w:t>
      </w:r>
      <w:r w:rsidR="00503D55">
        <w:t xml:space="preserve">stakeholders </w:t>
      </w:r>
      <w:r w:rsidR="00E347E4">
        <w:t>report</w:t>
      </w:r>
      <w:r w:rsidR="00C207B3">
        <w:t>ed</w:t>
      </w:r>
      <w:r w:rsidR="00E347E4">
        <w:t xml:space="preserve"> a </w:t>
      </w:r>
      <w:r w:rsidR="00503D55">
        <w:t xml:space="preserve">severe undersupply </w:t>
      </w:r>
      <w:r w:rsidR="00C207B3">
        <w:t>and 53</w:t>
      </w:r>
      <w:r w:rsidR="009D781A">
        <w:t xml:space="preserve">% reported </w:t>
      </w:r>
      <w:r w:rsidR="00503D55">
        <w:t>undersupply</w:t>
      </w:r>
      <w:r w:rsidR="00E347E4">
        <w:t xml:space="preserve"> </w:t>
      </w:r>
      <w:r w:rsidR="009D781A">
        <w:t xml:space="preserve">of workers. </w:t>
      </w:r>
      <w:r w:rsidR="002D1E92">
        <w:t>For occupations not in shortage, t</w:t>
      </w:r>
      <w:r w:rsidR="008E7A9D">
        <w:t xml:space="preserve">hese percentages were </w:t>
      </w:r>
      <w:r w:rsidR="002475BC">
        <w:t xml:space="preserve">lower by </w:t>
      </w:r>
      <w:r w:rsidR="00356789">
        <w:t>11</w:t>
      </w:r>
      <w:r w:rsidR="00C26843">
        <w:t xml:space="preserve"> and </w:t>
      </w:r>
      <w:r w:rsidR="00561C60">
        <w:t>6</w:t>
      </w:r>
      <w:r w:rsidR="00C26843">
        <w:t xml:space="preserve"> percentage points</w:t>
      </w:r>
      <w:r w:rsidR="002475BC">
        <w:t>, respectively</w:t>
      </w:r>
      <w:r w:rsidR="00C26843">
        <w:t xml:space="preserve">. </w:t>
      </w:r>
    </w:p>
    <w:p w14:paraId="35EB799C" w14:textId="217FDC47" w:rsidR="00561C60" w:rsidRDefault="00CF4B34" w:rsidP="009B4E70">
      <w:pPr>
        <w:pStyle w:val="ListBullet"/>
      </w:pPr>
      <w:r>
        <w:t>For o</w:t>
      </w:r>
      <w:r w:rsidR="00561C60">
        <w:t>ccupations not in shortage</w:t>
      </w:r>
      <w:r w:rsidR="00905B5F">
        <w:t xml:space="preserve">, there were significantly </w:t>
      </w:r>
      <w:r w:rsidR="00633929">
        <w:t xml:space="preserve">more stakeholders </w:t>
      </w:r>
      <w:r w:rsidR="00905B5F">
        <w:t xml:space="preserve">reporting that supply of workers </w:t>
      </w:r>
      <w:r w:rsidR="00633929">
        <w:t xml:space="preserve">was </w:t>
      </w:r>
      <w:r w:rsidR="00905B5F">
        <w:t>about right (</w:t>
      </w:r>
      <w:r w:rsidR="00992BCD">
        <w:t xml:space="preserve">20% compared to 4%). </w:t>
      </w:r>
    </w:p>
    <w:p w14:paraId="445F6A4A" w14:textId="33A1E423" w:rsidR="002F5155" w:rsidRDefault="00432840" w:rsidP="009B4E70">
      <w:pPr>
        <w:pStyle w:val="ListBullet"/>
        <w:sectPr w:rsidR="002F5155" w:rsidSect="00CA5E5C">
          <w:pgSz w:w="11907" w:h="16839" w:code="9"/>
          <w:pgMar w:top="1270" w:right="1440" w:bottom="1270" w:left="1440" w:header="720" w:footer="720" w:gutter="0"/>
          <w:cols w:space="720"/>
          <w:docGrid w:linePitch="360"/>
        </w:sectPr>
      </w:pPr>
      <w:r>
        <w:t>F</w:t>
      </w:r>
      <w:r w:rsidR="00C85DA4">
        <w:t xml:space="preserve">or occupations in shortage, stakeholders were </w:t>
      </w:r>
      <w:r w:rsidR="00556B48">
        <w:t xml:space="preserve">more </w:t>
      </w:r>
      <w:r w:rsidR="00503D55">
        <w:t xml:space="preserve">likely to report much higher demand compared </w:t>
      </w:r>
      <w:r w:rsidR="00402AB5">
        <w:t>with</w:t>
      </w:r>
      <w:r w:rsidR="00503D55">
        <w:t xml:space="preserve"> the previous year</w:t>
      </w:r>
      <w:r w:rsidR="00C101D7">
        <w:t xml:space="preserve"> (</w:t>
      </w:r>
      <w:r w:rsidR="00503D55">
        <w:t>19%</w:t>
      </w:r>
      <w:r w:rsidR="00C101D7">
        <w:t xml:space="preserve"> compared </w:t>
      </w:r>
      <w:r w:rsidR="00402AB5">
        <w:t>with</w:t>
      </w:r>
      <w:r w:rsidR="00C101D7">
        <w:t xml:space="preserve"> </w:t>
      </w:r>
      <w:r w:rsidR="00503D55">
        <w:t>13% for occupations not in shortage</w:t>
      </w:r>
      <w:r w:rsidR="00C101D7">
        <w:t>)</w:t>
      </w:r>
      <w:r w:rsidR="00503D55">
        <w:t>.</w:t>
      </w:r>
    </w:p>
    <w:p w14:paraId="497BD2D7" w14:textId="1468DBD3" w:rsidR="00543936" w:rsidRPr="00543936" w:rsidRDefault="00543936" w:rsidP="00543936">
      <w:pPr>
        <w:pStyle w:val="AppendixHeading1"/>
        <w:numPr>
          <w:ilvl w:val="0"/>
          <w:numId w:val="1"/>
        </w:numPr>
        <w:rPr>
          <w:lang w:eastAsia="en-GB"/>
        </w:rPr>
      </w:pPr>
      <w:bookmarkStart w:id="112" w:name="_Toc242271303"/>
      <w:bookmarkStart w:id="113" w:name="_Ref207616373"/>
      <w:bookmarkEnd w:id="112"/>
    </w:p>
    <w:p w14:paraId="15E2263E" w14:textId="242B57A3" w:rsidR="00BE60F7" w:rsidRPr="00EB015F" w:rsidRDefault="00BE60F7" w:rsidP="00136346">
      <w:pPr>
        <w:pStyle w:val="Heading2"/>
      </w:pPr>
      <w:bookmarkStart w:id="114" w:name="_Toc235190204"/>
      <w:bookmarkStart w:id="115" w:name="_Toc235190617"/>
      <w:bookmarkStart w:id="116" w:name="_Toc242271304"/>
      <w:bookmarkStart w:id="117" w:name="_Toc201750285"/>
      <w:bookmarkStart w:id="118" w:name="_Toc211349852"/>
      <w:bookmarkEnd w:id="113"/>
      <w:bookmarkEnd w:id="114"/>
      <w:bookmarkEnd w:id="115"/>
      <w:r>
        <w:t>Regional shortages</w:t>
      </w:r>
      <w:bookmarkEnd w:id="116"/>
    </w:p>
    <w:p w14:paraId="1FE1D0B9" w14:textId="4030EF50" w:rsidR="00BE60F7" w:rsidRPr="00943C50" w:rsidRDefault="00BE60F7" w:rsidP="00943C50">
      <w:pPr>
        <w:pStyle w:val="BodyText"/>
      </w:pPr>
      <w:r w:rsidRPr="00943C50">
        <w:t xml:space="preserve">In 2026, 15 occupations were in shortage in regional areas, but not in capital cities, compared </w:t>
      </w:r>
      <w:r w:rsidR="001C0B31">
        <w:t>with</w:t>
      </w:r>
      <w:r w:rsidRPr="00943C50">
        <w:t xml:space="preserve"> 21 in 2025.</w:t>
      </w:r>
      <w:r w:rsidR="006365C2" w:rsidRPr="00943C50">
        <w:t xml:space="preserve"> </w:t>
      </w:r>
      <w:r w:rsidR="001C0B31">
        <w:t>T</w:t>
      </w:r>
      <w:r w:rsidR="006365C2" w:rsidRPr="00943C50">
        <w:t>his result is</w:t>
      </w:r>
      <w:r w:rsidR="001C0B31">
        <w:t xml:space="preserve"> presented</w:t>
      </w:r>
      <w:r w:rsidR="006365C2" w:rsidRPr="00943C50">
        <w:t xml:space="preserve"> </w:t>
      </w:r>
      <w:r w:rsidR="007F5611" w:rsidRPr="00943C50">
        <w:t>on</w:t>
      </w:r>
      <w:r w:rsidR="009D1B5D">
        <w:t xml:space="preserve"> the</w:t>
      </w:r>
      <w:r w:rsidR="007F5611" w:rsidRPr="00943C50">
        <w:t xml:space="preserve"> OSCA basis.</w:t>
      </w:r>
    </w:p>
    <w:p w14:paraId="2F7ED669" w14:textId="4A6D5C67" w:rsidR="00BE60F7" w:rsidRPr="00BE60F7" w:rsidRDefault="00BE60F7" w:rsidP="00943C50">
      <w:pPr>
        <w:pStyle w:val="BodyText"/>
      </w:pPr>
      <w:r w:rsidRPr="00943C50">
        <w:t>The final OSL outcome, in 2026, was produced as a national rating, informed by national evidence and relevant state and territory insights, collected through consultation with Jobs and Skills Councils,</w:t>
      </w:r>
      <w:r w:rsidRPr="00943C50" w:rsidDel="00271980">
        <w:t xml:space="preserve"> </w:t>
      </w:r>
      <w:r w:rsidRPr="00943C50">
        <w:t>Commonwealth Government departments, and state and territory government stakeholders.</w:t>
      </w:r>
      <w:r w:rsidRPr="00EB015F">
        <w:rPr>
          <w:rStyle w:val="FootnoteReference"/>
        </w:rPr>
        <w:footnoteReference w:id="17"/>
      </w:r>
      <w:r w:rsidRPr="00EB015F">
        <w:t xml:space="preserve"> </w:t>
      </w:r>
    </w:p>
    <w:p w14:paraId="4295EBEC" w14:textId="6423B79B" w:rsidR="008B0310" w:rsidRDefault="00136346" w:rsidP="009B4E70">
      <w:pPr>
        <w:pStyle w:val="Heading2"/>
      </w:pPr>
      <w:bookmarkStart w:id="119" w:name="_Toc242271305"/>
      <w:r>
        <w:t>C</w:t>
      </w:r>
      <w:r w:rsidR="008B0310">
        <w:t>onfidence labels</w:t>
      </w:r>
      <w:bookmarkEnd w:id="119"/>
    </w:p>
    <w:p w14:paraId="739D9AEE" w14:textId="107C1E44" w:rsidR="00D4791A" w:rsidRPr="009B4E70" w:rsidRDefault="00136346" w:rsidP="00943C50">
      <w:pPr>
        <w:pStyle w:val="BodyText"/>
      </w:pPr>
      <w:bookmarkStart w:id="120" w:name="_Ref240460306"/>
      <w:r w:rsidRPr="00943C50">
        <w:t>The 2026</w:t>
      </w:r>
      <w:r w:rsidR="00D4791A" w:rsidRPr="00943C50">
        <w:t xml:space="preserve"> </w:t>
      </w:r>
      <w:r w:rsidRPr="00943C50">
        <w:t xml:space="preserve">OSL </w:t>
      </w:r>
      <w:r w:rsidR="00D4791A" w:rsidRPr="00943C50">
        <w:t>ratings were distributed by confidence labels.</w:t>
      </w:r>
      <w:r w:rsidR="00D4791A" w:rsidRPr="00022FBC">
        <w:rPr>
          <w:rStyle w:val="FootnoteReference"/>
        </w:rPr>
        <w:footnoteReference w:id="18"/>
      </w:r>
      <w:r w:rsidR="00D4791A" w:rsidRPr="00943C50">
        <w:t xml:space="preserve"> Of all occupations</w:t>
      </w:r>
      <w:r w:rsidR="0005562C">
        <w:t>,</w:t>
      </w:r>
      <w:r w:rsidR="004D0D01" w:rsidRPr="00943C50">
        <w:t xml:space="preserve"> </w:t>
      </w:r>
      <w:r w:rsidR="00D4791A" w:rsidRPr="00943C50">
        <w:t>1</w:t>
      </w:r>
      <w:r w:rsidR="00067782">
        <w:t>7</w:t>
      </w:r>
      <w:r w:rsidR="00D4791A" w:rsidRPr="00943C50">
        <w:t xml:space="preserve">% were rated as Clear shortage and 10% as On-balance shortage. </w:t>
      </w:r>
      <w:r w:rsidR="00FF31DA" w:rsidRPr="00943C50">
        <w:t xml:space="preserve">Further, </w:t>
      </w:r>
      <w:r w:rsidR="00D4791A" w:rsidRPr="00943C50">
        <w:t>36% were rated as Clear no shortage and 37% as On-balance no shortage.</w:t>
      </w:r>
      <w:r w:rsidR="006A536A" w:rsidRPr="00943C50">
        <w:t xml:space="preserve"> </w:t>
      </w:r>
      <w:r w:rsidR="00D4791A" w:rsidRPr="00943C50">
        <w:t>With that, 5</w:t>
      </w:r>
      <w:r w:rsidR="00071597">
        <w:t>3</w:t>
      </w:r>
      <w:r w:rsidR="00D4791A" w:rsidRPr="00943C50">
        <w:t xml:space="preserve">% of occupations had a Clear confidence label. </w:t>
      </w:r>
    </w:p>
    <w:p w14:paraId="196E2D13" w14:textId="67E78D8E" w:rsidR="00CD1DB0" w:rsidRDefault="003629FB" w:rsidP="003629FB">
      <w:pPr>
        <w:pStyle w:val="Caption"/>
        <w:rPr>
          <w:noProof/>
        </w:rPr>
      </w:pPr>
      <w:bookmarkStart w:id="121" w:name="_Toc242271326"/>
      <w:r>
        <w:t>Figure A</w:t>
      </w:r>
      <w:r>
        <w:fldChar w:fldCharType="begin"/>
      </w:r>
      <w:r>
        <w:instrText xml:space="preserve"> SEQ Figure_A \* ARABIC </w:instrText>
      </w:r>
      <w:r>
        <w:fldChar w:fldCharType="separate"/>
      </w:r>
      <w:r w:rsidR="00286763">
        <w:rPr>
          <w:noProof/>
        </w:rPr>
        <w:t>1</w:t>
      </w:r>
      <w:r>
        <w:fldChar w:fldCharType="end"/>
      </w:r>
      <w:bookmarkEnd w:id="120"/>
      <w:r w:rsidR="00CD1DB0" w:rsidRPr="00C82DC4">
        <w:t xml:space="preserve">: </w:t>
      </w:r>
      <w:r w:rsidR="006A536A">
        <w:t>Shortage status of o</w:t>
      </w:r>
      <w:r w:rsidR="00CD1DB0" w:rsidRPr="00C82DC4">
        <w:t xml:space="preserve">ccupations </w:t>
      </w:r>
      <w:r w:rsidR="006A536A">
        <w:t>(%)</w:t>
      </w:r>
      <w:r w:rsidR="00CD1DB0" w:rsidRPr="00C82DC4">
        <w:t>, by major group</w:t>
      </w:r>
      <w:r w:rsidR="008B5D46">
        <w:t>,</w:t>
      </w:r>
      <w:r w:rsidR="00CD1DB0">
        <w:t xml:space="preserve"> and confidence labels, </w:t>
      </w:r>
      <w:r w:rsidR="00CD1DB0" w:rsidRPr="00C82DC4">
        <w:t>2026 OSL</w:t>
      </w:r>
      <w:bookmarkEnd w:id="121"/>
      <w:r w:rsidR="00CD1DB0" w:rsidRPr="008760B9">
        <w:rPr>
          <w:noProof/>
        </w:rPr>
        <w:t xml:space="preserve"> </w:t>
      </w:r>
    </w:p>
    <w:p w14:paraId="32C3FDE1" w14:textId="7F468E71" w:rsidR="00CD1DB0" w:rsidRPr="00ED71A9" w:rsidRDefault="00AE3E96" w:rsidP="00CD1DB0">
      <w:pPr>
        <w:pStyle w:val="Source"/>
      </w:pPr>
      <w:r>
        <w:rPr>
          <w:noProof/>
        </w:rPr>
        <w:drawing>
          <wp:inline distT="0" distB="0" distL="0" distR="0" wp14:anchorId="6CC66DE8" wp14:editId="2BB58E09">
            <wp:extent cx="5732145" cy="3060000"/>
            <wp:effectExtent l="0" t="0" r="1905" b="7620"/>
            <wp:docPr id="615166249" name="Chart 1" descr="Figure A1 shows how the 2026 shortage ratings were distributed by confidence label across major groups. Shortages were most prevalent for Technicians and Trades Workers, with around half of occupations in shortage, made up of 37% Clear shortage and 12% On-balance shortage. Professionals also had a relatively high percentage, at 37%, comprising 19% Clear shortage and 18% On-balance shortage. For the remaining major groups, shortage percentages were lower, ranging from 2% for Managers to 16% for Community and Personal Service Workers. Sales Workers had no occupations rated as in shortage.">
              <a:extLst xmlns:a="http://schemas.openxmlformats.org/drawingml/2006/main">
                <a:ext uri="{FF2B5EF4-FFF2-40B4-BE49-F238E27FC236}">
                  <a16:creationId xmlns:a16="http://schemas.microsoft.com/office/drawing/2014/main" id="{14570492-7AA8-4E61-A59D-A578B492EF82}"/>
                </a:ext>
                <a:ext uri="{147F2762-F138-4A5C-976F-8EAC2B608ADB}">
                  <a16:predDERef xmlns:a16="http://schemas.microsoft.com/office/drawing/2014/main" pred="{78918DFC-B80C-FEB1-7985-B75D5AF862F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r w:rsidR="00CD1DB0">
        <w:rPr>
          <w:noProof/>
        </w:rPr>
        <w:br/>
      </w:r>
      <w:r w:rsidR="00CD1DB0">
        <w:t>Source: Jobs and Skills Australia (2026).</w:t>
      </w:r>
    </w:p>
    <w:p w14:paraId="7855F501" w14:textId="7E4DE49C" w:rsidR="005F1B30" w:rsidRPr="006A5E5A" w:rsidRDefault="003629FB" w:rsidP="006A5E5A">
      <w:pPr>
        <w:pStyle w:val="BodyText"/>
      </w:pPr>
      <w:r w:rsidRPr="006A5E5A">
        <w:t>Figure A</w:t>
      </w:r>
      <w:r w:rsidRPr="009B4E70">
        <w:t>1</w:t>
      </w:r>
      <w:r w:rsidR="005F1B30" w:rsidRPr="006A5E5A">
        <w:t xml:space="preserve"> shows how the 2026 shortage ratings were distributed by confidence label across major groups. </w:t>
      </w:r>
    </w:p>
    <w:p w14:paraId="0C96CC82" w14:textId="78E4941A" w:rsidR="00943C50" w:rsidRPr="006A5E5A" w:rsidRDefault="003816C2" w:rsidP="006A5E5A">
      <w:pPr>
        <w:pStyle w:val="BodyText"/>
      </w:pPr>
      <w:r w:rsidRPr="006A5E5A">
        <w:t>For Technicians and Trades Workers, Machinery Operators and Drivers and Labourers, there was a relatively large percentage of occupations with On-balance confidence labels.</w:t>
      </w:r>
      <w:r w:rsidR="00943C50" w:rsidRPr="006A5E5A">
        <w:t xml:space="preserve"> </w:t>
      </w:r>
      <w:r w:rsidR="005234F7">
        <w:lastRenderedPageBreak/>
        <w:t>M</w:t>
      </w:r>
      <w:r w:rsidRPr="006A5E5A">
        <w:t xml:space="preserve">any occupations within these major groups </w:t>
      </w:r>
      <w:r w:rsidR="00332A3F">
        <w:t>hav</w:t>
      </w:r>
      <w:r w:rsidR="007A2F01">
        <w:t>e</w:t>
      </w:r>
      <w:r w:rsidR="00332A3F">
        <w:t xml:space="preserve"> </w:t>
      </w:r>
      <w:r w:rsidR="00601CFE">
        <w:t>low</w:t>
      </w:r>
      <w:r w:rsidRPr="006A5E5A">
        <w:t xml:space="preserve"> employ</w:t>
      </w:r>
      <w:r w:rsidR="00332A3F">
        <w:t xml:space="preserve">ment levels </w:t>
      </w:r>
      <w:r w:rsidRPr="006A5E5A">
        <w:t>and limited quantitative and qualitative</w:t>
      </w:r>
      <w:r w:rsidR="00CC6446">
        <w:t xml:space="preserve"> </w:t>
      </w:r>
      <w:r w:rsidR="00CC6446" w:rsidRPr="006A5E5A">
        <w:t>labour market information</w:t>
      </w:r>
      <w:r w:rsidRPr="006A5E5A">
        <w:t xml:space="preserve">. </w:t>
      </w:r>
      <w:r w:rsidR="00D35176">
        <w:t xml:space="preserve">As a result, they are more likely to receive an On-balance confidence label. </w:t>
      </w:r>
    </w:p>
    <w:p w14:paraId="717EC31C" w14:textId="74129F4E" w:rsidR="003816C2" w:rsidRPr="006A5E5A" w:rsidRDefault="00943C50" w:rsidP="009B4E70">
      <w:pPr>
        <w:pStyle w:val="BodyText"/>
      </w:pPr>
      <w:r w:rsidRPr="006A5E5A">
        <w:t>M</w:t>
      </w:r>
      <w:r w:rsidR="003816C2" w:rsidRPr="006A5E5A">
        <w:t>achinery Operators and Drivers and Labourers also contain relatively few occupations within the scope of the OSL. Consequently, a change in the confidence label of a small number of occupations can result in relatively large changes in the percentage of occupations with an On-balance confidence label.</w:t>
      </w:r>
    </w:p>
    <w:p w14:paraId="0B9C1982" w14:textId="42001ED3" w:rsidR="008579DB" w:rsidRDefault="003629FB" w:rsidP="003629FB">
      <w:pPr>
        <w:pStyle w:val="Caption"/>
      </w:pPr>
      <w:bookmarkStart w:id="122" w:name="_Toc242271327"/>
      <w:r>
        <w:t>Figure A</w:t>
      </w:r>
      <w:r>
        <w:fldChar w:fldCharType="begin"/>
      </w:r>
      <w:r>
        <w:instrText xml:space="preserve"> SEQ Figure_A \* ARABIC </w:instrText>
      </w:r>
      <w:r>
        <w:fldChar w:fldCharType="separate"/>
      </w:r>
      <w:r w:rsidR="00286763">
        <w:rPr>
          <w:noProof/>
        </w:rPr>
        <w:t>2</w:t>
      </w:r>
      <w:r>
        <w:fldChar w:fldCharType="end"/>
      </w:r>
      <w:r w:rsidR="008579DB" w:rsidRPr="009A4776">
        <w:t xml:space="preserve">: </w:t>
      </w:r>
      <w:r w:rsidR="006A5E5A">
        <w:t>Shortage status of o</w:t>
      </w:r>
      <w:r w:rsidR="006A5E5A" w:rsidRPr="00C82DC4">
        <w:t xml:space="preserve">ccupations </w:t>
      </w:r>
      <w:r w:rsidR="006A5E5A">
        <w:t>(%)</w:t>
      </w:r>
      <w:r w:rsidR="006A5E5A" w:rsidRPr="00C82DC4">
        <w:t xml:space="preserve">, by </w:t>
      </w:r>
      <w:r w:rsidR="005A6F6B">
        <w:t>s</w:t>
      </w:r>
      <w:r w:rsidR="006A5E5A">
        <w:t xml:space="preserve">kill level, and confidence labels, </w:t>
      </w:r>
      <w:r w:rsidR="006A5E5A" w:rsidRPr="00C82DC4">
        <w:t>2026 OSL</w:t>
      </w:r>
      <w:bookmarkEnd w:id="122"/>
      <w:r w:rsidR="006A5E5A" w:rsidRPr="008760B9">
        <w:rPr>
          <w:noProof/>
        </w:rPr>
        <w:t xml:space="preserve"> </w:t>
      </w:r>
    </w:p>
    <w:p w14:paraId="09DC915C" w14:textId="51600C29" w:rsidR="002F5155" w:rsidRDefault="00DF666E" w:rsidP="002F5155">
      <w:pPr>
        <w:pStyle w:val="Source"/>
        <w:sectPr w:rsidR="002F5155" w:rsidSect="00CA5E5C">
          <w:pgSz w:w="11907" w:h="16839" w:code="9"/>
          <w:pgMar w:top="1270" w:right="1440" w:bottom="1270" w:left="1440" w:header="720" w:footer="720" w:gutter="0"/>
          <w:cols w:space="720"/>
          <w:docGrid w:linePitch="360"/>
        </w:sectPr>
      </w:pPr>
      <w:r>
        <w:rPr>
          <w:noProof/>
        </w:rPr>
        <w:drawing>
          <wp:inline distT="0" distB="0" distL="0" distR="0" wp14:anchorId="675DFBEF" wp14:editId="6F16BA0C">
            <wp:extent cx="5724000" cy="3060000"/>
            <wp:effectExtent l="0" t="0" r="0" b="7620"/>
            <wp:docPr id="849626202" name="Chart 1" descr="Figure A2 shows Skill Level 3 occupations had the highest shortage percentage, at 42%, comprising 31% Clear shortage and 11% On-balance shortage. Skill Level 1 occupations also had a relatively high shortage percentage, at 30%, with a more even split between Clear shortage and On-balance shortage. ">
              <a:extLst xmlns:a="http://schemas.openxmlformats.org/drawingml/2006/main">
                <a:ext uri="{FF2B5EF4-FFF2-40B4-BE49-F238E27FC236}">
                  <a16:creationId xmlns:a16="http://schemas.microsoft.com/office/drawing/2014/main" id="{21DA9024-1655-41B8-98BF-09EF39551266}"/>
                </a:ext>
                <a:ext uri="{147F2762-F138-4A5C-976F-8EAC2B608ADB}">
                  <a16:predDERef xmlns:a16="http://schemas.microsoft.com/office/drawing/2014/main" pred="{F74619C1-E197-C765-2DAD-2EFF7F0981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r w:rsidR="008579DB">
        <w:br/>
        <w:t>Source: Jobs and Skills Australia (2026).</w:t>
      </w:r>
      <w:r w:rsidR="002F5155">
        <w:t xml:space="preserve"> </w:t>
      </w:r>
      <w:bookmarkStart w:id="123" w:name="_Toc240485361"/>
      <w:bookmarkStart w:id="124" w:name="_Toc240485362"/>
      <w:bookmarkStart w:id="125" w:name="_Toc240464502"/>
      <w:bookmarkStart w:id="126" w:name="_Toc240464781"/>
      <w:bookmarkStart w:id="127" w:name="_Toc240465060"/>
      <w:bookmarkStart w:id="128" w:name="_Toc240465369"/>
      <w:bookmarkStart w:id="129" w:name="_Toc240483845"/>
      <w:bookmarkStart w:id="130" w:name="_Toc240484125"/>
      <w:bookmarkStart w:id="131" w:name="_Toc240484777"/>
      <w:bookmarkStart w:id="132" w:name="_Toc240485079"/>
      <w:bookmarkStart w:id="133" w:name="_Toc240485363"/>
      <w:bookmarkStart w:id="134" w:name="_Toc240464503"/>
      <w:bookmarkStart w:id="135" w:name="_Toc240464782"/>
      <w:bookmarkStart w:id="136" w:name="_Toc240465061"/>
      <w:bookmarkStart w:id="137" w:name="_Toc240465370"/>
      <w:bookmarkStart w:id="138" w:name="_Toc240483846"/>
      <w:bookmarkStart w:id="139" w:name="_Toc240484126"/>
      <w:bookmarkStart w:id="140" w:name="_Toc240484778"/>
      <w:bookmarkStart w:id="141" w:name="_Toc240485080"/>
      <w:bookmarkStart w:id="142" w:name="_Toc240485364"/>
      <w:bookmarkStart w:id="143" w:name="_Toc240464504"/>
      <w:bookmarkStart w:id="144" w:name="_Toc240464783"/>
      <w:bookmarkStart w:id="145" w:name="_Toc240465062"/>
      <w:bookmarkStart w:id="146" w:name="_Toc240465371"/>
      <w:bookmarkStart w:id="147" w:name="_Toc240483847"/>
      <w:bookmarkStart w:id="148" w:name="_Toc240484127"/>
      <w:bookmarkStart w:id="149" w:name="_Toc240484779"/>
      <w:bookmarkStart w:id="150" w:name="_Toc240485081"/>
      <w:bookmarkStart w:id="151" w:name="_Toc240485365"/>
      <w:bookmarkStart w:id="152" w:name="_Toc240464505"/>
      <w:bookmarkStart w:id="153" w:name="_Toc240464784"/>
      <w:bookmarkStart w:id="154" w:name="_Toc240465063"/>
      <w:bookmarkStart w:id="155" w:name="_Toc240465372"/>
      <w:bookmarkStart w:id="156" w:name="_Toc240483848"/>
      <w:bookmarkStart w:id="157" w:name="_Toc240484128"/>
      <w:bookmarkStart w:id="158" w:name="_Toc240484780"/>
      <w:bookmarkStart w:id="159" w:name="_Toc240485082"/>
      <w:bookmarkStart w:id="160" w:name="_Toc240485366"/>
      <w:bookmarkStart w:id="161" w:name="_Toc240464506"/>
      <w:bookmarkStart w:id="162" w:name="_Toc240464785"/>
      <w:bookmarkStart w:id="163" w:name="_Toc240465064"/>
      <w:bookmarkStart w:id="164" w:name="_Toc240465373"/>
      <w:bookmarkStart w:id="165" w:name="_Toc240483849"/>
      <w:bookmarkStart w:id="166" w:name="_Toc240484129"/>
      <w:bookmarkStart w:id="167" w:name="_Toc240484781"/>
      <w:bookmarkStart w:id="168" w:name="_Toc240485083"/>
      <w:bookmarkStart w:id="169" w:name="_Toc240485367"/>
      <w:bookmarkStart w:id="170" w:name="_Toc240464508"/>
      <w:bookmarkStart w:id="171" w:name="_Toc240464787"/>
      <w:bookmarkStart w:id="172" w:name="_Toc240465066"/>
      <w:bookmarkStart w:id="173" w:name="_Toc240465375"/>
      <w:bookmarkStart w:id="174" w:name="_Toc240483851"/>
      <w:bookmarkStart w:id="175" w:name="_Toc240484131"/>
      <w:bookmarkStart w:id="176" w:name="_Toc240484783"/>
      <w:bookmarkStart w:id="177" w:name="_Toc240485085"/>
      <w:bookmarkStart w:id="178" w:name="_Toc240485369"/>
      <w:bookmarkStart w:id="179" w:name="_Toc240464509"/>
      <w:bookmarkStart w:id="180" w:name="_Toc240464788"/>
      <w:bookmarkStart w:id="181" w:name="_Toc240465067"/>
      <w:bookmarkStart w:id="182" w:name="_Toc240465376"/>
      <w:bookmarkStart w:id="183" w:name="_Toc240483852"/>
      <w:bookmarkStart w:id="184" w:name="_Toc240484132"/>
      <w:bookmarkStart w:id="185" w:name="_Toc240484784"/>
      <w:bookmarkStart w:id="186" w:name="_Toc240485086"/>
      <w:bookmarkStart w:id="187" w:name="_Toc240485370"/>
      <w:bookmarkStart w:id="188" w:name="_Toc240464510"/>
      <w:bookmarkStart w:id="189" w:name="_Toc240464789"/>
      <w:bookmarkStart w:id="190" w:name="_Toc240465068"/>
      <w:bookmarkStart w:id="191" w:name="_Toc240465377"/>
      <w:bookmarkStart w:id="192" w:name="_Toc240483853"/>
      <w:bookmarkStart w:id="193" w:name="_Toc240484133"/>
      <w:bookmarkStart w:id="194" w:name="_Toc240484785"/>
      <w:bookmarkStart w:id="195" w:name="_Toc240485087"/>
      <w:bookmarkStart w:id="196" w:name="_Toc240485371"/>
      <w:bookmarkStart w:id="197" w:name="_Toc240464513"/>
      <w:bookmarkStart w:id="198" w:name="_Toc240464792"/>
      <w:bookmarkStart w:id="199" w:name="_Toc240465071"/>
      <w:bookmarkStart w:id="200" w:name="_Toc240465380"/>
      <w:bookmarkStart w:id="201" w:name="_Toc240483856"/>
      <w:bookmarkStart w:id="202" w:name="_Toc240484136"/>
      <w:bookmarkStart w:id="203" w:name="_Toc240484788"/>
      <w:bookmarkStart w:id="204" w:name="_Toc240485090"/>
      <w:bookmarkStart w:id="205" w:name="_Toc240485374"/>
      <w:bookmarkStart w:id="206" w:name="_Toc240464514"/>
      <w:bookmarkStart w:id="207" w:name="_Toc240464793"/>
      <w:bookmarkStart w:id="208" w:name="_Toc240465072"/>
      <w:bookmarkStart w:id="209" w:name="_Toc240465381"/>
      <w:bookmarkStart w:id="210" w:name="_Toc240483857"/>
      <w:bookmarkStart w:id="211" w:name="_Toc240484137"/>
      <w:bookmarkStart w:id="212" w:name="_Toc240484789"/>
      <w:bookmarkStart w:id="213" w:name="_Toc240485091"/>
      <w:bookmarkStart w:id="214" w:name="_Toc240485375"/>
      <w:bookmarkStart w:id="215" w:name="_Toc240464517"/>
      <w:bookmarkStart w:id="216" w:name="_Toc240464796"/>
      <w:bookmarkStart w:id="217" w:name="_Toc240465075"/>
      <w:bookmarkStart w:id="218" w:name="_Toc240465384"/>
      <w:bookmarkStart w:id="219" w:name="_Toc240483860"/>
      <w:bookmarkStart w:id="220" w:name="_Toc240484140"/>
      <w:bookmarkStart w:id="221" w:name="_Toc240484792"/>
      <w:bookmarkStart w:id="222" w:name="_Toc240485094"/>
      <w:bookmarkStart w:id="223" w:name="_Toc240485378"/>
      <w:bookmarkStart w:id="224" w:name="_Toc240464518"/>
      <w:bookmarkStart w:id="225" w:name="_Toc240464797"/>
      <w:bookmarkStart w:id="226" w:name="_Toc240465076"/>
      <w:bookmarkStart w:id="227" w:name="_Toc240465385"/>
      <w:bookmarkStart w:id="228" w:name="_Toc240483861"/>
      <w:bookmarkStart w:id="229" w:name="_Toc240484141"/>
      <w:bookmarkStart w:id="230" w:name="_Toc240484793"/>
      <w:bookmarkStart w:id="231" w:name="_Toc240485095"/>
      <w:bookmarkStart w:id="232" w:name="_Toc240485379"/>
      <w:bookmarkStart w:id="233" w:name="_Toc240464521"/>
      <w:bookmarkStart w:id="234" w:name="_Toc240464800"/>
      <w:bookmarkStart w:id="235" w:name="_Toc240465079"/>
      <w:bookmarkStart w:id="236" w:name="_Toc240465388"/>
      <w:bookmarkStart w:id="237" w:name="_Toc240483864"/>
      <w:bookmarkStart w:id="238" w:name="_Toc240484144"/>
      <w:bookmarkStart w:id="239" w:name="_Toc240484796"/>
      <w:bookmarkStart w:id="240" w:name="_Toc240485098"/>
      <w:bookmarkStart w:id="241" w:name="_Toc240485382"/>
      <w:bookmarkStart w:id="242" w:name="_Toc240464522"/>
      <w:bookmarkStart w:id="243" w:name="_Toc240464801"/>
      <w:bookmarkStart w:id="244" w:name="_Toc240465080"/>
      <w:bookmarkStart w:id="245" w:name="_Toc240465389"/>
      <w:bookmarkStart w:id="246" w:name="_Toc240483865"/>
      <w:bookmarkStart w:id="247" w:name="_Toc240484145"/>
      <w:bookmarkStart w:id="248" w:name="_Toc240484797"/>
      <w:bookmarkStart w:id="249" w:name="_Toc240485099"/>
      <w:bookmarkStart w:id="250" w:name="_Toc240485383"/>
      <w:bookmarkStart w:id="251" w:name="_Toc240464525"/>
      <w:bookmarkStart w:id="252" w:name="_Toc240464804"/>
      <w:bookmarkStart w:id="253" w:name="_Toc240465083"/>
      <w:bookmarkStart w:id="254" w:name="_Toc240465392"/>
      <w:bookmarkStart w:id="255" w:name="_Toc240483868"/>
      <w:bookmarkStart w:id="256" w:name="_Toc240484148"/>
      <w:bookmarkStart w:id="257" w:name="_Toc240484800"/>
      <w:bookmarkStart w:id="258" w:name="_Toc240485102"/>
      <w:bookmarkStart w:id="259" w:name="_Toc240485386"/>
      <w:bookmarkStart w:id="260" w:name="_Toc240464526"/>
      <w:bookmarkStart w:id="261" w:name="_Toc240464805"/>
      <w:bookmarkStart w:id="262" w:name="_Toc240465084"/>
      <w:bookmarkStart w:id="263" w:name="_Toc240465393"/>
      <w:bookmarkStart w:id="264" w:name="_Toc240483869"/>
      <w:bookmarkStart w:id="265" w:name="_Toc240484149"/>
      <w:bookmarkStart w:id="266" w:name="_Toc240484801"/>
      <w:bookmarkStart w:id="267" w:name="_Toc240485103"/>
      <w:bookmarkStart w:id="268" w:name="_Toc240485387"/>
      <w:bookmarkStart w:id="269" w:name="_Toc240464528"/>
      <w:bookmarkStart w:id="270" w:name="_Toc240464807"/>
      <w:bookmarkStart w:id="271" w:name="_Toc240465086"/>
      <w:bookmarkStart w:id="272" w:name="_Toc240465395"/>
      <w:bookmarkStart w:id="273" w:name="_Toc240483871"/>
      <w:bookmarkStart w:id="274" w:name="_Toc240484151"/>
      <w:bookmarkStart w:id="275" w:name="_Toc240484803"/>
      <w:bookmarkStart w:id="276" w:name="_Toc240485105"/>
      <w:bookmarkStart w:id="277" w:name="_Toc240485389"/>
      <w:bookmarkStart w:id="278" w:name="_Toc240464529"/>
      <w:bookmarkStart w:id="279" w:name="_Toc240464808"/>
      <w:bookmarkStart w:id="280" w:name="_Toc240465087"/>
      <w:bookmarkStart w:id="281" w:name="_Toc240465396"/>
      <w:bookmarkStart w:id="282" w:name="_Toc240483872"/>
      <w:bookmarkStart w:id="283" w:name="_Toc240484152"/>
      <w:bookmarkStart w:id="284" w:name="_Toc240484804"/>
      <w:bookmarkStart w:id="285" w:name="_Toc240485106"/>
      <w:bookmarkStart w:id="286" w:name="_Toc240485390"/>
      <w:bookmarkStart w:id="287" w:name="_Toc240464530"/>
      <w:bookmarkStart w:id="288" w:name="_Toc240464809"/>
      <w:bookmarkStart w:id="289" w:name="_Toc240465088"/>
      <w:bookmarkStart w:id="290" w:name="_Toc240465397"/>
      <w:bookmarkStart w:id="291" w:name="_Toc240483873"/>
      <w:bookmarkStart w:id="292" w:name="_Toc240484153"/>
      <w:bookmarkStart w:id="293" w:name="_Toc240484805"/>
      <w:bookmarkStart w:id="294" w:name="_Toc240485107"/>
      <w:bookmarkStart w:id="295" w:name="_Toc240485391"/>
      <w:bookmarkStart w:id="296" w:name="_Toc240464532"/>
      <w:bookmarkStart w:id="297" w:name="_Toc240464811"/>
      <w:bookmarkStart w:id="298" w:name="_Toc240465090"/>
      <w:bookmarkStart w:id="299" w:name="_Toc240465399"/>
      <w:bookmarkStart w:id="300" w:name="_Toc240483875"/>
      <w:bookmarkStart w:id="301" w:name="_Toc240484155"/>
      <w:bookmarkStart w:id="302" w:name="_Toc240484807"/>
      <w:bookmarkStart w:id="303" w:name="_Toc240485109"/>
      <w:bookmarkStart w:id="304" w:name="_Toc240485393"/>
      <w:bookmarkStart w:id="305" w:name="_Toc240464533"/>
      <w:bookmarkStart w:id="306" w:name="_Toc240464812"/>
      <w:bookmarkStart w:id="307" w:name="_Toc240465091"/>
      <w:bookmarkStart w:id="308" w:name="_Toc240465400"/>
      <w:bookmarkStart w:id="309" w:name="_Toc240483876"/>
      <w:bookmarkStart w:id="310" w:name="_Toc240484156"/>
      <w:bookmarkStart w:id="311" w:name="_Toc240484808"/>
      <w:bookmarkStart w:id="312" w:name="_Toc240485110"/>
      <w:bookmarkStart w:id="313" w:name="_Toc240485394"/>
      <w:bookmarkStart w:id="314" w:name="_Toc240464534"/>
      <w:bookmarkStart w:id="315" w:name="_Toc240464813"/>
      <w:bookmarkStart w:id="316" w:name="_Toc240465092"/>
      <w:bookmarkStart w:id="317" w:name="_Toc240465401"/>
      <w:bookmarkStart w:id="318" w:name="_Toc240483877"/>
      <w:bookmarkStart w:id="319" w:name="_Toc240484157"/>
      <w:bookmarkStart w:id="320" w:name="_Toc240484809"/>
      <w:bookmarkStart w:id="321" w:name="_Toc240485111"/>
      <w:bookmarkStart w:id="322" w:name="_Toc240485395"/>
      <w:bookmarkStart w:id="323" w:name="_Toc240464535"/>
      <w:bookmarkStart w:id="324" w:name="_Toc240464814"/>
      <w:bookmarkStart w:id="325" w:name="_Toc240465093"/>
      <w:bookmarkStart w:id="326" w:name="_Toc240465402"/>
      <w:bookmarkStart w:id="327" w:name="_Toc240483878"/>
      <w:bookmarkStart w:id="328" w:name="_Toc240484158"/>
      <w:bookmarkStart w:id="329" w:name="_Toc240484810"/>
      <w:bookmarkStart w:id="330" w:name="_Toc240485112"/>
      <w:bookmarkStart w:id="331" w:name="_Toc240485396"/>
      <w:bookmarkStart w:id="332" w:name="_Toc240464537"/>
      <w:bookmarkStart w:id="333" w:name="_Toc240464816"/>
      <w:bookmarkStart w:id="334" w:name="_Toc240465095"/>
      <w:bookmarkStart w:id="335" w:name="_Toc240465404"/>
      <w:bookmarkStart w:id="336" w:name="_Toc240483880"/>
      <w:bookmarkStart w:id="337" w:name="_Toc240484160"/>
      <w:bookmarkStart w:id="338" w:name="_Toc240484812"/>
      <w:bookmarkStart w:id="339" w:name="_Toc240485114"/>
      <w:bookmarkStart w:id="340" w:name="_Toc240485398"/>
      <w:bookmarkStart w:id="341" w:name="_Toc240464538"/>
      <w:bookmarkStart w:id="342" w:name="_Toc240464817"/>
      <w:bookmarkStart w:id="343" w:name="_Toc240465096"/>
      <w:bookmarkStart w:id="344" w:name="_Toc240465405"/>
      <w:bookmarkStart w:id="345" w:name="_Toc240483881"/>
      <w:bookmarkStart w:id="346" w:name="_Toc240484161"/>
      <w:bookmarkStart w:id="347" w:name="_Toc240484813"/>
      <w:bookmarkStart w:id="348" w:name="_Toc240485115"/>
      <w:bookmarkStart w:id="349" w:name="_Toc240485399"/>
      <w:bookmarkStart w:id="350" w:name="_Toc240464539"/>
      <w:bookmarkStart w:id="351" w:name="_Toc240464818"/>
      <w:bookmarkStart w:id="352" w:name="_Toc240465097"/>
      <w:bookmarkStart w:id="353" w:name="_Toc240465406"/>
      <w:bookmarkStart w:id="354" w:name="_Toc240483882"/>
      <w:bookmarkStart w:id="355" w:name="_Toc240484162"/>
      <w:bookmarkStart w:id="356" w:name="_Toc240484814"/>
      <w:bookmarkStart w:id="357" w:name="_Toc240485116"/>
      <w:bookmarkStart w:id="358" w:name="_Toc240485400"/>
      <w:bookmarkStart w:id="359" w:name="_Toc240464541"/>
      <w:bookmarkStart w:id="360" w:name="_Toc240464820"/>
      <w:bookmarkStart w:id="361" w:name="_Toc240465099"/>
      <w:bookmarkStart w:id="362" w:name="_Toc240465408"/>
      <w:bookmarkStart w:id="363" w:name="_Toc240483884"/>
      <w:bookmarkStart w:id="364" w:name="_Toc240484164"/>
      <w:bookmarkStart w:id="365" w:name="_Toc240484816"/>
      <w:bookmarkStart w:id="366" w:name="_Toc240485118"/>
      <w:bookmarkStart w:id="367" w:name="_Toc240485402"/>
      <w:bookmarkStart w:id="368" w:name="_Toc240464542"/>
      <w:bookmarkStart w:id="369" w:name="_Toc240464821"/>
      <w:bookmarkStart w:id="370" w:name="_Toc240465100"/>
      <w:bookmarkStart w:id="371" w:name="_Toc240465409"/>
      <w:bookmarkStart w:id="372" w:name="_Toc240483885"/>
      <w:bookmarkStart w:id="373" w:name="_Toc240484165"/>
      <w:bookmarkStart w:id="374" w:name="_Toc240484817"/>
      <w:bookmarkStart w:id="375" w:name="_Toc240485119"/>
      <w:bookmarkStart w:id="376" w:name="_Toc240485403"/>
      <w:bookmarkStart w:id="377" w:name="_Toc240464543"/>
      <w:bookmarkStart w:id="378" w:name="_Toc240464822"/>
      <w:bookmarkStart w:id="379" w:name="_Toc240465101"/>
      <w:bookmarkStart w:id="380" w:name="_Toc240465410"/>
      <w:bookmarkStart w:id="381" w:name="_Toc240483886"/>
      <w:bookmarkStart w:id="382" w:name="_Toc240484166"/>
      <w:bookmarkStart w:id="383" w:name="_Toc240484818"/>
      <w:bookmarkStart w:id="384" w:name="_Toc240485120"/>
      <w:bookmarkStart w:id="385" w:name="_Toc240485404"/>
      <w:bookmarkStart w:id="386" w:name="_Toc240464545"/>
      <w:bookmarkStart w:id="387" w:name="_Toc240464824"/>
      <w:bookmarkStart w:id="388" w:name="_Toc240465103"/>
      <w:bookmarkStart w:id="389" w:name="_Toc240465412"/>
      <w:bookmarkStart w:id="390" w:name="_Toc240483888"/>
      <w:bookmarkStart w:id="391" w:name="_Toc240484168"/>
      <w:bookmarkStart w:id="392" w:name="_Toc240484820"/>
      <w:bookmarkStart w:id="393" w:name="_Toc240485122"/>
      <w:bookmarkStart w:id="394" w:name="_Toc240485406"/>
      <w:bookmarkStart w:id="395" w:name="_Toc240464546"/>
      <w:bookmarkStart w:id="396" w:name="_Toc240464825"/>
      <w:bookmarkStart w:id="397" w:name="_Toc240465104"/>
      <w:bookmarkStart w:id="398" w:name="_Toc240465413"/>
      <w:bookmarkStart w:id="399" w:name="_Toc240483889"/>
      <w:bookmarkStart w:id="400" w:name="_Toc240484169"/>
      <w:bookmarkStart w:id="401" w:name="_Toc240484821"/>
      <w:bookmarkStart w:id="402" w:name="_Toc240485123"/>
      <w:bookmarkStart w:id="403" w:name="_Toc240485407"/>
      <w:bookmarkStart w:id="404" w:name="_Toc240464547"/>
      <w:bookmarkStart w:id="405" w:name="_Toc240464826"/>
      <w:bookmarkStart w:id="406" w:name="_Toc240465105"/>
      <w:bookmarkStart w:id="407" w:name="_Toc240465414"/>
      <w:bookmarkStart w:id="408" w:name="_Toc240483890"/>
      <w:bookmarkStart w:id="409" w:name="_Toc240484170"/>
      <w:bookmarkStart w:id="410" w:name="_Toc240484822"/>
      <w:bookmarkStart w:id="411" w:name="_Toc240485124"/>
      <w:bookmarkStart w:id="412" w:name="_Toc240485408"/>
      <w:bookmarkStart w:id="413" w:name="_Toc240464550"/>
      <w:bookmarkStart w:id="414" w:name="_Toc240464829"/>
      <w:bookmarkStart w:id="415" w:name="_Toc240465108"/>
      <w:bookmarkStart w:id="416" w:name="_Toc240465417"/>
      <w:bookmarkStart w:id="417" w:name="_Toc240483893"/>
      <w:bookmarkStart w:id="418" w:name="_Toc240484173"/>
      <w:bookmarkStart w:id="419" w:name="_Toc240484825"/>
      <w:bookmarkStart w:id="420" w:name="_Toc240485127"/>
      <w:bookmarkStart w:id="421" w:name="_Toc240485411"/>
      <w:bookmarkStart w:id="422" w:name="_Toc240464551"/>
      <w:bookmarkStart w:id="423" w:name="_Toc240464830"/>
      <w:bookmarkStart w:id="424" w:name="_Toc240465109"/>
      <w:bookmarkStart w:id="425" w:name="_Toc240465418"/>
      <w:bookmarkStart w:id="426" w:name="_Toc240483894"/>
      <w:bookmarkStart w:id="427" w:name="_Toc240484174"/>
      <w:bookmarkStart w:id="428" w:name="_Toc240484826"/>
      <w:bookmarkStart w:id="429" w:name="_Toc240485128"/>
      <w:bookmarkStart w:id="430" w:name="_Toc240485412"/>
      <w:bookmarkStart w:id="431" w:name="_Toc240464553"/>
      <w:bookmarkStart w:id="432" w:name="_Toc240464832"/>
      <w:bookmarkStart w:id="433" w:name="_Toc240465111"/>
      <w:bookmarkStart w:id="434" w:name="_Toc240465420"/>
      <w:bookmarkStart w:id="435" w:name="_Toc240483896"/>
      <w:bookmarkStart w:id="436" w:name="_Toc240484176"/>
      <w:bookmarkStart w:id="437" w:name="_Toc240484828"/>
      <w:bookmarkStart w:id="438" w:name="_Toc240485130"/>
      <w:bookmarkStart w:id="439" w:name="_Toc240485414"/>
      <w:bookmarkStart w:id="440" w:name="_Toc240464554"/>
      <w:bookmarkStart w:id="441" w:name="_Toc240464833"/>
      <w:bookmarkStart w:id="442" w:name="_Toc240465112"/>
      <w:bookmarkStart w:id="443" w:name="_Toc240465421"/>
      <w:bookmarkStart w:id="444" w:name="_Toc240483897"/>
      <w:bookmarkStart w:id="445" w:name="_Toc240484177"/>
      <w:bookmarkStart w:id="446" w:name="_Toc240484829"/>
      <w:bookmarkStart w:id="447" w:name="_Toc240485131"/>
      <w:bookmarkStart w:id="448" w:name="_Toc240485415"/>
      <w:bookmarkStart w:id="449" w:name="_Toc240464555"/>
      <w:bookmarkStart w:id="450" w:name="_Toc240464834"/>
      <w:bookmarkStart w:id="451" w:name="_Toc240465113"/>
      <w:bookmarkStart w:id="452" w:name="_Toc240465422"/>
      <w:bookmarkStart w:id="453" w:name="_Toc240483898"/>
      <w:bookmarkStart w:id="454" w:name="_Toc240484178"/>
      <w:bookmarkStart w:id="455" w:name="_Toc240484830"/>
      <w:bookmarkStart w:id="456" w:name="_Toc240485132"/>
      <w:bookmarkStart w:id="457" w:name="_Toc240485416"/>
      <w:bookmarkStart w:id="458" w:name="_Toc240464557"/>
      <w:bookmarkStart w:id="459" w:name="_Toc240464836"/>
      <w:bookmarkStart w:id="460" w:name="_Toc240465115"/>
      <w:bookmarkStart w:id="461" w:name="_Toc240465424"/>
      <w:bookmarkStart w:id="462" w:name="_Toc240483900"/>
      <w:bookmarkStart w:id="463" w:name="_Toc240484180"/>
      <w:bookmarkStart w:id="464" w:name="_Toc240484832"/>
      <w:bookmarkStart w:id="465" w:name="_Toc240485134"/>
      <w:bookmarkStart w:id="466" w:name="_Toc240485418"/>
      <w:bookmarkStart w:id="467" w:name="_Toc240464558"/>
      <w:bookmarkStart w:id="468" w:name="_Toc240464837"/>
      <w:bookmarkStart w:id="469" w:name="_Toc240465116"/>
      <w:bookmarkStart w:id="470" w:name="_Toc240465425"/>
      <w:bookmarkStart w:id="471" w:name="_Toc240483901"/>
      <w:bookmarkStart w:id="472" w:name="_Toc240484181"/>
      <w:bookmarkStart w:id="473" w:name="_Toc240484833"/>
      <w:bookmarkStart w:id="474" w:name="_Toc240485135"/>
      <w:bookmarkStart w:id="475" w:name="_Toc240485419"/>
      <w:bookmarkStart w:id="476" w:name="_Toc240464559"/>
      <w:bookmarkStart w:id="477" w:name="_Toc240464838"/>
      <w:bookmarkStart w:id="478" w:name="_Toc240465117"/>
      <w:bookmarkStart w:id="479" w:name="_Toc240465426"/>
      <w:bookmarkStart w:id="480" w:name="_Toc240483902"/>
      <w:bookmarkStart w:id="481" w:name="_Toc240484182"/>
      <w:bookmarkStart w:id="482" w:name="_Toc240484834"/>
      <w:bookmarkStart w:id="483" w:name="_Toc240485136"/>
      <w:bookmarkStart w:id="484" w:name="_Toc240485420"/>
      <w:bookmarkStart w:id="485" w:name="_Toc240464561"/>
      <w:bookmarkStart w:id="486" w:name="_Toc240464840"/>
      <w:bookmarkStart w:id="487" w:name="_Toc240465119"/>
      <w:bookmarkStart w:id="488" w:name="_Toc240465428"/>
      <w:bookmarkStart w:id="489" w:name="_Toc240483904"/>
      <w:bookmarkStart w:id="490" w:name="_Toc240484184"/>
      <w:bookmarkStart w:id="491" w:name="_Toc240484836"/>
      <w:bookmarkStart w:id="492" w:name="_Toc240485138"/>
      <w:bookmarkStart w:id="493" w:name="_Toc240485422"/>
      <w:bookmarkStart w:id="494" w:name="_Toc240464562"/>
      <w:bookmarkStart w:id="495" w:name="_Toc240464841"/>
      <w:bookmarkStart w:id="496" w:name="_Toc240465120"/>
      <w:bookmarkStart w:id="497" w:name="_Toc240465429"/>
      <w:bookmarkStart w:id="498" w:name="_Toc240483905"/>
      <w:bookmarkStart w:id="499" w:name="_Toc240484185"/>
      <w:bookmarkStart w:id="500" w:name="_Toc240484837"/>
      <w:bookmarkStart w:id="501" w:name="_Toc240485139"/>
      <w:bookmarkStart w:id="502" w:name="_Toc240485423"/>
      <w:bookmarkStart w:id="503" w:name="_Toc240464563"/>
      <w:bookmarkStart w:id="504" w:name="_Toc240464842"/>
      <w:bookmarkStart w:id="505" w:name="_Toc240465121"/>
      <w:bookmarkStart w:id="506" w:name="_Toc240465430"/>
      <w:bookmarkStart w:id="507" w:name="_Toc240483906"/>
      <w:bookmarkStart w:id="508" w:name="_Toc240484186"/>
      <w:bookmarkStart w:id="509" w:name="_Toc240484838"/>
      <w:bookmarkStart w:id="510" w:name="_Toc240485140"/>
      <w:bookmarkStart w:id="511" w:name="_Toc240485424"/>
      <w:bookmarkStart w:id="512" w:name="_Toc240464565"/>
      <w:bookmarkStart w:id="513" w:name="_Toc240464844"/>
      <w:bookmarkStart w:id="514" w:name="_Toc240465123"/>
      <w:bookmarkStart w:id="515" w:name="_Toc240465432"/>
      <w:bookmarkStart w:id="516" w:name="_Toc240483908"/>
      <w:bookmarkStart w:id="517" w:name="_Toc240484188"/>
      <w:bookmarkStart w:id="518" w:name="_Toc240484840"/>
      <w:bookmarkStart w:id="519" w:name="_Toc240485142"/>
      <w:bookmarkStart w:id="520" w:name="_Toc240485426"/>
      <w:bookmarkStart w:id="521" w:name="_Toc240464566"/>
      <w:bookmarkStart w:id="522" w:name="_Toc240464845"/>
      <w:bookmarkStart w:id="523" w:name="_Toc240465124"/>
      <w:bookmarkStart w:id="524" w:name="_Toc240465433"/>
      <w:bookmarkStart w:id="525" w:name="_Toc240483909"/>
      <w:bookmarkStart w:id="526" w:name="_Toc240484189"/>
      <w:bookmarkStart w:id="527" w:name="_Toc240484841"/>
      <w:bookmarkStart w:id="528" w:name="_Toc240485143"/>
      <w:bookmarkStart w:id="529" w:name="_Toc240485427"/>
      <w:bookmarkStart w:id="530" w:name="_Toc240464567"/>
      <w:bookmarkStart w:id="531" w:name="_Toc240464846"/>
      <w:bookmarkStart w:id="532" w:name="_Toc240465125"/>
      <w:bookmarkStart w:id="533" w:name="_Toc240465434"/>
      <w:bookmarkStart w:id="534" w:name="_Toc240483910"/>
      <w:bookmarkStart w:id="535" w:name="_Toc240484190"/>
      <w:bookmarkStart w:id="536" w:name="_Toc240484842"/>
      <w:bookmarkStart w:id="537" w:name="_Toc240485144"/>
      <w:bookmarkStart w:id="538" w:name="_Toc240485428"/>
      <w:bookmarkStart w:id="539" w:name="_Toc240464569"/>
      <w:bookmarkStart w:id="540" w:name="_Toc240464848"/>
      <w:bookmarkStart w:id="541" w:name="_Toc240465127"/>
      <w:bookmarkStart w:id="542" w:name="_Toc240465436"/>
      <w:bookmarkStart w:id="543" w:name="_Toc240483912"/>
      <w:bookmarkStart w:id="544" w:name="_Toc240484192"/>
      <w:bookmarkStart w:id="545" w:name="_Toc240484844"/>
      <w:bookmarkStart w:id="546" w:name="_Toc240485146"/>
      <w:bookmarkStart w:id="547" w:name="_Toc240485430"/>
      <w:bookmarkStart w:id="548" w:name="_Toc240464570"/>
      <w:bookmarkStart w:id="549" w:name="_Toc240464849"/>
      <w:bookmarkStart w:id="550" w:name="_Toc240465128"/>
      <w:bookmarkStart w:id="551" w:name="_Toc240465437"/>
      <w:bookmarkStart w:id="552" w:name="_Toc240483913"/>
      <w:bookmarkStart w:id="553" w:name="_Toc240484193"/>
      <w:bookmarkStart w:id="554" w:name="_Toc240484845"/>
      <w:bookmarkStart w:id="555" w:name="_Toc240485147"/>
      <w:bookmarkStart w:id="556" w:name="_Toc240485431"/>
      <w:bookmarkStart w:id="557" w:name="_Toc240464571"/>
      <w:bookmarkStart w:id="558" w:name="_Toc240464850"/>
      <w:bookmarkStart w:id="559" w:name="_Toc240465129"/>
      <w:bookmarkStart w:id="560" w:name="_Toc240465438"/>
      <w:bookmarkStart w:id="561" w:name="_Toc240483914"/>
      <w:bookmarkStart w:id="562" w:name="_Toc240484194"/>
      <w:bookmarkStart w:id="563" w:name="_Toc240484846"/>
      <w:bookmarkStart w:id="564" w:name="_Toc240485148"/>
      <w:bookmarkStart w:id="565" w:name="_Toc240485432"/>
      <w:bookmarkStart w:id="566" w:name="_Toc240464573"/>
      <w:bookmarkStart w:id="567" w:name="_Toc240464852"/>
      <w:bookmarkStart w:id="568" w:name="_Toc240465131"/>
      <w:bookmarkStart w:id="569" w:name="_Toc240465440"/>
      <w:bookmarkStart w:id="570" w:name="_Toc240483916"/>
      <w:bookmarkStart w:id="571" w:name="_Toc240484196"/>
      <w:bookmarkStart w:id="572" w:name="_Toc240484848"/>
      <w:bookmarkStart w:id="573" w:name="_Toc240485150"/>
      <w:bookmarkStart w:id="574" w:name="_Toc240485434"/>
      <w:bookmarkStart w:id="575" w:name="_Toc240464574"/>
      <w:bookmarkStart w:id="576" w:name="_Toc240464853"/>
      <w:bookmarkStart w:id="577" w:name="_Toc240465132"/>
      <w:bookmarkStart w:id="578" w:name="_Toc240465441"/>
      <w:bookmarkStart w:id="579" w:name="_Toc240483917"/>
      <w:bookmarkStart w:id="580" w:name="_Toc240484197"/>
      <w:bookmarkStart w:id="581" w:name="_Toc240484849"/>
      <w:bookmarkStart w:id="582" w:name="_Toc240485151"/>
      <w:bookmarkStart w:id="583" w:name="_Toc240485435"/>
      <w:bookmarkStart w:id="584" w:name="_Toc240464575"/>
      <w:bookmarkStart w:id="585" w:name="_Toc240464854"/>
      <w:bookmarkStart w:id="586" w:name="_Toc240465133"/>
      <w:bookmarkStart w:id="587" w:name="_Toc240465442"/>
      <w:bookmarkStart w:id="588" w:name="_Toc240483918"/>
      <w:bookmarkStart w:id="589" w:name="_Toc240484198"/>
      <w:bookmarkStart w:id="590" w:name="_Toc240484850"/>
      <w:bookmarkStart w:id="591" w:name="_Toc240485152"/>
      <w:bookmarkStart w:id="592" w:name="_Toc240485436"/>
      <w:bookmarkStart w:id="593" w:name="_Toc240464578"/>
      <w:bookmarkStart w:id="594" w:name="_Toc240464857"/>
      <w:bookmarkStart w:id="595" w:name="_Toc240465136"/>
      <w:bookmarkStart w:id="596" w:name="_Toc240465445"/>
      <w:bookmarkStart w:id="597" w:name="_Toc240483921"/>
      <w:bookmarkStart w:id="598" w:name="_Toc240484201"/>
      <w:bookmarkStart w:id="599" w:name="_Toc240484853"/>
      <w:bookmarkStart w:id="600" w:name="_Toc240485155"/>
      <w:bookmarkStart w:id="601" w:name="_Toc240485439"/>
      <w:bookmarkStart w:id="602" w:name="_Toc240464579"/>
      <w:bookmarkStart w:id="603" w:name="_Toc240464858"/>
      <w:bookmarkStart w:id="604" w:name="_Toc240465137"/>
      <w:bookmarkStart w:id="605" w:name="_Toc240465446"/>
      <w:bookmarkStart w:id="606" w:name="_Toc240483922"/>
      <w:bookmarkStart w:id="607" w:name="_Toc240484202"/>
      <w:bookmarkStart w:id="608" w:name="_Toc240484854"/>
      <w:bookmarkStart w:id="609" w:name="_Toc240485156"/>
      <w:bookmarkStart w:id="610" w:name="_Toc240485440"/>
      <w:bookmarkStart w:id="611" w:name="_Toc240464581"/>
      <w:bookmarkStart w:id="612" w:name="_Toc240464860"/>
      <w:bookmarkStart w:id="613" w:name="_Toc240465139"/>
      <w:bookmarkStart w:id="614" w:name="_Toc240465448"/>
      <w:bookmarkStart w:id="615" w:name="_Toc240483924"/>
      <w:bookmarkStart w:id="616" w:name="_Toc240484204"/>
      <w:bookmarkStart w:id="617" w:name="_Toc240484856"/>
      <w:bookmarkStart w:id="618" w:name="_Toc240485158"/>
      <w:bookmarkStart w:id="619" w:name="_Toc240485442"/>
      <w:bookmarkStart w:id="620" w:name="_Toc240464582"/>
      <w:bookmarkStart w:id="621" w:name="_Toc240464861"/>
      <w:bookmarkStart w:id="622" w:name="_Toc240465140"/>
      <w:bookmarkStart w:id="623" w:name="_Toc240465449"/>
      <w:bookmarkStart w:id="624" w:name="_Toc240483925"/>
      <w:bookmarkStart w:id="625" w:name="_Toc240484205"/>
      <w:bookmarkStart w:id="626" w:name="_Toc240484857"/>
      <w:bookmarkStart w:id="627" w:name="_Toc240485159"/>
      <w:bookmarkStart w:id="628" w:name="_Toc240485443"/>
      <w:bookmarkStart w:id="629" w:name="_Toc240464583"/>
      <w:bookmarkStart w:id="630" w:name="_Toc240464862"/>
      <w:bookmarkStart w:id="631" w:name="_Toc240465141"/>
      <w:bookmarkStart w:id="632" w:name="_Toc240465450"/>
      <w:bookmarkStart w:id="633" w:name="_Toc240483926"/>
      <w:bookmarkStart w:id="634" w:name="_Toc240484206"/>
      <w:bookmarkStart w:id="635" w:name="_Toc240484858"/>
      <w:bookmarkStart w:id="636" w:name="_Toc240485160"/>
      <w:bookmarkStart w:id="637" w:name="_Toc240485444"/>
      <w:bookmarkStart w:id="638" w:name="_Toc240464585"/>
      <w:bookmarkStart w:id="639" w:name="_Toc240464864"/>
      <w:bookmarkStart w:id="640" w:name="_Toc240465143"/>
      <w:bookmarkStart w:id="641" w:name="_Toc240465452"/>
      <w:bookmarkStart w:id="642" w:name="_Toc240483928"/>
      <w:bookmarkStart w:id="643" w:name="_Toc240484208"/>
      <w:bookmarkStart w:id="644" w:name="_Toc240484860"/>
      <w:bookmarkStart w:id="645" w:name="_Toc240485162"/>
      <w:bookmarkStart w:id="646" w:name="_Toc240485446"/>
      <w:bookmarkStart w:id="647" w:name="_Toc240464586"/>
      <w:bookmarkStart w:id="648" w:name="_Toc240464865"/>
      <w:bookmarkStart w:id="649" w:name="_Toc240465144"/>
      <w:bookmarkStart w:id="650" w:name="_Toc240465453"/>
      <w:bookmarkStart w:id="651" w:name="_Toc240483929"/>
      <w:bookmarkStart w:id="652" w:name="_Toc240484209"/>
      <w:bookmarkStart w:id="653" w:name="_Toc240484861"/>
      <w:bookmarkStart w:id="654" w:name="_Toc240485163"/>
      <w:bookmarkStart w:id="655" w:name="_Toc240485447"/>
      <w:bookmarkStart w:id="656" w:name="_Toc240464587"/>
      <w:bookmarkStart w:id="657" w:name="_Toc240464866"/>
      <w:bookmarkStart w:id="658" w:name="_Toc240465145"/>
      <w:bookmarkStart w:id="659" w:name="_Toc240465454"/>
      <w:bookmarkStart w:id="660" w:name="_Toc240483930"/>
      <w:bookmarkStart w:id="661" w:name="_Toc240484210"/>
      <w:bookmarkStart w:id="662" w:name="_Toc240484862"/>
      <w:bookmarkStart w:id="663" w:name="_Toc240485164"/>
      <w:bookmarkStart w:id="664" w:name="_Toc240485448"/>
      <w:bookmarkStart w:id="665" w:name="_Toc240464589"/>
      <w:bookmarkStart w:id="666" w:name="_Toc240464868"/>
      <w:bookmarkStart w:id="667" w:name="_Toc240465147"/>
      <w:bookmarkStart w:id="668" w:name="_Toc240465456"/>
      <w:bookmarkStart w:id="669" w:name="_Toc240483932"/>
      <w:bookmarkStart w:id="670" w:name="_Toc240484212"/>
      <w:bookmarkStart w:id="671" w:name="_Toc240484864"/>
      <w:bookmarkStart w:id="672" w:name="_Toc240485166"/>
      <w:bookmarkStart w:id="673" w:name="_Toc240485450"/>
      <w:bookmarkStart w:id="674" w:name="_Toc240464590"/>
      <w:bookmarkStart w:id="675" w:name="_Toc240464869"/>
      <w:bookmarkStart w:id="676" w:name="_Toc240465148"/>
      <w:bookmarkStart w:id="677" w:name="_Toc240465457"/>
      <w:bookmarkStart w:id="678" w:name="_Toc240483933"/>
      <w:bookmarkStart w:id="679" w:name="_Toc240484213"/>
      <w:bookmarkStart w:id="680" w:name="_Toc240484865"/>
      <w:bookmarkStart w:id="681" w:name="_Toc240485167"/>
      <w:bookmarkStart w:id="682" w:name="_Toc240485451"/>
      <w:bookmarkStart w:id="683" w:name="_Toc240464591"/>
      <w:bookmarkStart w:id="684" w:name="_Toc240464870"/>
      <w:bookmarkStart w:id="685" w:name="_Toc240465149"/>
      <w:bookmarkStart w:id="686" w:name="_Toc240465458"/>
      <w:bookmarkStart w:id="687" w:name="_Toc240483934"/>
      <w:bookmarkStart w:id="688" w:name="_Toc240484214"/>
      <w:bookmarkStart w:id="689" w:name="_Toc240484866"/>
      <w:bookmarkStart w:id="690" w:name="_Toc240485168"/>
      <w:bookmarkStart w:id="691" w:name="_Toc240485452"/>
      <w:bookmarkStart w:id="692" w:name="_Toc240464593"/>
      <w:bookmarkStart w:id="693" w:name="_Toc240464872"/>
      <w:bookmarkStart w:id="694" w:name="_Toc240465151"/>
      <w:bookmarkStart w:id="695" w:name="_Toc240465460"/>
      <w:bookmarkStart w:id="696" w:name="_Toc240483936"/>
      <w:bookmarkStart w:id="697" w:name="_Toc240484216"/>
      <w:bookmarkStart w:id="698" w:name="_Toc240484868"/>
      <w:bookmarkStart w:id="699" w:name="_Toc240485170"/>
      <w:bookmarkStart w:id="700" w:name="_Toc240485454"/>
      <w:bookmarkStart w:id="701" w:name="_Toc240464594"/>
      <w:bookmarkStart w:id="702" w:name="_Toc240464873"/>
      <w:bookmarkStart w:id="703" w:name="_Toc240465152"/>
      <w:bookmarkStart w:id="704" w:name="_Toc240465461"/>
      <w:bookmarkStart w:id="705" w:name="_Toc240483937"/>
      <w:bookmarkStart w:id="706" w:name="_Toc240484217"/>
      <w:bookmarkStart w:id="707" w:name="_Toc240484869"/>
      <w:bookmarkStart w:id="708" w:name="_Toc240485171"/>
      <w:bookmarkStart w:id="709" w:name="_Toc240485455"/>
      <w:bookmarkStart w:id="710" w:name="_Toc240464595"/>
      <w:bookmarkStart w:id="711" w:name="_Toc240464874"/>
      <w:bookmarkStart w:id="712" w:name="_Toc240465153"/>
      <w:bookmarkStart w:id="713" w:name="_Toc240465462"/>
      <w:bookmarkStart w:id="714" w:name="_Toc240483938"/>
      <w:bookmarkStart w:id="715" w:name="_Toc240484218"/>
      <w:bookmarkStart w:id="716" w:name="_Toc240484870"/>
      <w:bookmarkStart w:id="717" w:name="_Toc240485172"/>
      <w:bookmarkStart w:id="718" w:name="_Toc240485456"/>
      <w:bookmarkStart w:id="719" w:name="_Toc240464597"/>
      <w:bookmarkStart w:id="720" w:name="_Toc240464876"/>
      <w:bookmarkStart w:id="721" w:name="_Toc240465155"/>
      <w:bookmarkStart w:id="722" w:name="_Toc240465464"/>
      <w:bookmarkStart w:id="723" w:name="_Toc240483940"/>
      <w:bookmarkStart w:id="724" w:name="_Toc240484220"/>
      <w:bookmarkStart w:id="725" w:name="_Toc240484872"/>
      <w:bookmarkStart w:id="726" w:name="_Toc240485174"/>
      <w:bookmarkStart w:id="727" w:name="_Toc240485458"/>
      <w:bookmarkStart w:id="728" w:name="_Toc240464598"/>
      <w:bookmarkStart w:id="729" w:name="_Toc240464877"/>
      <w:bookmarkStart w:id="730" w:name="_Toc240465156"/>
      <w:bookmarkStart w:id="731" w:name="_Toc240465465"/>
      <w:bookmarkStart w:id="732" w:name="_Toc240483941"/>
      <w:bookmarkStart w:id="733" w:name="_Toc240484221"/>
      <w:bookmarkStart w:id="734" w:name="_Toc240484873"/>
      <w:bookmarkStart w:id="735" w:name="_Toc240485175"/>
      <w:bookmarkStart w:id="736" w:name="_Toc240485459"/>
      <w:bookmarkStart w:id="737" w:name="_Toc240464599"/>
      <w:bookmarkStart w:id="738" w:name="_Toc240464878"/>
      <w:bookmarkStart w:id="739" w:name="_Toc240465157"/>
      <w:bookmarkStart w:id="740" w:name="_Toc240465466"/>
      <w:bookmarkStart w:id="741" w:name="_Toc240483942"/>
      <w:bookmarkStart w:id="742" w:name="_Toc240484222"/>
      <w:bookmarkStart w:id="743" w:name="_Toc240484874"/>
      <w:bookmarkStart w:id="744" w:name="_Toc240485176"/>
      <w:bookmarkStart w:id="745" w:name="_Toc240485460"/>
      <w:bookmarkStart w:id="746" w:name="_Toc240464601"/>
      <w:bookmarkStart w:id="747" w:name="_Toc240464880"/>
      <w:bookmarkStart w:id="748" w:name="_Toc240465159"/>
      <w:bookmarkStart w:id="749" w:name="_Toc240465468"/>
      <w:bookmarkStart w:id="750" w:name="_Toc240483944"/>
      <w:bookmarkStart w:id="751" w:name="_Toc240484224"/>
      <w:bookmarkStart w:id="752" w:name="_Toc240484876"/>
      <w:bookmarkStart w:id="753" w:name="_Toc240485178"/>
      <w:bookmarkStart w:id="754" w:name="_Toc240485462"/>
      <w:bookmarkStart w:id="755" w:name="_Toc240464602"/>
      <w:bookmarkStart w:id="756" w:name="_Toc240464881"/>
      <w:bookmarkStart w:id="757" w:name="_Toc240465160"/>
      <w:bookmarkStart w:id="758" w:name="_Toc240465469"/>
      <w:bookmarkStart w:id="759" w:name="_Toc240483945"/>
      <w:bookmarkStart w:id="760" w:name="_Toc240484225"/>
      <w:bookmarkStart w:id="761" w:name="_Toc240484877"/>
      <w:bookmarkStart w:id="762" w:name="_Toc240485179"/>
      <w:bookmarkStart w:id="763" w:name="_Toc240485463"/>
      <w:bookmarkStart w:id="764" w:name="_Toc240464603"/>
      <w:bookmarkStart w:id="765" w:name="_Toc240464882"/>
      <w:bookmarkStart w:id="766" w:name="_Toc240465161"/>
      <w:bookmarkStart w:id="767" w:name="_Toc240465470"/>
      <w:bookmarkStart w:id="768" w:name="_Toc240483946"/>
      <w:bookmarkStart w:id="769" w:name="_Toc240484226"/>
      <w:bookmarkStart w:id="770" w:name="_Toc240484878"/>
      <w:bookmarkStart w:id="771" w:name="_Toc240485180"/>
      <w:bookmarkStart w:id="772" w:name="_Toc240485464"/>
      <w:bookmarkStart w:id="773" w:name="_Toc240464605"/>
      <w:bookmarkStart w:id="774" w:name="_Toc240464884"/>
      <w:bookmarkStart w:id="775" w:name="_Toc240465163"/>
      <w:bookmarkStart w:id="776" w:name="_Toc240465472"/>
      <w:bookmarkStart w:id="777" w:name="_Toc240483948"/>
      <w:bookmarkStart w:id="778" w:name="_Toc240484228"/>
      <w:bookmarkStart w:id="779" w:name="_Toc240484880"/>
      <w:bookmarkStart w:id="780" w:name="_Toc240485182"/>
      <w:bookmarkStart w:id="781" w:name="_Toc240485466"/>
      <w:bookmarkStart w:id="782" w:name="_Toc240464606"/>
      <w:bookmarkStart w:id="783" w:name="_Toc240464885"/>
      <w:bookmarkStart w:id="784" w:name="_Toc240465164"/>
      <w:bookmarkStart w:id="785" w:name="_Toc240465473"/>
      <w:bookmarkStart w:id="786" w:name="_Toc240483949"/>
      <w:bookmarkStart w:id="787" w:name="_Toc240484229"/>
      <w:bookmarkStart w:id="788" w:name="_Toc240484881"/>
      <w:bookmarkStart w:id="789" w:name="_Toc240485183"/>
      <w:bookmarkStart w:id="790" w:name="_Toc240485467"/>
      <w:bookmarkStart w:id="791" w:name="_Toc240464607"/>
      <w:bookmarkStart w:id="792" w:name="_Toc240464886"/>
      <w:bookmarkStart w:id="793" w:name="_Toc240465165"/>
      <w:bookmarkStart w:id="794" w:name="_Toc240465474"/>
      <w:bookmarkStart w:id="795" w:name="_Toc240483950"/>
      <w:bookmarkStart w:id="796" w:name="_Toc240484230"/>
      <w:bookmarkStart w:id="797" w:name="_Toc240484882"/>
      <w:bookmarkStart w:id="798" w:name="_Toc240485184"/>
      <w:bookmarkStart w:id="799" w:name="_Toc240485468"/>
      <w:bookmarkStart w:id="800" w:name="_Toc240464609"/>
      <w:bookmarkStart w:id="801" w:name="_Toc240464888"/>
      <w:bookmarkStart w:id="802" w:name="_Toc240465167"/>
      <w:bookmarkStart w:id="803" w:name="_Toc240465476"/>
      <w:bookmarkStart w:id="804" w:name="_Toc240483952"/>
      <w:bookmarkStart w:id="805" w:name="_Toc240484232"/>
      <w:bookmarkStart w:id="806" w:name="_Toc240484884"/>
      <w:bookmarkStart w:id="807" w:name="_Toc240485186"/>
      <w:bookmarkStart w:id="808" w:name="_Toc240485470"/>
      <w:bookmarkStart w:id="809" w:name="_Toc240464610"/>
      <w:bookmarkStart w:id="810" w:name="_Toc240464889"/>
      <w:bookmarkStart w:id="811" w:name="_Toc240465168"/>
      <w:bookmarkStart w:id="812" w:name="_Toc240465477"/>
      <w:bookmarkStart w:id="813" w:name="_Toc240483953"/>
      <w:bookmarkStart w:id="814" w:name="_Toc240484233"/>
      <w:bookmarkStart w:id="815" w:name="_Toc240484885"/>
      <w:bookmarkStart w:id="816" w:name="_Toc240485187"/>
      <w:bookmarkStart w:id="817" w:name="_Toc240485471"/>
      <w:bookmarkStart w:id="818" w:name="_Toc240464611"/>
      <w:bookmarkStart w:id="819" w:name="_Toc240464890"/>
      <w:bookmarkStart w:id="820" w:name="_Toc240465169"/>
      <w:bookmarkStart w:id="821" w:name="_Toc240465478"/>
      <w:bookmarkStart w:id="822" w:name="_Toc240483954"/>
      <w:bookmarkStart w:id="823" w:name="_Toc240484234"/>
      <w:bookmarkStart w:id="824" w:name="_Toc240484886"/>
      <w:bookmarkStart w:id="825" w:name="_Toc240485188"/>
      <w:bookmarkStart w:id="826" w:name="_Toc240485472"/>
      <w:bookmarkStart w:id="827" w:name="_Toc240464613"/>
      <w:bookmarkStart w:id="828" w:name="_Toc240464892"/>
      <w:bookmarkStart w:id="829" w:name="_Toc240465171"/>
      <w:bookmarkStart w:id="830" w:name="_Toc240465480"/>
      <w:bookmarkStart w:id="831" w:name="_Toc240483956"/>
      <w:bookmarkStart w:id="832" w:name="_Toc240484236"/>
      <w:bookmarkStart w:id="833" w:name="_Toc240484888"/>
      <w:bookmarkStart w:id="834" w:name="_Toc240485190"/>
      <w:bookmarkStart w:id="835" w:name="_Toc240485474"/>
      <w:bookmarkStart w:id="836" w:name="_Toc240464614"/>
      <w:bookmarkStart w:id="837" w:name="_Toc240464893"/>
      <w:bookmarkStart w:id="838" w:name="_Toc240465172"/>
      <w:bookmarkStart w:id="839" w:name="_Toc240465481"/>
      <w:bookmarkStart w:id="840" w:name="_Toc240483957"/>
      <w:bookmarkStart w:id="841" w:name="_Toc240484237"/>
      <w:bookmarkStart w:id="842" w:name="_Toc240484889"/>
      <w:bookmarkStart w:id="843" w:name="_Toc240485191"/>
      <w:bookmarkStart w:id="844" w:name="_Toc240485475"/>
      <w:bookmarkStart w:id="845" w:name="_Toc240464615"/>
      <w:bookmarkStart w:id="846" w:name="_Toc240464894"/>
      <w:bookmarkStart w:id="847" w:name="_Toc240465173"/>
      <w:bookmarkStart w:id="848" w:name="_Toc240465482"/>
      <w:bookmarkStart w:id="849" w:name="_Toc240483958"/>
      <w:bookmarkStart w:id="850" w:name="_Toc240484238"/>
      <w:bookmarkStart w:id="851" w:name="_Toc240484890"/>
      <w:bookmarkStart w:id="852" w:name="_Toc240485192"/>
      <w:bookmarkStart w:id="853" w:name="_Toc240485476"/>
      <w:bookmarkStart w:id="854" w:name="_Toc240464617"/>
      <w:bookmarkStart w:id="855" w:name="_Toc240464896"/>
      <w:bookmarkStart w:id="856" w:name="_Toc240465175"/>
      <w:bookmarkStart w:id="857" w:name="_Toc240465484"/>
      <w:bookmarkStart w:id="858" w:name="_Toc240483960"/>
      <w:bookmarkStart w:id="859" w:name="_Toc240484240"/>
      <w:bookmarkStart w:id="860" w:name="_Toc240484892"/>
      <w:bookmarkStart w:id="861" w:name="_Toc240485194"/>
      <w:bookmarkStart w:id="862" w:name="_Toc240485478"/>
      <w:bookmarkStart w:id="863" w:name="_Toc240464618"/>
      <w:bookmarkStart w:id="864" w:name="_Toc240464897"/>
      <w:bookmarkStart w:id="865" w:name="_Toc240465176"/>
      <w:bookmarkStart w:id="866" w:name="_Toc240465485"/>
      <w:bookmarkStart w:id="867" w:name="_Toc240483961"/>
      <w:bookmarkStart w:id="868" w:name="_Toc240484241"/>
      <w:bookmarkStart w:id="869" w:name="_Toc240484893"/>
      <w:bookmarkStart w:id="870" w:name="_Toc240485195"/>
      <w:bookmarkStart w:id="871" w:name="_Toc240485479"/>
      <w:bookmarkStart w:id="872" w:name="_Toc240464619"/>
      <w:bookmarkStart w:id="873" w:name="_Toc240464898"/>
      <w:bookmarkStart w:id="874" w:name="_Toc240465177"/>
      <w:bookmarkStart w:id="875" w:name="_Toc240465486"/>
      <w:bookmarkStart w:id="876" w:name="_Toc240483962"/>
      <w:bookmarkStart w:id="877" w:name="_Toc240484242"/>
      <w:bookmarkStart w:id="878" w:name="_Toc240484894"/>
      <w:bookmarkStart w:id="879" w:name="_Toc240485196"/>
      <w:bookmarkStart w:id="880" w:name="_Toc240485480"/>
      <w:bookmarkStart w:id="881" w:name="_Toc240464621"/>
      <w:bookmarkStart w:id="882" w:name="_Toc240464900"/>
      <w:bookmarkStart w:id="883" w:name="_Toc240465179"/>
      <w:bookmarkStart w:id="884" w:name="_Toc240465488"/>
      <w:bookmarkStart w:id="885" w:name="_Toc240483964"/>
      <w:bookmarkStart w:id="886" w:name="_Toc240484244"/>
      <w:bookmarkStart w:id="887" w:name="_Toc240484896"/>
      <w:bookmarkStart w:id="888" w:name="_Toc240485198"/>
      <w:bookmarkStart w:id="889" w:name="_Toc240485482"/>
      <w:bookmarkStart w:id="890" w:name="_Toc240464622"/>
      <w:bookmarkStart w:id="891" w:name="_Toc240464901"/>
      <w:bookmarkStart w:id="892" w:name="_Toc240465180"/>
      <w:bookmarkStart w:id="893" w:name="_Toc240465489"/>
      <w:bookmarkStart w:id="894" w:name="_Toc240483965"/>
      <w:bookmarkStart w:id="895" w:name="_Toc240484245"/>
      <w:bookmarkStart w:id="896" w:name="_Toc240484897"/>
      <w:bookmarkStart w:id="897" w:name="_Toc240485199"/>
      <w:bookmarkStart w:id="898" w:name="_Toc240485483"/>
      <w:bookmarkStart w:id="899" w:name="_Toc240464623"/>
      <w:bookmarkStart w:id="900" w:name="_Toc240464902"/>
      <w:bookmarkStart w:id="901" w:name="_Toc240465181"/>
      <w:bookmarkStart w:id="902" w:name="_Toc240465490"/>
      <w:bookmarkStart w:id="903" w:name="_Toc240483966"/>
      <w:bookmarkStart w:id="904" w:name="_Toc240484246"/>
      <w:bookmarkStart w:id="905" w:name="_Toc240484898"/>
      <w:bookmarkStart w:id="906" w:name="_Toc240485200"/>
      <w:bookmarkStart w:id="907" w:name="_Toc240485484"/>
      <w:bookmarkStart w:id="908" w:name="_Toc240464625"/>
      <w:bookmarkStart w:id="909" w:name="_Toc240464904"/>
      <w:bookmarkStart w:id="910" w:name="_Toc240465183"/>
      <w:bookmarkStart w:id="911" w:name="_Toc240465492"/>
      <w:bookmarkStart w:id="912" w:name="_Toc240483968"/>
      <w:bookmarkStart w:id="913" w:name="_Toc240484248"/>
      <w:bookmarkStart w:id="914" w:name="_Toc240484900"/>
      <w:bookmarkStart w:id="915" w:name="_Toc240485202"/>
      <w:bookmarkStart w:id="916" w:name="_Toc240485486"/>
      <w:bookmarkStart w:id="917" w:name="_Toc240464626"/>
      <w:bookmarkStart w:id="918" w:name="_Toc240464905"/>
      <w:bookmarkStart w:id="919" w:name="_Toc240465184"/>
      <w:bookmarkStart w:id="920" w:name="_Toc240465493"/>
      <w:bookmarkStart w:id="921" w:name="_Toc240483969"/>
      <w:bookmarkStart w:id="922" w:name="_Toc240484249"/>
      <w:bookmarkStart w:id="923" w:name="_Toc240484901"/>
      <w:bookmarkStart w:id="924" w:name="_Toc240485203"/>
      <w:bookmarkStart w:id="925" w:name="_Toc240485487"/>
      <w:bookmarkStart w:id="926" w:name="_Toc240464627"/>
      <w:bookmarkStart w:id="927" w:name="_Toc240464906"/>
      <w:bookmarkStart w:id="928" w:name="_Toc240465185"/>
      <w:bookmarkStart w:id="929" w:name="_Toc240465494"/>
      <w:bookmarkStart w:id="930" w:name="_Toc240483970"/>
      <w:bookmarkStart w:id="931" w:name="_Toc240484250"/>
      <w:bookmarkStart w:id="932" w:name="_Toc240484902"/>
      <w:bookmarkStart w:id="933" w:name="_Toc240485204"/>
      <w:bookmarkStart w:id="934" w:name="_Toc240485488"/>
      <w:bookmarkStart w:id="935" w:name="_Toc240464629"/>
      <w:bookmarkStart w:id="936" w:name="_Toc240464908"/>
      <w:bookmarkStart w:id="937" w:name="_Toc240465187"/>
      <w:bookmarkStart w:id="938" w:name="_Toc240465496"/>
      <w:bookmarkStart w:id="939" w:name="_Toc240483972"/>
      <w:bookmarkStart w:id="940" w:name="_Toc240484252"/>
      <w:bookmarkStart w:id="941" w:name="_Toc240484904"/>
      <w:bookmarkStart w:id="942" w:name="_Toc240485206"/>
      <w:bookmarkStart w:id="943" w:name="_Toc240485490"/>
      <w:bookmarkStart w:id="944" w:name="_Toc240464630"/>
      <w:bookmarkStart w:id="945" w:name="_Toc240464909"/>
      <w:bookmarkStart w:id="946" w:name="_Toc240465188"/>
      <w:bookmarkStart w:id="947" w:name="_Toc240465497"/>
      <w:bookmarkStart w:id="948" w:name="_Toc240483973"/>
      <w:bookmarkStart w:id="949" w:name="_Toc240484253"/>
      <w:bookmarkStart w:id="950" w:name="_Toc240484905"/>
      <w:bookmarkStart w:id="951" w:name="_Toc240485207"/>
      <w:bookmarkStart w:id="952" w:name="_Toc240485491"/>
      <w:bookmarkStart w:id="953" w:name="_Toc240464631"/>
      <w:bookmarkStart w:id="954" w:name="_Toc240464910"/>
      <w:bookmarkStart w:id="955" w:name="_Toc240465189"/>
      <w:bookmarkStart w:id="956" w:name="_Toc240465498"/>
      <w:bookmarkStart w:id="957" w:name="_Toc240483974"/>
      <w:bookmarkStart w:id="958" w:name="_Toc240484254"/>
      <w:bookmarkStart w:id="959" w:name="_Toc240484906"/>
      <w:bookmarkStart w:id="960" w:name="_Toc240485208"/>
      <w:bookmarkStart w:id="961" w:name="_Toc240485492"/>
      <w:bookmarkStart w:id="962" w:name="_Toc240464633"/>
      <w:bookmarkStart w:id="963" w:name="_Toc240464912"/>
      <w:bookmarkStart w:id="964" w:name="_Toc240465191"/>
      <w:bookmarkStart w:id="965" w:name="_Toc240465500"/>
      <w:bookmarkStart w:id="966" w:name="_Toc240483976"/>
      <w:bookmarkStart w:id="967" w:name="_Toc240484256"/>
      <w:bookmarkStart w:id="968" w:name="_Toc240484908"/>
      <w:bookmarkStart w:id="969" w:name="_Toc240485210"/>
      <w:bookmarkStart w:id="970" w:name="_Toc240485494"/>
      <w:bookmarkStart w:id="971" w:name="_Toc240464634"/>
      <w:bookmarkStart w:id="972" w:name="_Toc240464913"/>
      <w:bookmarkStart w:id="973" w:name="_Toc240465192"/>
      <w:bookmarkStart w:id="974" w:name="_Toc240465501"/>
      <w:bookmarkStart w:id="975" w:name="_Toc240483977"/>
      <w:bookmarkStart w:id="976" w:name="_Toc240484257"/>
      <w:bookmarkStart w:id="977" w:name="_Toc240484909"/>
      <w:bookmarkStart w:id="978" w:name="_Toc240485211"/>
      <w:bookmarkStart w:id="979" w:name="_Toc240485495"/>
      <w:bookmarkStart w:id="980" w:name="_Toc240464635"/>
      <w:bookmarkStart w:id="981" w:name="_Toc240464914"/>
      <w:bookmarkStart w:id="982" w:name="_Toc240465193"/>
      <w:bookmarkStart w:id="983" w:name="_Toc240465502"/>
      <w:bookmarkStart w:id="984" w:name="_Toc240483978"/>
      <w:bookmarkStart w:id="985" w:name="_Toc240484258"/>
      <w:bookmarkStart w:id="986" w:name="_Toc240484910"/>
      <w:bookmarkStart w:id="987" w:name="_Toc240485212"/>
      <w:bookmarkStart w:id="988" w:name="_Toc240485496"/>
      <w:bookmarkStart w:id="989" w:name="_Toc240464637"/>
      <w:bookmarkStart w:id="990" w:name="_Toc240464916"/>
      <w:bookmarkStart w:id="991" w:name="_Toc240465195"/>
      <w:bookmarkStart w:id="992" w:name="_Toc240465504"/>
      <w:bookmarkStart w:id="993" w:name="_Toc240483980"/>
      <w:bookmarkStart w:id="994" w:name="_Toc240484260"/>
      <w:bookmarkStart w:id="995" w:name="_Toc240484912"/>
      <w:bookmarkStart w:id="996" w:name="_Toc240485214"/>
      <w:bookmarkStart w:id="997" w:name="_Toc240485498"/>
      <w:bookmarkStart w:id="998" w:name="_Toc240464638"/>
      <w:bookmarkStart w:id="999" w:name="_Toc240464917"/>
      <w:bookmarkStart w:id="1000" w:name="_Toc240465196"/>
      <w:bookmarkStart w:id="1001" w:name="_Toc240465505"/>
      <w:bookmarkStart w:id="1002" w:name="_Toc240483981"/>
      <w:bookmarkStart w:id="1003" w:name="_Toc240484261"/>
      <w:bookmarkStart w:id="1004" w:name="_Toc240484913"/>
      <w:bookmarkStart w:id="1005" w:name="_Toc240485215"/>
      <w:bookmarkStart w:id="1006" w:name="_Toc240485499"/>
      <w:bookmarkStart w:id="1007" w:name="_Toc240464639"/>
      <w:bookmarkStart w:id="1008" w:name="_Toc240464918"/>
      <w:bookmarkStart w:id="1009" w:name="_Toc240465197"/>
      <w:bookmarkStart w:id="1010" w:name="_Toc240465506"/>
      <w:bookmarkStart w:id="1011" w:name="_Toc240483982"/>
      <w:bookmarkStart w:id="1012" w:name="_Toc240484262"/>
      <w:bookmarkStart w:id="1013" w:name="_Toc240484914"/>
      <w:bookmarkStart w:id="1014" w:name="_Toc240485216"/>
      <w:bookmarkStart w:id="1015" w:name="_Toc240485500"/>
      <w:bookmarkStart w:id="1016" w:name="_Toc240464641"/>
      <w:bookmarkStart w:id="1017" w:name="_Toc240464920"/>
      <w:bookmarkStart w:id="1018" w:name="_Toc240465199"/>
      <w:bookmarkStart w:id="1019" w:name="_Toc240465508"/>
      <w:bookmarkStart w:id="1020" w:name="_Toc240483984"/>
      <w:bookmarkStart w:id="1021" w:name="_Toc240484264"/>
      <w:bookmarkStart w:id="1022" w:name="_Toc240484916"/>
      <w:bookmarkStart w:id="1023" w:name="_Toc240485218"/>
      <w:bookmarkStart w:id="1024" w:name="_Toc240485502"/>
      <w:bookmarkStart w:id="1025" w:name="_Toc240464642"/>
      <w:bookmarkStart w:id="1026" w:name="_Toc240464921"/>
      <w:bookmarkStart w:id="1027" w:name="_Toc240465200"/>
      <w:bookmarkStart w:id="1028" w:name="_Toc240465509"/>
      <w:bookmarkStart w:id="1029" w:name="_Toc240483985"/>
      <w:bookmarkStart w:id="1030" w:name="_Toc240484265"/>
      <w:bookmarkStart w:id="1031" w:name="_Toc240484917"/>
      <w:bookmarkStart w:id="1032" w:name="_Toc240485219"/>
      <w:bookmarkStart w:id="1033" w:name="_Toc240485503"/>
      <w:bookmarkStart w:id="1034" w:name="_Toc240464643"/>
      <w:bookmarkStart w:id="1035" w:name="_Toc240464922"/>
      <w:bookmarkStart w:id="1036" w:name="_Toc240465201"/>
      <w:bookmarkStart w:id="1037" w:name="_Toc240465510"/>
      <w:bookmarkStart w:id="1038" w:name="_Toc240483986"/>
      <w:bookmarkStart w:id="1039" w:name="_Toc240484266"/>
      <w:bookmarkStart w:id="1040" w:name="_Toc240484918"/>
      <w:bookmarkStart w:id="1041" w:name="_Toc240485220"/>
      <w:bookmarkStart w:id="1042" w:name="_Toc240485504"/>
      <w:bookmarkStart w:id="1043" w:name="_Toc240464645"/>
      <w:bookmarkStart w:id="1044" w:name="_Toc240464924"/>
      <w:bookmarkStart w:id="1045" w:name="_Toc240465203"/>
      <w:bookmarkStart w:id="1046" w:name="_Toc240465512"/>
      <w:bookmarkStart w:id="1047" w:name="_Toc240483988"/>
      <w:bookmarkStart w:id="1048" w:name="_Toc240484268"/>
      <w:bookmarkStart w:id="1049" w:name="_Toc240484920"/>
      <w:bookmarkStart w:id="1050" w:name="_Toc240485222"/>
      <w:bookmarkStart w:id="1051" w:name="_Toc240485506"/>
      <w:bookmarkStart w:id="1052" w:name="_Toc240464646"/>
      <w:bookmarkStart w:id="1053" w:name="_Toc240464925"/>
      <w:bookmarkStart w:id="1054" w:name="_Toc240465204"/>
      <w:bookmarkStart w:id="1055" w:name="_Toc240465513"/>
      <w:bookmarkStart w:id="1056" w:name="_Toc240483989"/>
      <w:bookmarkStart w:id="1057" w:name="_Toc240484269"/>
      <w:bookmarkStart w:id="1058" w:name="_Toc240484921"/>
      <w:bookmarkStart w:id="1059" w:name="_Toc240485223"/>
      <w:bookmarkStart w:id="1060" w:name="_Toc240485507"/>
      <w:bookmarkStart w:id="1061" w:name="_Toc240464647"/>
      <w:bookmarkStart w:id="1062" w:name="_Toc240464926"/>
      <w:bookmarkStart w:id="1063" w:name="_Toc240465205"/>
      <w:bookmarkStart w:id="1064" w:name="_Toc240465514"/>
      <w:bookmarkStart w:id="1065" w:name="_Toc240483990"/>
      <w:bookmarkStart w:id="1066" w:name="_Toc240484270"/>
      <w:bookmarkStart w:id="1067" w:name="_Toc240484922"/>
      <w:bookmarkStart w:id="1068" w:name="_Toc240485224"/>
      <w:bookmarkStart w:id="1069" w:name="_Toc240485508"/>
      <w:bookmarkStart w:id="1070" w:name="_Toc240464649"/>
      <w:bookmarkStart w:id="1071" w:name="_Toc240464928"/>
      <w:bookmarkStart w:id="1072" w:name="_Toc240465207"/>
      <w:bookmarkStart w:id="1073" w:name="_Toc240465516"/>
      <w:bookmarkStart w:id="1074" w:name="_Toc240483992"/>
      <w:bookmarkStart w:id="1075" w:name="_Toc240484272"/>
      <w:bookmarkStart w:id="1076" w:name="_Toc240484924"/>
      <w:bookmarkStart w:id="1077" w:name="_Toc240485226"/>
      <w:bookmarkStart w:id="1078" w:name="_Toc240485510"/>
      <w:bookmarkStart w:id="1079" w:name="_Toc240464650"/>
      <w:bookmarkStart w:id="1080" w:name="_Toc240464929"/>
      <w:bookmarkStart w:id="1081" w:name="_Toc240465208"/>
      <w:bookmarkStart w:id="1082" w:name="_Toc240465517"/>
      <w:bookmarkStart w:id="1083" w:name="_Toc240483993"/>
      <w:bookmarkStart w:id="1084" w:name="_Toc240484273"/>
      <w:bookmarkStart w:id="1085" w:name="_Toc240484925"/>
      <w:bookmarkStart w:id="1086" w:name="_Toc240485227"/>
      <w:bookmarkStart w:id="1087" w:name="_Toc240485511"/>
      <w:bookmarkStart w:id="1088" w:name="_Toc240464651"/>
      <w:bookmarkStart w:id="1089" w:name="_Toc240464930"/>
      <w:bookmarkStart w:id="1090" w:name="_Toc240465209"/>
      <w:bookmarkStart w:id="1091" w:name="_Toc240465518"/>
      <w:bookmarkStart w:id="1092" w:name="_Toc240483994"/>
      <w:bookmarkStart w:id="1093" w:name="_Toc240484274"/>
      <w:bookmarkStart w:id="1094" w:name="_Toc240484926"/>
      <w:bookmarkStart w:id="1095" w:name="_Toc240485228"/>
      <w:bookmarkStart w:id="1096" w:name="_Toc240485512"/>
      <w:bookmarkStart w:id="1097" w:name="_Toc240464653"/>
      <w:bookmarkStart w:id="1098" w:name="_Toc240464932"/>
      <w:bookmarkStart w:id="1099" w:name="_Toc240465211"/>
      <w:bookmarkStart w:id="1100" w:name="_Toc240465520"/>
      <w:bookmarkStart w:id="1101" w:name="_Toc240483996"/>
      <w:bookmarkStart w:id="1102" w:name="_Toc240484276"/>
      <w:bookmarkStart w:id="1103" w:name="_Toc240484928"/>
      <w:bookmarkStart w:id="1104" w:name="_Toc240485230"/>
      <w:bookmarkStart w:id="1105" w:name="_Toc240485514"/>
      <w:bookmarkStart w:id="1106" w:name="_Toc240464654"/>
      <w:bookmarkStart w:id="1107" w:name="_Toc240464933"/>
      <w:bookmarkStart w:id="1108" w:name="_Toc240465212"/>
      <w:bookmarkStart w:id="1109" w:name="_Toc240465521"/>
      <w:bookmarkStart w:id="1110" w:name="_Toc240483997"/>
      <w:bookmarkStart w:id="1111" w:name="_Toc240484277"/>
      <w:bookmarkStart w:id="1112" w:name="_Toc240484929"/>
      <w:bookmarkStart w:id="1113" w:name="_Toc240485231"/>
      <w:bookmarkStart w:id="1114" w:name="_Toc240485515"/>
      <w:bookmarkStart w:id="1115" w:name="_Toc240464655"/>
      <w:bookmarkStart w:id="1116" w:name="_Toc240464934"/>
      <w:bookmarkStart w:id="1117" w:name="_Toc240465213"/>
      <w:bookmarkStart w:id="1118" w:name="_Toc240465522"/>
      <w:bookmarkStart w:id="1119" w:name="_Toc240483998"/>
      <w:bookmarkStart w:id="1120" w:name="_Toc240484278"/>
      <w:bookmarkStart w:id="1121" w:name="_Toc240484930"/>
      <w:bookmarkStart w:id="1122" w:name="_Toc240485232"/>
      <w:bookmarkStart w:id="1123" w:name="_Toc240485516"/>
      <w:bookmarkStart w:id="1124" w:name="_Toc240464657"/>
      <w:bookmarkStart w:id="1125" w:name="_Toc240464936"/>
      <w:bookmarkStart w:id="1126" w:name="_Toc240465215"/>
      <w:bookmarkStart w:id="1127" w:name="_Toc240465524"/>
      <w:bookmarkStart w:id="1128" w:name="_Toc240484000"/>
      <w:bookmarkStart w:id="1129" w:name="_Toc240484280"/>
      <w:bookmarkStart w:id="1130" w:name="_Toc240484932"/>
      <w:bookmarkStart w:id="1131" w:name="_Toc240485234"/>
      <w:bookmarkStart w:id="1132" w:name="_Toc240485518"/>
      <w:bookmarkStart w:id="1133" w:name="_Toc240464658"/>
      <w:bookmarkStart w:id="1134" w:name="_Toc240464937"/>
      <w:bookmarkStart w:id="1135" w:name="_Toc240465216"/>
      <w:bookmarkStart w:id="1136" w:name="_Toc240465525"/>
      <w:bookmarkStart w:id="1137" w:name="_Toc240484001"/>
      <w:bookmarkStart w:id="1138" w:name="_Toc240484281"/>
      <w:bookmarkStart w:id="1139" w:name="_Toc240484933"/>
      <w:bookmarkStart w:id="1140" w:name="_Toc240485235"/>
      <w:bookmarkStart w:id="1141" w:name="_Toc240485519"/>
      <w:bookmarkStart w:id="1142" w:name="_Toc240464659"/>
      <w:bookmarkStart w:id="1143" w:name="_Toc240464938"/>
      <w:bookmarkStart w:id="1144" w:name="_Toc240465217"/>
      <w:bookmarkStart w:id="1145" w:name="_Toc240465526"/>
      <w:bookmarkStart w:id="1146" w:name="_Toc240484002"/>
      <w:bookmarkStart w:id="1147" w:name="_Toc240484282"/>
      <w:bookmarkStart w:id="1148" w:name="_Toc240484934"/>
      <w:bookmarkStart w:id="1149" w:name="_Toc240485236"/>
      <w:bookmarkStart w:id="1150" w:name="_Toc240485520"/>
      <w:bookmarkStart w:id="1151" w:name="_Toc240464661"/>
      <w:bookmarkStart w:id="1152" w:name="_Toc240464940"/>
      <w:bookmarkStart w:id="1153" w:name="_Toc240465219"/>
      <w:bookmarkStart w:id="1154" w:name="_Toc240465528"/>
      <w:bookmarkStart w:id="1155" w:name="_Toc240484004"/>
      <w:bookmarkStart w:id="1156" w:name="_Toc240484284"/>
      <w:bookmarkStart w:id="1157" w:name="_Toc240484936"/>
      <w:bookmarkStart w:id="1158" w:name="_Toc240485238"/>
      <w:bookmarkStart w:id="1159" w:name="_Toc240485522"/>
      <w:bookmarkStart w:id="1160" w:name="_Toc240464662"/>
      <w:bookmarkStart w:id="1161" w:name="_Toc240464941"/>
      <w:bookmarkStart w:id="1162" w:name="_Toc240465220"/>
      <w:bookmarkStart w:id="1163" w:name="_Toc240465529"/>
      <w:bookmarkStart w:id="1164" w:name="_Toc240484005"/>
      <w:bookmarkStart w:id="1165" w:name="_Toc240484285"/>
      <w:bookmarkStart w:id="1166" w:name="_Toc240484937"/>
      <w:bookmarkStart w:id="1167" w:name="_Toc240485239"/>
      <w:bookmarkStart w:id="1168" w:name="_Toc240485523"/>
      <w:bookmarkStart w:id="1169" w:name="_Toc240464663"/>
      <w:bookmarkStart w:id="1170" w:name="_Toc240464942"/>
      <w:bookmarkStart w:id="1171" w:name="_Toc240465221"/>
      <w:bookmarkStart w:id="1172" w:name="_Toc240465530"/>
      <w:bookmarkStart w:id="1173" w:name="_Toc240484006"/>
      <w:bookmarkStart w:id="1174" w:name="_Toc240484286"/>
      <w:bookmarkStart w:id="1175" w:name="_Toc240484938"/>
      <w:bookmarkStart w:id="1176" w:name="_Toc240485240"/>
      <w:bookmarkStart w:id="1177" w:name="_Toc240485524"/>
      <w:bookmarkStart w:id="1178" w:name="_Toc240464665"/>
      <w:bookmarkStart w:id="1179" w:name="_Toc240464944"/>
      <w:bookmarkStart w:id="1180" w:name="_Toc240465223"/>
      <w:bookmarkStart w:id="1181" w:name="_Toc240465532"/>
      <w:bookmarkStart w:id="1182" w:name="_Toc240484008"/>
      <w:bookmarkStart w:id="1183" w:name="_Toc240484288"/>
      <w:bookmarkStart w:id="1184" w:name="_Toc240484940"/>
      <w:bookmarkStart w:id="1185" w:name="_Toc240485242"/>
      <w:bookmarkStart w:id="1186" w:name="_Toc240485526"/>
      <w:bookmarkStart w:id="1187" w:name="_Toc240464666"/>
      <w:bookmarkStart w:id="1188" w:name="_Toc240464945"/>
      <w:bookmarkStart w:id="1189" w:name="_Toc240465224"/>
      <w:bookmarkStart w:id="1190" w:name="_Toc240465533"/>
      <w:bookmarkStart w:id="1191" w:name="_Toc240484009"/>
      <w:bookmarkStart w:id="1192" w:name="_Toc240484289"/>
      <w:bookmarkStart w:id="1193" w:name="_Toc240484941"/>
      <w:bookmarkStart w:id="1194" w:name="_Toc240485243"/>
      <w:bookmarkStart w:id="1195" w:name="_Toc240485527"/>
      <w:bookmarkStart w:id="1196" w:name="_Toc240464667"/>
      <w:bookmarkStart w:id="1197" w:name="_Toc240464946"/>
      <w:bookmarkStart w:id="1198" w:name="_Toc240465225"/>
      <w:bookmarkStart w:id="1199" w:name="_Toc240465534"/>
      <w:bookmarkStart w:id="1200" w:name="_Toc240484010"/>
      <w:bookmarkStart w:id="1201" w:name="_Toc240484290"/>
      <w:bookmarkStart w:id="1202" w:name="_Toc240484942"/>
      <w:bookmarkStart w:id="1203" w:name="_Toc240485244"/>
      <w:bookmarkStart w:id="1204" w:name="_Toc240485528"/>
      <w:bookmarkStart w:id="1205" w:name="_Toc240464669"/>
      <w:bookmarkStart w:id="1206" w:name="_Toc240464948"/>
      <w:bookmarkStart w:id="1207" w:name="_Toc240465227"/>
      <w:bookmarkStart w:id="1208" w:name="_Toc240465536"/>
      <w:bookmarkStart w:id="1209" w:name="_Toc240484012"/>
      <w:bookmarkStart w:id="1210" w:name="_Toc240484292"/>
      <w:bookmarkStart w:id="1211" w:name="_Toc240484944"/>
      <w:bookmarkStart w:id="1212" w:name="_Toc240485246"/>
      <w:bookmarkStart w:id="1213" w:name="_Toc240485530"/>
      <w:bookmarkStart w:id="1214" w:name="_Toc240464670"/>
      <w:bookmarkStart w:id="1215" w:name="_Toc240464949"/>
      <w:bookmarkStart w:id="1216" w:name="_Toc240465228"/>
      <w:bookmarkStart w:id="1217" w:name="_Toc240465537"/>
      <w:bookmarkStart w:id="1218" w:name="_Toc240484013"/>
      <w:bookmarkStart w:id="1219" w:name="_Toc240484293"/>
      <w:bookmarkStart w:id="1220" w:name="_Toc240484945"/>
      <w:bookmarkStart w:id="1221" w:name="_Toc240485247"/>
      <w:bookmarkStart w:id="1222" w:name="_Toc240485531"/>
      <w:bookmarkStart w:id="1223" w:name="_Toc240464671"/>
      <w:bookmarkStart w:id="1224" w:name="_Toc240464950"/>
      <w:bookmarkStart w:id="1225" w:name="_Toc240465229"/>
      <w:bookmarkStart w:id="1226" w:name="_Toc240465538"/>
      <w:bookmarkStart w:id="1227" w:name="_Toc240484014"/>
      <w:bookmarkStart w:id="1228" w:name="_Toc240484294"/>
      <w:bookmarkStart w:id="1229" w:name="_Toc240484946"/>
      <w:bookmarkStart w:id="1230" w:name="_Toc240485248"/>
      <w:bookmarkStart w:id="1231" w:name="_Toc240485532"/>
      <w:bookmarkStart w:id="1232" w:name="_Toc240464673"/>
      <w:bookmarkStart w:id="1233" w:name="_Toc240464952"/>
      <w:bookmarkStart w:id="1234" w:name="_Toc240465231"/>
      <w:bookmarkStart w:id="1235" w:name="_Toc240465540"/>
      <w:bookmarkStart w:id="1236" w:name="_Toc240484016"/>
      <w:bookmarkStart w:id="1237" w:name="_Toc240484296"/>
      <w:bookmarkStart w:id="1238" w:name="_Toc240484948"/>
      <w:bookmarkStart w:id="1239" w:name="_Toc240485250"/>
      <w:bookmarkStart w:id="1240" w:name="_Toc240485534"/>
      <w:bookmarkStart w:id="1241" w:name="_Toc240464674"/>
      <w:bookmarkStart w:id="1242" w:name="_Toc240464953"/>
      <w:bookmarkStart w:id="1243" w:name="_Toc240465232"/>
      <w:bookmarkStart w:id="1244" w:name="_Toc240465541"/>
      <w:bookmarkStart w:id="1245" w:name="_Toc240484017"/>
      <w:bookmarkStart w:id="1246" w:name="_Toc240484297"/>
      <w:bookmarkStart w:id="1247" w:name="_Toc240484949"/>
      <w:bookmarkStart w:id="1248" w:name="_Toc240485251"/>
      <w:bookmarkStart w:id="1249" w:name="_Toc240485535"/>
      <w:bookmarkStart w:id="1250" w:name="_Toc240464675"/>
      <w:bookmarkStart w:id="1251" w:name="_Toc240464954"/>
      <w:bookmarkStart w:id="1252" w:name="_Toc240465233"/>
      <w:bookmarkStart w:id="1253" w:name="_Toc240465542"/>
      <w:bookmarkStart w:id="1254" w:name="_Toc240484018"/>
      <w:bookmarkStart w:id="1255" w:name="_Toc240484298"/>
      <w:bookmarkStart w:id="1256" w:name="_Toc240484950"/>
      <w:bookmarkStart w:id="1257" w:name="_Toc240485252"/>
      <w:bookmarkStart w:id="1258" w:name="_Toc240485536"/>
      <w:bookmarkStart w:id="1259" w:name="_Toc240464677"/>
      <w:bookmarkStart w:id="1260" w:name="_Toc240464956"/>
      <w:bookmarkStart w:id="1261" w:name="_Toc240465235"/>
      <w:bookmarkStart w:id="1262" w:name="_Toc240465544"/>
      <w:bookmarkStart w:id="1263" w:name="_Toc240484020"/>
      <w:bookmarkStart w:id="1264" w:name="_Toc240484300"/>
      <w:bookmarkStart w:id="1265" w:name="_Toc240484952"/>
      <w:bookmarkStart w:id="1266" w:name="_Toc240485254"/>
      <w:bookmarkStart w:id="1267" w:name="_Toc240485538"/>
      <w:bookmarkStart w:id="1268" w:name="_Toc240464678"/>
      <w:bookmarkStart w:id="1269" w:name="_Toc240464957"/>
      <w:bookmarkStart w:id="1270" w:name="_Toc240465236"/>
      <w:bookmarkStart w:id="1271" w:name="_Toc240465545"/>
      <w:bookmarkStart w:id="1272" w:name="_Toc240484021"/>
      <w:bookmarkStart w:id="1273" w:name="_Toc240484301"/>
      <w:bookmarkStart w:id="1274" w:name="_Toc240484953"/>
      <w:bookmarkStart w:id="1275" w:name="_Toc240485255"/>
      <w:bookmarkStart w:id="1276" w:name="_Toc240485539"/>
      <w:bookmarkStart w:id="1277" w:name="_Toc240464679"/>
      <w:bookmarkStart w:id="1278" w:name="_Toc240464958"/>
      <w:bookmarkStart w:id="1279" w:name="_Toc240465237"/>
      <w:bookmarkStart w:id="1280" w:name="_Toc240465546"/>
      <w:bookmarkStart w:id="1281" w:name="_Toc240484022"/>
      <w:bookmarkStart w:id="1282" w:name="_Toc240484302"/>
      <w:bookmarkStart w:id="1283" w:name="_Toc240484954"/>
      <w:bookmarkStart w:id="1284" w:name="_Toc240485256"/>
      <w:bookmarkStart w:id="1285" w:name="_Toc240485540"/>
      <w:bookmarkStart w:id="1286" w:name="_Toc240464681"/>
      <w:bookmarkStart w:id="1287" w:name="_Toc240464960"/>
      <w:bookmarkStart w:id="1288" w:name="_Toc240465239"/>
      <w:bookmarkStart w:id="1289" w:name="_Toc240465548"/>
      <w:bookmarkStart w:id="1290" w:name="_Toc240484024"/>
      <w:bookmarkStart w:id="1291" w:name="_Toc240484304"/>
      <w:bookmarkStart w:id="1292" w:name="_Toc240484956"/>
      <w:bookmarkStart w:id="1293" w:name="_Toc240485258"/>
      <w:bookmarkStart w:id="1294" w:name="_Toc240485542"/>
      <w:bookmarkStart w:id="1295" w:name="_Toc240464683"/>
      <w:bookmarkStart w:id="1296" w:name="_Toc240464962"/>
      <w:bookmarkStart w:id="1297" w:name="_Toc240465241"/>
      <w:bookmarkStart w:id="1298" w:name="_Toc240465550"/>
      <w:bookmarkStart w:id="1299" w:name="_Toc240484026"/>
      <w:bookmarkStart w:id="1300" w:name="_Toc240484306"/>
      <w:bookmarkStart w:id="1301" w:name="_Toc240484958"/>
      <w:bookmarkStart w:id="1302" w:name="_Toc240485260"/>
      <w:bookmarkStart w:id="1303" w:name="_Toc240485544"/>
      <w:bookmarkStart w:id="1304" w:name="_Toc240464684"/>
      <w:bookmarkStart w:id="1305" w:name="_Toc240464963"/>
      <w:bookmarkStart w:id="1306" w:name="_Toc240465242"/>
      <w:bookmarkStart w:id="1307" w:name="_Toc240465551"/>
      <w:bookmarkStart w:id="1308" w:name="_Toc240484027"/>
      <w:bookmarkStart w:id="1309" w:name="_Toc240484307"/>
      <w:bookmarkStart w:id="1310" w:name="_Toc240484959"/>
      <w:bookmarkStart w:id="1311" w:name="_Toc240485261"/>
      <w:bookmarkStart w:id="1312" w:name="_Toc240485545"/>
      <w:bookmarkStart w:id="1313" w:name="_Toc240464685"/>
      <w:bookmarkStart w:id="1314" w:name="_Toc240464964"/>
      <w:bookmarkStart w:id="1315" w:name="_Toc240465243"/>
      <w:bookmarkStart w:id="1316" w:name="_Toc240465552"/>
      <w:bookmarkStart w:id="1317" w:name="_Toc240484028"/>
      <w:bookmarkStart w:id="1318" w:name="_Toc240484308"/>
      <w:bookmarkStart w:id="1319" w:name="_Toc240484960"/>
      <w:bookmarkStart w:id="1320" w:name="_Toc240485262"/>
      <w:bookmarkStart w:id="1321" w:name="_Toc240485546"/>
      <w:bookmarkStart w:id="1322" w:name="_Toc240464686"/>
      <w:bookmarkStart w:id="1323" w:name="_Toc240464965"/>
      <w:bookmarkStart w:id="1324" w:name="_Toc240465244"/>
      <w:bookmarkStart w:id="1325" w:name="_Toc240465553"/>
      <w:bookmarkStart w:id="1326" w:name="_Toc240484029"/>
      <w:bookmarkStart w:id="1327" w:name="_Toc240484309"/>
      <w:bookmarkStart w:id="1328" w:name="_Toc240484961"/>
      <w:bookmarkStart w:id="1329" w:name="_Toc240485263"/>
      <w:bookmarkStart w:id="1330" w:name="_Toc240485547"/>
      <w:bookmarkStart w:id="1331" w:name="_Toc240464687"/>
      <w:bookmarkStart w:id="1332" w:name="_Toc240464966"/>
      <w:bookmarkStart w:id="1333" w:name="_Toc240465245"/>
      <w:bookmarkStart w:id="1334" w:name="_Toc240465554"/>
      <w:bookmarkStart w:id="1335" w:name="_Toc240484030"/>
      <w:bookmarkStart w:id="1336" w:name="_Toc240484310"/>
      <w:bookmarkStart w:id="1337" w:name="_Toc240484962"/>
      <w:bookmarkStart w:id="1338" w:name="_Toc240485264"/>
      <w:bookmarkStart w:id="1339" w:name="_Toc240485548"/>
      <w:bookmarkStart w:id="1340" w:name="_Toc240464689"/>
      <w:bookmarkStart w:id="1341" w:name="_Toc240464968"/>
      <w:bookmarkStart w:id="1342" w:name="_Toc240465247"/>
      <w:bookmarkStart w:id="1343" w:name="_Toc240465556"/>
      <w:bookmarkStart w:id="1344" w:name="_Toc240484032"/>
      <w:bookmarkStart w:id="1345" w:name="_Toc240484312"/>
      <w:bookmarkStart w:id="1346" w:name="_Toc240484964"/>
      <w:bookmarkStart w:id="1347" w:name="_Toc240485266"/>
      <w:bookmarkStart w:id="1348" w:name="_Toc240485550"/>
      <w:bookmarkStart w:id="1349" w:name="_Toc240464690"/>
      <w:bookmarkStart w:id="1350" w:name="_Toc240464969"/>
      <w:bookmarkStart w:id="1351" w:name="_Toc240465248"/>
      <w:bookmarkStart w:id="1352" w:name="_Toc240465557"/>
      <w:bookmarkStart w:id="1353" w:name="_Toc240484033"/>
      <w:bookmarkStart w:id="1354" w:name="_Toc240484313"/>
      <w:bookmarkStart w:id="1355" w:name="_Toc240484965"/>
      <w:bookmarkStart w:id="1356" w:name="_Toc240485267"/>
      <w:bookmarkStart w:id="1357" w:name="_Toc240485551"/>
      <w:bookmarkStart w:id="1358" w:name="_Toc240464691"/>
      <w:bookmarkStart w:id="1359" w:name="_Toc240464970"/>
      <w:bookmarkStart w:id="1360" w:name="_Toc240465249"/>
      <w:bookmarkStart w:id="1361" w:name="_Toc240465558"/>
      <w:bookmarkStart w:id="1362" w:name="_Toc240484034"/>
      <w:bookmarkStart w:id="1363" w:name="_Toc240484314"/>
      <w:bookmarkStart w:id="1364" w:name="_Toc240484966"/>
      <w:bookmarkStart w:id="1365" w:name="_Toc240485268"/>
      <w:bookmarkStart w:id="1366" w:name="_Toc240485552"/>
      <w:bookmarkStart w:id="1367" w:name="_Toc240464693"/>
      <w:bookmarkStart w:id="1368" w:name="_Toc240464972"/>
      <w:bookmarkStart w:id="1369" w:name="_Toc240465251"/>
      <w:bookmarkStart w:id="1370" w:name="_Toc240465560"/>
      <w:bookmarkStart w:id="1371" w:name="_Toc240484036"/>
      <w:bookmarkStart w:id="1372" w:name="_Toc240484316"/>
      <w:bookmarkStart w:id="1373" w:name="_Toc240484968"/>
      <w:bookmarkStart w:id="1374" w:name="_Toc240485270"/>
      <w:bookmarkStart w:id="1375" w:name="_Toc240485554"/>
      <w:bookmarkStart w:id="1376" w:name="_Toc240464694"/>
      <w:bookmarkStart w:id="1377" w:name="_Toc240464973"/>
      <w:bookmarkStart w:id="1378" w:name="_Toc240465252"/>
      <w:bookmarkStart w:id="1379" w:name="_Toc240465561"/>
      <w:bookmarkStart w:id="1380" w:name="_Toc240484037"/>
      <w:bookmarkStart w:id="1381" w:name="_Toc240484317"/>
      <w:bookmarkStart w:id="1382" w:name="_Toc240484969"/>
      <w:bookmarkStart w:id="1383" w:name="_Toc240485271"/>
      <w:bookmarkStart w:id="1384" w:name="_Toc240485555"/>
      <w:bookmarkStart w:id="1385" w:name="_Toc240464695"/>
      <w:bookmarkStart w:id="1386" w:name="_Toc240464974"/>
      <w:bookmarkStart w:id="1387" w:name="_Toc240465253"/>
      <w:bookmarkStart w:id="1388" w:name="_Toc240465562"/>
      <w:bookmarkStart w:id="1389" w:name="_Toc240484038"/>
      <w:bookmarkStart w:id="1390" w:name="_Toc240484318"/>
      <w:bookmarkStart w:id="1391" w:name="_Toc240484970"/>
      <w:bookmarkStart w:id="1392" w:name="_Toc240485272"/>
      <w:bookmarkStart w:id="1393" w:name="_Toc240485556"/>
      <w:bookmarkStart w:id="1394" w:name="_Toc240464697"/>
      <w:bookmarkStart w:id="1395" w:name="_Toc240464976"/>
      <w:bookmarkStart w:id="1396" w:name="_Toc240465255"/>
      <w:bookmarkStart w:id="1397" w:name="_Toc240465564"/>
      <w:bookmarkStart w:id="1398" w:name="_Toc240484040"/>
      <w:bookmarkStart w:id="1399" w:name="_Toc240484320"/>
      <w:bookmarkStart w:id="1400" w:name="_Toc240484972"/>
      <w:bookmarkStart w:id="1401" w:name="_Toc240485274"/>
      <w:bookmarkStart w:id="1402" w:name="_Toc240485558"/>
      <w:bookmarkStart w:id="1403" w:name="_Toc240464698"/>
      <w:bookmarkStart w:id="1404" w:name="_Toc240464977"/>
      <w:bookmarkStart w:id="1405" w:name="_Toc240465256"/>
      <w:bookmarkStart w:id="1406" w:name="_Toc240465565"/>
      <w:bookmarkStart w:id="1407" w:name="_Toc240484041"/>
      <w:bookmarkStart w:id="1408" w:name="_Toc240484321"/>
      <w:bookmarkStart w:id="1409" w:name="_Toc240484973"/>
      <w:bookmarkStart w:id="1410" w:name="_Toc240485275"/>
      <w:bookmarkStart w:id="1411" w:name="_Toc240485559"/>
      <w:bookmarkStart w:id="1412" w:name="_Toc240464699"/>
      <w:bookmarkStart w:id="1413" w:name="_Toc240464978"/>
      <w:bookmarkStart w:id="1414" w:name="_Toc240465257"/>
      <w:bookmarkStart w:id="1415" w:name="_Toc240465566"/>
      <w:bookmarkStart w:id="1416" w:name="_Toc240484042"/>
      <w:bookmarkStart w:id="1417" w:name="_Toc240484322"/>
      <w:bookmarkStart w:id="1418" w:name="_Toc240484974"/>
      <w:bookmarkStart w:id="1419" w:name="_Toc240485276"/>
      <w:bookmarkStart w:id="1420" w:name="_Toc240485560"/>
      <w:bookmarkStart w:id="1421" w:name="_Toc240464701"/>
      <w:bookmarkStart w:id="1422" w:name="_Toc240464980"/>
      <w:bookmarkStart w:id="1423" w:name="_Toc240465259"/>
      <w:bookmarkStart w:id="1424" w:name="_Toc240465568"/>
      <w:bookmarkStart w:id="1425" w:name="_Toc240484044"/>
      <w:bookmarkStart w:id="1426" w:name="_Toc240484324"/>
      <w:bookmarkStart w:id="1427" w:name="_Toc240484976"/>
      <w:bookmarkStart w:id="1428" w:name="_Toc240485278"/>
      <w:bookmarkStart w:id="1429" w:name="_Toc240485562"/>
      <w:bookmarkStart w:id="1430" w:name="_Toc240464702"/>
      <w:bookmarkStart w:id="1431" w:name="_Toc240464981"/>
      <w:bookmarkStart w:id="1432" w:name="_Toc240465260"/>
      <w:bookmarkStart w:id="1433" w:name="_Toc240465569"/>
      <w:bookmarkStart w:id="1434" w:name="_Toc240484045"/>
      <w:bookmarkStart w:id="1435" w:name="_Toc240484325"/>
      <w:bookmarkStart w:id="1436" w:name="_Toc240484977"/>
      <w:bookmarkStart w:id="1437" w:name="_Toc240485279"/>
      <w:bookmarkStart w:id="1438" w:name="_Toc240485563"/>
      <w:bookmarkStart w:id="1439" w:name="_Toc240464703"/>
      <w:bookmarkStart w:id="1440" w:name="_Toc240464982"/>
      <w:bookmarkStart w:id="1441" w:name="_Toc240465261"/>
      <w:bookmarkStart w:id="1442" w:name="_Toc240465570"/>
      <w:bookmarkStart w:id="1443" w:name="_Toc240484046"/>
      <w:bookmarkStart w:id="1444" w:name="_Toc240484326"/>
      <w:bookmarkStart w:id="1445" w:name="_Toc240484978"/>
      <w:bookmarkStart w:id="1446" w:name="_Toc240485280"/>
      <w:bookmarkStart w:id="1447" w:name="_Toc240485564"/>
      <w:bookmarkStart w:id="1448" w:name="_Toc240464705"/>
      <w:bookmarkStart w:id="1449" w:name="_Toc240464984"/>
      <w:bookmarkStart w:id="1450" w:name="_Toc240465263"/>
      <w:bookmarkStart w:id="1451" w:name="_Toc240465572"/>
      <w:bookmarkStart w:id="1452" w:name="_Toc240484048"/>
      <w:bookmarkStart w:id="1453" w:name="_Toc240484328"/>
      <w:bookmarkStart w:id="1454" w:name="_Toc240484980"/>
      <w:bookmarkStart w:id="1455" w:name="_Toc240485282"/>
      <w:bookmarkStart w:id="1456" w:name="_Toc240485566"/>
      <w:bookmarkStart w:id="1457" w:name="_Toc240464706"/>
      <w:bookmarkStart w:id="1458" w:name="_Toc240464985"/>
      <w:bookmarkStart w:id="1459" w:name="_Toc240465264"/>
      <w:bookmarkStart w:id="1460" w:name="_Toc240465573"/>
      <w:bookmarkStart w:id="1461" w:name="_Toc240484049"/>
      <w:bookmarkStart w:id="1462" w:name="_Toc240484329"/>
      <w:bookmarkStart w:id="1463" w:name="_Toc240484981"/>
      <w:bookmarkStart w:id="1464" w:name="_Toc240485283"/>
      <w:bookmarkStart w:id="1465" w:name="_Toc240485567"/>
      <w:bookmarkStart w:id="1466" w:name="_Toc240464707"/>
      <w:bookmarkStart w:id="1467" w:name="_Toc240464986"/>
      <w:bookmarkStart w:id="1468" w:name="_Toc240465265"/>
      <w:bookmarkStart w:id="1469" w:name="_Toc240465574"/>
      <w:bookmarkStart w:id="1470" w:name="_Toc240484050"/>
      <w:bookmarkStart w:id="1471" w:name="_Toc240484330"/>
      <w:bookmarkStart w:id="1472" w:name="_Toc240484982"/>
      <w:bookmarkStart w:id="1473" w:name="_Toc240485284"/>
      <w:bookmarkStart w:id="1474" w:name="_Toc240485568"/>
      <w:bookmarkStart w:id="1475" w:name="_Toc240464709"/>
      <w:bookmarkStart w:id="1476" w:name="_Toc240464988"/>
      <w:bookmarkStart w:id="1477" w:name="_Toc240465267"/>
      <w:bookmarkStart w:id="1478" w:name="_Toc240465576"/>
      <w:bookmarkStart w:id="1479" w:name="_Toc240484052"/>
      <w:bookmarkStart w:id="1480" w:name="_Toc240484332"/>
      <w:bookmarkStart w:id="1481" w:name="_Toc240484984"/>
      <w:bookmarkStart w:id="1482" w:name="_Toc240485286"/>
      <w:bookmarkStart w:id="1483" w:name="_Toc240485570"/>
      <w:bookmarkStart w:id="1484" w:name="_Toc240464710"/>
      <w:bookmarkStart w:id="1485" w:name="_Toc240464989"/>
      <w:bookmarkStart w:id="1486" w:name="_Toc240465268"/>
      <w:bookmarkStart w:id="1487" w:name="_Toc240465577"/>
      <w:bookmarkStart w:id="1488" w:name="_Toc240484053"/>
      <w:bookmarkStart w:id="1489" w:name="_Toc240484333"/>
      <w:bookmarkStart w:id="1490" w:name="_Toc240484985"/>
      <w:bookmarkStart w:id="1491" w:name="_Toc240485287"/>
      <w:bookmarkStart w:id="1492" w:name="_Toc240485571"/>
      <w:bookmarkStart w:id="1493" w:name="_Toc240464711"/>
      <w:bookmarkStart w:id="1494" w:name="_Toc240464990"/>
      <w:bookmarkStart w:id="1495" w:name="_Toc240465269"/>
      <w:bookmarkStart w:id="1496" w:name="_Toc240465578"/>
      <w:bookmarkStart w:id="1497" w:name="_Toc240484054"/>
      <w:bookmarkStart w:id="1498" w:name="_Toc240484334"/>
      <w:bookmarkStart w:id="1499" w:name="_Toc240484986"/>
      <w:bookmarkStart w:id="1500" w:name="_Toc240485288"/>
      <w:bookmarkStart w:id="1501" w:name="_Toc240485572"/>
      <w:bookmarkStart w:id="1502" w:name="_Toc240464713"/>
      <w:bookmarkStart w:id="1503" w:name="_Toc240464992"/>
      <w:bookmarkStart w:id="1504" w:name="_Toc240465271"/>
      <w:bookmarkStart w:id="1505" w:name="_Toc240465580"/>
      <w:bookmarkStart w:id="1506" w:name="_Toc240484056"/>
      <w:bookmarkStart w:id="1507" w:name="_Toc240484336"/>
      <w:bookmarkStart w:id="1508" w:name="_Toc240484988"/>
      <w:bookmarkStart w:id="1509" w:name="_Toc240485290"/>
      <w:bookmarkStart w:id="1510" w:name="_Toc240485574"/>
      <w:bookmarkStart w:id="1511" w:name="_Toc240464714"/>
      <w:bookmarkStart w:id="1512" w:name="_Toc240464993"/>
      <w:bookmarkStart w:id="1513" w:name="_Toc240465272"/>
      <w:bookmarkStart w:id="1514" w:name="_Toc240465581"/>
      <w:bookmarkStart w:id="1515" w:name="_Toc240484057"/>
      <w:bookmarkStart w:id="1516" w:name="_Toc240484337"/>
      <w:bookmarkStart w:id="1517" w:name="_Toc240484989"/>
      <w:bookmarkStart w:id="1518" w:name="_Toc240485291"/>
      <w:bookmarkStart w:id="1519" w:name="_Toc240485575"/>
      <w:bookmarkStart w:id="1520" w:name="_Toc240464715"/>
      <w:bookmarkStart w:id="1521" w:name="_Toc240464994"/>
      <w:bookmarkStart w:id="1522" w:name="_Toc240465273"/>
      <w:bookmarkStart w:id="1523" w:name="_Toc240465582"/>
      <w:bookmarkStart w:id="1524" w:name="_Toc240484058"/>
      <w:bookmarkStart w:id="1525" w:name="_Toc240484338"/>
      <w:bookmarkStart w:id="1526" w:name="_Toc240484990"/>
      <w:bookmarkStart w:id="1527" w:name="_Toc240485292"/>
      <w:bookmarkStart w:id="1528" w:name="_Toc240485576"/>
      <w:bookmarkStart w:id="1529" w:name="_Toc240464717"/>
      <w:bookmarkStart w:id="1530" w:name="_Toc240464996"/>
      <w:bookmarkStart w:id="1531" w:name="_Toc240465275"/>
      <w:bookmarkStart w:id="1532" w:name="_Toc240465584"/>
      <w:bookmarkStart w:id="1533" w:name="_Toc240484060"/>
      <w:bookmarkStart w:id="1534" w:name="_Toc240484340"/>
      <w:bookmarkStart w:id="1535" w:name="_Toc240484992"/>
      <w:bookmarkStart w:id="1536" w:name="_Toc240485294"/>
      <w:bookmarkStart w:id="1537" w:name="_Toc240485578"/>
      <w:bookmarkStart w:id="1538" w:name="_Toc240464718"/>
      <w:bookmarkStart w:id="1539" w:name="_Toc240464997"/>
      <w:bookmarkStart w:id="1540" w:name="_Toc240465276"/>
      <w:bookmarkStart w:id="1541" w:name="_Toc240465585"/>
      <w:bookmarkStart w:id="1542" w:name="_Toc240484061"/>
      <w:bookmarkStart w:id="1543" w:name="_Toc240484341"/>
      <w:bookmarkStart w:id="1544" w:name="_Toc240484993"/>
      <w:bookmarkStart w:id="1545" w:name="_Toc240485295"/>
      <w:bookmarkStart w:id="1546" w:name="_Toc240485579"/>
      <w:bookmarkStart w:id="1547" w:name="_Toc240464719"/>
      <w:bookmarkStart w:id="1548" w:name="_Toc240464998"/>
      <w:bookmarkStart w:id="1549" w:name="_Toc240465277"/>
      <w:bookmarkStart w:id="1550" w:name="_Toc240465586"/>
      <w:bookmarkStart w:id="1551" w:name="_Toc240484062"/>
      <w:bookmarkStart w:id="1552" w:name="_Toc240484342"/>
      <w:bookmarkStart w:id="1553" w:name="_Toc240484994"/>
      <w:bookmarkStart w:id="1554" w:name="_Toc240485296"/>
      <w:bookmarkStart w:id="1555" w:name="_Toc240485580"/>
      <w:bookmarkStart w:id="1556" w:name="_Toc240464721"/>
      <w:bookmarkStart w:id="1557" w:name="_Toc240465000"/>
      <w:bookmarkStart w:id="1558" w:name="_Toc240465279"/>
      <w:bookmarkStart w:id="1559" w:name="_Toc240465588"/>
      <w:bookmarkStart w:id="1560" w:name="_Toc240484064"/>
      <w:bookmarkStart w:id="1561" w:name="_Toc240484344"/>
      <w:bookmarkStart w:id="1562" w:name="_Toc240484996"/>
      <w:bookmarkStart w:id="1563" w:name="_Toc240485298"/>
      <w:bookmarkStart w:id="1564" w:name="_Toc240485582"/>
      <w:bookmarkStart w:id="1565" w:name="_Toc240464722"/>
      <w:bookmarkStart w:id="1566" w:name="_Toc240465001"/>
      <w:bookmarkStart w:id="1567" w:name="_Toc240465280"/>
      <w:bookmarkStart w:id="1568" w:name="_Toc240465589"/>
      <w:bookmarkStart w:id="1569" w:name="_Toc240484065"/>
      <w:bookmarkStart w:id="1570" w:name="_Toc240484345"/>
      <w:bookmarkStart w:id="1571" w:name="_Toc240484997"/>
      <w:bookmarkStart w:id="1572" w:name="_Toc240485299"/>
      <w:bookmarkStart w:id="1573" w:name="_Toc240485583"/>
      <w:bookmarkStart w:id="1574" w:name="_Toc240464723"/>
      <w:bookmarkStart w:id="1575" w:name="_Toc240465002"/>
      <w:bookmarkStart w:id="1576" w:name="_Toc240465281"/>
      <w:bookmarkStart w:id="1577" w:name="_Toc240465590"/>
      <w:bookmarkStart w:id="1578" w:name="_Toc240484066"/>
      <w:bookmarkStart w:id="1579" w:name="_Toc240484346"/>
      <w:bookmarkStart w:id="1580" w:name="_Toc240484998"/>
      <w:bookmarkStart w:id="1581" w:name="_Toc240485300"/>
      <w:bookmarkStart w:id="1582" w:name="_Toc240485584"/>
      <w:bookmarkStart w:id="1583" w:name="_Toc240464725"/>
      <w:bookmarkStart w:id="1584" w:name="_Toc240465004"/>
      <w:bookmarkStart w:id="1585" w:name="_Toc240465283"/>
      <w:bookmarkStart w:id="1586" w:name="_Toc240465592"/>
      <w:bookmarkStart w:id="1587" w:name="_Toc240484068"/>
      <w:bookmarkStart w:id="1588" w:name="_Toc240484348"/>
      <w:bookmarkStart w:id="1589" w:name="_Toc240485000"/>
      <w:bookmarkStart w:id="1590" w:name="_Toc240485302"/>
      <w:bookmarkStart w:id="1591" w:name="_Toc240485586"/>
      <w:bookmarkStart w:id="1592" w:name="_Toc240464726"/>
      <w:bookmarkStart w:id="1593" w:name="_Toc240465005"/>
      <w:bookmarkStart w:id="1594" w:name="_Toc240465284"/>
      <w:bookmarkStart w:id="1595" w:name="_Toc240465593"/>
      <w:bookmarkStart w:id="1596" w:name="_Toc240484069"/>
      <w:bookmarkStart w:id="1597" w:name="_Toc240484349"/>
      <w:bookmarkStart w:id="1598" w:name="_Toc240485001"/>
      <w:bookmarkStart w:id="1599" w:name="_Toc240485303"/>
      <w:bookmarkStart w:id="1600" w:name="_Toc240485587"/>
      <w:bookmarkStart w:id="1601" w:name="_Toc240464727"/>
      <w:bookmarkStart w:id="1602" w:name="_Toc240465006"/>
      <w:bookmarkStart w:id="1603" w:name="_Toc240465285"/>
      <w:bookmarkStart w:id="1604" w:name="_Toc240465594"/>
      <w:bookmarkStart w:id="1605" w:name="_Toc240484070"/>
      <w:bookmarkStart w:id="1606" w:name="_Toc240484350"/>
      <w:bookmarkStart w:id="1607" w:name="_Toc240485002"/>
      <w:bookmarkStart w:id="1608" w:name="_Toc240485304"/>
      <w:bookmarkStart w:id="1609" w:name="_Toc240485588"/>
      <w:bookmarkStart w:id="1610" w:name="_Toc240464729"/>
      <w:bookmarkStart w:id="1611" w:name="_Toc240465008"/>
      <w:bookmarkStart w:id="1612" w:name="_Toc240465287"/>
      <w:bookmarkStart w:id="1613" w:name="_Toc240465596"/>
      <w:bookmarkStart w:id="1614" w:name="_Toc240484072"/>
      <w:bookmarkStart w:id="1615" w:name="_Toc240484352"/>
      <w:bookmarkStart w:id="1616" w:name="_Toc240485004"/>
      <w:bookmarkStart w:id="1617" w:name="_Toc240485306"/>
      <w:bookmarkStart w:id="1618" w:name="_Toc240485590"/>
      <w:bookmarkStart w:id="1619" w:name="_Toc240464730"/>
      <w:bookmarkStart w:id="1620" w:name="_Toc240465009"/>
      <w:bookmarkStart w:id="1621" w:name="_Toc240465288"/>
      <w:bookmarkStart w:id="1622" w:name="_Toc240465597"/>
      <w:bookmarkStart w:id="1623" w:name="_Toc240484073"/>
      <w:bookmarkStart w:id="1624" w:name="_Toc240484353"/>
      <w:bookmarkStart w:id="1625" w:name="_Toc240485005"/>
      <w:bookmarkStart w:id="1626" w:name="_Toc240485307"/>
      <w:bookmarkStart w:id="1627" w:name="_Toc240485591"/>
      <w:bookmarkStart w:id="1628" w:name="_Toc240464731"/>
      <w:bookmarkStart w:id="1629" w:name="_Toc240465010"/>
      <w:bookmarkStart w:id="1630" w:name="_Toc240465289"/>
      <w:bookmarkStart w:id="1631" w:name="_Toc240465598"/>
      <w:bookmarkStart w:id="1632" w:name="_Toc240484074"/>
      <w:bookmarkStart w:id="1633" w:name="_Toc240484354"/>
      <w:bookmarkStart w:id="1634" w:name="_Toc240485006"/>
      <w:bookmarkStart w:id="1635" w:name="_Toc240485308"/>
      <w:bookmarkStart w:id="1636" w:name="_Toc240485592"/>
      <w:bookmarkStart w:id="1637" w:name="_Toc240464733"/>
      <w:bookmarkStart w:id="1638" w:name="_Toc240465012"/>
      <w:bookmarkStart w:id="1639" w:name="_Toc240465291"/>
      <w:bookmarkStart w:id="1640" w:name="_Toc240465600"/>
      <w:bookmarkStart w:id="1641" w:name="_Toc240484076"/>
      <w:bookmarkStart w:id="1642" w:name="_Toc240484356"/>
      <w:bookmarkStart w:id="1643" w:name="_Toc240485008"/>
      <w:bookmarkStart w:id="1644" w:name="_Toc240485310"/>
      <w:bookmarkStart w:id="1645" w:name="_Toc240485594"/>
      <w:bookmarkStart w:id="1646" w:name="_Toc240464734"/>
      <w:bookmarkStart w:id="1647" w:name="_Toc240465013"/>
      <w:bookmarkStart w:id="1648" w:name="_Toc240465292"/>
      <w:bookmarkStart w:id="1649" w:name="_Toc240465601"/>
      <w:bookmarkStart w:id="1650" w:name="_Toc240484077"/>
      <w:bookmarkStart w:id="1651" w:name="_Toc240484357"/>
      <w:bookmarkStart w:id="1652" w:name="_Toc240485009"/>
      <w:bookmarkStart w:id="1653" w:name="_Toc240485311"/>
      <w:bookmarkStart w:id="1654" w:name="_Toc240485595"/>
      <w:bookmarkStart w:id="1655" w:name="_Toc240464735"/>
      <w:bookmarkStart w:id="1656" w:name="_Toc240465014"/>
      <w:bookmarkStart w:id="1657" w:name="_Toc240465293"/>
      <w:bookmarkStart w:id="1658" w:name="_Toc240465602"/>
      <w:bookmarkStart w:id="1659" w:name="_Toc240484078"/>
      <w:bookmarkStart w:id="1660" w:name="_Toc240484358"/>
      <w:bookmarkStart w:id="1661" w:name="_Toc240485010"/>
      <w:bookmarkStart w:id="1662" w:name="_Toc240485312"/>
      <w:bookmarkStart w:id="1663" w:name="_Toc240485596"/>
      <w:bookmarkStart w:id="1664" w:name="_Toc240464737"/>
      <w:bookmarkStart w:id="1665" w:name="_Toc240465016"/>
      <w:bookmarkStart w:id="1666" w:name="_Toc240465295"/>
      <w:bookmarkStart w:id="1667" w:name="_Toc240465604"/>
      <w:bookmarkStart w:id="1668" w:name="_Toc240484080"/>
      <w:bookmarkStart w:id="1669" w:name="_Toc240484360"/>
      <w:bookmarkStart w:id="1670" w:name="_Toc240485012"/>
      <w:bookmarkStart w:id="1671" w:name="_Toc240485314"/>
      <w:bookmarkStart w:id="1672" w:name="_Toc240485598"/>
      <w:bookmarkStart w:id="1673" w:name="_Toc240464738"/>
      <w:bookmarkStart w:id="1674" w:name="_Toc240465017"/>
      <w:bookmarkStart w:id="1675" w:name="_Toc240465296"/>
      <w:bookmarkStart w:id="1676" w:name="_Toc240465605"/>
      <w:bookmarkStart w:id="1677" w:name="_Toc240484081"/>
      <w:bookmarkStart w:id="1678" w:name="_Toc240484361"/>
      <w:bookmarkStart w:id="1679" w:name="_Toc240485013"/>
      <w:bookmarkStart w:id="1680" w:name="_Toc240485315"/>
      <w:bookmarkStart w:id="1681" w:name="_Toc240485599"/>
      <w:bookmarkStart w:id="1682" w:name="_Toc240464739"/>
      <w:bookmarkStart w:id="1683" w:name="_Toc240465018"/>
      <w:bookmarkStart w:id="1684" w:name="_Toc240465297"/>
      <w:bookmarkStart w:id="1685" w:name="_Toc240465606"/>
      <w:bookmarkStart w:id="1686" w:name="_Toc240484082"/>
      <w:bookmarkStart w:id="1687" w:name="_Toc240484362"/>
      <w:bookmarkStart w:id="1688" w:name="_Toc240485014"/>
      <w:bookmarkStart w:id="1689" w:name="_Toc240485316"/>
      <w:bookmarkStart w:id="1690" w:name="_Toc240485600"/>
      <w:bookmarkStart w:id="1691" w:name="_Toc240464741"/>
      <w:bookmarkStart w:id="1692" w:name="_Toc240465020"/>
      <w:bookmarkStart w:id="1693" w:name="_Toc240465299"/>
      <w:bookmarkStart w:id="1694" w:name="_Toc240465608"/>
      <w:bookmarkStart w:id="1695" w:name="_Toc240484084"/>
      <w:bookmarkStart w:id="1696" w:name="_Toc240484364"/>
      <w:bookmarkStart w:id="1697" w:name="_Toc240485016"/>
      <w:bookmarkStart w:id="1698" w:name="_Toc240485318"/>
      <w:bookmarkStart w:id="1699" w:name="_Toc240485602"/>
      <w:bookmarkStart w:id="1700" w:name="_Toc240464742"/>
      <w:bookmarkStart w:id="1701" w:name="_Toc240465021"/>
      <w:bookmarkStart w:id="1702" w:name="_Toc240465300"/>
      <w:bookmarkStart w:id="1703" w:name="_Toc240465609"/>
      <w:bookmarkStart w:id="1704" w:name="_Toc240484085"/>
      <w:bookmarkStart w:id="1705" w:name="_Toc240484365"/>
      <w:bookmarkStart w:id="1706" w:name="_Toc240485017"/>
      <w:bookmarkStart w:id="1707" w:name="_Toc240485319"/>
      <w:bookmarkStart w:id="1708" w:name="_Toc240485603"/>
      <w:bookmarkStart w:id="1709" w:name="_Toc240464743"/>
      <w:bookmarkStart w:id="1710" w:name="_Toc240465022"/>
      <w:bookmarkStart w:id="1711" w:name="_Toc240465301"/>
      <w:bookmarkStart w:id="1712" w:name="_Toc240465610"/>
      <w:bookmarkStart w:id="1713" w:name="_Toc240484086"/>
      <w:bookmarkStart w:id="1714" w:name="_Toc240484366"/>
      <w:bookmarkStart w:id="1715" w:name="_Toc240485018"/>
      <w:bookmarkStart w:id="1716" w:name="_Toc240485320"/>
      <w:bookmarkStart w:id="1717" w:name="_Toc240485604"/>
      <w:bookmarkStart w:id="1718" w:name="_Toc240464745"/>
      <w:bookmarkStart w:id="1719" w:name="_Toc240465024"/>
      <w:bookmarkStart w:id="1720" w:name="_Toc240465303"/>
      <w:bookmarkStart w:id="1721" w:name="_Toc240465612"/>
      <w:bookmarkStart w:id="1722" w:name="_Toc240484088"/>
      <w:bookmarkStart w:id="1723" w:name="_Toc240484368"/>
      <w:bookmarkStart w:id="1724" w:name="_Toc240485020"/>
      <w:bookmarkStart w:id="1725" w:name="_Toc240485322"/>
      <w:bookmarkStart w:id="1726" w:name="_Toc240485606"/>
      <w:bookmarkStart w:id="1727" w:name="_Toc240464746"/>
      <w:bookmarkStart w:id="1728" w:name="_Toc240465025"/>
      <w:bookmarkStart w:id="1729" w:name="_Toc240465304"/>
      <w:bookmarkStart w:id="1730" w:name="_Toc240465613"/>
      <w:bookmarkStart w:id="1731" w:name="_Toc240484089"/>
      <w:bookmarkStart w:id="1732" w:name="_Toc240484369"/>
      <w:bookmarkStart w:id="1733" w:name="_Toc240485021"/>
      <w:bookmarkStart w:id="1734" w:name="_Toc240485323"/>
      <w:bookmarkStart w:id="1735" w:name="_Toc240485607"/>
      <w:bookmarkStart w:id="1736" w:name="_Toc240464747"/>
      <w:bookmarkStart w:id="1737" w:name="_Toc240465026"/>
      <w:bookmarkStart w:id="1738" w:name="_Toc240465305"/>
      <w:bookmarkStart w:id="1739" w:name="_Toc240465614"/>
      <w:bookmarkStart w:id="1740" w:name="_Toc240484090"/>
      <w:bookmarkStart w:id="1741" w:name="_Toc240484370"/>
      <w:bookmarkStart w:id="1742" w:name="_Toc240485022"/>
      <w:bookmarkStart w:id="1743" w:name="_Toc240485324"/>
      <w:bookmarkStart w:id="1744" w:name="_Toc240485608"/>
      <w:bookmarkStart w:id="1745" w:name="_Toc240464749"/>
      <w:bookmarkStart w:id="1746" w:name="_Toc240465028"/>
      <w:bookmarkStart w:id="1747" w:name="_Toc240465307"/>
      <w:bookmarkStart w:id="1748" w:name="_Toc240465616"/>
      <w:bookmarkStart w:id="1749" w:name="_Toc240484092"/>
      <w:bookmarkStart w:id="1750" w:name="_Toc240484372"/>
      <w:bookmarkStart w:id="1751" w:name="_Toc240485024"/>
      <w:bookmarkStart w:id="1752" w:name="_Toc240485326"/>
      <w:bookmarkStart w:id="1753" w:name="_Toc240485610"/>
      <w:bookmarkStart w:id="1754" w:name="_Toc240464750"/>
      <w:bookmarkStart w:id="1755" w:name="_Toc240465029"/>
      <w:bookmarkStart w:id="1756" w:name="_Toc240465308"/>
      <w:bookmarkStart w:id="1757" w:name="_Toc240465617"/>
      <w:bookmarkStart w:id="1758" w:name="_Toc240484093"/>
      <w:bookmarkStart w:id="1759" w:name="_Toc240484373"/>
      <w:bookmarkStart w:id="1760" w:name="_Toc240485025"/>
      <w:bookmarkStart w:id="1761" w:name="_Toc240485327"/>
      <w:bookmarkStart w:id="1762" w:name="_Toc240485611"/>
      <w:bookmarkStart w:id="1763" w:name="_Toc240464751"/>
      <w:bookmarkStart w:id="1764" w:name="_Toc240465030"/>
      <w:bookmarkStart w:id="1765" w:name="_Toc240465309"/>
      <w:bookmarkStart w:id="1766" w:name="_Toc240465618"/>
      <w:bookmarkStart w:id="1767" w:name="_Toc240484094"/>
      <w:bookmarkStart w:id="1768" w:name="_Toc240484374"/>
      <w:bookmarkStart w:id="1769" w:name="_Toc240485026"/>
      <w:bookmarkStart w:id="1770" w:name="_Toc240485328"/>
      <w:bookmarkStart w:id="1771" w:name="_Toc240485612"/>
      <w:bookmarkStart w:id="1772" w:name="_Toc240464753"/>
      <w:bookmarkStart w:id="1773" w:name="_Toc240465032"/>
      <w:bookmarkStart w:id="1774" w:name="_Toc240465311"/>
      <w:bookmarkStart w:id="1775" w:name="_Toc240465620"/>
      <w:bookmarkStart w:id="1776" w:name="_Toc240484096"/>
      <w:bookmarkStart w:id="1777" w:name="_Toc240484376"/>
      <w:bookmarkStart w:id="1778" w:name="_Toc240485028"/>
      <w:bookmarkStart w:id="1779" w:name="_Toc240485330"/>
      <w:bookmarkStart w:id="1780" w:name="_Toc240485614"/>
      <w:bookmarkStart w:id="1781" w:name="_Toc240464754"/>
      <w:bookmarkStart w:id="1782" w:name="_Toc240465033"/>
      <w:bookmarkStart w:id="1783" w:name="_Toc240465312"/>
      <w:bookmarkStart w:id="1784" w:name="_Toc240465621"/>
      <w:bookmarkStart w:id="1785" w:name="_Toc240484097"/>
      <w:bookmarkStart w:id="1786" w:name="_Toc240484377"/>
      <w:bookmarkStart w:id="1787" w:name="_Toc240485029"/>
      <w:bookmarkStart w:id="1788" w:name="_Toc240485331"/>
      <w:bookmarkStart w:id="1789" w:name="_Toc240485615"/>
      <w:bookmarkStart w:id="1790" w:name="_Toc240464755"/>
      <w:bookmarkStart w:id="1791" w:name="_Toc240465034"/>
      <w:bookmarkStart w:id="1792" w:name="_Toc240465313"/>
      <w:bookmarkStart w:id="1793" w:name="_Toc240465622"/>
      <w:bookmarkStart w:id="1794" w:name="_Toc240484098"/>
      <w:bookmarkStart w:id="1795" w:name="_Toc240484378"/>
      <w:bookmarkStart w:id="1796" w:name="_Toc240485030"/>
      <w:bookmarkStart w:id="1797" w:name="_Toc240485332"/>
      <w:bookmarkStart w:id="1798" w:name="_Toc240485616"/>
      <w:bookmarkStart w:id="1799" w:name="_Toc240464756"/>
      <w:bookmarkStart w:id="1800" w:name="_Toc240465035"/>
      <w:bookmarkStart w:id="1801" w:name="_Toc240465314"/>
      <w:bookmarkStart w:id="1802" w:name="_Toc240465623"/>
      <w:bookmarkStart w:id="1803" w:name="_Toc240484099"/>
      <w:bookmarkStart w:id="1804" w:name="_Toc240484379"/>
      <w:bookmarkStart w:id="1805" w:name="_Toc240485031"/>
      <w:bookmarkStart w:id="1806" w:name="_Toc240485333"/>
      <w:bookmarkStart w:id="1807" w:name="_Toc240485617"/>
      <w:bookmarkStart w:id="1808" w:name="_Toc240464758"/>
      <w:bookmarkStart w:id="1809" w:name="_Toc240465037"/>
      <w:bookmarkStart w:id="1810" w:name="_Toc240465316"/>
      <w:bookmarkStart w:id="1811" w:name="_Toc240465625"/>
      <w:bookmarkStart w:id="1812" w:name="_Toc240484101"/>
      <w:bookmarkStart w:id="1813" w:name="_Toc240484381"/>
      <w:bookmarkStart w:id="1814" w:name="_Toc240485033"/>
      <w:bookmarkStart w:id="1815" w:name="_Toc240485335"/>
      <w:bookmarkStart w:id="1816" w:name="_Toc240485619"/>
      <w:bookmarkStart w:id="1817" w:name="_Toc240464759"/>
      <w:bookmarkStart w:id="1818" w:name="_Toc240465038"/>
      <w:bookmarkStart w:id="1819" w:name="_Toc240465317"/>
      <w:bookmarkStart w:id="1820" w:name="_Toc240465626"/>
      <w:bookmarkStart w:id="1821" w:name="_Toc240484102"/>
      <w:bookmarkStart w:id="1822" w:name="_Toc240484382"/>
      <w:bookmarkStart w:id="1823" w:name="_Toc240485034"/>
      <w:bookmarkStart w:id="1824" w:name="_Toc240485336"/>
      <w:bookmarkStart w:id="1825" w:name="_Toc240485620"/>
      <w:bookmarkStart w:id="1826" w:name="_Toc240464760"/>
      <w:bookmarkStart w:id="1827" w:name="_Toc240465039"/>
      <w:bookmarkStart w:id="1828" w:name="_Toc240465318"/>
      <w:bookmarkStart w:id="1829" w:name="_Toc240465627"/>
      <w:bookmarkStart w:id="1830" w:name="_Toc240484103"/>
      <w:bookmarkStart w:id="1831" w:name="_Toc240484383"/>
      <w:bookmarkStart w:id="1832" w:name="_Toc240485035"/>
      <w:bookmarkStart w:id="1833" w:name="_Toc240485337"/>
      <w:bookmarkStart w:id="1834" w:name="_Toc240485621"/>
      <w:bookmarkStart w:id="1835" w:name="_Toc240464761"/>
      <w:bookmarkStart w:id="1836" w:name="_Toc240465040"/>
      <w:bookmarkStart w:id="1837" w:name="_Toc240465319"/>
      <w:bookmarkStart w:id="1838" w:name="_Toc240465628"/>
      <w:bookmarkStart w:id="1839" w:name="_Toc240484104"/>
      <w:bookmarkStart w:id="1840" w:name="_Toc240484384"/>
      <w:bookmarkStart w:id="1841" w:name="_Toc240485036"/>
      <w:bookmarkStart w:id="1842" w:name="_Toc240485338"/>
      <w:bookmarkStart w:id="1843" w:name="_Toc240485622"/>
      <w:bookmarkStart w:id="1844" w:name="_Toc240464763"/>
      <w:bookmarkStart w:id="1845" w:name="_Toc240465042"/>
      <w:bookmarkStart w:id="1846" w:name="_Toc240465321"/>
      <w:bookmarkStart w:id="1847" w:name="_Toc240465630"/>
      <w:bookmarkStart w:id="1848" w:name="_Toc240484106"/>
      <w:bookmarkStart w:id="1849" w:name="_Toc240484386"/>
      <w:bookmarkStart w:id="1850" w:name="_Toc240485038"/>
      <w:bookmarkStart w:id="1851" w:name="_Toc240485340"/>
      <w:bookmarkStart w:id="1852" w:name="_Toc240485624"/>
      <w:bookmarkEnd w:id="117"/>
      <w:bookmarkEnd w:id="118"/>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p>
    <w:p w14:paraId="4CFF3442" w14:textId="77777777" w:rsidR="00A06B42" w:rsidRDefault="00A06B42" w:rsidP="00A06B42">
      <w:pPr>
        <w:pStyle w:val="AppendixHeading1"/>
      </w:pPr>
      <w:bookmarkStart w:id="1853" w:name="_Toc242271306"/>
      <w:bookmarkEnd w:id="1853"/>
    </w:p>
    <w:p w14:paraId="4447F68B" w14:textId="6358BC81" w:rsidR="00B242DC" w:rsidRDefault="00B242DC" w:rsidP="009B4E70">
      <w:pPr>
        <w:pStyle w:val="Heading2"/>
      </w:pPr>
      <w:bookmarkStart w:id="1854" w:name="_Toc242271307"/>
      <w:bookmarkStart w:id="1855" w:name="_Ref236298881"/>
      <w:r>
        <w:t>Persistent shortages by sub-major group on OSCA basis</w:t>
      </w:r>
      <w:bookmarkEnd w:id="1854"/>
    </w:p>
    <w:p w14:paraId="2C51C3A5" w14:textId="0B284C27" w:rsidR="00674827" w:rsidRPr="00674827" w:rsidRDefault="006C6FD4">
      <w:pPr>
        <w:pStyle w:val="Caption"/>
      </w:pPr>
      <w:bookmarkStart w:id="1856" w:name="_Ref240642831"/>
      <w:bookmarkStart w:id="1857" w:name="_Toc242271311"/>
      <w:r>
        <w:t>Table B</w:t>
      </w:r>
      <w:r>
        <w:fldChar w:fldCharType="begin"/>
      </w:r>
      <w:r>
        <w:instrText xml:space="preserve"> SEQ Table_B \* ARABIC </w:instrText>
      </w:r>
      <w:r>
        <w:fldChar w:fldCharType="separate"/>
      </w:r>
      <w:r w:rsidR="00286763">
        <w:rPr>
          <w:noProof/>
        </w:rPr>
        <w:t>1</w:t>
      </w:r>
      <w:r>
        <w:fldChar w:fldCharType="end"/>
      </w:r>
      <w:bookmarkEnd w:id="1855"/>
      <w:bookmarkEnd w:id="1856"/>
      <w:r w:rsidR="005F0D53" w:rsidRPr="005F0D53">
        <w:t>:</w:t>
      </w:r>
      <w:r w:rsidR="00BB3DD8">
        <w:t xml:space="preserve"> Number of occupations in persistent s</w:t>
      </w:r>
      <w:r w:rsidR="00BB3DD8" w:rsidRPr="005965A3">
        <w:t>hortage</w:t>
      </w:r>
      <w:r w:rsidR="00BB3DD8">
        <w:t xml:space="preserve"> from 2021 to 2026 OSLs,</w:t>
      </w:r>
      <w:r w:rsidR="00BB3DD8" w:rsidRPr="005965A3">
        <w:t xml:space="preserve"> </w:t>
      </w:r>
      <w:r w:rsidR="00BB3DD8">
        <w:t>by sub-major group</w:t>
      </w:r>
      <w:bookmarkEnd w:id="1857"/>
    </w:p>
    <w:tbl>
      <w:tblPr>
        <w:tblStyle w:val="CustomTablebasic"/>
        <w:tblW w:w="5000" w:type="pct"/>
        <w:tblLook w:val="0020" w:firstRow="1" w:lastRow="0" w:firstColumn="0" w:lastColumn="0" w:noHBand="0" w:noVBand="0"/>
      </w:tblPr>
      <w:tblGrid>
        <w:gridCol w:w="4860"/>
        <w:gridCol w:w="2163"/>
        <w:gridCol w:w="2004"/>
      </w:tblGrid>
      <w:tr w:rsidR="000524BE" w:rsidRPr="00B26C3D" w14:paraId="4198592D" w14:textId="77777777">
        <w:trPr>
          <w:cnfStyle w:val="100000000000" w:firstRow="1" w:lastRow="0" w:firstColumn="0" w:lastColumn="0" w:oddVBand="0" w:evenVBand="0" w:oddHBand="0" w:evenHBand="0" w:firstRowFirstColumn="0" w:firstRowLastColumn="0" w:lastRowFirstColumn="0" w:lastRowLastColumn="0"/>
        </w:trPr>
        <w:tc>
          <w:tcPr>
            <w:tcW w:w="2692" w:type="pct"/>
          </w:tcPr>
          <w:p w14:paraId="10D4F245" w14:textId="5D9B1E61" w:rsidR="000524BE" w:rsidRPr="00543936" w:rsidRDefault="002D780D">
            <w:pPr>
              <w:pStyle w:val="TableHeading1"/>
            </w:pPr>
            <w:r>
              <w:t>Sub-major group</w:t>
            </w:r>
          </w:p>
        </w:tc>
        <w:tc>
          <w:tcPr>
            <w:tcW w:w="1198" w:type="pct"/>
          </w:tcPr>
          <w:p w14:paraId="545F04E0" w14:textId="77777777" w:rsidR="000524BE" w:rsidRPr="00543936" w:rsidRDefault="000524BE">
            <w:pPr>
              <w:pStyle w:val="TableHeading1"/>
            </w:pPr>
            <w:r w:rsidRPr="00E213C3">
              <w:t>Occupations (No.)</w:t>
            </w:r>
          </w:p>
        </w:tc>
        <w:tc>
          <w:tcPr>
            <w:tcW w:w="1110" w:type="pct"/>
          </w:tcPr>
          <w:p w14:paraId="5C4AEDF9" w14:textId="77777777" w:rsidR="000524BE" w:rsidRPr="00543936" w:rsidRDefault="000524BE">
            <w:pPr>
              <w:pStyle w:val="TableHeading1"/>
            </w:pPr>
            <w:r w:rsidRPr="00E213C3">
              <w:t>Occupations (%)</w:t>
            </w:r>
          </w:p>
        </w:tc>
      </w:tr>
      <w:tr w:rsidR="00857DC7" w:rsidRPr="00B26C3D" w14:paraId="2FAC7B7E" w14:textId="77777777">
        <w:tc>
          <w:tcPr>
            <w:tcW w:w="2692" w:type="pct"/>
          </w:tcPr>
          <w:p w14:paraId="0CA1E686" w14:textId="4105BADF" w:rsidR="00857DC7" w:rsidRPr="00543936" w:rsidRDefault="00857DC7" w:rsidP="00857DC7">
            <w:pPr>
              <w:pStyle w:val="TableBodyText"/>
            </w:pPr>
            <w:r w:rsidRPr="00B345FA">
              <w:t>Construction, Production and Distribution Managers</w:t>
            </w:r>
          </w:p>
        </w:tc>
        <w:tc>
          <w:tcPr>
            <w:tcW w:w="1198" w:type="pct"/>
          </w:tcPr>
          <w:p w14:paraId="3A15479F" w14:textId="649AD53F" w:rsidR="00857DC7" w:rsidRPr="00543936" w:rsidRDefault="00857DC7" w:rsidP="00857DC7">
            <w:pPr>
              <w:pStyle w:val="TableBodyTextright"/>
            </w:pPr>
            <w:r w:rsidRPr="00B345FA">
              <w:t>1</w:t>
            </w:r>
          </w:p>
        </w:tc>
        <w:tc>
          <w:tcPr>
            <w:tcW w:w="1110" w:type="pct"/>
          </w:tcPr>
          <w:p w14:paraId="5D69674A" w14:textId="7E3FD47D" w:rsidR="00857DC7" w:rsidRPr="00543936" w:rsidRDefault="00857DC7" w:rsidP="00857DC7">
            <w:pPr>
              <w:pStyle w:val="TableBodyTextright"/>
            </w:pPr>
            <w:r w:rsidRPr="00B345FA">
              <w:t>1%</w:t>
            </w:r>
          </w:p>
        </w:tc>
      </w:tr>
      <w:tr w:rsidR="00857DC7" w:rsidRPr="00B26C3D" w14:paraId="0AF75431" w14:textId="77777777">
        <w:trPr>
          <w:cnfStyle w:val="000000010000" w:firstRow="0" w:lastRow="0" w:firstColumn="0" w:lastColumn="0" w:oddVBand="0" w:evenVBand="0" w:oddHBand="0" w:evenHBand="1" w:firstRowFirstColumn="0" w:firstRowLastColumn="0" w:lastRowFirstColumn="0" w:lastRowLastColumn="0"/>
        </w:trPr>
        <w:tc>
          <w:tcPr>
            <w:tcW w:w="2692" w:type="pct"/>
          </w:tcPr>
          <w:p w14:paraId="070A630C" w14:textId="191FA3FD" w:rsidR="00857DC7" w:rsidRPr="00543936" w:rsidRDefault="00857DC7" w:rsidP="00857DC7">
            <w:pPr>
              <w:pStyle w:val="TableBodyText"/>
            </w:pPr>
            <w:r w:rsidRPr="00B345FA">
              <w:t>Hospitality and Retail Managers</w:t>
            </w:r>
          </w:p>
        </w:tc>
        <w:tc>
          <w:tcPr>
            <w:tcW w:w="1198" w:type="pct"/>
          </w:tcPr>
          <w:p w14:paraId="348687C5" w14:textId="345090BD" w:rsidR="00857DC7" w:rsidRPr="00543936" w:rsidRDefault="00857DC7" w:rsidP="00857DC7">
            <w:pPr>
              <w:pStyle w:val="TableBodyTextright"/>
            </w:pPr>
            <w:r w:rsidRPr="00B345FA">
              <w:t>1</w:t>
            </w:r>
          </w:p>
        </w:tc>
        <w:tc>
          <w:tcPr>
            <w:tcW w:w="1110" w:type="pct"/>
          </w:tcPr>
          <w:p w14:paraId="28136430" w14:textId="1128A374" w:rsidR="00857DC7" w:rsidRPr="00543936" w:rsidRDefault="00857DC7" w:rsidP="00857DC7">
            <w:pPr>
              <w:pStyle w:val="TableBodyTextright"/>
            </w:pPr>
            <w:r w:rsidRPr="00B345FA">
              <w:t>1%</w:t>
            </w:r>
          </w:p>
        </w:tc>
      </w:tr>
      <w:tr w:rsidR="00857DC7" w:rsidRPr="00B26C3D" w14:paraId="7B02260C" w14:textId="77777777">
        <w:tc>
          <w:tcPr>
            <w:tcW w:w="2692" w:type="pct"/>
          </w:tcPr>
          <w:p w14:paraId="4D658B9B" w14:textId="044C459B" w:rsidR="00857DC7" w:rsidRPr="00543936" w:rsidRDefault="00857DC7" w:rsidP="00857DC7">
            <w:pPr>
              <w:pStyle w:val="TableBodyText"/>
            </w:pPr>
            <w:r w:rsidRPr="00B345FA">
              <w:t>Accounting and Finance Professionals</w:t>
            </w:r>
          </w:p>
        </w:tc>
        <w:tc>
          <w:tcPr>
            <w:tcW w:w="1198" w:type="pct"/>
          </w:tcPr>
          <w:p w14:paraId="4BA98ECD" w14:textId="771F2C58" w:rsidR="00857DC7" w:rsidRPr="00543936" w:rsidRDefault="00857DC7" w:rsidP="00857DC7">
            <w:pPr>
              <w:pStyle w:val="TableBodyTextright"/>
            </w:pPr>
            <w:r w:rsidRPr="00B345FA">
              <w:t>1</w:t>
            </w:r>
          </w:p>
        </w:tc>
        <w:tc>
          <w:tcPr>
            <w:tcW w:w="1110" w:type="pct"/>
          </w:tcPr>
          <w:p w14:paraId="42D831FA" w14:textId="32370D91" w:rsidR="00857DC7" w:rsidRPr="00543936" w:rsidRDefault="00857DC7" w:rsidP="00857DC7">
            <w:pPr>
              <w:pStyle w:val="TableBodyTextright"/>
            </w:pPr>
            <w:r w:rsidRPr="00B345FA">
              <w:t>1%</w:t>
            </w:r>
          </w:p>
        </w:tc>
      </w:tr>
      <w:tr w:rsidR="00857DC7" w:rsidRPr="00B26C3D" w14:paraId="0B8891C8" w14:textId="77777777">
        <w:trPr>
          <w:cnfStyle w:val="000000010000" w:firstRow="0" w:lastRow="0" w:firstColumn="0" w:lastColumn="0" w:oddVBand="0" w:evenVBand="0" w:oddHBand="0" w:evenHBand="1" w:firstRowFirstColumn="0" w:firstRowLastColumn="0" w:lastRowFirstColumn="0" w:lastRowLastColumn="0"/>
        </w:trPr>
        <w:tc>
          <w:tcPr>
            <w:tcW w:w="2692" w:type="pct"/>
          </w:tcPr>
          <w:p w14:paraId="1C7A9F96" w14:textId="59337AE6" w:rsidR="00857DC7" w:rsidRPr="00543936" w:rsidRDefault="00857DC7" w:rsidP="00857DC7">
            <w:pPr>
              <w:pStyle w:val="TableBodyText"/>
            </w:pPr>
            <w:r w:rsidRPr="00B345FA">
              <w:t>Design, Engineering and Science Professionals</w:t>
            </w:r>
          </w:p>
        </w:tc>
        <w:tc>
          <w:tcPr>
            <w:tcW w:w="1198" w:type="pct"/>
          </w:tcPr>
          <w:p w14:paraId="2748EF79" w14:textId="384A3684" w:rsidR="00857DC7" w:rsidRPr="00543936" w:rsidRDefault="00CA6DEF" w:rsidP="00857DC7">
            <w:pPr>
              <w:pStyle w:val="TableBodyTextright"/>
            </w:pPr>
            <w:r>
              <w:t>19</w:t>
            </w:r>
          </w:p>
        </w:tc>
        <w:tc>
          <w:tcPr>
            <w:tcW w:w="1110" w:type="pct"/>
          </w:tcPr>
          <w:p w14:paraId="3417AE5A" w14:textId="1726CCDB" w:rsidR="00857DC7" w:rsidRPr="00543936" w:rsidRDefault="00857DC7" w:rsidP="00857DC7">
            <w:pPr>
              <w:pStyle w:val="TableBodyTextright"/>
            </w:pPr>
            <w:r w:rsidRPr="00B345FA">
              <w:t>1</w:t>
            </w:r>
            <w:r w:rsidR="0034778D">
              <w:t>5</w:t>
            </w:r>
            <w:r w:rsidRPr="00B345FA">
              <w:t>%</w:t>
            </w:r>
          </w:p>
        </w:tc>
      </w:tr>
      <w:tr w:rsidR="00857DC7" w:rsidRPr="00B26C3D" w14:paraId="78F50D5F" w14:textId="77777777">
        <w:tc>
          <w:tcPr>
            <w:tcW w:w="2692" w:type="pct"/>
          </w:tcPr>
          <w:p w14:paraId="114D6C64" w14:textId="15C05907" w:rsidR="00857DC7" w:rsidRPr="00330234" w:rsidRDefault="00857DC7" w:rsidP="00857DC7">
            <w:pPr>
              <w:pStyle w:val="TableBodyText"/>
            </w:pPr>
            <w:r w:rsidRPr="00B345FA">
              <w:t>Education Professionals</w:t>
            </w:r>
          </w:p>
        </w:tc>
        <w:tc>
          <w:tcPr>
            <w:tcW w:w="1198" w:type="pct"/>
          </w:tcPr>
          <w:p w14:paraId="6243FDC9" w14:textId="78553AD2" w:rsidR="00857DC7" w:rsidRPr="00330234" w:rsidDel="007558BB" w:rsidRDefault="00857DC7" w:rsidP="00857DC7">
            <w:pPr>
              <w:pStyle w:val="TableBodyTextright"/>
            </w:pPr>
            <w:r w:rsidRPr="00B345FA">
              <w:t>1</w:t>
            </w:r>
          </w:p>
        </w:tc>
        <w:tc>
          <w:tcPr>
            <w:tcW w:w="1110" w:type="pct"/>
          </w:tcPr>
          <w:p w14:paraId="656BF078" w14:textId="3CF9E1CE" w:rsidR="00857DC7" w:rsidRPr="00330234" w:rsidDel="007558BB" w:rsidRDefault="00857DC7" w:rsidP="00857DC7">
            <w:pPr>
              <w:pStyle w:val="TableBodyTextright"/>
            </w:pPr>
            <w:r w:rsidRPr="00B345FA">
              <w:t>1%</w:t>
            </w:r>
          </w:p>
        </w:tc>
      </w:tr>
      <w:tr w:rsidR="00857DC7" w:rsidRPr="00B26C3D" w14:paraId="0189744F" w14:textId="77777777">
        <w:trPr>
          <w:cnfStyle w:val="000000010000" w:firstRow="0" w:lastRow="0" w:firstColumn="0" w:lastColumn="0" w:oddVBand="0" w:evenVBand="0" w:oddHBand="0" w:evenHBand="1" w:firstRowFirstColumn="0" w:firstRowLastColumn="0" w:lastRowFirstColumn="0" w:lastRowLastColumn="0"/>
        </w:trPr>
        <w:tc>
          <w:tcPr>
            <w:tcW w:w="2692" w:type="pct"/>
          </w:tcPr>
          <w:p w14:paraId="6C0EF749" w14:textId="30B5CA62" w:rsidR="00857DC7" w:rsidRPr="00543936" w:rsidRDefault="00857DC7" w:rsidP="00857DC7">
            <w:pPr>
              <w:pStyle w:val="TableBodyText"/>
            </w:pPr>
            <w:r w:rsidRPr="00B345FA">
              <w:t>Health Professionals</w:t>
            </w:r>
          </w:p>
        </w:tc>
        <w:tc>
          <w:tcPr>
            <w:tcW w:w="1198" w:type="pct"/>
          </w:tcPr>
          <w:p w14:paraId="15319C70" w14:textId="35635EF3" w:rsidR="00857DC7" w:rsidRPr="00543936" w:rsidRDefault="00857DC7" w:rsidP="00857DC7">
            <w:pPr>
              <w:pStyle w:val="TableBodyTextright"/>
            </w:pPr>
            <w:r w:rsidRPr="00B345FA">
              <w:t>21</w:t>
            </w:r>
          </w:p>
        </w:tc>
        <w:tc>
          <w:tcPr>
            <w:tcW w:w="1110" w:type="pct"/>
          </w:tcPr>
          <w:p w14:paraId="2B4B4456" w14:textId="0DB214CA" w:rsidR="00857DC7" w:rsidRPr="00543936" w:rsidRDefault="00857DC7" w:rsidP="00857DC7">
            <w:pPr>
              <w:pStyle w:val="TableBodyTextright"/>
            </w:pPr>
            <w:r w:rsidRPr="00B345FA">
              <w:t>1</w:t>
            </w:r>
            <w:r w:rsidR="0034778D">
              <w:t>7</w:t>
            </w:r>
            <w:r w:rsidRPr="00B345FA">
              <w:t>%</w:t>
            </w:r>
          </w:p>
        </w:tc>
      </w:tr>
      <w:tr w:rsidR="00857DC7" w:rsidRPr="00B26C3D" w14:paraId="71E67CE4" w14:textId="77777777">
        <w:tc>
          <w:tcPr>
            <w:tcW w:w="2692" w:type="pct"/>
          </w:tcPr>
          <w:p w14:paraId="113F9EBE" w14:textId="64DD7A0E" w:rsidR="00857DC7" w:rsidRPr="00330234" w:rsidRDefault="00857DC7" w:rsidP="00857DC7">
            <w:pPr>
              <w:pStyle w:val="TableBodyText"/>
            </w:pPr>
            <w:r w:rsidRPr="00B345FA">
              <w:t>ICT Professionals</w:t>
            </w:r>
          </w:p>
        </w:tc>
        <w:tc>
          <w:tcPr>
            <w:tcW w:w="1198" w:type="pct"/>
          </w:tcPr>
          <w:p w14:paraId="50B9A0A9" w14:textId="653E6A36" w:rsidR="00857DC7" w:rsidRPr="00330234" w:rsidDel="007558BB" w:rsidRDefault="00857DC7" w:rsidP="00857DC7">
            <w:pPr>
              <w:pStyle w:val="TableBodyTextright"/>
            </w:pPr>
            <w:r w:rsidRPr="00B345FA">
              <w:t>4</w:t>
            </w:r>
          </w:p>
        </w:tc>
        <w:tc>
          <w:tcPr>
            <w:tcW w:w="1110" w:type="pct"/>
          </w:tcPr>
          <w:p w14:paraId="7C555D3A" w14:textId="3A3B2DB4" w:rsidR="00857DC7" w:rsidRPr="00330234" w:rsidDel="007558BB" w:rsidRDefault="00857DC7" w:rsidP="00857DC7">
            <w:pPr>
              <w:pStyle w:val="TableBodyTextright"/>
            </w:pPr>
            <w:r w:rsidRPr="00B345FA">
              <w:t>3%</w:t>
            </w:r>
          </w:p>
        </w:tc>
      </w:tr>
      <w:tr w:rsidR="00857DC7" w:rsidRPr="00B26C3D" w14:paraId="6FEAD865" w14:textId="77777777">
        <w:trPr>
          <w:cnfStyle w:val="000000010000" w:firstRow="0" w:lastRow="0" w:firstColumn="0" w:lastColumn="0" w:oddVBand="0" w:evenVBand="0" w:oddHBand="0" w:evenHBand="1" w:firstRowFirstColumn="0" w:firstRowLastColumn="0" w:lastRowFirstColumn="0" w:lastRowLastColumn="0"/>
        </w:trPr>
        <w:tc>
          <w:tcPr>
            <w:tcW w:w="2692" w:type="pct"/>
          </w:tcPr>
          <w:p w14:paraId="0E9881C8" w14:textId="0B553539" w:rsidR="00857DC7" w:rsidRDefault="00857DC7" w:rsidP="00857DC7">
            <w:pPr>
              <w:pStyle w:val="TableBodyText"/>
            </w:pPr>
            <w:r w:rsidRPr="00B345FA">
              <w:t>Building, Engineering, ICT and Scientific Technicians</w:t>
            </w:r>
          </w:p>
        </w:tc>
        <w:tc>
          <w:tcPr>
            <w:tcW w:w="1198" w:type="pct"/>
          </w:tcPr>
          <w:p w14:paraId="0BB78683" w14:textId="5EE79596" w:rsidR="00857DC7" w:rsidRDefault="00857DC7" w:rsidP="00857DC7">
            <w:pPr>
              <w:pStyle w:val="TableBodyTextright"/>
            </w:pPr>
            <w:r w:rsidRPr="00B345FA">
              <w:t>3</w:t>
            </w:r>
          </w:p>
        </w:tc>
        <w:tc>
          <w:tcPr>
            <w:tcW w:w="1110" w:type="pct"/>
          </w:tcPr>
          <w:p w14:paraId="1AB0138D" w14:textId="75627913" w:rsidR="00857DC7" w:rsidRDefault="00857DC7" w:rsidP="00857DC7">
            <w:pPr>
              <w:pStyle w:val="TableBodyTextright"/>
            </w:pPr>
            <w:r w:rsidRPr="00B345FA">
              <w:t>2%</w:t>
            </w:r>
          </w:p>
        </w:tc>
      </w:tr>
      <w:tr w:rsidR="00857DC7" w:rsidRPr="00B26C3D" w14:paraId="4C0AF3A4" w14:textId="77777777">
        <w:tc>
          <w:tcPr>
            <w:tcW w:w="2692" w:type="pct"/>
          </w:tcPr>
          <w:p w14:paraId="71323770" w14:textId="5DCBC915" w:rsidR="00857DC7" w:rsidRDefault="00857DC7" w:rsidP="00857DC7">
            <w:pPr>
              <w:pStyle w:val="TableBodyText"/>
            </w:pPr>
            <w:r w:rsidRPr="00B345FA">
              <w:t>Chefs and Food Trades Workers</w:t>
            </w:r>
          </w:p>
        </w:tc>
        <w:tc>
          <w:tcPr>
            <w:tcW w:w="1198" w:type="pct"/>
          </w:tcPr>
          <w:p w14:paraId="2E85A698" w14:textId="6DEE1C25" w:rsidR="00857DC7" w:rsidRDefault="00857DC7" w:rsidP="00857DC7">
            <w:pPr>
              <w:pStyle w:val="TableBodyTextright"/>
            </w:pPr>
            <w:r w:rsidRPr="00B345FA">
              <w:t>5</w:t>
            </w:r>
          </w:p>
        </w:tc>
        <w:tc>
          <w:tcPr>
            <w:tcW w:w="1110" w:type="pct"/>
          </w:tcPr>
          <w:p w14:paraId="5854E611" w14:textId="62BA9866" w:rsidR="00857DC7" w:rsidRDefault="00857DC7" w:rsidP="00857DC7">
            <w:pPr>
              <w:pStyle w:val="TableBodyTextright"/>
            </w:pPr>
            <w:r w:rsidRPr="00B345FA">
              <w:t>4%</w:t>
            </w:r>
          </w:p>
        </w:tc>
      </w:tr>
      <w:tr w:rsidR="00857DC7" w:rsidRPr="00B26C3D" w14:paraId="15A39939" w14:textId="77777777">
        <w:trPr>
          <w:cnfStyle w:val="000000010000" w:firstRow="0" w:lastRow="0" w:firstColumn="0" w:lastColumn="0" w:oddVBand="0" w:evenVBand="0" w:oddHBand="0" w:evenHBand="1" w:firstRowFirstColumn="0" w:firstRowLastColumn="0" w:lastRowFirstColumn="0" w:lastRowLastColumn="0"/>
        </w:trPr>
        <w:tc>
          <w:tcPr>
            <w:tcW w:w="2692" w:type="pct"/>
          </w:tcPr>
          <w:p w14:paraId="652F0FE6" w14:textId="2B755CB2" w:rsidR="00857DC7" w:rsidRDefault="00857DC7" w:rsidP="00857DC7">
            <w:pPr>
              <w:pStyle w:val="TableBodyText"/>
            </w:pPr>
            <w:r w:rsidRPr="00B345FA">
              <w:t>Engineering Trades Workers</w:t>
            </w:r>
          </w:p>
        </w:tc>
        <w:tc>
          <w:tcPr>
            <w:tcW w:w="1198" w:type="pct"/>
          </w:tcPr>
          <w:p w14:paraId="5981E283" w14:textId="1503A27E" w:rsidR="00857DC7" w:rsidRDefault="00857DC7" w:rsidP="00857DC7">
            <w:pPr>
              <w:pStyle w:val="TableBodyTextright"/>
            </w:pPr>
            <w:r w:rsidRPr="00B345FA">
              <w:t>1</w:t>
            </w:r>
            <w:r w:rsidR="00CA6DEF">
              <w:t>4</w:t>
            </w:r>
          </w:p>
        </w:tc>
        <w:tc>
          <w:tcPr>
            <w:tcW w:w="1110" w:type="pct"/>
          </w:tcPr>
          <w:p w14:paraId="66DBB45F" w14:textId="6A3AC05C" w:rsidR="00857DC7" w:rsidRDefault="00857DC7" w:rsidP="00857DC7">
            <w:pPr>
              <w:pStyle w:val="TableBodyTextright"/>
            </w:pPr>
            <w:r w:rsidRPr="00B345FA">
              <w:t>1</w:t>
            </w:r>
            <w:r w:rsidR="0034778D">
              <w:t>1</w:t>
            </w:r>
            <w:r w:rsidRPr="00B345FA">
              <w:t>%</w:t>
            </w:r>
          </w:p>
        </w:tc>
      </w:tr>
      <w:tr w:rsidR="00857DC7" w:rsidRPr="00B26C3D" w14:paraId="26356D12" w14:textId="77777777">
        <w:tc>
          <w:tcPr>
            <w:tcW w:w="2692" w:type="pct"/>
          </w:tcPr>
          <w:p w14:paraId="7BF6B277" w14:textId="54616EF0" w:rsidR="00857DC7" w:rsidRDefault="00857DC7" w:rsidP="00857DC7">
            <w:pPr>
              <w:pStyle w:val="TableBodyText"/>
            </w:pPr>
            <w:r w:rsidRPr="00B345FA">
              <w:t>Skilled Animal, Agricultural and Horticultural Workers</w:t>
            </w:r>
          </w:p>
        </w:tc>
        <w:tc>
          <w:tcPr>
            <w:tcW w:w="1198" w:type="pct"/>
          </w:tcPr>
          <w:p w14:paraId="42298637" w14:textId="38E9D783" w:rsidR="00857DC7" w:rsidRDefault="00857DC7" w:rsidP="00857DC7">
            <w:pPr>
              <w:pStyle w:val="TableBodyTextright"/>
            </w:pPr>
            <w:r w:rsidRPr="00B345FA">
              <w:t>3</w:t>
            </w:r>
          </w:p>
        </w:tc>
        <w:tc>
          <w:tcPr>
            <w:tcW w:w="1110" w:type="pct"/>
          </w:tcPr>
          <w:p w14:paraId="4E0EBB54" w14:textId="7DFD8CC2" w:rsidR="00857DC7" w:rsidRDefault="00857DC7" w:rsidP="00857DC7">
            <w:pPr>
              <w:pStyle w:val="TableBodyTextright"/>
            </w:pPr>
            <w:r w:rsidRPr="00B345FA">
              <w:t>2%</w:t>
            </w:r>
          </w:p>
        </w:tc>
      </w:tr>
      <w:tr w:rsidR="00857DC7" w:rsidRPr="00B26C3D" w14:paraId="29C700E9" w14:textId="77777777">
        <w:trPr>
          <w:cnfStyle w:val="000000010000" w:firstRow="0" w:lastRow="0" w:firstColumn="0" w:lastColumn="0" w:oddVBand="0" w:evenVBand="0" w:oddHBand="0" w:evenHBand="1" w:firstRowFirstColumn="0" w:firstRowLastColumn="0" w:lastRowFirstColumn="0" w:lastRowLastColumn="0"/>
        </w:trPr>
        <w:tc>
          <w:tcPr>
            <w:tcW w:w="2692" w:type="pct"/>
          </w:tcPr>
          <w:p w14:paraId="4ACA1283" w14:textId="030DFC52" w:rsidR="00857DC7" w:rsidRDefault="00857DC7" w:rsidP="00857DC7">
            <w:pPr>
              <w:pStyle w:val="TableBodyText"/>
            </w:pPr>
            <w:r w:rsidRPr="00B345FA">
              <w:t>Automotive Technicians and Trades Workers</w:t>
            </w:r>
          </w:p>
        </w:tc>
        <w:tc>
          <w:tcPr>
            <w:tcW w:w="1198" w:type="pct"/>
          </w:tcPr>
          <w:p w14:paraId="4534F8D8" w14:textId="4A95836C" w:rsidR="00857DC7" w:rsidRDefault="00857DC7" w:rsidP="00857DC7">
            <w:pPr>
              <w:pStyle w:val="TableBodyTextright"/>
            </w:pPr>
            <w:r w:rsidRPr="00B345FA">
              <w:t>9</w:t>
            </w:r>
          </w:p>
        </w:tc>
        <w:tc>
          <w:tcPr>
            <w:tcW w:w="1110" w:type="pct"/>
          </w:tcPr>
          <w:p w14:paraId="1C3B4B5D" w14:textId="64DF9176" w:rsidR="00857DC7" w:rsidRDefault="00857DC7" w:rsidP="00857DC7">
            <w:pPr>
              <w:pStyle w:val="TableBodyTextright"/>
            </w:pPr>
            <w:r w:rsidRPr="00B345FA">
              <w:t>7%</w:t>
            </w:r>
          </w:p>
        </w:tc>
      </w:tr>
      <w:tr w:rsidR="00857DC7" w:rsidRPr="00B26C3D" w14:paraId="4F76E33D" w14:textId="77777777">
        <w:tc>
          <w:tcPr>
            <w:tcW w:w="2692" w:type="pct"/>
          </w:tcPr>
          <w:p w14:paraId="56ADE757" w14:textId="6FDC5ACB" w:rsidR="00857DC7" w:rsidRDefault="00857DC7" w:rsidP="00857DC7">
            <w:pPr>
              <w:pStyle w:val="TableBodyText"/>
            </w:pPr>
            <w:r w:rsidRPr="00B345FA">
              <w:t>Building Completion and Related Trades Workers</w:t>
            </w:r>
          </w:p>
        </w:tc>
        <w:tc>
          <w:tcPr>
            <w:tcW w:w="1198" w:type="pct"/>
          </w:tcPr>
          <w:p w14:paraId="6890E944" w14:textId="73941268" w:rsidR="00857DC7" w:rsidRDefault="00857DC7" w:rsidP="00857DC7">
            <w:pPr>
              <w:pStyle w:val="TableBodyTextright"/>
            </w:pPr>
            <w:r w:rsidRPr="00B345FA">
              <w:t>15</w:t>
            </w:r>
          </w:p>
        </w:tc>
        <w:tc>
          <w:tcPr>
            <w:tcW w:w="1110" w:type="pct"/>
          </w:tcPr>
          <w:p w14:paraId="1A51CECA" w14:textId="129318F2" w:rsidR="00857DC7" w:rsidRDefault="00857DC7" w:rsidP="00857DC7">
            <w:pPr>
              <w:pStyle w:val="TableBodyTextright"/>
            </w:pPr>
            <w:r w:rsidRPr="00B345FA">
              <w:t>12%</w:t>
            </w:r>
          </w:p>
        </w:tc>
      </w:tr>
      <w:tr w:rsidR="00857DC7" w:rsidRPr="00B26C3D" w14:paraId="0E78DAF0" w14:textId="77777777">
        <w:trPr>
          <w:cnfStyle w:val="000000010000" w:firstRow="0" w:lastRow="0" w:firstColumn="0" w:lastColumn="0" w:oddVBand="0" w:evenVBand="0" w:oddHBand="0" w:evenHBand="1" w:firstRowFirstColumn="0" w:firstRowLastColumn="0" w:lastRowFirstColumn="0" w:lastRowLastColumn="0"/>
        </w:trPr>
        <w:tc>
          <w:tcPr>
            <w:tcW w:w="2692" w:type="pct"/>
          </w:tcPr>
          <w:p w14:paraId="23F7AF25" w14:textId="3030A474" w:rsidR="00857DC7" w:rsidRDefault="00857DC7" w:rsidP="00857DC7">
            <w:pPr>
              <w:pStyle w:val="TableBodyText"/>
            </w:pPr>
            <w:r w:rsidRPr="00B345FA">
              <w:t>Building Structural Trades Workers</w:t>
            </w:r>
          </w:p>
        </w:tc>
        <w:tc>
          <w:tcPr>
            <w:tcW w:w="1198" w:type="pct"/>
          </w:tcPr>
          <w:p w14:paraId="7006F73B" w14:textId="5521B3E1" w:rsidR="00857DC7" w:rsidRDefault="00857DC7" w:rsidP="00857DC7">
            <w:pPr>
              <w:pStyle w:val="TableBodyTextright"/>
            </w:pPr>
            <w:r w:rsidRPr="00B345FA">
              <w:t>5</w:t>
            </w:r>
          </w:p>
        </w:tc>
        <w:tc>
          <w:tcPr>
            <w:tcW w:w="1110" w:type="pct"/>
          </w:tcPr>
          <w:p w14:paraId="564775A3" w14:textId="08FEB25B" w:rsidR="00857DC7" w:rsidRDefault="00857DC7" w:rsidP="00857DC7">
            <w:pPr>
              <w:pStyle w:val="TableBodyTextright"/>
            </w:pPr>
            <w:r w:rsidRPr="00B345FA">
              <w:t>4%</w:t>
            </w:r>
          </w:p>
        </w:tc>
      </w:tr>
      <w:tr w:rsidR="00857DC7" w:rsidRPr="00B26C3D" w14:paraId="11F9D095" w14:textId="77777777">
        <w:tc>
          <w:tcPr>
            <w:tcW w:w="2692" w:type="pct"/>
          </w:tcPr>
          <w:p w14:paraId="2F6098B1" w14:textId="2E0D0AF3" w:rsidR="00857DC7" w:rsidRDefault="00857DC7" w:rsidP="00857DC7">
            <w:pPr>
              <w:pStyle w:val="TableBodyText"/>
            </w:pPr>
            <w:r w:rsidRPr="00B345FA">
              <w:t>Electrotechnology and Telecommunications Trades Workers</w:t>
            </w:r>
          </w:p>
        </w:tc>
        <w:tc>
          <w:tcPr>
            <w:tcW w:w="1198" w:type="pct"/>
          </w:tcPr>
          <w:p w14:paraId="27CE7BBE" w14:textId="4569E777" w:rsidR="00857DC7" w:rsidRDefault="00857DC7" w:rsidP="00857DC7">
            <w:pPr>
              <w:pStyle w:val="TableBodyTextright"/>
            </w:pPr>
            <w:r w:rsidRPr="00B345FA">
              <w:t>9</w:t>
            </w:r>
          </w:p>
        </w:tc>
        <w:tc>
          <w:tcPr>
            <w:tcW w:w="1110" w:type="pct"/>
          </w:tcPr>
          <w:p w14:paraId="376DFFC4" w14:textId="0AE19C3F" w:rsidR="00857DC7" w:rsidRDefault="00857DC7" w:rsidP="00857DC7">
            <w:pPr>
              <w:pStyle w:val="TableBodyTextright"/>
            </w:pPr>
            <w:r w:rsidRPr="00B345FA">
              <w:t>7%</w:t>
            </w:r>
          </w:p>
        </w:tc>
      </w:tr>
      <w:tr w:rsidR="00857DC7" w:rsidRPr="00B26C3D" w14:paraId="46A0B76A" w14:textId="77777777">
        <w:trPr>
          <w:cnfStyle w:val="000000010000" w:firstRow="0" w:lastRow="0" w:firstColumn="0" w:lastColumn="0" w:oddVBand="0" w:evenVBand="0" w:oddHBand="0" w:evenHBand="1" w:firstRowFirstColumn="0" w:firstRowLastColumn="0" w:lastRowFirstColumn="0" w:lastRowLastColumn="0"/>
        </w:trPr>
        <w:tc>
          <w:tcPr>
            <w:tcW w:w="2692" w:type="pct"/>
          </w:tcPr>
          <w:p w14:paraId="48F511DA" w14:textId="0C33D277" w:rsidR="00857DC7" w:rsidRDefault="00857DC7" w:rsidP="00857DC7">
            <w:pPr>
              <w:pStyle w:val="TableBodyText"/>
            </w:pPr>
            <w:r w:rsidRPr="00B345FA">
              <w:t>Other Technicians and Trades Workers</w:t>
            </w:r>
          </w:p>
        </w:tc>
        <w:tc>
          <w:tcPr>
            <w:tcW w:w="1198" w:type="pct"/>
          </w:tcPr>
          <w:p w14:paraId="7CBABCAC" w14:textId="3B1DCDD6" w:rsidR="00857DC7" w:rsidRDefault="00857DC7" w:rsidP="00857DC7">
            <w:pPr>
              <w:pStyle w:val="TableBodyTextright"/>
            </w:pPr>
            <w:r w:rsidRPr="00B345FA">
              <w:t>6</w:t>
            </w:r>
          </w:p>
        </w:tc>
        <w:tc>
          <w:tcPr>
            <w:tcW w:w="1110" w:type="pct"/>
          </w:tcPr>
          <w:p w14:paraId="22E50294" w14:textId="016E63D6" w:rsidR="00857DC7" w:rsidRDefault="00857DC7" w:rsidP="00857DC7">
            <w:pPr>
              <w:pStyle w:val="TableBodyTextright"/>
            </w:pPr>
            <w:r w:rsidRPr="00B345FA">
              <w:t>5%</w:t>
            </w:r>
          </w:p>
        </w:tc>
      </w:tr>
      <w:tr w:rsidR="00857DC7" w:rsidRPr="00B26C3D" w14:paraId="3900E7AC" w14:textId="77777777">
        <w:tc>
          <w:tcPr>
            <w:tcW w:w="2692" w:type="pct"/>
          </w:tcPr>
          <w:p w14:paraId="0E9340CD" w14:textId="02F8BB19" w:rsidR="00857DC7" w:rsidRDefault="00857DC7" w:rsidP="00857DC7">
            <w:pPr>
              <w:pStyle w:val="TableBodyText"/>
            </w:pPr>
            <w:r w:rsidRPr="00B345FA">
              <w:t>Aged Care and Disability Services and Support Workers</w:t>
            </w:r>
          </w:p>
        </w:tc>
        <w:tc>
          <w:tcPr>
            <w:tcW w:w="1198" w:type="pct"/>
          </w:tcPr>
          <w:p w14:paraId="4229B58A" w14:textId="1B2E63F6" w:rsidR="00857DC7" w:rsidRDefault="00857DC7" w:rsidP="00857DC7">
            <w:pPr>
              <w:pStyle w:val="TableBodyTextright"/>
            </w:pPr>
            <w:r w:rsidRPr="00B345FA">
              <w:t>3</w:t>
            </w:r>
          </w:p>
        </w:tc>
        <w:tc>
          <w:tcPr>
            <w:tcW w:w="1110" w:type="pct"/>
          </w:tcPr>
          <w:p w14:paraId="55264A65" w14:textId="5DBD83FB" w:rsidR="00857DC7" w:rsidRDefault="00857DC7" w:rsidP="00857DC7">
            <w:pPr>
              <w:pStyle w:val="TableBodyTextright"/>
            </w:pPr>
            <w:r w:rsidRPr="00B345FA">
              <w:t>2%</w:t>
            </w:r>
          </w:p>
        </w:tc>
      </w:tr>
      <w:tr w:rsidR="00857DC7" w:rsidRPr="00B26C3D" w14:paraId="68FEC832" w14:textId="77777777">
        <w:trPr>
          <w:cnfStyle w:val="000000010000" w:firstRow="0" w:lastRow="0" w:firstColumn="0" w:lastColumn="0" w:oddVBand="0" w:evenVBand="0" w:oddHBand="0" w:evenHBand="1" w:firstRowFirstColumn="0" w:firstRowLastColumn="0" w:lastRowFirstColumn="0" w:lastRowLastColumn="0"/>
        </w:trPr>
        <w:tc>
          <w:tcPr>
            <w:tcW w:w="2692" w:type="pct"/>
          </w:tcPr>
          <w:p w14:paraId="1AD748ED" w14:textId="4A7D1ACC" w:rsidR="00857DC7" w:rsidRDefault="00857DC7" w:rsidP="00857DC7">
            <w:pPr>
              <w:pStyle w:val="TableBodyText"/>
            </w:pPr>
            <w:r w:rsidRPr="00B345FA">
              <w:t>Early Childhood Educators, Child Carers and Education Assistants</w:t>
            </w:r>
          </w:p>
        </w:tc>
        <w:tc>
          <w:tcPr>
            <w:tcW w:w="1198" w:type="pct"/>
          </w:tcPr>
          <w:p w14:paraId="50155B87" w14:textId="3C79E7C4" w:rsidR="00857DC7" w:rsidRDefault="00857DC7" w:rsidP="00857DC7">
            <w:pPr>
              <w:pStyle w:val="TableBodyTextright"/>
            </w:pPr>
            <w:r w:rsidRPr="00B345FA">
              <w:t>2</w:t>
            </w:r>
          </w:p>
        </w:tc>
        <w:tc>
          <w:tcPr>
            <w:tcW w:w="1110" w:type="pct"/>
          </w:tcPr>
          <w:p w14:paraId="5E65230E" w14:textId="2BBD1402" w:rsidR="00857DC7" w:rsidRDefault="00857DC7" w:rsidP="00857DC7">
            <w:pPr>
              <w:pStyle w:val="TableBodyTextright"/>
            </w:pPr>
            <w:r w:rsidRPr="00B345FA">
              <w:t>2%</w:t>
            </w:r>
          </w:p>
        </w:tc>
      </w:tr>
      <w:tr w:rsidR="00857DC7" w:rsidRPr="00B26C3D" w14:paraId="01EAC754" w14:textId="77777777">
        <w:tc>
          <w:tcPr>
            <w:tcW w:w="2692" w:type="pct"/>
          </w:tcPr>
          <w:p w14:paraId="4BFEA524" w14:textId="0FB56759" w:rsidR="00857DC7" w:rsidRDefault="00857DC7" w:rsidP="00857DC7">
            <w:pPr>
              <w:pStyle w:val="TableBodyText"/>
            </w:pPr>
            <w:r w:rsidRPr="00B345FA">
              <w:t>Health Support Workers and Assistants</w:t>
            </w:r>
          </w:p>
        </w:tc>
        <w:tc>
          <w:tcPr>
            <w:tcW w:w="1198" w:type="pct"/>
          </w:tcPr>
          <w:p w14:paraId="03122D39" w14:textId="3D4A73E9" w:rsidR="00857DC7" w:rsidRDefault="00857DC7" w:rsidP="00857DC7">
            <w:pPr>
              <w:pStyle w:val="TableBodyTextright"/>
            </w:pPr>
            <w:r w:rsidRPr="00B345FA">
              <w:t>1</w:t>
            </w:r>
          </w:p>
        </w:tc>
        <w:tc>
          <w:tcPr>
            <w:tcW w:w="1110" w:type="pct"/>
          </w:tcPr>
          <w:p w14:paraId="6B5DA0B2" w14:textId="6C4D7C6C" w:rsidR="00857DC7" w:rsidRDefault="00857DC7" w:rsidP="00857DC7">
            <w:pPr>
              <w:pStyle w:val="TableBodyTextright"/>
            </w:pPr>
            <w:r w:rsidRPr="00B345FA">
              <w:t>1%</w:t>
            </w:r>
          </w:p>
        </w:tc>
      </w:tr>
      <w:tr w:rsidR="00857DC7" w:rsidRPr="00B26C3D" w14:paraId="3081E96A" w14:textId="77777777">
        <w:trPr>
          <w:cnfStyle w:val="000000010000" w:firstRow="0" w:lastRow="0" w:firstColumn="0" w:lastColumn="0" w:oddVBand="0" w:evenVBand="0" w:oddHBand="0" w:evenHBand="1" w:firstRowFirstColumn="0" w:firstRowLastColumn="0" w:lastRowFirstColumn="0" w:lastRowLastColumn="0"/>
        </w:trPr>
        <w:tc>
          <w:tcPr>
            <w:tcW w:w="2692" w:type="pct"/>
          </w:tcPr>
          <w:p w14:paraId="123FFA93" w14:textId="73AB1FB6" w:rsidR="00857DC7" w:rsidRDefault="00857DC7" w:rsidP="00857DC7">
            <w:pPr>
              <w:pStyle w:val="TableBodyText"/>
            </w:pPr>
            <w:r w:rsidRPr="00B345FA">
              <w:t>Mobile Plant Operators</w:t>
            </w:r>
          </w:p>
        </w:tc>
        <w:tc>
          <w:tcPr>
            <w:tcW w:w="1198" w:type="pct"/>
          </w:tcPr>
          <w:p w14:paraId="3B7C95DF" w14:textId="2219B830" w:rsidR="00857DC7" w:rsidRDefault="00602BB0" w:rsidP="00857DC7">
            <w:pPr>
              <w:pStyle w:val="TableBodyTextright"/>
            </w:pPr>
            <w:r>
              <w:t>4</w:t>
            </w:r>
          </w:p>
        </w:tc>
        <w:tc>
          <w:tcPr>
            <w:tcW w:w="1110" w:type="pct"/>
          </w:tcPr>
          <w:p w14:paraId="358E55E4" w14:textId="722EBA28" w:rsidR="00857DC7" w:rsidRDefault="008D5E61" w:rsidP="00857DC7">
            <w:pPr>
              <w:pStyle w:val="TableBodyTextright"/>
            </w:pPr>
            <w:r>
              <w:t>3</w:t>
            </w:r>
            <w:r w:rsidR="00857DC7" w:rsidRPr="00B345FA">
              <w:t>%</w:t>
            </w:r>
          </w:p>
        </w:tc>
      </w:tr>
      <w:tr w:rsidR="00857DC7" w:rsidRPr="00B26C3D" w14:paraId="67DA8DDE" w14:textId="77777777">
        <w:tc>
          <w:tcPr>
            <w:tcW w:w="2692" w:type="pct"/>
          </w:tcPr>
          <w:p w14:paraId="4F428A68" w14:textId="044753FF" w:rsidR="00857DC7" w:rsidRDefault="00857DC7" w:rsidP="00857DC7">
            <w:pPr>
              <w:pStyle w:val="TableBodyText"/>
            </w:pPr>
            <w:r>
              <w:t>All occupations</w:t>
            </w:r>
          </w:p>
        </w:tc>
        <w:tc>
          <w:tcPr>
            <w:tcW w:w="1198" w:type="pct"/>
          </w:tcPr>
          <w:p w14:paraId="46C48EC6" w14:textId="530F93FC" w:rsidR="00857DC7" w:rsidRDefault="00857DC7" w:rsidP="00857DC7">
            <w:pPr>
              <w:pStyle w:val="TableBodyTextright"/>
            </w:pPr>
            <w:r w:rsidRPr="00B345FA">
              <w:t>12</w:t>
            </w:r>
            <w:r w:rsidR="00602BB0">
              <w:t>7</w:t>
            </w:r>
          </w:p>
        </w:tc>
        <w:tc>
          <w:tcPr>
            <w:tcW w:w="1110" w:type="pct"/>
          </w:tcPr>
          <w:p w14:paraId="7DA61758" w14:textId="6EC8AFE1" w:rsidR="00857DC7" w:rsidRDefault="00857DC7" w:rsidP="00857DC7">
            <w:pPr>
              <w:pStyle w:val="TableBodyTextright"/>
            </w:pPr>
            <w:r w:rsidRPr="00B345FA">
              <w:t>100%</w:t>
            </w:r>
          </w:p>
        </w:tc>
      </w:tr>
    </w:tbl>
    <w:p w14:paraId="263928BE" w14:textId="5DF60B9A" w:rsidR="009F111E" w:rsidRDefault="009A0740" w:rsidP="00EA0018">
      <w:pPr>
        <w:pStyle w:val="Source"/>
      </w:pPr>
      <w:r>
        <w:t>Source: Jobs and Skills Australia (2026).</w:t>
      </w:r>
      <w:r w:rsidR="000524BE">
        <w:t xml:space="preserve"> </w:t>
      </w:r>
    </w:p>
    <w:p w14:paraId="267AC8CC" w14:textId="77777777" w:rsidR="002F5155" w:rsidRDefault="00212953" w:rsidP="00EA0018">
      <w:pPr>
        <w:pStyle w:val="Source"/>
        <w:sectPr w:rsidR="002F5155" w:rsidSect="00CA5E5C">
          <w:pgSz w:w="11907" w:h="16839" w:code="9"/>
          <w:pgMar w:top="1270" w:right="1440" w:bottom="1270" w:left="1440" w:header="720" w:footer="720" w:gutter="0"/>
          <w:cols w:space="720"/>
          <w:docGrid w:linePitch="360"/>
        </w:sectPr>
      </w:pPr>
      <w:r>
        <w:t>Note: Persistent shortages are occupations that were in shortage in every OSL from 2021 to 2026.</w:t>
      </w:r>
      <w:r w:rsidR="002D780D">
        <w:t xml:space="preserve"> </w:t>
      </w:r>
      <w:r w:rsidR="00540475" w:rsidRPr="00540475">
        <w:t>Percentages may not sum to 100</w:t>
      </w:r>
      <w:r w:rsidR="008D5E61">
        <w:t>%</w:t>
      </w:r>
      <w:r w:rsidR="00540475" w:rsidRPr="00540475">
        <w:t xml:space="preserve"> due to rounding.</w:t>
      </w:r>
      <w:r w:rsidR="002F5155">
        <w:t xml:space="preserve"> </w:t>
      </w:r>
    </w:p>
    <w:p w14:paraId="711176DC" w14:textId="1065BB83" w:rsidR="004F5021" w:rsidRDefault="00BD0FD5">
      <w:pPr>
        <w:pStyle w:val="Caption"/>
        <w:rPr>
          <w:kern w:val="2"/>
          <w:lang w:eastAsia="en-AU"/>
          <w14:ligatures w14:val="standardContextual"/>
        </w:rPr>
      </w:pPr>
      <w:bookmarkStart w:id="1858" w:name="_Ref236231589"/>
      <w:bookmarkStart w:id="1859" w:name="_Ref236232145"/>
      <w:bookmarkStart w:id="1860" w:name="_Ref240643228"/>
      <w:bookmarkStart w:id="1861" w:name="_Toc242271312"/>
      <w:bookmarkEnd w:id="1858"/>
      <w:bookmarkEnd w:id="1859"/>
      <w:r>
        <w:lastRenderedPageBreak/>
        <w:t>Table B</w:t>
      </w:r>
      <w:r>
        <w:fldChar w:fldCharType="begin"/>
      </w:r>
      <w:r>
        <w:instrText xml:space="preserve"> SEQ Table_B \* ARABIC </w:instrText>
      </w:r>
      <w:r>
        <w:fldChar w:fldCharType="separate"/>
      </w:r>
      <w:r w:rsidR="00286763">
        <w:rPr>
          <w:noProof/>
        </w:rPr>
        <w:t>2</w:t>
      </w:r>
      <w:r>
        <w:fldChar w:fldCharType="end"/>
      </w:r>
      <w:bookmarkEnd w:id="1860"/>
      <w:r w:rsidR="00514175" w:rsidRPr="00514175">
        <w:t>: Number of additional occupations in persistent shortage from 2022 to 2026 OSLs, by sub-major group</w:t>
      </w:r>
      <w:bookmarkEnd w:id="1861"/>
    </w:p>
    <w:tbl>
      <w:tblPr>
        <w:tblStyle w:val="CustomTablebasic"/>
        <w:tblW w:w="5000" w:type="pct"/>
        <w:tblLook w:val="0020" w:firstRow="1" w:lastRow="0" w:firstColumn="0" w:lastColumn="0" w:noHBand="0" w:noVBand="0"/>
      </w:tblPr>
      <w:tblGrid>
        <w:gridCol w:w="4860"/>
        <w:gridCol w:w="2163"/>
        <w:gridCol w:w="2004"/>
      </w:tblGrid>
      <w:tr w:rsidR="00330009" w:rsidRPr="00B26C3D" w14:paraId="5A6482F6" w14:textId="77777777">
        <w:trPr>
          <w:cnfStyle w:val="100000000000" w:firstRow="1" w:lastRow="0" w:firstColumn="0" w:lastColumn="0" w:oddVBand="0" w:evenVBand="0" w:oddHBand="0" w:evenHBand="0" w:firstRowFirstColumn="0" w:firstRowLastColumn="0" w:lastRowFirstColumn="0" w:lastRowLastColumn="0"/>
        </w:trPr>
        <w:tc>
          <w:tcPr>
            <w:tcW w:w="2692" w:type="pct"/>
          </w:tcPr>
          <w:p w14:paraId="6839EC75" w14:textId="1450E2CA" w:rsidR="00330009" w:rsidRPr="00543936" w:rsidRDefault="00F52740">
            <w:pPr>
              <w:pStyle w:val="TableHeading1"/>
            </w:pPr>
            <w:r>
              <w:t>Sub</w:t>
            </w:r>
            <w:r w:rsidR="000F096A">
              <w:t>-major group</w:t>
            </w:r>
          </w:p>
        </w:tc>
        <w:tc>
          <w:tcPr>
            <w:tcW w:w="1198" w:type="pct"/>
          </w:tcPr>
          <w:p w14:paraId="113130DA" w14:textId="77777777" w:rsidR="00330009" w:rsidRPr="00543936" w:rsidRDefault="00330009">
            <w:pPr>
              <w:pStyle w:val="TableHeading1"/>
            </w:pPr>
            <w:r w:rsidRPr="00E213C3">
              <w:t>Occupations (No.)</w:t>
            </w:r>
          </w:p>
        </w:tc>
        <w:tc>
          <w:tcPr>
            <w:tcW w:w="1110" w:type="pct"/>
          </w:tcPr>
          <w:p w14:paraId="272BE7B3" w14:textId="77777777" w:rsidR="00330009" w:rsidRPr="00543936" w:rsidRDefault="00330009">
            <w:pPr>
              <w:pStyle w:val="TableHeading1"/>
            </w:pPr>
            <w:r w:rsidRPr="00E213C3">
              <w:t>Occupations (%)</w:t>
            </w:r>
          </w:p>
        </w:tc>
      </w:tr>
      <w:tr w:rsidR="00EB5E7B" w:rsidRPr="00B26C3D" w14:paraId="48612572" w14:textId="77777777">
        <w:tc>
          <w:tcPr>
            <w:tcW w:w="2692" w:type="pct"/>
          </w:tcPr>
          <w:p w14:paraId="1B74AAA2" w14:textId="78580A22" w:rsidR="00EB5E7B" w:rsidRPr="00543936" w:rsidRDefault="00EB5E7B" w:rsidP="00EB5E7B">
            <w:pPr>
              <w:pStyle w:val="TableBodyText"/>
            </w:pPr>
            <w:r w:rsidRPr="0077455F">
              <w:t>Design, Engineering and Science Professionals</w:t>
            </w:r>
          </w:p>
        </w:tc>
        <w:tc>
          <w:tcPr>
            <w:tcW w:w="1198" w:type="pct"/>
          </w:tcPr>
          <w:p w14:paraId="65C2D1D4" w14:textId="6489B575" w:rsidR="00EB5E7B" w:rsidRPr="00543936" w:rsidRDefault="00EB5E7B" w:rsidP="00EB5E7B">
            <w:pPr>
              <w:pStyle w:val="TableBodyTextright"/>
            </w:pPr>
            <w:r w:rsidRPr="0077455F">
              <w:t>1</w:t>
            </w:r>
          </w:p>
        </w:tc>
        <w:tc>
          <w:tcPr>
            <w:tcW w:w="1110" w:type="pct"/>
          </w:tcPr>
          <w:p w14:paraId="7DF8AF11" w14:textId="12033421" w:rsidR="00EB5E7B" w:rsidRPr="00543936" w:rsidRDefault="00EB5E7B" w:rsidP="00EB5E7B">
            <w:pPr>
              <w:pStyle w:val="TableBodyTextright"/>
            </w:pPr>
            <w:r w:rsidRPr="0077455F">
              <w:t>2%</w:t>
            </w:r>
          </w:p>
        </w:tc>
      </w:tr>
      <w:tr w:rsidR="00EB5E7B" w:rsidRPr="00B26C3D" w14:paraId="18C318C8" w14:textId="77777777">
        <w:trPr>
          <w:cnfStyle w:val="000000010000" w:firstRow="0" w:lastRow="0" w:firstColumn="0" w:lastColumn="0" w:oddVBand="0" w:evenVBand="0" w:oddHBand="0" w:evenHBand="1" w:firstRowFirstColumn="0" w:firstRowLastColumn="0" w:lastRowFirstColumn="0" w:lastRowLastColumn="0"/>
        </w:trPr>
        <w:tc>
          <w:tcPr>
            <w:tcW w:w="2692" w:type="pct"/>
          </w:tcPr>
          <w:p w14:paraId="51E6736F" w14:textId="1FF39BAD" w:rsidR="00EB5E7B" w:rsidRPr="00543936" w:rsidRDefault="00EB5E7B" w:rsidP="00EB5E7B">
            <w:pPr>
              <w:pStyle w:val="TableBodyText"/>
            </w:pPr>
            <w:r w:rsidRPr="0077455F">
              <w:t>Education Professionals</w:t>
            </w:r>
          </w:p>
        </w:tc>
        <w:tc>
          <w:tcPr>
            <w:tcW w:w="1198" w:type="pct"/>
          </w:tcPr>
          <w:p w14:paraId="10E74E2E" w14:textId="5FA7EC79" w:rsidR="00EB5E7B" w:rsidRPr="00543936" w:rsidRDefault="00EB5E7B" w:rsidP="00EB5E7B">
            <w:pPr>
              <w:pStyle w:val="TableBodyTextright"/>
            </w:pPr>
            <w:r w:rsidRPr="0077455F">
              <w:t>7</w:t>
            </w:r>
          </w:p>
        </w:tc>
        <w:tc>
          <w:tcPr>
            <w:tcW w:w="1110" w:type="pct"/>
          </w:tcPr>
          <w:p w14:paraId="14AF00EC" w14:textId="4827D9BD" w:rsidR="00EB5E7B" w:rsidRPr="00543936" w:rsidRDefault="00EB5E7B" w:rsidP="00EB5E7B">
            <w:pPr>
              <w:pStyle w:val="TableBodyTextright"/>
            </w:pPr>
            <w:r w:rsidRPr="0077455F">
              <w:t>11%</w:t>
            </w:r>
          </w:p>
        </w:tc>
      </w:tr>
      <w:tr w:rsidR="00EB5E7B" w:rsidRPr="00B26C3D" w14:paraId="42B70E0D" w14:textId="77777777">
        <w:tc>
          <w:tcPr>
            <w:tcW w:w="2692" w:type="pct"/>
          </w:tcPr>
          <w:p w14:paraId="0F9A693B" w14:textId="3BD90432" w:rsidR="00EB5E7B" w:rsidRPr="00543936" w:rsidRDefault="00EB5E7B" w:rsidP="00EB5E7B">
            <w:pPr>
              <w:pStyle w:val="TableBodyText"/>
            </w:pPr>
            <w:r w:rsidRPr="0077455F">
              <w:t>Health Professionals</w:t>
            </w:r>
          </w:p>
        </w:tc>
        <w:tc>
          <w:tcPr>
            <w:tcW w:w="1198" w:type="pct"/>
          </w:tcPr>
          <w:p w14:paraId="31C3B53B" w14:textId="0F82D885" w:rsidR="00EB5E7B" w:rsidRPr="00543936" w:rsidRDefault="00EB5E7B" w:rsidP="00EB5E7B">
            <w:pPr>
              <w:pStyle w:val="TableBodyTextright"/>
            </w:pPr>
            <w:r w:rsidRPr="0077455F">
              <w:t>31</w:t>
            </w:r>
          </w:p>
        </w:tc>
        <w:tc>
          <w:tcPr>
            <w:tcW w:w="1110" w:type="pct"/>
          </w:tcPr>
          <w:p w14:paraId="3C0C6623" w14:textId="29B91E70" w:rsidR="00EB5E7B" w:rsidRPr="00543936" w:rsidRDefault="00EB5E7B" w:rsidP="00EB5E7B">
            <w:pPr>
              <w:pStyle w:val="TableBodyTextright"/>
            </w:pPr>
            <w:r w:rsidRPr="0077455F">
              <w:t>47%</w:t>
            </w:r>
          </w:p>
        </w:tc>
      </w:tr>
      <w:tr w:rsidR="00EB5E7B" w:rsidRPr="00B26C3D" w14:paraId="39AAD0F7" w14:textId="77777777">
        <w:trPr>
          <w:cnfStyle w:val="000000010000" w:firstRow="0" w:lastRow="0" w:firstColumn="0" w:lastColumn="0" w:oddVBand="0" w:evenVBand="0" w:oddHBand="0" w:evenHBand="1" w:firstRowFirstColumn="0" w:firstRowLastColumn="0" w:lastRowFirstColumn="0" w:lastRowLastColumn="0"/>
        </w:trPr>
        <w:tc>
          <w:tcPr>
            <w:tcW w:w="2692" w:type="pct"/>
          </w:tcPr>
          <w:p w14:paraId="03A2F18D" w14:textId="3DD18A66" w:rsidR="00EB5E7B" w:rsidRPr="00330234" w:rsidRDefault="00EB5E7B" w:rsidP="00EB5E7B">
            <w:pPr>
              <w:pStyle w:val="TableBodyText"/>
            </w:pPr>
            <w:r w:rsidRPr="0077455F">
              <w:t>Building, Engineering, ICT and Scientific Technicians</w:t>
            </w:r>
          </w:p>
        </w:tc>
        <w:tc>
          <w:tcPr>
            <w:tcW w:w="1198" w:type="pct"/>
          </w:tcPr>
          <w:p w14:paraId="1D19661F" w14:textId="2AB7517C" w:rsidR="00EB5E7B" w:rsidRPr="00330234" w:rsidDel="007558BB" w:rsidRDefault="00EB5E7B" w:rsidP="00EB5E7B">
            <w:pPr>
              <w:pStyle w:val="TableBodyTextright"/>
            </w:pPr>
            <w:r w:rsidRPr="0077455F">
              <w:t>7</w:t>
            </w:r>
          </w:p>
        </w:tc>
        <w:tc>
          <w:tcPr>
            <w:tcW w:w="1110" w:type="pct"/>
          </w:tcPr>
          <w:p w14:paraId="726F7A11" w14:textId="55BDC123" w:rsidR="00EB5E7B" w:rsidRPr="00330234" w:rsidDel="007558BB" w:rsidRDefault="00EB5E7B" w:rsidP="00EB5E7B">
            <w:pPr>
              <w:pStyle w:val="TableBodyTextright"/>
            </w:pPr>
            <w:r w:rsidRPr="0077455F">
              <w:t>11%</w:t>
            </w:r>
          </w:p>
        </w:tc>
      </w:tr>
      <w:tr w:rsidR="00EB5E7B" w:rsidRPr="00B26C3D" w14:paraId="66764BE9" w14:textId="77777777">
        <w:tc>
          <w:tcPr>
            <w:tcW w:w="2692" w:type="pct"/>
          </w:tcPr>
          <w:p w14:paraId="691F780F" w14:textId="6BA7334E" w:rsidR="00EB5E7B" w:rsidRPr="00543936" w:rsidRDefault="00EB5E7B" w:rsidP="00EB5E7B">
            <w:pPr>
              <w:pStyle w:val="TableBodyText"/>
            </w:pPr>
            <w:r w:rsidRPr="0077455F">
              <w:t>Engineering Trades Workers</w:t>
            </w:r>
          </w:p>
        </w:tc>
        <w:tc>
          <w:tcPr>
            <w:tcW w:w="1198" w:type="pct"/>
          </w:tcPr>
          <w:p w14:paraId="774DB99A" w14:textId="08681E24" w:rsidR="00EB5E7B" w:rsidRPr="00543936" w:rsidRDefault="00EB5E7B" w:rsidP="00EB5E7B">
            <w:pPr>
              <w:pStyle w:val="TableBodyTextright"/>
            </w:pPr>
            <w:r w:rsidRPr="0077455F">
              <w:t>1</w:t>
            </w:r>
          </w:p>
        </w:tc>
        <w:tc>
          <w:tcPr>
            <w:tcW w:w="1110" w:type="pct"/>
          </w:tcPr>
          <w:p w14:paraId="7BD64732" w14:textId="1D5906A6" w:rsidR="00EB5E7B" w:rsidRPr="00543936" w:rsidRDefault="00EB5E7B" w:rsidP="00EB5E7B">
            <w:pPr>
              <w:pStyle w:val="TableBodyTextright"/>
            </w:pPr>
            <w:r w:rsidRPr="0077455F">
              <w:t>2%</w:t>
            </w:r>
          </w:p>
        </w:tc>
      </w:tr>
      <w:tr w:rsidR="00EB5E7B" w:rsidRPr="00B26C3D" w14:paraId="6DD3F130" w14:textId="77777777">
        <w:trPr>
          <w:cnfStyle w:val="000000010000" w:firstRow="0" w:lastRow="0" w:firstColumn="0" w:lastColumn="0" w:oddVBand="0" w:evenVBand="0" w:oddHBand="0" w:evenHBand="1" w:firstRowFirstColumn="0" w:firstRowLastColumn="0" w:lastRowFirstColumn="0" w:lastRowLastColumn="0"/>
        </w:trPr>
        <w:tc>
          <w:tcPr>
            <w:tcW w:w="2692" w:type="pct"/>
          </w:tcPr>
          <w:p w14:paraId="634B287F" w14:textId="7B60D14A" w:rsidR="00EB5E7B" w:rsidRPr="00330234" w:rsidRDefault="00EB5E7B" w:rsidP="00EB5E7B">
            <w:pPr>
              <w:pStyle w:val="TableBodyText"/>
            </w:pPr>
            <w:r w:rsidRPr="0077455F">
              <w:t>Automotive Technicians and Trades Workers</w:t>
            </w:r>
          </w:p>
        </w:tc>
        <w:tc>
          <w:tcPr>
            <w:tcW w:w="1198" w:type="pct"/>
          </w:tcPr>
          <w:p w14:paraId="555D7DD5" w14:textId="4C49EC8F" w:rsidR="00EB5E7B" w:rsidRPr="00330234" w:rsidDel="007558BB" w:rsidRDefault="00EB5E7B" w:rsidP="00EB5E7B">
            <w:pPr>
              <w:pStyle w:val="TableBodyTextright"/>
            </w:pPr>
            <w:r w:rsidRPr="0077455F">
              <w:t>2</w:t>
            </w:r>
          </w:p>
        </w:tc>
        <w:tc>
          <w:tcPr>
            <w:tcW w:w="1110" w:type="pct"/>
          </w:tcPr>
          <w:p w14:paraId="7EB12B38" w14:textId="4B04FA59" w:rsidR="00EB5E7B" w:rsidRPr="00330234" w:rsidDel="007558BB" w:rsidRDefault="00EB5E7B" w:rsidP="00EB5E7B">
            <w:pPr>
              <w:pStyle w:val="TableBodyTextright"/>
            </w:pPr>
            <w:r w:rsidRPr="0077455F">
              <w:t>3%</w:t>
            </w:r>
          </w:p>
        </w:tc>
      </w:tr>
      <w:tr w:rsidR="00EB5E7B" w:rsidRPr="00B26C3D" w14:paraId="0C4C54D6" w14:textId="77777777">
        <w:tc>
          <w:tcPr>
            <w:tcW w:w="2692" w:type="pct"/>
          </w:tcPr>
          <w:p w14:paraId="76D8A35D" w14:textId="1904FE5A" w:rsidR="00EB5E7B" w:rsidRPr="00543936" w:rsidRDefault="00EB5E7B" w:rsidP="00EB5E7B">
            <w:pPr>
              <w:pStyle w:val="TableBodyText"/>
            </w:pPr>
            <w:r w:rsidRPr="0077455F">
              <w:t>Electrotechnology and Telecommunications Trades Workers</w:t>
            </w:r>
          </w:p>
        </w:tc>
        <w:tc>
          <w:tcPr>
            <w:tcW w:w="1198" w:type="pct"/>
          </w:tcPr>
          <w:p w14:paraId="70001A66" w14:textId="6F9E8A40" w:rsidR="00EB5E7B" w:rsidRPr="00543936" w:rsidRDefault="00EB5E7B" w:rsidP="00EB5E7B">
            <w:pPr>
              <w:pStyle w:val="TableBodyTextright"/>
            </w:pPr>
            <w:r w:rsidRPr="0077455F">
              <w:t>1</w:t>
            </w:r>
          </w:p>
        </w:tc>
        <w:tc>
          <w:tcPr>
            <w:tcW w:w="1110" w:type="pct"/>
          </w:tcPr>
          <w:p w14:paraId="4F019F62" w14:textId="302AA500" w:rsidR="00EB5E7B" w:rsidRPr="00543936" w:rsidRDefault="00EB5E7B" w:rsidP="00EB5E7B">
            <w:pPr>
              <w:pStyle w:val="TableBodyTextright"/>
            </w:pPr>
            <w:r w:rsidRPr="0077455F">
              <w:t>2%</w:t>
            </w:r>
          </w:p>
        </w:tc>
      </w:tr>
      <w:tr w:rsidR="00EB5E7B" w:rsidRPr="00B26C3D" w14:paraId="1CC9E21A" w14:textId="77777777">
        <w:trPr>
          <w:cnfStyle w:val="000000010000" w:firstRow="0" w:lastRow="0" w:firstColumn="0" w:lastColumn="0" w:oddVBand="0" w:evenVBand="0" w:oddHBand="0" w:evenHBand="1" w:firstRowFirstColumn="0" w:firstRowLastColumn="0" w:lastRowFirstColumn="0" w:lastRowLastColumn="0"/>
        </w:trPr>
        <w:tc>
          <w:tcPr>
            <w:tcW w:w="2692" w:type="pct"/>
          </w:tcPr>
          <w:p w14:paraId="2ECA7C76" w14:textId="6F08AC44" w:rsidR="00EB5E7B" w:rsidRPr="00330234" w:rsidRDefault="00EB5E7B" w:rsidP="00EB5E7B">
            <w:pPr>
              <w:pStyle w:val="TableBodyText"/>
            </w:pPr>
            <w:r w:rsidRPr="0077455F">
              <w:t>Other Technicians and Trades Workers</w:t>
            </w:r>
          </w:p>
        </w:tc>
        <w:tc>
          <w:tcPr>
            <w:tcW w:w="1198" w:type="pct"/>
          </w:tcPr>
          <w:p w14:paraId="29157D55" w14:textId="3AC5A08B" w:rsidR="00EB5E7B" w:rsidRPr="00330234" w:rsidRDefault="00EB5E7B" w:rsidP="00EB5E7B">
            <w:pPr>
              <w:pStyle w:val="TableBodyTextright"/>
            </w:pPr>
            <w:r w:rsidRPr="0077455F">
              <w:t>2</w:t>
            </w:r>
          </w:p>
        </w:tc>
        <w:tc>
          <w:tcPr>
            <w:tcW w:w="1110" w:type="pct"/>
          </w:tcPr>
          <w:p w14:paraId="3875DDC7" w14:textId="4AACC771" w:rsidR="00EB5E7B" w:rsidRPr="00330234" w:rsidRDefault="00EB5E7B" w:rsidP="00EB5E7B">
            <w:pPr>
              <w:pStyle w:val="TableBodyTextright"/>
            </w:pPr>
            <w:r w:rsidRPr="0077455F">
              <w:t>3%</w:t>
            </w:r>
          </w:p>
        </w:tc>
      </w:tr>
      <w:tr w:rsidR="00EB5E7B" w:rsidRPr="00B26C3D" w14:paraId="4C125F69" w14:textId="77777777">
        <w:tc>
          <w:tcPr>
            <w:tcW w:w="2692" w:type="pct"/>
          </w:tcPr>
          <w:p w14:paraId="00E5F774" w14:textId="616C16CF" w:rsidR="00EB5E7B" w:rsidRPr="00330234" w:rsidRDefault="00EB5E7B" w:rsidP="00EB5E7B">
            <w:pPr>
              <w:pStyle w:val="TableBodyText"/>
            </w:pPr>
            <w:r w:rsidRPr="0077455F">
              <w:t>Personal Service, Sports and Fitness Workers</w:t>
            </w:r>
          </w:p>
        </w:tc>
        <w:tc>
          <w:tcPr>
            <w:tcW w:w="1198" w:type="pct"/>
          </w:tcPr>
          <w:p w14:paraId="1152C65B" w14:textId="0AB3FE76" w:rsidR="00EB5E7B" w:rsidRPr="00330234" w:rsidRDefault="00EB5E7B" w:rsidP="00EB5E7B">
            <w:pPr>
              <w:pStyle w:val="TableBodyTextright"/>
            </w:pPr>
            <w:r w:rsidRPr="0077455F">
              <w:t>6</w:t>
            </w:r>
          </w:p>
        </w:tc>
        <w:tc>
          <w:tcPr>
            <w:tcW w:w="1110" w:type="pct"/>
          </w:tcPr>
          <w:p w14:paraId="2F9040CA" w14:textId="3635A0A0" w:rsidR="00EB5E7B" w:rsidRPr="00330234" w:rsidRDefault="00EB5E7B" w:rsidP="00EB5E7B">
            <w:pPr>
              <w:pStyle w:val="TableBodyTextright"/>
            </w:pPr>
            <w:r w:rsidRPr="0077455F">
              <w:t>9%</w:t>
            </w:r>
          </w:p>
        </w:tc>
      </w:tr>
      <w:tr w:rsidR="00EB5E7B" w:rsidRPr="00B26C3D" w14:paraId="1EE35A9D" w14:textId="77777777">
        <w:trPr>
          <w:cnfStyle w:val="000000010000" w:firstRow="0" w:lastRow="0" w:firstColumn="0" w:lastColumn="0" w:oddVBand="0" w:evenVBand="0" w:oddHBand="0" w:evenHBand="1" w:firstRowFirstColumn="0" w:firstRowLastColumn="0" w:lastRowFirstColumn="0" w:lastRowLastColumn="0"/>
        </w:trPr>
        <w:tc>
          <w:tcPr>
            <w:tcW w:w="2692" w:type="pct"/>
          </w:tcPr>
          <w:p w14:paraId="5280B812" w14:textId="425FF6F6" w:rsidR="00EB5E7B" w:rsidRPr="00330234" w:rsidRDefault="00EB5E7B" w:rsidP="00EB5E7B">
            <w:pPr>
              <w:pStyle w:val="TableBodyText"/>
            </w:pPr>
            <w:r w:rsidRPr="0077455F">
              <w:t>Executive and Legal Assistants and Secretaries</w:t>
            </w:r>
          </w:p>
        </w:tc>
        <w:tc>
          <w:tcPr>
            <w:tcW w:w="1198" w:type="pct"/>
          </w:tcPr>
          <w:p w14:paraId="2F22655A" w14:textId="7692173A" w:rsidR="00EB5E7B" w:rsidRPr="00330234" w:rsidRDefault="00EB5E7B" w:rsidP="00EB5E7B">
            <w:pPr>
              <w:pStyle w:val="TableBodyTextright"/>
            </w:pPr>
            <w:r w:rsidRPr="0077455F">
              <w:t>1</w:t>
            </w:r>
          </w:p>
        </w:tc>
        <w:tc>
          <w:tcPr>
            <w:tcW w:w="1110" w:type="pct"/>
          </w:tcPr>
          <w:p w14:paraId="55970D3A" w14:textId="5D92006F" w:rsidR="00EB5E7B" w:rsidRPr="00330234" w:rsidRDefault="00EB5E7B" w:rsidP="00EB5E7B">
            <w:pPr>
              <w:pStyle w:val="TableBodyTextright"/>
            </w:pPr>
            <w:r w:rsidRPr="0077455F">
              <w:t>2%</w:t>
            </w:r>
          </w:p>
        </w:tc>
      </w:tr>
      <w:tr w:rsidR="00EB5E7B" w:rsidRPr="00B26C3D" w14:paraId="6206CA90" w14:textId="77777777">
        <w:tc>
          <w:tcPr>
            <w:tcW w:w="2692" w:type="pct"/>
          </w:tcPr>
          <w:p w14:paraId="70CA87AB" w14:textId="45277F9C" w:rsidR="00EB5E7B" w:rsidRPr="00330234" w:rsidRDefault="00EB5E7B" w:rsidP="00EB5E7B">
            <w:pPr>
              <w:pStyle w:val="TableBodyText"/>
            </w:pPr>
            <w:r w:rsidRPr="0077455F">
              <w:t>Road and Rail Drivers</w:t>
            </w:r>
          </w:p>
        </w:tc>
        <w:tc>
          <w:tcPr>
            <w:tcW w:w="1198" w:type="pct"/>
          </w:tcPr>
          <w:p w14:paraId="24C3A149" w14:textId="175762FC" w:rsidR="00EB5E7B" w:rsidRPr="00330234" w:rsidRDefault="00EB5E7B" w:rsidP="00EB5E7B">
            <w:pPr>
              <w:pStyle w:val="TableBodyTextright"/>
            </w:pPr>
            <w:r w:rsidRPr="0077455F">
              <w:t>2</w:t>
            </w:r>
          </w:p>
        </w:tc>
        <w:tc>
          <w:tcPr>
            <w:tcW w:w="1110" w:type="pct"/>
          </w:tcPr>
          <w:p w14:paraId="000F323C" w14:textId="0E7D12D3" w:rsidR="00EB5E7B" w:rsidRPr="00330234" w:rsidRDefault="00EB5E7B" w:rsidP="00EB5E7B">
            <w:pPr>
              <w:pStyle w:val="TableBodyTextright"/>
            </w:pPr>
            <w:r w:rsidRPr="0077455F">
              <w:t>3%</w:t>
            </w:r>
          </w:p>
        </w:tc>
      </w:tr>
      <w:tr w:rsidR="00EB5E7B" w:rsidRPr="00B26C3D" w14:paraId="05C9E38D" w14:textId="77777777">
        <w:trPr>
          <w:cnfStyle w:val="000000010000" w:firstRow="0" w:lastRow="0" w:firstColumn="0" w:lastColumn="0" w:oddVBand="0" w:evenVBand="0" w:oddHBand="0" w:evenHBand="1" w:firstRowFirstColumn="0" w:firstRowLastColumn="0" w:lastRowFirstColumn="0" w:lastRowLastColumn="0"/>
        </w:trPr>
        <w:tc>
          <w:tcPr>
            <w:tcW w:w="2692" w:type="pct"/>
          </w:tcPr>
          <w:p w14:paraId="31E5E13A" w14:textId="6F47E1BF" w:rsidR="00EB5E7B" w:rsidRPr="00330234" w:rsidRDefault="00EB5E7B" w:rsidP="00EB5E7B">
            <w:pPr>
              <w:pStyle w:val="TableBodyText"/>
            </w:pPr>
            <w:r w:rsidRPr="0077455F">
              <w:t>Machine and Stationary Plant Operators</w:t>
            </w:r>
          </w:p>
        </w:tc>
        <w:tc>
          <w:tcPr>
            <w:tcW w:w="1198" w:type="pct"/>
          </w:tcPr>
          <w:p w14:paraId="5AFE327B" w14:textId="33AC45F6" w:rsidR="00EB5E7B" w:rsidRPr="00330234" w:rsidRDefault="00EB5E7B" w:rsidP="00EB5E7B">
            <w:pPr>
              <w:pStyle w:val="TableBodyTextright"/>
            </w:pPr>
            <w:r w:rsidRPr="0077455F">
              <w:t>2</w:t>
            </w:r>
          </w:p>
        </w:tc>
        <w:tc>
          <w:tcPr>
            <w:tcW w:w="1110" w:type="pct"/>
          </w:tcPr>
          <w:p w14:paraId="64E379F0" w14:textId="7304C5A8" w:rsidR="00EB5E7B" w:rsidRPr="00330234" w:rsidRDefault="00EB5E7B" w:rsidP="00EB5E7B">
            <w:pPr>
              <w:pStyle w:val="TableBodyTextright"/>
            </w:pPr>
            <w:r w:rsidRPr="0077455F">
              <w:t>3%</w:t>
            </w:r>
          </w:p>
        </w:tc>
      </w:tr>
      <w:tr w:rsidR="00EB5E7B" w:rsidRPr="00B26C3D" w14:paraId="324A7FE9" w14:textId="77777777">
        <w:tc>
          <w:tcPr>
            <w:tcW w:w="2692" w:type="pct"/>
          </w:tcPr>
          <w:p w14:paraId="072B4B2B" w14:textId="191FAF53" w:rsidR="00EB5E7B" w:rsidRPr="00330234" w:rsidRDefault="00EB5E7B" w:rsidP="00EB5E7B">
            <w:pPr>
              <w:pStyle w:val="TableBodyText"/>
            </w:pPr>
            <w:r w:rsidRPr="0077455F">
              <w:t>Construction and Mining Labourers</w:t>
            </w:r>
          </w:p>
        </w:tc>
        <w:tc>
          <w:tcPr>
            <w:tcW w:w="1198" w:type="pct"/>
          </w:tcPr>
          <w:p w14:paraId="22EF6273" w14:textId="6F95CF34" w:rsidR="00EB5E7B" w:rsidRPr="00330234" w:rsidRDefault="00EB5E7B" w:rsidP="00EB5E7B">
            <w:pPr>
              <w:pStyle w:val="TableBodyTextright"/>
            </w:pPr>
            <w:r w:rsidRPr="0077455F">
              <w:t>2</w:t>
            </w:r>
          </w:p>
        </w:tc>
        <w:tc>
          <w:tcPr>
            <w:tcW w:w="1110" w:type="pct"/>
          </w:tcPr>
          <w:p w14:paraId="54A0A799" w14:textId="613AE5BD" w:rsidR="00EB5E7B" w:rsidRPr="00330234" w:rsidRDefault="00EB5E7B" w:rsidP="00EB5E7B">
            <w:pPr>
              <w:pStyle w:val="TableBodyTextright"/>
            </w:pPr>
            <w:r w:rsidRPr="0077455F">
              <w:t>3%</w:t>
            </w:r>
          </w:p>
        </w:tc>
      </w:tr>
      <w:tr w:rsidR="00EB5E7B" w:rsidRPr="00B26C3D" w14:paraId="2997ABA2" w14:textId="77777777">
        <w:trPr>
          <w:cnfStyle w:val="000000010000" w:firstRow="0" w:lastRow="0" w:firstColumn="0" w:lastColumn="0" w:oddVBand="0" w:evenVBand="0" w:oddHBand="0" w:evenHBand="1" w:firstRowFirstColumn="0" w:firstRowLastColumn="0" w:lastRowFirstColumn="0" w:lastRowLastColumn="0"/>
        </w:trPr>
        <w:tc>
          <w:tcPr>
            <w:tcW w:w="2692" w:type="pct"/>
          </w:tcPr>
          <w:p w14:paraId="5DF1B0EF" w14:textId="2B8C7A93" w:rsidR="00EB5E7B" w:rsidRPr="00330234" w:rsidRDefault="00EB5E7B" w:rsidP="00EB5E7B">
            <w:pPr>
              <w:pStyle w:val="TableBodyText"/>
            </w:pPr>
            <w:r w:rsidRPr="0077455F">
              <w:t>Other Labourers</w:t>
            </w:r>
          </w:p>
        </w:tc>
        <w:tc>
          <w:tcPr>
            <w:tcW w:w="1198" w:type="pct"/>
          </w:tcPr>
          <w:p w14:paraId="1C1DB950" w14:textId="474716FE" w:rsidR="00EB5E7B" w:rsidRPr="00330234" w:rsidRDefault="00EB5E7B" w:rsidP="00EB5E7B">
            <w:pPr>
              <w:pStyle w:val="TableBodyTextright"/>
            </w:pPr>
            <w:r w:rsidRPr="0077455F">
              <w:t>1</w:t>
            </w:r>
          </w:p>
        </w:tc>
        <w:tc>
          <w:tcPr>
            <w:tcW w:w="1110" w:type="pct"/>
          </w:tcPr>
          <w:p w14:paraId="3B5AE889" w14:textId="0D49F3F4" w:rsidR="00EB5E7B" w:rsidRPr="00330234" w:rsidRDefault="00EB5E7B" w:rsidP="00EB5E7B">
            <w:pPr>
              <w:pStyle w:val="TableBodyTextright"/>
            </w:pPr>
            <w:r w:rsidRPr="0077455F">
              <w:t>2%</w:t>
            </w:r>
          </w:p>
        </w:tc>
      </w:tr>
      <w:tr w:rsidR="00EB5E7B" w:rsidRPr="00B26C3D" w14:paraId="029C3B26" w14:textId="77777777">
        <w:tc>
          <w:tcPr>
            <w:tcW w:w="2692" w:type="pct"/>
          </w:tcPr>
          <w:p w14:paraId="46CBE011" w14:textId="69209DC5" w:rsidR="00EB5E7B" w:rsidRPr="00330234" w:rsidRDefault="00EB5E7B" w:rsidP="00EB5E7B">
            <w:pPr>
              <w:pStyle w:val="TableBodyText"/>
            </w:pPr>
            <w:r w:rsidRPr="0077455F">
              <w:t>All occupations</w:t>
            </w:r>
          </w:p>
        </w:tc>
        <w:tc>
          <w:tcPr>
            <w:tcW w:w="1198" w:type="pct"/>
          </w:tcPr>
          <w:p w14:paraId="165FD035" w14:textId="23518F5F" w:rsidR="00EB5E7B" w:rsidRPr="00330234" w:rsidRDefault="00EB5E7B" w:rsidP="00EB5E7B">
            <w:pPr>
              <w:pStyle w:val="TableBodyTextright"/>
            </w:pPr>
            <w:r w:rsidRPr="0077455F">
              <w:t>66</w:t>
            </w:r>
          </w:p>
        </w:tc>
        <w:tc>
          <w:tcPr>
            <w:tcW w:w="1110" w:type="pct"/>
          </w:tcPr>
          <w:p w14:paraId="74C34789" w14:textId="0AF5EC35" w:rsidR="00EB5E7B" w:rsidRPr="00330234" w:rsidRDefault="00EB5E7B" w:rsidP="00EB5E7B">
            <w:pPr>
              <w:pStyle w:val="TableBodyTextright"/>
            </w:pPr>
            <w:r w:rsidRPr="0077455F">
              <w:t>100%</w:t>
            </w:r>
          </w:p>
        </w:tc>
      </w:tr>
    </w:tbl>
    <w:p w14:paraId="571990E1" w14:textId="601FF857" w:rsidR="00951D90" w:rsidRPr="00951D90" w:rsidRDefault="009A0740" w:rsidP="00951D90">
      <w:pPr>
        <w:pStyle w:val="Source"/>
      </w:pPr>
      <w:r>
        <w:t>Source: Jobs and Skills Australia (2026).</w:t>
      </w:r>
      <w:r w:rsidR="00330009">
        <w:t xml:space="preserve"> </w:t>
      </w:r>
    </w:p>
    <w:p w14:paraId="54FFBC96" w14:textId="51EF345B" w:rsidR="00674827" w:rsidRPr="00674827" w:rsidRDefault="00913DFC" w:rsidP="00350CF7">
      <w:pPr>
        <w:pStyle w:val="Source"/>
      </w:pPr>
      <w:r>
        <w:t xml:space="preserve">Note: </w:t>
      </w:r>
      <w:r w:rsidR="00BC4F8E" w:rsidRPr="00BC4F8E">
        <w:t xml:space="preserve">Additional persistent shortages are occupations that were not in shortage in 2021, or had no 2021 OSL rating because they were new to the 2022 ANZSCO classification. They were then in shortage in every OSL from 2022 to 2026. </w:t>
      </w:r>
      <w:r w:rsidR="00BC4F8E">
        <w:t>On OSCA basis, t</w:t>
      </w:r>
      <w:r w:rsidR="00BC4F8E" w:rsidRPr="00BC4F8E">
        <w:t>his includes 6</w:t>
      </w:r>
      <w:r w:rsidR="00437BFF">
        <w:t>2</w:t>
      </w:r>
      <w:r w:rsidR="00BC4F8E" w:rsidRPr="00BC4F8E">
        <w:t xml:space="preserve"> occupations that were not in shortage in 2021 and 4 occupations with no 2021 rating. </w:t>
      </w:r>
      <w:r w:rsidR="003E5AB7" w:rsidRPr="0008232A">
        <w:t>Percentages may not sum to 100</w:t>
      </w:r>
      <w:r w:rsidR="00437BFF">
        <w:t>%</w:t>
      </w:r>
      <w:r w:rsidR="003E5AB7" w:rsidRPr="0008232A">
        <w:t xml:space="preserve"> due to rounding.</w:t>
      </w:r>
    </w:p>
    <w:sectPr w:rsidR="00674827" w:rsidRPr="00674827" w:rsidSect="00CA5E5C">
      <w:pgSz w:w="11907" w:h="16839" w:code="9"/>
      <w:pgMar w:top="1270" w:right="1440" w:bottom="12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7F5E6" w14:textId="77777777" w:rsidR="00F7218A" w:rsidRDefault="00F7218A" w:rsidP="00E12845">
      <w:pPr>
        <w:spacing w:before="0" w:after="0"/>
      </w:pPr>
      <w:r>
        <w:separator/>
      </w:r>
    </w:p>
  </w:endnote>
  <w:endnote w:type="continuationSeparator" w:id="0">
    <w:p w14:paraId="1127855A" w14:textId="77777777" w:rsidR="00F7218A" w:rsidRDefault="00F7218A" w:rsidP="00E1284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old">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Script">
    <w:panose1 w:val="030B0504020000000003"/>
    <w:charset w:val="00"/>
    <w:family w:val="script"/>
    <w:pitch w:val="variable"/>
    <w:sig w:usb0="0000028F"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7707227"/>
      <w:docPartObj>
        <w:docPartGallery w:val="Page Numbers (Bottom of Page)"/>
        <w:docPartUnique/>
      </w:docPartObj>
    </w:sdtPr>
    <w:sdtEndPr>
      <w:rPr>
        <w:noProof/>
      </w:rPr>
    </w:sdtEndPr>
    <w:sdtContent>
      <w:p w14:paraId="0283666F" w14:textId="5A3F74F6" w:rsidR="00BA4D1C" w:rsidRDefault="00BA4D1C">
        <w:pPr>
          <w:pStyle w:val="Footer"/>
        </w:pPr>
        <w:r w:rsidRPr="00835A0D">
          <w:t>Jobs and Skills Australia –</w:t>
        </w:r>
        <w:r>
          <w:t xml:space="preserve"> </w:t>
        </w:r>
        <w:fldSimple w:instr="STYLEREF  Title  \* MERGEFORMAT">
          <w:r w:rsidR="00286763">
            <w:rPr>
              <w:noProof/>
            </w:rPr>
            <w:t>2026 Occupation Shortage List</w:t>
          </w:r>
        </w:fldSimple>
        <w:r w:rsidRPr="00A67B12">
          <w:t xml:space="preserve"> </w:t>
        </w:r>
        <w:r>
          <w:tab/>
        </w:r>
        <w:r>
          <w:fldChar w:fldCharType="begin"/>
        </w:r>
        <w:r>
          <w:instrText xml:space="preserve"> PAGE   \* MERGEFORMAT </w:instrText>
        </w:r>
        <w:r>
          <w:fldChar w:fldCharType="separate"/>
        </w:r>
        <w:r>
          <w:t>1</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7256760"/>
      <w:docPartObj>
        <w:docPartGallery w:val="Page Numbers (Bottom of Page)"/>
        <w:docPartUnique/>
      </w:docPartObj>
    </w:sdtPr>
    <w:sdtEndPr>
      <w:rPr>
        <w:noProof/>
      </w:rPr>
    </w:sdtEndPr>
    <w:sdtContent>
      <w:p w14:paraId="66D60B08" w14:textId="46335F92" w:rsidR="000F5CD2" w:rsidRDefault="000F5CD2">
        <w:pPr>
          <w:pStyle w:val="Footer"/>
        </w:pPr>
        <w:r w:rsidRPr="00835A0D">
          <w:t>Jobs and Skills Australia –</w:t>
        </w:r>
        <w:r>
          <w:t xml:space="preserve"> </w:t>
        </w:r>
        <w:fldSimple w:instr="STYLEREF  Title  \* MERGEFORMAT">
          <w:r w:rsidR="00BE5670">
            <w:rPr>
              <w:noProof/>
            </w:rPr>
            <w:t>2026 Occupation Shortage List</w:t>
          </w:r>
        </w:fldSimple>
        <w:r w:rsidRPr="00A67B12">
          <w:t xml:space="preserve"> </w:t>
        </w:r>
        <w:r>
          <w:tab/>
        </w:r>
        <w:r>
          <w:fldChar w:fldCharType="begin"/>
        </w:r>
        <w:r>
          <w:instrText xml:space="preserve"> PAGE   \* MERGEFORMAT </w:instrText>
        </w:r>
        <w:r>
          <w:fldChar w:fldCharType="separate"/>
        </w:r>
        <w: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D9E3D" w14:textId="77777777" w:rsidR="00FC728C" w:rsidRDefault="00FC728C" w:rsidP="00FC728C">
    <w:pPr>
      <w:pStyle w:val="Footer"/>
    </w:pPr>
    <w:r>
      <w:t>Footer</w:t>
    </w:r>
    <w:r>
      <w:tab/>
    </w:r>
    <w:r w:rsidRPr="00024595">
      <w:rPr>
        <w:rStyle w:val="PageNumber"/>
      </w:rPr>
      <w:fldChar w:fldCharType="begin"/>
    </w:r>
    <w:r w:rsidRPr="00024595">
      <w:rPr>
        <w:rStyle w:val="PageNumber"/>
      </w:rPr>
      <w:instrText xml:space="preserve"> PAGE   \* MERGEFORMAT </w:instrText>
    </w:r>
    <w:r w:rsidRPr="00024595">
      <w:rPr>
        <w:rStyle w:val="PageNumber"/>
      </w:rPr>
      <w:fldChar w:fldCharType="separate"/>
    </w:r>
    <w:r w:rsidR="00CC6CBC">
      <w:rPr>
        <w:rStyle w:val="PageNumber"/>
        <w:noProof/>
      </w:rPr>
      <w:t>3</w:t>
    </w:r>
    <w:r w:rsidRPr="00024595">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4FB60" w14:textId="77777777" w:rsidR="00F7218A" w:rsidRDefault="00F7218A" w:rsidP="00E12845">
      <w:pPr>
        <w:spacing w:before="0" w:after="0"/>
      </w:pPr>
      <w:r>
        <w:separator/>
      </w:r>
    </w:p>
  </w:footnote>
  <w:footnote w:type="continuationSeparator" w:id="0">
    <w:p w14:paraId="40ED6E05" w14:textId="77777777" w:rsidR="00F7218A" w:rsidRDefault="00F7218A" w:rsidP="00E12845">
      <w:pPr>
        <w:spacing w:before="0" w:after="0"/>
      </w:pPr>
      <w:r>
        <w:continuationSeparator/>
      </w:r>
    </w:p>
  </w:footnote>
  <w:footnote w:id="1">
    <w:p w14:paraId="009A8C4E" w14:textId="48241DF8" w:rsidR="00543936" w:rsidRPr="00431905" w:rsidRDefault="00543936" w:rsidP="00543936">
      <w:pPr>
        <w:pStyle w:val="FootnoteText"/>
      </w:pPr>
      <w:r w:rsidRPr="005B755C">
        <w:rPr>
          <w:rStyle w:val="FootnoteReference"/>
          <w:szCs w:val="18"/>
        </w:rPr>
        <w:footnoteRef/>
      </w:r>
      <w:r w:rsidRPr="00431905">
        <w:t xml:space="preserve"> The OSL </w:t>
      </w:r>
      <w:r>
        <w:t>uses</w:t>
      </w:r>
      <w:r w:rsidRPr="00431905">
        <w:t xml:space="preserve"> </w:t>
      </w:r>
      <w:r>
        <w:t>4</w:t>
      </w:r>
      <w:r w:rsidRPr="00431905">
        <w:t xml:space="preserve"> ratings to classify the shortage status o</w:t>
      </w:r>
      <w:r>
        <w:t>f</w:t>
      </w:r>
      <w:r w:rsidRPr="00431905" w:rsidDel="007F7BDB">
        <w:t xml:space="preserve"> </w:t>
      </w:r>
      <w:r w:rsidRPr="00431905">
        <w:t>occupation</w:t>
      </w:r>
      <w:r>
        <w:t xml:space="preserve">s. </w:t>
      </w:r>
      <w:r>
        <w:br/>
      </w:r>
      <w:r w:rsidRPr="00192924">
        <w:rPr>
          <w:rStyle w:val="Characterbold"/>
        </w:rPr>
        <w:t>Shortage</w:t>
      </w:r>
      <w:r w:rsidRPr="00431905">
        <w:t xml:space="preserve">: An occupation is in </w:t>
      </w:r>
      <w:r>
        <w:t>n</w:t>
      </w:r>
      <w:r w:rsidRPr="00431905">
        <w:t xml:space="preserve">ational </w:t>
      </w:r>
      <w:r>
        <w:t>s</w:t>
      </w:r>
      <w:r w:rsidRPr="00431905">
        <w:t xml:space="preserve">hortage or </w:t>
      </w:r>
      <w:r>
        <w:t>o</w:t>
      </w:r>
      <w:r w:rsidRPr="00431905">
        <w:t xml:space="preserve">verall </w:t>
      </w:r>
      <w:r>
        <w:t>s</w:t>
      </w:r>
      <w:r w:rsidRPr="00431905">
        <w:t>hortage</w:t>
      </w:r>
      <w:r>
        <w:t xml:space="preserve">; </w:t>
      </w:r>
      <w:r>
        <w:br/>
      </w:r>
      <w:r w:rsidRPr="00192924">
        <w:rPr>
          <w:rStyle w:val="Characterbold"/>
        </w:rPr>
        <w:t>Metropolitan shortage</w:t>
      </w:r>
      <w:r w:rsidRPr="00431905">
        <w:t>: An occupation is in shortage in metropolitan area</w:t>
      </w:r>
      <w:r>
        <w:t>s</w:t>
      </w:r>
      <w:r w:rsidR="004E7472">
        <w:t xml:space="preserve"> only</w:t>
      </w:r>
      <w:r>
        <w:t xml:space="preserve">; </w:t>
      </w:r>
      <w:r>
        <w:br/>
      </w:r>
      <w:r w:rsidRPr="00192924">
        <w:rPr>
          <w:rStyle w:val="Characterbold"/>
        </w:rPr>
        <w:t>Regional shortage</w:t>
      </w:r>
      <w:r w:rsidRPr="00431905">
        <w:t>: An occupation is in shortage in regional area</w:t>
      </w:r>
      <w:r>
        <w:t>s</w:t>
      </w:r>
      <w:r w:rsidR="004E7472">
        <w:t xml:space="preserve"> only</w:t>
      </w:r>
      <w:r>
        <w:t xml:space="preserve">; </w:t>
      </w:r>
      <w:r>
        <w:br/>
      </w:r>
      <w:r w:rsidRPr="00192924">
        <w:rPr>
          <w:rStyle w:val="Characterbold"/>
        </w:rPr>
        <w:t>No shortage</w:t>
      </w:r>
      <w:r w:rsidRPr="00431905">
        <w:t>: An occupation is not in shortage.</w:t>
      </w:r>
    </w:p>
  </w:footnote>
  <w:footnote w:id="2">
    <w:p w14:paraId="79B0A8FF" w14:textId="537685D8" w:rsidR="00FD0667" w:rsidRDefault="00FD0667">
      <w:pPr>
        <w:pStyle w:val="FootnoteText"/>
      </w:pPr>
      <w:r>
        <w:rPr>
          <w:rStyle w:val="FootnoteReference"/>
        </w:rPr>
        <w:footnoteRef/>
      </w:r>
      <w:r>
        <w:t xml:space="preserve"> Jockey </w:t>
      </w:r>
      <w:r w:rsidR="00657F66">
        <w:t>has been</w:t>
      </w:r>
      <w:r>
        <w:t xml:space="preserve"> excluded from the 2026 OSL scope</w:t>
      </w:r>
      <w:r w:rsidR="00315FD9">
        <w:t xml:space="preserve">, </w:t>
      </w:r>
      <w:r w:rsidR="001D06D2">
        <w:t xml:space="preserve">to be consistent with the removal of Golfer and Sportsperson in previous </w:t>
      </w:r>
      <w:r w:rsidR="00F8435F">
        <w:t>year</w:t>
      </w:r>
      <w:r w:rsidR="00BA13C0">
        <w:t>s</w:t>
      </w:r>
      <w:r w:rsidR="00F8435F">
        <w:t>.</w:t>
      </w:r>
      <w:r w:rsidR="00DC6EC0">
        <w:t xml:space="preserve"> </w:t>
      </w:r>
      <w:r w:rsidR="00DB3738">
        <w:t>To support comparison over time</w:t>
      </w:r>
      <w:r>
        <w:t xml:space="preserve">, </w:t>
      </w:r>
      <w:r w:rsidR="00DB3738">
        <w:t xml:space="preserve">it is also </w:t>
      </w:r>
      <w:r w:rsidR="00062232">
        <w:t xml:space="preserve">excluded </w:t>
      </w:r>
      <w:r>
        <w:t>from earlier OSLs</w:t>
      </w:r>
      <w:r w:rsidR="002C740E">
        <w:t xml:space="preserve"> </w:t>
      </w:r>
      <w:r w:rsidR="00045DE1">
        <w:t>results in this report</w:t>
      </w:r>
      <w:r>
        <w:t xml:space="preserve">. </w:t>
      </w:r>
      <w:r w:rsidR="00682D4F">
        <w:t>S</w:t>
      </w:r>
      <w:r w:rsidR="00C6763B">
        <w:t xml:space="preserve">ome percentages may </w:t>
      </w:r>
      <w:r w:rsidR="00682D4F">
        <w:t>therefore differ slightly from previously published figures</w:t>
      </w:r>
      <w:r w:rsidR="001040DC">
        <w:t>.</w:t>
      </w:r>
    </w:p>
  </w:footnote>
  <w:footnote w:id="3">
    <w:p w14:paraId="7B05A08D" w14:textId="6C1E13A8" w:rsidR="00083CD1" w:rsidRDefault="00083CD1">
      <w:pPr>
        <w:pStyle w:val="FootnoteText"/>
      </w:pPr>
      <w:r>
        <w:rPr>
          <w:rStyle w:val="FootnoteReference"/>
        </w:rPr>
        <w:footnoteRef/>
      </w:r>
      <w:r>
        <w:t xml:space="preserve"> </w:t>
      </w:r>
      <w:r w:rsidR="00314AF0">
        <w:t xml:space="preserve">Note </w:t>
      </w:r>
      <w:r w:rsidR="00FA486C">
        <w:t>in this report, percentages are rounded to the nearest whole number and may not sum exactly due to rounding.</w:t>
      </w:r>
    </w:p>
  </w:footnote>
  <w:footnote w:id="4">
    <w:p w14:paraId="2D3C7144" w14:textId="0E38CA51" w:rsidR="00543936" w:rsidRDefault="00543936" w:rsidP="00543936">
      <w:pPr>
        <w:pStyle w:val="FootnoteText"/>
      </w:pPr>
      <w:r>
        <w:rPr>
          <w:rStyle w:val="FootnoteReference"/>
        </w:rPr>
        <w:footnoteRef/>
      </w:r>
      <w:r>
        <w:t xml:space="preserve"> Even though there was a cluster of engineering occupations that transitioned to no shortage in </w:t>
      </w:r>
      <w:r w:rsidR="00042749">
        <w:t>2026</w:t>
      </w:r>
      <w:r>
        <w:t>, there were still other engineering roles that remained in shortage.</w:t>
      </w:r>
    </w:p>
  </w:footnote>
  <w:footnote w:id="5">
    <w:p w14:paraId="50D7EEF7" w14:textId="25A4D3B1" w:rsidR="002C4629" w:rsidRDefault="002C4629">
      <w:pPr>
        <w:pStyle w:val="FootnoteText"/>
      </w:pPr>
      <w:r>
        <w:rPr>
          <w:rStyle w:val="FootnoteReference"/>
        </w:rPr>
        <w:footnoteRef/>
      </w:r>
      <w:r>
        <w:t xml:space="preserve"> </w:t>
      </w:r>
      <w:r w:rsidR="000675B6">
        <w:t>R</w:t>
      </w:r>
      <w:r w:rsidR="003834AC">
        <w:t xml:space="preserve">esults </w:t>
      </w:r>
      <w:r w:rsidR="003669E4">
        <w:t>presented in the report are on an OSCA ba</w:t>
      </w:r>
      <w:r w:rsidR="004D32E6">
        <w:t>sis</w:t>
      </w:r>
      <w:r w:rsidR="00E332B2">
        <w:t>. However,</w:t>
      </w:r>
      <w:r w:rsidR="004D32E6">
        <w:t xml:space="preserve"> </w:t>
      </w:r>
      <w:r w:rsidR="00851087">
        <w:t>new</w:t>
      </w:r>
      <w:r w:rsidR="00DA5159">
        <w:t xml:space="preserve"> </w:t>
      </w:r>
      <w:r w:rsidR="007C55FF">
        <w:t>ANZSCO</w:t>
      </w:r>
      <w:r w:rsidR="00454506">
        <w:t xml:space="preserve"> matter</w:t>
      </w:r>
      <w:r w:rsidR="004F7DB0">
        <w:t xml:space="preserve"> as </w:t>
      </w:r>
      <w:r w:rsidR="00FB5A38">
        <w:t xml:space="preserve">most analysis and assessments </w:t>
      </w:r>
      <w:r w:rsidR="00D806A6">
        <w:t xml:space="preserve">were </w:t>
      </w:r>
      <w:r w:rsidR="008D3D01">
        <w:t xml:space="preserve">first conducted on </w:t>
      </w:r>
      <w:r w:rsidR="001F3EDF">
        <w:t xml:space="preserve">the </w:t>
      </w:r>
      <w:r w:rsidR="008D3D01">
        <w:t>ANZSCO</w:t>
      </w:r>
      <w:r w:rsidR="00621DCB">
        <w:t xml:space="preserve"> </w:t>
      </w:r>
      <w:r w:rsidR="001F3EDF">
        <w:t xml:space="preserve">basis </w:t>
      </w:r>
      <w:r w:rsidR="00621DCB">
        <w:t>with the results then mapped to OSCA.</w:t>
      </w:r>
      <w:r w:rsidR="001F3EDF">
        <w:t xml:space="preserve"> Refer to the 2026 OSL Methodology Report for more information. </w:t>
      </w:r>
      <w:r w:rsidR="00621DCB">
        <w:t xml:space="preserve"> </w:t>
      </w:r>
    </w:p>
  </w:footnote>
  <w:footnote w:id="6">
    <w:p w14:paraId="723A783D" w14:textId="081E8CD9" w:rsidR="009E2F88" w:rsidRDefault="009E2F88" w:rsidP="009E2F88">
      <w:pPr>
        <w:pStyle w:val="FootnoteText"/>
      </w:pPr>
      <w:r>
        <w:rPr>
          <w:rStyle w:val="FootnoteReference"/>
        </w:rPr>
        <w:footnoteRef/>
      </w:r>
      <w:r>
        <w:t xml:space="preserve"> </w:t>
      </w:r>
      <w:r w:rsidRPr="00AE36C7">
        <w:t>Differences between the OSCA and ANZSCO results reflect changes in how occupations are classified. Under OSCA, some occupations moved between major groups and skill levels, which changed the number of occupations in each group and the number rated as in shortage. Some differences may also reflect the experimental method used to map occupations between ANZSCO and OSCA.</w:t>
      </w:r>
      <w:r>
        <w:t xml:space="preserve"> For more detail about the mapping between OSCA and ANZSCO, see the </w:t>
      </w:r>
      <w:r w:rsidRPr="00256502">
        <w:t>2026 OSL Methodology Report</w:t>
      </w:r>
      <w:r>
        <w:t xml:space="preserve">. </w:t>
      </w:r>
    </w:p>
  </w:footnote>
  <w:footnote w:id="7">
    <w:p w14:paraId="3E446CB7" w14:textId="063C8D2C" w:rsidR="00741FF6" w:rsidRDefault="00741FF6">
      <w:pPr>
        <w:pStyle w:val="FootnoteText"/>
      </w:pPr>
      <w:r>
        <w:rPr>
          <w:rStyle w:val="FootnoteReference"/>
        </w:rPr>
        <w:footnoteRef/>
      </w:r>
      <w:r w:rsidR="00DD085D">
        <w:t xml:space="preserve"> </w:t>
      </w:r>
      <w:r w:rsidR="00391B19" w:rsidRPr="00391B19">
        <w:t>Note</w:t>
      </w:r>
      <w:r w:rsidR="00391B19">
        <w:t xml:space="preserve"> that</w:t>
      </w:r>
      <w:r w:rsidR="00391B19" w:rsidRPr="00391B19">
        <w:t xml:space="preserve"> </w:t>
      </w:r>
      <w:r w:rsidR="00391B19">
        <w:t>p</w:t>
      </w:r>
      <w:r w:rsidR="00391B19" w:rsidRPr="00391B19">
        <w:t>ercentage changes for Machinery Operators and Drivers and Labourers should be interpreted with caution, as these major groups contain relatively few occupations within the scope of the OSL compared with larger groups such as Professionals. As a result, a change in the shortage status of a small number of occupations can lead to relatively large changes in the percentage of occupations in shortage</w:t>
      </w:r>
      <w:r w:rsidR="00391B19">
        <w:t>.</w:t>
      </w:r>
    </w:p>
  </w:footnote>
  <w:footnote w:id="8">
    <w:p w14:paraId="0283702D" w14:textId="3F5A0079" w:rsidR="003D272A" w:rsidRDefault="003D272A" w:rsidP="003D272A">
      <w:pPr>
        <w:pStyle w:val="FootnoteText"/>
      </w:pPr>
      <w:r>
        <w:rPr>
          <w:rStyle w:val="FootnoteReference"/>
        </w:rPr>
        <w:footnoteRef/>
      </w:r>
      <w:r>
        <w:t xml:space="preserve"> Data presented in the figures in this section is based on 2025–26 financial year</w:t>
      </w:r>
      <w:r w:rsidR="00433B53">
        <w:t>,</w:t>
      </w:r>
      <w:r>
        <w:t xml:space="preserve"> which </w:t>
      </w:r>
      <w:r w:rsidR="00AB42DF">
        <w:t xml:space="preserve">aligns with </w:t>
      </w:r>
      <w:r>
        <w:t>the 2026 OSL</w:t>
      </w:r>
      <w:r w:rsidR="00433B53">
        <w:t xml:space="preserve"> assessment cycle</w:t>
      </w:r>
      <w:r>
        <w:t xml:space="preserve">. </w:t>
      </w:r>
    </w:p>
  </w:footnote>
  <w:footnote w:id="9">
    <w:p w14:paraId="1028F50F" w14:textId="4630957E" w:rsidR="0070178B" w:rsidRDefault="0070178B">
      <w:pPr>
        <w:pStyle w:val="FootnoteText"/>
      </w:pPr>
      <w:r>
        <w:rPr>
          <w:rStyle w:val="FootnoteReference"/>
        </w:rPr>
        <w:footnoteRef/>
      </w:r>
      <w:r>
        <w:t xml:space="preserve"> The </w:t>
      </w:r>
      <w:r w:rsidR="00D64AAB">
        <w:t xml:space="preserve">national </w:t>
      </w:r>
      <w:r>
        <w:t xml:space="preserve">averages </w:t>
      </w:r>
      <w:r w:rsidR="00D64AAB">
        <w:t xml:space="preserve">are presented as dashed lines in the </w:t>
      </w:r>
      <w:r w:rsidR="003B60D3">
        <w:t>figures.</w:t>
      </w:r>
    </w:p>
  </w:footnote>
  <w:footnote w:id="10">
    <w:p w14:paraId="63444384" w14:textId="77777777" w:rsidR="00A2268E" w:rsidRPr="006741BE" w:rsidRDefault="00A2268E" w:rsidP="00A2268E">
      <w:pPr>
        <w:pStyle w:val="FootnoteText"/>
      </w:pPr>
      <w:r w:rsidRPr="005B755C">
        <w:rPr>
          <w:rStyle w:val="FootnoteReference"/>
          <w:szCs w:val="18"/>
        </w:rPr>
        <w:footnoteRef/>
      </w:r>
      <w:r w:rsidRPr="005B755C">
        <w:rPr>
          <w:rStyle w:val="FootnoteReference"/>
          <w:szCs w:val="18"/>
        </w:rPr>
        <w:t xml:space="preserve"> </w:t>
      </w:r>
      <w:r w:rsidRPr="00800FD2">
        <w:t>The recruitment difficulty rate is the p</w:t>
      </w:r>
      <w:r>
        <w:t xml:space="preserve">ercentage </w:t>
      </w:r>
      <w:r w:rsidRPr="00800FD2">
        <w:t xml:space="preserve">of all recruiting employers who reported experiencing difficulty hiring. The indicator is calculated as: employers who recruited and reported difficulty, divided by all employers who recruited (excluding ‘unsure’ responses). See </w:t>
      </w:r>
      <w:r>
        <w:t xml:space="preserve">the </w:t>
      </w:r>
      <w:r w:rsidRPr="00800FD2">
        <w:t xml:space="preserve">detailed explanation in </w:t>
      </w:r>
      <w:hyperlink r:id="rId1" w:anchor="methodology" w:history="1">
        <w:r w:rsidRPr="00800FD2">
          <w:rPr>
            <w:rStyle w:val="Hyperlink"/>
          </w:rPr>
          <w:t>REOS - concepts methods and questionnaire</w:t>
        </w:r>
      </w:hyperlink>
      <w:r w:rsidRPr="00800FD2">
        <w:t>.</w:t>
      </w:r>
    </w:p>
  </w:footnote>
  <w:footnote w:id="11">
    <w:p w14:paraId="73161FC1" w14:textId="79892BFE" w:rsidR="008332BA" w:rsidRDefault="008332BA" w:rsidP="008332BA">
      <w:pPr>
        <w:pStyle w:val="FootnoteText"/>
      </w:pPr>
      <w:r>
        <w:rPr>
          <w:rStyle w:val="FootnoteReference"/>
        </w:rPr>
        <w:footnoteRef/>
      </w:r>
      <w:r>
        <w:t xml:space="preserve"> T</w:t>
      </w:r>
      <w:r w:rsidRPr="00222B28">
        <w:t>he mean predicted fill rate was 55% for occupations in shortage</w:t>
      </w:r>
      <w:r>
        <w:t xml:space="preserve"> and</w:t>
      </w:r>
      <w:r w:rsidRPr="00222B28">
        <w:t xml:space="preserve"> 75% for occupations not in shortage and 69% across all occupations</w:t>
      </w:r>
      <w:r>
        <w:t>. These are employment sized weighted mean fill rates.</w:t>
      </w:r>
    </w:p>
  </w:footnote>
  <w:footnote w:id="12">
    <w:p w14:paraId="5055F4B7" w14:textId="33C600BD" w:rsidR="00CD3AC3" w:rsidRDefault="00CD3AC3">
      <w:pPr>
        <w:pStyle w:val="FootnoteText"/>
      </w:pPr>
      <w:r>
        <w:rPr>
          <w:rStyle w:val="FootnoteReference"/>
        </w:rPr>
        <w:footnoteRef/>
      </w:r>
      <w:r>
        <w:t xml:space="preserve"> </w:t>
      </w:r>
      <w:r w:rsidR="00EF4254" w:rsidRPr="00CD3AC3">
        <w:t>The boxplots show fill rates from each year arranged from lowest to highest, then divided into four parts. Each part (“quartile”) is a quarter of the data. The bottom line of each box (the 25th percentile) is an occupation with a low fill rate, whereas the top line of each box (the 75th percentile) is an occupation with a high fill rate.</w:t>
      </w:r>
    </w:p>
  </w:footnote>
  <w:footnote w:id="13">
    <w:p w14:paraId="3B8CBAC4" w14:textId="605B1AC9" w:rsidR="00EA68F3" w:rsidRDefault="00EA68F3" w:rsidP="00EA68F3">
      <w:pPr>
        <w:pStyle w:val="FootnoteText"/>
      </w:pPr>
      <w:r>
        <w:rPr>
          <w:rStyle w:val="FootnoteReference"/>
        </w:rPr>
        <w:footnoteRef/>
      </w:r>
      <w:r>
        <w:t xml:space="preserve"> </w:t>
      </w:r>
      <w:r w:rsidR="00434BFE">
        <w:t xml:space="preserve">Refer to the 2026 OSL Methodology Report for more information. </w:t>
      </w:r>
    </w:p>
  </w:footnote>
  <w:footnote w:id="14">
    <w:p w14:paraId="147FC85B" w14:textId="77777777" w:rsidR="00B9085B" w:rsidRDefault="00B9085B" w:rsidP="00B9085B">
      <w:pPr>
        <w:pStyle w:val="FootnoteText"/>
      </w:pPr>
      <w:r>
        <w:rPr>
          <w:rStyle w:val="FootnoteReference"/>
        </w:rPr>
        <w:footnoteRef/>
      </w:r>
      <w:r>
        <w:t xml:space="preserve"> Jobs and Skills Australia (2026). </w:t>
      </w:r>
      <w:hyperlink r:id="rId2" w:anchor="totalnewvacanciesm" w:history="1">
        <w:r w:rsidRPr="00CC1791">
          <w:rPr>
            <w:rStyle w:val="Hyperlink"/>
            <w:i/>
            <w:iCs/>
          </w:rPr>
          <w:t>Total new vacancies</w:t>
        </w:r>
      </w:hyperlink>
      <w:r w:rsidRPr="00CC1791">
        <w:rPr>
          <w:i/>
          <w:iCs/>
        </w:rPr>
        <w:t>, May 2026</w:t>
      </w:r>
      <w:r>
        <w:t xml:space="preserve">. </w:t>
      </w:r>
    </w:p>
  </w:footnote>
  <w:footnote w:id="15">
    <w:p w14:paraId="7877FBF4" w14:textId="1377EDDC" w:rsidR="009540EA" w:rsidRDefault="009540EA" w:rsidP="009540EA">
      <w:pPr>
        <w:pStyle w:val="FootnoteText"/>
      </w:pPr>
      <w:r>
        <w:rPr>
          <w:rStyle w:val="FootnoteReference"/>
        </w:rPr>
        <w:footnoteRef/>
      </w:r>
      <w:r>
        <w:t xml:space="preserve"> Replacement rate differs </w:t>
      </w:r>
      <w:r w:rsidR="00540D45">
        <w:t>from</w:t>
      </w:r>
      <w:r>
        <w:t xml:space="preserve"> turnover in that it measures the number of new recruitments needed to replace workers who have left their occupation and required replacement, while turnover measures the number of workers who have left their occupation. </w:t>
      </w:r>
    </w:p>
  </w:footnote>
  <w:footnote w:id="16">
    <w:p w14:paraId="0B822AB9" w14:textId="609EF307" w:rsidR="00520C65" w:rsidRDefault="00520C65">
      <w:pPr>
        <w:pStyle w:val="FootnoteText"/>
      </w:pPr>
      <w:r>
        <w:rPr>
          <w:rStyle w:val="FootnoteReference"/>
        </w:rPr>
        <w:footnoteRef/>
      </w:r>
      <w:r>
        <w:t xml:space="preserve"> </w:t>
      </w:r>
      <w:r w:rsidRPr="00045F79">
        <w:t xml:space="preserve">The </w:t>
      </w:r>
      <w:r>
        <w:t xml:space="preserve">OSS is an annual survey opening in January and closing in March each year. The survey </w:t>
      </w:r>
      <w:r w:rsidRPr="00045F79">
        <w:t>gather</w:t>
      </w:r>
      <w:r>
        <w:t>s</w:t>
      </w:r>
      <w:r w:rsidRPr="00045F79">
        <w:t xml:space="preserve"> perspectives from a wide range of organisations, representing employers, employees, regions, education and training providers, and government.</w:t>
      </w:r>
      <w:r w:rsidR="007463BC">
        <w:t xml:space="preserve"> </w:t>
      </w:r>
      <w:r w:rsidR="00CE0955">
        <w:t xml:space="preserve">The </w:t>
      </w:r>
      <w:r w:rsidR="007463BC" w:rsidRPr="007463BC">
        <w:t>results from th</w:t>
      </w:r>
      <w:r w:rsidR="007463BC">
        <w:t xml:space="preserve">e OSS </w:t>
      </w:r>
      <w:r w:rsidR="007463BC" w:rsidRPr="007463BC">
        <w:t xml:space="preserve">should be interpreted with caution. It is limited because generally responses received for each occupation are small, while skill levels 3 and 4 are overrepresented and there may be self-selection bias, as </w:t>
      </w:r>
      <w:r w:rsidR="004D6197">
        <w:t xml:space="preserve">employers </w:t>
      </w:r>
      <w:r w:rsidR="007463BC" w:rsidRPr="007463BC">
        <w:t xml:space="preserve">who are not experiencing workforce challenges </w:t>
      </w:r>
      <w:r w:rsidR="007167B1">
        <w:t xml:space="preserve">or </w:t>
      </w:r>
      <w:r w:rsidR="004D6197">
        <w:t xml:space="preserve">those </w:t>
      </w:r>
      <w:r w:rsidR="007167B1">
        <w:t xml:space="preserve">representing </w:t>
      </w:r>
      <w:r w:rsidR="004D6197">
        <w:t xml:space="preserve">them </w:t>
      </w:r>
      <w:r w:rsidR="007463BC" w:rsidRPr="007463BC">
        <w:t>may be less inclined to participate in this survey.</w:t>
      </w:r>
    </w:p>
  </w:footnote>
  <w:footnote w:id="17">
    <w:p w14:paraId="50BDF460" w14:textId="6E3368AE" w:rsidR="00BE60F7" w:rsidRDefault="00BE60F7" w:rsidP="00BE60F7">
      <w:pPr>
        <w:pStyle w:val="FootnoteText"/>
      </w:pPr>
      <w:r w:rsidRPr="005B755C">
        <w:rPr>
          <w:rStyle w:val="FootnoteReference"/>
          <w:szCs w:val="18"/>
        </w:rPr>
        <w:footnoteRef/>
      </w:r>
      <w:r w:rsidRPr="001A6A74">
        <w:t xml:space="preserve"> </w:t>
      </w:r>
      <w:r w:rsidRPr="00522A65">
        <w:t xml:space="preserve">For details on how feedback was incorporated, refer to the </w:t>
      </w:r>
      <w:r w:rsidRPr="00256502">
        <w:t>2026 OSL Methodology Report</w:t>
      </w:r>
      <w:r w:rsidRPr="00522A65">
        <w:t>.</w:t>
      </w:r>
      <w:r w:rsidRPr="00235EA8">
        <w:t xml:space="preserve"> </w:t>
      </w:r>
    </w:p>
  </w:footnote>
  <w:footnote w:id="18">
    <w:p w14:paraId="004D7F25" w14:textId="77777777" w:rsidR="00D4791A" w:rsidRPr="00B11D91" w:rsidRDefault="00D4791A" w:rsidP="00D4791A">
      <w:pPr>
        <w:pStyle w:val="FootnoteText"/>
      </w:pPr>
      <w:r>
        <w:rPr>
          <w:rStyle w:val="FootnoteReference"/>
        </w:rPr>
        <w:footnoteRef/>
      </w:r>
      <w:r>
        <w:t xml:space="preserve"> </w:t>
      </w:r>
      <w:r w:rsidRPr="00B11D91">
        <w:t xml:space="preserve">For 2026 Jobs and Skills Australia </w:t>
      </w:r>
      <w:r>
        <w:t xml:space="preserve">introduced </w:t>
      </w:r>
      <w:r w:rsidRPr="00B11D91">
        <w:t>a confidence label, showing whether the rating is Clear: supported by strong and consistent evidence; or On-balance: where the evidence points in one direction, but it is close to the threshold between shortage and no shortage, or the evidence is mixed or limited.</w:t>
      </w:r>
    </w:p>
    <w:p w14:paraId="38136A76" w14:textId="77777777" w:rsidR="00D4791A" w:rsidRDefault="00D4791A" w:rsidP="00D4791A">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78DF6" w14:textId="631E85BF" w:rsidR="00135C73" w:rsidRDefault="00135C73" w:rsidP="00135C73">
    <w:pPr>
      <w:pStyle w:val="Header"/>
      <w:tabs>
        <w:tab w:val="clear" w:pos="4680"/>
        <w:tab w:val="clear" w:pos="9360"/>
        <w:tab w:val="left" w:pos="6370"/>
        <w:tab w:val="left" w:pos="77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B058F" w14:textId="77777777" w:rsidR="00A67B12" w:rsidRPr="0030592C" w:rsidRDefault="00A67B12" w:rsidP="00A67B12">
    <w:pPr>
      <w:pStyle w:val="Header"/>
    </w:pPr>
  </w:p>
  <w:p w14:paraId="2D913B68" w14:textId="77777777" w:rsidR="00A67B12" w:rsidRDefault="00A67B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A0299"/>
    <w:multiLevelType w:val="multilevel"/>
    <w:tmpl w:val="0D96AACA"/>
    <w:numStyleLink w:val="AppendixHeadingmaster"/>
  </w:abstractNum>
  <w:abstractNum w:abstractNumId="1" w15:restartNumberingAfterBreak="0">
    <w:nsid w:val="045550B2"/>
    <w:multiLevelType w:val="multilevel"/>
    <w:tmpl w:val="9F703E2E"/>
    <w:numStyleLink w:val="ListBulletmaster"/>
  </w:abstractNum>
  <w:abstractNum w:abstractNumId="2" w15:restartNumberingAfterBreak="0">
    <w:nsid w:val="084F7801"/>
    <w:multiLevelType w:val="multilevel"/>
    <w:tmpl w:val="EAA2F742"/>
    <w:numStyleLink w:val="TableListNumbermaster"/>
  </w:abstractNum>
  <w:abstractNum w:abstractNumId="3" w15:restartNumberingAfterBreak="0">
    <w:nsid w:val="0F167765"/>
    <w:multiLevelType w:val="multilevel"/>
    <w:tmpl w:val="0D96AACA"/>
    <w:styleLink w:val="AppendixHeadingmaster"/>
    <w:lvl w:ilvl="0">
      <w:start w:val="1"/>
      <w:numFmt w:val="upperLetter"/>
      <w:pStyle w:val="AppendixHeading1"/>
      <w:lvlText w:val="Appendix %1"/>
      <w:lvlJc w:val="left"/>
      <w:pPr>
        <w:ind w:left="2268" w:hanging="2268"/>
      </w:pPr>
      <w:rPr>
        <w:rFonts w:ascii="Arial Bold" w:hAnsi="Arial Bold" w:hint="default"/>
        <w:b/>
        <w:i w:val="0"/>
        <w:color w:val="4B0985"/>
        <w:sz w:val="56"/>
      </w:rPr>
    </w:lvl>
    <w:lvl w:ilvl="1">
      <w:start w:val="1"/>
      <w:numFmt w:val="decimal"/>
      <w:pStyle w:val="AppendixHeading2"/>
      <w:lvlText w:val="%1.%2."/>
      <w:lvlJc w:val="left"/>
      <w:pPr>
        <w:ind w:left="1021" w:hanging="1021"/>
      </w:pPr>
      <w:rPr>
        <w:rFonts w:hint="default"/>
      </w:rPr>
    </w:lvl>
    <w:lvl w:ilvl="2">
      <w:start w:val="1"/>
      <w:numFmt w:val="none"/>
      <w:lvlText w:val="%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32E010B"/>
    <w:multiLevelType w:val="multilevel"/>
    <w:tmpl w:val="0D96AACA"/>
    <w:numStyleLink w:val="AppendixHeadingmaster"/>
  </w:abstractNum>
  <w:abstractNum w:abstractNumId="5" w15:restartNumberingAfterBreak="0">
    <w:nsid w:val="14913431"/>
    <w:multiLevelType w:val="multilevel"/>
    <w:tmpl w:val="28F46D40"/>
    <w:numStyleLink w:val="ListNumbermaster"/>
  </w:abstractNum>
  <w:abstractNum w:abstractNumId="6" w15:restartNumberingAfterBreak="0">
    <w:nsid w:val="15DD76E6"/>
    <w:multiLevelType w:val="hybridMultilevel"/>
    <w:tmpl w:val="35D80DAA"/>
    <w:lvl w:ilvl="0" w:tplc="A3DE2F7C">
      <w:start w:val="1"/>
      <w:numFmt w:val="bullet"/>
      <w:lvlText w:val=""/>
      <w:lvlJc w:val="left"/>
      <w:pPr>
        <w:ind w:left="720" w:hanging="360"/>
      </w:pPr>
      <w:rPr>
        <w:rFonts w:ascii="Symbol" w:hAnsi="Symbol"/>
      </w:rPr>
    </w:lvl>
    <w:lvl w:ilvl="1" w:tplc="2850E380">
      <w:start w:val="1"/>
      <w:numFmt w:val="bullet"/>
      <w:lvlText w:val=""/>
      <w:lvlJc w:val="left"/>
      <w:pPr>
        <w:ind w:left="720" w:hanging="360"/>
      </w:pPr>
      <w:rPr>
        <w:rFonts w:ascii="Symbol" w:hAnsi="Symbol"/>
      </w:rPr>
    </w:lvl>
    <w:lvl w:ilvl="2" w:tplc="3830F67A">
      <w:start w:val="1"/>
      <w:numFmt w:val="bullet"/>
      <w:lvlText w:val=""/>
      <w:lvlJc w:val="left"/>
      <w:pPr>
        <w:ind w:left="720" w:hanging="360"/>
      </w:pPr>
      <w:rPr>
        <w:rFonts w:ascii="Symbol" w:hAnsi="Symbol"/>
      </w:rPr>
    </w:lvl>
    <w:lvl w:ilvl="3" w:tplc="614CF748">
      <w:start w:val="1"/>
      <w:numFmt w:val="bullet"/>
      <w:lvlText w:val=""/>
      <w:lvlJc w:val="left"/>
      <w:pPr>
        <w:ind w:left="720" w:hanging="360"/>
      </w:pPr>
      <w:rPr>
        <w:rFonts w:ascii="Symbol" w:hAnsi="Symbol"/>
      </w:rPr>
    </w:lvl>
    <w:lvl w:ilvl="4" w:tplc="439C0A3E">
      <w:start w:val="1"/>
      <w:numFmt w:val="bullet"/>
      <w:lvlText w:val=""/>
      <w:lvlJc w:val="left"/>
      <w:pPr>
        <w:ind w:left="720" w:hanging="360"/>
      </w:pPr>
      <w:rPr>
        <w:rFonts w:ascii="Symbol" w:hAnsi="Symbol"/>
      </w:rPr>
    </w:lvl>
    <w:lvl w:ilvl="5" w:tplc="39C6C262">
      <w:start w:val="1"/>
      <w:numFmt w:val="bullet"/>
      <w:lvlText w:val=""/>
      <w:lvlJc w:val="left"/>
      <w:pPr>
        <w:ind w:left="720" w:hanging="360"/>
      </w:pPr>
      <w:rPr>
        <w:rFonts w:ascii="Symbol" w:hAnsi="Symbol"/>
      </w:rPr>
    </w:lvl>
    <w:lvl w:ilvl="6" w:tplc="B70A71F4">
      <w:start w:val="1"/>
      <w:numFmt w:val="bullet"/>
      <w:lvlText w:val=""/>
      <w:lvlJc w:val="left"/>
      <w:pPr>
        <w:ind w:left="720" w:hanging="360"/>
      </w:pPr>
      <w:rPr>
        <w:rFonts w:ascii="Symbol" w:hAnsi="Symbol"/>
      </w:rPr>
    </w:lvl>
    <w:lvl w:ilvl="7" w:tplc="033C6C50">
      <w:start w:val="1"/>
      <w:numFmt w:val="bullet"/>
      <w:lvlText w:val=""/>
      <w:lvlJc w:val="left"/>
      <w:pPr>
        <w:ind w:left="720" w:hanging="360"/>
      </w:pPr>
      <w:rPr>
        <w:rFonts w:ascii="Symbol" w:hAnsi="Symbol"/>
      </w:rPr>
    </w:lvl>
    <w:lvl w:ilvl="8" w:tplc="A1D842BA">
      <w:start w:val="1"/>
      <w:numFmt w:val="bullet"/>
      <w:lvlText w:val=""/>
      <w:lvlJc w:val="left"/>
      <w:pPr>
        <w:ind w:left="720" w:hanging="360"/>
      </w:pPr>
      <w:rPr>
        <w:rFonts w:ascii="Symbol" w:hAnsi="Symbol"/>
      </w:rPr>
    </w:lvl>
  </w:abstractNum>
  <w:abstractNum w:abstractNumId="7" w15:restartNumberingAfterBreak="0">
    <w:nsid w:val="17A434C9"/>
    <w:multiLevelType w:val="multilevel"/>
    <w:tmpl w:val="113457F2"/>
    <w:numStyleLink w:val="Headingsmaster"/>
  </w:abstractNum>
  <w:abstractNum w:abstractNumId="8" w15:restartNumberingAfterBreak="0">
    <w:nsid w:val="1A753D77"/>
    <w:multiLevelType w:val="multilevel"/>
    <w:tmpl w:val="113457F2"/>
    <w:styleLink w:val="Headingsmaster"/>
    <w:lvl w:ilvl="0">
      <w:start w:val="1"/>
      <w:numFmt w:val="decimal"/>
      <w:lvlText w:val="Chapter %1"/>
      <w:lvlJc w:val="left"/>
      <w:pPr>
        <w:ind w:left="0" w:firstLine="0"/>
      </w:pPr>
      <w:rPr>
        <w:rFonts w:hint="default"/>
      </w:rPr>
    </w:lvl>
    <w:lvl w:ilvl="1">
      <w:start w:val="1"/>
      <w:numFmt w:val="decimal"/>
      <w:lvlText w:val="%1.%2"/>
      <w:lvlJc w:val="left"/>
      <w:pPr>
        <w:ind w:left="1072" w:hanging="1072"/>
      </w:pPr>
      <w:rPr>
        <w:rFonts w:hint="default"/>
      </w:rPr>
    </w:lvl>
    <w:lvl w:ilvl="2">
      <w:start w:val="1"/>
      <w:numFmt w:val="decimal"/>
      <w:lvlText w:val="%1.%2.%3"/>
      <w:lvlJc w:val="left"/>
      <w:pPr>
        <w:ind w:left="1072" w:hanging="1072"/>
      </w:pPr>
      <w:rPr>
        <w:rFonts w:hint="default"/>
      </w:rPr>
    </w:lvl>
    <w:lvl w:ilvl="3">
      <w:start w:val="1"/>
      <w:numFmt w:val="decimal"/>
      <w:lvlText w:val="%1.%2.%3.%4"/>
      <w:lvlJc w:val="left"/>
      <w:pPr>
        <w:ind w:left="1072" w:hanging="1072"/>
      </w:pPr>
      <w:rPr>
        <w:rFonts w:hint="default"/>
      </w:rPr>
    </w:lvl>
    <w:lvl w:ilvl="4">
      <w:start w:val="1"/>
      <w:numFmt w:val="decimal"/>
      <w:lvlText w:val="%1.%2.%3.%4.%5"/>
      <w:lvlJc w:val="left"/>
      <w:pPr>
        <w:ind w:left="1072" w:hanging="107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BB76778"/>
    <w:multiLevelType w:val="multilevel"/>
    <w:tmpl w:val="56043EA4"/>
    <w:numStyleLink w:val="TableListBulletmaster"/>
  </w:abstractNum>
  <w:abstractNum w:abstractNumId="10" w15:restartNumberingAfterBreak="0">
    <w:nsid w:val="1E1304D0"/>
    <w:multiLevelType w:val="multilevel"/>
    <w:tmpl w:val="56043EA4"/>
    <w:numStyleLink w:val="TableListBulletmaster"/>
  </w:abstractNum>
  <w:abstractNum w:abstractNumId="11" w15:restartNumberingAfterBreak="0">
    <w:nsid w:val="1F082FEE"/>
    <w:multiLevelType w:val="multilevel"/>
    <w:tmpl w:val="EAA2F742"/>
    <w:styleLink w:val="TableListNumbermaster"/>
    <w:lvl w:ilvl="0">
      <w:start w:val="1"/>
      <w:numFmt w:val="decimal"/>
      <w:pStyle w:val="TableListNumber"/>
      <w:lvlText w:val="%1."/>
      <w:lvlJc w:val="left"/>
      <w:pPr>
        <w:ind w:left="284" w:hanging="284"/>
      </w:pPr>
      <w:rPr>
        <w:rFonts w:hint="default"/>
        <w:color w:val="auto"/>
      </w:rPr>
    </w:lvl>
    <w:lvl w:ilvl="1">
      <w:start w:val="1"/>
      <w:numFmt w:val="lowerLetter"/>
      <w:pStyle w:val="TableListNumber2"/>
      <w:lvlText w:val="%2."/>
      <w:lvlJc w:val="left"/>
      <w:pPr>
        <w:ind w:left="567" w:hanging="283"/>
      </w:pPr>
      <w:rPr>
        <w:rFonts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2695D78"/>
    <w:multiLevelType w:val="multilevel"/>
    <w:tmpl w:val="EAA2F742"/>
    <w:numStyleLink w:val="TableListNumbermaster"/>
  </w:abstractNum>
  <w:abstractNum w:abstractNumId="13" w15:restartNumberingAfterBreak="0">
    <w:nsid w:val="242839DB"/>
    <w:multiLevelType w:val="multilevel"/>
    <w:tmpl w:val="A1224394"/>
    <w:styleLink w:val="ListLegalmaster"/>
    <w:lvl w:ilvl="0">
      <w:start w:val="1"/>
      <w:numFmt w:val="decimal"/>
      <w:pStyle w:val="ListLegal"/>
      <w:lvlText w:val="%1."/>
      <w:lvlJc w:val="left"/>
      <w:pPr>
        <w:ind w:left="357" w:hanging="357"/>
      </w:pPr>
      <w:rPr>
        <w:rFonts w:ascii="Arial" w:hAnsi="Arial" w:hint="default"/>
        <w:b w:val="0"/>
        <w:i w:val="0"/>
        <w:color w:val="auto"/>
        <w:sz w:val="20"/>
      </w:rPr>
    </w:lvl>
    <w:lvl w:ilvl="1">
      <w:start w:val="1"/>
      <w:numFmt w:val="lowerLetter"/>
      <w:pStyle w:val="ListLegal2"/>
      <w:lvlText w:val="(%2)"/>
      <w:lvlJc w:val="left"/>
      <w:pPr>
        <w:tabs>
          <w:tab w:val="num" w:pos="720"/>
        </w:tabs>
        <w:ind w:left="714" w:hanging="357"/>
      </w:pPr>
      <w:rPr>
        <w:rFonts w:ascii="Arial" w:hAnsi="Arial" w:hint="default"/>
        <w:b w:val="0"/>
        <w:i w:val="0"/>
        <w:color w:val="auto"/>
        <w:sz w:val="20"/>
      </w:rPr>
    </w:lvl>
    <w:lvl w:ilvl="2">
      <w:start w:val="1"/>
      <w:numFmt w:val="lowerRoman"/>
      <w:pStyle w:val="ListLegal3"/>
      <w:lvlText w:val="(%3)"/>
      <w:lvlJc w:val="left"/>
      <w:pPr>
        <w:ind w:left="1435" w:hanging="721"/>
      </w:pPr>
      <w:rPr>
        <w:rFonts w:ascii="Arial" w:hAnsi="Arial" w:hint="default"/>
        <w:b w:val="0"/>
        <w:i w:val="0"/>
        <w:color w:val="auto"/>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C0E4DE9"/>
    <w:multiLevelType w:val="multilevel"/>
    <w:tmpl w:val="56043EA4"/>
    <w:numStyleLink w:val="TableListBulletmaster"/>
  </w:abstractNum>
  <w:abstractNum w:abstractNumId="15" w15:restartNumberingAfterBreak="0">
    <w:nsid w:val="2D9328E2"/>
    <w:multiLevelType w:val="multilevel"/>
    <w:tmpl w:val="28F46D40"/>
    <w:styleLink w:val="ListNumbermaster"/>
    <w:lvl w:ilvl="0">
      <w:start w:val="1"/>
      <w:numFmt w:val="decimal"/>
      <w:pStyle w:val="ListNumber"/>
      <w:lvlText w:val="%1."/>
      <w:lvlJc w:val="left"/>
      <w:pPr>
        <w:ind w:left="360" w:hanging="360"/>
      </w:pPr>
      <w:rPr>
        <w:rFonts w:ascii="Arial" w:hAnsi="Arial" w:hint="default"/>
        <w:color w:val="auto"/>
        <w:sz w:val="20"/>
      </w:rPr>
    </w:lvl>
    <w:lvl w:ilvl="1">
      <w:start w:val="1"/>
      <w:numFmt w:val="lowerLetter"/>
      <w:pStyle w:val="ListNumber2"/>
      <w:lvlText w:val="%2."/>
      <w:lvlJc w:val="left"/>
      <w:pPr>
        <w:ind w:left="720" w:hanging="360"/>
      </w:pPr>
      <w:rPr>
        <w:rFonts w:ascii="Arial" w:hAnsi="Arial" w:hint="default"/>
        <w:color w:val="auto"/>
        <w:sz w:val="20"/>
      </w:rPr>
    </w:lvl>
    <w:lvl w:ilvl="2">
      <w:start w:val="1"/>
      <w:numFmt w:val="lowerRoman"/>
      <w:pStyle w:val="ListNumber3"/>
      <w:lvlText w:val="%3."/>
      <w:lvlJc w:val="left"/>
      <w:pPr>
        <w:ind w:left="1080" w:hanging="360"/>
      </w:pPr>
      <w:rPr>
        <w:rFonts w:ascii="Arial" w:hAnsi="Aria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F5C2057"/>
    <w:multiLevelType w:val="hybridMultilevel"/>
    <w:tmpl w:val="C69CC794"/>
    <w:lvl w:ilvl="0" w:tplc="27C0594C">
      <w:start w:val="1"/>
      <w:numFmt w:val="bullet"/>
      <w:lvlText w:val=""/>
      <w:lvlJc w:val="left"/>
      <w:pPr>
        <w:ind w:left="720" w:hanging="360"/>
      </w:pPr>
      <w:rPr>
        <w:rFonts w:ascii="Symbol" w:hAnsi="Symbol"/>
      </w:rPr>
    </w:lvl>
    <w:lvl w:ilvl="1" w:tplc="172E9862">
      <w:start w:val="1"/>
      <w:numFmt w:val="bullet"/>
      <w:lvlText w:val=""/>
      <w:lvlJc w:val="left"/>
      <w:pPr>
        <w:ind w:left="720" w:hanging="360"/>
      </w:pPr>
      <w:rPr>
        <w:rFonts w:ascii="Symbol" w:hAnsi="Symbol"/>
      </w:rPr>
    </w:lvl>
    <w:lvl w:ilvl="2" w:tplc="81C4C55A">
      <w:start w:val="1"/>
      <w:numFmt w:val="bullet"/>
      <w:lvlText w:val=""/>
      <w:lvlJc w:val="left"/>
      <w:pPr>
        <w:ind w:left="720" w:hanging="360"/>
      </w:pPr>
      <w:rPr>
        <w:rFonts w:ascii="Symbol" w:hAnsi="Symbol"/>
      </w:rPr>
    </w:lvl>
    <w:lvl w:ilvl="3" w:tplc="96002210">
      <w:start w:val="1"/>
      <w:numFmt w:val="bullet"/>
      <w:lvlText w:val=""/>
      <w:lvlJc w:val="left"/>
      <w:pPr>
        <w:ind w:left="720" w:hanging="360"/>
      </w:pPr>
      <w:rPr>
        <w:rFonts w:ascii="Symbol" w:hAnsi="Symbol"/>
      </w:rPr>
    </w:lvl>
    <w:lvl w:ilvl="4" w:tplc="3678F816">
      <w:start w:val="1"/>
      <w:numFmt w:val="bullet"/>
      <w:lvlText w:val=""/>
      <w:lvlJc w:val="left"/>
      <w:pPr>
        <w:ind w:left="720" w:hanging="360"/>
      </w:pPr>
      <w:rPr>
        <w:rFonts w:ascii="Symbol" w:hAnsi="Symbol"/>
      </w:rPr>
    </w:lvl>
    <w:lvl w:ilvl="5" w:tplc="F49A6F00">
      <w:start w:val="1"/>
      <w:numFmt w:val="bullet"/>
      <w:lvlText w:val=""/>
      <w:lvlJc w:val="left"/>
      <w:pPr>
        <w:ind w:left="720" w:hanging="360"/>
      </w:pPr>
      <w:rPr>
        <w:rFonts w:ascii="Symbol" w:hAnsi="Symbol"/>
      </w:rPr>
    </w:lvl>
    <w:lvl w:ilvl="6" w:tplc="E3C222EE">
      <w:start w:val="1"/>
      <w:numFmt w:val="bullet"/>
      <w:lvlText w:val=""/>
      <w:lvlJc w:val="left"/>
      <w:pPr>
        <w:ind w:left="720" w:hanging="360"/>
      </w:pPr>
      <w:rPr>
        <w:rFonts w:ascii="Symbol" w:hAnsi="Symbol"/>
      </w:rPr>
    </w:lvl>
    <w:lvl w:ilvl="7" w:tplc="5B6A4F44">
      <w:start w:val="1"/>
      <w:numFmt w:val="bullet"/>
      <w:lvlText w:val=""/>
      <w:lvlJc w:val="left"/>
      <w:pPr>
        <w:ind w:left="720" w:hanging="360"/>
      </w:pPr>
      <w:rPr>
        <w:rFonts w:ascii="Symbol" w:hAnsi="Symbol"/>
      </w:rPr>
    </w:lvl>
    <w:lvl w:ilvl="8" w:tplc="5FA6C0DE">
      <w:start w:val="1"/>
      <w:numFmt w:val="bullet"/>
      <w:lvlText w:val=""/>
      <w:lvlJc w:val="left"/>
      <w:pPr>
        <w:ind w:left="720" w:hanging="360"/>
      </w:pPr>
      <w:rPr>
        <w:rFonts w:ascii="Symbol" w:hAnsi="Symbol"/>
      </w:rPr>
    </w:lvl>
  </w:abstractNum>
  <w:abstractNum w:abstractNumId="17" w15:restartNumberingAfterBreak="0">
    <w:nsid w:val="30A32390"/>
    <w:multiLevelType w:val="hybridMultilevel"/>
    <w:tmpl w:val="F79255DA"/>
    <w:lvl w:ilvl="0" w:tplc="089EDCD8">
      <w:start w:val="1"/>
      <w:numFmt w:val="bullet"/>
      <w:lvlText w:val=""/>
      <w:lvlJc w:val="left"/>
      <w:pPr>
        <w:ind w:left="720" w:hanging="360"/>
      </w:pPr>
      <w:rPr>
        <w:rFonts w:ascii="Symbol" w:hAnsi="Symbol"/>
      </w:rPr>
    </w:lvl>
    <w:lvl w:ilvl="1" w:tplc="09CC423E">
      <w:start w:val="1"/>
      <w:numFmt w:val="bullet"/>
      <w:lvlText w:val=""/>
      <w:lvlJc w:val="left"/>
      <w:pPr>
        <w:ind w:left="720" w:hanging="360"/>
      </w:pPr>
      <w:rPr>
        <w:rFonts w:ascii="Symbol" w:hAnsi="Symbol"/>
      </w:rPr>
    </w:lvl>
    <w:lvl w:ilvl="2" w:tplc="92962F04">
      <w:start w:val="1"/>
      <w:numFmt w:val="bullet"/>
      <w:lvlText w:val=""/>
      <w:lvlJc w:val="left"/>
      <w:pPr>
        <w:ind w:left="720" w:hanging="360"/>
      </w:pPr>
      <w:rPr>
        <w:rFonts w:ascii="Symbol" w:hAnsi="Symbol"/>
      </w:rPr>
    </w:lvl>
    <w:lvl w:ilvl="3" w:tplc="083E7A7C">
      <w:start w:val="1"/>
      <w:numFmt w:val="bullet"/>
      <w:lvlText w:val=""/>
      <w:lvlJc w:val="left"/>
      <w:pPr>
        <w:ind w:left="720" w:hanging="360"/>
      </w:pPr>
      <w:rPr>
        <w:rFonts w:ascii="Symbol" w:hAnsi="Symbol"/>
      </w:rPr>
    </w:lvl>
    <w:lvl w:ilvl="4" w:tplc="61042FE8">
      <w:start w:val="1"/>
      <w:numFmt w:val="bullet"/>
      <w:lvlText w:val=""/>
      <w:lvlJc w:val="left"/>
      <w:pPr>
        <w:ind w:left="720" w:hanging="360"/>
      </w:pPr>
      <w:rPr>
        <w:rFonts w:ascii="Symbol" w:hAnsi="Symbol"/>
      </w:rPr>
    </w:lvl>
    <w:lvl w:ilvl="5" w:tplc="44B67C1E">
      <w:start w:val="1"/>
      <w:numFmt w:val="bullet"/>
      <w:lvlText w:val=""/>
      <w:lvlJc w:val="left"/>
      <w:pPr>
        <w:ind w:left="720" w:hanging="360"/>
      </w:pPr>
      <w:rPr>
        <w:rFonts w:ascii="Symbol" w:hAnsi="Symbol"/>
      </w:rPr>
    </w:lvl>
    <w:lvl w:ilvl="6" w:tplc="FCF4D6A8">
      <w:start w:val="1"/>
      <w:numFmt w:val="bullet"/>
      <w:lvlText w:val=""/>
      <w:lvlJc w:val="left"/>
      <w:pPr>
        <w:ind w:left="720" w:hanging="360"/>
      </w:pPr>
      <w:rPr>
        <w:rFonts w:ascii="Symbol" w:hAnsi="Symbol"/>
      </w:rPr>
    </w:lvl>
    <w:lvl w:ilvl="7" w:tplc="92D8E1A2">
      <w:start w:val="1"/>
      <w:numFmt w:val="bullet"/>
      <w:lvlText w:val=""/>
      <w:lvlJc w:val="left"/>
      <w:pPr>
        <w:ind w:left="720" w:hanging="360"/>
      </w:pPr>
      <w:rPr>
        <w:rFonts w:ascii="Symbol" w:hAnsi="Symbol"/>
      </w:rPr>
    </w:lvl>
    <w:lvl w:ilvl="8" w:tplc="861A2610">
      <w:start w:val="1"/>
      <w:numFmt w:val="bullet"/>
      <w:lvlText w:val=""/>
      <w:lvlJc w:val="left"/>
      <w:pPr>
        <w:ind w:left="720" w:hanging="360"/>
      </w:pPr>
      <w:rPr>
        <w:rFonts w:ascii="Symbol" w:hAnsi="Symbol"/>
      </w:rPr>
    </w:lvl>
  </w:abstractNum>
  <w:abstractNum w:abstractNumId="18" w15:restartNumberingAfterBreak="0">
    <w:nsid w:val="30C415FF"/>
    <w:multiLevelType w:val="multilevel"/>
    <w:tmpl w:val="113457F2"/>
    <w:numStyleLink w:val="Headingsmaster"/>
  </w:abstractNum>
  <w:abstractNum w:abstractNumId="19" w15:restartNumberingAfterBreak="0">
    <w:nsid w:val="311066B6"/>
    <w:multiLevelType w:val="multilevel"/>
    <w:tmpl w:val="113457F2"/>
    <w:numStyleLink w:val="Headingsmaster"/>
  </w:abstractNum>
  <w:abstractNum w:abstractNumId="20" w15:restartNumberingAfterBreak="0">
    <w:nsid w:val="34666B61"/>
    <w:multiLevelType w:val="multilevel"/>
    <w:tmpl w:val="113457F2"/>
    <w:numStyleLink w:val="Headingsmaster"/>
  </w:abstractNum>
  <w:abstractNum w:abstractNumId="21" w15:restartNumberingAfterBreak="0">
    <w:nsid w:val="36B75813"/>
    <w:multiLevelType w:val="multilevel"/>
    <w:tmpl w:val="0D96AACA"/>
    <w:numStyleLink w:val="AppendixHeadingmaster"/>
  </w:abstractNum>
  <w:abstractNum w:abstractNumId="22" w15:restartNumberingAfterBreak="0">
    <w:nsid w:val="3C9723CF"/>
    <w:multiLevelType w:val="multilevel"/>
    <w:tmpl w:val="56043EA4"/>
    <w:numStyleLink w:val="TableListBulletmaster"/>
  </w:abstractNum>
  <w:abstractNum w:abstractNumId="23" w15:restartNumberingAfterBreak="0">
    <w:nsid w:val="3C9F68FB"/>
    <w:multiLevelType w:val="multilevel"/>
    <w:tmpl w:val="113457F2"/>
    <w:numStyleLink w:val="Headingsmaster"/>
  </w:abstractNum>
  <w:abstractNum w:abstractNumId="24" w15:restartNumberingAfterBreak="0">
    <w:nsid w:val="41FB6EC2"/>
    <w:multiLevelType w:val="hybridMultilevel"/>
    <w:tmpl w:val="CD5600B6"/>
    <w:lvl w:ilvl="0" w:tplc="BD48F6FE">
      <w:start w:val="1"/>
      <w:numFmt w:val="bullet"/>
      <w:lvlText w:val=""/>
      <w:lvlJc w:val="left"/>
      <w:pPr>
        <w:ind w:left="720" w:hanging="360"/>
      </w:pPr>
      <w:rPr>
        <w:rFonts w:ascii="Symbol" w:hAnsi="Symbol"/>
      </w:rPr>
    </w:lvl>
    <w:lvl w:ilvl="1" w:tplc="0FCA0948">
      <w:start w:val="1"/>
      <w:numFmt w:val="bullet"/>
      <w:lvlText w:val=""/>
      <w:lvlJc w:val="left"/>
      <w:pPr>
        <w:ind w:left="720" w:hanging="360"/>
      </w:pPr>
      <w:rPr>
        <w:rFonts w:ascii="Symbol" w:hAnsi="Symbol"/>
      </w:rPr>
    </w:lvl>
    <w:lvl w:ilvl="2" w:tplc="791219BC">
      <w:start w:val="1"/>
      <w:numFmt w:val="bullet"/>
      <w:lvlText w:val=""/>
      <w:lvlJc w:val="left"/>
      <w:pPr>
        <w:ind w:left="720" w:hanging="360"/>
      </w:pPr>
      <w:rPr>
        <w:rFonts w:ascii="Symbol" w:hAnsi="Symbol"/>
      </w:rPr>
    </w:lvl>
    <w:lvl w:ilvl="3" w:tplc="A446BA66">
      <w:start w:val="1"/>
      <w:numFmt w:val="bullet"/>
      <w:lvlText w:val=""/>
      <w:lvlJc w:val="left"/>
      <w:pPr>
        <w:ind w:left="720" w:hanging="360"/>
      </w:pPr>
      <w:rPr>
        <w:rFonts w:ascii="Symbol" w:hAnsi="Symbol"/>
      </w:rPr>
    </w:lvl>
    <w:lvl w:ilvl="4" w:tplc="4D82F2E6">
      <w:start w:val="1"/>
      <w:numFmt w:val="bullet"/>
      <w:lvlText w:val=""/>
      <w:lvlJc w:val="left"/>
      <w:pPr>
        <w:ind w:left="720" w:hanging="360"/>
      </w:pPr>
      <w:rPr>
        <w:rFonts w:ascii="Symbol" w:hAnsi="Symbol"/>
      </w:rPr>
    </w:lvl>
    <w:lvl w:ilvl="5" w:tplc="FABA5048">
      <w:start w:val="1"/>
      <w:numFmt w:val="bullet"/>
      <w:lvlText w:val=""/>
      <w:lvlJc w:val="left"/>
      <w:pPr>
        <w:ind w:left="720" w:hanging="360"/>
      </w:pPr>
      <w:rPr>
        <w:rFonts w:ascii="Symbol" w:hAnsi="Symbol"/>
      </w:rPr>
    </w:lvl>
    <w:lvl w:ilvl="6" w:tplc="7310A14A">
      <w:start w:val="1"/>
      <w:numFmt w:val="bullet"/>
      <w:lvlText w:val=""/>
      <w:lvlJc w:val="left"/>
      <w:pPr>
        <w:ind w:left="720" w:hanging="360"/>
      </w:pPr>
      <w:rPr>
        <w:rFonts w:ascii="Symbol" w:hAnsi="Symbol"/>
      </w:rPr>
    </w:lvl>
    <w:lvl w:ilvl="7" w:tplc="40A6B422">
      <w:start w:val="1"/>
      <w:numFmt w:val="bullet"/>
      <w:lvlText w:val=""/>
      <w:lvlJc w:val="left"/>
      <w:pPr>
        <w:ind w:left="720" w:hanging="360"/>
      </w:pPr>
      <w:rPr>
        <w:rFonts w:ascii="Symbol" w:hAnsi="Symbol"/>
      </w:rPr>
    </w:lvl>
    <w:lvl w:ilvl="8" w:tplc="07BAB7F8">
      <w:start w:val="1"/>
      <w:numFmt w:val="bullet"/>
      <w:lvlText w:val=""/>
      <w:lvlJc w:val="left"/>
      <w:pPr>
        <w:ind w:left="720" w:hanging="360"/>
      </w:pPr>
      <w:rPr>
        <w:rFonts w:ascii="Symbol" w:hAnsi="Symbol"/>
      </w:rPr>
    </w:lvl>
  </w:abstractNum>
  <w:abstractNum w:abstractNumId="25" w15:restartNumberingAfterBreak="0">
    <w:nsid w:val="47D50479"/>
    <w:multiLevelType w:val="multilevel"/>
    <w:tmpl w:val="28E66356"/>
    <w:styleLink w:val="ListAlphanumericmaster"/>
    <w:lvl w:ilvl="0">
      <w:start w:val="1"/>
      <w:numFmt w:val="lowerLetter"/>
      <w:lvlText w:val="%1)"/>
      <w:lvlJc w:val="left"/>
      <w:pPr>
        <w:ind w:left="357" w:hanging="357"/>
      </w:pPr>
      <w:rPr>
        <w:rFonts w:hint="default"/>
      </w:rPr>
    </w:lvl>
    <w:lvl w:ilvl="1">
      <w:start w:val="1"/>
      <w:numFmt w:val="lowerRoman"/>
      <w:lvlText w:val="%2)"/>
      <w:lvlJc w:val="left"/>
      <w:pPr>
        <w:ind w:left="714" w:hanging="357"/>
      </w:pPr>
      <w:rPr>
        <w:rFonts w:hint="default"/>
      </w:rPr>
    </w:lvl>
    <w:lvl w:ilvl="2">
      <w:start w:val="1"/>
      <w:numFmt w:val="lowerRoman"/>
      <w:lvlText w:val="(%3)"/>
      <w:lvlJc w:val="left"/>
      <w:pPr>
        <w:ind w:left="1361"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84D764C"/>
    <w:multiLevelType w:val="multilevel"/>
    <w:tmpl w:val="EAA2F742"/>
    <w:numStyleLink w:val="TableListNumbermaster"/>
  </w:abstractNum>
  <w:abstractNum w:abstractNumId="27" w15:restartNumberingAfterBreak="0">
    <w:nsid w:val="50C54BDB"/>
    <w:multiLevelType w:val="hybridMultilevel"/>
    <w:tmpl w:val="909AC6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1910100"/>
    <w:multiLevelType w:val="multilevel"/>
    <w:tmpl w:val="113457F2"/>
    <w:numStyleLink w:val="Headingsmaster"/>
  </w:abstractNum>
  <w:abstractNum w:abstractNumId="29" w15:restartNumberingAfterBreak="0">
    <w:nsid w:val="51F55EB9"/>
    <w:multiLevelType w:val="multilevel"/>
    <w:tmpl w:val="4E5A47E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57A51FC2"/>
    <w:multiLevelType w:val="multilevel"/>
    <w:tmpl w:val="56043EA4"/>
    <w:styleLink w:val="TableListBulletmaster"/>
    <w:lvl w:ilvl="0">
      <w:start w:val="1"/>
      <w:numFmt w:val="bullet"/>
      <w:pStyle w:val="TableListBullet"/>
      <w:lvlText w:val=""/>
      <w:lvlJc w:val="left"/>
      <w:pPr>
        <w:ind w:left="284" w:hanging="284"/>
      </w:pPr>
      <w:rPr>
        <w:rFonts w:ascii="Symbol" w:hAnsi="Symbol" w:hint="default"/>
        <w:color w:val="auto"/>
      </w:rPr>
    </w:lvl>
    <w:lvl w:ilvl="1">
      <w:start w:val="1"/>
      <w:numFmt w:val="bullet"/>
      <w:pStyle w:val="TableListBullet2"/>
      <w:lvlText w:val="̶"/>
      <w:lvlJc w:val="left"/>
      <w:pPr>
        <w:ind w:left="567" w:hanging="283"/>
      </w:pPr>
      <w:rPr>
        <w:rFonts w:ascii="Calibri" w:hAnsi="Calibri"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2047795"/>
    <w:multiLevelType w:val="multilevel"/>
    <w:tmpl w:val="B4C8D01E"/>
    <w:lvl w:ilvl="0">
      <w:start w:val="1"/>
      <w:numFmt w:val="decimal"/>
      <w:lvlText w:val="%1"/>
      <w:lvlJc w:val="left"/>
      <w:pPr>
        <w:tabs>
          <w:tab w:val="num" w:pos="1021"/>
        </w:tabs>
        <w:ind w:left="1021" w:hanging="1021"/>
      </w:pPr>
      <w:rPr>
        <w:rFonts w:hint="default"/>
      </w:rPr>
    </w:lvl>
    <w:lvl w:ilvl="1">
      <w:start w:val="1"/>
      <w:numFmt w:val="decimal"/>
      <w:lvlText w:val="%1.%2"/>
      <w:lvlJc w:val="left"/>
      <w:pPr>
        <w:tabs>
          <w:tab w:val="num" w:pos="1021"/>
        </w:tabs>
        <w:ind w:left="1021" w:hanging="1021"/>
      </w:pPr>
      <w:rPr>
        <w:rFonts w:hint="default"/>
      </w:rPr>
    </w:lvl>
    <w:lvl w:ilvl="2">
      <w:start w:val="1"/>
      <w:numFmt w:val="decimal"/>
      <w:lvlText w:val="%1.%2.%3"/>
      <w:lvlJc w:val="left"/>
      <w:pPr>
        <w:tabs>
          <w:tab w:val="num" w:pos="1021"/>
        </w:tabs>
        <w:ind w:left="1021" w:hanging="1021"/>
      </w:pPr>
      <w:rPr>
        <w:rFonts w:hint="default"/>
      </w:rPr>
    </w:lvl>
    <w:lvl w:ilvl="3">
      <w:start w:val="1"/>
      <w:numFmt w:val="decimal"/>
      <w:lvlText w:val="%1.%2.%3.%4"/>
      <w:lvlJc w:val="left"/>
      <w:pPr>
        <w:tabs>
          <w:tab w:val="num" w:pos="1021"/>
        </w:tabs>
        <w:ind w:left="1021" w:hanging="1021"/>
      </w:pPr>
      <w:rPr>
        <w:rFonts w:hint="default"/>
      </w:rPr>
    </w:lvl>
    <w:lvl w:ilvl="4">
      <w:start w:val="1"/>
      <w:numFmt w:val="none"/>
      <w:lvlText w:val=""/>
      <w:lvlJc w:val="left"/>
      <w:pPr>
        <w:tabs>
          <w:tab w:val="num" w:pos="0"/>
        </w:tabs>
        <w:ind w:left="0" w:firstLine="0"/>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632D74CC"/>
    <w:multiLevelType w:val="multilevel"/>
    <w:tmpl w:val="0D96AACA"/>
    <w:numStyleLink w:val="AppendixHeadingmaster"/>
  </w:abstractNum>
  <w:abstractNum w:abstractNumId="33" w15:restartNumberingAfterBreak="0">
    <w:nsid w:val="648E6CBA"/>
    <w:multiLevelType w:val="multilevel"/>
    <w:tmpl w:val="9F703E2E"/>
    <w:styleLink w:val="ListBulletmaster"/>
    <w:lvl w:ilvl="0">
      <w:start w:val="1"/>
      <w:numFmt w:val="bullet"/>
      <w:pStyle w:val="ListBullet"/>
      <w:lvlText w:val=""/>
      <w:lvlJc w:val="left"/>
      <w:pPr>
        <w:tabs>
          <w:tab w:val="num" w:pos="360"/>
        </w:tabs>
        <w:ind w:left="360" w:hanging="360"/>
      </w:pPr>
      <w:rPr>
        <w:rFonts w:ascii="Symbol" w:hAnsi="Symbol" w:hint="default"/>
        <w:color w:val="auto"/>
      </w:rPr>
    </w:lvl>
    <w:lvl w:ilvl="1">
      <w:start w:val="1"/>
      <w:numFmt w:val="bullet"/>
      <w:pStyle w:val="ListBullet2"/>
      <w:lvlText w:val=""/>
      <w:lvlJc w:val="left"/>
      <w:pPr>
        <w:ind w:left="714" w:hanging="357"/>
      </w:pPr>
      <w:rPr>
        <w:rFonts w:ascii="Symbol" w:hAnsi="Symbol" w:hint="default"/>
        <w:color w:val="auto"/>
      </w:rPr>
    </w:lvl>
    <w:lvl w:ilvl="2">
      <w:start w:val="1"/>
      <w:numFmt w:val="bullet"/>
      <w:pStyle w:val="ListBullet3"/>
      <w:lvlText w:val="■"/>
      <w:lvlJc w:val="left"/>
      <w:pPr>
        <w:ind w:left="1072" w:hanging="358"/>
      </w:pPr>
      <w:rPr>
        <w:rFonts w:ascii="Arial" w:hAnsi="Arial" w:hint="default"/>
        <w:color w:val="auto"/>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69E659CA"/>
    <w:multiLevelType w:val="multilevel"/>
    <w:tmpl w:val="9F703E2E"/>
    <w:numStyleLink w:val="ListBulletmaster"/>
  </w:abstractNum>
  <w:abstractNum w:abstractNumId="35" w15:restartNumberingAfterBreak="0">
    <w:nsid w:val="6B4C12B8"/>
    <w:multiLevelType w:val="multilevel"/>
    <w:tmpl w:val="113457F2"/>
    <w:numStyleLink w:val="Headingsmaster"/>
  </w:abstractNum>
  <w:abstractNum w:abstractNumId="36" w15:restartNumberingAfterBreak="0">
    <w:nsid w:val="6BB71901"/>
    <w:multiLevelType w:val="hybridMultilevel"/>
    <w:tmpl w:val="D41CC408"/>
    <w:lvl w:ilvl="0" w:tplc="DD00DA9C">
      <w:start w:val="1"/>
      <w:numFmt w:val="bullet"/>
      <w:lvlText w:val=""/>
      <w:lvlJc w:val="left"/>
      <w:pPr>
        <w:ind w:left="720" w:hanging="360"/>
      </w:pPr>
      <w:rPr>
        <w:rFonts w:ascii="Symbol" w:hAnsi="Symbol"/>
      </w:rPr>
    </w:lvl>
    <w:lvl w:ilvl="1" w:tplc="230AAFCA">
      <w:start w:val="1"/>
      <w:numFmt w:val="bullet"/>
      <w:lvlText w:val=""/>
      <w:lvlJc w:val="left"/>
      <w:pPr>
        <w:ind w:left="720" w:hanging="360"/>
      </w:pPr>
      <w:rPr>
        <w:rFonts w:ascii="Symbol" w:hAnsi="Symbol"/>
      </w:rPr>
    </w:lvl>
    <w:lvl w:ilvl="2" w:tplc="57BA105E">
      <w:start w:val="1"/>
      <w:numFmt w:val="bullet"/>
      <w:lvlText w:val=""/>
      <w:lvlJc w:val="left"/>
      <w:pPr>
        <w:ind w:left="720" w:hanging="360"/>
      </w:pPr>
      <w:rPr>
        <w:rFonts w:ascii="Symbol" w:hAnsi="Symbol"/>
      </w:rPr>
    </w:lvl>
    <w:lvl w:ilvl="3" w:tplc="3954A75C">
      <w:start w:val="1"/>
      <w:numFmt w:val="bullet"/>
      <w:lvlText w:val=""/>
      <w:lvlJc w:val="left"/>
      <w:pPr>
        <w:ind w:left="720" w:hanging="360"/>
      </w:pPr>
      <w:rPr>
        <w:rFonts w:ascii="Symbol" w:hAnsi="Symbol"/>
      </w:rPr>
    </w:lvl>
    <w:lvl w:ilvl="4" w:tplc="1C624CA0">
      <w:start w:val="1"/>
      <w:numFmt w:val="bullet"/>
      <w:lvlText w:val=""/>
      <w:lvlJc w:val="left"/>
      <w:pPr>
        <w:ind w:left="720" w:hanging="360"/>
      </w:pPr>
      <w:rPr>
        <w:rFonts w:ascii="Symbol" w:hAnsi="Symbol"/>
      </w:rPr>
    </w:lvl>
    <w:lvl w:ilvl="5" w:tplc="2CA064D0">
      <w:start w:val="1"/>
      <w:numFmt w:val="bullet"/>
      <w:lvlText w:val=""/>
      <w:lvlJc w:val="left"/>
      <w:pPr>
        <w:ind w:left="720" w:hanging="360"/>
      </w:pPr>
      <w:rPr>
        <w:rFonts w:ascii="Symbol" w:hAnsi="Symbol"/>
      </w:rPr>
    </w:lvl>
    <w:lvl w:ilvl="6" w:tplc="E83029AE">
      <w:start w:val="1"/>
      <w:numFmt w:val="bullet"/>
      <w:lvlText w:val=""/>
      <w:lvlJc w:val="left"/>
      <w:pPr>
        <w:ind w:left="720" w:hanging="360"/>
      </w:pPr>
      <w:rPr>
        <w:rFonts w:ascii="Symbol" w:hAnsi="Symbol"/>
      </w:rPr>
    </w:lvl>
    <w:lvl w:ilvl="7" w:tplc="7960D7E8">
      <w:start w:val="1"/>
      <w:numFmt w:val="bullet"/>
      <w:lvlText w:val=""/>
      <w:lvlJc w:val="left"/>
      <w:pPr>
        <w:ind w:left="720" w:hanging="360"/>
      </w:pPr>
      <w:rPr>
        <w:rFonts w:ascii="Symbol" w:hAnsi="Symbol"/>
      </w:rPr>
    </w:lvl>
    <w:lvl w:ilvl="8" w:tplc="7BEEBC9C">
      <w:start w:val="1"/>
      <w:numFmt w:val="bullet"/>
      <w:lvlText w:val=""/>
      <w:lvlJc w:val="left"/>
      <w:pPr>
        <w:ind w:left="720" w:hanging="360"/>
      </w:pPr>
      <w:rPr>
        <w:rFonts w:ascii="Symbol" w:hAnsi="Symbol"/>
      </w:rPr>
    </w:lvl>
  </w:abstractNum>
  <w:abstractNum w:abstractNumId="37" w15:restartNumberingAfterBreak="0">
    <w:nsid w:val="6C3F031A"/>
    <w:multiLevelType w:val="multilevel"/>
    <w:tmpl w:val="A1224394"/>
    <w:numStyleLink w:val="ListLegalmaster"/>
  </w:abstractNum>
  <w:abstractNum w:abstractNumId="38" w15:restartNumberingAfterBreak="0">
    <w:nsid w:val="74D60729"/>
    <w:multiLevelType w:val="hybridMultilevel"/>
    <w:tmpl w:val="A2A4E0E8"/>
    <w:lvl w:ilvl="0" w:tplc="C6A2C546">
      <w:start w:val="1"/>
      <w:numFmt w:val="bullet"/>
      <w:lvlText w:val=""/>
      <w:lvlJc w:val="left"/>
      <w:pPr>
        <w:ind w:left="720" w:hanging="360"/>
      </w:pPr>
      <w:rPr>
        <w:rFonts w:ascii="Symbol" w:hAnsi="Symbol"/>
      </w:rPr>
    </w:lvl>
    <w:lvl w:ilvl="1" w:tplc="8CA88C7E">
      <w:start w:val="1"/>
      <w:numFmt w:val="bullet"/>
      <w:lvlText w:val=""/>
      <w:lvlJc w:val="left"/>
      <w:pPr>
        <w:ind w:left="720" w:hanging="360"/>
      </w:pPr>
      <w:rPr>
        <w:rFonts w:ascii="Symbol" w:hAnsi="Symbol"/>
      </w:rPr>
    </w:lvl>
    <w:lvl w:ilvl="2" w:tplc="5C1E4476">
      <w:start w:val="1"/>
      <w:numFmt w:val="bullet"/>
      <w:lvlText w:val=""/>
      <w:lvlJc w:val="left"/>
      <w:pPr>
        <w:ind w:left="720" w:hanging="360"/>
      </w:pPr>
      <w:rPr>
        <w:rFonts w:ascii="Symbol" w:hAnsi="Symbol"/>
      </w:rPr>
    </w:lvl>
    <w:lvl w:ilvl="3" w:tplc="BE24FFD4">
      <w:start w:val="1"/>
      <w:numFmt w:val="bullet"/>
      <w:lvlText w:val=""/>
      <w:lvlJc w:val="left"/>
      <w:pPr>
        <w:ind w:left="720" w:hanging="360"/>
      </w:pPr>
      <w:rPr>
        <w:rFonts w:ascii="Symbol" w:hAnsi="Symbol"/>
      </w:rPr>
    </w:lvl>
    <w:lvl w:ilvl="4" w:tplc="16C876CC">
      <w:start w:val="1"/>
      <w:numFmt w:val="bullet"/>
      <w:lvlText w:val=""/>
      <w:lvlJc w:val="left"/>
      <w:pPr>
        <w:ind w:left="720" w:hanging="360"/>
      </w:pPr>
      <w:rPr>
        <w:rFonts w:ascii="Symbol" w:hAnsi="Symbol"/>
      </w:rPr>
    </w:lvl>
    <w:lvl w:ilvl="5" w:tplc="F8B0211A">
      <w:start w:val="1"/>
      <w:numFmt w:val="bullet"/>
      <w:lvlText w:val=""/>
      <w:lvlJc w:val="left"/>
      <w:pPr>
        <w:ind w:left="720" w:hanging="360"/>
      </w:pPr>
      <w:rPr>
        <w:rFonts w:ascii="Symbol" w:hAnsi="Symbol"/>
      </w:rPr>
    </w:lvl>
    <w:lvl w:ilvl="6" w:tplc="30DCB96C">
      <w:start w:val="1"/>
      <w:numFmt w:val="bullet"/>
      <w:lvlText w:val=""/>
      <w:lvlJc w:val="left"/>
      <w:pPr>
        <w:ind w:left="720" w:hanging="360"/>
      </w:pPr>
      <w:rPr>
        <w:rFonts w:ascii="Symbol" w:hAnsi="Symbol"/>
      </w:rPr>
    </w:lvl>
    <w:lvl w:ilvl="7" w:tplc="E3224E5C">
      <w:start w:val="1"/>
      <w:numFmt w:val="bullet"/>
      <w:lvlText w:val=""/>
      <w:lvlJc w:val="left"/>
      <w:pPr>
        <w:ind w:left="720" w:hanging="360"/>
      </w:pPr>
      <w:rPr>
        <w:rFonts w:ascii="Symbol" w:hAnsi="Symbol"/>
      </w:rPr>
    </w:lvl>
    <w:lvl w:ilvl="8" w:tplc="8BE41398">
      <w:start w:val="1"/>
      <w:numFmt w:val="bullet"/>
      <w:lvlText w:val=""/>
      <w:lvlJc w:val="left"/>
      <w:pPr>
        <w:ind w:left="720" w:hanging="360"/>
      </w:pPr>
      <w:rPr>
        <w:rFonts w:ascii="Symbol" w:hAnsi="Symbol"/>
      </w:rPr>
    </w:lvl>
  </w:abstractNum>
  <w:abstractNum w:abstractNumId="39" w15:restartNumberingAfterBreak="0">
    <w:nsid w:val="763B02FB"/>
    <w:multiLevelType w:val="multilevel"/>
    <w:tmpl w:val="14D6B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9F8707D"/>
    <w:multiLevelType w:val="multilevel"/>
    <w:tmpl w:val="A1224394"/>
    <w:numStyleLink w:val="ListLegalmaster"/>
  </w:abstractNum>
  <w:abstractNum w:abstractNumId="41" w15:restartNumberingAfterBreak="0">
    <w:nsid w:val="7C7B5AF0"/>
    <w:multiLevelType w:val="hybridMultilevel"/>
    <w:tmpl w:val="D402FE2A"/>
    <w:lvl w:ilvl="0" w:tplc="3ADC6B12">
      <w:start w:val="1"/>
      <w:numFmt w:val="bullet"/>
      <w:lvlText w:val=""/>
      <w:lvlJc w:val="left"/>
      <w:pPr>
        <w:ind w:left="720" w:hanging="360"/>
      </w:pPr>
      <w:rPr>
        <w:rFonts w:ascii="Symbol" w:hAnsi="Symbol"/>
      </w:rPr>
    </w:lvl>
    <w:lvl w:ilvl="1" w:tplc="037AD174">
      <w:start w:val="1"/>
      <w:numFmt w:val="bullet"/>
      <w:lvlText w:val=""/>
      <w:lvlJc w:val="left"/>
      <w:pPr>
        <w:ind w:left="720" w:hanging="360"/>
      </w:pPr>
      <w:rPr>
        <w:rFonts w:ascii="Symbol" w:hAnsi="Symbol"/>
      </w:rPr>
    </w:lvl>
    <w:lvl w:ilvl="2" w:tplc="E44E27DC">
      <w:start w:val="1"/>
      <w:numFmt w:val="bullet"/>
      <w:lvlText w:val=""/>
      <w:lvlJc w:val="left"/>
      <w:pPr>
        <w:ind w:left="720" w:hanging="360"/>
      </w:pPr>
      <w:rPr>
        <w:rFonts w:ascii="Symbol" w:hAnsi="Symbol"/>
      </w:rPr>
    </w:lvl>
    <w:lvl w:ilvl="3" w:tplc="7BF0489C">
      <w:start w:val="1"/>
      <w:numFmt w:val="bullet"/>
      <w:lvlText w:val=""/>
      <w:lvlJc w:val="left"/>
      <w:pPr>
        <w:ind w:left="720" w:hanging="360"/>
      </w:pPr>
      <w:rPr>
        <w:rFonts w:ascii="Symbol" w:hAnsi="Symbol"/>
      </w:rPr>
    </w:lvl>
    <w:lvl w:ilvl="4" w:tplc="F4B427D8">
      <w:start w:val="1"/>
      <w:numFmt w:val="bullet"/>
      <w:lvlText w:val=""/>
      <w:lvlJc w:val="left"/>
      <w:pPr>
        <w:ind w:left="720" w:hanging="360"/>
      </w:pPr>
      <w:rPr>
        <w:rFonts w:ascii="Symbol" w:hAnsi="Symbol"/>
      </w:rPr>
    </w:lvl>
    <w:lvl w:ilvl="5" w:tplc="061E22A0">
      <w:start w:val="1"/>
      <w:numFmt w:val="bullet"/>
      <w:lvlText w:val=""/>
      <w:lvlJc w:val="left"/>
      <w:pPr>
        <w:ind w:left="720" w:hanging="360"/>
      </w:pPr>
      <w:rPr>
        <w:rFonts w:ascii="Symbol" w:hAnsi="Symbol"/>
      </w:rPr>
    </w:lvl>
    <w:lvl w:ilvl="6" w:tplc="D2A0F538">
      <w:start w:val="1"/>
      <w:numFmt w:val="bullet"/>
      <w:lvlText w:val=""/>
      <w:lvlJc w:val="left"/>
      <w:pPr>
        <w:ind w:left="720" w:hanging="360"/>
      </w:pPr>
      <w:rPr>
        <w:rFonts w:ascii="Symbol" w:hAnsi="Symbol"/>
      </w:rPr>
    </w:lvl>
    <w:lvl w:ilvl="7" w:tplc="05E0B532">
      <w:start w:val="1"/>
      <w:numFmt w:val="bullet"/>
      <w:lvlText w:val=""/>
      <w:lvlJc w:val="left"/>
      <w:pPr>
        <w:ind w:left="720" w:hanging="360"/>
      </w:pPr>
      <w:rPr>
        <w:rFonts w:ascii="Symbol" w:hAnsi="Symbol"/>
      </w:rPr>
    </w:lvl>
    <w:lvl w:ilvl="8" w:tplc="B718B32A">
      <w:start w:val="1"/>
      <w:numFmt w:val="bullet"/>
      <w:lvlText w:val=""/>
      <w:lvlJc w:val="left"/>
      <w:pPr>
        <w:ind w:left="720" w:hanging="360"/>
      </w:pPr>
      <w:rPr>
        <w:rFonts w:ascii="Symbol" w:hAnsi="Symbol"/>
      </w:rPr>
    </w:lvl>
  </w:abstractNum>
  <w:abstractNum w:abstractNumId="42" w15:restartNumberingAfterBreak="0">
    <w:nsid w:val="7D6D1012"/>
    <w:multiLevelType w:val="multilevel"/>
    <w:tmpl w:val="EAA2F742"/>
    <w:numStyleLink w:val="TableListNumbermaster"/>
  </w:abstractNum>
  <w:abstractNum w:abstractNumId="43" w15:restartNumberingAfterBreak="0">
    <w:nsid w:val="7D881735"/>
    <w:multiLevelType w:val="multilevel"/>
    <w:tmpl w:val="113457F2"/>
    <w:numStyleLink w:val="Headingsmaster"/>
  </w:abstractNum>
  <w:num w:numId="1" w16cid:durableId="328336156">
    <w:abstractNumId w:val="21"/>
    <w:lvlOverride w:ilvl="0">
      <w:lvl w:ilvl="0">
        <w:start w:val="1"/>
        <w:numFmt w:val="upperLetter"/>
        <w:pStyle w:val="AppendixHeading1"/>
        <w:lvlText w:val="Appendix %1"/>
        <w:lvlJc w:val="left"/>
        <w:pPr>
          <w:ind w:left="2268" w:hanging="2268"/>
        </w:pPr>
        <w:rPr>
          <w:rFonts w:ascii="Arial Bold" w:hAnsi="Arial Bold" w:hint="default"/>
          <w:b/>
          <w:i w:val="0"/>
          <w:color w:val="4B0985"/>
          <w:sz w:val="56"/>
        </w:rPr>
      </w:lvl>
    </w:lvlOverride>
    <w:lvlOverride w:ilvl="1">
      <w:lvl w:ilvl="1">
        <w:start w:val="1"/>
        <w:numFmt w:val="decimal"/>
        <w:pStyle w:val="AppendixHeading2"/>
        <w:lvlText w:val="%1.%2."/>
        <w:lvlJc w:val="left"/>
        <w:pPr>
          <w:ind w:left="1021" w:hanging="1021"/>
        </w:pPr>
        <w:rPr>
          <w:rFonts w:hint="default"/>
        </w:rPr>
      </w:lvl>
    </w:lvlOverride>
    <w:lvlOverride w:ilvl="2">
      <w:lvl w:ilvl="2">
        <w:start w:val="1"/>
        <w:numFmt w:val="none"/>
        <w:lvlText w:val="%3"/>
        <w:lvlJc w:val="left"/>
        <w:pPr>
          <w:ind w:left="0" w:firstLine="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 w16cid:durableId="1950045772">
    <w:abstractNumId w:val="31"/>
  </w:num>
  <w:num w:numId="3" w16cid:durableId="290287643">
    <w:abstractNumId w:val="8"/>
  </w:num>
  <w:num w:numId="4" w16cid:durableId="1869679674">
    <w:abstractNumId w:val="33"/>
  </w:num>
  <w:num w:numId="5" w16cid:durableId="2032871560">
    <w:abstractNumId w:val="15"/>
  </w:num>
  <w:num w:numId="6" w16cid:durableId="310910324">
    <w:abstractNumId w:val="30"/>
  </w:num>
  <w:num w:numId="7" w16cid:durableId="753476416">
    <w:abstractNumId w:val="11"/>
  </w:num>
  <w:num w:numId="8" w16cid:durableId="1722048815">
    <w:abstractNumId w:val="2"/>
  </w:num>
  <w:num w:numId="9" w16cid:durableId="1790736337">
    <w:abstractNumId w:val="25"/>
  </w:num>
  <w:num w:numId="10" w16cid:durableId="1926304350">
    <w:abstractNumId w:val="5"/>
  </w:num>
  <w:num w:numId="11" w16cid:durableId="874537139">
    <w:abstractNumId w:val="34"/>
  </w:num>
  <w:num w:numId="12" w16cid:durableId="759377971">
    <w:abstractNumId w:val="9"/>
  </w:num>
  <w:num w:numId="13" w16cid:durableId="107823657">
    <w:abstractNumId w:val="13"/>
  </w:num>
  <w:num w:numId="14" w16cid:durableId="1930505832">
    <w:abstractNumId w:val="40"/>
  </w:num>
  <w:num w:numId="15" w16cid:durableId="1858039008">
    <w:abstractNumId w:val="35"/>
  </w:num>
  <w:num w:numId="16" w16cid:durableId="1409770210">
    <w:abstractNumId w:val="32"/>
  </w:num>
  <w:num w:numId="17" w16cid:durableId="95685893">
    <w:abstractNumId w:val="37"/>
  </w:num>
  <w:num w:numId="18" w16cid:durableId="770515265">
    <w:abstractNumId w:val="13"/>
  </w:num>
  <w:num w:numId="19" w16cid:durableId="713041904">
    <w:abstractNumId w:val="37"/>
  </w:num>
  <w:num w:numId="20" w16cid:durableId="2057582421">
    <w:abstractNumId w:val="37"/>
  </w:num>
  <w:num w:numId="21" w16cid:durableId="2062821214">
    <w:abstractNumId w:val="28"/>
  </w:num>
  <w:num w:numId="22" w16cid:durableId="618410884">
    <w:abstractNumId w:val="43"/>
  </w:num>
  <w:num w:numId="23" w16cid:durableId="1320232845">
    <w:abstractNumId w:val="1"/>
  </w:num>
  <w:num w:numId="24" w16cid:durableId="1249077048">
    <w:abstractNumId w:val="10"/>
  </w:num>
  <w:num w:numId="25" w16cid:durableId="1552837590">
    <w:abstractNumId w:val="22"/>
  </w:num>
  <w:num w:numId="26" w16cid:durableId="734856478">
    <w:abstractNumId w:val="42"/>
  </w:num>
  <w:num w:numId="27" w16cid:durableId="1136530311">
    <w:abstractNumId w:val="26"/>
  </w:num>
  <w:num w:numId="28" w16cid:durableId="1221482542">
    <w:abstractNumId w:val="14"/>
  </w:num>
  <w:num w:numId="29" w16cid:durableId="2087678997">
    <w:abstractNumId w:val="12"/>
  </w:num>
  <w:num w:numId="30" w16cid:durableId="963854149">
    <w:abstractNumId w:val="0"/>
  </w:num>
  <w:num w:numId="31" w16cid:durableId="2035225280">
    <w:abstractNumId w:val="4"/>
  </w:num>
  <w:num w:numId="32" w16cid:durableId="1742405919">
    <w:abstractNumId w:val="21"/>
    <w:lvlOverride w:ilvl="0">
      <w:lvl w:ilvl="0">
        <w:start w:val="1"/>
        <w:numFmt w:val="upperLetter"/>
        <w:pStyle w:val="AppendixHeading1"/>
        <w:lvlText w:val="Appendix %1"/>
        <w:lvlJc w:val="left"/>
        <w:pPr>
          <w:ind w:left="2268" w:hanging="2268"/>
        </w:pPr>
      </w:lvl>
    </w:lvlOverride>
  </w:num>
  <w:num w:numId="33" w16cid:durableId="411391810">
    <w:abstractNumId w:val="23"/>
  </w:num>
  <w:num w:numId="34" w16cid:durableId="1442914095">
    <w:abstractNumId w:val="7"/>
  </w:num>
  <w:num w:numId="35" w16cid:durableId="691956747">
    <w:abstractNumId w:val="20"/>
  </w:num>
  <w:num w:numId="36" w16cid:durableId="1156337329">
    <w:abstractNumId w:val="18"/>
  </w:num>
  <w:num w:numId="37" w16cid:durableId="1349261214">
    <w:abstractNumId w:val="19"/>
  </w:num>
  <w:num w:numId="38" w16cid:durableId="634800952">
    <w:abstractNumId w:val="1"/>
  </w:num>
  <w:num w:numId="39" w16cid:durableId="107905514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15792241">
    <w:abstractNumId w:val="17"/>
  </w:num>
  <w:num w:numId="41" w16cid:durableId="1874418342">
    <w:abstractNumId w:val="39"/>
  </w:num>
  <w:num w:numId="42" w16cid:durableId="707533477">
    <w:abstractNumId w:val="6"/>
  </w:num>
  <w:num w:numId="43" w16cid:durableId="499977121">
    <w:abstractNumId w:val="27"/>
  </w:num>
  <w:num w:numId="44" w16cid:durableId="559943099">
    <w:abstractNumId w:val="24"/>
  </w:num>
  <w:num w:numId="45" w16cid:durableId="1608079726">
    <w:abstractNumId w:val="41"/>
  </w:num>
  <w:num w:numId="46" w16cid:durableId="1185902041">
    <w:abstractNumId w:val="16"/>
  </w:num>
  <w:num w:numId="47" w16cid:durableId="839346484">
    <w:abstractNumId w:val="36"/>
  </w:num>
  <w:num w:numId="48" w16cid:durableId="249968998">
    <w:abstractNumId w:val="38"/>
  </w:num>
  <w:num w:numId="49" w16cid:durableId="987244460">
    <w:abstractNumId w:val="3"/>
  </w:num>
  <w:num w:numId="50" w16cid:durableId="1334066861">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48"/>
  <w:removePersonalInformation/>
  <w:removeDateAndTime/>
  <w:documentProtection w:edit="readOnly"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wNzE3sTSzMDEyMjCyMDZU0lEKTi0uzszPAykwrgUA5MdhVywAAAA="/>
  </w:docVars>
  <w:rsids>
    <w:rsidRoot w:val="003E7268"/>
    <w:rsid w:val="00000124"/>
    <w:rsid w:val="00000B08"/>
    <w:rsid w:val="00000C0E"/>
    <w:rsid w:val="00001226"/>
    <w:rsid w:val="00001E5E"/>
    <w:rsid w:val="0000260D"/>
    <w:rsid w:val="00002B3B"/>
    <w:rsid w:val="00002DDB"/>
    <w:rsid w:val="0000395C"/>
    <w:rsid w:val="000039EA"/>
    <w:rsid w:val="00003F1C"/>
    <w:rsid w:val="00004089"/>
    <w:rsid w:val="00004600"/>
    <w:rsid w:val="00004687"/>
    <w:rsid w:val="000047F2"/>
    <w:rsid w:val="00004936"/>
    <w:rsid w:val="00004DD5"/>
    <w:rsid w:val="00004ED1"/>
    <w:rsid w:val="00005B83"/>
    <w:rsid w:val="00005BCF"/>
    <w:rsid w:val="00005BE0"/>
    <w:rsid w:val="00005E63"/>
    <w:rsid w:val="00005ECE"/>
    <w:rsid w:val="00006077"/>
    <w:rsid w:val="000068D7"/>
    <w:rsid w:val="0001076E"/>
    <w:rsid w:val="00010824"/>
    <w:rsid w:val="00010890"/>
    <w:rsid w:val="00010BC1"/>
    <w:rsid w:val="00010F37"/>
    <w:rsid w:val="00011108"/>
    <w:rsid w:val="000112FC"/>
    <w:rsid w:val="0001134B"/>
    <w:rsid w:val="00011665"/>
    <w:rsid w:val="00011AB6"/>
    <w:rsid w:val="00011B42"/>
    <w:rsid w:val="00011FF9"/>
    <w:rsid w:val="00012025"/>
    <w:rsid w:val="00012068"/>
    <w:rsid w:val="00012131"/>
    <w:rsid w:val="00012395"/>
    <w:rsid w:val="000126E3"/>
    <w:rsid w:val="000127BD"/>
    <w:rsid w:val="0001365E"/>
    <w:rsid w:val="00013D12"/>
    <w:rsid w:val="000142B8"/>
    <w:rsid w:val="0001532A"/>
    <w:rsid w:val="00015CA8"/>
    <w:rsid w:val="00016451"/>
    <w:rsid w:val="000169B5"/>
    <w:rsid w:val="00016C4A"/>
    <w:rsid w:val="00016E59"/>
    <w:rsid w:val="00017302"/>
    <w:rsid w:val="000178B2"/>
    <w:rsid w:val="00020095"/>
    <w:rsid w:val="000201B0"/>
    <w:rsid w:val="000202E9"/>
    <w:rsid w:val="00020549"/>
    <w:rsid w:val="0002070E"/>
    <w:rsid w:val="00020792"/>
    <w:rsid w:val="000209A3"/>
    <w:rsid w:val="00020D79"/>
    <w:rsid w:val="000210E1"/>
    <w:rsid w:val="000211C0"/>
    <w:rsid w:val="00021259"/>
    <w:rsid w:val="00021635"/>
    <w:rsid w:val="0002166F"/>
    <w:rsid w:val="00021A55"/>
    <w:rsid w:val="0002262A"/>
    <w:rsid w:val="000229C4"/>
    <w:rsid w:val="000229CF"/>
    <w:rsid w:val="00022C48"/>
    <w:rsid w:val="00022C62"/>
    <w:rsid w:val="00022FBC"/>
    <w:rsid w:val="00023099"/>
    <w:rsid w:val="00023307"/>
    <w:rsid w:val="00023644"/>
    <w:rsid w:val="00023BCD"/>
    <w:rsid w:val="0002458F"/>
    <w:rsid w:val="000245BE"/>
    <w:rsid w:val="000246A1"/>
    <w:rsid w:val="000247F3"/>
    <w:rsid w:val="00024E00"/>
    <w:rsid w:val="000252FC"/>
    <w:rsid w:val="00025A8F"/>
    <w:rsid w:val="00026450"/>
    <w:rsid w:val="000268DC"/>
    <w:rsid w:val="00026F5F"/>
    <w:rsid w:val="000271B5"/>
    <w:rsid w:val="0002738A"/>
    <w:rsid w:val="0002766D"/>
    <w:rsid w:val="0003004F"/>
    <w:rsid w:val="00030054"/>
    <w:rsid w:val="00030168"/>
    <w:rsid w:val="00030191"/>
    <w:rsid w:val="00030422"/>
    <w:rsid w:val="0003051B"/>
    <w:rsid w:val="000306A8"/>
    <w:rsid w:val="000308AF"/>
    <w:rsid w:val="0003114F"/>
    <w:rsid w:val="000312A9"/>
    <w:rsid w:val="0003134D"/>
    <w:rsid w:val="00031F19"/>
    <w:rsid w:val="00031FA8"/>
    <w:rsid w:val="00032EA4"/>
    <w:rsid w:val="00033021"/>
    <w:rsid w:val="0003317A"/>
    <w:rsid w:val="0003591F"/>
    <w:rsid w:val="00035DC2"/>
    <w:rsid w:val="000360DF"/>
    <w:rsid w:val="000362A7"/>
    <w:rsid w:val="00036C45"/>
    <w:rsid w:val="00037DA3"/>
    <w:rsid w:val="00040457"/>
    <w:rsid w:val="00040808"/>
    <w:rsid w:val="00040825"/>
    <w:rsid w:val="00040845"/>
    <w:rsid w:val="00040A93"/>
    <w:rsid w:val="00040AA9"/>
    <w:rsid w:val="00041130"/>
    <w:rsid w:val="0004134B"/>
    <w:rsid w:val="00041542"/>
    <w:rsid w:val="00041546"/>
    <w:rsid w:val="000419F4"/>
    <w:rsid w:val="00041B44"/>
    <w:rsid w:val="00041F9F"/>
    <w:rsid w:val="00042442"/>
    <w:rsid w:val="00042749"/>
    <w:rsid w:val="000428C2"/>
    <w:rsid w:val="000430B0"/>
    <w:rsid w:val="000439BA"/>
    <w:rsid w:val="00043AC3"/>
    <w:rsid w:val="00043D82"/>
    <w:rsid w:val="000441CE"/>
    <w:rsid w:val="00044415"/>
    <w:rsid w:val="0004497B"/>
    <w:rsid w:val="00044A3F"/>
    <w:rsid w:val="00044C56"/>
    <w:rsid w:val="00045204"/>
    <w:rsid w:val="00045607"/>
    <w:rsid w:val="000456AC"/>
    <w:rsid w:val="000459C9"/>
    <w:rsid w:val="00045DE1"/>
    <w:rsid w:val="00045F3C"/>
    <w:rsid w:val="00045F79"/>
    <w:rsid w:val="00046621"/>
    <w:rsid w:val="00046E2E"/>
    <w:rsid w:val="00047065"/>
    <w:rsid w:val="00047DC5"/>
    <w:rsid w:val="00050094"/>
    <w:rsid w:val="000500C1"/>
    <w:rsid w:val="00050144"/>
    <w:rsid w:val="00050BD6"/>
    <w:rsid w:val="00050E30"/>
    <w:rsid w:val="00050EEB"/>
    <w:rsid w:val="00051941"/>
    <w:rsid w:val="00051A47"/>
    <w:rsid w:val="00052384"/>
    <w:rsid w:val="000524BE"/>
    <w:rsid w:val="0005262B"/>
    <w:rsid w:val="00052AF7"/>
    <w:rsid w:val="00053074"/>
    <w:rsid w:val="00053AFA"/>
    <w:rsid w:val="00054159"/>
    <w:rsid w:val="00054D7D"/>
    <w:rsid w:val="00054F8C"/>
    <w:rsid w:val="00054F93"/>
    <w:rsid w:val="000551FB"/>
    <w:rsid w:val="0005562C"/>
    <w:rsid w:val="00055814"/>
    <w:rsid w:val="00055DD8"/>
    <w:rsid w:val="000567BD"/>
    <w:rsid w:val="00056838"/>
    <w:rsid w:val="00056A79"/>
    <w:rsid w:val="00056B4B"/>
    <w:rsid w:val="00056C7C"/>
    <w:rsid w:val="00056E9E"/>
    <w:rsid w:val="00056EC7"/>
    <w:rsid w:val="000572D9"/>
    <w:rsid w:val="0005773E"/>
    <w:rsid w:val="000577A3"/>
    <w:rsid w:val="0005796E"/>
    <w:rsid w:val="00057DF0"/>
    <w:rsid w:val="00057E5E"/>
    <w:rsid w:val="00060104"/>
    <w:rsid w:val="0006062C"/>
    <w:rsid w:val="000609D2"/>
    <w:rsid w:val="000618C6"/>
    <w:rsid w:val="000619F3"/>
    <w:rsid w:val="00061F66"/>
    <w:rsid w:val="0006204B"/>
    <w:rsid w:val="00062232"/>
    <w:rsid w:val="000623BB"/>
    <w:rsid w:val="000627F5"/>
    <w:rsid w:val="0006289C"/>
    <w:rsid w:val="00062AF7"/>
    <w:rsid w:val="00062C4A"/>
    <w:rsid w:val="00063364"/>
    <w:rsid w:val="000635EA"/>
    <w:rsid w:val="00063B52"/>
    <w:rsid w:val="00064494"/>
    <w:rsid w:val="00064822"/>
    <w:rsid w:val="0006494A"/>
    <w:rsid w:val="00064E55"/>
    <w:rsid w:val="00065D1D"/>
    <w:rsid w:val="00065D92"/>
    <w:rsid w:val="00065D99"/>
    <w:rsid w:val="00066266"/>
    <w:rsid w:val="00066B58"/>
    <w:rsid w:val="00066C57"/>
    <w:rsid w:val="0006739D"/>
    <w:rsid w:val="000675B6"/>
    <w:rsid w:val="000676B5"/>
    <w:rsid w:val="0006771A"/>
    <w:rsid w:val="00067782"/>
    <w:rsid w:val="00067A99"/>
    <w:rsid w:val="00067BEF"/>
    <w:rsid w:val="00067D20"/>
    <w:rsid w:val="00070FA2"/>
    <w:rsid w:val="00071597"/>
    <w:rsid w:val="00071887"/>
    <w:rsid w:val="0007267F"/>
    <w:rsid w:val="000728CB"/>
    <w:rsid w:val="00072C4D"/>
    <w:rsid w:val="00073671"/>
    <w:rsid w:val="00073AFC"/>
    <w:rsid w:val="00073F01"/>
    <w:rsid w:val="000747FC"/>
    <w:rsid w:val="000749D7"/>
    <w:rsid w:val="0007513C"/>
    <w:rsid w:val="00075356"/>
    <w:rsid w:val="000758B0"/>
    <w:rsid w:val="00075B89"/>
    <w:rsid w:val="00076359"/>
    <w:rsid w:val="00076CFD"/>
    <w:rsid w:val="000772B9"/>
    <w:rsid w:val="000773F1"/>
    <w:rsid w:val="0007755D"/>
    <w:rsid w:val="0007782F"/>
    <w:rsid w:val="00080041"/>
    <w:rsid w:val="0008013A"/>
    <w:rsid w:val="00080140"/>
    <w:rsid w:val="00080244"/>
    <w:rsid w:val="000803B6"/>
    <w:rsid w:val="00080A7D"/>
    <w:rsid w:val="00080F8D"/>
    <w:rsid w:val="000810E1"/>
    <w:rsid w:val="000813A6"/>
    <w:rsid w:val="00081550"/>
    <w:rsid w:val="000816FB"/>
    <w:rsid w:val="00081C2F"/>
    <w:rsid w:val="00081D60"/>
    <w:rsid w:val="00081EAA"/>
    <w:rsid w:val="0008202E"/>
    <w:rsid w:val="0008232A"/>
    <w:rsid w:val="000828E6"/>
    <w:rsid w:val="000828F6"/>
    <w:rsid w:val="00082CAE"/>
    <w:rsid w:val="00082CCE"/>
    <w:rsid w:val="00082D75"/>
    <w:rsid w:val="0008347D"/>
    <w:rsid w:val="0008365A"/>
    <w:rsid w:val="00083860"/>
    <w:rsid w:val="00083CD1"/>
    <w:rsid w:val="00084C4A"/>
    <w:rsid w:val="000852AE"/>
    <w:rsid w:val="00085479"/>
    <w:rsid w:val="00085AF3"/>
    <w:rsid w:val="00085B7D"/>
    <w:rsid w:val="0008624E"/>
    <w:rsid w:val="00086458"/>
    <w:rsid w:val="00086A23"/>
    <w:rsid w:val="00086C7B"/>
    <w:rsid w:val="00087131"/>
    <w:rsid w:val="00087847"/>
    <w:rsid w:val="00090B1C"/>
    <w:rsid w:val="00090B92"/>
    <w:rsid w:val="00090CC6"/>
    <w:rsid w:val="00091DA9"/>
    <w:rsid w:val="0009201E"/>
    <w:rsid w:val="000920BC"/>
    <w:rsid w:val="000922E7"/>
    <w:rsid w:val="000929C6"/>
    <w:rsid w:val="00092AE2"/>
    <w:rsid w:val="00093021"/>
    <w:rsid w:val="000931C0"/>
    <w:rsid w:val="000933E9"/>
    <w:rsid w:val="000933F2"/>
    <w:rsid w:val="000934D5"/>
    <w:rsid w:val="0009487A"/>
    <w:rsid w:val="00095220"/>
    <w:rsid w:val="000955AE"/>
    <w:rsid w:val="00095B76"/>
    <w:rsid w:val="00095E66"/>
    <w:rsid w:val="00096094"/>
    <w:rsid w:val="0009644B"/>
    <w:rsid w:val="00096665"/>
    <w:rsid w:val="00096A84"/>
    <w:rsid w:val="00096F97"/>
    <w:rsid w:val="00097750"/>
    <w:rsid w:val="000978C9"/>
    <w:rsid w:val="00097A42"/>
    <w:rsid w:val="000A04A1"/>
    <w:rsid w:val="000A0525"/>
    <w:rsid w:val="000A0D59"/>
    <w:rsid w:val="000A1240"/>
    <w:rsid w:val="000A19C5"/>
    <w:rsid w:val="000A2188"/>
    <w:rsid w:val="000A21B9"/>
    <w:rsid w:val="000A2545"/>
    <w:rsid w:val="000A28FA"/>
    <w:rsid w:val="000A3686"/>
    <w:rsid w:val="000A36AA"/>
    <w:rsid w:val="000A3BCC"/>
    <w:rsid w:val="000A3CB3"/>
    <w:rsid w:val="000A456D"/>
    <w:rsid w:val="000A4D2F"/>
    <w:rsid w:val="000A52D5"/>
    <w:rsid w:val="000A53F7"/>
    <w:rsid w:val="000A56A0"/>
    <w:rsid w:val="000A59C9"/>
    <w:rsid w:val="000A5C68"/>
    <w:rsid w:val="000A611A"/>
    <w:rsid w:val="000A66C9"/>
    <w:rsid w:val="000A688D"/>
    <w:rsid w:val="000A68D6"/>
    <w:rsid w:val="000A6BCD"/>
    <w:rsid w:val="000A6C8D"/>
    <w:rsid w:val="000A6DB4"/>
    <w:rsid w:val="000A741C"/>
    <w:rsid w:val="000A7479"/>
    <w:rsid w:val="000A74D5"/>
    <w:rsid w:val="000A757C"/>
    <w:rsid w:val="000A79E4"/>
    <w:rsid w:val="000A7E26"/>
    <w:rsid w:val="000B115F"/>
    <w:rsid w:val="000B1704"/>
    <w:rsid w:val="000B182E"/>
    <w:rsid w:val="000B1C27"/>
    <w:rsid w:val="000B2211"/>
    <w:rsid w:val="000B227D"/>
    <w:rsid w:val="000B22C3"/>
    <w:rsid w:val="000B2545"/>
    <w:rsid w:val="000B3062"/>
    <w:rsid w:val="000B30AA"/>
    <w:rsid w:val="000B326C"/>
    <w:rsid w:val="000B32FA"/>
    <w:rsid w:val="000B3739"/>
    <w:rsid w:val="000B39F5"/>
    <w:rsid w:val="000B3CE1"/>
    <w:rsid w:val="000B3FE7"/>
    <w:rsid w:val="000B4359"/>
    <w:rsid w:val="000B443D"/>
    <w:rsid w:val="000B4AFA"/>
    <w:rsid w:val="000B4D0F"/>
    <w:rsid w:val="000B51AC"/>
    <w:rsid w:val="000B5219"/>
    <w:rsid w:val="000B5712"/>
    <w:rsid w:val="000B5775"/>
    <w:rsid w:val="000B5829"/>
    <w:rsid w:val="000B5865"/>
    <w:rsid w:val="000B5993"/>
    <w:rsid w:val="000B600A"/>
    <w:rsid w:val="000B6C67"/>
    <w:rsid w:val="000B6DC7"/>
    <w:rsid w:val="000B6E1B"/>
    <w:rsid w:val="000B716B"/>
    <w:rsid w:val="000B7239"/>
    <w:rsid w:val="000B7606"/>
    <w:rsid w:val="000B7AF5"/>
    <w:rsid w:val="000C0039"/>
    <w:rsid w:val="000C02EB"/>
    <w:rsid w:val="000C0662"/>
    <w:rsid w:val="000C0C88"/>
    <w:rsid w:val="000C13DF"/>
    <w:rsid w:val="000C14CA"/>
    <w:rsid w:val="000C22AB"/>
    <w:rsid w:val="000C23BA"/>
    <w:rsid w:val="000C2B0F"/>
    <w:rsid w:val="000C2C4F"/>
    <w:rsid w:val="000C2DC5"/>
    <w:rsid w:val="000C2EF2"/>
    <w:rsid w:val="000C30A6"/>
    <w:rsid w:val="000C31A0"/>
    <w:rsid w:val="000C38BE"/>
    <w:rsid w:val="000C39A5"/>
    <w:rsid w:val="000C3D7A"/>
    <w:rsid w:val="000C3E1F"/>
    <w:rsid w:val="000C3F17"/>
    <w:rsid w:val="000C3FAE"/>
    <w:rsid w:val="000C4230"/>
    <w:rsid w:val="000C4553"/>
    <w:rsid w:val="000C48E0"/>
    <w:rsid w:val="000C4944"/>
    <w:rsid w:val="000C4F64"/>
    <w:rsid w:val="000C5D5F"/>
    <w:rsid w:val="000C629D"/>
    <w:rsid w:val="000C6315"/>
    <w:rsid w:val="000C668D"/>
    <w:rsid w:val="000C6980"/>
    <w:rsid w:val="000C6DCE"/>
    <w:rsid w:val="000C6E03"/>
    <w:rsid w:val="000C6E55"/>
    <w:rsid w:val="000C7565"/>
    <w:rsid w:val="000C77A0"/>
    <w:rsid w:val="000C77B7"/>
    <w:rsid w:val="000C7CA8"/>
    <w:rsid w:val="000D02FA"/>
    <w:rsid w:val="000D13BA"/>
    <w:rsid w:val="000D1786"/>
    <w:rsid w:val="000D19F6"/>
    <w:rsid w:val="000D3CAA"/>
    <w:rsid w:val="000D3EB4"/>
    <w:rsid w:val="000D43C6"/>
    <w:rsid w:val="000D481C"/>
    <w:rsid w:val="000D4B92"/>
    <w:rsid w:val="000D4DB0"/>
    <w:rsid w:val="000D50DE"/>
    <w:rsid w:val="000D56A0"/>
    <w:rsid w:val="000D57FB"/>
    <w:rsid w:val="000D58B6"/>
    <w:rsid w:val="000D58E1"/>
    <w:rsid w:val="000D59AD"/>
    <w:rsid w:val="000D660A"/>
    <w:rsid w:val="000D6B56"/>
    <w:rsid w:val="000D73D9"/>
    <w:rsid w:val="000D7E17"/>
    <w:rsid w:val="000D7E75"/>
    <w:rsid w:val="000E007F"/>
    <w:rsid w:val="000E09EC"/>
    <w:rsid w:val="000E10D2"/>
    <w:rsid w:val="000E126A"/>
    <w:rsid w:val="000E133B"/>
    <w:rsid w:val="000E13CA"/>
    <w:rsid w:val="000E1759"/>
    <w:rsid w:val="000E237B"/>
    <w:rsid w:val="000E24E9"/>
    <w:rsid w:val="000E2598"/>
    <w:rsid w:val="000E3396"/>
    <w:rsid w:val="000E376C"/>
    <w:rsid w:val="000E3C4A"/>
    <w:rsid w:val="000E3E19"/>
    <w:rsid w:val="000E4203"/>
    <w:rsid w:val="000E43E6"/>
    <w:rsid w:val="000E46FE"/>
    <w:rsid w:val="000E4AC9"/>
    <w:rsid w:val="000E5103"/>
    <w:rsid w:val="000E5642"/>
    <w:rsid w:val="000E5D26"/>
    <w:rsid w:val="000E5F5C"/>
    <w:rsid w:val="000E6999"/>
    <w:rsid w:val="000E6D7C"/>
    <w:rsid w:val="000E6DCB"/>
    <w:rsid w:val="000E70EA"/>
    <w:rsid w:val="000E760A"/>
    <w:rsid w:val="000E7A0B"/>
    <w:rsid w:val="000E7AD5"/>
    <w:rsid w:val="000E7E66"/>
    <w:rsid w:val="000F096A"/>
    <w:rsid w:val="000F1D1A"/>
    <w:rsid w:val="000F1D90"/>
    <w:rsid w:val="000F22A5"/>
    <w:rsid w:val="000F2386"/>
    <w:rsid w:val="000F31A9"/>
    <w:rsid w:val="000F3320"/>
    <w:rsid w:val="000F332F"/>
    <w:rsid w:val="000F3A95"/>
    <w:rsid w:val="000F4BFA"/>
    <w:rsid w:val="000F52B7"/>
    <w:rsid w:val="000F56EA"/>
    <w:rsid w:val="000F5C89"/>
    <w:rsid w:val="000F5CD2"/>
    <w:rsid w:val="000F5CD5"/>
    <w:rsid w:val="000F6514"/>
    <w:rsid w:val="000F65B1"/>
    <w:rsid w:val="000F6641"/>
    <w:rsid w:val="000F6839"/>
    <w:rsid w:val="000F6BF3"/>
    <w:rsid w:val="000F7063"/>
    <w:rsid w:val="000F707D"/>
    <w:rsid w:val="000F7444"/>
    <w:rsid w:val="000F75E4"/>
    <w:rsid w:val="000F7702"/>
    <w:rsid w:val="000F788A"/>
    <w:rsid w:val="000F7D0D"/>
    <w:rsid w:val="001002C1"/>
    <w:rsid w:val="0010093C"/>
    <w:rsid w:val="00100AFD"/>
    <w:rsid w:val="0010113E"/>
    <w:rsid w:val="0010122E"/>
    <w:rsid w:val="001018AD"/>
    <w:rsid w:val="00101993"/>
    <w:rsid w:val="00101A82"/>
    <w:rsid w:val="00101AAF"/>
    <w:rsid w:val="00101C9D"/>
    <w:rsid w:val="00101EFB"/>
    <w:rsid w:val="0010235A"/>
    <w:rsid w:val="00102598"/>
    <w:rsid w:val="00103529"/>
    <w:rsid w:val="001036B6"/>
    <w:rsid w:val="0010407E"/>
    <w:rsid w:val="001040DC"/>
    <w:rsid w:val="00104281"/>
    <w:rsid w:val="001042C9"/>
    <w:rsid w:val="0010431B"/>
    <w:rsid w:val="00104636"/>
    <w:rsid w:val="0010464D"/>
    <w:rsid w:val="00104750"/>
    <w:rsid w:val="00104869"/>
    <w:rsid w:val="00104D92"/>
    <w:rsid w:val="001051C1"/>
    <w:rsid w:val="001057A3"/>
    <w:rsid w:val="001058D7"/>
    <w:rsid w:val="00105A16"/>
    <w:rsid w:val="00105B2D"/>
    <w:rsid w:val="00105BB5"/>
    <w:rsid w:val="00106CCD"/>
    <w:rsid w:val="00106E26"/>
    <w:rsid w:val="00106E88"/>
    <w:rsid w:val="00107C47"/>
    <w:rsid w:val="00110BFF"/>
    <w:rsid w:val="00111639"/>
    <w:rsid w:val="00111D58"/>
    <w:rsid w:val="00111D9F"/>
    <w:rsid w:val="00112EFE"/>
    <w:rsid w:val="001130F9"/>
    <w:rsid w:val="00113275"/>
    <w:rsid w:val="001134AC"/>
    <w:rsid w:val="001134F8"/>
    <w:rsid w:val="00114589"/>
    <w:rsid w:val="00115D52"/>
    <w:rsid w:val="00115EDF"/>
    <w:rsid w:val="00116214"/>
    <w:rsid w:val="00116262"/>
    <w:rsid w:val="001163D6"/>
    <w:rsid w:val="00116551"/>
    <w:rsid w:val="0011683D"/>
    <w:rsid w:val="00116B58"/>
    <w:rsid w:val="00116D49"/>
    <w:rsid w:val="00116DBF"/>
    <w:rsid w:val="001173F1"/>
    <w:rsid w:val="0011748D"/>
    <w:rsid w:val="00117C13"/>
    <w:rsid w:val="00117D1E"/>
    <w:rsid w:val="0012017C"/>
    <w:rsid w:val="0012047E"/>
    <w:rsid w:val="00120E11"/>
    <w:rsid w:val="00120FD0"/>
    <w:rsid w:val="001214FB"/>
    <w:rsid w:val="001215A7"/>
    <w:rsid w:val="00121841"/>
    <w:rsid w:val="00121950"/>
    <w:rsid w:val="00121E78"/>
    <w:rsid w:val="0012227A"/>
    <w:rsid w:val="0012259D"/>
    <w:rsid w:val="00122AD7"/>
    <w:rsid w:val="00122CD6"/>
    <w:rsid w:val="00123376"/>
    <w:rsid w:val="00123EEA"/>
    <w:rsid w:val="00124057"/>
    <w:rsid w:val="00125471"/>
    <w:rsid w:val="001256B0"/>
    <w:rsid w:val="001259D9"/>
    <w:rsid w:val="00125DB8"/>
    <w:rsid w:val="00125E5C"/>
    <w:rsid w:val="001262C7"/>
    <w:rsid w:val="00126A6A"/>
    <w:rsid w:val="00126AFD"/>
    <w:rsid w:val="001276DA"/>
    <w:rsid w:val="001279E3"/>
    <w:rsid w:val="00127BAE"/>
    <w:rsid w:val="00127F9F"/>
    <w:rsid w:val="00127FFB"/>
    <w:rsid w:val="0013006B"/>
    <w:rsid w:val="00130163"/>
    <w:rsid w:val="001301A4"/>
    <w:rsid w:val="001302C5"/>
    <w:rsid w:val="00130B59"/>
    <w:rsid w:val="00130B86"/>
    <w:rsid w:val="00130BA5"/>
    <w:rsid w:val="0013167A"/>
    <w:rsid w:val="0013184A"/>
    <w:rsid w:val="00131C8E"/>
    <w:rsid w:val="001332A7"/>
    <w:rsid w:val="0013332E"/>
    <w:rsid w:val="00133428"/>
    <w:rsid w:val="001336B4"/>
    <w:rsid w:val="0013387E"/>
    <w:rsid w:val="00133D3D"/>
    <w:rsid w:val="00133E5B"/>
    <w:rsid w:val="00133F90"/>
    <w:rsid w:val="00134263"/>
    <w:rsid w:val="001346AE"/>
    <w:rsid w:val="00134D51"/>
    <w:rsid w:val="00134F87"/>
    <w:rsid w:val="001359E6"/>
    <w:rsid w:val="00135B44"/>
    <w:rsid w:val="00135C73"/>
    <w:rsid w:val="00136002"/>
    <w:rsid w:val="0013626B"/>
    <w:rsid w:val="00136271"/>
    <w:rsid w:val="00136346"/>
    <w:rsid w:val="00136ED8"/>
    <w:rsid w:val="00137092"/>
    <w:rsid w:val="001372C4"/>
    <w:rsid w:val="0013748B"/>
    <w:rsid w:val="00137783"/>
    <w:rsid w:val="0013790D"/>
    <w:rsid w:val="00137AE0"/>
    <w:rsid w:val="00137C72"/>
    <w:rsid w:val="00137E20"/>
    <w:rsid w:val="00140D65"/>
    <w:rsid w:val="001414FA"/>
    <w:rsid w:val="00141BE2"/>
    <w:rsid w:val="00142193"/>
    <w:rsid w:val="00142629"/>
    <w:rsid w:val="00142A1A"/>
    <w:rsid w:val="00142C27"/>
    <w:rsid w:val="001432F7"/>
    <w:rsid w:val="001436E7"/>
    <w:rsid w:val="00143EBE"/>
    <w:rsid w:val="00143F55"/>
    <w:rsid w:val="00143FC0"/>
    <w:rsid w:val="00144031"/>
    <w:rsid w:val="00144287"/>
    <w:rsid w:val="001444B2"/>
    <w:rsid w:val="00144744"/>
    <w:rsid w:val="001449A3"/>
    <w:rsid w:val="00145067"/>
    <w:rsid w:val="001458D6"/>
    <w:rsid w:val="00145982"/>
    <w:rsid w:val="00145BCE"/>
    <w:rsid w:val="00145D2D"/>
    <w:rsid w:val="001464C3"/>
    <w:rsid w:val="00146511"/>
    <w:rsid w:val="001466A7"/>
    <w:rsid w:val="00146ED2"/>
    <w:rsid w:val="00146F78"/>
    <w:rsid w:val="001470A0"/>
    <w:rsid w:val="0014712F"/>
    <w:rsid w:val="001475C9"/>
    <w:rsid w:val="00147770"/>
    <w:rsid w:val="001477B4"/>
    <w:rsid w:val="001477CE"/>
    <w:rsid w:val="001478D9"/>
    <w:rsid w:val="00150618"/>
    <w:rsid w:val="00150C52"/>
    <w:rsid w:val="00151052"/>
    <w:rsid w:val="00151767"/>
    <w:rsid w:val="00151FDA"/>
    <w:rsid w:val="001530A2"/>
    <w:rsid w:val="00153201"/>
    <w:rsid w:val="00153304"/>
    <w:rsid w:val="001533BE"/>
    <w:rsid w:val="0015366A"/>
    <w:rsid w:val="001539BB"/>
    <w:rsid w:val="00153F28"/>
    <w:rsid w:val="0015402B"/>
    <w:rsid w:val="00154044"/>
    <w:rsid w:val="00154A9E"/>
    <w:rsid w:val="00154BBB"/>
    <w:rsid w:val="00154F81"/>
    <w:rsid w:val="00155116"/>
    <w:rsid w:val="001555C9"/>
    <w:rsid w:val="0015574F"/>
    <w:rsid w:val="00155859"/>
    <w:rsid w:val="00155BA9"/>
    <w:rsid w:val="001561B2"/>
    <w:rsid w:val="00156212"/>
    <w:rsid w:val="00156F22"/>
    <w:rsid w:val="00157901"/>
    <w:rsid w:val="0015792B"/>
    <w:rsid w:val="00157A9B"/>
    <w:rsid w:val="00157F07"/>
    <w:rsid w:val="00160788"/>
    <w:rsid w:val="00160A1C"/>
    <w:rsid w:val="00160B9B"/>
    <w:rsid w:val="00160FC6"/>
    <w:rsid w:val="001614E2"/>
    <w:rsid w:val="00161CD6"/>
    <w:rsid w:val="00162BB4"/>
    <w:rsid w:val="00163176"/>
    <w:rsid w:val="00163C4E"/>
    <w:rsid w:val="00163CC4"/>
    <w:rsid w:val="001646CD"/>
    <w:rsid w:val="00164898"/>
    <w:rsid w:val="00164D14"/>
    <w:rsid w:val="0016507B"/>
    <w:rsid w:val="00165882"/>
    <w:rsid w:val="00165899"/>
    <w:rsid w:val="00165B10"/>
    <w:rsid w:val="00165B7D"/>
    <w:rsid w:val="00165E92"/>
    <w:rsid w:val="00166643"/>
    <w:rsid w:val="001666DC"/>
    <w:rsid w:val="00166723"/>
    <w:rsid w:val="00166B1B"/>
    <w:rsid w:val="00166FB5"/>
    <w:rsid w:val="001672B4"/>
    <w:rsid w:val="0016744D"/>
    <w:rsid w:val="00170393"/>
    <w:rsid w:val="001705F0"/>
    <w:rsid w:val="0017126B"/>
    <w:rsid w:val="001714EA"/>
    <w:rsid w:val="00171DDF"/>
    <w:rsid w:val="00171ECB"/>
    <w:rsid w:val="001721E2"/>
    <w:rsid w:val="001724D5"/>
    <w:rsid w:val="00172538"/>
    <w:rsid w:val="001727B0"/>
    <w:rsid w:val="00172C8D"/>
    <w:rsid w:val="00172D54"/>
    <w:rsid w:val="00173012"/>
    <w:rsid w:val="001732E2"/>
    <w:rsid w:val="00173AAF"/>
    <w:rsid w:val="00173BB1"/>
    <w:rsid w:val="00173CCD"/>
    <w:rsid w:val="00173D74"/>
    <w:rsid w:val="0017408B"/>
    <w:rsid w:val="0017427D"/>
    <w:rsid w:val="0017542E"/>
    <w:rsid w:val="001759AC"/>
    <w:rsid w:val="0017628D"/>
    <w:rsid w:val="0017646E"/>
    <w:rsid w:val="0017648E"/>
    <w:rsid w:val="001768C3"/>
    <w:rsid w:val="00176947"/>
    <w:rsid w:val="00176ABB"/>
    <w:rsid w:val="00176CA7"/>
    <w:rsid w:val="00176E56"/>
    <w:rsid w:val="0017736B"/>
    <w:rsid w:val="00177621"/>
    <w:rsid w:val="00177D62"/>
    <w:rsid w:val="00177E96"/>
    <w:rsid w:val="001802BA"/>
    <w:rsid w:val="001807BC"/>
    <w:rsid w:val="00180BE8"/>
    <w:rsid w:val="00180E50"/>
    <w:rsid w:val="00181158"/>
    <w:rsid w:val="00181379"/>
    <w:rsid w:val="001815CF"/>
    <w:rsid w:val="00181A5B"/>
    <w:rsid w:val="001824E9"/>
    <w:rsid w:val="0018276C"/>
    <w:rsid w:val="00182DDA"/>
    <w:rsid w:val="0018387B"/>
    <w:rsid w:val="00183AD5"/>
    <w:rsid w:val="00183B04"/>
    <w:rsid w:val="001840F3"/>
    <w:rsid w:val="0018426C"/>
    <w:rsid w:val="001843AF"/>
    <w:rsid w:val="00184690"/>
    <w:rsid w:val="001846A7"/>
    <w:rsid w:val="001847EF"/>
    <w:rsid w:val="00184DF2"/>
    <w:rsid w:val="00185279"/>
    <w:rsid w:val="00185490"/>
    <w:rsid w:val="00186149"/>
    <w:rsid w:val="00186225"/>
    <w:rsid w:val="00186429"/>
    <w:rsid w:val="00186BBC"/>
    <w:rsid w:val="00186D0C"/>
    <w:rsid w:val="00187211"/>
    <w:rsid w:val="001873F9"/>
    <w:rsid w:val="001877D9"/>
    <w:rsid w:val="001902E1"/>
    <w:rsid w:val="001919E2"/>
    <w:rsid w:val="00191C35"/>
    <w:rsid w:val="00191CCE"/>
    <w:rsid w:val="001928DA"/>
    <w:rsid w:val="001936FD"/>
    <w:rsid w:val="0019439B"/>
    <w:rsid w:val="00194480"/>
    <w:rsid w:val="001944CC"/>
    <w:rsid w:val="00194B03"/>
    <w:rsid w:val="00194D83"/>
    <w:rsid w:val="00194FD5"/>
    <w:rsid w:val="001950CE"/>
    <w:rsid w:val="0019577E"/>
    <w:rsid w:val="00195A9A"/>
    <w:rsid w:val="00195AC7"/>
    <w:rsid w:val="00196071"/>
    <w:rsid w:val="00196A10"/>
    <w:rsid w:val="00196C3A"/>
    <w:rsid w:val="00196E8E"/>
    <w:rsid w:val="00197688"/>
    <w:rsid w:val="001A0187"/>
    <w:rsid w:val="001A04AD"/>
    <w:rsid w:val="001A0657"/>
    <w:rsid w:val="001A0855"/>
    <w:rsid w:val="001A0D2C"/>
    <w:rsid w:val="001A125B"/>
    <w:rsid w:val="001A199A"/>
    <w:rsid w:val="001A19B7"/>
    <w:rsid w:val="001A1AAF"/>
    <w:rsid w:val="001A1DB7"/>
    <w:rsid w:val="001A2541"/>
    <w:rsid w:val="001A2578"/>
    <w:rsid w:val="001A2957"/>
    <w:rsid w:val="001A2EA4"/>
    <w:rsid w:val="001A308E"/>
    <w:rsid w:val="001A324E"/>
    <w:rsid w:val="001A36A0"/>
    <w:rsid w:val="001A3C2A"/>
    <w:rsid w:val="001A3E0F"/>
    <w:rsid w:val="001A4059"/>
    <w:rsid w:val="001A43DB"/>
    <w:rsid w:val="001A4627"/>
    <w:rsid w:val="001A483F"/>
    <w:rsid w:val="001A48FB"/>
    <w:rsid w:val="001A491D"/>
    <w:rsid w:val="001A4AC0"/>
    <w:rsid w:val="001A4C0A"/>
    <w:rsid w:val="001A4E9D"/>
    <w:rsid w:val="001A4EAE"/>
    <w:rsid w:val="001A506D"/>
    <w:rsid w:val="001A55D3"/>
    <w:rsid w:val="001A563A"/>
    <w:rsid w:val="001A6056"/>
    <w:rsid w:val="001A6148"/>
    <w:rsid w:val="001A6306"/>
    <w:rsid w:val="001A6823"/>
    <w:rsid w:val="001A7086"/>
    <w:rsid w:val="001A74CF"/>
    <w:rsid w:val="001A7E36"/>
    <w:rsid w:val="001B017F"/>
    <w:rsid w:val="001B0213"/>
    <w:rsid w:val="001B030B"/>
    <w:rsid w:val="001B0AE6"/>
    <w:rsid w:val="001B0BBC"/>
    <w:rsid w:val="001B0D01"/>
    <w:rsid w:val="001B0D08"/>
    <w:rsid w:val="001B15D0"/>
    <w:rsid w:val="001B1A0B"/>
    <w:rsid w:val="001B1EDF"/>
    <w:rsid w:val="001B2008"/>
    <w:rsid w:val="001B2256"/>
    <w:rsid w:val="001B2326"/>
    <w:rsid w:val="001B2347"/>
    <w:rsid w:val="001B28BC"/>
    <w:rsid w:val="001B2BFA"/>
    <w:rsid w:val="001B3385"/>
    <w:rsid w:val="001B342C"/>
    <w:rsid w:val="001B4123"/>
    <w:rsid w:val="001B437B"/>
    <w:rsid w:val="001B4BF8"/>
    <w:rsid w:val="001B4F9A"/>
    <w:rsid w:val="001B5079"/>
    <w:rsid w:val="001B517B"/>
    <w:rsid w:val="001B571A"/>
    <w:rsid w:val="001B5799"/>
    <w:rsid w:val="001B5C79"/>
    <w:rsid w:val="001B645F"/>
    <w:rsid w:val="001B69E3"/>
    <w:rsid w:val="001B6D8E"/>
    <w:rsid w:val="001B707F"/>
    <w:rsid w:val="001B7422"/>
    <w:rsid w:val="001C02AD"/>
    <w:rsid w:val="001C04A1"/>
    <w:rsid w:val="001C050B"/>
    <w:rsid w:val="001C08E5"/>
    <w:rsid w:val="001C0B31"/>
    <w:rsid w:val="001C13FF"/>
    <w:rsid w:val="001C1C66"/>
    <w:rsid w:val="001C1CF7"/>
    <w:rsid w:val="001C215F"/>
    <w:rsid w:val="001C24C4"/>
    <w:rsid w:val="001C2E6A"/>
    <w:rsid w:val="001C2F3D"/>
    <w:rsid w:val="001C322F"/>
    <w:rsid w:val="001C32CD"/>
    <w:rsid w:val="001C38DF"/>
    <w:rsid w:val="001C3921"/>
    <w:rsid w:val="001C3A21"/>
    <w:rsid w:val="001C3C95"/>
    <w:rsid w:val="001C3F8A"/>
    <w:rsid w:val="001C4183"/>
    <w:rsid w:val="001C43E9"/>
    <w:rsid w:val="001C49D9"/>
    <w:rsid w:val="001C570B"/>
    <w:rsid w:val="001C59B6"/>
    <w:rsid w:val="001C5A80"/>
    <w:rsid w:val="001C5AA8"/>
    <w:rsid w:val="001C6109"/>
    <w:rsid w:val="001C615D"/>
    <w:rsid w:val="001C6274"/>
    <w:rsid w:val="001C6FD0"/>
    <w:rsid w:val="001C7404"/>
    <w:rsid w:val="001C7942"/>
    <w:rsid w:val="001C7BDC"/>
    <w:rsid w:val="001C7C1D"/>
    <w:rsid w:val="001C7F69"/>
    <w:rsid w:val="001D06D2"/>
    <w:rsid w:val="001D0774"/>
    <w:rsid w:val="001D118E"/>
    <w:rsid w:val="001D11A5"/>
    <w:rsid w:val="001D1393"/>
    <w:rsid w:val="001D1E20"/>
    <w:rsid w:val="001D24C1"/>
    <w:rsid w:val="001D254C"/>
    <w:rsid w:val="001D30A5"/>
    <w:rsid w:val="001D36AA"/>
    <w:rsid w:val="001D3AE0"/>
    <w:rsid w:val="001D3C6A"/>
    <w:rsid w:val="001D43D7"/>
    <w:rsid w:val="001D450D"/>
    <w:rsid w:val="001D4CBB"/>
    <w:rsid w:val="001D5131"/>
    <w:rsid w:val="001D519D"/>
    <w:rsid w:val="001D57C2"/>
    <w:rsid w:val="001D5AED"/>
    <w:rsid w:val="001D5F55"/>
    <w:rsid w:val="001D68AB"/>
    <w:rsid w:val="001D6A1D"/>
    <w:rsid w:val="001D6E4E"/>
    <w:rsid w:val="001D747D"/>
    <w:rsid w:val="001D752A"/>
    <w:rsid w:val="001D79B0"/>
    <w:rsid w:val="001D7A7C"/>
    <w:rsid w:val="001E03AF"/>
    <w:rsid w:val="001E047C"/>
    <w:rsid w:val="001E08C4"/>
    <w:rsid w:val="001E0916"/>
    <w:rsid w:val="001E0EA3"/>
    <w:rsid w:val="001E11EC"/>
    <w:rsid w:val="001E1C58"/>
    <w:rsid w:val="001E1CCA"/>
    <w:rsid w:val="001E1DE9"/>
    <w:rsid w:val="001E1FB4"/>
    <w:rsid w:val="001E20DF"/>
    <w:rsid w:val="001E24F0"/>
    <w:rsid w:val="001E256A"/>
    <w:rsid w:val="001E2583"/>
    <w:rsid w:val="001E2650"/>
    <w:rsid w:val="001E293A"/>
    <w:rsid w:val="001E295D"/>
    <w:rsid w:val="001E2FAC"/>
    <w:rsid w:val="001E3053"/>
    <w:rsid w:val="001E3396"/>
    <w:rsid w:val="001E34B9"/>
    <w:rsid w:val="001E37F0"/>
    <w:rsid w:val="001E39DE"/>
    <w:rsid w:val="001E3CDE"/>
    <w:rsid w:val="001E41E1"/>
    <w:rsid w:val="001E42E9"/>
    <w:rsid w:val="001E45D4"/>
    <w:rsid w:val="001E4680"/>
    <w:rsid w:val="001E4DC0"/>
    <w:rsid w:val="001E4E83"/>
    <w:rsid w:val="001E4E90"/>
    <w:rsid w:val="001E5010"/>
    <w:rsid w:val="001E55E8"/>
    <w:rsid w:val="001E5DA3"/>
    <w:rsid w:val="001E6449"/>
    <w:rsid w:val="001E6C4B"/>
    <w:rsid w:val="001E77C4"/>
    <w:rsid w:val="001F00AA"/>
    <w:rsid w:val="001F064D"/>
    <w:rsid w:val="001F0FAB"/>
    <w:rsid w:val="001F13B7"/>
    <w:rsid w:val="001F1857"/>
    <w:rsid w:val="001F18CF"/>
    <w:rsid w:val="001F1A8C"/>
    <w:rsid w:val="001F1B47"/>
    <w:rsid w:val="001F1B59"/>
    <w:rsid w:val="001F1ECC"/>
    <w:rsid w:val="001F204E"/>
    <w:rsid w:val="001F2487"/>
    <w:rsid w:val="001F278E"/>
    <w:rsid w:val="001F302D"/>
    <w:rsid w:val="001F31D8"/>
    <w:rsid w:val="001F393C"/>
    <w:rsid w:val="001F3DFB"/>
    <w:rsid w:val="001F3EDF"/>
    <w:rsid w:val="001F3F78"/>
    <w:rsid w:val="001F42C9"/>
    <w:rsid w:val="001F42CC"/>
    <w:rsid w:val="001F4A5C"/>
    <w:rsid w:val="001F4D0C"/>
    <w:rsid w:val="001F4ECD"/>
    <w:rsid w:val="001F52BC"/>
    <w:rsid w:val="001F5491"/>
    <w:rsid w:val="001F56F4"/>
    <w:rsid w:val="001F60C9"/>
    <w:rsid w:val="001F6514"/>
    <w:rsid w:val="001F65E2"/>
    <w:rsid w:val="001F6670"/>
    <w:rsid w:val="001F6813"/>
    <w:rsid w:val="001F6ACD"/>
    <w:rsid w:val="001F7099"/>
    <w:rsid w:val="001F71DE"/>
    <w:rsid w:val="001F71EB"/>
    <w:rsid w:val="001F725C"/>
    <w:rsid w:val="001F7281"/>
    <w:rsid w:val="001F7528"/>
    <w:rsid w:val="001F786D"/>
    <w:rsid w:val="00200224"/>
    <w:rsid w:val="00200500"/>
    <w:rsid w:val="00200676"/>
    <w:rsid w:val="00200A3E"/>
    <w:rsid w:val="00200AA6"/>
    <w:rsid w:val="00200DBC"/>
    <w:rsid w:val="00200E7E"/>
    <w:rsid w:val="00200ED1"/>
    <w:rsid w:val="0020125C"/>
    <w:rsid w:val="0020139C"/>
    <w:rsid w:val="00201555"/>
    <w:rsid w:val="00201C55"/>
    <w:rsid w:val="002021E0"/>
    <w:rsid w:val="002022D2"/>
    <w:rsid w:val="00202791"/>
    <w:rsid w:val="00202901"/>
    <w:rsid w:val="00203036"/>
    <w:rsid w:val="00203614"/>
    <w:rsid w:val="00203687"/>
    <w:rsid w:val="00203BC1"/>
    <w:rsid w:val="00203F69"/>
    <w:rsid w:val="002045BA"/>
    <w:rsid w:val="002049E7"/>
    <w:rsid w:val="00204A05"/>
    <w:rsid w:val="00204AEF"/>
    <w:rsid w:val="002051FE"/>
    <w:rsid w:val="00205378"/>
    <w:rsid w:val="00205B98"/>
    <w:rsid w:val="00205C04"/>
    <w:rsid w:val="002068E5"/>
    <w:rsid w:val="00206C6C"/>
    <w:rsid w:val="002070D3"/>
    <w:rsid w:val="002073C5"/>
    <w:rsid w:val="00207AAF"/>
    <w:rsid w:val="00207C67"/>
    <w:rsid w:val="00207F53"/>
    <w:rsid w:val="002100F1"/>
    <w:rsid w:val="00210F4E"/>
    <w:rsid w:val="00211097"/>
    <w:rsid w:val="00211297"/>
    <w:rsid w:val="002112EB"/>
    <w:rsid w:val="002114AA"/>
    <w:rsid w:val="002117D5"/>
    <w:rsid w:val="00211989"/>
    <w:rsid w:val="00211A1F"/>
    <w:rsid w:val="00211E61"/>
    <w:rsid w:val="00211E79"/>
    <w:rsid w:val="00211FE4"/>
    <w:rsid w:val="00212145"/>
    <w:rsid w:val="00212328"/>
    <w:rsid w:val="00212590"/>
    <w:rsid w:val="00212953"/>
    <w:rsid w:val="00212F01"/>
    <w:rsid w:val="00213182"/>
    <w:rsid w:val="002132A9"/>
    <w:rsid w:val="00213C5D"/>
    <w:rsid w:val="00214541"/>
    <w:rsid w:val="00214835"/>
    <w:rsid w:val="002148F8"/>
    <w:rsid w:val="00214C38"/>
    <w:rsid w:val="002152EC"/>
    <w:rsid w:val="00215383"/>
    <w:rsid w:val="00216217"/>
    <w:rsid w:val="002165B2"/>
    <w:rsid w:val="00216E08"/>
    <w:rsid w:val="00216F52"/>
    <w:rsid w:val="0021722A"/>
    <w:rsid w:val="0021747F"/>
    <w:rsid w:val="002175C4"/>
    <w:rsid w:val="002176FC"/>
    <w:rsid w:val="002178C4"/>
    <w:rsid w:val="00217A7A"/>
    <w:rsid w:val="00217AFE"/>
    <w:rsid w:val="00217B14"/>
    <w:rsid w:val="00217C06"/>
    <w:rsid w:val="002204E7"/>
    <w:rsid w:val="00220FF5"/>
    <w:rsid w:val="00221122"/>
    <w:rsid w:val="00221E8F"/>
    <w:rsid w:val="00221F25"/>
    <w:rsid w:val="00221F44"/>
    <w:rsid w:val="00222055"/>
    <w:rsid w:val="00222289"/>
    <w:rsid w:val="00222498"/>
    <w:rsid w:val="002227A3"/>
    <w:rsid w:val="00222914"/>
    <w:rsid w:val="00222B28"/>
    <w:rsid w:val="00223591"/>
    <w:rsid w:val="00223A77"/>
    <w:rsid w:val="00223AA9"/>
    <w:rsid w:val="00223CA1"/>
    <w:rsid w:val="00223DA9"/>
    <w:rsid w:val="002244E1"/>
    <w:rsid w:val="00224B26"/>
    <w:rsid w:val="00225022"/>
    <w:rsid w:val="0022528B"/>
    <w:rsid w:val="002257DD"/>
    <w:rsid w:val="00225A08"/>
    <w:rsid w:val="00225E68"/>
    <w:rsid w:val="00225EB7"/>
    <w:rsid w:val="0022604B"/>
    <w:rsid w:val="00226227"/>
    <w:rsid w:val="002262C0"/>
    <w:rsid w:val="00226502"/>
    <w:rsid w:val="00226816"/>
    <w:rsid w:val="00226D8A"/>
    <w:rsid w:val="0022720A"/>
    <w:rsid w:val="00227242"/>
    <w:rsid w:val="0022734A"/>
    <w:rsid w:val="00227998"/>
    <w:rsid w:val="0023067D"/>
    <w:rsid w:val="00230A3B"/>
    <w:rsid w:val="00230A89"/>
    <w:rsid w:val="00230D64"/>
    <w:rsid w:val="00231336"/>
    <w:rsid w:val="002317C0"/>
    <w:rsid w:val="002318F6"/>
    <w:rsid w:val="00231CE9"/>
    <w:rsid w:val="00232343"/>
    <w:rsid w:val="00232676"/>
    <w:rsid w:val="00232868"/>
    <w:rsid w:val="00232FA6"/>
    <w:rsid w:val="002332FE"/>
    <w:rsid w:val="002337C8"/>
    <w:rsid w:val="00233E23"/>
    <w:rsid w:val="00233ED3"/>
    <w:rsid w:val="00233FF5"/>
    <w:rsid w:val="00234688"/>
    <w:rsid w:val="002349A2"/>
    <w:rsid w:val="002350C6"/>
    <w:rsid w:val="00235B2F"/>
    <w:rsid w:val="002365C7"/>
    <w:rsid w:val="00236B3F"/>
    <w:rsid w:val="00236F09"/>
    <w:rsid w:val="0023715C"/>
    <w:rsid w:val="0023754A"/>
    <w:rsid w:val="0023788E"/>
    <w:rsid w:val="00237902"/>
    <w:rsid w:val="00237B75"/>
    <w:rsid w:val="00237CF9"/>
    <w:rsid w:val="00237D59"/>
    <w:rsid w:val="00237D62"/>
    <w:rsid w:val="0024033B"/>
    <w:rsid w:val="0024043A"/>
    <w:rsid w:val="002409A8"/>
    <w:rsid w:val="00241196"/>
    <w:rsid w:val="00241524"/>
    <w:rsid w:val="002415AA"/>
    <w:rsid w:val="002415B0"/>
    <w:rsid w:val="0024165C"/>
    <w:rsid w:val="002418C6"/>
    <w:rsid w:val="0024202B"/>
    <w:rsid w:val="0024277C"/>
    <w:rsid w:val="00242780"/>
    <w:rsid w:val="00242821"/>
    <w:rsid w:val="00242879"/>
    <w:rsid w:val="00242B3B"/>
    <w:rsid w:val="0024395A"/>
    <w:rsid w:val="0024415E"/>
    <w:rsid w:val="0024419B"/>
    <w:rsid w:val="0024427D"/>
    <w:rsid w:val="00244736"/>
    <w:rsid w:val="0024486D"/>
    <w:rsid w:val="002448B4"/>
    <w:rsid w:val="00244A3E"/>
    <w:rsid w:val="00245583"/>
    <w:rsid w:val="00245917"/>
    <w:rsid w:val="002461D9"/>
    <w:rsid w:val="00246264"/>
    <w:rsid w:val="002462F5"/>
    <w:rsid w:val="00246A57"/>
    <w:rsid w:val="0024718D"/>
    <w:rsid w:val="002475BC"/>
    <w:rsid w:val="00247752"/>
    <w:rsid w:val="00247E28"/>
    <w:rsid w:val="002500FA"/>
    <w:rsid w:val="002506CE"/>
    <w:rsid w:val="00250E2F"/>
    <w:rsid w:val="00251246"/>
    <w:rsid w:val="0025150B"/>
    <w:rsid w:val="00251590"/>
    <w:rsid w:val="002515BD"/>
    <w:rsid w:val="002519CA"/>
    <w:rsid w:val="00251FFB"/>
    <w:rsid w:val="0025231C"/>
    <w:rsid w:val="0025270A"/>
    <w:rsid w:val="00252B6E"/>
    <w:rsid w:val="0025334A"/>
    <w:rsid w:val="002535DF"/>
    <w:rsid w:val="00253996"/>
    <w:rsid w:val="0025402A"/>
    <w:rsid w:val="00254082"/>
    <w:rsid w:val="002543CF"/>
    <w:rsid w:val="00254545"/>
    <w:rsid w:val="00254C92"/>
    <w:rsid w:val="00254D08"/>
    <w:rsid w:val="00254F5C"/>
    <w:rsid w:val="00255062"/>
    <w:rsid w:val="0025568C"/>
    <w:rsid w:val="00255871"/>
    <w:rsid w:val="00255BCA"/>
    <w:rsid w:val="00255C4C"/>
    <w:rsid w:val="00255C68"/>
    <w:rsid w:val="00255F83"/>
    <w:rsid w:val="002561B4"/>
    <w:rsid w:val="00256502"/>
    <w:rsid w:val="002565A5"/>
    <w:rsid w:val="002568BE"/>
    <w:rsid w:val="00256A3F"/>
    <w:rsid w:val="00256A7F"/>
    <w:rsid w:val="00256D9A"/>
    <w:rsid w:val="00257835"/>
    <w:rsid w:val="002578F8"/>
    <w:rsid w:val="00257993"/>
    <w:rsid w:val="00257EB7"/>
    <w:rsid w:val="002602D3"/>
    <w:rsid w:val="0026066C"/>
    <w:rsid w:val="00260A62"/>
    <w:rsid w:val="00261276"/>
    <w:rsid w:val="0026150D"/>
    <w:rsid w:val="0026169C"/>
    <w:rsid w:val="002617AC"/>
    <w:rsid w:val="00261C7A"/>
    <w:rsid w:val="00261E7D"/>
    <w:rsid w:val="00262142"/>
    <w:rsid w:val="00262F43"/>
    <w:rsid w:val="0026411D"/>
    <w:rsid w:val="0026414C"/>
    <w:rsid w:val="002648A6"/>
    <w:rsid w:val="00264D28"/>
    <w:rsid w:val="00265ECE"/>
    <w:rsid w:val="00266132"/>
    <w:rsid w:val="002661D0"/>
    <w:rsid w:val="002662DF"/>
    <w:rsid w:val="00266472"/>
    <w:rsid w:val="00266B5D"/>
    <w:rsid w:val="002675CF"/>
    <w:rsid w:val="0026771F"/>
    <w:rsid w:val="00267C54"/>
    <w:rsid w:val="00270151"/>
    <w:rsid w:val="00270390"/>
    <w:rsid w:val="00270685"/>
    <w:rsid w:val="002706C6"/>
    <w:rsid w:val="002706CE"/>
    <w:rsid w:val="00270749"/>
    <w:rsid w:val="002709E1"/>
    <w:rsid w:val="00270C16"/>
    <w:rsid w:val="00270E6D"/>
    <w:rsid w:val="00271910"/>
    <w:rsid w:val="00271B64"/>
    <w:rsid w:val="00272B13"/>
    <w:rsid w:val="00272BDE"/>
    <w:rsid w:val="00272EE7"/>
    <w:rsid w:val="00272FBB"/>
    <w:rsid w:val="002737B0"/>
    <w:rsid w:val="002739A1"/>
    <w:rsid w:val="00273D61"/>
    <w:rsid w:val="00273E9E"/>
    <w:rsid w:val="00273F68"/>
    <w:rsid w:val="0027443A"/>
    <w:rsid w:val="00274953"/>
    <w:rsid w:val="00275238"/>
    <w:rsid w:val="00275423"/>
    <w:rsid w:val="00275B1E"/>
    <w:rsid w:val="00275E0B"/>
    <w:rsid w:val="00276278"/>
    <w:rsid w:val="00276C92"/>
    <w:rsid w:val="00276D3C"/>
    <w:rsid w:val="00276DA4"/>
    <w:rsid w:val="00277226"/>
    <w:rsid w:val="002776BA"/>
    <w:rsid w:val="00277908"/>
    <w:rsid w:val="002810DC"/>
    <w:rsid w:val="002812BE"/>
    <w:rsid w:val="0028164A"/>
    <w:rsid w:val="00281801"/>
    <w:rsid w:val="00281C80"/>
    <w:rsid w:val="00281D65"/>
    <w:rsid w:val="0028280E"/>
    <w:rsid w:val="00282F27"/>
    <w:rsid w:val="00283419"/>
    <w:rsid w:val="0028367F"/>
    <w:rsid w:val="00283ACE"/>
    <w:rsid w:val="00283EB8"/>
    <w:rsid w:val="0028479B"/>
    <w:rsid w:val="00284EBD"/>
    <w:rsid w:val="00284ECD"/>
    <w:rsid w:val="0028539D"/>
    <w:rsid w:val="002855E9"/>
    <w:rsid w:val="00285660"/>
    <w:rsid w:val="002856EE"/>
    <w:rsid w:val="00285CEE"/>
    <w:rsid w:val="00285D2E"/>
    <w:rsid w:val="0028607E"/>
    <w:rsid w:val="002860C6"/>
    <w:rsid w:val="002860D8"/>
    <w:rsid w:val="00286652"/>
    <w:rsid w:val="00286763"/>
    <w:rsid w:val="0028704B"/>
    <w:rsid w:val="00287736"/>
    <w:rsid w:val="002879DE"/>
    <w:rsid w:val="00287C48"/>
    <w:rsid w:val="00287F37"/>
    <w:rsid w:val="00287F6C"/>
    <w:rsid w:val="00287F7D"/>
    <w:rsid w:val="0029014F"/>
    <w:rsid w:val="002902AB"/>
    <w:rsid w:val="00290360"/>
    <w:rsid w:val="002907EE"/>
    <w:rsid w:val="0029103B"/>
    <w:rsid w:val="0029121E"/>
    <w:rsid w:val="00291313"/>
    <w:rsid w:val="00291549"/>
    <w:rsid w:val="0029159F"/>
    <w:rsid w:val="0029167A"/>
    <w:rsid w:val="0029195C"/>
    <w:rsid w:val="00291B69"/>
    <w:rsid w:val="00291F97"/>
    <w:rsid w:val="00291FF4"/>
    <w:rsid w:val="00293719"/>
    <w:rsid w:val="00294755"/>
    <w:rsid w:val="002947B0"/>
    <w:rsid w:val="00294C5E"/>
    <w:rsid w:val="00294ED4"/>
    <w:rsid w:val="00294FCB"/>
    <w:rsid w:val="0029560F"/>
    <w:rsid w:val="00295648"/>
    <w:rsid w:val="002959CB"/>
    <w:rsid w:val="00295A86"/>
    <w:rsid w:val="00295D71"/>
    <w:rsid w:val="002960B9"/>
    <w:rsid w:val="002963A2"/>
    <w:rsid w:val="00296444"/>
    <w:rsid w:val="002964CD"/>
    <w:rsid w:val="00296A99"/>
    <w:rsid w:val="00296CB1"/>
    <w:rsid w:val="00296CFD"/>
    <w:rsid w:val="002973E0"/>
    <w:rsid w:val="0029794D"/>
    <w:rsid w:val="00297DC0"/>
    <w:rsid w:val="002A0596"/>
    <w:rsid w:val="002A065F"/>
    <w:rsid w:val="002A0756"/>
    <w:rsid w:val="002A13A9"/>
    <w:rsid w:val="002A1456"/>
    <w:rsid w:val="002A1B6F"/>
    <w:rsid w:val="002A1D5B"/>
    <w:rsid w:val="002A2211"/>
    <w:rsid w:val="002A2294"/>
    <w:rsid w:val="002A2519"/>
    <w:rsid w:val="002A261F"/>
    <w:rsid w:val="002A2843"/>
    <w:rsid w:val="002A2ABF"/>
    <w:rsid w:val="002A2D6C"/>
    <w:rsid w:val="002A2F9D"/>
    <w:rsid w:val="002A3527"/>
    <w:rsid w:val="002A396C"/>
    <w:rsid w:val="002A3A10"/>
    <w:rsid w:val="002A3CAC"/>
    <w:rsid w:val="002A4652"/>
    <w:rsid w:val="002A47E2"/>
    <w:rsid w:val="002A5067"/>
    <w:rsid w:val="002A50F4"/>
    <w:rsid w:val="002A51DC"/>
    <w:rsid w:val="002A51E7"/>
    <w:rsid w:val="002A5ADF"/>
    <w:rsid w:val="002A5D76"/>
    <w:rsid w:val="002A6035"/>
    <w:rsid w:val="002A6109"/>
    <w:rsid w:val="002A6556"/>
    <w:rsid w:val="002A73F8"/>
    <w:rsid w:val="002A74C2"/>
    <w:rsid w:val="002A77E0"/>
    <w:rsid w:val="002A7CFC"/>
    <w:rsid w:val="002A7D98"/>
    <w:rsid w:val="002B06DF"/>
    <w:rsid w:val="002B091B"/>
    <w:rsid w:val="002B1C46"/>
    <w:rsid w:val="002B2031"/>
    <w:rsid w:val="002B2393"/>
    <w:rsid w:val="002B264B"/>
    <w:rsid w:val="002B302E"/>
    <w:rsid w:val="002B305E"/>
    <w:rsid w:val="002B30C6"/>
    <w:rsid w:val="002B344F"/>
    <w:rsid w:val="002B3677"/>
    <w:rsid w:val="002B3BCD"/>
    <w:rsid w:val="002B3F69"/>
    <w:rsid w:val="002B4239"/>
    <w:rsid w:val="002B42FB"/>
    <w:rsid w:val="002B4482"/>
    <w:rsid w:val="002B4D9A"/>
    <w:rsid w:val="002B52AD"/>
    <w:rsid w:val="002B5938"/>
    <w:rsid w:val="002B5B5C"/>
    <w:rsid w:val="002B5E38"/>
    <w:rsid w:val="002B5FA9"/>
    <w:rsid w:val="002B613C"/>
    <w:rsid w:val="002B676A"/>
    <w:rsid w:val="002B67CE"/>
    <w:rsid w:val="002B6BDB"/>
    <w:rsid w:val="002B7133"/>
    <w:rsid w:val="002B7808"/>
    <w:rsid w:val="002B783A"/>
    <w:rsid w:val="002B7907"/>
    <w:rsid w:val="002C00BE"/>
    <w:rsid w:val="002C04DA"/>
    <w:rsid w:val="002C0A12"/>
    <w:rsid w:val="002C0E1B"/>
    <w:rsid w:val="002C1101"/>
    <w:rsid w:val="002C1182"/>
    <w:rsid w:val="002C1A39"/>
    <w:rsid w:val="002C1EB9"/>
    <w:rsid w:val="002C270F"/>
    <w:rsid w:val="002C2A54"/>
    <w:rsid w:val="002C2BD1"/>
    <w:rsid w:val="002C2D3C"/>
    <w:rsid w:val="002C2F35"/>
    <w:rsid w:val="002C33AC"/>
    <w:rsid w:val="002C357E"/>
    <w:rsid w:val="002C3D7B"/>
    <w:rsid w:val="002C3EDD"/>
    <w:rsid w:val="002C3F59"/>
    <w:rsid w:val="002C4629"/>
    <w:rsid w:val="002C4CA6"/>
    <w:rsid w:val="002C51DB"/>
    <w:rsid w:val="002C529B"/>
    <w:rsid w:val="002C5743"/>
    <w:rsid w:val="002C5E36"/>
    <w:rsid w:val="002C6521"/>
    <w:rsid w:val="002C6B15"/>
    <w:rsid w:val="002C6C80"/>
    <w:rsid w:val="002C705E"/>
    <w:rsid w:val="002C740E"/>
    <w:rsid w:val="002C743F"/>
    <w:rsid w:val="002C7BAD"/>
    <w:rsid w:val="002C7EBE"/>
    <w:rsid w:val="002D0CBD"/>
    <w:rsid w:val="002D0FB7"/>
    <w:rsid w:val="002D1102"/>
    <w:rsid w:val="002D13AA"/>
    <w:rsid w:val="002D1641"/>
    <w:rsid w:val="002D1719"/>
    <w:rsid w:val="002D1E92"/>
    <w:rsid w:val="002D1E9C"/>
    <w:rsid w:val="002D1EF0"/>
    <w:rsid w:val="002D240A"/>
    <w:rsid w:val="002D3BCF"/>
    <w:rsid w:val="002D3DA1"/>
    <w:rsid w:val="002D476E"/>
    <w:rsid w:val="002D4B16"/>
    <w:rsid w:val="002D4C18"/>
    <w:rsid w:val="002D56BA"/>
    <w:rsid w:val="002D5934"/>
    <w:rsid w:val="002D5E7F"/>
    <w:rsid w:val="002D7553"/>
    <w:rsid w:val="002D76FC"/>
    <w:rsid w:val="002D775E"/>
    <w:rsid w:val="002D780D"/>
    <w:rsid w:val="002D7986"/>
    <w:rsid w:val="002D7D72"/>
    <w:rsid w:val="002E00E5"/>
    <w:rsid w:val="002E0303"/>
    <w:rsid w:val="002E06EF"/>
    <w:rsid w:val="002E0B61"/>
    <w:rsid w:val="002E0BCC"/>
    <w:rsid w:val="002E1044"/>
    <w:rsid w:val="002E1110"/>
    <w:rsid w:val="002E16B6"/>
    <w:rsid w:val="002E177D"/>
    <w:rsid w:val="002E2D38"/>
    <w:rsid w:val="002E3264"/>
    <w:rsid w:val="002E3466"/>
    <w:rsid w:val="002E378B"/>
    <w:rsid w:val="002E3943"/>
    <w:rsid w:val="002E3B56"/>
    <w:rsid w:val="002E3B89"/>
    <w:rsid w:val="002E4226"/>
    <w:rsid w:val="002E453D"/>
    <w:rsid w:val="002E4576"/>
    <w:rsid w:val="002E4A28"/>
    <w:rsid w:val="002E4BFB"/>
    <w:rsid w:val="002E4C54"/>
    <w:rsid w:val="002E50EE"/>
    <w:rsid w:val="002E5179"/>
    <w:rsid w:val="002E51FC"/>
    <w:rsid w:val="002E5970"/>
    <w:rsid w:val="002E5BAA"/>
    <w:rsid w:val="002E5F36"/>
    <w:rsid w:val="002E632A"/>
    <w:rsid w:val="002E6910"/>
    <w:rsid w:val="002E6D35"/>
    <w:rsid w:val="002E7090"/>
    <w:rsid w:val="002E7974"/>
    <w:rsid w:val="002F0604"/>
    <w:rsid w:val="002F067B"/>
    <w:rsid w:val="002F0815"/>
    <w:rsid w:val="002F0B23"/>
    <w:rsid w:val="002F0B78"/>
    <w:rsid w:val="002F0BFD"/>
    <w:rsid w:val="002F0E6D"/>
    <w:rsid w:val="002F0FDA"/>
    <w:rsid w:val="002F101B"/>
    <w:rsid w:val="002F16B6"/>
    <w:rsid w:val="002F1A9E"/>
    <w:rsid w:val="002F1CC5"/>
    <w:rsid w:val="002F2DB1"/>
    <w:rsid w:val="002F326F"/>
    <w:rsid w:val="002F391D"/>
    <w:rsid w:val="002F3AE5"/>
    <w:rsid w:val="002F3CE1"/>
    <w:rsid w:val="002F3FC9"/>
    <w:rsid w:val="002F4450"/>
    <w:rsid w:val="002F47C8"/>
    <w:rsid w:val="002F485C"/>
    <w:rsid w:val="002F48F5"/>
    <w:rsid w:val="002F500E"/>
    <w:rsid w:val="002F5155"/>
    <w:rsid w:val="002F5D97"/>
    <w:rsid w:val="002F6431"/>
    <w:rsid w:val="002F6692"/>
    <w:rsid w:val="002F693B"/>
    <w:rsid w:val="002F69EB"/>
    <w:rsid w:val="002F6BFA"/>
    <w:rsid w:val="002F6C8B"/>
    <w:rsid w:val="002F6D80"/>
    <w:rsid w:val="002F70AA"/>
    <w:rsid w:val="0030050F"/>
    <w:rsid w:val="00300713"/>
    <w:rsid w:val="0030074B"/>
    <w:rsid w:val="0030080D"/>
    <w:rsid w:val="00300826"/>
    <w:rsid w:val="00300EF2"/>
    <w:rsid w:val="00301165"/>
    <w:rsid w:val="003014DD"/>
    <w:rsid w:val="0030189D"/>
    <w:rsid w:val="0030190B"/>
    <w:rsid w:val="00301B0E"/>
    <w:rsid w:val="00301C09"/>
    <w:rsid w:val="003021CF"/>
    <w:rsid w:val="00302846"/>
    <w:rsid w:val="00302D4F"/>
    <w:rsid w:val="00302E1F"/>
    <w:rsid w:val="00302F4D"/>
    <w:rsid w:val="003031EA"/>
    <w:rsid w:val="00303696"/>
    <w:rsid w:val="00303F9B"/>
    <w:rsid w:val="00304606"/>
    <w:rsid w:val="00304770"/>
    <w:rsid w:val="003047AA"/>
    <w:rsid w:val="00304B0F"/>
    <w:rsid w:val="00304E52"/>
    <w:rsid w:val="00304E9B"/>
    <w:rsid w:val="00305133"/>
    <w:rsid w:val="003052A9"/>
    <w:rsid w:val="00305538"/>
    <w:rsid w:val="003057A6"/>
    <w:rsid w:val="0030592C"/>
    <w:rsid w:val="00305FE1"/>
    <w:rsid w:val="00306177"/>
    <w:rsid w:val="003066F9"/>
    <w:rsid w:val="00306A76"/>
    <w:rsid w:val="00306D82"/>
    <w:rsid w:val="00307442"/>
    <w:rsid w:val="00307477"/>
    <w:rsid w:val="0030776B"/>
    <w:rsid w:val="00307C9F"/>
    <w:rsid w:val="00307EA3"/>
    <w:rsid w:val="00310498"/>
    <w:rsid w:val="003105C8"/>
    <w:rsid w:val="0031095D"/>
    <w:rsid w:val="003109A4"/>
    <w:rsid w:val="00311ABC"/>
    <w:rsid w:val="003121AD"/>
    <w:rsid w:val="0031289E"/>
    <w:rsid w:val="00313187"/>
    <w:rsid w:val="0031335B"/>
    <w:rsid w:val="0031338B"/>
    <w:rsid w:val="00313835"/>
    <w:rsid w:val="00313DBE"/>
    <w:rsid w:val="00314238"/>
    <w:rsid w:val="0031466F"/>
    <w:rsid w:val="00314AF0"/>
    <w:rsid w:val="00315341"/>
    <w:rsid w:val="00315595"/>
    <w:rsid w:val="00315FD9"/>
    <w:rsid w:val="0031636A"/>
    <w:rsid w:val="0031665A"/>
    <w:rsid w:val="00316E0C"/>
    <w:rsid w:val="00316E53"/>
    <w:rsid w:val="00316E5E"/>
    <w:rsid w:val="00317056"/>
    <w:rsid w:val="003174AD"/>
    <w:rsid w:val="003176B3"/>
    <w:rsid w:val="00317A08"/>
    <w:rsid w:val="00317E31"/>
    <w:rsid w:val="00317E74"/>
    <w:rsid w:val="0032001A"/>
    <w:rsid w:val="00320464"/>
    <w:rsid w:val="003207ED"/>
    <w:rsid w:val="003209A7"/>
    <w:rsid w:val="00320D65"/>
    <w:rsid w:val="00320E44"/>
    <w:rsid w:val="003218BF"/>
    <w:rsid w:val="00321C2A"/>
    <w:rsid w:val="00321C64"/>
    <w:rsid w:val="0032209A"/>
    <w:rsid w:val="00322288"/>
    <w:rsid w:val="003229C8"/>
    <w:rsid w:val="00322C12"/>
    <w:rsid w:val="003230DF"/>
    <w:rsid w:val="00323260"/>
    <w:rsid w:val="003234FF"/>
    <w:rsid w:val="00323557"/>
    <w:rsid w:val="00323771"/>
    <w:rsid w:val="003246D5"/>
    <w:rsid w:val="003246DA"/>
    <w:rsid w:val="003247DF"/>
    <w:rsid w:val="00324932"/>
    <w:rsid w:val="003249ED"/>
    <w:rsid w:val="00324E46"/>
    <w:rsid w:val="0032508C"/>
    <w:rsid w:val="003252DA"/>
    <w:rsid w:val="003254F1"/>
    <w:rsid w:val="003256B3"/>
    <w:rsid w:val="0032654C"/>
    <w:rsid w:val="003269C1"/>
    <w:rsid w:val="00326B0B"/>
    <w:rsid w:val="0032717F"/>
    <w:rsid w:val="003275A9"/>
    <w:rsid w:val="0032776F"/>
    <w:rsid w:val="0032792D"/>
    <w:rsid w:val="00330009"/>
    <w:rsid w:val="0033004E"/>
    <w:rsid w:val="003301C5"/>
    <w:rsid w:val="003302E8"/>
    <w:rsid w:val="003307F9"/>
    <w:rsid w:val="0033095E"/>
    <w:rsid w:val="00330A8A"/>
    <w:rsid w:val="003317F4"/>
    <w:rsid w:val="003319C8"/>
    <w:rsid w:val="00331A22"/>
    <w:rsid w:val="00331AAD"/>
    <w:rsid w:val="00331C3F"/>
    <w:rsid w:val="003320D0"/>
    <w:rsid w:val="0033212E"/>
    <w:rsid w:val="00332170"/>
    <w:rsid w:val="00332539"/>
    <w:rsid w:val="00332A3F"/>
    <w:rsid w:val="00332C75"/>
    <w:rsid w:val="00332DF2"/>
    <w:rsid w:val="00332FEE"/>
    <w:rsid w:val="00333455"/>
    <w:rsid w:val="00333AA9"/>
    <w:rsid w:val="00333AC9"/>
    <w:rsid w:val="00333B1F"/>
    <w:rsid w:val="00333F2B"/>
    <w:rsid w:val="00333F99"/>
    <w:rsid w:val="003346C3"/>
    <w:rsid w:val="00334772"/>
    <w:rsid w:val="0033495A"/>
    <w:rsid w:val="003349D6"/>
    <w:rsid w:val="00335219"/>
    <w:rsid w:val="003353F0"/>
    <w:rsid w:val="0033550C"/>
    <w:rsid w:val="003366B6"/>
    <w:rsid w:val="00336D3A"/>
    <w:rsid w:val="0033758F"/>
    <w:rsid w:val="00340363"/>
    <w:rsid w:val="00340C8E"/>
    <w:rsid w:val="00340EE2"/>
    <w:rsid w:val="003411A7"/>
    <w:rsid w:val="003417BA"/>
    <w:rsid w:val="003417D5"/>
    <w:rsid w:val="00341B6A"/>
    <w:rsid w:val="003424DF"/>
    <w:rsid w:val="00342626"/>
    <w:rsid w:val="00343005"/>
    <w:rsid w:val="00343E31"/>
    <w:rsid w:val="00343F7B"/>
    <w:rsid w:val="0034422F"/>
    <w:rsid w:val="0034468A"/>
    <w:rsid w:val="003447AB"/>
    <w:rsid w:val="00345137"/>
    <w:rsid w:val="003452DD"/>
    <w:rsid w:val="0034541F"/>
    <w:rsid w:val="00345977"/>
    <w:rsid w:val="00345B33"/>
    <w:rsid w:val="00345C62"/>
    <w:rsid w:val="00345C87"/>
    <w:rsid w:val="00345EFD"/>
    <w:rsid w:val="003464A5"/>
    <w:rsid w:val="003464F9"/>
    <w:rsid w:val="00346797"/>
    <w:rsid w:val="003468A6"/>
    <w:rsid w:val="003468A9"/>
    <w:rsid w:val="0034690F"/>
    <w:rsid w:val="00346C8E"/>
    <w:rsid w:val="00346D8C"/>
    <w:rsid w:val="00346E58"/>
    <w:rsid w:val="003474D2"/>
    <w:rsid w:val="003474F4"/>
    <w:rsid w:val="0034770D"/>
    <w:rsid w:val="0034778D"/>
    <w:rsid w:val="0034783A"/>
    <w:rsid w:val="00347CBE"/>
    <w:rsid w:val="003502FA"/>
    <w:rsid w:val="0035035E"/>
    <w:rsid w:val="00350641"/>
    <w:rsid w:val="00350CF7"/>
    <w:rsid w:val="00350DA2"/>
    <w:rsid w:val="0035135B"/>
    <w:rsid w:val="00351681"/>
    <w:rsid w:val="0035182A"/>
    <w:rsid w:val="003519B6"/>
    <w:rsid w:val="003519D6"/>
    <w:rsid w:val="003531B8"/>
    <w:rsid w:val="00353F78"/>
    <w:rsid w:val="00353FB0"/>
    <w:rsid w:val="003543CC"/>
    <w:rsid w:val="00354617"/>
    <w:rsid w:val="00354E3C"/>
    <w:rsid w:val="003551DE"/>
    <w:rsid w:val="00355334"/>
    <w:rsid w:val="003556BE"/>
    <w:rsid w:val="00355C18"/>
    <w:rsid w:val="00355D50"/>
    <w:rsid w:val="00355D9D"/>
    <w:rsid w:val="00356789"/>
    <w:rsid w:val="003568D7"/>
    <w:rsid w:val="00356A59"/>
    <w:rsid w:val="00356AC6"/>
    <w:rsid w:val="00356FE1"/>
    <w:rsid w:val="00357022"/>
    <w:rsid w:val="00357652"/>
    <w:rsid w:val="00357970"/>
    <w:rsid w:val="003579C1"/>
    <w:rsid w:val="00357B18"/>
    <w:rsid w:val="00357B70"/>
    <w:rsid w:val="00357E5B"/>
    <w:rsid w:val="003600FB"/>
    <w:rsid w:val="003601AE"/>
    <w:rsid w:val="003605E4"/>
    <w:rsid w:val="003606AD"/>
    <w:rsid w:val="0036071C"/>
    <w:rsid w:val="0036073F"/>
    <w:rsid w:val="00360915"/>
    <w:rsid w:val="00360A02"/>
    <w:rsid w:val="00360C08"/>
    <w:rsid w:val="00360D21"/>
    <w:rsid w:val="00361008"/>
    <w:rsid w:val="00361A26"/>
    <w:rsid w:val="003620FB"/>
    <w:rsid w:val="0036224E"/>
    <w:rsid w:val="003624B6"/>
    <w:rsid w:val="00362506"/>
    <w:rsid w:val="0036250B"/>
    <w:rsid w:val="0036273D"/>
    <w:rsid w:val="003629FB"/>
    <w:rsid w:val="00362BD6"/>
    <w:rsid w:val="00363520"/>
    <w:rsid w:val="0036374E"/>
    <w:rsid w:val="00363B22"/>
    <w:rsid w:val="00363D02"/>
    <w:rsid w:val="003640F0"/>
    <w:rsid w:val="003648D8"/>
    <w:rsid w:val="00364DF2"/>
    <w:rsid w:val="00364FF9"/>
    <w:rsid w:val="00365363"/>
    <w:rsid w:val="0036545E"/>
    <w:rsid w:val="003655DF"/>
    <w:rsid w:val="003656E9"/>
    <w:rsid w:val="003658A8"/>
    <w:rsid w:val="00365E2B"/>
    <w:rsid w:val="00365F75"/>
    <w:rsid w:val="003662AC"/>
    <w:rsid w:val="00366551"/>
    <w:rsid w:val="003669E4"/>
    <w:rsid w:val="003675B3"/>
    <w:rsid w:val="00370138"/>
    <w:rsid w:val="003701CD"/>
    <w:rsid w:val="003704AA"/>
    <w:rsid w:val="00370A04"/>
    <w:rsid w:val="00370A7A"/>
    <w:rsid w:val="00370AA2"/>
    <w:rsid w:val="00370D9A"/>
    <w:rsid w:val="003710CE"/>
    <w:rsid w:val="00371785"/>
    <w:rsid w:val="003718D5"/>
    <w:rsid w:val="00371BBF"/>
    <w:rsid w:val="00371CBA"/>
    <w:rsid w:val="00371D9C"/>
    <w:rsid w:val="00371E79"/>
    <w:rsid w:val="0037221D"/>
    <w:rsid w:val="003723D9"/>
    <w:rsid w:val="00372639"/>
    <w:rsid w:val="0037269A"/>
    <w:rsid w:val="0037274C"/>
    <w:rsid w:val="00372AA9"/>
    <w:rsid w:val="00373386"/>
    <w:rsid w:val="00373818"/>
    <w:rsid w:val="00373BFD"/>
    <w:rsid w:val="0037478F"/>
    <w:rsid w:val="00374E21"/>
    <w:rsid w:val="00375196"/>
    <w:rsid w:val="0037528A"/>
    <w:rsid w:val="003754E7"/>
    <w:rsid w:val="00375657"/>
    <w:rsid w:val="00375688"/>
    <w:rsid w:val="00375AD8"/>
    <w:rsid w:val="00375F39"/>
    <w:rsid w:val="00375FEB"/>
    <w:rsid w:val="003761B3"/>
    <w:rsid w:val="00376759"/>
    <w:rsid w:val="00376E10"/>
    <w:rsid w:val="00376F9F"/>
    <w:rsid w:val="00377BD6"/>
    <w:rsid w:val="00377E76"/>
    <w:rsid w:val="00380B0B"/>
    <w:rsid w:val="00380D30"/>
    <w:rsid w:val="00380FD4"/>
    <w:rsid w:val="003816C2"/>
    <w:rsid w:val="00381913"/>
    <w:rsid w:val="00381A05"/>
    <w:rsid w:val="00381B74"/>
    <w:rsid w:val="00381CED"/>
    <w:rsid w:val="00381EE9"/>
    <w:rsid w:val="00382A0D"/>
    <w:rsid w:val="00383222"/>
    <w:rsid w:val="003834AC"/>
    <w:rsid w:val="003835B2"/>
    <w:rsid w:val="003837E1"/>
    <w:rsid w:val="00384297"/>
    <w:rsid w:val="003845A6"/>
    <w:rsid w:val="00384A14"/>
    <w:rsid w:val="00384D13"/>
    <w:rsid w:val="00384DA2"/>
    <w:rsid w:val="003851BB"/>
    <w:rsid w:val="003851F8"/>
    <w:rsid w:val="003852DC"/>
    <w:rsid w:val="00385455"/>
    <w:rsid w:val="00385545"/>
    <w:rsid w:val="00385CE0"/>
    <w:rsid w:val="00386839"/>
    <w:rsid w:val="00386A3D"/>
    <w:rsid w:val="00386AC8"/>
    <w:rsid w:val="00386CC1"/>
    <w:rsid w:val="003877DC"/>
    <w:rsid w:val="00387C4C"/>
    <w:rsid w:val="00387C80"/>
    <w:rsid w:val="00387D18"/>
    <w:rsid w:val="00387E0E"/>
    <w:rsid w:val="00390063"/>
    <w:rsid w:val="003903D3"/>
    <w:rsid w:val="003908A1"/>
    <w:rsid w:val="00390A77"/>
    <w:rsid w:val="00390CB5"/>
    <w:rsid w:val="00391406"/>
    <w:rsid w:val="003914FA"/>
    <w:rsid w:val="003916B0"/>
    <w:rsid w:val="00391741"/>
    <w:rsid w:val="003918A1"/>
    <w:rsid w:val="00391B19"/>
    <w:rsid w:val="00391F1E"/>
    <w:rsid w:val="003922B3"/>
    <w:rsid w:val="003923DB"/>
    <w:rsid w:val="00392606"/>
    <w:rsid w:val="00392A6A"/>
    <w:rsid w:val="00392E00"/>
    <w:rsid w:val="0039301A"/>
    <w:rsid w:val="003935C2"/>
    <w:rsid w:val="00393B0C"/>
    <w:rsid w:val="003940BE"/>
    <w:rsid w:val="00394D51"/>
    <w:rsid w:val="00395043"/>
    <w:rsid w:val="003955A8"/>
    <w:rsid w:val="003958FB"/>
    <w:rsid w:val="00395A14"/>
    <w:rsid w:val="00395EAB"/>
    <w:rsid w:val="00395F28"/>
    <w:rsid w:val="0039657D"/>
    <w:rsid w:val="00396898"/>
    <w:rsid w:val="003968DC"/>
    <w:rsid w:val="00396D4A"/>
    <w:rsid w:val="00397830"/>
    <w:rsid w:val="00397F48"/>
    <w:rsid w:val="003A02C0"/>
    <w:rsid w:val="003A0525"/>
    <w:rsid w:val="003A068C"/>
    <w:rsid w:val="003A07AB"/>
    <w:rsid w:val="003A0E3F"/>
    <w:rsid w:val="003A12B1"/>
    <w:rsid w:val="003A13B5"/>
    <w:rsid w:val="003A15FD"/>
    <w:rsid w:val="003A173F"/>
    <w:rsid w:val="003A1E59"/>
    <w:rsid w:val="003A1EC8"/>
    <w:rsid w:val="003A23BD"/>
    <w:rsid w:val="003A25D8"/>
    <w:rsid w:val="003A291E"/>
    <w:rsid w:val="003A2B0C"/>
    <w:rsid w:val="003A2F2D"/>
    <w:rsid w:val="003A3042"/>
    <w:rsid w:val="003A3521"/>
    <w:rsid w:val="003A39DA"/>
    <w:rsid w:val="003A4114"/>
    <w:rsid w:val="003A436A"/>
    <w:rsid w:val="003A4A24"/>
    <w:rsid w:val="003A4E06"/>
    <w:rsid w:val="003A52DF"/>
    <w:rsid w:val="003A5333"/>
    <w:rsid w:val="003A557F"/>
    <w:rsid w:val="003A59DB"/>
    <w:rsid w:val="003A5ACF"/>
    <w:rsid w:val="003A625F"/>
    <w:rsid w:val="003A64DF"/>
    <w:rsid w:val="003A6582"/>
    <w:rsid w:val="003A687E"/>
    <w:rsid w:val="003A724F"/>
    <w:rsid w:val="003A7270"/>
    <w:rsid w:val="003A740F"/>
    <w:rsid w:val="003A78C0"/>
    <w:rsid w:val="003A7B79"/>
    <w:rsid w:val="003A7FC3"/>
    <w:rsid w:val="003B0156"/>
    <w:rsid w:val="003B0734"/>
    <w:rsid w:val="003B0ED2"/>
    <w:rsid w:val="003B10C1"/>
    <w:rsid w:val="003B1903"/>
    <w:rsid w:val="003B1BD8"/>
    <w:rsid w:val="003B1E2E"/>
    <w:rsid w:val="003B1E6E"/>
    <w:rsid w:val="003B24CA"/>
    <w:rsid w:val="003B2F02"/>
    <w:rsid w:val="003B37D5"/>
    <w:rsid w:val="003B3CFA"/>
    <w:rsid w:val="003B3E66"/>
    <w:rsid w:val="003B418B"/>
    <w:rsid w:val="003B4759"/>
    <w:rsid w:val="003B47F7"/>
    <w:rsid w:val="003B48F7"/>
    <w:rsid w:val="003B495D"/>
    <w:rsid w:val="003B4E58"/>
    <w:rsid w:val="003B51F8"/>
    <w:rsid w:val="003B5232"/>
    <w:rsid w:val="003B60D3"/>
    <w:rsid w:val="003B637D"/>
    <w:rsid w:val="003B677B"/>
    <w:rsid w:val="003B686D"/>
    <w:rsid w:val="003B6B02"/>
    <w:rsid w:val="003B6C21"/>
    <w:rsid w:val="003B6F3C"/>
    <w:rsid w:val="003B71D7"/>
    <w:rsid w:val="003B73D6"/>
    <w:rsid w:val="003B747B"/>
    <w:rsid w:val="003B761E"/>
    <w:rsid w:val="003B7AC2"/>
    <w:rsid w:val="003B7D66"/>
    <w:rsid w:val="003C0215"/>
    <w:rsid w:val="003C04D3"/>
    <w:rsid w:val="003C06E1"/>
    <w:rsid w:val="003C0B48"/>
    <w:rsid w:val="003C0B50"/>
    <w:rsid w:val="003C0D96"/>
    <w:rsid w:val="003C131D"/>
    <w:rsid w:val="003C1771"/>
    <w:rsid w:val="003C1787"/>
    <w:rsid w:val="003C1DFC"/>
    <w:rsid w:val="003C2016"/>
    <w:rsid w:val="003C2545"/>
    <w:rsid w:val="003C2AE6"/>
    <w:rsid w:val="003C3388"/>
    <w:rsid w:val="003C3573"/>
    <w:rsid w:val="003C4619"/>
    <w:rsid w:val="003C4C47"/>
    <w:rsid w:val="003C4DB8"/>
    <w:rsid w:val="003C4FFC"/>
    <w:rsid w:val="003C502C"/>
    <w:rsid w:val="003C511B"/>
    <w:rsid w:val="003C52B7"/>
    <w:rsid w:val="003C535F"/>
    <w:rsid w:val="003C57FA"/>
    <w:rsid w:val="003C5927"/>
    <w:rsid w:val="003C5E1E"/>
    <w:rsid w:val="003C5F92"/>
    <w:rsid w:val="003C5FB2"/>
    <w:rsid w:val="003C6011"/>
    <w:rsid w:val="003C6436"/>
    <w:rsid w:val="003C655D"/>
    <w:rsid w:val="003C66AF"/>
    <w:rsid w:val="003C67FF"/>
    <w:rsid w:val="003C6AF0"/>
    <w:rsid w:val="003C6CAF"/>
    <w:rsid w:val="003C70FB"/>
    <w:rsid w:val="003C7120"/>
    <w:rsid w:val="003C7246"/>
    <w:rsid w:val="003C7304"/>
    <w:rsid w:val="003C74A2"/>
    <w:rsid w:val="003C7C78"/>
    <w:rsid w:val="003C7D03"/>
    <w:rsid w:val="003D0104"/>
    <w:rsid w:val="003D01AB"/>
    <w:rsid w:val="003D0201"/>
    <w:rsid w:val="003D04AD"/>
    <w:rsid w:val="003D0991"/>
    <w:rsid w:val="003D0EDB"/>
    <w:rsid w:val="003D153D"/>
    <w:rsid w:val="003D16F6"/>
    <w:rsid w:val="003D1ADB"/>
    <w:rsid w:val="003D1B74"/>
    <w:rsid w:val="003D2076"/>
    <w:rsid w:val="003D24B1"/>
    <w:rsid w:val="003D25FA"/>
    <w:rsid w:val="003D26E5"/>
    <w:rsid w:val="003D272A"/>
    <w:rsid w:val="003D288B"/>
    <w:rsid w:val="003D28BD"/>
    <w:rsid w:val="003D2B56"/>
    <w:rsid w:val="003D2E4E"/>
    <w:rsid w:val="003D36CF"/>
    <w:rsid w:val="003D377C"/>
    <w:rsid w:val="003D43BF"/>
    <w:rsid w:val="003D4813"/>
    <w:rsid w:val="003D4BD6"/>
    <w:rsid w:val="003D50EF"/>
    <w:rsid w:val="003D5739"/>
    <w:rsid w:val="003D57F8"/>
    <w:rsid w:val="003D59C8"/>
    <w:rsid w:val="003D5E0E"/>
    <w:rsid w:val="003D5FF6"/>
    <w:rsid w:val="003D6336"/>
    <w:rsid w:val="003D66DC"/>
    <w:rsid w:val="003D6B5E"/>
    <w:rsid w:val="003D6B68"/>
    <w:rsid w:val="003D6EEF"/>
    <w:rsid w:val="003D75B9"/>
    <w:rsid w:val="003D7CD5"/>
    <w:rsid w:val="003E0560"/>
    <w:rsid w:val="003E11D0"/>
    <w:rsid w:val="003E13C1"/>
    <w:rsid w:val="003E1785"/>
    <w:rsid w:val="003E1C79"/>
    <w:rsid w:val="003E2698"/>
    <w:rsid w:val="003E3241"/>
    <w:rsid w:val="003E361B"/>
    <w:rsid w:val="003E4031"/>
    <w:rsid w:val="003E46B6"/>
    <w:rsid w:val="003E49CB"/>
    <w:rsid w:val="003E4C1D"/>
    <w:rsid w:val="003E4DB0"/>
    <w:rsid w:val="003E4FFB"/>
    <w:rsid w:val="003E592F"/>
    <w:rsid w:val="003E5AAF"/>
    <w:rsid w:val="003E5AB7"/>
    <w:rsid w:val="003E5ED2"/>
    <w:rsid w:val="003E6397"/>
    <w:rsid w:val="003E6856"/>
    <w:rsid w:val="003E6AF0"/>
    <w:rsid w:val="003E6FFB"/>
    <w:rsid w:val="003E7268"/>
    <w:rsid w:val="003E79CB"/>
    <w:rsid w:val="003E7DC2"/>
    <w:rsid w:val="003E7F06"/>
    <w:rsid w:val="003F0195"/>
    <w:rsid w:val="003F01E0"/>
    <w:rsid w:val="003F0696"/>
    <w:rsid w:val="003F0822"/>
    <w:rsid w:val="003F086F"/>
    <w:rsid w:val="003F0B9B"/>
    <w:rsid w:val="003F12E7"/>
    <w:rsid w:val="003F1342"/>
    <w:rsid w:val="003F14C1"/>
    <w:rsid w:val="003F1585"/>
    <w:rsid w:val="003F17BB"/>
    <w:rsid w:val="003F1DFD"/>
    <w:rsid w:val="003F2117"/>
    <w:rsid w:val="003F212D"/>
    <w:rsid w:val="003F220E"/>
    <w:rsid w:val="003F2827"/>
    <w:rsid w:val="003F2C23"/>
    <w:rsid w:val="003F2E1C"/>
    <w:rsid w:val="003F2EE5"/>
    <w:rsid w:val="003F32C3"/>
    <w:rsid w:val="003F330F"/>
    <w:rsid w:val="003F3496"/>
    <w:rsid w:val="003F38CA"/>
    <w:rsid w:val="003F3DDA"/>
    <w:rsid w:val="003F4549"/>
    <w:rsid w:val="003F46AB"/>
    <w:rsid w:val="003F46E4"/>
    <w:rsid w:val="003F495C"/>
    <w:rsid w:val="003F4D3E"/>
    <w:rsid w:val="003F538C"/>
    <w:rsid w:val="003F5409"/>
    <w:rsid w:val="003F5554"/>
    <w:rsid w:val="003F563E"/>
    <w:rsid w:val="003F56F4"/>
    <w:rsid w:val="003F5B57"/>
    <w:rsid w:val="003F5C77"/>
    <w:rsid w:val="003F5F8A"/>
    <w:rsid w:val="003F629E"/>
    <w:rsid w:val="003F669B"/>
    <w:rsid w:val="003F670E"/>
    <w:rsid w:val="003F6F40"/>
    <w:rsid w:val="003F7236"/>
    <w:rsid w:val="003F7665"/>
    <w:rsid w:val="003F7852"/>
    <w:rsid w:val="003F7A01"/>
    <w:rsid w:val="003F7A8A"/>
    <w:rsid w:val="003F7B3A"/>
    <w:rsid w:val="004000EB"/>
    <w:rsid w:val="00400F24"/>
    <w:rsid w:val="00400F91"/>
    <w:rsid w:val="00401313"/>
    <w:rsid w:val="00401E64"/>
    <w:rsid w:val="00402AB5"/>
    <w:rsid w:val="00402B20"/>
    <w:rsid w:val="00402C06"/>
    <w:rsid w:val="00402E7E"/>
    <w:rsid w:val="0040367A"/>
    <w:rsid w:val="00403ADE"/>
    <w:rsid w:val="00403D06"/>
    <w:rsid w:val="004040BA"/>
    <w:rsid w:val="0040485F"/>
    <w:rsid w:val="0040522F"/>
    <w:rsid w:val="00405513"/>
    <w:rsid w:val="00405613"/>
    <w:rsid w:val="0040573F"/>
    <w:rsid w:val="00406663"/>
    <w:rsid w:val="00406CC8"/>
    <w:rsid w:val="004070DF"/>
    <w:rsid w:val="004074D3"/>
    <w:rsid w:val="004076C5"/>
    <w:rsid w:val="00407C72"/>
    <w:rsid w:val="004102A4"/>
    <w:rsid w:val="0041054E"/>
    <w:rsid w:val="0041079D"/>
    <w:rsid w:val="00410AE3"/>
    <w:rsid w:val="00410C06"/>
    <w:rsid w:val="00411D61"/>
    <w:rsid w:val="00411DFC"/>
    <w:rsid w:val="00411E8E"/>
    <w:rsid w:val="00411F0B"/>
    <w:rsid w:val="004121FA"/>
    <w:rsid w:val="0041242F"/>
    <w:rsid w:val="00412F19"/>
    <w:rsid w:val="00413715"/>
    <w:rsid w:val="004143FB"/>
    <w:rsid w:val="00414B18"/>
    <w:rsid w:val="00414C6A"/>
    <w:rsid w:val="00414E9A"/>
    <w:rsid w:val="00414EB9"/>
    <w:rsid w:val="00414FBD"/>
    <w:rsid w:val="00415A4A"/>
    <w:rsid w:val="004163C1"/>
    <w:rsid w:val="0041659E"/>
    <w:rsid w:val="004168D4"/>
    <w:rsid w:val="00416AC1"/>
    <w:rsid w:val="00416C1E"/>
    <w:rsid w:val="00417509"/>
    <w:rsid w:val="00417856"/>
    <w:rsid w:val="00417A45"/>
    <w:rsid w:val="00417F18"/>
    <w:rsid w:val="004205CF"/>
    <w:rsid w:val="004209A3"/>
    <w:rsid w:val="00420CAA"/>
    <w:rsid w:val="00420F9D"/>
    <w:rsid w:val="00420FB4"/>
    <w:rsid w:val="00421526"/>
    <w:rsid w:val="004216E3"/>
    <w:rsid w:val="00421713"/>
    <w:rsid w:val="00421880"/>
    <w:rsid w:val="00421EBB"/>
    <w:rsid w:val="0042236F"/>
    <w:rsid w:val="00422443"/>
    <w:rsid w:val="00422544"/>
    <w:rsid w:val="00422822"/>
    <w:rsid w:val="00422961"/>
    <w:rsid w:val="004229B7"/>
    <w:rsid w:val="00422A49"/>
    <w:rsid w:val="00422E65"/>
    <w:rsid w:val="00422EB1"/>
    <w:rsid w:val="0042320B"/>
    <w:rsid w:val="004234B6"/>
    <w:rsid w:val="004236DF"/>
    <w:rsid w:val="00423840"/>
    <w:rsid w:val="004238BC"/>
    <w:rsid w:val="00423C0E"/>
    <w:rsid w:val="0042400A"/>
    <w:rsid w:val="00424307"/>
    <w:rsid w:val="004246DF"/>
    <w:rsid w:val="00425515"/>
    <w:rsid w:val="004255E0"/>
    <w:rsid w:val="004259D0"/>
    <w:rsid w:val="00425A59"/>
    <w:rsid w:val="00425B1F"/>
    <w:rsid w:val="00426149"/>
    <w:rsid w:val="00426821"/>
    <w:rsid w:val="00426A6E"/>
    <w:rsid w:val="00426EB8"/>
    <w:rsid w:val="00427A80"/>
    <w:rsid w:val="00430E32"/>
    <w:rsid w:val="00430F40"/>
    <w:rsid w:val="00431CA2"/>
    <w:rsid w:val="0043227F"/>
    <w:rsid w:val="00432340"/>
    <w:rsid w:val="00432840"/>
    <w:rsid w:val="004329AF"/>
    <w:rsid w:val="00432CF6"/>
    <w:rsid w:val="00432F77"/>
    <w:rsid w:val="00432F81"/>
    <w:rsid w:val="00433650"/>
    <w:rsid w:val="00433B53"/>
    <w:rsid w:val="00433C9F"/>
    <w:rsid w:val="00434494"/>
    <w:rsid w:val="004349CF"/>
    <w:rsid w:val="00434ACE"/>
    <w:rsid w:val="00434BFE"/>
    <w:rsid w:val="00435217"/>
    <w:rsid w:val="0043552F"/>
    <w:rsid w:val="0043605B"/>
    <w:rsid w:val="004363D8"/>
    <w:rsid w:val="004369A5"/>
    <w:rsid w:val="00436FB0"/>
    <w:rsid w:val="00437BFF"/>
    <w:rsid w:val="00437F56"/>
    <w:rsid w:val="004404AE"/>
    <w:rsid w:val="00440732"/>
    <w:rsid w:val="00440E60"/>
    <w:rsid w:val="00440FF6"/>
    <w:rsid w:val="0044117E"/>
    <w:rsid w:val="0044140C"/>
    <w:rsid w:val="0044219B"/>
    <w:rsid w:val="004421C8"/>
    <w:rsid w:val="0044229E"/>
    <w:rsid w:val="00443840"/>
    <w:rsid w:val="00443938"/>
    <w:rsid w:val="00443B8F"/>
    <w:rsid w:val="00443F55"/>
    <w:rsid w:val="00444526"/>
    <w:rsid w:val="0044475C"/>
    <w:rsid w:val="00444791"/>
    <w:rsid w:val="00444893"/>
    <w:rsid w:val="00444B69"/>
    <w:rsid w:val="004453BD"/>
    <w:rsid w:val="00445531"/>
    <w:rsid w:val="004457BF"/>
    <w:rsid w:val="00445810"/>
    <w:rsid w:val="00445E28"/>
    <w:rsid w:val="004460E1"/>
    <w:rsid w:val="0044634A"/>
    <w:rsid w:val="0044645E"/>
    <w:rsid w:val="004466D3"/>
    <w:rsid w:val="004467AE"/>
    <w:rsid w:val="00446AD4"/>
    <w:rsid w:val="00446B05"/>
    <w:rsid w:val="00446D79"/>
    <w:rsid w:val="00446F36"/>
    <w:rsid w:val="00447271"/>
    <w:rsid w:val="00447317"/>
    <w:rsid w:val="0044779F"/>
    <w:rsid w:val="004477B1"/>
    <w:rsid w:val="00447897"/>
    <w:rsid w:val="00447FC7"/>
    <w:rsid w:val="00450133"/>
    <w:rsid w:val="004502B4"/>
    <w:rsid w:val="004503FE"/>
    <w:rsid w:val="00450530"/>
    <w:rsid w:val="00450535"/>
    <w:rsid w:val="004507CA"/>
    <w:rsid w:val="00450A3B"/>
    <w:rsid w:val="00450FDA"/>
    <w:rsid w:val="00451441"/>
    <w:rsid w:val="004514D1"/>
    <w:rsid w:val="0045165B"/>
    <w:rsid w:val="00451C24"/>
    <w:rsid w:val="00451CF2"/>
    <w:rsid w:val="00452156"/>
    <w:rsid w:val="004526A5"/>
    <w:rsid w:val="004526E4"/>
    <w:rsid w:val="004527A9"/>
    <w:rsid w:val="004528EE"/>
    <w:rsid w:val="00452A9D"/>
    <w:rsid w:val="00452F7E"/>
    <w:rsid w:val="00453679"/>
    <w:rsid w:val="0045374D"/>
    <w:rsid w:val="004539CE"/>
    <w:rsid w:val="00453A85"/>
    <w:rsid w:val="00453B5E"/>
    <w:rsid w:val="00453C16"/>
    <w:rsid w:val="004541B2"/>
    <w:rsid w:val="00454486"/>
    <w:rsid w:val="00454506"/>
    <w:rsid w:val="004545BA"/>
    <w:rsid w:val="00454B02"/>
    <w:rsid w:val="00454B5F"/>
    <w:rsid w:val="00454DE7"/>
    <w:rsid w:val="00455096"/>
    <w:rsid w:val="0045524F"/>
    <w:rsid w:val="0045534B"/>
    <w:rsid w:val="0045555B"/>
    <w:rsid w:val="00455B3E"/>
    <w:rsid w:val="00455D28"/>
    <w:rsid w:val="00455E1D"/>
    <w:rsid w:val="00456085"/>
    <w:rsid w:val="004569F0"/>
    <w:rsid w:val="00456DB6"/>
    <w:rsid w:val="00456F32"/>
    <w:rsid w:val="00456F65"/>
    <w:rsid w:val="00456F66"/>
    <w:rsid w:val="00457655"/>
    <w:rsid w:val="00457A60"/>
    <w:rsid w:val="00457F34"/>
    <w:rsid w:val="00457FB9"/>
    <w:rsid w:val="0046046E"/>
    <w:rsid w:val="00460729"/>
    <w:rsid w:val="00460AFF"/>
    <w:rsid w:val="00461563"/>
    <w:rsid w:val="004618F3"/>
    <w:rsid w:val="00461F42"/>
    <w:rsid w:val="00462233"/>
    <w:rsid w:val="0046248C"/>
    <w:rsid w:val="004627B4"/>
    <w:rsid w:val="00462A4D"/>
    <w:rsid w:val="00462B3E"/>
    <w:rsid w:val="00462B7F"/>
    <w:rsid w:val="00462DCD"/>
    <w:rsid w:val="00462F3B"/>
    <w:rsid w:val="00463316"/>
    <w:rsid w:val="004633E0"/>
    <w:rsid w:val="00463A6A"/>
    <w:rsid w:val="00463CDF"/>
    <w:rsid w:val="00464B53"/>
    <w:rsid w:val="00464FD5"/>
    <w:rsid w:val="00465578"/>
    <w:rsid w:val="00465932"/>
    <w:rsid w:val="00465B2B"/>
    <w:rsid w:val="00466646"/>
    <w:rsid w:val="00466784"/>
    <w:rsid w:val="00466818"/>
    <w:rsid w:val="00466E1F"/>
    <w:rsid w:val="00467374"/>
    <w:rsid w:val="00467980"/>
    <w:rsid w:val="00470011"/>
    <w:rsid w:val="004705A8"/>
    <w:rsid w:val="004705F8"/>
    <w:rsid w:val="00470679"/>
    <w:rsid w:val="004707AF"/>
    <w:rsid w:val="00470C78"/>
    <w:rsid w:val="00470ECA"/>
    <w:rsid w:val="004714FB"/>
    <w:rsid w:val="004717F0"/>
    <w:rsid w:val="004718A2"/>
    <w:rsid w:val="004718BA"/>
    <w:rsid w:val="00471ACE"/>
    <w:rsid w:val="0047214C"/>
    <w:rsid w:val="00472ABC"/>
    <w:rsid w:val="00472B21"/>
    <w:rsid w:val="00473108"/>
    <w:rsid w:val="004736B6"/>
    <w:rsid w:val="004738CD"/>
    <w:rsid w:val="00474A21"/>
    <w:rsid w:val="00474E08"/>
    <w:rsid w:val="004754E2"/>
    <w:rsid w:val="00475689"/>
    <w:rsid w:val="00475990"/>
    <w:rsid w:val="00476490"/>
    <w:rsid w:val="004766ED"/>
    <w:rsid w:val="00476844"/>
    <w:rsid w:val="00476A4E"/>
    <w:rsid w:val="00476DE3"/>
    <w:rsid w:val="00476FE0"/>
    <w:rsid w:val="0047757F"/>
    <w:rsid w:val="0047759D"/>
    <w:rsid w:val="00477891"/>
    <w:rsid w:val="004778AC"/>
    <w:rsid w:val="00477A12"/>
    <w:rsid w:val="00477B6D"/>
    <w:rsid w:val="00477D10"/>
    <w:rsid w:val="00477E0C"/>
    <w:rsid w:val="00480977"/>
    <w:rsid w:val="004809FC"/>
    <w:rsid w:val="00480E97"/>
    <w:rsid w:val="0048105B"/>
    <w:rsid w:val="004819B0"/>
    <w:rsid w:val="00481BCF"/>
    <w:rsid w:val="00481E45"/>
    <w:rsid w:val="0048289E"/>
    <w:rsid w:val="0048319D"/>
    <w:rsid w:val="0048341F"/>
    <w:rsid w:val="00483A0A"/>
    <w:rsid w:val="00483B34"/>
    <w:rsid w:val="004842C4"/>
    <w:rsid w:val="0048525F"/>
    <w:rsid w:val="004853B7"/>
    <w:rsid w:val="00485902"/>
    <w:rsid w:val="0048601A"/>
    <w:rsid w:val="00486277"/>
    <w:rsid w:val="00486699"/>
    <w:rsid w:val="004866F7"/>
    <w:rsid w:val="0048727B"/>
    <w:rsid w:val="004875CD"/>
    <w:rsid w:val="004900AF"/>
    <w:rsid w:val="0049055E"/>
    <w:rsid w:val="0049081E"/>
    <w:rsid w:val="00490F88"/>
    <w:rsid w:val="00490FC4"/>
    <w:rsid w:val="004914AD"/>
    <w:rsid w:val="00491A87"/>
    <w:rsid w:val="00491E19"/>
    <w:rsid w:val="0049202E"/>
    <w:rsid w:val="004927D1"/>
    <w:rsid w:val="00492806"/>
    <w:rsid w:val="00492DB8"/>
    <w:rsid w:val="00492F36"/>
    <w:rsid w:val="0049342C"/>
    <w:rsid w:val="00494B14"/>
    <w:rsid w:val="004955A9"/>
    <w:rsid w:val="0049588D"/>
    <w:rsid w:val="00495897"/>
    <w:rsid w:val="00495BD4"/>
    <w:rsid w:val="004964CA"/>
    <w:rsid w:val="004967F1"/>
    <w:rsid w:val="0049691C"/>
    <w:rsid w:val="00496D9A"/>
    <w:rsid w:val="004A0099"/>
    <w:rsid w:val="004A0F38"/>
    <w:rsid w:val="004A1474"/>
    <w:rsid w:val="004A1868"/>
    <w:rsid w:val="004A270D"/>
    <w:rsid w:val="004A2C8E"/>
    <w:rsid w:val="004A2E23"/>
    <w:rsid w:val="004A2F99"/>
    <w:rsid w:val="004A31B3"/>
    <w:rsid w:val="004A32A6"/>
    <w:rsid w:val="004A35D4"/>
    <w:rsid w:val="004A37CA"/>
    <w:rsid w:val="004A3E17"/>
    <w:rsid w:val="004A40EA"/>
    <w:rsid w:val="004A40FD"/>
    <w:rsid w:val="004A44DA"/>
    <w:rsid w:val="004A467A"/>
    <w:rsid w:val="004A4802"/>
    <w:rsid w:val="004A4EEA"/>
    <w:rsid w:val="004A50BB"/>
    <w:rsid w:val="004A5275"/>
    <w:rsid w:val="004A54DC"/>
    <w:rsid w:val="004A5999"/>
    <w:rsid w:val="004A5C0C"/>
    <w:rsid w:val="004A6961"/>
    <w:rsid w:val="004A69CF"/>
    <w:rsid w:val="004A6B97"/>
    <w:rsid w:val="004A6D69"/>
    <w:rsid w:val="004A7886"/>
    <w:rsid w:val="004B03FF"/>
    <w:rsid w:val="004B050B"/>
    <w:rsid w:val="004B0D68"/>
    <w:rsid w:val="004B1179"/>
    <w:rsid w:val="004B1CD4"/>
    <w:rsid w:val="004B1DE7"/>
    <w:rsid w:val="004B1E56"/>
    <w:rsid w:val="004B2435"/>
    <w:rsid w:val="004B2B7C"/>
    <w:rsid w:val="004B2C8C"/>
    <w:rsid w:val="004B33F9"/>
    <w:rsid w:val="004B39DF"/>
    <w:rsid w:val="004B4854"/>
    <w:rsid w:val="004B4A54"/>
    <w:rsid w:val="004B5146"/>
    <w:rsid w:val="004B58AF"/>
    <w:rsid w:val="004B61FD"/>
    <w:rsid w:val="004B65E8"/>
    <w:rsid w:val="004B7592"/>
    <w:rsid w:val="004B780C"/>
    <w:rsid w:val="004B7948"/>
    <w:rsid w:val="004B7F1A"/>
    <w:rsid w:val="004C0A78"/>
    <w:rsid w:val="004C0E04"/>
    <w:rsid w:val="004C1039"/>
    <w:rsid w:val="004C1130"/>
    <w:rsid w:val="004C13D4"/>
    <w:rsid w:val="004C16AE"/>
    <w:rsid w:val="004C1866"/>
    <w:rsid w:val="004C19A3"/>
    <w:rsid w:val="004C2392"/>
    <w:rsid w:val="004C257A"/>
    <w:rsid w:val="004C2880"/>
    <w:rsid w:val="004C2CE1"/>
    <w:rsid w:val="004C2D7F"/>
    <w:rsid w:val="004C2D9A"/>
    <w:rsid w:val="004C2DC5"/>
    <w:rsid w:val="004C2E1D"/>
    <w:rsid w:val="004C3189"/>
    <w:rsid w:val="004C345A"/>
    <w:rsid w:val="004C4142"/>
    <w:rsid w:val="004C4A29"/>
    <w:rsid w:val="004C4A3F"/>
    <w:rsid w:val="004C4D28"/>
    <w:rsid w:val="004C6867"/>
    <w:rsid w:val="004C7276"/>
    <w:rsid w:val="004C7658"/>
    <w:rsid w:val="004D029D"/>
    <w:rsid w:val="004D06C8"/>
    <w:rsid w:val="004D0828"/>
    <w:rsid w:val="004D08D4"/>
    <w:rsid w:val="004D095F"/>
    <w:rsid w:val="004D0A04"/>
    <w:rsid w:val="004D0D01"/>
    <w:rsid w:val="004D1291"/>
    <w:rsid w:val="004D1FBB"/>
    <w:rsid w:val="004D2482"/>
    <w:rsid w:val="004D3204"/>
    <w:rsid w:val="004D32E6"/>
    <w:rsid w:val="004D37F4"/>
    <w:rsid w:val="004D3B96"/>
    <w:rsid w:val="004D3CB9"/>
    <w:rsid w:val="004D41F1"/>
    <w:rsid w:val="004D42E3"/>
    <w:rsid w:val="004D432C"/>
    <w:rsid w:val="004D48D7"/>
    <w:rsid w:val="004D49D3"/>
    <w:rsid w:val="004D4BB5"/>
    <w:rsid w:val="004D4E41"/>
    <w:rsid w:val="004D4EC6"/>
    <w:rsid w:val="004D503A"/>
    <w:rsid w:val="004D54A1"/>
    <w:rsid w:val="004D5837"/>
    <w:rsid w:val="004D6197"/>
    <w:rsid w:val="004D7D53"/>
    <w:rsid w:val="004E0074"/>
    <w:rsid w:val="004E00A1"/>
    <w:rsid w:val="004E00CC"/>
    <w:rsid w:val="004E04B8"/>
    <w:rsid w:val="004E08DC"/>
    <w:rsid w:val="004E098A"/>
    <w:rsid w:val="004E0D0F"/>
    <w:rsid w:val="004E15F8"/>
    <w:rsid w:val="004E16FF"/>
    <w:rsid w:val="004E1E43"/>
    <w:rsid w:val="004E1E5B"/>
    <w:rsid w:val="004E23AB"/>
    <w:rsid w:val="004E2632"/>
    <w:rsid w:val="004E2662"/>
    <w:rsid w:val="004E2959"/>
    <w:rsid w:val="004E2DFB"/>
    <w:rsid w:val="004E30B7"/>
    <w:rsid w:val="004E3380"/>
    <w:rsid w:val="004E3D2B"/>
    <w:rsid w:val="004E3FF6"/>
    <w:rsid w:val="004E41D2"/>
    <w:rsid w:val="004E4ABC"/>
    <w:rsid w:val="004E4CAD"/>
    <w:rsid w:val="004E4D12"/>
    <w:rsid w:val="004E4F37"/>
    <w:rsid w:val="004E51BD"/>
    <w:rsid w:val="004E54BF"/>
    <w:rsid w:val="004E5A05"/>
    <w:rsid w:val="004E5D8A"/>
    <w:rsid w:val="004E5EFA"/>
    <w:rsid w:val="004E62C6"/>
    <w:rsid w:val="004E6538"/>
    <w:rsid w:val="004E65B6"/>
    <w:rsid w:val="004E6763"/>
    <w:rsid w:val="004E6B13"/>
    <w:rsid w:val="004E6B81"/>
    <w:rsid w:val="004E6C85"/>
    <w:rsid w:val="004E6E7E"/>
    <w:rsid w:val="004E6FFE"/>
    <w:rsid w:val="004E7288"/>
    <w:rsid w:val="004E72F9"/>
    <w:rsid w:val="004E7472"/>
    <w:rsid w:val="004E7D14"/>
    <w:rsid w:val="004F171F"/>
    <w:rsid w:val="004F1733"/>
    <w:rsid w:val="004F17F4"/>
    <w:rsid w:val="004F2A8D"/>
    <w:rsid w:val="004F2B0F"/>
    <w:rsid w:val="004F2D3A"/>
    <w:rsid w:val="004F3336"/>
    <w:rsid w:val="004F3452"/>
    <w:rsid w:val="004F3567"/>
    <w:rsid w:val="004F4150"/>
    <w:rsid w:val="004F4335"/>
    <w:rsid w:val="004F458C"/>
    <w:rsid w:val="004F45BF"/>
    <w:rsid w:val="004F4D27"/>
    <w:rsid w:val="004F4D88"/>
    <w:rsid w:val="004F5021"/>
    <w:rsid w:val="004F5615"/>
    <w:rsid w:val="004F5891"/>
    <w:rsid w:val="004F760C"/>
    <w:rsid w:val="004F7C11"/>
    <w:rsid w:val="004F7DB0"/>
    <w:rsid w:val="005002B4"/>
    <w:rsid w:val="00500833"/>
    <w:rsid w:val="00500FFD"/>
    <w:rsid w:val="00501161"/>
    <w:rsid w:val="005012B2"/>
    <w:rsid w:val="005014A2"/>
    <w:rsid w:val="00501679"/>
    <w:rsid w:val="0050254D"/>
    <w:rsid w:val="005025B1"/>
    <w:rsid w:val="00502BAE"/>
    <w:rsid w:val="005033F0"/>
    <w:rsid w:val="00503B44"/>
    <w:rsid w:val="00503D55"/>
    <w:rsid w:val="005042E9"/>
    <w:rsid w:val="00504713"/>
    <w:rsid w:val="005047CE"/>
    <w:rsid w:val="00505193"/>
    <w:rsid w:val="00506B27"/>
    <w:rsid w:val="00506B40"/>
    <w:rsid w:val="00506B4B"/>
    <w:rsid w:val="00506CA2"/>
    <w:rsid w:val="00507199"/>
    <w:rsid w:val="00507925"/>
    <w:rsid w:val="00507D98"/>
    <w:rsid w:val="005100C3"/>
    <w:rsid w:val="00510154"/>
    <w:rsid w:val="0051022F"/>
    <w:rsid w:val="0051024D"/>
    <w:rsid w:val="005104B1"/>
    <w:rsid w:val="00511057"/>
    <w:rsid w:val="00511592"/>
    <w:rsid w:val="00511D3C"/>
    <w:rsid w:val="00512F75"/>
    <w:rsid w:val="00513E8E"/>
    <w:rsid w:val="00514175"/>
    <w:rsid w:val="005142C9"/>
    <w:rsid w:val="00514305"/>
    <w:rsid w:val="005143C4"/>
    <w:rsid w:val="00514411"/>
    <w:rsid w:val="00514630"/>
    <w:rsid w:val="0051468B"/>
    <w:rsid w:val="00514960"/>
    <w:rsid w:val="00514982"/>
    <w:rsid w:val="005149AC"/>
    <w:rsid w:val="005151E2"/>
    <w:rsid w:val="00516151"/>
    <w:rsid w:val="005169D8"/>
    <w:rsid w:val="00516B72"/>
    <w:rsid w:val="00516EBA"/>
    <w:rsid w:val="005174DC"/>
    <w:rsid w:val="00517725"/>
    <w:rsid w:val="00517847"/>
    <w:rsid w:val="00517B67"/>
    <w:rsid w:val="005200AD"/>
    <w:rsid w:val="00520857"/>
    <w:rsid w:val="00520AF0"/>
    <w:rsid w:val="00520C65"/>
    <w:rsid w:val="00520D19"/>
    <w:rsid w:val="00520D93"/>
    <w:rsid w:val="00520E7F"/>
    <w:rsid w:val="00520FDB"/>
    <w:rsid w:val="005210FF"/>
    <w:rsid w:val="005211AF"/>
    <w:rsid w:val="005214AC"/>
    <w:rsid w:val="0052194B"/>
    <w:rsid w:val="00521A43"/>
    <w:rsid w:val="00521C5B"/>
    <w:rsid w:val="00521FCD"/>
    <w:rsid w:val="00522226"/>
    <w:rsid w:val="00522488"/>
    <w:rsid w:val="005228AE"/>
    <w:rsid w:val="00522A30"/>
    <w:rsid w:val="005234F7"/>
    <w:rsid w:val="00523C64"/>
    <w:rsid w:val="005244C7"/>
    <w:rsid w:val="00525279"/>
    <w:rsid w:val="005252BB"/>
    <w:rsid w:val="00525389"/>
    <w:rsid w:val="005254F3"/>
    <w:rsid w:val="00525620"/>
    <w:rsid w:val="005256E3"/>
    <w:rsid w:val="00525AC4"/>
    <w:rsid w:val="00525D56"/>
    <w:rsid w:val="00526369"/>
    <w:rsid w:val="005264A2"/>
    <w:rsid w:val="00526F8F"/>
    <w:rsid w:val="005272C7"/>
    <w:rsid w:val="00527706"/>
    <w:rsid w:val="0052774D"/>
    <w:rsid w:val="00527E55"/>
    <w:rsid w:val="00527EE3"/>
    <w:rsid w:val="00530228"/>
    <w:rsid w:val="0053089A"/>
    <w:rsid w:val="00530AA1"/>
    <w:rsid w:val="00530B14"/>
    <w:rsid w:val="00530EDE"/>
    <w:rsid w:val="00531129"/>
    <w:rsid w:val="0053171C"/>
    <w:rsid w:val="00531748"/>
    <w:rsid w:val="005318CA"/>
    <w:rsid w:val="00531BFC"/>
    <w:rsid w:val="005322E3"/>
    <w:rsid w:val="00533B79"/>
    <w:rsid w:val="00533E07"/>
    <w:rsid w:val="0053409A"/>
    <w:rsid w:val="00534496"/>
    <w:rsid w:val="00534593"/>
    <w:rsid w:val="005345AA"/>
    <w:rsid w:val="005348F7"/>
    <w:rsid w:val="00534928"/>
    <w:rsid w:val="00534971"/>
    <w:rsid w:val="00534CD7"/>
    <w:rsid w:val="00534E10"/>
    <w:rsid w:val="00534F3D"/>
    <w:rsid w:val="00535018"/>
    <w:rsid w:val="00535098"/>
    <w:rsid w:val="00535285"/>
    <w:rsid w:val="0053530C"/>
    <w:rsid w:val="005362D2"/>
    <w:rsid w:val="00536785"/>
    <w:rsid w:val="005369A1"/>
    <w:rsid w:val="00536DFE"/>
    <w:rsid w:val="00536E21"/>
    <w:rsid w:val="00537165"/>
    <w:rsid w:val="005373F3"/>
    <w:rsid w:val="005375C3"/>
    <w:rsid w:val="00537C36"/>
    <w:rsid w:val="00540475"/>
    <w:rsid w:val="005407C5"/>
    <w:rsid w:val="005407F7"/>
    <w:rsid w:val="005408CE"/>
    <w:rsid w:val="00540ABA"/>
    <w:rsid w:val="00540D45"/>
    <w:rsid w:val="005410AE"/>
    <w:rsid w:val="0054141A"/>
    <w:rsid w:val="0054188B"/>
    <w:rsid w:val="005418DB"/>
    <w:rsid w:val="00541D63"/>
    <w:rsid w:val="00541F12"/>
    <w:rsid w:val="00541FF8"/>
    <w:rsid w:val="00543055"/>
    <w:rsid w:val="00543086"/>
    <w:rsid w:val="005436CB"/>
    <w:rsid w:val="00543936"/>
    <w:rsid w:val="00543C7E"/>
    <w:rsid w:val="00543CC4"/>
    <w:rsid w:val="00544059"/>
    <w:rsid w:val="005443E5"/>
    <w:rsid w:val="0054454E"/>
    <w:rsid w:val="005445AA"/>
    <w:rsid w:val="00544654"/>
    <w:rsid w:val="005448E7"/>
    <w:rsid w:val="00544B98"/>
    <w:rsid w:val="00544D1C"/>
    <w:rsid w:val="00544EC5"/>
    <w:rsid w:val="00544F99"/>
    <w:rsid w:val="005452DB"/>
    <w:rsid w:val="0054536B"/>
    <w:rsid w:val="0054538B"/>
    <w:rsid w:val="0054547B"/>
    <w:rsid w:val="00545BC5"/>
    <w:rsid w:val="00545C47"/>
    <w:rsid w:val="00545C82"/>
    <w:rsid w:val="00546DBD"/>
    <w:rsid w:val="00546E8D"/>
    <w:rsid w:val="00547911"/>
    <w:rsid w:val="005479B6"/>
    <w:rsid w:val="00547F70"/>
    <w:rsid w:val="00550096"/>
    <w:rsid w:val="0055024C"/>
    <w:rsid w:val="00550663"/>
    <w:rsid w:val="00550D41"/>
    <w:rsid w:val="00550E00"/>
    <w:rsid w:val="00550EE7"/>
    <w:rsid w:val="00551332"/>
    <w:rsid w:val="00551751"/>
    <w:rsid w:val="00551929"/>
    <w:rsid w:val="00551B61"/>
    <w:rsid w:val="00551C85"/>
    <w:rsid w:val="00552350"/>
    <w:rsid w:val="00552935"/>
    <w:rsid w:val="00552C98"/>
    <w:rsid w:val="00552EAB"/>
    <w:rsid w:val="00552F4F"/>
    <w:rsid w:val="00553049"/>
    <w:rsid w:val="00553F7A"/>
    <w:rsid w:val="005543D9"/>
    <w:rsid w:val="00554AE8"/>
    <w:rsid w:val="00554D94"/>
    <w:rsid w:val="00554FD0"/>
    <w:rsid w:val="005559DB"/>
    <w:rsid w:val="0055601B"/>
    <w:rsid w:val="005563A0"/>
    <w:rsid w:val="0055657A"/>
    <w:rsid w:val="005567ED"/>
    <w:rsid w:val="0055682F"/>
    <w:rsid w:val="00556B48"/>
    <w:rsid w:val="00556BEA"/>
    <w:rsid w:val="00556F32"/>
    <w:rsid w:val="00557075"/>
    <w:rsid w:val="00557448"/>
    <w:rsid w:val="005574EC"/>
    <w:rsid w:val="00557B61"/>
    <w:rsid w:val="00557E92"/>
    <w:rsid w:val="005600D5"/>
    <w:rsid w:val="00560190"/>
    <w:rsid w:val="005607A0"/>
    <w:rsid w:val="00560A48"/>
    <w:rsid w:val="00560E80"/>
    <w:rsid w:val="00561238"/>
    <w:rsid w:val="00561781"/>
    <w:rsid w:val="00561782"/>
    <w:rsid w:val="00561C60"/>
    <w:rsid w:val="00561EB4"/>
    <w:rsid w:val="0056228E"/>
    <w:rsid w:val="00562293"/>
    <w:rsid w:val="00562C5C"/>
    <w:rsid w:val="0056320A"/>
    <w:rsid w:val="0056343D"/>
    <w:rsid w:val="005635C8"/>
    <w:rsid w:val="00563864"/>
    <w:rsid w:val="005639C7"/>
    <w:rsid w:val="00563AE1"/>
    <w:rsid w:val="00563BD5"/>
    <w:rsid w:val="0056410F"/>
    <w:rsid w:val="00564666"/>
    <w:rsid w:val="00564DAD"/>
    <w:rsid w:val="00565188"/>
    <w:rsid w:val="005658F0"/>
    <w:rsid w:val="00566647"/>
    <w:rsid w:val="005667E9"/>
    <w:rsid w:val="005669CC"/>
    <w:rsid w:val="00567110"/>
    <w:rsid w:val="00567577"/>
    <w:rsid w:val="005701DA"/>
    <w:rsid w:val="005705D3"/>
    <w:rsid w:val="00570C21"/>
    <w:rsid w:val="00570F22"/>
    <w:rsid w:val="00571069"/>
    <w:rsid w:val="005711E0"/>
    <w:rsid w:val="00571AA1"/>
    <w:rsid w:val="00571F8D"/>
    <w:rsid w:val="0057260D"/>
    <w:rsid w:val="005726C3"/>
    <w:rsid w:val="00572B44"/>
    <w:rsid w:val="00572DC1"/>
    <w:rsid w:val="0057329D"/>
    <w:rsid w:val="00573CB4"/>
    <w:rsid w:val="00573E51"/>
    <w:rsid w:val="00573EC8"/>
    <w:rsid w:val="005744F2"/>
    <w:rsid w:val="0057475E"/>
    <w:rsid w:val="00574C80"/>
    <w:rsid w:val="00575711"/>
    <w:rsid w:val="0057581F"/>
    <w:rsid w:val="005758D1"/>
    <w:rsid w:val="00575DC6"/>
    <w:rsid w:val="00575E00"/>
    <w:rsid w:val="00576403"/>
    <w:rsid w:val="00576526"/>
    <w:rsid w:val="0057669F"/>
    <w:rsid w:val="005766C9"/>
    <w:rsid w:val="0057697A"/>
    <w:rsid w:val="00576A5E"/>
    <w:rsid w:val="00576BAF"/>
    <w:rsid w:val="00577924"/>
    <w:rsid w:val="00577B26"/>
    <w:rsid w:val="005808DD"/>
    <w:rsid w:val="00580997"/>
    <w:rsid w:val="005809B0"/>
    <w:rsid w:val="00580A7C"/>
    <w:rsid w:val="00581502"/>
    <w:rsid w:val="005817FA"/>
    <w:rsid w:val="00581926"/>
    <w:rsid w:val="00582007"/>
    <w:rsid w:val="0058261E"/>
    <w:rsid w:val="00582790"/>
    <w:rsid w:val="00582A92"/>
    <w:rsid w:val="005830F7"/>
    <w:rsid w:val="005833C5"/>
    <w:rsid w:val="00583E35"/>
    <w:rsid w:val="00583E61"/>
    <w:rsid w:val="00583ECD"/>
    <w:rsid w:val="00584014"/>
    <w:rsid w:val="005841B2"/>
    <w:rsid w:val="0058477C"/>
    <w:rsid w:val="00584895"/>
    <w:rsid w:val="00584EC7"/>
    <w:rsid w:val="0058549D"/>
    <w:rsid w:val="00585A50"/>
    <w:rsid w:val="00586B15"/>
    <w:rsid w:val="00586C75"/>
    <w:rsid w:val="00587466"/>
    <w:rsid w:val="00587D5E"/>
    <w:rsid w:val="005901B9"/>
    <w:rsid w:val="00590438"/>
    <w:rsid w:val="005907B4"/>
    <w:rsid w:val="005909DB"/>
    <w:rsid w:val="0059110C"/>
    <w:rsid w:val="005912C7"/>
    <w:rsid w:val="0059170B"/>
    <w:rsid w:val="005919AC"/>
    <w:rsid w:val="005919C1"/>
    <w:rsid w:val="00591C4E"/>
    <w:rsid w:val="00591D40"/>
    <w:rsid w:val="00591E41"/>
    <w:rsid w:val="00592114"/>
    <w:rsid w:val="005929C8"/>
    <w:rsid w:val="00592A97"/>
    <w:rsid w:val="00592C0C"/>
    <w:rsid w:val="00592FA4"/>
    <w:rsid w:val="005931CC"/>
    <w:rsid w:val="005931CD"/>
    <w:rsid w:val="00593227"/>
    <w:rsid w:val="005932E7"/>
    <w:rsid w:val="0059346C"/>
    <w:rsid w:val="00593928"/>
    <w:rsid w:val="00593CFD"/>
    <w:rsid w:val="00594244"/>
    <w:rsid w:val="005943E3"/>
    <w:rsid w:val="005943F2"/>
    <w:rsid w:val="005944F2"/>
    <w:rsid w:val="00594576"/>
    <w:rsid w:val="00594B5A"/>
    <w:rsid w:val="00594EB2"/>
    <w:rsid w:val="00595367"/>
    <w:rsid w:val="00595BC9"/>
    <w:rsid w:val="00595E6C"/>
    <w:rsid w:val="00595ED9"/>
    <w:rsid w:val="00596418"/>
    <w:rsid w:val="00596AD1"/>
    <w:rsid w:val="00596DA9"/>
    <w:rsid w:val="00597248"/>
    <w:rsid w:val="005978C8"/>
    <w:rsid w:val="00597DA5"/>
    <w:rsid w:val="00597F98"/>
    <w:rsid w:val="005A04F6"/>
    <w:rsid w:val="005A067B"/>
    <w:rsid w:val="005A0771"/>
    <w:rsid w:val="005A0918"/>
    <w:rsid w:val="005A096F"/>
    <w:rsid w:val="005A0E4E"/>
    <w:rsid w:val="005A0E88"/>
    <w:rsid w:val="005A12A5"/>
    <w:rsid w:val="005A1321"/>
    <w:rsid w:val="005A1542"/>
    <w:rsid w:val="005A1B70"/>
    <w:rsid w:val="005A1EDD"/>
    <w:rsid w:val="005A2241"/>
    <w:rsid w:val="005A27B7"/>
    <w:rsid w:val="005A2877"/>
    <w:rsid w:val="005A2E5A"/>
    <w:rsid w:val="005A2E8C"/>
    <w:rsid w:val="005A31CB"/>
    <w:rsid w:val="005A3558"/>
    <w:rsid w:val="005A356E"/>
    <w:rsid w:val="005A36D2"/>
    <w:rsid w:val="005A44F4"/>
    <w:rsid w:val="005A48BB"/>
    <w:rsid w:val="005A5041"/>
    <w:rsid w:val="005A5170"/>
    <w:rsid w:val="005A57B2"/>
    <w:rsid w:val="005A5E3B"/>
    <w:rsid w:val="005A5E9C"/>
    <w:rsid w:val="005A66DA"/>
    <w:rsid w:val="005A6720"/>
    <w:rsid w:val="005A67C5"/>
    <w:rsid w:val="005A6D2C"/>
    <w:rsid w:val="005A6EB7"/>
    <w:rsid w:val="005A6EF8"/>
    <w:rsid w:val="005A6F6B"/>
    <w:rsid w:val="005A6FE4"/>
    <w:rsid w:val="005A7208"/>
    <w:rsid w:val="005A72E7"/>
    <w:rsid w:val="005A73C2"/>
    <w:rsid w:val="005A7599"/>
    <w:rsid w:val="005A7838"/>
    <w:rsid w:val="005A7C9A"/>
    <w:rsid w:val="005A7E0E"/>
    <w:rsid w:val="005B0479"/>
    <w:rsid w:val="005B058C"/>
    <w:rsid w:val="005B07A5"/>
    <w:rsid w:val="005B090C"/>
    <w:rsid w:val="005B1D9D"/>
    <w:rsid w:val="005B2417"/>
    <w:rsid w:val="005B2794"/>
    <w:rsid w:val="005B2E47"/>
    <w:rsid w:val="005B36A1"/>
    <w:rsid w:val="005B3905"/>
    <w:rsid w:val="005B39D6"/>
    <w:rsid w:val="005B3DE1"/>
    <w:rsid w:val="005B448E"/>
    <w:rsid w:val="005B4681"/>
    <w:rsid w:val="005B4754"/>
    <w:rsid w:val="005B4AD8"/>
    <w:rsid w:val="005B4BC7"/>
    <w:rsid w:val="005B4E73"/>
    <w:rsid w:val="005B5496"/>
    <w:rsid w:val="005B5D23"/>
    <w:rsid w:val="005B5D3F"/>
    <w:rsid w:val="005B613A"/>
    <w:rsid w:val="005B635A"/>
    <w:rsid w:val="005B636B"/>
    <w:rsid w:val="005B684C"/>
    <w:rsid w:val="005B6A04"/>
    <w:rsid w:val="005B6A5D"/>
    <w:rsid w:val="005B7F9B"/>
    <w:rsid w:val="005C0DC0"/>
    <w:rsid w:val="005C102A"/>
    <w:rsid w:val="005C128C"/>
    <w:rsid w:val="005C15ED"/>
    <w:rsid w:val="005C178F"/>
    <w:rsid w:val="005C1A9B"/>
    <w:rsid w:val="005C1CE9"/>
    <w:rsid w:val="005C23ED"/>
    <w:rsid w:val="005C2E5E"/>
    <w:rsid w:val="005C3A7F"/>
    <w:rsid w:val="005C3BF3"/>
    <w:rsid w:val="005C4537"/>
    <w:rsid w:val="005C4AAE"/>
    <w:rsid w:val="005C4D70"/>
    <w:rsid w:val="005C4E66"/>
    <w:rsid w:val="005C4F8F"/>
    <w:rsid w:val="005C53DF"/>
    <w:rsid w:val="005C5706"/>
    <w:rsid w:val="005C5A54"/>
    <w:rsid w:val="005C5F6D"/>
    <w:rsid w:val="005C69CD"/>
    <w:rsid w:val="005C6B7E"/>
    <w:rsid w:val="005C6E6C"/>
    <w:rsid w:val="005C74C6"/>
    <w:rsid w:val="005C74D2"/>
    <w:rsid w:val="005C7B6B"/>
    <w:rsid w:val="005C7CDD"/>
    <w:rsid w:val="005D043E"/>
    <w:rsid w:val="005D0529"/>
    <w:rsid w:val="005D0C1C"/>
    <w:rsid w:val="005D143F"/>
    <w:rsid w:val="005D1847"/>
    <w:rsid w:val="005D1962"/>
    <w:rsid w:val="005D1F64"/>
    <w:rsid w:val="005D22E5"/>
    <w:rsid w:val="005D27BF"/>
    <w:rsid w:val="005D2995"/>
    <w:rsid w:val="005D2AAB"/>
    <w:rsid w:val="005D3272"/>
    <w:rsid w:val="005D32DD"/>
    <w:rsid w:val="005D39E3"/>
    <w:rsid w:val="005D3BA6"/>
    <w:rsid w:val="005D5584"/>
    <w:rsid w:val="005D59DF"/>
    <w:rsid w:val="005D60B8"/>
    <w:rsid w:val="005D67F5"/>
    <w:rsid w:val="005D6C9A"/>
    <w:rsid w:val="005D6FBA"/>
    <w:rsid w:val="005D70A0"/>
    <w:rsid w:val="005D72CA"/>
    <w:rsid w:val="005D7485"/>
    <w:rsid w:val="005D7770"/>
    <w:rsid w:val="005D788D"/>
    <w:rsid w:val="005D7BED"/>
    <w:rsid w:val="005E0491"/>
    <w:rsid w:val="005E0FCC"/>
    <w:rsid w:val="005E1084"/>
    <w:rsid w:val="005E1C18"/>
    <w:rsid w:val="005E1EEC"/>
    <w:rsid w:val="005E219E"/>
    <w:rsid w:val="005E26EF"/>
    <w:rsid w:val="005E2757"/>
    <w:rsid w:val="005E4A41"/>
    <w:rsid w:val="005E5290"/>
    <w:rsid w:val="005E56CB"/>
    <w:rsid w:val="005E592D"/>
    <w:rsid w:val="005E59D8"/>
    <w:rsid w:val="005E5EBC"/>
    <w:rsid w:val="005E63F9"/>
    <w:rsid w:val="005E6AC7"/>
    <w:rsid w:val="005E6D0A"/>
    <w:rsid w:val="005E76CD"/>
    <w:rsid w:val="005E79DD"/>
    <w:rsid w:val="005E7D27"/>
    <w:rsid w:val="005E7F5C"/>
    <w:rsid w:val="005F075D"/>
    <w:rsid w:val="005F0D53"/>
    <w:rsid w:val="005F11B7"/>
    <w:rsid w:val="005F1435"/>
    <w:rsid w:val="005F1A0D"/>
    <w:rsid w:val="005F1AE4"/>
    <w:rsid w:val="005F1B30"/>
    <w:rsid w:val="005F231B"/>
    <w:rsid w:val="005F25C8"/>
    <w:rsid w:val="005F2641"/>
    <w:rsid w:val="005F3219"/>
    <w:rsid w:val="005F330C"/>
    <w:rsid w:val="005F336F"/>
    <w:rsid w:val="005F3585"/>
    <w:rsid w:val="005F39F5"/>
    <w:rsid w:val="005F3A7B"/>
    <w:rsid w:val="005F3C12"/>
    <w:rsid w:val="005F4649"/>
    <w:rsid w:val="005F471B"/>
    <w:rsid w:val="005F478F"/>
    <w:rsid w:val="005F49BF"/>
    <w:rsid w:val="005F4D4C"/>
    <w:rsid w:val="005F571D"/>
    <w:rsid w:val="005F5BCA"/>
    <w:rsid w:val="005F5EC7"/>
    <w:rsid w:val="005F61F8"/>
    <w:rsid w:val="005F623F"/>
    <w:rsid w:val="005F641A"/>
    <w:rsid w:val="005F644D"/>
    <w:rsid w:val="005F6B60"/>
    <w:rsid w:val="005F6CDA"/>
    <w:rsid w:val="005F7125"/>
    <w:rsid w:val="005F72C8"/>
    <w:rsid w:val="005F7751"/>
    <w:rsid w:val="005F7861"/>
    <w:rsid w:val="005F79D5"/>
    <w:rsid w:val="00600004"/>
    <w:rsid w:val="0060034E"/>
    <w:rsid w:val="006009D5"/>
    <w:rsid w:val="006009E6"/>
    <w:rsid w:val="00600D1A"/>
    <w:rsid w:val="00600DD9"/>
    <w:rsid w:val="00601CFE"/>
    <w:rsid w:val="00601DA0"/>
    <w:rsid w:val="00601DF6"/>
    <w:rsid w:val="00602201"/>
    <w:rsid w:val="00602279"/>
    <w:rsid w:val="006022C8"/>
    <w:rsid w:val="00602928"/>
    <w:rsid w:val="0060296B"/>
    <w:rsid w:val="00602BB0"/>
    <w:rsid w:val="0060365C"/>
    <w:rsid w:val="0060388F"/>
    <w:rsid w:val="00603C3B"/>
    <w:rsid w:val="00603D5A"/>
    <w:rsid w:val="00603E2F"/>
    <w:rsid w:val="00604176"/>
    <w:rsid w:val="00604B90"/>
    <w:rsid w:val="00605001"/>
    <w:rsid w:val="0060511B"/>
    <w:rsid w:val="006051C5"/>
    <w:rsid w:val="00605522"/>
    <w:rsid w:val="006056E6"/>
    <w:rsid w:val="006065B5"/>
    <w:rsid w:val="0060690C"/>
    <w:rsid w:val="00606D40"/>
    <w:rsid w:val="00606EBF"/>
    <w:rsid w:val="00607B45"/>
    <w:rsid w:val="00610124"/>
    <w:rsid w:val="006103FB"/>
    <w:rsid w:val="006106C9"/>
    <w:rsid w:val="006106EC"/>
    <w:rsid w:val="006106F9"/>
    <w:rsid w:val="00610A01"/>
    <w:rsid w:val="00610B05"/>
    <w:rsid w:val="00610C92"/>
    <w:rsid w:val="00610E5B"/>
    <w:rsid w:val="00610EC7"/>
    <w:rsid w:val="00611770"/>
    <w:rsid w:val="006119D7"/>
    <w:rsid w:val="00611F3B"/>
    <w:rsid w:val="00611F58"/>
    <w:rsid w:val="006124F3"/>
    <w:rsid w:val="0061280A"/>
    <w:rsid w:val="00612F99"/>
    <w:rsid w:val="00614E86"/>
    <w:rsid w:val="006153F3"/>
    <w:rsid w:val="00615484"/>
    <w:rsid w:val="00615681"/>
    <w:rsid w:val="00615A5A"/>
    <w:rsid w:val="0061640A"/>
    <w:rsid w:val="0061658F"/>
    <w:rsid w:val="00616BA2"/>
    <w:rsid w:val="00616C81"/>
    <w:rsid w:val="0061715D"/>
    <w:rsid w:val="0061775C"/>
    <w:rsid w:val="0062007D"/>
    <w:rsid w:val="0062043E"/>
    <w:rsid w:val="0062074E"/>
    <w:rsid w:val="00620A85"/>
    <w:rsid w:val="0062123C"/>
    <w:rsid w:val="006212B3"/>
    <w:rsid w:val="0062177A"/>
    <w:rsid w:val="0062184E"/>
    <w:rsid w:val="00621B2E"/>
    <w:rsid w:val="00621D11"/>
    <w:rsid w:val="00621D7B"/>
    <w:rsid w:val="00621DCB"/>
    <w:rsid w:val="00621E06"/>
    <w:rsid w:val="00622330"/>
    <w:rsid w:val="0062260D"/>
    <w:rsid w:val="006227CC"/>
    <w:rsid w:val="006229EB"/>
    <w:rsid w:val="00622CD0"/>
    <w:rsid w:val="00622E0D"/>
    <w:rsid w:val="006239B1"/>
    <w:rsid w:val="00623AB9"/>
    <w:rsid w:val="00623BD7"/>
    <w:rsid w:val="00623D82"/>
    <w:rsid w:val="00624211"/>
    <w:rsid w:val="00624FAA"/>
    <w:rsid w:val="00624FB0"/>
    <w:rsid w:val="00625177"/>
    <w:rsid w:val="0062526A"/>
    <w:rsid w:val="0062559E"/>
    <w:rsid w:val="00625DB3"/>
    <w:rsid w:val="00625FD3"/>
    <w:rsid w:val="0062613D"/>
    <w:rsid w:val="00626343"/>
    <w:rsid w:val="0062659E"/>
    <w:rsid w:val="00626C6A"/>
    <w:rsid w:val="006275FE"/>
    <w:rsid w:val="006276C4"/>
    <w:rsid w:val="00627CA7"/>
    <w:rsid w:val="00627D8F"/>
    <w:rsid w:val="00630426"/>
    <w:rsid w:val="00630706"/>
    <w:rsid w:val="00630C1D"/>
    <w:rsid w:val="00630EE3"/>
    <w:rsid w:val="0063156F"/>
    <w:rsid w:val="006318D3"/>
    <w:rsid w:val="006319B2"/>
    <w:rsid w:val="00631A6E"/>
    <w:rsid w:val="00631CDB"/>
    <w:rsid w:val="00632268"/>
    <w:rsid w:val="006328AE"/>
    <w:rsid w:val="0063301F"/>
    <w:rsid w:val="00633156"/>
    <w:rsid w:val="0063320A"/>
    <w:rsid w:val="00633441"/>
    <w:rsid w:val="00633929"/>
    <w:rsid w:val="00633A01"/>
    <w:rsid w:val="006342C6"/>
    <w:rsid w:val="00634674"/>
    <w:rsid w:val="006348C5"/>
    <w:rsid w:val="00634968"/>
    <w:rsid w:val="00635083"/>
    <w:rsid w:val="00635620"/>
    <w:rsid w:val="00635D8F"/>
    <w:rsid w:val="00635EC1"/>
    <w:rsid w:val="00635FBD"/>
    <w:rsid w:val="006365C2"/>
    <w:rsid w:val="00636713"/>
    <w:rsid w:val="006368A6"/>
    <w:rsid w:val="00636F33"/>
    <w:rsid w:val="00637114"/>
    <w:rsid w:val="0063711E"/>
    <w:rsid w:val="006403FA"/>
    <w:rsid w:val="00640859"/>
    <w:rsid w:val="00640DCB"/>
    <w:rsid w:val="00640E16"/>
    <w:rsid w:val="00640E96"/>
    <w:rsid w:val="00640F8F"/>
    <w:rsid w:val="00641D99"/>
    <w:rsid w:val="00641DD3"/>
    <w:rsid w:val="00641E9D"/>
    <w:rsid w:val="006423B4"/>
    <w:rsid w:val="00642472"/>
    <w:rsid w:val="00643188"/>
    <w:rsid w:val="0064356C"/>
    <w:rsid w:val="006436AC"/>
    <w:rsid w:val="00643742"/>
    <w:rsid w:val="0064386D"/>
    <w:rsid w:val="00643899"/>
    <w:rsid w:val="006440BA"/>
    <w:rsid w:val="00644D4C"/>
    <w:rsid w:val="00644F51"/>
    <w:rsid w:val="00645DD1"/>
    <w:rsid w:val="00645E8F"/>
    <w:rsid w:val="00646C7E"/>
    <w:rsid w:val="00646E88"/>
    <w:rsid w:val="006472DE"/>
    <w:rsid w:val="00647432"/>
    <w:rsid w:val="00647689"/>
    <w:rsid w:val="00647C41"/>
    <w:rsid w:val="00647CBC"/>
    <w:rsid w:val="00647E32"/>
    <w:rsid w:val="0065016F"/>
    <w:rsid w:val="00650371"/>
    <w:rsid w:val="0065071E"/>
    <w:rsid w:val="00650AF0"/>
    <w:rsid w:val="00650B0D"/>
    <w:rsid w:val="00650CC6"/>
    <w:rsid w:val="00650D5A"/>
    <w:rsid w:val="006513F7"/>
    <w:rsid w:val="0065151A"/>
    <w:rsid w:val="00651F94"/>
    <w:rsid w:val="00651FA2"/>
    <w:rsid w:val="00651FCE"/>
    <w:rsid w:val="00652035"/>
    <w:rsid w:val="00652529"/>
    <w:rsid w:val="0065253C"/>
    <w:rsid w:val="00652762"/>
    <w:rsid w:val="00652957"/>
    <w:rsid w:val="00652DCC"/>
    <w:rsid w:val="00653220"/>
    <w:rsid w:val="00653DD9"/>
    <w:rsid w:val="006543B7"/>
    <w:rsid w:val="00654668"/>
    <w:rsid w:val="006546E1"/>
    <w:rsid w:val="00654845"/>
    <w:rsid w:val="00654C19"/>
    <w:rsid w:val="006555C8"/>
    <w:rsid w:val="006555F9"/>
    <w:rsid w:val="00655747"/>
    <w:rsid w:val="006559EA"/>
    <w:rsid w:val="006559EF"/>
    <w:rsid w:val="00655B64"/>
    <w:rsid w:val="00656066"/>
    <w:rsid w:val="00656393"/>
    <w:rsid w:val="006566AB"/>
    <w:rsid w:val="00656853"/>
    <w:rsid w:val="00656B39"/>
    <w:rsid w:val="00656C43"/>
    <w:rsid w:val="00656D78"/>
    <w:rsid w:val="00657429"/>
    <w:rsid w:val="006577FC"/>
    <w:rsid w:val="00657F66"/>
    <w:rsid w:val="0066056E"/>
    <w:rsid w:val="00660B2E"/>
    <w:rsid w:val="00660E1E"/>
    <w:rsid w:val="00661521"/>
    <w:rsid w:val="00662215"/>
    <w:rsid w:val="006623D9"/>
    <w:rsid w:val="006630FD"/>
    <w:rsid w:val="006639F3"/>
    <w:rsid w:val="00663BED"/>
    <w:rsid w:val="00663C7E"/>
    <w:rsid w:val="00663E33"/>
    <w:rsid w:val="00663EAD"/>
    <w:rsid w:val="00663FC4"/>
    <w:rsid w:val="00663FCE"/>
    <w:rsid w:val="0066430C"/>
    <w:rsid w:val="0066443B"/>
    <w:rsid w:val="006645D5"/>
    <w:rsid w:val="006648E4"/>
    <w:rsid w:val="00664AB0"/>
    <w:rsid w:val="00665060"/>
    <w:rsid w:val="006658EF"/>
    <w:rsid w:val="00665923"/>
    <w:rsid w:val="00665AE4"/>
    <w:rsid w:val="006669A4"/>
    <w:rsid w:val="00666AA0"/>
    <w:rsid w:val="00666CDC"/>
    <w:rsid w:val="00666D3E"/>
    <w:rsid w:val="0066767C"/>
    <w:rsid w:val="00667898"/>
    <w:rsid w:val="00667B8D"/>
    <w:rsid w:val="00667E05"/>
    <w:rsid w:val="00667FBC"/>
    <w:rsid w:val="00670134"/>
    <w:rsid w:val="006704D8"/>
    <w:rsid w:val="006705A5"/>
    <w:rsid w:val="006707F7"/>
    <w:rsid w:val="0067092B"/>
    <w:rsid w:val="00670A44"/>
    <w:rsid w:val="00670FE7"/>
    <w:rsid w:val="006714BE"/>
    <w:rsid w:val="00671990"/>
    <w:rsid w:val="00671DE2"/>
    <w:rsid w:val="00671E85"/>
    <w:rsid w:val="00671EAF"/>
    <w:rsid w:val="006722C0"/>
    <w:rsid w:val="00672C70"/>
    <w:rsid w:val="00672D52"/>
    <w:rsid w:val="006731C6"/>
    <w:rsid w:val="00673319"/>
    <w:rsid w:val="006733FD"/>
    <w:rsid w:val="00673909"/>
    <w:rsid w:val="00673A9D"/>
    <w:rsid w:val="00673DA5"/>
    <w:rsid w:val="00674006"/>
    <w:rsid w:val="00674827"/>
    <w:rsid w:val="0067498C"/>
    <w:rsid w:val="00674D14"/>
    <w:rsid w:val="00675236"/>
    <w:rsid w:val="00675DB1"/>
    <w:rsid w:val="00675E1E"/>
    <w:rsid w:val="00676345"/>
    <w:rsid w:val="006764DA"/>
    <w:rsid w:val="006766B8"/>
    <w:rsid w:val="00676836"/>
    <w:rsid w:val="00676C4F"/>
    <w:rsid w:val="00676CBD"/>
    <w:rsid w:val="00676E06"/>
    <w:rsid w:val="0067752F"/>
    <w:rsid w:val="00677AED"/>
    <w:rsid w:val="00677B36"/>
    <w:rsid w:val="00677DA9"/>
    <w:rsid w:val="00677DF4"/>
    <w:rsid w:val="00677F61"/>
    <w:rsid w:val="00680BA6"/>
    <w:rsid w:val="0068105E"/>
    <w:rsid w:val="006819D3"/>
    <w:rsid w:val="00681BE9"/>
    <w:rsid w:val="00681C25"/>
    <w:rsid w:val="00681FB3"/>
    <w:rsid w:val="00682062"/>
    <w:rsid w:val="00682610"/>
    <w:rsid w:val="006827B2"/>
    <w:rsid w:val="006828D8"/>
    <w:rsid w:val="00682C3C"/>
    <w:rsid w:val="00682D4F"/>
    <w:rsid w:val="00683E7F"/>
    <w:rsid w:val="00683E96"/>
    <w:rsid w:val="006842B1"/>
    <w:rsid w:val="0068454A"/>
    <w:rsid w:val="00684C7A"/>
    <w:rsid w:val="00684D1F"/>
    <w:rsid w:val="00684F76"/>
    <w:rsid w:val="00685160"/>
    <w:rsid w:val="006851EE"/>
    <w:rsid w:val="006854E1"/>
    <w:rsid w:val="00685857"/>
    <w:rsid w:val="006859EB"/>
    <w:rsid w:val="00685D80"/>
    <w:rsid w:val="00686262"/>
    <w:rsid w:val="00686907"/>
    <w:rsid w:val="00686FE0"/>
    <w:rsid w:val="00687473"/>
    <w:rsid w:val="006875CE"/>
    <w:rsid w:val="0068790D"/>
    <w:rsid w:val="00687D57"/>
    <w:rsid w:val="006900CF"/>
    <w:rsid w:val="006901D3"/>
    <w:rsid w:val="00690239"/>
    <w:rsid w:val="0069024E"/>
    <w:rsid w:val="0069025A"/>
    <w:rsid w:val="00690643"/>
    <w:rsid w:val="0069066D"/>
    <w:rsid w:val="00690728"/>
    <w:rsid w:val="00690867"/>
    <w:rsid w:val="00690B2A"/>
    <w:rsid w:val="00690D82"/>
    <w:rsid w:val="00690DC5"/>
    <w:rsid w:val="0069139A"/>
    <w:rsid w:val="006915A2"/>
    <w:rsid w:val="00691859"/>
    <w:rsid w:val="00692833"/>
    <w:rsid w:val="006928C4"/>
    <w:rsid w:val="00692EEB"/>
    <w:rsid w:val="00693222"/>
    <w:rsid w:val="0069345B"/>
    <w:rsid w:val="00693D4B"/>
    <w:rsid w:val="00693DBA"/>
    <w:rsid w:val="00693EC9"/>
    <w:rsid w:val="0069429E"/>
    <w:rsid w:val="00694E56"/>
    <w:rsid w:val="00695B19"/>
    <w:rsid w:val="00695BF2"/>
    <w:rsid w:val="0069610B"/>
    <w:rsid w:val="0069644B"/>
    <w:rsid w:val="006968EE"/>
    <w:rsid w:val="00697107"/>
    <w:rsid w:val="006973D8"/>
    <w:rsid w:val="00697582"/>
    <w:rsid w:val="00697933"/>
    <w:rsid w:val="006979AA"/>
    <w:rsid w:val="00697DFD"/>
    <w:rsid w:val="00697E2C"/>
    <w:rsid w:val="00697EA7"/>
    <w:rsid w:val="006A00C2"/>
    <w:rsid w:val="006A0BC0"/>
    <w:rsid w:val="006A108C"/>
    <w:rsid w:val="006A146B"/>
    <w:rsid w:val="006A19B3"/>
    <w:rsid w:val="006A1C6D"/>
    <w:rsid w:val="006A2149"/>
    <w:rsid w:val="006A22C5"/>
    <w:rsid w:val="006A240F"/>
    <w:rsid w:val="006A277D"/>
    <w:rsid w:val="006A2DEB"/>
    <w:rsid w:val="006A338E"/>
    <w:rsid w:val="006A353A"/>
    <w:rsid w:val="006A3804"/>
    <w:rsid w:val="006A3E2B"/>
    <w:rsid w:val="006A4415"/>
    <w:rsid w:val="006A48CF"/>
    <w:rsid w:val="006A4D3D"/>
    <w:rsid w:val="006A4FFC"/>
    <w:rsid w:val="006A536A"/>
    <w:rsid w:val="006A5373"/>
    <w:rsid w:val="006A5510"/>
    <w:rsid w:val="006A5E5A"/>
    <w:rsid w:val="006A5F5A"/>
    <w:rsid w:val="006A6261"/>
    <w:rsid w:val="006A62B2"/>
    <w:rsid w:val="006A63C0"/>
    <w:rsid w:val="006A6CF6"/>
    <w:rsid w:val="006A6EEC"/>
    <w:rsid w:val="006A705A"/>
    <w:rsid w:val="006A7485"/>
    <w:rsid w:val="006A76D0"/>
    <w:rsid w:val="006A7A20"/>
    <w:rsid w:val="006A7B5D"/>
    <w:rsid w:val="006A7F64"/>
    <w:rsid w:val="006A7FCE"/>
    <w:rsid w:val="006B0489"/>
    <w:rsid w:val="006B060D"/>
    <w:rsid w:val="006B0867"/>
    <w:rsid w:val="006B0BF4"/>
    <w:rsid w:val="006B0FEA"/>
    <w:rsid w:val="006B1CC8"/>
    <w:rsid w:val="006B2519"/>
    <w:rsid w:val="006B2E5F"/>
    <w:rsid w:val="006B3BDC"/>
    <w:rsid w:val="006B408B"/>
    <w:rsid w:val="006B4AEA"/>
    <w:rsid w:val="006B4E55"/>
    <w:rsid w:val="006B5C67"/>
    <w:rsid w:val="006B62CF"/>
    <w:rsid w:val="006B68EB"/>
    <w:rsid w:val="006B7937"/>
    <w:rsid w:val="006B7CEA"/>
    <w:rsid w:val="006B7E2E"/>
    <w:rsid w:val="006B7E82"/>
    <w:rsid w:val="006C04DF"/>
    <w:rsid w:val="006C09B1"/>
    <w:rsid w:val="006C0F59"/>
    <w:rsid w:val="006C1525"/>
    <w:rsid w:val="006C171A"/>
    <w:rsid w:val="006C22CD"/>
    <w:rsid w:val="006C268B"/>
    <w:rsid w:val="006C28A4"/>
    <w:rsid w:val="006C29A4"/>
    <w:rsid w:val="006C2CE6"/>
    <w:rsid w:val="006C306C"/>
    <w:rsid w:val="006C30E5"/>
    <w:rsid w:val="006C32B8"/>
    <w:rsid w:val="006C3380"/>
    <w:rsid w:val="006C34D4"/>
    <w:rsid w:val="006C3609"/>
    <w:rsid w:val="006C3662"/>
    <w:rsid w:val="006C3860"/>
    <w:rsid w:val="006C3ADC"/>
    <w:rsid w:val="006C3F2A"/>
    <w:rsid w:val="006C4264"/>
    <w:rsid w:val="006C4475"/>
    <w:rsid w:val="006C44C1"/>
    <w:rsid w:val="006C4764"/>
    <w:rsid w:val="006C4B57"/>
    <w:rsid w:val="006C4C76"/>
    <w:rsid w:val="006C4E74"/>
    <w:rsid w:val="006C51EB"/>
    <w:rsid w:val="006C5270"/>
    <w:rsid w:val="006C534A"/>
    <w:rsid w:val="006C554D"/>
    <w:rsid w:val="006C55F7"/>
    <w:rsid w:val="006C6125"/>
    <w:rsid w:val="006C68DF"/>
    <w:rsid w:val="006C6B41"/>
    <w:rsid w:val="006C6B60"/>
    <w:rsid w:val="006C6E86"/>
    <w:rsid w:val="006C6FD4"/>
    <w:rsid w:val="006C6FFD"/>
    <w:rsid w:val="006C71B9"/>
    <w:rsid w:val="006C7606"/>
    <w:rsid w:val="006C767A"/>
    <w:rsid w:val="006C76EA"/>
    <w:rsid w:val="006C7764"/>
    <w:rsid w:val="006D002D"/>
    <w:rsid w:val="006D07F2"/>
    <w:rsid w:val="006D087E"/>
    <w:rsid w:val="006D08E2"/>
    <w:rsid w:val="006D0994"/>
    <w:rsid w:val="006D0B17"/>
    <w:rsid w:val="006D1204"/>
    <w:rsid w:val="006D12A0"/>
    <w:rsid w:val="006D1570"/>
    <w:rsid w:val="006D184D"/>
    <w:rsid w:val="006D1B73"/>
    <w:rsid w:val="006D226A"/>
    <w:rsid w:val="006D2315"/>
    <w:rsid w:val="006D24A7"/>
    <w:rsid w:val="006D2663"/>
    <w:rsid w:val="006D26D8"/>
    <w:rsid w:val="006D27D2"/>
    <w:rsid w:val="006D2BC7"/>
    <w:rsid w:val="006D2C35"/>
    <w:rsid w:val="006D2DCB"/>
    <w:rsid w:val="006D2EB5"/>
    <w:rsid w:val="006D32D8"/>
    <w:rsid w:val="006D3ED6"/>
    <w:rsid w:val="006D3FF2"/>
    <w:rsid w:val="006D41AD"/>
    <w:rsid w:val="006D43C1"/>
    <w:rsid w:val="006D4555"/>
    <w:rsid w:val="006D4560"/>
    <w:rsid w:val="006D48FF"/>
    <w:rsid w:val="006D4D61"/>
    <w:rsid w:val="006D4D79"/>
    <w:rsid w:val="006D60F4"/>
    <w:rsid w:val="006D610A"/>
    <w:rsid w:val="006D638D"/>
    <w:rsid w:val="006D67C1"/>
    <w:rsid w:val="006D6DA8"/>
    <w:rsid w:val="006D6F8A"/>
    <w:rsid w:val="006D70D6"/>
    <w:rsid w:val="006D732D"/>
    <w:rsid w:val="006D73E4"/>
    <w:rsid w:val="006D78E1"/>
    <w:rsid w:val="006D7ECD"/>
    <w:rsid w:val="006E0287"/>
    <w:rsid w:val="006E16C1"/>
    <w:rsid w:val="006E199E"/>
    <w:rsid w:val="006E1C28"/>
    <w:rsid w:val="006E1FDA"/>
    <w:rsid w:val="006E2117"/>
    <w:rsid w:val="006E2256"/>
    <w:rsid w:val="006E2409"/>
    <w:rsid w:val="006E2820"/>
    <w:rsid w:val="006E2B22"/>
    <w:rsid w:val="006E36B9"/>
    <w:rsid w:val="006E3AB4"/>
    <w:rsid w:val="006E3D78"/>
    <w:rsid w:val="006E3EEB"/>
    <w:rsid w:val="006E4162"/>
    <w:rsid w:val="006E4396"/>
    <w:rsid w:val="006E4A03"/>
    <w:rsid w:val="006E4A18"/>
    <w:rsid w:val="006E4C67"/>
    <w:rsid w:val="006E4F12"/>
    <w:rsid w:val="006E5F2B"/>
    <w:rsid w:val="006E63D6"/>
    <w:rsid w:val="006E649A"/>
    <w:rsid w:val="006E65C8"/>
    <w:rsid w:val="006E6750"/>
    <w:rsid w:val="006E6D96"/>
    <w:rsid w:val="006E7175"/>
    <w:rsid w:val="006E774A"/>
    <w:rsid w:val="006E7966"/>
    <w:rsid w:val="006E7A7A"/>
    <w:rsid w:val="006F0BB1"/>
    <w:rsid w:val="006F0D5E"/>
    <w:rsid w:val="006F1D8A"/>
    <w:rsid w:val="006F1E8C"/>
    <w:rsid w:val="006F25C8"/>
    <w:rsid w:val="006F25FD"/>
    <w:rsid w:val="006F2EDA"/>
    <w:rsid w:val="006F30A7"/>
    <w:rsid w:val="006F34B0"/>
    <w:rsid w:val="006F389C"/>
    <w:rsid w:val="006F404E"/>
    <w:rsid w:val="006F4273"/>
    <w:rsid w:val="006F45A4"/>
    <w:rsid w:val="006F4ACF"/>
    <w:rsid w:val="006F4E7D"/>
    <w:rsid w:val="006F5A40"/>
    <w:rsid w:val="006F5C43"/>
    <w:rsid w:val="006F622F"/>
    <w:rsid w:val="006F64E6"/>
    <w:rsid w:val="006F665B"/>
    <w:rsid w:val="006F6855"/>
    <w:rsid w:val="006F79DF"/>
    <w:rsid w:val="006F7EA7"/>
    <w:rsid w:val="00700181"/>
    <w:rsid w:val="00700336"/>
    <w:rsid w:val="00700DEA"/>
    <w:rsid w:val="00701382"/>
    <w:rsid w:val="0070178B"/>
    <w:rsid w:val="00701C1A"/>
    <w:rsid w:val="0070201A"/>
    <w:rsid w:val="007029B7"/>
    <w:rsid w:val="00702B68"/>
    <w:rsid w:val="00703081"/>
    <w:rsid w:val="00703276"/>
    <w:rsid w:val="00703B28"/>
    <w:rsid w:val="00703C3B"/>
    <w:rsid w:val="00703CCF"/>
    <w:rsid w:val="00703DF2"/>
    <w:rsid w:val="007041CD"/>
    <w:rsid w:val="00704233"/>
    <w:rsid w:val="0070463A"/>
    <w:rsid w:val="00704832"/>
    <w:rsid w:val="00705298"/>
    <w:rsid w:val="00705A05"/>
    <w:rsid w:val="00705A3D"/>
    <w:rsid w:val="00705D0A"/>
    <w:rsid w:val="007066D1"/>
    <w:rsid w:val="00706A82"/>
    <w:rsid w:val="00706D2D"/>
    <w:rsid w:val="007072D4"/>
    <w:rsid w:val="00710168"/>
    <w:rsid w:val="00710D26"/>
    <w:rsid w:val="0071131B"/>
    <w:rsid w:val="0071199E"/>
    <w:rsid w:val="00711B0A"/>
    <w:rsid w:val="00711F4B"/>
    <w:rsid w:val="00712870"/>
    <w:rsid w:val="0071294A"/>
    <w:rsid w:val="0071346E"/>
    <w:rsid w:val="00713506"/>
    <w:rsid w:val="0071361E"/>
    <w:rsid w:val="00713F3C"/>
    <w:rsid w:val="00713FC6"/>
    <w:rsid w:val="0071452A"/>
    <w:rsid w:val="007146E7"/>
    <w:rsid w:val="00714853"/>
    <w:rsid w:val="00714EB9"/>
    <w:rsid w:val="00715579"/>
    <w:rsid w:val="00715D0C"/>
    <w:rsid w:val="007167B1"/>
    <w:rsid w:val="007168B3"/>
    <w:rsid w:val="00717005"/>
    <w:rsid w:val="007175E1"/>
    <w:rsid w:val="007177D9"/>
    <w:rsid w:val="00717AE4"/>
    <w:rsid w:val="00717B7B"/>
    <w:rsid w:val="00717BF1"/>
    <w:rsid w:val="00717F2D"/>
    <w:rsid w:val="00720184"/>
    <w:rsid w:val="007203C6"/>
    <w:rsid w:val="00720A37"/>
    <w:rsid w:val="00720F3D"/>
    <w:rsid w:val="007212B4"/>
    <w:rsid w:val="0072172B"/>
    <w:rsid w:val="00721A3B"/>
    <w:rsid w:val="007222FF"/>
    <w:rsid w:val="00722BDC"/>
    <w:rsid w:val="00723D2D"/>
    <w:rsid w:val="00724675"/>
    <w:rsid w:val="007247AF"/>
    <w:rsid w:val="007248C3"/>
    <w:rsid w:val="00724A46"/>
    <w:rsid w:val="0072596A"/>
    <w:rsid w:val="00725A81"/>
    <w:rsid w:val="0072634C"/>
    <w:rsid w:val="00726A8E"/>
    <w:rsid w:val="007272BD"/>
    <w:rsid w:val="00727330"/>
    <w:rsid w:val="00727526"/>
    <w:rsid w:val="00727D7B"/>
    <w:rsid w:val="007309C4"/>
    <w:rsid w:val="00730A76"/>
    <w:rsid w:val="007310F7"/>
    <w:rsid w:val="007316FF"/>
    <w:rsid w:val="00731FB0"/>
    <w:rsid w:val="0073226B"/>
    <w:rsid w:val="00732448"/>
    <w:rsid w:val="00732503"/>
    <w:rsid w:val="00732B6F"/>
    <w:rsid w:val="00732D74"/>
    <w:rsid w:val="007330E0"/>
    <w:rsid w:val="00733D02"/>
    <w:rsid w:val="00733EE5"/>
    <w:rsid w:val="0073427B"/>
    <w:rsid w:val="00734524"/>
    <w:rsid w:val="00734598"/>
    <w:rsid w:val="0073488A"/>
    <w:rsid w:val="00734948"/>
    <w:rsid w:val="00734F82"/>
    <w:rsid w:val="0073529D"/>
    <w:rsid w:val="007355EF"/>
    <w:rsid w:val="0073581E"/>
    <w:rsid w:val="00735B41"/>
    <w:rsid w:val="00735B7A"/>
    <w:rsid w:val="00735E12"/>
    <w:rsid w:val="0073600C"/>
    <w:rsid w:val="0073600F"/>
    <w:rsid w:val="0073605C"/>
    <w:rsid w:val="00736064"/>
    <w:rsid w:val="0073663D"/>
    <w:rsid w:val="007366E4"/>
    <w:rsid w:val="0073686D"/>
    <w:rsid w:val="00736B6E"/>
    <w:rsid w:val="00736D6B"/>
    <w:rsid w:val="00737931"/>
    <w:rsid w:val="007379F8"/>
    <w:rsid w:val="00740919"/>
    <w:rsid w:val="00740D14"/>
    <w:rsid w:val="007410A8"/>
    <w:rsid w:val="00741494"/>
    <w:rsid w:val="007416B7"/>
    <w:rsid w:val="00741FF6"/>
    <w:rsid w:val="00741FFC"/>
    <w:rsid w:val="00742516"/>
    <w:rsid w:val="007426B8"/>
    <w:rsid w:val="007428B3"/>
    <w:rsid w:val="007433EF"/>
    <w:rsid w:val="00744101"/>
    <w:rsid w:val="00744321"/>
    <w:rsid w:val="0074510D"/>
    <w:rsid w:val="00745412"/>
    <w:rsid w:val="007454B8"/>
    <w:rsid w:val="007454E0"/>
    <w:rsid w:val="007455D1"/>
    <w:rsid w:val="00745D0B"/>
    <w:rsid w:val="00745E69"/>
    <w:rsid w:val="00745E73"/>
    <w:rsid w:val="00745E7F"/>
    <w:rsid w:val="007461D5"/>
    <w:rsid w:val="007463BC"/>
    <w:rsid w:val="00746441"/>
    <w:rsid w:val="007465D4"/>
    <w:rsid w:val="00746630"/>
    <w:rsid w:val="00746C1D"/>
    <w:rsid w:val="00746FD7"/>
    <w:rsid w:val="0074704C"/>
    <w:rsid w:val="00747135"/>
    <w:rsid w:val="007472E0"/>
    <w:rsid w:val="007476CE"/>
    <w:rsid w:val="00747FDE"/>
    <w:rsid w:val="007501B3"/>
    <w:rsid w:val="00750274"/>
    <w:rsid w:val="00750410"/>
    <w:rsid w:val="00750F61"/>
    <w:rsid w:val="00751019"/>
    <w:rsid w:val="00751758"/>
    <w:rsid w:val="007519E1"/>
    <w:rsid w:val="00751A9E"/>
    <w:rsid w:val="00751B65"/>
    <w:rsid w:val="00751EEB"/>
    <w:rsid w:val="0075216C"/>
    <w:rsid w:val="00752521"/>
    <w:rsid w:val="00753A26"/>
    <w:rsid w:val="00753AAC"/>
    <w:rsid w:val="00754908"/>
    <w:rsid w:val="00754BDB"/>
    <w:rsid w:val="00754C75"/>
    <w:rsid w:val="0075568B"/>
    <w:rsid w:val="007558BB"/>
    <w:rsid w:val="00755953"/>
    <w:rsid w:val="0075597E"/>
    <w:rsid w:val="00755B20"/>
    <w:rsid w:val="00755D39"/>
    <w:rsid w:val="00755E84"/>
    <w:rsid w:val="007561F6"/>
    <w:rsid w:val="007564C6"/>
    <w:rsid w:val="007568C1"/>
    <w:rsid w:val="0075690F"/>
    <w:rsid w:val="00756A9B"/>
    <w:rsid w:val="00756C8D"/>
    <w:rsid w:val="007571DD"/>
    <w:rsid w:val="0075740C"/>
    <w:rsid w:val="007601BC"/>
    <w:rsid w:val="00760549"/>
    <w:rsid w:val="0076068C"/>
    <w:rsid w:val="007607A0"/>
    <w:rsid w:val="007613FD"/>
    <w:rsid w:val="00761917"/>
    <w:rsid w:val="00761AD3"/>
    <w:rsid w:val="00761FA3"/>
    <w:rsid w:val="007628D9"/>
    <w:rsid w:val="007629EE"/>
    <w:rsid w:val="00762CE0"/>
    <w:rsid w:val="00762D17"/>
    <w:rsid w:val="00763AF5"/>
    <w:rsid w:val="007641DA"/>
    <w:rsid w:val="007642BA"/>
    <w:rsid w:val="00764354"/>
    <w:rsid w:val="00764CB2"/>
    <w:rsid w:val="00765480"/>
    <w:rsid w:val="00765576"/>
    <w:rsid w:val="0076562F"/>
    <w:rsid w:val="0076589D"/>
    <w:rsid w:val="00766122"/>
    <w:rsid w:val="007665C8"/>
    <w:rsid w:val="00766D12"/>
    <w:rsid w:val="0076732B"/>
    <w:rsid w:val="007674F7"/>
    <w:rsid w:val="007678D5"/>
    <w:rsid w:val="007678D6"/>
    <w:rsid w:val="00767D7F"/>
    <w:rsid w:val="00767F93"/>
    <w:rsid w:val="007702FF"/>
    <w:rsid w:val="007704FC"/>
    <w:rsid w:val="007706C0"/>
    <w:rsid w:val="007709B7"/>
    <w:rsid w:val="00770B1F"/>
    <w:rsid w:val="0077145E"/>
    <w:rsid w:val="0077184E"/>
    <w:rsid w:val="00771EE2"/>
    <w:rsid w:val="00771FDE"/>
    <w:rsid w:val="0077206E"/>
    <w:rsid w:val="00772122"/>
    <w:rsid w:val="00772430"/>
    <w:rsid w:val="007725F0"/>
    <w:rsid w:val="007726FC"/>
    <w:rsid w:val="007728AF"/>
    <w:rsid w:val="007734C3"/>
    <w:rsid w:val="00774092"/>
    <w:rsid w:val="007742C1"/>
    <w:rsid w:val="007742CB"/>
    <w:rsid w:val="00774A89"/>
    <w:rsid w:val="00774D13"/>
    <w:rsid w:val="00775182"/>
    <w:rsid w:val="00776AE3"/>
    <w:rsid w:val="007771AB"/>
    <w:rsid w:val="0078044C"/>
    <w:rsid w:val="0078046E"/>
    <w:rsid w:val="007811D7"/>
    <w:rsid w:val="00781227"/>
    <w:rsid w:val="007813B4"/>
    <w:rsid w:val="00781902"/>
    <w:rsid w:val="00781A04"/>
    <w:rsid w:val="00781CCD"/>
    <w:rsid w:val="00781FB5"/>
    <w:rsid w:val="0078223C"/>
    <w:rsid w:val="0078225E"/>
    <w:rsid w:val="00782618"/>
    <w:rsid w:val="00782627"/>
    <w:rsid w:val="0078265A"/>
    <w:rsid w:val="00782665"/>
    <w:rsid w:val="00782FA7"/>
    <w:rsid w:val="00783319"/>
    <w:rsid w:val="00783A85"/>
    <w:rsid w:val="00783BA9"/>
    <w:rsid w:val="00784104"/>
    <w:rsid w:val="0078435A"/>
    <w:rsid w:val="007844C5"/>
    <w:rsid w:val="00784753"/>
    <w:rsid w:val="0078485F"/>
    <w:rsid w:val="00784BA5"/>
    <w:rsid w:val="00784BA8"/>
    <w:rsid w:val="00784BB1"/>
    <w:rsid w:val="0078515F"/>
    <w:rsid w:val="007853EB"/>
    <w:rsid w:val="00785AB3"/>
    <w:rsid w:val="007860EA"/>
    <w:rsid w:val="00786485"/>
    <w:rsid w:val="0078724C"/>
    <w:rsid w:val="00787401"/>
    <w:rsid w:val="00787558"/>
    <w:rsid w:val="00787633"/>
    <w:rsid w:val="00787903"/>
    <w:rsid w:val="00787C15"/>
    <w:rsid w:val="00787F5B"/>
    <w:rsid w:val="007902CB"/>
    <w:rsid w:val="0079043C"/>
    <w:rsid w:val="007909FF"/>
    <w:rsid w:val="00790C81"/>
    <w:rsid w:val="00790FC8"/>
    <w:rsid w:val="00791420"/>
    <w:rsid w:val="00791638"/>
    <w:rsid w:val="0079175F"/>
    <w:rsid w:val="0079197D"/>
    <w:rsid w:val="00791BBF"/>
    <w:rsid w:val="00791D0F"/>
    <w:rsid w:val="00792044"/>
    <w:rsid w:val="007921B4"/>
    <w:rsid w:val="007922A7"/>
    <w:rsid w:val="00792425"/>
    <w:rsid w:val="007932EE"/>
    <w:rsid w:val="00793A59"/>
    <w:rsid w:val="00793A6C"/>
    <w:rsid w:val="00793B7E"/>
    <w:rsid w:val="00793F64"/>
    <w:rsid w:val="00794236"/>
    <w:rsid w:val="0079428D"/>
    <w:rsid w:val="0079464A"/>
    <w:rsid w:val="00795214"/>
    <w:rsid w:val="00795602"/>
    <w:rsid w:val="00795939"/>
    <w:rsid w:val="0079605E"/>
    <w:rsid w:val="0079606C"/>
    <w:rsid w:val="00796144"/>
    <w:rsid w:val="007961E3"/>
    <w:rsid w:val="00796FF4"/>
    <w:rsid w:val="00797A18"/>
    <w:rsid w:val="00797CA3"/>
    <w:rsid w:val="007A0319"/>
    <w:rsid w:val="007A03DB"/>
    <w:rsid w:val="007A0476"/>
    <w:rsid w:val="007A05E6"/>
    <w:rsid w:val="007A0724"/>
    <w:rsid w:val="007A09E9"/>
    <w:rsid w:val="007A0D60"/>
    <w:rsid w:val="007A11E9"/>
    <w:rsid w:val="007A1452"/>
    <w:rsid w:val="007A171C"/>
    <w:rsid w:val="007A18BA"/>
    <w:rsid w:val="007A2097"/>
    <w:rsid w:val="007A213D"/>
    <w:rsid w:val="007A23D9"/>
    <w:rsid w:val="007A296C"/>
    <w:rsid w:val="007A2F01"/>
    <w:rsid w:val="007A312B"/>
    <w:rsid w:val="007A3422"/>
    <w:rsid w:val="007A3453"/>
    <w:rsid w:val="007A3AC1"/>
    <w:rsid w:val="007A3F92"/>
    <w:rsid w:val="007A41D6"/>
    <w:rsid w:val="007A421F"/>
    <w:rsid w:val="007A44F6"/>
    <w:rsid w:val="007A4A81"/>
    <w:rsid w:val="007A6AEE"/>
    <w:rsid w:val="007A73D3"/>
    <w:rsid w:val="007A7441"/>
    <w:rsid w:val="007A7B4B"/>
    <w:rsid w:val="007A7BDF"/>
    <w:rsid w:val="007A7DC8"/>
    <w:rsid w:val="007B0AFB"/>
    <w:rsid w:val="007B0C9E"/>
    <w:rsid w:val="007B14B2"/>
    <w:rsid w:val="007B1B2F"/>
    <w:rsid w:val="007B1BA2"/>
    <w:rsid w:val="007B1DD4"/>
    <w:rsid w:val="007B273C"/>
    <w:rsid w:val="007B2CCB"/>
    <w:rsid w:val="007B2E7A"/>
    <w:rsid w:val="007B32C8"/>
    <w:rsid w:val="007B44C7"/>
    <w:rsid w:val="007B4832"/>
    <w:rsid w:val="007B4B82"/>
    <w:rsid w:val="007B4BE0"/>
    <w:rsid w:val="007B4C04"/>
    <w:rsid w:val="007B4FB2"/>
    <w:rsid w:val="007B5209"/>
    <w:rsid w:val="007B5781"/>
    <w:rsid w:val="007B59D9"/>
    <w:rsid w:val="007B5BFB"/>
    <w:rsid w:val="007B61A6"/>
    <w:rsid w:val="007B68A3"/>
    <w:rsid w:val="007B6EF2"/>
    <w:rsid w:val="007B71AF"/>
    <w:rsid w:val="007B735A"/>
    <w:rsid w:val="007B7414"/>
    <w:rsid w:val="007B78D4"/>
    <w:rsid w:val="007B7D1B"/>
    <w:rsid w:val="007C002B"/>
    <w:rsid w:val="007C0405"/>
    <w:rsid w:val="007C0631"/>
    <w:rsid w:val="007C0D7C"/>
    <w:rsid w:val="007C0ECC"/>
    <w:rsid w:val="007C1126"/>
    <w:rsid w:val="007C15F9"/>
    <w:rsid w:val="007C1A44"/>
    <w:rsid w:val="007C1CEF"/>
    <w:rsid w:val="007C20CD"/>
    <w:rsid w:val="007C2837"/>
    <w:rsid w:val="007C29FC"/>
    <w:rsid w:val="007C2C1C"/>
    <w:rsid w:val="007C3153"/>
    <w:rsid w:val="007C31D8"/>
    <w:rsid w:val="007C3472"/>
    <w:rsid w:val="007C36DB"/>
    <w:rsid w:val="007C41BA"/>
    <w:rsid w:val="007C4356"/>
    <w:rsid w:val="007C45F5"/>
    <w:rsid w:val="007C4E91"/>
    <w:rsid w:val="007C55D4"/>
    <w:rsid w:val="007C55FF"/>
    <w:rsid w:val="007C5840"/>
    <w:rsid w:val="007C5AFB"/>
    <w:rsid w:val="007C5DC6"/>
    <w:rsid w:val="007C5F2C"/>
    <w:rsid w:val="007C628C"/>
    <w:rsid w:val="007C65EF"/>
    <w:rsid w:val="007C66B7"/>
    <w:rsid w:val="007C688D"/>
    <w:rsid w:val="007C69DB"/>
    <w:rsid w:val="007C6D88"/>
    <w:rsid w:val="007C7033"/>
    <w:rsid w:val="007C731F"/>
    <w:rsid w:val="007C74D8"/>
    <w:rsid w:val="007C7814"/>
    <w:rsid w:val="007D094F"/>
    <w:rsid w:val="007D0B1F"/>
    <w:rsid w:val="007D0C46"/>
    <w:rsid w:val="007D1071"/>
    <w:rsid w:val="007D1573"/>
    <w:rsid w:val="007D190F"/>
    <w:rsid w:val="007D1B04"/>
    <w:rsid w:val="007D1FDB"/>
    <w:rsid w:val="007D268A"/>
    <w:rsid w:val="007D2AAF"/>
    <w:rsid w:val="007D2CFD"/>
    <w:rsid w:val="007D2EAB"/>
    <w:rsid w:val="007D2F78"/>
    <w:rsid w:val="007D3115"/>
    <w:rsid w:val="007D31D3"/>
    <w:rsid w:val="007D33C3"/>
    <w:rsid w:val="007D37E6"/>
    <w:rsid w:val="007D3ED8"/>
    <w:rsid w:val="007D40A7"/>
    <w:rsid w:val="007D4352"/>
    <w:rsid w:val="007D47FB"/>
    <w:rsid w:val="007D48DD"/>
    <w:rsid w:val="007D4BB1"/>
    <w:rsid w:val="007D4BB8"/>
    <w:rsid w:val="007D4C79"/>
    <w:rsid w:val="007D5002"/>
    <w:rsid w:val="007D55F6"/>
    <w:rsid w:val="007D5BED"/>
    <w:rsid w:val="007D636B"/>
    <w:rsid w:val="007D66D5"/>
    <w:rsid w:val="007D6C89"/>
    <w:rsid w:val="007D7221"/>
    <w:rsid w:val="007D73EC"/>
    <w:rsid w:val="007D76DB"/>
    <w:rsid w:val="007D77D7"/>
    <w:rsid w:val="007D7AD2"/>
    <w:rsid w:val="007D7FDF"/>
    <w:rsid w:val="007E01A8"/>
    <w:rsid w:val="007E05D3"/>
    <w:rsid w:val="007E077D"/>
    <w:rsid w:val="007E09A4"/>
    <w:rsid w:val="007E0BB8"/>
    <w:rsid w:val="007E0DE5"/>
    <w:rsid w:val="007E1075"/>
    <w:rsid w:val="007E12AE"/>
    <w:rsid w:val="007E14B3"/>
    <w:rsid w:val="007E16C9"/>
    <w:rsid w:val="007E1801"/>
    <w:rsid w:val="007E1CE0"/>
    <w:rsid w:val="007E24AE"/>
    <w:rsid w:val="007E3144"/>
    <w:rsid w:val="007E3383"/>
    <w:rsid w:val="007E3508"/>
    <w:rsid w:val="007E3EEF"/>
    <w:rsid w:val="007E45D7"/>
    <w:rsid w:val="007E4CDD"/>
    <w:rsid w:val="007E4DC0"/>
    <w:rsid w:val="007E4EB4"/>
    <w:rsid w:val="007E5409"/>
    <w:rsid w:val="007E5462"/>
    <w:rsid w:val="007E5513"/>
    <w:rsid w:val="007E5651"/>
    <w:rsid w:val="007E585E"/>
    <w:rsid w:val="007E590A"/>
    <w:rsid w:val="007E5E10"/>
    <w:rsid w:val="007E617E"/>
    <w:rsid w:val="007E6325"/>
    <w:rsid w:val="007E6AB5"/>
    <w:rsid w:val="007E70C3"/>
    <w:rsid w:val="007E7B19"/>
    <w:rsid w:val="007E7BCD"/>
    <w:rsid w:val="007E7CAD"/>
    <w:rsid w:val="007F023F"/>
    <w:rsid w:val="007F0442"/>
    <w:rsid w:val="007F128F"/>
    <w:rsid w:val="007F174E"/>
    <w:rsid w:val="007F1797"/>
    <w:rsid w:val="007F1A13"/>
    <w:rsid w:val="007F1B52"/>
    <w:rsid w:val="007F1E3F"/>
    <w:rsid w:val="007F20FC"/>
    <w:rsid w:val="007F2488"/>
    <w:rsid w:val="007F298F"/>
    <w:rsid w:val="007F2A16"/>
    <w:rsid w:val="007F2B51"/>
    <w:rsid w:val="007F343F"/>
    <w:rsid w:val="007F3584"/>
    <w:rsid w:val="007F3AC1"/>
    <w:rsid w:val="007F3C6C"/>
    <w:rsid w:val="007F3F3A"/>
    <w:rsid w:val="007F3FE1"/>
    <w:rsid w:val="007F45DC"/>
    <w:rsid w:val="007F4801"/>
    <w:rsid w:val="007F4DE8"/>
    <w:rsid w:val="007F4F36"/>
    <w:rsid w:val="007F5064"/>
    <w:rsid w:val="007F53D8"/>
    <w:rsid w:val="007F5611"/>
    <w:rsid w:val="007F56B9"/>
    <w:rsid w:val="007F5B93"/>
    <w:rsid w:val="007F6424"/>
    <w:rsid w:val="007F6B9D"/>
    <w:rsid w:val="007F6E78"/>
    <w:rsid w:val="007F6EAA"/>
    <w:rsid w:val="007F715A"/>
    <w:rsid w:val="007F71A8"/>
    <w:rsid w:val="007F79B7"/>
    <w:rsid w:val="007F7BAC"/>
    <w:rsid w:val="00801470"/>
    <w:rsid w:val="00801851"/>
    <w:rsid w:val="00801958"/>
    <w:rsid w:val="00802DEB"/>
    <w:rsid w:val="00803963"/>
    <w:rsid w:val="00804169"/>
    <w:rsid w:val="0080461B"/>
    <w:rsid w:val="00804644"/>
    <w:rsid w:val="00804C19"/>
    <w:rsid w:val="00804E60"/>
    <w:rsid w:val="008050FD"/>
    <w:rsid w:val="008053EC"/>
    <w:rsid w:val="008058B3"/>
    <w:rsid w:val="00805EF8"/>
    <w:rsid w:val="00806098"/>
    <w:rsid w:val="008060BE"/>
    <w:rsid w:val="008061AC"/>
    <w:rsid w:val="0080629C"/>
    <w:rsid w:val="0080657A"/>
    <w:rsid w:val="0080671D"/>
    <w:rsid w:val="0080761F"/>
    <w:rsid w:val="00807677"/>
    <w:rsid w:val="008078C8"/>
    <w:rsid w:val="008079B4"/>
    <w:rsid w:val="0081030F"/>
    <w:rsid w:val="00810C26"/>
    <w:rsid w:val="00810E31"/>
    <w:rsid w:val="00810E39"/>
    <w:rsid w:val="0081166E"/>
    <w:rsid w:val="008116F9"/>
    <w:rsid w:val="00811756"/>
    <w:rsid w:val="00811B13"/>
    <w:rsid w:val="00811B23"/>
    <w:rsid w:val="00812AB1"/>
    <w:rsid w:val="00812D01"/>
    <w:rsid w:val="00812F46"/>
    <w:rsid w:val="00813600"/>
    <w:rsid w:val="00813FF9"/>
    <w:rsid w:val="008143BD"/>
    <w:rsid w:val="00814770"/>
    <w:rsid w:val="00814FD3"/>
    <w:rsid w:val="008150E9"/>
    <w:rsid w:val="00816C4E"/>
    <w:rsid w:val="00816DCC"/>
    <w:rsid w:val="0081747B"/>
    <w:rsid w:val="00817781"/>
    <w:rsid w:val="00820602"/>
    <w:rsid w:val="00820E3B"/>
    <w:rsid w:val="00820E88"/>
    <w:rsid w:val="00821089"/>
    <w:rsid w:val="008212CA"/>
    <w:rsid w:val="00821386"/>
    <w:rsid w:val="0082152E"/>
    <w:rsid w:val="008217FC"/>
    <w:rsid w:val="00821DDE"/>
    <w:rsid w:val="00822119"/>
    <w:rsid w:val="008221E4"/>
    <w:rsid w:val="00822556"/>
    <w:rsid w:val="008227FD"/>
    <w:rsid w:val="00822BE6"/>
    <w:rsid w:val="00822E88"/>
    <w:rsid w:val="008237D3"/>
    <w:rsid w:val="00823B21"/>
    <w:rsid w:val="00823B4A"/>
    <w:rsid w:val="00823E24"/>
    <w:rsid w:val="00823EBC"/>
    <w:rsid w:val="0082429E"/>
    <w:rsid w:val="008245A3"/>
    <w:rsid w:val="0082490B"/>
    <w:rsid w:val="00824B58"/>
    <w:rsid w:val="008253CB"/>
    <w:rsid w:val="00825581"/>
    <w:rsid w:val="0082573E"/>
    <w:rsid w:val="00826409"/>
    <w:rsid w:val="008268AB"/>
    <w:rsid w:val="008270D9"/>
    <w:rsid w:val="00827A48"/>
    <w:rsid w:val="00830AE9"/>
    <w:rsid w:val="00830EFE"/>
    <w:rsid w:val="00831324"/>
    <w:rsid w:val="0083132B"/>
    <w:rsid w:val="0083153A"/>
    <w:rsid w:val="00831830"/>
    <w:rsid w:val="00831F87"/>
    <w:rsid w:val="00832005"/>
    <w:rsid w:val="0083241A"/>
    <w:rsid w:val="00832427"/>
    <w:rsid w:val="00832A54"/>
    <w:rsid w:val="008331A3"/>
    <w:rsid w:val="008332BA"/>
    <w:rsid w:val="00833641"/>
    <w:rsid w:val="008337B5"/>
    <w:rsid w:val="0083382D"/>
    <w:rsid w:val="00833935"/>
    <w:rsid w:val="00833A95"/>
    <w:rsid w:val="008348A0"/>
    <w:rsid w:val="00834B67"/>
    <w:rsid w:val="0083506D"/>
    <w:rsid w:val="0083524E"/>
    <w:rsid w:val="00835A0D"/>
    <w:rsid w:val="00835A7B"/>
    <w:rsid w:val="00835B11"/>
    <w:rsid w:val="00835CBF"/>
    <w:rsid w:val="00835F70"/>
    <w:rsid w:val="00836279"/>
    <w:rsid w:val="008364A9"/>
    <w:rsid w:val="00836ECB"/>
    <w:rsid w:val="008376F6"/>
    <w:rsid w:val="00837837"/>
    <w:rsid w:val="0084017D"/>
    <w:rsid w:val="00840184"/>
    <w:rsid w:val="00841085"/>
    <w:rsid w:val="00841667"/>
    <w:rsid w:val="00841909"/>
    <w:rsid w:val="008419AF"/>
    <w:rsid w:val="00841ABA"/>
    <w:rsid w:val="00841C8D"/>
    <w:rsid w:val="00841DCE"/>
    <w:rsid w:val="00841FA8"/>
    <w:rsid w:val="008429DC"/>
    <w:rsid w:val="00842E80"/>
    <w:rsid w:val="008438C0"/>
    <w:rsid w:val="00843DB1"/>
    <w:rsid w:val="00843F8A"/>
    <w:rsid w:val="00844485"/>
    <w:rsid w:val="0084476A"/>
    <w:rsid w:val="008447CF"/>
    <w:rsid w:val="008453E4"/>
    <w:rsid w:val="008458A0"/>
    <w:rsid w:val="00845F52"/>
    <w:rsid w:val="00846CFF"/>
    <w:rsid w:val="00847690"/>
    <w:rsid w:val="00847710"/>
    <w:rsid w:val="0084787F"/>
    <w:rsid w:val="00847905"/>
    <w:rsid w:val="00850213"/>
    <w:rsid w:val="00850969"/>
    <w:rsid w:val="00851087"/>
    <w:rsid w:val="0085130D"/>
    <w:rsid w:val="00851F99"/>
    <w:rsid w:val="008528C0"/>
    <w:rsid w:val="00852C53"/>
    <w:rsid w:val="0085307D"/>
    <w:rsid w:val="00853BC7"/>
    <w:rsid w:val="00853DEE"/>
    <w:rsid w:val="0085400E"/>
    <w:rsid w:val="00854532"/>
    <w:rsid w:val="008557CD"/>
    <w:rsid w:val="00855835"/>
    <w:rsid w:val="00855A42"/>
    <w:rsid w:val="00855A4D"/>
    <w:rsid w:val="008564B2"/>
    <w:rsid w:val="00856669"/>
    <w:rsid w:val="008567E9"/>
    <w:rsid w:val="00856C5D"/>
    <w:rsid w:val="00856CED"/>
    <w:rsid w:val="00856F65"/>
    <w:rsid w:val="008571AC"/>
    <w:rsid w:val="0085722A"/>
    <w:rsid w:val="0085757E"/>
    <w:rsid w:val="008579CE"/>
    <w:rsid w:val="008579DB"/>
    <w:rsid w:val="00857B8D"/>
    <w:rsid w:val="00857C08"/>
    <w:rsid w:val="00857DC7"/>
    <w:rsid w:val="00857E14"/>
    <w:rsid w:val="0086079E"/>
    <w:rsid w:val="00860CC1"/>
    <w:rsid w:val="00861087"/>
    <w:rsid w:val="008617BF"/>
    <w:rsid w:val="00861A66"/>
    <w:rsid w:val="0086380A"/>
    <w:rsid w:val="0086383F"/>
    <w:rsid w:val="008639BF"/>
    <w:rsid w:val="00863B8A"/>
    <w:rsid w:val="00863BA1"/>
    <w:rsid w:val="00863D17"/>
    <w:rsid w:val="00864296"/>
    <w:rsid w:val="008646DF"/>
    <w:rsid w:val="00864E67"/>
    <w:rsid w:val="0086524E"/>
    <w:rsid w:val="00865AD8"/>
    <w:rsid w:val="0086616F"/>
    <w:rsid w:val="00866177"/>
    <w:rsid w:val="008669A7"/>
    <w:rsid w:val="0086753A"/>
    <w:rsid w:val="00867618"/>
    <w:rsid w:val="00867BE7"/>
    <w:rsid w:val="008709BA"/>
    <w:rsid w:val="00870D1C"/>
    <w:rsid w:val="008715B0"/>
    <w:rsid w:val="008717A5"/>
    <w:rsid w:val="008718B2"/>
    <w:rsid w:val="00871BDF"/>
    <w:rsid w:val="0087243F"/>
    <w:rsid w:val="008728CE"/>
    <w:rsid w:val="008728FE"/>
    <w:rsid w:val="0087291A"/>
    <w:rsid w:val="00873123"/>
    <w:rsid w:val="00874322"/>
    <w:rsid w:val="008744AB"/>
    <w:rsid w:val="008749D2"/>
    <w:rsid w:val="008752C0"/>
    <w:rsid w:val="008753CE"/>
    <w:rsid w:val="00875459"/>
    <w:rsid w:val="0087551E"/>
    <w:rsid w:val="008756F8"/>
    <w:rsid w:val="00875915"/>
    <w:rsid w:val="00876064"/>
    <w:rsid w:val="008760B9"/>
    <w:rsid w:val="00876107"/>
    <w:rsid w:val="008762EB"/>
    <w:rsid w:val="008775C2"/>
    <w:rsid w:val="008775DC"/>
    <w:rsid w:val="00877B32"/>
    <w:rsid w:val="00877FA9"/>
    <w:rsid w:val="00877FD5"/>
    <w:rsid w:val="00880407"/>
    <w:rsid w:val="00880617"/>
    <w:rsid w:val="00880AC2"/>
    <w:rsid w:val="008811EC"/>
    <w:rsid w:val="008812D2"/>
    <w:rsid w:val="00881630"/>
    <w:rsid w:val="00881AE7"/>
    <w:rsid w:val="00882B9A"/>
    <w:rsid w:val="00882C1F"/>
    <w:rsid w:val="00883606"/>
    <w:rsid w:val="00883F19"/>
    <w:rsid w:val="008846E6"/>
    <w:rsid w:val="008852BA"/>
    <w:rsid w:val="0088563A"/>
    <w:rsid w:val="00885781"/>
    <w:rsid w:val="008859FA"/>
    <w:rsid w:val="00885C97"/>
    <w:rsid w:val="00886273"/>
    <w:rsid w:val="0088628F"/>
    <w:rsid w:val="00886565"/>
    <w:rsid w:val="00886862"/>
    <w:rsid w:val="00887549"/>
    <w:rsid w:val="00887CAA"/>
    <w:rsid w:val="0089006E"/>
    <w:rsid w:val="00890266"/>
    <w:rsid w:val="008906C0"/>
    <w:rsid w:val="0089171C"/>
    <w:rsid w:val="00891A1D"/>
    <w:rsid w:val="00891BB4"/>
    <w:rsid w:val="00891C9C"/>
    <w:rsid w:val="00891CE1"/>
    <w:rsid w:val="00891E50"/>
    <w:rsid w:val="00891EC8"/>
    <w:rsid w:val="00892A5C"/>
    <w:rsid w:val="00892A7A"/>
    <w:rsid w:val="00892B43"/>
    <w:rsid w:val="00892C83"/>
    <w:rsid w:val="00892E18"/>
    <w:rsid w:val="00892F8E"/>
    <w:rsid w:val="00892FB7"/>
    <w:rsid w:val="008938A3"/>
    <w:rsid w:val="00893B66"/>
    <w:rsid w:val="008944A7"/>
    <w:rsid w:val="00894794"/>
    <w:rsid w:val="00894F6C"/>
    <w:rsid w:val="00895389"/>
    <w:rsid w:val="008955C7"/>
    <w:rsid w:val="00895A47"/>
    <w:rsid w:val="00895EA3"/>
    <w:rsid w:val="0089617E"/>
    <w:rsid w:val="00896982"/>
    <w:rsid w:val="008977D3"/>
    <w:rsid w:val="008A00F1"/>
    <w:rsid w:val="008A010F"/>
    <w:rsid w:val="008A02D0"/>
    <w:rsid w:val="008A038F"/>
    <w:rsid w:val="008A0475"/>
    <w:rsid w:val="008A083A"/>
    <w:rsid w:val="008A0876"/>
    <w:rsid w:val="008A09D4"/>
    <w:rsid w:val="008A157F"/>
    <w:rsid w:val="008A19E4"/>
    <w:rsid w:val="008A1D03"/>
    <w:rsid w:val="008A1EC0"/>
    <w:rsid w:val="008A22BF"/>
    <w:rsid w:val="008A2319"/>
    <w:rsid w:val="008A23BA"/>
    <w:rsid w:val="008A2F42"/>
    <w:rsid w:val="008A3AA3"/>
    <w:rsid w:val="008A3C86"/>
    <w:rsid w:val="008A43DE"/>
    <w:rsid w:val="008A452D"/>
    <w:rsid w:val="008A4F87"/>
    <w:rsid w:val="008A661B"/>
    <w:rsid w:val="008A683B"/>
    <w:rsid w:val="008A6B40"/>
    <w:rsid w:val="008A6F24"/>
    <w:rsid w:val="008A70F1"/>
    <w:rsid w:val="008A719A"/>
    <w:rsid w:val="008A7525"/>
    <w:rsid w:val="008A768F"/>
    <w:rsid w:val="008A7704"/>
    <w:rsid w:val="008A7A91"/>
    <w:rsid w:val="008A7C98"/>
    <w:rsid w:val="008B0148"/>
    <w:rsid w:val="008B0310"/>
    <w:rsid w:val="008B0ABE"/>
    <w:rsid w:val="008B0F4B"/>
    <w:rsid w:val="008B15BF"/>
    <w:rsid w:val="008B177F"/>
    <w:rsid w:val="008B1A5E"/>
    <w:rsid w:val="008B1CC4"/>
    <w:rsid w:val="008B27FC"/>
    <w:rsid w:val="008B2871"/>
    <w:rsid w:val="008B2918"/>
    <w:rsid w:val="008B2A0E"/>
    <w:rsid w:val="008B3009"/>
    <w:rsid w:val="008B3097"/>
    <w:rsid w:val="008B33D5"/>
    <w:rsid w:val="008B34D8"/>
    <w:rsid w:val="008B3860"/>
    <w:rsid w:val="008B3A5A"/>
    <w:rsid w:val="008B3D3E"/>
    <w:rsid w:val="008B3D48"/>
    <w:rsid w:val="008B3DD3"/>
    <w:rsid w:val="008B3F99"/>
    <w:rsid w:val="008B448A"/>
    <w:rsid w:val="008B4614"/>
    <w:rsid w:val="008B4715"/>
    <w:rsid w:val="008B4783"/>
    <w:rsid w:val="008B4AC1"/>
    <w:rsid w:val="008B4C50"/>
    <w:rsid w:val="008B5193"/>
    <w:rsid w:val="008B549E"/>
    <w:rsid w:val="008B54C8"/>
    <w:rsid w:val="008B59E6"/>
    <w:rsid w:val="008B5B53"/>
    <w:rsid w:val="008B5D46"/>
    <w:rsid w:val="008B60EE"/>
    <w:rsid w:val="008B667C"/>
    <w:rsid w:val="008B70DB"/>
    <w:rsid w:val="008B7916"/>
    <w:rsid w:val="008B7C78"/>
    <w:rsid w:val="008C0054"/>
    <w:rsid w:val="008C18E7"/>
    <w:rsid w:val="008C1988"/>
    <w:rsid w:val="008C1BFE"/>
    <w:rsid w:val="008C1C84"/>
    <w:rsid w:val="008C204C"/>
    <w:rsid w:val="008C3600"/>
    <w:rsid w:val="008C45E8"/>
    <w:rsid w:val="008C46DC"/>
    <w:rsid w:val="008C495D"/>
    <w:rsid w:val="008C4A75"/>
    <w:rsid w:val="008C4FB5"/>
    <w:rsid w:val="008C5385"/>
    <w:rsid w:val="008C54EA"/>
    <w:rsid w:val="008C56C4"/>
    <w:rsid w:val="008C59C9"/>
    <w:rsid w:val="008C5BFE"/>
    <w:rsid w:val="008C5DAB"/>
    <w:rsid w:val="008C5DF2"/>
    <w:rsid w:val="008C61E9"/>
    <w:rsid w:val="008C62C2"/>
    <w:rsid w:val="008C6367"/>
    <w:rsid w:val="008C658B"/>
    <w:rsid w:val="008C6AFE"/>
    <w:rsid w:val="008C6B33"/>
    <w:rsid w:val="008C762F"/>
    <w:rsid w:val="008C77A8"/>
    <w:rsid w:val="008C7961"/>
    <w:rsid w:val="008C7DF3"/>
    <w:rsid w:val="008D0466"/>
    <w:rsid w:val="008D0E66"/>
    <w:rsid w:val="008D13DD"/>
    <w:rsid w:val="008D15EA"/>
    <w:rsid w:val="008D25D5"/>
    <w:rsid w:val="008D334B"/>
    <w:rsid w:val="008D346D"/>
    <w:rsid w:val="008D3B02"/>
    <w:rsid w:val="008D3BBC"/>
    <w:rsid w:val="008D3CF1"/>
    <w:rsid w:val="008D3D01"/>
    <w:rsid w:val="008D4AE5"/>
    <w:rsid w:val="008D4AEC"/>
    <w:rsid w:val="008D51D3"/>
    <w:rsid w:val="008D5443"/>
    <w:rsid w:val="008D54DF"/>
    <w:rsid w:val="008D5707"/>
    <w:rsid w:val="008D5D65"/>
    <w:rsid w:val="008D5E61"/>
    <w:rsid w:val="008D6018"/>
    <w:rsid w:val="008D6F1A"/>
    <w:rsid w:val="008D7069"/>
    <w:rsid w:val="008D71C5"/>
    <w:rsid w:val="008D72A4"/>
    <w:rsid w:val="008D789A"/>
    <w:rsid w:val="008E095B"/>
    <w:rsid w:val="008E10BB"/>
    <w:rsid w:val="008E1106"/>
    <w:rsid w:val="008E138E"/>
    <w:rsid w:val="008E178F"/>
    <w:rsid w:val="008E19A0"/>
    <w:rsid w:val="008E1EAC"/>
    <w:rsid w:val="008E21F1"/>
    <w:rsid w:val="008E22A0"/>
    <w:rsid w:val="008E275C"/>
    <w:rsid w:val="008E2A30"/>
    <w:rsid w:val="008E2AF1"/>
    <w:rsid w:val="008E3181"/>
    <w:rsid w:val="008E3425"/>
    <w:rsid w:val="008E354A"/>
    <w:rsid w:val="008E3765"/>
    <w:rsid w:val="008E3951"/>
    <w:rsid w:val="008E3BDD"/>
    <w:rsid w:val="008E428B"/>
    <w:rsid w:val="008E4399"/>
    <w:rsid w:val="008E4E4F"/>
    <w:rsid w:val="008E54DA"/>
    <w:rsid w:val="008E55AE"/>
    <w:rsid w:val="008E5661"/>
    <w:rsid w:val="008E6349"/>
    <w:rsid w:val="008E66B4"/>
    <w:rsid w:val="008E67C3"/>
    <w:rsid w:val="008E67D5"/>
    <w:rsid w:val="008E73AE"/>
    <w:rsid w:val="008E73DF"/>
    <w:rsid w:val="008E73F4"/>
    <w:rsid w:val="008E7A9D"/>
    <w:rsid w:val="008E7AD8"/>
    <w:rsid w:val="008F0063"/>
    <w:rsid w:val="008F024B"/>
    <w:rsid w:val="008F0666"/>
    <w:rsid w:val="008F07E7"/>
    <w:rsid w:val="008F0825"/>
    <w:rsid w:val="008F091C"/>
    <w:rsid w:val="008F0BE2"/>
    <w:rsid w:val="008F0C45"/>
    <w:rsid w:val="008F0CAF"/>
    <w:rsid w:val="008F1C1D"/>
    <w:rsid w:val="008F1D51"/>
    <w:rsid w:val="008F207C"/>
    <w:rsid w:val="008F219F"/>
    <w:rsid w:val="008F278E"/>
    <w:rsid w:val="008F2C53"/>
    <w:rsid w:val="008F3818"/>
    <w:rsid w:val="008F38C9"/>
    <w:rsid w:val="008F39AB"/>
    <w:rsid w:val="008F3AA2"/>
    <w:rsid w:val="008F3F25"/>
    <w:rsid w:val="008F4C2F"/>
    <w:rsid w:val="008F4F4C"/>
    <w:rsid w:val="008F5020"/>
    <w:rsid w:val="008F54F1"/>
    <w:rsid w:val="008F560F"/>
    <w:rsid w:val="008F5F8D"/>
    <w:rsid w:val="008F6BDB"/>
    <w:rsid w:val="008F747D"/>
    <w:rsid w:val="008F78D7"/>
    <w:rsid w:val="008F79EB"/>
    <w:rsid w:val="008F7FB1"/>
    <w:rsid w:val="008F7FBE"/>
    <w:rsid w:val="00900822"/>
    <w:rsid w:val="0090098F"/>
    <w:rsid w:val="00900DA0"/>
    <w:rsid w:val="00900F0C"/>
    <w:rsid w:val="009017A6"/>
    <w:rsid w:val="009018C0"/>
    <w:rsid w:val="0090231E"/>
    <w:rsid w:val="00902D27"/>
    <w:rsid w:val="00902E61"/>
    <w:rsid w:val="00902F64"/>
    <w:rsid w:val="0090337B"/>
    <w:rsid w:val="009036DF"/>
    <w:rsid w:val="00903E00"/>
    <w:rsid w:val="00903EA4"/>
    <w:rsid w:val="0090439E"/>
    <w:rsid w:val="00904480"/>
    <w:rsid w:val="00904ADB"/>
    <w:rsid w:val="00905AFF"/>
    <w:rsid w:val="00905B5F"/>
    <w:rsid w:val="00905BD5"/>
    <w:rsid w:val="009067EF"/>
    <w:rsid w:val="00906CAC"/>
    <w:rsid w:val="0090743D"/>
    <w:rsid w:val="009076EA"/>
    <w:rsid w:val="00910C9F"/>
    <w:rsid w:val="00910E8B"/>
    <w:rsid w:val="0091159B"/>
    <w:rsid w:val="009124C9"/>
    <w:rsid w:val="0091285A"/>
    <w:rsid w:val="009128E6"/>
    <w:rsid w:val="00912B11"/>
    <w:rsid w:val="00912C01"/>
    <w:rsid w:val="00912CCB"/>
    <w:rsid w:val="00912F49"/>
    <w:rsid w:val="00912FDA"/>
    <w:rsid w:val="009132BB"/>
    <w:rsid w:val="00913544"/>
    <w:rsid w:val="00913DFC"/>
    <w:rsid w:val="0091440F"/>
    <w:rsid w:val="009144E2"/>
    <w:rsid w:val="00914839"/>
    <w:rsid w:val="0091487A"/>
    <w:rsid w:val="00914956"/>
    <w:rsid w:val="00914CD2"/>
    <w:rsid w:val="00914FC1"/>
    <w:rsid w:val="009153C1"/>
    <w:rsid w:val="00915703"/>
    <w:rsid w:val="00915FB5"/>
    <w:rsid w:val="0091615C"/>
    <w:rsid w:val="00916502"/>
    <w:rsid w:val="00916711"/>
    <w:rsid w:val="00916739"/>
    <w:rsid w:val="00916A0C"/>
    <w:rsid w:val="00916C4F"/>
    <w:rsid w:val="00916DFE"/>
    <w:rsid w:val="0091734F"/>
    <w:rsid w:val="0091771A"/>
    <w:rsid w:val="00917A70"/>
    <w:rsid w:val="00917CE9"/>
    <w:rsid w:val="009209D5"/>
    <w:rsid w:val="00920AA5"/>
    <w:rsid w:val="009214D5"/>
    <w:rsid w:val="009214E7"/>
    <w:rsid w:val="00921A63"/>
    <w:rsid w:val="00921B35"/>
    <w:rsid w:val="00921CC0"/>
    <w:rsid w:val="00921F1B"/>
    <w:rsid w:val="009225B7"/>
    <w:rsid w:val="009230D2"/>
    <w:rsid w:val="009231C2"/>
    <w:rsid w:val="00923838"/>
    <w:rsid w:val="00923839"/>
    <w:rsid w:val="00923C56"/>
    <w:rsid w:val="00923D9A"/>
    <w:rsid w:val="00923DF6"/>
    <w:rsid w:val="00923F70"/>
    <w:rsid w:val="0092485E"/>
    <w:rsid w:val="00924A82"/>
    <w:rsid w:val="00924AFA"/>
    <w:rsid w:val="00925297"/>
    <w:rsid w:val="00925BCC"/>
    <w:rsid w:val="00925D48"/>
    <w:rsid w:val="00925F4F"/>
    <w:rsid w:val="00926309"/>
    <w:rsid w:val="009265BB"/>
    <w:rsid w:val="00926649"/>
    <w:rsid w:val="00926B13"/>
    <w:rsid w:val="00926CB3"/>
    <w:rsid w:val="00926D0E"/>
    <w:rsid w:val="0092718E"/>
    <w:rsid w:val="009279DF"/>
    <w:rsid w:val="00930749"/>
    <w:rsid w:val="00931119"/>
    <w:rsid w:val="009311E5"/>
    <w:rsid w:val="009315E4"/>
    <w:rsid w:val="00931C1D"/>
    <w:rsid w:val="0093217B"/>
    <w:rsid w:val="0093233A"/>
    <w:rsid w:val="00932879"/>
    <w:rsid w:val="009329BF"/>
    <w:rsid w:val="00933166"/>
    <w:rsid w:val="009331F8"/>
    <w:rsid w:val="0093326D"/>
    <w:rsid w:val="009336A1"/>
    <w:rsid w:val="00933F31"/>
    <w:rsid w:val="00934148"/>
    <w:rsid w:val="00934822"/>
    <w:rsid w:val="00934A1B"/>
    <w:rsid w:val="0093532D"/>
    <w:rsid w:val="0093538D"/>
    <w:rsid w:val="0093569A"/>
    <w:rsid w:val="00936174"/>
    <w:rsid w:val="0093664A"/>
    <w:rsid w:val="00936745"/>
    <w:rsid w:val="00936995"/>
    <w:rsid w:val="00936999"/>
    <w:rsid w:val="00936AE6"/>
    <w:rsid w:val="00936F6B"/>
    <w:rsid w:val="00937076"/>
    <w:rsid w:val="00937D05"/>
    <w:rsid w:val="00937DD5"/>
    <w:rsid w:val="009405DC"/>
    <w:rsid w:val="00940B6B"/>
    <w:rsid w:val="00940EF1"/>
    <w:rsid w:val="0094182C"/>
    <w:rsid w:val="00941A63"/>
    <w:rsid w:val="00941ACC"/>
    <w:rsid w:val="00941F74"/>
    <w:rsid w:val="00942014"/>
    <w:rsid w:val="00942168"/>
    <w:rsid w:val="00942299"/>
    <w:rsid w:val="00942348"/>
    <w:rsid w:val="0094243F"/>
    <w:rsid w:val="0094247C"/>
    <w:rsid w:val="009425DD"/>
    <w:rsid w:val="00942D3A"/>
    <w:rsid w:val="00943019"/>
    <w:rsid w:val="0094327D"/>
    <w:rsid w:val="00943508"/>
    <w:rsid w:val="0094389E"/>
    <w:rsid w:val="009439E0"/>
    <w:rsid w:val="00943C50"/>
    <w:rsid w:val="009444ED"/>
    <w:rsid w:val="00944917"/>
    <w:rsid w:val="00944CB7"/>
    <w:rsid w:val="00944E0A"/>
    <w:rsid w:val="009450B5"/>
    <w:rsid w:val="0094541A"/>
    <w:rsid w:val="009458D5"/>
    <w:rsid w:val="00945967"/>
    <w:rsid w:val="0094665E"/>
    <w:rsid w:val="00946905"/>
    <w:rsid w:val="00946981"/>
    <w:rsid w:val="00946BB5"/>
    <w:rsid w:val="009470ED"/>
    <w:rsid w:val="00947AF8"/>
    <w:rsid w:val="00947CFD"/>
    <w:rsid w:val="0095043E"/>
    <w:rsid w:val="00950794"/>
    <w:rsid w:val="009508E1"/>
    <w:rsid w:val="009508F9"/>
    <w:rsid w:val="00950BA3"/>
    <w:rsid w:val="00950EA1"/>
    <w:rsid w:val="00950EE1"/>
    <w:rsid w:val="00951377"/>
    <w:rsid w:val="0095162C"/>
    <w:rsid w:val="009519F2"/>
    <w:rsid w:val="00951D90"/>
    <w:rsid w:val="009521C9"/>
    <w:rsid w:val="00952A24"/>
    <w:rsid w:val="00952C8B"/>
    <w:rsid w:val="00952CCE"/>
    <w:rsid w:val="00952D56"/>
    <w:rsid w:val="00952F22"/>
    <w:rsid w:val="00953037"/>
    <w:rsid w:val="00953AA8"/>
    <w:rsid w:val="00953DC5"/>
    <w:rsid w:val="009540EA"/>
    <w:rsid w:val="00954B0E"/>
    <w:rsid w:val="00954ECE"/>
    <w:rsid w:val="00955496"/>
    <w:rsid w:val="009558FA"/>
    <w:rsid w:val="00955A2A"/>
    <w:rsid w:val="00955D18"/>
    <w:rsid w:val="00956063"/>
    <w:rsid w:val="00956210"/>
    <w:rsid w:val="00956E71"/>
    <w:rsid w:val="00957047"/>
    <w:rsid w:val="00957192"/>
    <w:rsid w:val="009574A1"/>
    <w:rsid w:val="00957973"/>
    <w:rsid w:val="0096045A"/>
    <w:rsid w:val="00960865"/>
    <w:rsid w:val="00960AFC"/>
    <w:rsid w:val="009610A8"/>
    <w:rsid w:val="0096147A"/>
    <w:rsid w:val="00961595"/>
    <w:rsid w:val="00962274"/>
    <w:rsid w:val="00962C49"/>
    <w:rsid w:val="00962CDE"/>
    <w:rsid w:val="00962D15"/>
    <w:rsid w:val="00963126"/>
    <w:rsid w:val="0096390D"/>
    <w:rsid w:val="0096427B"/>
    <w:rsid w:val="009650DB"/>
    <w:rsid w:val="009654F7"/>
    <w:rsid w:val="009656D5"/>
    <w:rsid w:val="00965A2D"/>
    <w:rsid w:val="0096603E"/>
    <w:rsid w:val="009662C3"/>
    <w:rsid w:val="009663C9"/>
    <w:rsid w:val="00966F04"/>
    <w:rsid w:val="009672DB"/>
    <w:rsid w:val="0096752C"/>
    <w:rsid w:val="009675A0"/>
    <w:rsid w:val="0096779C"/>
    <w:rsid w:val="009700D4"/>
    <w:rsid w:val="009707D0"/>
    <w:rsid w:val="00970D7D"/>
    <w:rsid w:val="00970DA1"/>
    <w:rsid w:val="0097173C"/>
    <w:rsid w:val="00971960"/>
    <w:rsid w:val="00971B0E"/>
    <w:rsid w:val="00971C20"/>
    <w:rsid w:val="00971ECA"/>
    <w:rsid w:val="009721FE"/>
    <w:rsid w:val="00972460"/>
    <w:rsid w:val="0097255B"/>
    <w:rsid w:val="00972683"/>
    <w:rsid w:val="00972A3D"/>
    <w:rsid w:val="009733A5"/>
    <w:rsid w:val="00973731"/>
    <w:rsid w:val="00973930"/>
    <w:rsid w:val="00974447"/>
    <w:rsid w:val="00974801"/>
    <w:rsid w:val="0097490E"/>
    <w:rsid w:val="00974C70"/>
    <w:rsid w:val="00975277"/>
    <w:rsid w:val="00975BF2"/>
    <w:rsid w:val="00975CFA"/>
    <w:rsid w:val="00976243"/>
    <w:rsid w:val="009766FD"/>
    <w:rsid w:val="00976BEB"/>
    <w:rsid w:val="00976C12"/>
    <w:rsid w:val="009777AC"/>
    <w:rsid w:val="00977B46"/>
    <w:rsid w:val="00977C9B"/>
    <w:rsid w:val="00980D45"/>
    <w:rsid w:val="009813ED"/>
    <w:rsid w:val="009817E8"/>
    <w:rsid w:val="00981D2C"/>
    <w:rsid w:val="00981DF9"/>
    <w:rsid w:val="00981F2E"/>
    <w:rsid w:val="0098225D"/>
    <w:rsid w:val="0098301B"/>
    <w:rsid w:val="009830B9"/>
    <w:rsid w:val="0098315E"/>
    <w:rsid w:val="0098318C"/>
    <w:rsid w:val="009833AB"/>
    <w:rsid w:val="00983AB5"/>
    <w:rsid w:val="00983E90"/>
    <w:rsid w:val="00984431"/>
    <w:rsid w:val="00984680"/>
    <w:rsid w:val="009848EA"/>
    <w:rsid w:val="00984A0C"/>
    <w:rsid w:val="00984AB8"/>
    <w:rsid w:val="00984C24"/>
    <w:rsid w:val="00984D26"/>
    <w:rsid w:val="0098508D"/>
    <w:rsid w:val="009850D8"/>
    <w:rsid w:val="00985105"/>
    <w:rsid w:val="00985D0A"/>
    <w:rsid w:val="009866D2"/>
    <w:rsid w:val="00986701"/>
    <w:rsid w:val="009868BB"/>
    <w:rsid w:val="00986A33"/>
    <w:rsid w:val="00986AA9"/>
    <w:rsid w:val="00986F3C"/>
    <w:rsid w:val="009872B4"/>
    <w:rsid w:val="0098746B"/>
    <w:rsid w:val="00987553"/>
    <w:rsid w:val="009875A5"/>
    <w:rsid w:val="009876AA"/>
    <w:rsid w:val="00987871"/>
    <w:rsid w:val="00987DF9"/>
    <w:rsid w:val="00987EFC"/>
    <w:rsid w:val="009907D4"/>
    <w:rsid w:val="00990AE5"/>
    <w:rsid w:val="00990D3B"/>
    <w:rsid w:val="009911C5"/>
    <w:rsid w:val="00991453"/>
    <w:rsid w:val="0099186F"/>
    <w:rsid w:val="00991CA1"/>
    <w:rsid w:val="00991D25"/>
    <w:rsid w:val="00991FE9"/>
    <w:rsid w:val="00992318"/>
    <w:rsid w:val="009926C8"/>
    <w:rsid w:val="0099297A"/>
    <w:rsid w:val="00992A7A"/>
    <w:rsid w:val="00992B76"/>
    <w:rsid w:val="00992BCD"/>
    <w:rsid w:val="00993188"/>
    <w:rsid w:val="009931AA"/>
    <w:rsid w:val="009931BA"/>
    <w:rsid w:val="009939B9"/>
    <w:rsid w:val="00993C84"/>
    <w:rsid w:val="009942A9"/>
    <w:rsid w:val="0099473F"/>
    <w:rsid w:val="00994A1C"/>
    <w:rsid w:val="00994EA2"/>
    <w:rsid w:val="00995041"/>
    <w:rsid w:val="00995573"/>
    <w:rsid w:val="00995D46"/>
    <w:rsid w:val="00996E0D"/>
    <w:rsid w:val="00996F1A"/>
    <w:rsid w:val="009974FF"/>
    <w:rsid w:val="00997643"/>
    <w:rsid w:val="00997A8E"/>
    <w:rsid w:val="00997BB1"/>
    <w:rsid w:val="009A03C3"/>
    <w:rsid w:val="009A0452"/>
    <w:rsid w:val="009A0519"/>
    <w:rsid w:val="009A05FE"/>
    <w:rsid w:val="009A0740"/>
    <w:rsid w:val="009A080C"/>
    <w:rsid w:val="009A19BF"/>
    <w:rsid w:val="009A1AE1"/>
    <w:rsid w:val="009A209F"/>
    <w:rsid w:val="009A246D"/>
    <w:rsid w:val="009A2DF7"/>
    <w:rsid w:val="009A3000"/>
    <w:rsid w:val="009A3123"/>
    <w:rsid w:val="009A34EB"/>
    <w:rsid w:val="009A3DAB"/>
    <w:rsid w:val="009A3ED9"/>
    <w:rsid w:val="009A4054"/>
    <w:rsid w:val="009A4060"/>
    <w:rsid w:val="009A45E8"/>
    <w:rsid w:val="009A4776"/>
    <w:rsid w:val="009A48AD"/>
    <w:rsid w:val="009A4AF7"/>
    <w:rsid w:val="009A4CDD"/>
    <w:rsid w:val="009A4D54"/>
    <w:rsid w:val="009A4DF0"/>
    <w:rsid w:val="009A4ECC"/>
    <w:rsid w:val="009A5367"/>
    <w:rsid w:val="009A5A9C"/>
    <w:rsid w:val="009A5F4E"/>
    <w:rsid w:val="009A662C"/>
    <w:rsid w:val="009A66FF"/>
    <w:rsid w:val="009A6C92"/>
    <w:rsid w:val="009A7089"/>
    <w:rsid w:val="009A755C"/>
    <w:rsid w:val="009B00F5"/>
    <w:rsid w:val="009B09D2"/>
    <w:rsid w:val="009B0ED8"/>
    <w:rsid w:val="009B10EF"/>
    <w:rsid w:val="009B1266"/>
    <w:rsid w:val="009B15C7"/>
    <w:rsid w:val="009B1671"/>
    <w:rsid w:val="009B1B09"/>
    <w:rsid w:val="009B20A6"/>
    <w:rsid w:val="009B2281"/>
    <w:rsid w:val="009B2D2D"/>
    <w:rsid w:val="009B319D"/>
    <w:rsid w:val="009B3208"/>
    <w:rsid w:val="009B3235"/>
    <w:rsid w:val="009B3342"/>
    <w:rsid w:val="009B37E4"/>
    <w:rsid w:val="009B3B7D"/>
    <w:rsid w:val="009B3B7F"/>
    <w:rsid w:val="009B3EB2"/>
    <w:rsid w:val="009B3F46"/>
    <w:rsid w:val="009B4415"/>
    <w:rsid w:val="009B4E70"/>
    <w:rsid w:val="009B4F1C"/>
    <w:rsid w:val="009B529B"/>
    <w:rsid w:val="009B5823"/>
    <w:rsid w:val="009B5932"/>
    <w:rsid w:val="009B5B70"/>
    <w:rsid w:val="009B5D37"/>
    <w:rsid w:val="009B6140"/>
    <w:rsid w:val="009B6791"/>
    <w:rsid w:val="009B6960"/>
    <w:rsid w:val="009B6A14"/>
    <w:rsid w:val="009B7E8D"/>
    <w:rsid w:val="009C08C1"/>
    <w:rsid w:val="009C0C10"/>
    <w:rsid w:val="009C0C11"/>
    <w:rsid w:val="009C0D4E"/>
    <w:rsid w:val="009C12FD"/>
    <w:rsid w:val="009C135F"/>
    <w:rsid w:val="009C154C"/>
    <w:rsid w:val="009C159B"/>
    <w:rsid w:val="009C16E6"/>
    <w:rsid w:val="009C199C"/>
    <w:rsid w:val="009C1D9C"/>
    <w:rsid w:val="009C241D"/>
    <w:rsid w:val="009C2D81"/>
    <w:rsid w:val="009C3594"/>
    <w:rsid w:val="009C365D"/>
    <w:rsid w:val="009C3CA2"/>
    <w:rsid w:val="009C3CE4"/>
    <w:rsid w:val="009C4254"/>
    <w:rsid w:val="009C4865"/>
    <w:rsid w:val="009C4D64"/>
    <w:rsid w:val="009C58AB"/>
    <w:rsid w:val="009C5C9F"/>
    <w:rsid w:val="009C607A"/>
    <w:rsid w:val="009C6351"/>
    <w:rsid w:val="009C7097"/>
    <w:rsid w:val="009C73A0"/>
    <w:rsid w:val="009C76FF"/>
    <w:rsid w:val="009C7804"/>
    <w:rsid w:val="009C7DC8"/>
    <w:rsid w:val="009D0209"/>
    <w:rsid w:val="009D0481"/>
    <w:rsid w:val="009D068D"/>
    <w:rsid w:val="009D080B"/>
    <w:rsid w:val="009D0FBE"/>
    <w:rsid w:val="009D11F9"/>
    <w:rsid w:val="009D12A0"/>
    <w:rsid w:val="009D15C9"/>
    <w:rsid w:val="009D1B5D"/>
    <w:rsid w:val="009D1FA0"/>
    <w:rsid w:val="009D203D"/>
    <w:rsid w:val="009D2447"/>
    <w:rsid w:val="009D2551"/>
    <w:rsid w:val="009D2816"/>
    <w:rsid w:val="009D2CE1"/>
    <w:rsid w:val="009D2E53"/>
    <w:rsid w:val="009D3478"/>
    <w:rsid w:val="009D3684"/>
    <w:rsid w:val="009D4C51"/>
    <w:rsid w:val="009D4EF0"/>
    <w:rsid w:val="009D514A"/>
    <w:rsid w:val="009D52C5"/>
    <w:rsid w:val="009D52CD"/>
    <w:rsid w:val="009D61E9"/>
    <w:rsid w:val="009D6B5B"/>
    <w:rsid w:val="009D6FF8"/>
    <w:rsid w:val="009D781A"/>
    <w:rsid w:val="009D7CB5"/>
    <w:rsid w:val="009D7F73"/>
    <w:rsid w:val="009E054B"/>
    <w:rsid w:val="009E07DC"/>
    <w:rsid w:val="009E0CD2"/>
    <w:rsid w:val="009E0EA8"/>
    <w:rsid w:val="009E1037"/>
    <w:rsid w:val="009E1186"/>
    <w:rsid w:val="009E12ED"/>
    <w:rsid w:val="009E1398"/>
    <w:rsid w:val="009E29DF"/>
    <w:rsid w:val="009E2A8E"/>
    <w:rsid w:val="009E2B06"/>
    <w:rsid w:val="009E2F88"/>
    <w:rsid w:val="009E3003"/>
    <w:rsid w:val="009E3295"/>
    <w:rsid w:val="009E34A5"/>
    <w:rsid w:val="009E3E86"/>
    <w:rsid w:val="009E3F29"/>
    <w:rsid w:val="009E463E"/>
    <w:rsid w:val="009E47D5"/>
    <w:rsid w:val="009E4BF0"/>
    <w:rsid w:val="009E527A"/>
    <w:rsid w:val="009E5690"/>
    <w:rsid w:val="009E61A1"/>
    <w:rsid w:val="009E6488"/>
    <w:rsid w:val="009E69E6"/>
    <w:rsid w:val="009E69F0"/>
    <w:rsid w:val="009E73A3"/>
    <w:rsid w:val="009E742D"/>
    <w:rsid w:val="009E7C78"/>
    <w:rsid w:val="009F02A8"/>
    <w:rsid w:val="009F0467"/>
    <w:rsid w:val="009F0600"/>
    <w:rsid w:val="009F0BAA"/>
    <w:rsid w:val="009F0C46"/>
    <w:rsid w:val="009F111E"/>
    <w:rsid w:val="009F154D"/>
    <w:rsid w:val="009F17D0"/>
    <w:rsid w:val="009F232C"/>
    <w:rsid w:val="009F2CF7"/>
    <w:rsid w:val="009F31B1"/>
    <w:rsid w:val="009F3231"/>
    <w:rsid w:val="009F3A26"/>
    <w:rsid w:val="009F3E54"/>
    <w:rsid w:val="009F3ED7"/>
    <w:rsid w:val="009F424E"/>
    <w:rsid w:val="009F4361"/>
    <w:rsid w:val="009F4740"/>
    <w:rsid w:val="009F499A"/>
    <w:rsid w:val="009F4B6D"/>
    <w:rsid w:val="009F4F47"/>
    <w:rsid w:val="009F4F9A"/>
    <w:rsid w:val="009F5323"/>
    <w:rsid w:val="009F53CE"/>
    <w:rsid w:val="009F5B9C"/>
    <w:rsid w:val="009F5DD6"/>
    <w:rsid w:val="009F5FB8"/>
    <w:rsid w:val="009F61BD"/>
    <w:rsid w:val="009F646E"/>
    <w:rsid w:val="009F649A"/>
    <w:rsid w:val="009F66DE"/>
    <w:rsid w:val="009F6BB7"/>
    <w:rsid w:val="009F6EDF"/>
    <w:rsid w:val="009F6F10"/>
    <w:rsid w:val="009F7082"/>
    <w:rsid w:val="009F768B"/>
    <w:rsid w:val="009F778B"/>
    <w:rsid w:val="00A000BF"/>
    <w:rsid w:val="00A004A7"/>
    <w:rsid w:val="00A01ADB"/>
    <w:rsid w:val="00A021DC"/>
    <w:rsid w:val="00A025CF"/>
    <w:rsid w:val="00A02B34"/>
    <w:rsid w:val="00A03809"/>
    <w:rsid w:val="00A03A10"/>
    <w:rsid w:val="00A03BF7"/>
    <w:rsid w:val="00A040F9"/>
    <w:rsid w:val="00A04567"/>
    <w:rsid w:val="00A045BE"/>
    <w:rsid w:val="00A04796"/>
    <w:rsid w:val="00A047F3"/>
    <w:rsid w:val="00A0487D"/>
    <w:rsid w:val="00A04976"/>
    <w:rsid w:val="00A04A01"/>
    <w:rsid w:val="00A04A3B"/>
    <w:rsid w:val="00A056FB"/>
    <w:rsid w:val="00A05772"/>
    <w:rsid w:val="00A058A0"/>
    <w:rsid w:val="00A058DC"/>
    <w:rsid w:val="00A05B4F"/>
    <w:rsid w:val="00A05E7C"/>
    <w:rsid w:val="00A05EF9"/>
    <w:rsid w:val="00A06174"/>
    <w:rsid w:val="00A06B42"/>
    <w:rsid w:val="00A06C80"/>
    <w:rsid w:val="00A07471"/>
    <w:rsid w:val="00A074E5"/>
    <w:rsid w:val="00A07860"/>
    <w:rsid w:val="00A07B0B"/>
    <w:rsid w:val="00A07D66"/>
    <w:rsid w:val="00A07D9C"/>
    <w:rsid w:val="00A1010C"/>
    <w:rsid w:val="00A10614"/>
    <w:rsid w:val="00A109EA"/>
    <w:rsid w:val="00A10B78"/>
    <w:rsid w:val="00A10FA1"/>
    <w:rsid w:val="00A114C6"/>
    <w:rsid w:val="00A11E1C"/>
    <w:rsid w:val="00A12EB9"/>
    <w:rsid w:val="00A133AE"/>
    <w:rsid w:val="00A1341E"/>
    <w:rsid w:val="00A13E3D"/>
    <w:rsid w:val="00A13FA1"/>
    <w:rsid w:val="00A1478F"/>
    <w:rsid w:val="00A14D60"/>
    <w:rsid w:val="00A151F3"/>
    <w:rsid w:val="00A15B74"/>
    <w:rsid w:val="00A15D98"/>
    <w:rsid w:val="00A15DE0"/>
    <w:rsid w:val="00A1630D"/>
    <w:rsid w:val="00A16503"/>
    <w:rsid w:val="00A16E05"/>
    <w:rsid w:val="00A16E1E"/>
    <w:rsid w:val="00A17DCC"/>
    <w:rsid w:val="00A203BA"/>
    <w:rsid w:val="00A20993"/>
    <w:rsid w:val="00A20F1B"/>
    <w:rsid w:val="00A211EC"/>
    <w:rsid w:val="00A2130E"/>
    <w:rsid w:val="00A21432"/>
    <w:rsid w:val="00A222C3"/>
    <w:rsid w:val="00A2268E"/>
    <w:rsid w:val="00A22B90"/>
    <w:rsid w:val="00A22CA4"/>
    <w:rsid w:val="00A230FD"/>
    <w:rsid w:val="00A231FC"/>
    <w:rsid w:val="00A23325"/>
    <w:rsid w:val="00A23901"/>
    <w:rsid w:val="00A24079"/>
    <w:rsid w:val="00A24218"/>
    <w:rsid w:val="00A2449F"/>
    <w:rsid w:val="00A24880"/>
    <w:rsid w:val="00A2491C"/>
    <w:rsid w:val="00A24EF7"/>
    <w:rsid w:val="00A25949"/>
    <w:rsid w:val="00A26A15"/>
    <w:rsid w:val="00A26D13"/>
    <w:rsid w:val="00A27042"/>
    <w:rsid w:val="00A272E5"/>
    <w:rsid w:val="00A277EB"/>
    <w:rsid w:val="00A27B16"/>
    <w:rsid w:val="00A27FFC"/>
    <w:rsid w:val="00A302FE"/>
    <w:rsid w:val="00A306C0"/>
    <w:rsid w:val="00A3099F"/>
    <w:rsid w:val="00A313DC"/>
    <w:rsid w:val="00A31606"/>
    <w:rsid w:val="00A319B2"/>
    <w:rsid w:val="00A31F92"/>
    <w:rsid w:val="00A32444"/>
    <w:rsid w:val="00A325A0"/>
    <w:rsid w:val="00A3296B"/>
    <w:rsid w:val="00A32AE1"/>
    <w:rsid w:val="00A32E25"/>
    <w:rsid w:val="00A33198"/>
    <w:rsid w:val="00A3376E"/>
    <w:rsid w:val="00A3421D"/>
    <w:rsid w:val="00A34491"/>
    <w:rsid w:val="00A3480B"/>
    <w:rsid w:val="00A34906"/>
    <w:rsid w:val="00A350F6"/>
    <w:rsid w:val="00A359E2"/>
    <w:rsid w:val="00A367E7"/>
    <w:rsid w:val="00A36D28"/>
    <w:rsid w:val="00A36EA4"/>
    <w:rsid w:val="00A36FD2"/>
    <w:rsid w:val="00A37400"/>
    <w:rsid w:val="00A37476"/>
    <w:rsid w:val="00A37498"/>
    <w:rsid w:val="00A40404"/>
    <w:rsid w:val="00A405FE"/>
    <w:rsid w:val="00A40603"/>
    <w:rsid w:val="00A40B88"/>
    <w:rsid w:val="00A40BE1"/>
    <w:rsid w:val="00A41A68"/>
    <w:rsid w:val="00A41F44"/>
    <w:rsid w:val="00A421B7"/>
    <w:rsid w:val="00A42540"/>
    <w:rsid w:val="00A4256A"/>
    <w:rsid w:val="00A42972"/>
    <w:rsid w:val="00A42EB8"/>
    <w:rsid w:val="00A43065"/>
    <w:rsid w:val="00A43F65"/>
    <w:rsid w:val="00A440F8"/>
    <w:rsid w:val="00A441FB"/>
    <w:rsid w:val="00A45A19"/>
    <w:rsid w:val="00A45A65"/>
    <w:rsid w:val="00A45CAD"/>
    <w:rsid w:val="00A462EF"/>
    <w:rsid w:val="00A4634D"/>
    <w:rsid w:val="00A4639E"/>
    <w:rsid w:val="00A46641"/>
    <w:rsid w:val="00A4674D"/>
    <w:rsid w:val="00A46E11"/>
    <w:rsid w:val="00A46FEE"/>
    <w:rsid w:val="00A47361"/>
    <w:rsid w:val="00A4740D"/>
    <w:rsid w:val="00A502AB"/>
    <w:rsid w:val="00A50341"/>
    <w:rsid w:val="00A504FF"/>
    <w:rsid w:val="00A5062B"/>
    <w:rsid w:val="00A50DD0"/>
    <w:rsid w:val="00A512D1"/>
    <w:rsid w:val="00A52830"/>
    <w:rsid w:val="00A530FC"/>
    <w:rsid w:val="00A53184"/>
    <w:rsid w:val="00A535E5"/>
    <w:rsid w:val="00A536F7"/>
    <w:rsid w:val="00A53DC0"/>
    <w:rsid w:val="00A53E57"/>
    <w:rsid w:val="00A540C3"/>
    <w:rsid w:val="00A54B6D"/>
    <w:rsid w:val="00A54DD4"/>
    <w:rsid w:val="00A54DF3"/>
    <w:rsid w:val="00A55789"/>
    <w:rsid w:val="00A55F74"/>
    <w:rsid w:val="00A560D2"/>
    <w:rsid w:val="00A56226"/>
    <w:rsid w:val="00A563ED"/>
    <w:rsid w:val="00A56C9F"/>
    <w:rsid w:val="00A56F87"/>
    <w:rsid w:val="00A57678"/>
    <w:rsid w:val="00A578A2"/>
    <w:rsid w:val="00A57F42"/>
    <w:rsid w:val="00A6008E"/>
    <w:rsid w:val="00A6062D"/>
    <w:rsid w:val="00A6086B"/>
    <w:rsid w:val="00A60B75"/>
    <w:rsid w:val="00A60F61"/>
    <w:rsid w:val="00A61D83"/>
    <w:rsid w:val="00A62101"/>
    <w:rsid w:val="00A62250"/>
    <w:rsid w:val="00A62A3C"/>
    <w:rsid w:val="00A62EFA"/>
    <w:rsid w:val="00A62FD0"/>
    <w:rsid w:val="00A63236"/>
    <w:rsid w:val="00A63819"/>
    <w:rsid w:val="00A63A55"/>
    <w:rsid w:val="00A64021"/>
    <w:rsid w:val="00A64EC6"/>
    <w:rsid w:val="00A6515A"/>
    <w:rsid w:val="00A651F4"/>
    <w:rsid w:val="00A6586A"/>
    <w:rsid w:val="00A65CA5"/>
    <w:rsid w:val="00A66649"/>
    <w:rsid w:val="00A66B1A"/>
    <w:rsid w:val="00A66F1B"/>
    <w:rsid w:val="00A6727D"/>
    <w:rsid w:val="00A67410"/>
    <w:rsid w:val="00A67B12"/>
    <w:rsid w:val="00A67DB7"/>
    <w:rsid w:val="00A67ECC"/>
    <w:rsid w:val="00A67F8E"/>
    <w:rsid w:val="00A703CF"/>
    <w:rsid w:val="00A70411"/>
    <w:rsid w:val="00A70B32"/>
    <w:rsid w:val="00A70E34"/>
    <w:rsid w:val="00A70FD2"/>
    <w:rsid w:val="00A71175"/>
    <w:rsid w:val="00A71223"/>
    <w:rsid w:val="00A71761"/>
    <w:rsid w:val="00A71780"/>
    <w:rsid w:val="00A71CCD"/>
    <w:rsid w:val="00A72113"/>
    <w:rsid w:val="00A72705"/>
    <w:rsid w:val="00A727A0"/>
    <w:rsid w:val="00A72907"/>
    <w:rsid w:val="00A729B1"/>
    <w:rsid w:val="00A72B71"/>
    <w:rsid w:val="00A72DFA"/>
    <w:rsid w:val="00A72E17"/>
    <w:rsid w:val="00A735BC"/>
    <w:rsid w:val="00A73739"/>
    <w:rsid w:val="00A73E2E"/>
    <w:rsid w:val="00A74484"/>
    <w:rsid w:val="00A7486F"/>
    <w:rsid w:val="00A74CA9"/>
    <w:rsid w:val="00A74CE0"/>
    <w:rsid w:val="00A75387"/>
    <w:rsid w:val="00A754AE"/>
    <w:rsid w:val="00A755B2"/>
    <w:rsid w:val="00A75AA0"/>
    <w:rsid w:val="00A75F68"/>
    <w:rsid w:val="00A75FB9"/>
    <w:rsid w:val="00A75FDC"/>
    <w:rsid w:val="00A765B5"/>
    <w:rsid w:val="00A76AA7"/>
    <w:rsid w:val="00A76BA1"/>
    <w:rsid w:val="00A7764D"/>
    <w:rsid w:val="00A779F3"/>
    <w:rsid w:val="00A77B0C"/>
    <w:rsid w:val="00A77BC3"/>
    <w:rsid w:val="00A77FF7"/>
    <w:rsid w:val="00A80036"/>
    <w:rsid w:val="00A801FE"/>
    <w:rsid w:val="00A8065C"/>
    <w:rsid w:val="00A80BDB"/>
    <w:rsid w:val="00A80E68"/>
    <w:rsid w:val="00A80F0B"/>
    <w:rsid w:val="00A8157E"/>
    <w:rsid w:val="00A81DB3"/>
    <w:rsid w:val="00A81EE2"/>
    <w:rsid w:val="00A82296"/>
    <w:rsid w:val="00A82306"/>
    <w:rsid w:val="00A82A94"/>
    <w:rsid w:val="00A82AEA"/>
    <w:rsid w:val="00A82E62"/>
    <w:rsid w:val="00A82E83"/>
    <w:rsid w:val="00A82F1E"/>
    <w:rsid w:val="00A83735"/>
    <w:rsid w:val="00A83959"/>
    <w:rsid w:val="00A83B14"/>
    <w:rsid w:val="00A83B7A"/>
    <w:rsid w:val="00A840DE"/>
    <w:rsid w:val="00A84310"/>
    <w:rsid w:val="00A844C1"/>
    <w:rsid w:val="00A8473B"/>
    <w:rsid w:val="00A848DB"/>
    <w:rsid w:val="00A849FB"/>
    <w:rsid w:val="00A855B4"/>
    <w:rsid w:val="00A85709"/>
    <w:rsid w:val="00A85A9E"/>
    <w:rsid w:val="00A85D37"/>
    <w:rsid w:val="00A86730"/>
    <w:rsid w:val="00A86FB5"/>
    <w:rsid w:val="00A86FBB"/>
    <w:rsid w:val="00A87876"/>
    <w:rsid w:val="00A87CF2"/>
    <w:rsid w:val="00A87FCF"/>
    <w:rsid w:val="00A90355"/>
    <w:rsid w:val="00A907A0"/>
    <w:rsid w:val="00A90C4B"/>
    <w:rsid w:val="00A90D91"/>
    <w:rsid w:val="00A91799"/>
    <w:rsid w:val="00A91A8B"/>
    <w:rsid w:val="00A91A9E"/>
    <w:rsid w:val="00A92010"/>
    <w:rsid w:val="00A92382"/>
    <w:rsid w:val="00A92653"/>
    <w:rsid w:val="00A92A3F"/>
    <w:rsid w:val="00A92CBA"/>
    <w:rsid w:val="00A92CCD"/>
    <w:rsid w:val="00A93110"/>
    <w:rsid w:val="00A9351C"/>
    <w:rsid w:val="00A935A0"/>
    <w:rsid w:val="00A93BF8"/>
    <w:rsid w:val="00A93C3B"/>
    <w:rsid w:val="00A93F4A"/>
    <w:rsid w:val="00A94119"/>
    <w:rsid w:val="00A9450D"/>
    <w:rsid w:val="00A947D2"/>
    <w:rsid w:val="00A94B12"/>
    <w:rsid w:val="00A94CCC"/>
    <w:rsid w:val="00A9527E"/>
    <w:rsid w:val="00A956F3"/>
    <w:rsid w:val="00A95D22"/>
    <w:rsid w:val="00A95F87"/>
    <w:rsid w:val="00A96006"/>
    <w:rsid w:val="00A961FA"/>
    <w:rsid w:val="00A96789"/>
    <w:rsid w:val="00A96BA5"/>
    <w:rsid w:val="00A96BD7"/>
    <w:rsid w:val="00A96CE8"/>
    <w:rsid w:val="00A96FBB"/>
    <w:rsid w:val="00A9700F"/>
    <w:rsid w:val="00A971BA"/>
    <w:rsid w:val="00A972F6"/>
    <w:rsid w:val="00A977C9"/>
    <w:rsid w:val="00A97E43"/>
    <w:rsid w:val="00AA0331"/>
    <w:rsid w:val="00AA084E"/>
    <w:rsid w:val="00AA108D"/>
    <w:rsid w:val="00AA1716"/>
    <w:rsid w:val="00AA17B8"/>
    <w:rsid w:val="00AA1E24"/>
    <w:rsid w:val="00AA1F70"/>
    <w:rsid w:val="00AA2151"/>
    <w:rsid w:val="00AA25CF"/>
    <w:rsid w:val="00AA263C"/>
    <w:rsid w:val="00AA2648"/>
    <w:rsid w:val="00AA2649"/>
    <w:rsid w:val="00AA299B"/>
    <w:rsid w:val="00AA2C8C"/>
    <w:rsid w:val="00AA2F31"/>
    <w:rsid w:val="00AA3019"/>
    <w:rsid w:val="00AA39A9"/>
    <w:rsid w:val="00AA39E9"/>
    <w:rsid w:val="00AA3E84"/>
    <w:rsid w:val="00AA45E9"/>
    <w:rsid w:val="00AA4C40"/>
    <w:rsid w:val="00AA4F49"/>
    <w:rsid w:val="00AA53FD"/>
    <w:rsid w:val="00AA5442"/>
    <w:rsid w:val="00AA602B"/>
    <w:rsid w:val="00AA620F"/>
    <w:rsid w:val="00AA638B"/>
    <w:rsid w:val="00AA6598"/>
    <w:rsid w:val="00AA6637"/>
    <w:rsid w:val="00AA6AD3"/>
    <w:rsid w:val="00AA6B0B"/>
    <w:rsid w:val="00AA6CDE"/>
    <w:rsid w:val="00AA6D4F"/>
    <w:rsid w:val="00AA6ECB"/>
    <w:rsid w:val="00AA7128"/>
    <w:rsid w:val="00AA74B4"/>
    <w:rsid w:val="00AA7858"/>
    <w:rsid w:val="00AB0609"/>
    <w:rsid w:val="00AB0F2F"/>
    <w:rsid w:val="00AB1071"/>
    <w:rsid w:val="00AB12A0"/>
    <w:rsid w:val="00AB1897"/>
    <w:rsid w:val="00AB1D7C"/>
    <w:rsid w:val="00AB2470"/>
    <w:rsid w:val="00AB26FC"/>
    <w:rsid w:val="00AB295C"/>
    <w:rsid w:val="00AB2AE4"/>
    <w:rsid w:val="00AB352F"/>
    <w:rsid w:val="00AB3810"/>
    <w:rsid w:val="00AB3900"/>
    <w:rsid w:val="00AB3AA5"/>
    <w:rsid w:val="00AB3D83"/>
    <w:rsid w:val="00AB404C"/>
    <w:rsid w:val="00AB407B"/>
    <w:rsid w:val="00AB418E"/>
    <w:rsid w:val="00AB42DF"/>
    <w:rsid w:val="00AB46F5"/>
    <w:rsid w:val="00AB5357"/>
    <w:rsid w:val="00AB5730"/>
    <w:rsid w:val="00AB69FA"/>
    <w:rsid w:val="00AB752D"/>
    <w:rsid w:val="00AB7756"/>
    <w:rsid w:val="00AB7B19"/>
    <w:rsid w:val="00AB7B87"/>
    <w:rsid w:val="00AB7BD5"/>
    <w:rsid w:val="00AB7E40"/>
    <w:rsid w:val="00AC079B"/>
    <w:rsid w:val="00AC08FC"/>
    <w:rsid w:val="00AC0C77"/>
    <w:rsid w:val="00AC2466"/>
    <w:rsid w:val="00AC269E"/>
    <w:rsid w:val="00AC3208"/>
    <w:rsid w:val="00AC33C3"/>
    <w:rsid w:val="00AC3BE0"/>
    <w:rsid w:val="00AC47CD"/>
    <w:rsid w:val="00AC4A04"/>
    <w:rsid w:val="00AC4EFB"/>
    <w:rsid w:val="00AC4F90"/>
    <w:rsid w:val="00AC5083"/>
    <w:rsid w:val="00AC5705"/>
    <w:rsid w:val="00AC5A91"/>
    <w:rsid w:val="00AC5D54"/>
    <w:rsid w:val="00AC61EC"/>
    <w:rsid w:val="00AC6965"/>
    <w:rsid w:val="00AC6A70"/>
    <w:rsid w:val="00AC6DDC"/>
    <w:rsid w:val="00AC6E00"/>
    <w:rsid w:val="00AC70EF"/>
    <w:rsid w:val="00AC70F9"/>
    <w:rsid w:val="00AC732F"/>
    <w:rsid w:val="00AC76C4"/>
    <w:rsid w:val="00AC7815"/>
    <w:rsid w:val="00AC7BF8"/>
    <w:rsid w:val="00AD0168"/>
    <w:rsid w:val="00AD0453"/>
    <w:rsid w:val="00AD0654"/>
    <w:rsid w:val="00AD0E87"/>
    <w:rsid w:val="00AD14F0"/>
    <w:rsid w:val="00AD1572"/>
    <w:rsid w:val="00AD17C0"/>
    <w:rsid w:val="00AD1CB9"/>
    <w:rsid w:val="00AD1D89"/>
    <w:rsid w:val="00AD209D"/>
    <w:rsid w:val="00AD24CA"/>
    <w:rsid w:val="00AD2C82"/>
    <w:rsid w:val="00AD3095"/>
    <w:rsid w:val="00AD39B2"/>
    <w:rsid w:val="00AD3B8C"/>
    <w:rsid w:val="00AD3D3B"/>
    <w:rsid w:val="00AD47C0"/>
    <w:rsid w:val="00AD4F74"/>
    <w:rsid w:val="00AD5397"/>
    <w:rsid w:val="00AD5C74"/>
    <w:rsid w:val="00AD5CCD"/>
    <w:rsid w:val="00AD6281"/>
    <w:rsid w:val="00AD6BF5"/>
    <w:rsid w:val="00AD6CB0"/>
    <w:rsid w:val="00AD7068"/>
    <w:rsid w:val="00AD7864"/>
    <w:rsid w:val="00AD78FD"/>
    <w:rsid w:val="00AD7B01"/>
    <w:rsid w:val="00AE0185"/>
    <w:rsid w:val="00AE0487"/>
    <w:rsid w:val="00AE0836"/>
    <w:rsid w:val="00AE084D"/>
    <w:rsid w:val="00AE0F16"/>
    <w:rsid w:val="00AE1BA4"/>
    <w:rsid w:val="00AE22AC"/>
    <w:rsid w:val="00AE2624"/>
    <w:rsid w:val="00AE2691"/>
    <w:rsid w:val="00AE28BB"/>
    <w:rsid w:val="00AE317D"/>
    <w:rsid w:val="00AE36C7"/>
    <w:rsid w:val="00AE375D"/>
    <w:rsid w:val="00AE396C"/>
    <w:rsid w:val="00AE3E96"/>
    <w:rsid w:val="00AE3EC3"/>
    <w:rsid w:val="00AE400B"/>
    <w:rsid w:val="00AE40EC"/>
    <w:rsid w:val="00AE4161"/>
    <w:rsid w:val="00AE4BAC"/>
    <w:rsid w:val="00AE4BE6"/>
    <w:rsid w:val="00AE514F"/>
    <w:rsid w:val="00AE57EA"/>
    <w:rsid w:val="00AE5AFF"/>
    <w:rsid w:val="00AE6B3A"/>
    <w:rsid w:val="00AE6B56"/>
    <w:rsid w:val="00AE6E60"/>
    <w:rsid w:val="00AE70A3"/>
    <w:rsid w:val="00AE739E"/>
    <w:rsid w:val="00AE76D9"/>
    <w:rsid w:val="00AE77C7"/>
    <w:rsid w:val="00AE784F"/>
    <w:rsid w:val="00AE79AF"/>
    <w:rsid w:val="00AE7C64"/>
    <w:rsid w:val="00AF047F"/>
    <w:rsid w:val="00AF0DDF"/>
    <w:rsid w:val="00AF0E27"/>
    <w:rsid w:val="00AF0EC9"/>
    <w:rsid w:val="00AF129E"/>
    <w:rsid w:val="00AF151A"/>
    <w:rsid w:val="00AF1885"/>
    <w:rsid w:val="00AF20BD"/>
    <w:rsid w:val="00AF24C5"/>
    <w:rsid w:val="00AF26BA"/>
    <w:rsid w:val="00AF294E"/>
    <w:rsid w:val="00AF2DE7"/>
    <w:rsid w:val="00AF2E94"/>
    <w:rsid w:val="00AF39EB"/>
    <w:rsid w:val="00AF3C6A"/>
    <w:rsid w:val="00AF3CD9"/>
    <w:rsid w:val="00AF4D8B"/>
    <w:rsid w:val="00AF4F8A"/>
    <w:rsid w:val="00AF573F"/>
    <w:rsid w:val="00AF5B67"/>
    <w:rsid w:val="00AF5BC0"/>
    <w:rsid w:val="00AF5DAE"/>
    <w:rsid w:val="00AF6570"/>
    <w:rsid w:val="00AF6A06"/>
    <w:rsid w:val="00AF6CE4"/>
    <w:rsid w:val="00AF6F90"/>
    <w:rsid w:val="00AF700A"/>
    <w:rsid w:val="00AF75CE"/>
    <w:rsid w:val="00AF792C"/>
    <w:rsid w:val="00AF7F0A"/>
    <w:rsid w:val="00B00571"/>
    <w:rsid w:val="00B0092E"/>
    <w:rsid w:val="00B00DD5"/>
    <w:rsid w:val="00B011E1"/>
    <w:rsid w:val="00B027D2"/>
    <w:rsid w:val="00B03E5C"/>
    <w:rsid w:val="00B04B09"/>
    <w:rsid w:val="00B04B8E"/>
    <w:rsid w:val="00B06B45"/>
    <w:rsid w:val="00B071C3"/>
    <w:rsid w:val="00B07408"/>
    <w:rsid w:val="00B0742D"/>
    <w:rsid w:val="00B07814"/>
    <w:rsid w:val="00B10626"/>
    <w:rsid w:val="00B107BA"/>
    <w:rsid w:val="00B108CD"/>
    <w:rsid w:val="00B10C75"/>
    <w:rsid w:val="00B10DA0"/>
    <w:rsid w:val="00B10F2D"/>
    <w:rsid w:val="00B11342"/>
    <w:rsid w:val="00B11A19"/>
    <w:rsid w:val="00B11D91"/>
    <w:rsid w:val="00B11DB6"/>
    <w:rsid w:val="00B12349"/>
    <w:rsid w:val="00B12546"/>
    <w:rsid w:val="00B12AEA"/>
    <w:rsid w:val="00B12BFC"/>
    <w:rsid w:val="00B12D53"/>
    <w:rsid w:val="00B13107"/>
    <w:rsid w:val="00B13175"/>
    <w:rsid w:val="00B1337A"/>
    <w:rsid w:val="00B13B43"/>
    <w:rsid w:val="00B13D60"/>
    <w:rsid w:val="00B14D47"/>
    <w:rsid w:val="00B151F9"/>
    <w:rsid w:val="00B1587F"/>
    <w:rsid w:val="00B1595F"/>
    <w:rsid w:val="00B169BB"/>
    <w:rsid w:val="00B16FD9"/>
    <w:rsid w:val="00B17997"/>
    <w:rsid w:val="00B17CA1"/>
    <w:rsid w:val="00B2036E"/>
    <w:rsid w:val="00B20B50"/>
    <w:rsid w:val="00B20C2C"/>
    <w:rsid w:val="00B2103F"/>
    <w:rsid w:val="00B212C5"/>
    <w:rsid w:val="00B2139F"/>
    <w:rsid w:val="00B214CA"/>
    <w:rsid w:val="00B21548"/>
    <w:rsid w:val="00B21D28"/>
    <w:rsid w:val="00B21FC7"/>
    <w:rsid w:val="00B23167"/>
    <w:rsid w:val="00B2320F"/>
    <w:rsid w:val="00B23659"/>
    <w:rsid w:val="00B23D22"/>
    <w:rsid w:val="00B242DC"/>
    <w:rsid w:val="00B244D9"/>
    <w:rsid w:val="00B244DC"/>
    <w:rsid w:val="00B24605"/>
    <w:rsid w:val="00B246F6"/>
    <w:rsid w:val="00B24CFB"/>
    <w:rsid w:val="00B251E7"/>
    <w:rsid w:val="00B25644"/>
    <w:rsid w:val="00B256C8"/>
    <w:rsid w:val="00B25729"/>
    <w:rsid w:val="00B259CB"/>
    <w:rsid w:val="00B26D3B"/>
    <w:rsid w:val="00B26DA3"/>
    <w:rsid w:val="00B26EB0"/>
    <w:rsid w:val="00B279CF"/>
    <w:rsid w:val="00B27CF1"/>
    <w:rsid w:val="00B27EC1"/>
    <w:rsid w:val="00B305BB"/>
    <w:rsid w:val="00B314D2"/>
    <w:rsid w:val="00B316AC"/>
    <w:rsid w:val="00B3178A"/>
    <w:rsid w:val="00B31ECF"/>
    <w:rsid w:val="00B320F0"/>
    <w:rsid w:val="00B3264D"/>
    <w:rsid w:val="00B32678"/>
    <w:rsid w:val="00B32885"/>
    <w:rsid w:val="00B328C1"/>
    <w:rsid w:val="00B32900"/>
    <w:rsid w:val="00B32F78"/>
    <w:rsid w:val="00B332DD"/>
    <w:rsid w:val="00B33BF5"/>
    <w:rsid w:val="00B3461B"/>
    <w:rsid w:val="00B3469C"/>
    <w:rsid w:val="00B34A5F"/>
    <w:rsid w:val="00B3523E"/>
    <w:rsid w:val="00B35A80"/>
    <w:rsid w:val="00B35B78"/>
    <w:rsid w:val="00B35D6E"/>
    <w:rsid w:val="00B35ED8"/>
    <w:rsid w:val="00B35F17"/>
    <w:rsid w:val="00B362ED"/>
    <w:rsid w:val="00B36686"/>
    <w:rsid w:val="00B3691D"/>
    <w:rsid w:val="00B36E20"/>
    <w:rsid w:val="00B37371"/>
    <w:rsid w:val="00B37736"/>
    <w:rsid w:val="00B37799"/>
    <w:rsid w:val="00B377D9"/>
    <w:rsid w:val="00B37837"/>
    <w:rsid w:val="00B37D7F"/>
    <w:rsid w:val="00B4008F"/>
    <w:rsid w:val="00B40355"/>
    <w:rsid w:val="00B40626"/>
    <w:rsid w:val="00B40744"/>
    <w:rsid w:val="00B41A20"/>
    <w:rsid w:val="00B41A2F"/>
    <w:rsid w:val="00B41ECD"/>
    <w:rsid w:val="00B42A61"/>
    <w:rsid w:val="00B42AEC"/>
    <w:rsid w:val="00B42B34"/>
    <w:rsid w:val="00B43313"/>
    <w:rsid w:val="00B433E2"/>
    <w:rsid w:val="00B435CE"/>
    <w:rsid w:val="00B43A58"/>
    <w:rsid w:val="00B43F66"/>
    <w:rsid w:val="00B440FF"/>
    <w:rsid w:val="00B4424D"/>
    <w:rsid w:val="00B44357"/>
    <w:rsid w:val="00B4454D"/>
    <w:rsid w:val="00B44622"/>
    <w:rsid w:val="00B4491F"/>
    <w:rsid w:val="00B4515D"/>
    <w:rsid w:val="00B45407"/>
    <w:rsid w:val="00B45530"/>
    <w:rsid w:val="00B45B0A"/>
    <w:rsid w:val="00B4605D"/>
    <w:rsid w:val="00B46617"/>
    <w:rsid w:val="00B46A0C"/>
    <w:rsid w:val="00B46A11"/>
    <w:rsid w:val="00B46A26"/>
    <w:rsid w:val="00B46C58"/>
    <w:rsid w:val="00B47B13"/>
    <w:rsid w:val="00B47D90"/>
    <w:rsid w:val="00B50120"/>
    <w:rsid w:val="00B50762"/>
    <w:rsid w:val="00B50821"/>
    <w:rsid w:val="00B50B09"/>
    <w:rsid w:val="00B5106E"/>
    <w:rsid w:val="00B511CB"/>
    <w:rsid w:val="00B51AF6"/>
    <w:rsid w:val="00B51C85"/>
    <w:rsid w:val="00B52198"/>
    <w:rsid w:val="00B5228C"/>
    <w:rsid w:val="00B5237F"/>
    <w:rsid w:val="00B526D8"/>
    <w:rsid w:val="00B52916"/>
    <w:rsid w:val="00B52D97"/>
    <w:rsid w:val="00B53908"/>
    <w:rsid w:val="00B53BDC"/>
    <w:rsid w:val="00B53DD2"/>
    <w:rsid w:val="00B54076"/>
    <w:rsid w:val="00B54469"/>
    <w:rsid w:val="00B566B7"/>
    <w:rsid w:val="00B56883"/>
    <w:rsid w:val="00B568F3"/>
    <w:rsid w:val="00B5706F"/>
    <w:rsid w:val="00B57205"/>
    <w:rsid w:val="00B57308"/>
    <w:rsid w:val="00B57A15"/>
    <w:rsid w:val="00B57A16"/>
    <w:rsid w:val="00B57BB9"/>
    <w:rsid w:val="00B57CFF"/>
    <w:rsid w:val="00B57F30"/>
    <w:rsid w:val="00B57FAC"/>
    <w:rsid w:val="00B6041F"/>
    <w:rsid w:val="00B606F4"/>
    <w:rsid w:val="00B6095C"/>
    <w:rsid w:val="00B60FFA"/>
    <w:rsid w:val="00B61035"/>
    <w:rsid w:val="00B610AA"/>
    <w:rsid w:val="00B61DFC"/>
    <w:rsid w:val="00B61F8E"/>
    <w:rsid w:val="00B62321"/>
    <w:rsid w:val="00B62724"/>
    <w:rsid w:val="00B62B7A"/>
    <w:rsid w:val="00B6338B"/>
    <w:rsid w:val="00B6375A"/>
    <w:rsid w:val="00B63C0F"/>
    <w:rsid w:val="00B63D65"/>
    <w:rsid w:val="00B63F48"/>
    <w:rsid w:val="00B643FA"/>
    <w:rsid w:val="00B644FA"/>
    <w:rsid w:val="00B64901"/>
    <w:rsid w:val="00B64DCC"/>
    <w:rsid w:val="00B6503F"/>
    <w:rsid w:val="00B65C0D"/>
    <w:rsid w:val="00B65DB1"/>
    <w:rsid w:val="00B65F39"/>
    <w:rsid w:val="00B65F67"/>
    <w:rsid w:val="00B66265"/>
    <w:rsid w:val="00B66268"/>
    <w:rsid w:val="00B66794"/>
    <w:rsid w:val="00B66B74"/>
    <w:rsid w:val="00B67994"/>
    <w:rsid w:val="00B67BBC"/>
    <w:rsid w:val="00B67D00"/>
    <w:rsid w:val="00B70090"/>
    <w:rsid w:val="00B704BA"/>
    <w:rsid w:val="00B708B8"/>
    <w:rsid w:val="00B710BE"/>
    <w:rsid w:val="00B71246"/>
    <w:rsid w:val="00B71762"/>
    <w:rsid w:val="00B7182C"/>
    <w:rsid w:val="00B71B34"/>
    <w:rsid w:val="00B71C9D"/>
    <w:rsid w:val="00B71E5F"/>
    <w:rsid w:val="00B71EFA"/>
    <w:rsid w:val="00B7288A"/>
    <w:rsid w:val="00B72B2C"/>
    <w:rsid w:val="00B72FB2"/>
    <w:rsid w:val="00B72FFD"/>
    <w:rsid w:val="00B732F4"/>
    <w:rsid w:val="00B738CB"/>
    <w:rsid w:val="00B73E34"/>
    <w:rsid w:val="00B7418A"/>
    <w:rsid w:val="00B74938"/>
    <w:rsid w:val="00B74CE4"/>
    <w:rsid w:val="00B74F21"/>
    <w:rsid w:val="00B751F7"/>
    <w:rsid w:val="00B75353"/>
    <w:rsid w:val="00B75B91"/>
    <w:rsid w:val="00B75D8A"/>
    <w:rsid w:val="00B76128"/>
    <w:rsid w:val="00B761E1"/>
    <w:rsid w:val="00B76792"/>
    <w:rsid w:val="00B76D1E"/>
    <w:rsid w:val="00B774A4"/>
    <w:rsid w:val="00B779B8"/>
    <w:rsid w:val="00B77AB5"/>
    <w:rsid w:val="00B80644"/>
    <w:rsid w:val="00B80802"/>
    <w:rsid w:val="00B80DDF"/>
    <w:rsid w:val="00B80F6A"/>
    <w:rsid w:val="00B81040"/>
    <w:rsid w:val="00B81260"/>
    <w:rsid w:val="00B81621"/>
    <w:rsid w:val="00B8224B"/>
    <w:rsid w:val="00B822E9"/>
    <w:rsid w:val="00B8293A"/>
    <w:rsid w:val="00B829C7"/>
    <w:rsid w:val="00B830E1"/>
    <w:rsid w:val="00B833C2"/>
    <w:rsid w:val="00B83897"/>
    <w:rsid w:val="00B83938"/>
    <w:rsid w:val="00B83A19"/>
    <w:rsid w:val="00B842C4"/>
    <w:rsid w:val="00B849BF"/>
    <w:rsid w:val="00B84FFE"/>
    <w:rsid w:val="00B85913"/>
    <w:rsid w:val="00B85990"/>
    <w:rsid w:val="00B85E05"/>
    <w:rsid w:val="00B85E63"/>
    <w:rsid w:val="00B85F92"/>
    <w:rsid w:val="00B86852"/>
    <w:rsid w:val="00B86BF7"/>
    <w:rsid w:val="00B879E1"/>
    <w:rsid w:val="00B90577"/>
    <w:rsid w:val="00B906EE"/>
    <w:rsid w:val="00B9072B"/>
    <w:rsid w:val="00B9085B"/>
    <w:rsid w:val="00B90C37"/>
    <w:rsid w:val="00B90FD1"/>
    <w:rsid w:val="00B91F26"/>
    <w:rsid w:val="00B91F86"/>
    <w:rsid w:val="00B920BF"/>
    <w:rsid w:val="00B921CF"/>
    <w:rsid w:val="00B924B5"/>
    <w:rsid w:val="00B92810"/>
    <w:rsid w:val="00B92C28"/>
    <w:rsid w:val="00B9363C"/>
    <w:rsid w:val="00B93D63"/>
    <w:rsid w:val="00B94170"/>
    <w:rsid w:val="00B948E2"/>
    <w:rsid w:val="00B950C2"/>
    <w:rsid w:val="00B96396"/>
    <w:rsid w:val="00B96420"/>
    <w:rsid w:val="00B96EF8"/>
    <w:rsid w:val="00B97809"/>
    <w:rsid w:val="00BA024D"/>
    <w:rsid w:val="00BA04A9"/>
    <w:rsid w:val="00BA05D2"/>
    <w:rsid w:val="00BA08E4"/>
    <w:rsid w:val="00BA13C0"/>
    <w:rsid w:val="00BA1427"/>
    <w:rsid w:val="00BA17BB"/>
    <w:rsid w:val="00BA1AF1"/>
    <w:rsid w:val="00BA1E16"/>
    <w:rsid w:val="00BA1FF7"/>
    <w:rsid w:val="00BA27E1"/>
    <w:rsid w:val="00BA2807"/>
    <w:rsid w:val="00BA36AB"/>
    <w:rsid w:val="00BA3872"/>
    <w:rsid w:val="00BA3985"/>
    <w:rsid w:val="00BA39C9"/>
    <w:rsid w:val="00BA3FE1"/>
    <w:rsid w:val="00BA4172"/>
    <w:rsid w:val="00BA46D4"/>
    <w:rsid w:val="00BA47AC"/>
    <w:rsid w:val="00BA4BF1"/>
    <w:rsid w:val="00BA4C08"/>
    <w:rsid w:val="00BA4C7F"/>
    <w:rsid w:val="00BA4D1C"/>
    <w:rsid w:val="00BA4DE1"/>
    <w:rsid w:val="00BA52EF"/>
    <w:rsid w:val="00BA54AA"/>
    <w:rsid w:val="00BA5500"/>
    <w:rsid w:val="00BA595E"/>
    <w:rsid w:val="00BA5AE2"/>
    <w:rsid w:val="00BA5F74"/>
    <w:rsid w:val="00BA609F"/>
    <w:rsid w:val="00BA6308"/>
    <w:rsid w:val="00BA65E5"/>
    <w:rsid w:val="00BA66DF"/>
    <w:rsid w:val="00BA67BC"/>
    <w:rsid w:val="00BA6886"/>
    <w:rsid w:val="00BA6989"/>
    <w:rsid w:val="00BA6A34"/>
    <w:rsid w:val="00BA7373"/>
    <w:rsid w:val="00BA746D"/>
    <w:rsid w:val="00BB05ED"/>
    <w:rsid w:val="00BB0626"/>
    <w:rsid w:val="00BB0CF5"/>
    <w:rsid w:val="00BB12B0"/>
    <w:rsid w:val="00BB163F"/>
    <w:rsid w:val="00BB1DDF"/>
    <w:rsid w:val="00BB23E1"/>
    <w:rsid w:val="00BB27ED"/>
    <w:rsid w:val="00BB31EA"/>
    <w:rsid w:val="00BB386E"/>
    <w:rsid w:val="00BB3A57"/>
    <w:rsid w:val="00BB3CC0"/>
    <w:rsid w:val="00BB3DD8"/>
    <w:rsid w:val="00BB400B"/>
    <w:rsid w:val="00BB41E3"/>
    <w:rsid w:val="00BB4206"/>
    <w:rsid w:val="00BB45C4"/>
    <w:rsid w:val="00BB464B"/>
    <w:rsid w:val="00BB4775"/>
    <w:rsid w:val="00BB4D93"/>
    <w:rsid w:val="00BB4FDF"/>
    <w:rsid w:val="00BB5528"/>
    <w:rsid w:val="00BB5688"/>
    <w:rsid w:val="00BB56DE"/>
    <w:rsid w:val="00BB58B6"/>
    <w:rsid w:val="00BB63CB"/>
    <w:rsid w:val="00BB65AB"/>
    <w:rsid w:val="00BB6A89"/>
    <w:rsid w:val="00BB71FF"/>
    <w:rsid w:val="00BB72A4"/>
    <w:rsid w:val="00BB754E"/>
    <w:rsid w:val="00BB7CFF"/>
    <w:rsid w:val="00BB7F56"/>
    <w:rsid w:val="00BC037E"/>
    <w:rsid w:val="00BC1110"/>
    <w:rsid w:val="00BC1B34"/>
    <w:rsid w:val="00BC1F82"/>
    <w:rsid w:val="00BC205F"/>
    <w:rsid w:val="00BC21CE"/>
    <w:rsid w:val="00BC227B"/>
    <w:rsid w:val="00BC24FC"/>
    <w:rsid w:val="00BC2ABA"/>
    <w:rsid w:val="00BC2D2C"/>
    <w:rsid w:val="00BC3290"/>
    <w:rsid w:val="00BC36C7"/>
    <w:rsid w:val="00BC3C47"/>
    <w:rsid w:val="00BC3DBB"/>
    <w:rsid w:val="00BC3ED9"/>
    <w:rsid w:val="00BC4B60"/>
    <w:rsid w:val="00BC4D66"/>
    <w:rsid w:val="00BC4F8E"/>
    <w:rsid w:val="00BC5099"/>
    <w:rsid w:val="00BC5586"/>
    <w:rsid w:val="00BC55A4"/>
    <w:rsid w:val="00BC594F"/>
    <w:rsid w:val="00BC5D0F"/>
    <w:rsid w:val="00BC5F32"/>
    <w:rsid w:val="00BC7895"/>
    <w:rsid w:val="00BC79EA"/>
    <w:rsid w:val="00BC7A62"/>
    <w:rsid w:val="00BC7FA2"/>
    <w:rsid w:val="00BD060B"/>
    <w:rsid w:val="00BD0692"/>
    <w:rsid w:val="00BD0FD5"/>
    <w:rsid w:val="00BD107B"/>
    <w:rsid w:val="00BD11A6"/>
    <w:rsid w:val="00BD157A"/>
    <w:rsid w:val="00BD1A9B"/>
    <w:rsid w:val="00BD2122"/>
    <w:rsid w:val="00BD2399"/>
    <w:rsid w:val="00BD26AF"/>
    <w:rsid w:val="00BD2E7D"/>
    <w:rsid w:val="00BD33FE"/>
    <w:rsid w:val="00BD3ACF"/>
    <w:rsid w:val="00BD3B88"/>
    <w:rsid w:val="00BD3FB2"/>
    <w:rsid w:val="00BD424D"/>
    <w:rsid w:val="00BD43BE"/>
    <w:rsid w:val="00BD48D6"/>
    <w:rsid w:val="00BD4925"/>
    <w:rsid w:val="00BD4CA9"/>
    <w:rsid w:val="00BD4F20"/>
    <w:rsid w:val="00BD533A"/>
    <w:rsid w:val="00BD5498"/>
    <w:rsid w:val="00BD5616"/>
    <w:rsid w:val="00BD5703"/>
    <w:rsid w:val="00BD59D9"/>
    <w:rsid w:val="00BD5DD3"/>
    <w:rsid w:val="00BD60AE"/>
    <w:rsid w:val="00BD63B0"/>
    <w:rsid w:val="00BD64EE"/>
    <w:rsid w:val="00BD6553"/>
    <w:rsid w:val="00BD65E1"/>
    <w:rsid w:val="00BD66CD"/>
    <w:rsid w:val="00BD67C0"/>
    <w:rsid w:val="00BD67F8"/>
    <w:rsid w:val="00BD6D2E"/>
    <w:rsid w:val="00BD706C"/>
    <w:rsid w:val="00BD74A4"/>
    <w:rsid w:val="00BD7E9A"/>
    <w:rsid w:val="00BE010E"/>
    <w:rsid w:val="00BE015A"/>
    <w:rsid w:val="00BE076A"/>
    <w:rsid w:val="00BE093D"/>
    <w:rsid w:val="00BE0E27"/>
    <w:rsid w:val="00BE11AE"/>
    <w:rsid w:val="00BE1547"/>
    <w:rsid w:val="00BE17D9"/>
    <w:rsid w:val="00BE2382"/>
    <w:rsid w:val="00BE262A"/>
    <w:rsid w:val="00BE2800"/>
    <w:rsid w:val="00BE2A5E"/>
    <w:rsid w:val="00BE31C9"/>
    <w:rsid w:val="00BE331A"/>
    <w:rsid w:val="00BE336A"/>
    <w:rsid w:val="00BE3611"/>
    <w:rsid w:val="00BE481D"/>
    <w:rsid w:val="00BE4969"/>
    <w:rsid w:val="00BE500E"/>
    <w:rsid w:val="00BE5338"/>
    <w:rsid w:val="00BE5670"/>
    <w:rsid w:val="00BE5980"/>
    <w:rsid w:val="00BE5EB3"/>
    <w:rsid w:val="00BE5F29"/>
    <w:rsid w:val="00BE60F7"/>
    <w:rsid w:val="00BE66CB"/>
    <w:rsid w:val="00BE6922"/>
    <w:rsid w:val="00BE6B7A"/>
    <w:rsid w:val="00BE71FF"/>
    <w:rsid w:val="00BE7504"/>
    <w:rsid w:val="00BE795C"/>
    <w:rsid w:val="00BF0022"/>
    <w:rsid w:val="00BF018F"/>
    <w:rsid w:val="00BF02BD"/>
    <w:rsid w:val="00BF072C"/>
    <w:rsid w:val="00BF0DF7"/>
    <w:rsid w:val="00BF0E94"/>
    <w:rsid w:val="00BF1156"/>
    <w:rsid w:val="00BF1726"/>
    <w:rsid w:val="00BF1C67"/>
    <w:rsid w:val="00BF2846"/>
    <w:rsid w:val="00BF2B29"/>
    <w:rsid w:val="00BF2B8E"/>
    <w:rsid w:val="00BF2DB6"/>
    <w:rsid w:val="00BF2F9D"/>
    <w:rsid w:val="00BF3A49"/>
    <w:rsid w:val="00BF3BDD"/>
    <w:rsid w:val="00BF3CF8"/>
    <w:rsid w:val="00BF3CF9"/>
    <w:rsid w:val="00BF3F44"/>
    <w:rsid w:val="00BF42C4"/>
    <w:rsid w:val="00BF4357"/>
    <w:rsid w:val="00BF46B1"/>
    <w:rsid w:val="00BF50D0"/>
    <w:rsid w:val="00BF5370"/>
    <w:rsid w:val="00BF58B4"/>
    <w:rsid w:val="00BF58E7"/>
    <w:rsid w:val="00BF5E78"/>
    <w:rsid w:val="00BF613D"/>
    <w:rsid w:val="00BF6333"/>
    <w:rsid w:val="00BF65A5"/>
    <w:rsid w:val="00BF6850"/>
    <w:rsid w:val="00BF6FD3"/>
    <w:rsid w:val="00BF7503"/>
    <w:rsid w:val="00BF79C4"/>
    <w:rsid w:val="00BF7AB8"/>
    <w:rsid w:val="00C004BF"/>
    <w:rsid w:val="00C009C9"/>
    <w:rsid w:val="00C00D2A"/>
    <w:rsid w:val="00C00EDB"/>
    <w:rsid w:val="00C01050"/>
    <w:rsid w:val="00C0107F"/>
    <w:rsid w:val="00C01821"/>
    <w:rsid w:val="00C01A1A"/>
    <w:rsid w:val="00C02A0A"/>
    <w:rsid w:val="00C02CFD"/>
    <w:rsid w:val="00C02E95"/>
    <w:rsid w:val="00C0320C"/>
    <w:rsid w:val="00C037C5"/>
    <w:rsid w:val="00C03B06"/>
    <w:rsid w:val="00C04227"/>
    <w:rsid w:val="00C043C9"/>
    <w:rsid w:val="00C04CE9"/>
    <w:rsid w:val="00C05AE6"/>
    <w:rsid w:val="00C065F4"/>
    <w:rsid w:val="00C06818"/>
    <w:rsid w:val="00C06FAC"/>
    <w:rsid w:val="00C06FD8"/>
    <w:rsid w:val="00C075FA"/>
    <w:rsid w:val="00C07740"/>
    <w:rsid w:val="00C0783B"/>
    <w:rsid w:val="00C0785E"/>
    <w:rsid w:val="00C07E1B"/>
    <w:rsid w:val="00C101D7"/>
    <w:rsid w:val="00C10918"/>
    <w:rsid w:val="00C10933"/>
    <w:rsid w:val="00C10C1E"/>
    <w:rsid w:val="00C10CAE"/>
    <w:rsid w:val="00C11C38"/>
    <w:rsid w:val="00C11D49"/>
    <w:rsid w:val="00C11FA4"/>
    <w:rsid w:val="00C12468"/>
    <w:rsid w:val="00C12947"/>
    <w:rsid w:val="00C12FE2"/>
    <w:rsid w:val="00C1310B"/>
    <w:rsid w:val="00C131B3"/>
    <w:rsid w:val="00C13316"/>
    <w:rsid w:val="00C13883"/>
    <w:rsid w:val="00C13ECF"/>
    <w:rsid w:val="00C14036"/>
    <w:rsid w:val="00C1419C"/>
    <w:rsid w:val="00C14471"/>
    <w:rsid w:val="00C146A3"/>
    <w:rsid w:val="00C149CA"/>
    <w:rsid w:val="00C14D85"/>
    <w:rsid w:val="00C152CD"/>
    <w:rsid w:val="00C15836"/>
    <w:rsid w:val="00C15916"/>
    <w:rsid w:val="00C15981"/>
    <w:rsid w:val="00C159B7"/>
    <w:rsid w:val="00C15D5E"/>
    <w:rsid w:val="00C15DC9"/>
    <w:rsid w:val="00C15E7B"/>
    <w:rsid w:val="00C1656D"/>
    <w:rsid w:val="00C16CF7"/>
    <w:rsid w:val="00C172D3"/>
    <w:rsid w:val="00C17A21"/>
    <w:rsid w:val="00C201C5"/>
    <w:rsid w:val="00C2021B"/>
    <w:rsid w:val="00C203AE"/>
    <w:rsid w:val="00C20541"/>
    <w:rsid w:val="00C207B3"/>
    <w:rsid w:val="00C207CE"/>
    <w:rsid w:val="00C20883"/>
    <w:rsid w:val="00C20F17"/>
    <w:rsid w:val="00C20F1E"/>
    <w:rsid w:val="00C20FBD"/>
    <w:rsid w:val="00C211F2"/>
    <w:rsid w:val="00C21B37"/>
    <w:rsid w:val="00C225E7"/>
    <w:rsid w:val="00C228B6"/>
    <w:rsid w:val="00C22D3F"/>
    <w:rsid w:val="00C22D7C"/>
    <w:rsid w:val="00C22F34"/>
    <w:rsid w:val="00C231DF"/>
    <w:rsid w:val="00C23E00"/>
    <w:rsid w:val="00C2423B"/>
    <w:rsid w:val="00C24606"/>
    <w:rsid w:val="00C247E4"/>
    <w:rsid w:val="00C247F6"/>
    <w:rsid w:val="00C24866"/>
    <w:rsid w:val="00C24E74"/>
    <w:rsid w:val="00C258B4"/>
    <w:rsid w:val="00C25BDC"/>
    <w:rsid w:val="00C2632D"/>
    <w:rsid w:val="00C26843"/>
    <w:rsid w:val="00C27145"/>
    <w:rsid w:val="00C27C61"/>
    <w:rsid w:val="00C27E12"/>
    <w:rsid w:val="00C27E14"/>
    <w:rsid w:val="00C3098E"/>
    <w:rsid w:val="00C30AD9"/>
    <w:rsid w:val="00C30AFF"/>
    <w:rsid w:val="00C30B9E"/>
    <w:rsid w:val="00C31CE8"/>
    <w:rsid w:val="00C331F0"/>
    <w:rsid w:val="00C3342F"/>
    <w:rsid w:val="00C334C7"/>
    <w:rsid w:val="00C338DC"/>
    <w:rsid w:val="00C33D1D"/>
    <w:rsid w:val="00C34053"/>
    <w:rsid w:val="00C343FF"/>
    <w:rsid w:val="00C34C9C"/>
    <w:rsid w:val="00C34E9D"/>
    <w:rsid w:val="00C34FA6"/>
    <w:rsid w:val="00C3590C"/>
    <w:rsid w:val="00C35B94"/>
    <w:rsid w:val="00C35D05"/>
    <w:rsid w:val="00C361A5"/>
    <w:rsid w:val="00C364BE"/>
    <w:rsid w:val="00C365BB"/>
    <w:rsid w:val="00C368AF"/>
    <w:rsid w:val="00C36D54"/>
    <w:rsid w:val="00C37623"/>
    <w:rsid w:val="00C37817"/>
    <w:rsid w:val="00C37BC3"/>
    <w:rsid w:val="00C37FF7"/>
    <w:rsid w:val="00C40EB2"/>
    <w:rsid w:val="00C41409"/>
    <w:rsid w:val="00C41770"/>
    <w:rsid w:val="00C41B60"/>
    <w:rsid w:val="00C41DBB"/>
    <w:rsid w:val="00C41DC1"/>
    <w:rsid w:val="00C41E30"/>
    <w:rsid w:val="00C41F49"/>
    <w:rsid w:val="00C41FAA"/>
    <w:rsid w:val="00C4275A"/>
    <w:rsid w:val="00C42A65"/>
    <w:rsid w:val="00C42E5B"/>
    <w:rsid w:val="00C433B4"/>
    <w:rsid w:val="00C43604"/>
    <w:rsid w:val="00C43E04"/>
    <w:rsid w:val="00C43E6E"/>
    <w:rsid w:val="00C43EEC"/>
    <w:rsid w:val="00C44374"/>
    <w:rsid w:val="00C4441F"/>
    <w:rsid w:val="00C44650"/>
    <w:rsid w:val="00C44C39"/>
    <w:rsid w:val="00C454A3"/>
    <w:rsid w:val="00C45523"/>
    <w:rsid w:val="00C456D6"/>
    <w:rsid w:val="00C45F3C"/>
    <w:rsid w:val="00C46127"/>
    <w:rsid w:val="00C46879"/>
    <w:rsid w:val="00C4765B"/>
    <w:rsid w:val="00C501AE"/>
    <w:rsid w:val="00C50531"/>
    <w:rsid w:val="00C5089D"/>
    <w:rsid w:val="00C50A0A"/>
    <w:rsid w:val="00C50E8E"/>
    <w:rsid w:val="00C51022"/>
    <w:rsid w:val="00C5102C"/>
    <w:rsid w:val="00C5105E"/>
    <w:rsid w:val="00C511D0"/>
    <w:rsid w:val="00C51448"/>
    <w:rsid w:val="00C51B3A"/>
    <w:rsid w:val="00C52B1B"/>
    <w:rsid w:val="00C5314E"/>
    <w:rsid w:val="00C5336B"/>
    <w:rsid w:val="00C53718"/>
    <w:rsid w:val="00C53AD0"/>
    <w:rsid w:val="00C543E1"/>
    <w:rsid w:val="00C545A0"/>
    <w:rsid w:val="00C548A6"/>
    <w:rsid w:val="00C54B7C"/>
    <w:rsid w:val="00C54BAE"/>
    <w:rsid w:val="00C54D06"/>
    <w:rsid w:val="00C54DD7"/>
    <w:rsid w:val="00C550DA"/>
    <w:rsid w:val="00C56015"/>
    <w:rsid w:val="00C5606D"/>
    <w:rsid w:val="00C57614"/>
    <w:rsid w:val="00C5780F"/>
    <w:rsid w:val="00C5791C"/>
    <w:rsid w:val="00C57B63"/>
    <w:rsid w:val="00C57DCC"/>
    <w:rsid w:val="00C57E23"/>
    <w:rsid w:val="00C60558"/>
    <w:rsid w:val="00C60AD4"/>
    <w:rsid w:val="00C61008"/>
    <w:rsid w:val="00C617AE"/>
    <w:rsid w:val="00C61B2C"/>
    <w:rsid w:val="00C61CCE"/>
    <w:rsid w:val="00C61DA6"/>
    <w:rsid w:val="00C61E5B"/>
    <w:rsid w:val="00C62633"/>
    <w:rsid w:val="00C628E2"/>
    <w:rsid w:val="00C63125"/>
    <w:rsid w:val="00C632CF"/>
    <w:rsid w:val="00C63750"/>
    <w:rsid w:val="00C637AE"/>
    <w:rsid w:val="00C63DB4"/>
    <w:rsid w:val="00C6468A"/>
    <w:rsid w:val="00C64D93"/>
    <w:rsid w:val="00C64EF0"/>
    <w:rsid w:val="00C65EC3"/>
    <w:rsid w:val="00C6628B"/>
    <w:rsid w:val="00C6664E"/>
    <w:rsid w:val="00C670C3"/>
    <w:rsid w:val="00C6758D"/>
    <w:rsid w:val="00C6763B"/>
    <w:rsid w:val="00C678CA"/>
    <w:rsid w:val="00C67B77"/>
    <w:rsid w:val="00C67BC2"/>
    <w:rsid w:val="00C67D3B"/>
    <w:rsid w:val="00C67D87"/>
    <w:rsid w:val="00C7001D"/>
    <w:rsid w:val="00C702D2"/>
    <w:rsid w:val="00C7069B"/>
    <w:rsid w:val="00C709F4"/>
    <w:rsid w:val="00C70C07"/>
    <w:rsid w:val="00C7129E"/>
    <w:rsid w:val="00C71718"/>
    <w:rsid w:val="00C71979"/>
    <w:rsid w:val="00C71D22"/>
    <w:rsid w:val="00C71EF8"/>
    <w:rsid w:val="00C72876"/>
    <w:rsid w:val="00C72930"/>
    <w:rsid w:val="00C72AEE"/>
    <w:rsid w:val="00C73F94"/>
    <w:rsid w:val="00C744E0"/>
    <w:rsid w:val="00C745B0"/>
    <w:rsid w:val="00C74AC0"/>
    <w:rsid w:val="00C751B1"/>
    <w:rsid w:val="00C752AF"/>
    <w:rsid w:val="00C75696"/>
    <w:rsid w:val="00C75C72"/>
    <w:rsid w:val="00C76166"/>
    <w:rsid w:val="00C7646B"/>
    <w:rsid w:val="00C76581"/>
    <w:rsid w:val="00C774F7"/>
    <w:rsid w:val="00C77563"/>
    <w:rsid w:val="00C7771C"/>
    <w:rsid w:val="00C77877"/>
    <w:rsid w:val="00C77967"/>
    <w:rsid w:val="00C779D5"/>
    <w:rsid w:val="00C8018D"/>
    <w:rsid w:val="00C806AB"/>
    <w:rsid w:val="00C8097C"/>
    <w:rsid w:val="00C80A4C"/>
    <w:rsid w:val="00C80C68"/>
    <w:rsid w:val="00C80FE3"/>
    <w:rsid w:val="00C813CE"/>
    <w:rsid w:val="00C81568"/>
    <w:rsid w:val="00C815D7"/>
    <w:rsid w:val="00C81BAE"/>
    <w:rsid w:val="00C81EFE"/>
    <w:rsid w:val="00C82812"/>
    <w:rsid w:val="00C82DC4"/>
    <w:rsid w:val="00C82DFF"/>
    <w:rsid w:val="00C83271"/>
    <w:rsid w:val="00C83346"/>
    <w:rsid w:val="00C8351A"/>
    <w:rsid w:val="00C83A12"/>
    <w:rsid w:val="00C83AF8"/>
    <w:rsid w:val="00C83BBE"/>
    <w:rsid w:val="00C83C3D"/>
    <w:rsid w:val="00C84400"/>
    <w:rsid w:val="00C847E6"/>
    <w:rsid w:val="00C84FD4"/>
    <w:rsid w:val="00C85598"/>
    <w:rsid w:val="00C85737"/>
    <w:rsid w:val="00C85AB7"/>
    <w:rsid w:val="00C85DA4"/>
    <w:rsid w:val="00C86387"/>
    <w:rsid w:val="00C8696F"/>
    <w:rsid w:val="00C86EB9"/>
    <w:rsid w:val="00C87011"/>
    <w:rsid w:val="00C87074"/>
    <w:rsid w:val="00C871DD"/>
    <w:rsid w:val="00C8746D"/>
    <w:rsid w:val="00C90794"/>
    <w:rsid w:val="00C90FFB"/>
    <w:rsid w:val="00C91086"/>
    <w:rsid w:val="00C913A5"/>
    <w:rsid w:val="00C913DB"/>
    <w:rsid w:val="00C915AA"/>
    <w:rsid w:val="00C917E9"/>
    <w:rsid w:val="00C91C4C"/>
    <w:rsid w:val="00C9244F"/>
    <w:rsid w:val="00C926AF"/>
    <w:rsid w:val="00C9279D"/>
    <w:rsid w:val="00C9310B"/>
    <w:rsid w:val="00C93617"/>
    <w:rsid w:val="00C93B77"/>
    <w:rsid w:val="00C9465B"/>
    <w:rsid w:val="00C948D5"/>
    <w:rsid w:val="00C948E5"/>
    <w:rsid w:val="00C94DFE"/>
    <w:rsid w:val="00C95086"/>
    <w:rsid w:val="00C9510E"/>
    <w:rsid w:val="00C957B1"/>
    <w:rsid w:val="00C95954"/>
    <w:rsid w:val="00C95A40"/>
    <w:rsid w:val="00C95AF0"/>
    <w:rsid w:val="00C95B23"/>
    <w:rsid w:val="00C95B98"/>
    <w:rsid w:val="00C95E73"/>
    <w:rsid w:val="00C960F4"/>
    <w:rsid w:val="00C96453"/>
    <w:rsid w:val="00C9681C"/>
    <w:rsid w:val="00C969F0"/>
    <w:rsid w:val="00C96C73"/>
    <w:rsid w:val="00C974B7"/>
    <w:rsid w:val="00C97834"/>
    <w:rsid w:val="00C97C39"/>
    <w:rsid w:val="00CA000D"/>
    <w:rsid w:val="00CA0032"/>
    <w:rsid w:val="00CA0F21"/>
    <w:rsid w:val="00CA0F58"/>
    <w:rsid w:val="00CA0FC9"/>
    <w:rsid w:val="00CA1385"/>
    <w:rsid w:val="00CA1AAA"/>
    <w:rsid w:val="00CA1EC4"/>
    <w:rsid w:val="00CA215C"/>
    <w:rsid w:val="00CA2922"/>
    <w:rsid w:val="00CA2AF8"/>
    <w:rsid w:val="00CA2EAA"/>
    <w:rsid w:val="00CA32C3"/>
    <w:rsid w:val="00CA368D"/>
    <w:rsid w:val="00CA3821"/>
    <w:rsid w:val="00CA397E"/>
    <w:rsid w:val="00CA3B1D"/>
    <w:rsid w:val="00CA3FF0"/>
    <w:rsid w:val="00CA403C"/>
    <w:rsid w:val="00CA4332"/>
    <w:rsid w:val="00CA484F"/>
    <w:rsid w:val="00CA4ABA"/>
    <w:rsid w:val="00CA4C3C"/>
    <w:rsid w:val="00CA5279"/>
    <w:rsid w:val="00CA538C"/>
    <w:rsid w:val="00CA539A"/>
    <w:rsid w:val="00CA53A8"/>
    <w:rsid w:val="00CA546A"/>
    <w:rsid w:val="00CA5589"/>
    <w:rsid w:val="00CA5E5C"/>
    <w:rsid w:val="00CA5F43"/>
    <w:rsid w:val="00CA608D"/>
    <w:rsid w:val="00CA6597"/>
    <w:rsid w:val="00CA65C4"/>
    <w:rsid w:val="00CA6B40"/>
    <w:rsid w:val="00CA6DEF"/>
    <w:rsid w:val="00CA7369"/>
    <w:rsid w:val="00CA73CE"/>
    <w:rsid w:val="00CA7879"/>
    <w:rsid w:val="00CA7AF1"/>
    <w:rsid w:val="00CA7E26"/>
    <w:rsid w:val="00CA7F8C"/>
    <w:rsid w:val="00CB08A5"/>
    <w:rsid w:val="00CB0F99"/>
    <w:rsid w:val="00CB1068"/>
    <w:rsid w:val="00CB11C5"/>
    <w:rsid w:val="00CB1256"/>
    <w:rsid w:val="00CB1444"/>
    <w:rsid w:val="00CB14DD"/>
    <w:rsid w:val="00CB1682"/>
    <w:rsid w:val="00CB1DF6"/>
    <w:rsid w:val="00CB24C4"/>
    <w:rsid w:val="00CB2549"/>
    <w:rsid w:val="00CB296B"/>
    <w:rsid w:val="00CB35B3"/>
    <w:rsid w:val="00CB384E"/>
    <w:rsid w:val="00CB3D6A"/>
    <w:rsid w:val="00CB3DF3"/>
    <w:rsid w:val="00CB413B"/>
    <w:rsid w:val="00CB4338"/>
    <w:rsid w:val="00CB45F8"/>
    <w:rsid w:val="00CB46A0"/>
    <w:rsid w:val="00CB47D3"/>
    <w:rsid w:val="00CB4BA2"/>
    <w:rsid w:val="00CB4C1D"/>
    <w:rsid w:val="00CB545D"/>
    <w:rsid w:val="00CB5473"/>
    <w:rsid w:val="00CB5527"/>
    <w:rsid w:val="00CB55FF"/>
    <w:rsid w:val="00CB577E"/>
    <w:rsid w:val="00CB5986"/>
    <w:rsid w:val="00CB5A48"/>
    <w:rsid w:val="00CB5C2A"/>
    <w:rsid w:val="00CB63AF"/>
    <w:rsid w:val="00CB649A"/>
    <w:rsid w:val="00CB6608"/>
    <w:rsid w:val="00CB764A"/>
    <w:rsid w:val="00CB7743"/>
    <w:rsid w:val="00CB788A"/>
    <w:rsid w:val="00CB7C86"/>
    <w:rsid w:val="00CB7FCC"/>
    <w:rsid w:val="00CC00AA"/>
    <w:rsid w:val="00CC0ADC"/>
    <w:rsid w:val="00CC0BD6"/>
    <w:rsid w:val="00CC1262"/>
    <w:rsid w:val="00CC1519"/>
    <w:rsid w:val="00CC1570"/>
    <w:rsid w:val="00CC15BA"/>
    <w:rsid w:val="00CC181B"/>
    <w:rsid w:val="00CC2229"/>
    <w:rsid w:val="00CC26B1"/>
    <w:rsid w:val="00CC2813"/>
    <w:rsid w:val="00CC29F9"/>
    <w:rsid w:val="00CC34E4"/>
    <w:rsid w:val="00CC35E9"/>
    <w:rsid w:val="00CC382D"/>
    <w:rsid w:val="00CC384E"/>
    <w:rsid w:val="00CC390A"/>
    <w:rsid w:val="00CC4087"/>
    <w:rsid w:val="00CC45E1"/>
    <w:rsid w:val="00CC470E"/>
    <w:rsid w:val="00CC48D0"/>
    <w:rsid w:val="00CC4E84"/>
    <w:rsid w:val="00CC4F56"/>
    <w:rsid w:val="00CC5000"/>
    <w:rsid w:val="00CC50CC"/>
    <w:rsid w:val="00CC559C"/>
    <w:rsid w:val="00CC568E"/>
    <w:rsid w:val="00CC5AB7"/>
    <w:rsid w:val="00CC6102"/>
    <w:rsid w:val="00CC6344"/>
    <w:rsid w:val="00CC6446"/>
    <w:rsid w:val="00CC6469"/>
    <w:rsid w:val="00CC6CBC"/>
    <w:rsid w:val="00CC6CEF"/>
    <w:rsid w:val="00CC7268"/>
    <w:rsid w:val="00CC7385"/>
    <w:rsid w:val="00CC795A"/>
    <w:rsid w:val="00CC7CDB"/>
    <w:rsid w:val="00CC7DE5"/>
    <w:rsid w:val="00CC7E49"/>
    <w:rsid w:val="00CC7FE5"/>
    <w:rsid w:val="00CD0112"/>
    <w:rsid w:val="00CD0B6F"/>
    <w:rsid w:val="00CD0CD0"/>
    <w:rsid w:val="00CD0FA1"/>
    <w:rsid w:val="00CD12A5"/>
    <w:rsid w:val="00CD1863"/>
    <w:rsid w:val="00CD18B7"/>
    <w:rsid w:val="00CD1952"/>
    <w:rsid w:val="00CD1C36"/>
    <w:rsid w:val="00CD1DB0"/>
    <w:rsid w:val="00CD1F7C"/>
    <w:rsid w:val="00CD208D"/>
    <w:rsid w:val="00CD24DB"/>
    <w:rsid w:val="00CD2A32"/>
    <w:rsid w:val="00CD2A66"/>
    <w:rsid w:val="00CD2CFE"/>
    <w:rsid w:val="00CD2FA1"/>
    <w:rsid w:val="00CD3AC3"/>
    <w:rsid w:val="00CD3B18"/>
    <w:rsid w:val="00CD474F"/>
    <w:rsid w:val="00CD47C0"/>
    <w:rsid w:val="00CD4A0E"/>
    <w:rsid w:val="00CD4EAF"/>
    <w:rsid w:val="00CD5250"/>
    <w:rsid w:val="00CD5631"/>
    <w:rsid w:val="00CD5A82"/>
    <w:rsid w:val="00CD5C41"/>
    <w:rsid w:val="00CD5E33"/>
    <w:rsid w:val="00CD6003"/>
    <w:rsid w:val="00CD61A6"/>
    <w:rsid w:val="00CD6385"/>
    <w:rsid w:val="00CD6621"/>
    <w:rsid w:val="00CD6873"/>
    <w:rsid w:val="00CD68EE"/>
    <w:rsid w:val="00CD6ACD"/>
    <w:rsid w:val="00CD7024"/>
    <w:rsid w:val="00CD7063"/>
    <w:rsid w:val="00CD7288"/>
    <w:rsid w:val="00CD7D8B"/>
    <w:rsid w:val="00CD7DE7"/>
    <w:rsid w:val="00CE01B7"/>
    <w:rsid w:val="00CE059E"/>
    <w:rsid w:val="00CE0955"/>
    <w:rsid w:val="00CE0F47"/>
    <w:rsid w:val="00CE0FB1"/>
    <w:rsid w:val="00CE129F"/>
    <w:rsid w:val="00CE15C8"/>
    <w:rsid w:val="00CE17DF"/>
    <w:rsid w:val="00CE1980"/>
    <w:rsid w:val="00CE1AC7"/>
    <w:rsid w:val="00CE1B6A"/>
    <w:rsid w:val="00CE1E2E"/>
    <w:rsid w:val="00CE2BC3"/>
    <w:rsid w:val="00CE2DEB"/>
    <w:rsid w:val="00CE306D"/>
    <w:rsid w:val="00CE3269"/>
    <w:rsid w:val="00CE362A"/>
    <w:rsid w:val="00CE3DF8"/>
    <w:rsid w:val="00CE3ED8"/>
    <w:rsid w:val="00CE49B6"/>
    <w:rsid w:val="00CE4B88"/>
    <w:rsid w:val="00CE52BC"/>
    <w:rsid w:val="00CE541E"/>
    <w:rsid w:val="00CE550D"/>
    <w:rsid w:val="00CE5AA8"/>
    <w:rsid w:val="00CE6152"/>
    <w:rsid w:val="00CE618F"/>
    <w:rsid w:val="00CE6A0D"/>
    <w:rsid w:val="00CE779E"/>
    <w:rsid w:val="00CE7B3B"/>
    <w:rsid w:val="00CE7D18"/>
    <w:rsid w:val="00CE7E6D"/>
    <w:rsid w:val="00CF07AC"/>
    <w:rsid w:val="00CF1384"/>
    <w:rsid w:val="00CF19B8"/>
    <w:rsid w:val="00CF1A90"/>
    <w:rsid w:val="00CF1C86"/>
    <w:rsid w:val="00CF1E5B"/>
    <w:rsid w:val="00CF2438"/>
    <w:rsid w:val="00CF2B84"/>
    <w:rsid w:val="00CF3985"/>
    <w:rsid w:val="00CF399C"/>
    <w:rsid w:val="00CF3DCD"/>
    <w:rsid w:val="00CF41E6"/>
    <w:rsid w:val="00CF4B34"/>
    <w:rsid w:val="00CF4F72"/>
    <w:rsid w:val="00CF531C"/>
    <w:rsid w:val="00CF53AC"/>
    <w:rsid w:val="00CF5B08"/>
    <w:rsid w:val="00CF5C35"/>
    <w:rsid w:val="00CF5D5C"/>
    <w:rsid w:val="00CF60EC"/>
    <w:rsid w:val="00CF63C2"/>
    <w:rsid w:val="00CF67D9"/>
    <w:rsid w:val="00CF6974"/>
    <w:rsid w:val="00CF79B5"/>
    <w:rsid w:val="00CF7AFE"/>
    <w:rsid w:val="00CF7ED9"/>
    <w:rsid w:val="00CF7FFC"/>
    <w:rsid w:val="00D00606"/>
    <w:rsid w:val="00D00745"/>
    <w:rsid w:val="00D00D5C"/>
    <w:rsid w:val="00D00DB3"/>
    <w:rsid w:val="00D0130B"/>
    <w:rsid w:val="00D01708"/>
    <w:rsid w:val="00D01A2D"/>
    <w:rsid w:val="00D01FC0"/>
    <w:rsid w:val="00D02122"/>
    <w:rsid w:val="00D02EB9"/>
    <w:rsid w:val="00D049B6"/>
    <w:rsid w:val="00D0515F"/>
    <w:rsid w:val="00D061BF"/>
    <w:rsid w:val="00D064E2"/>
    <w:rsid w:val="00D066D4"/>
    <w:rsid w:val="00D067B5"/>
    <w:rsid w:val="00D07522"/>
    <w:rsid w:val="00D0779A"/>
    <w:rsid w:val="00D079E7"/>
    <w:rsid w:val="00D07CE2"/>
    <w:rsid w:val="00D07EE0"/>
    <w:rsid w:val="00D10044"/>
    <w:rsid w:val="00D103F7"/>
    <w:rsid w:val="00D10A6F"/>
    <w:rsid w:val="00D1137A"/>
    <w:rsid w:val="00D11A88"/>
    <w:rsid w:val="00D11B80"/>
    <w:rsid w:val="00D123C7"/>
    <w:rsid w:val="00D128F2"/>
    <w:rsid w:val="00D1296D"/>
    <w:rsid w:val="00D12D0B"/>
    <w:rsid w:val="00D12F69"/>
    <w:rsid w:val="00D1348D"/>
    <w:rsid w:val="00D138AE"/>
    <w:rsid w:val="00D13E19"/>
    <w:rsid w:val="00D141BD"/>
    <w:rsid w:val="00D14E83"/>
    <w:rsid w:val="00D1562D"/>
    <w:rsid w:val="00D15E53"/>
    <w:rsid w:val="00D161CC"/>
    <w:rsid w:val="00D16264"/>
    <w:rsid w:val="00D1698A"/>
    <w:rsid w:val="00D16A09"/>
    <w:rsid w:val="00D16DFB"/>
    <w:rsid w:val="00D17188"/>
    <w:rsid w:val="00D17371"/>
    <w:rsid w:val="00D1759A"/>
    <w:rsid w:val="00D17823"/>
    <w:rsid w:val="00D17C7C"/>
    <w:rsid w:val="00D20899"/>
    <w:rsid w:val="00D2096A"/>
    <w:rsid w:val="00D20B03"/>
    <w:rsid w:val="00D20B9C"/>
    <w:rsid w:val="00D220D1"/>
    <w:rsid w:val="00D223E0"/>
    <w:rsid w:val="00D2303B"/>
    <w:rsid w:val="00D23264"/>
    <w:rsid w:val="00D2334E"/>
    <w:rsid w:val="00D23440"/>
    <w:rsid w:val="00D2377C"/>
    <w:rsid w:val="00D2403E"/>
    <w:rsid w:val="00D242FE"/>
    <w:rsid w:val="00D24395"/>
    <w:rsid w:val="00D24E63"/>
    <w:rsid w:val="00D252F5"/>
    <w:rsid w:val="00D25364"/>
    <w:rsid w:val="00D25384"/>
    <w:rsid w:val="00D25ACE"/>
    <w:rsid w:val="00D25AE0"/>
    <w:rsid w:val="00D25B2C"/>
    <w:rsid w:val="00D25ED3"/>
    <w:rsid w:val="00D25FB6"/>
    <w:rsid w:val="00D2638B"/>
    <w:rsid w:val="00D26A24"/>
    <w:rsid w:val="00D26DE3"/>
    <w:rsid w:val="00D270D7"/>
    <w:rsid w:val="00D27462"/>
    <w:rsid w:val="00D27C0C"/>
    <w:rsid w:val="00D3009F"/>
    <w:rsid w:val="00D30108"/>
    <w:rsid w:val="00D301E2"/>
    <w:rsid w:val="00D30491"/>
    <w:rsid w:val="00D30E00"/>
    <w:rsid w:val="00D31319"/>
    <w:rsid w:val="00D315B7"/>
    <w:rsid w:val="00D31CC1"/>
    <w:rsid w:val="00D32115"/>
    <w:rsid w:val="00D3266B"/>
    <w:rsid w:val="00D32688"/>
    <w:rsid w:val="00D328E4"/>
    <w:rsid w:val="00D32D11"/>
    <w:rsid w:val="00D32D9B"/>
    <w:rsid w:val="00D32F3C"/>
    <w:rsid w:val="00D3314E"/>
    <w:rsid w:val="00D33BDF"/>
    <w:rsid w:val="00D340C9"/>
    <w:rsid w:val="00D341D5"/>
    <w:rsid w:val="00D34402"/>
    <w:rsid w:val="00D34421"/>
    <w:rsid w:val="00D348D0"/>
    <w:rsid w:val="00D350C6"/>
    <w:rsid w:val="00D35176"/>
    <w:rsid w:val="00D3565A"/>
    <w:rsid w:val="00D357FB"/>
    <w:rsid w:val="00D35AFE"/>
    <w:rsid w:val="00D35B10"/>
    <w:rsid w:val="00D35B5E"/>
    <w:rsid w:val="00D35F4C"/>
    <w:rsid w:val="00D362DD"/>
    <w:rsid w:val="00D3683A"/>
    <w:rsid w:val="00D36BBD"/>
    <w:rsid w:val="00D36BF2"/>
    <w:rsid w:val="00D371E6"/>
    <w:rsid w:val="00D37869"/>
    <w:rsid w:val="00D37C0F"/>
    <w:rsid w:val="00D4024C"/>
    <w:rsid w:val="00D40383"/>
    <w:rsid w:val="00D40693"/>
    <w:rsid w:val="00D406BC"/>
    <w:rsid w:val="00D408C6"/>
    <w:rsid w:val="00D40A49"/>
    <w:rsid w:val="00D40FA5"/>
    <w:rsid w:val="00D4119D"/>
    <w:rsid w:val="00D4133E"/>
    <w:rsid w:val="00D417A4"/>
    <w:rsid w:val="00D41E02"/>
    <w:rsid w:val="00D41EBB"/>
    <w:rsid w:val="00D42316"/>
    <w:rsid w:val="00D4245A"/>
    <w:rsid w:val="00D42644"/>
    <w:rsid w:val="00D426E5"/>
    <w:rsid w:val="00D427B3"/>
    <w:rsid w:val="00D42ECC"/>
    <w:rsid w:val="00D42F53"/>
    <w:rsid w:val="00D430D8"/>
    <w:rsid w:val="00D433EE"/>
    <w:rsid w:val="00D43505"/>
    <w:rsid w:val="00D4379E"/>
    <w:rsid w:val="00D4405A"/>
    <w:rsid w:val="00D44CAF"/>
    <w:rsid w:val="00D4586E"/>
    <w:rsid w:val="00D45E2F"/>
    <w:rsid w:val="00D46595"/>
    <w:rsid w:val="00D466DF"/>
    <w:rsid w:val="00D4686D"/>
    <w:rsid w:val="00D46B0E"/>
    <w:rsid w:val="00D47689"/>
    <w:rsid w:val="00D4791A"/>
    <w:rsid w:val="00D4798B"/>
    <w:rsid w:val="00D479B9"/>
    <w:rsid w:val="00D47A08"/>
    <w:rsid w:val="00D503C0"/>
    <w:rsid w:val="00D50A2E"/>
    <w:rsid w:val="00D50B9A"/>
    <w:rsid w:val="00D50E4F"/>
    <w:rsid w:val="00D50FDF"/>
    <w:rsid w:val="00D5149B"/>
    <w:rsid w:val="00D5174A"/>
    <w:rsid w:val="00D51B35"/>
    <w:rsid w:val="00D51CA6"/>
    <w:rsid w:val="00D523CD"/>
    <w:rsid w:val="00D52407"/>
    <w:rsid w:val="00D525C6"/>
    <w:rsid w:val="00D5383E"/>
    <w:rsid w:val="00D53ABF"/>
    <w:rsid w:val="00D53C70"/>
    <w:rsid w:val="00D53C86"/>
    <w:rsid w:val="00D53EDE"/>
    <w:rsid w:val="00D5460E"/>
    <w:rsid w:val="00D54C68"/>
    <w:rsid w:val="00D556B5"/>
    <w:rsid w:val="00D55A1D"/>
    <w:rsid w:val="00D56169"/>
    <w:rsid w:val="00D57090"/>
    <w:rsid w:val="00D57659"/>
    <w:rsid w:val="00D57740"/>
    <w:rsid w:val="00D57CAF"/>
    <w:rsid w:val="00D6071C"/>
    <w:rsid w:val="00D60C74"/>
    <w:rsid w:val="00D6111B"/>
    <w:rsid w:val="00D61A28"/>
    <w:rsid w:val="00D61FED"/>
    <w:rsid w:val="00D62159"/>
    <w:rsid w:val="00D6225F"/>
    <w:rsid w:val="00D6227F"/>
    <w:rsid w:val="00D62449"/>
    <w:rsid w:val="00D624E0"/>
    <w:rsid w:val="00D62549"/>
    <w:rsid w:val="00D6266C"/>
    <w:rsid w:val="00D62BAF"/>
    <w:rsid w:val="00D6301D"/>
    <w:rsid w:val="00D63115"/>
    <w:rsid w:val="00D63179"/>
    <w:rsid w:val="00D6319B"/>
    <w:rsid w:val="00D63527"/>
    <w:rsid w:val="00D639CA"/>
    <w:rsid w:val="00D63BF7"/>
    <w:rsid w:val="00D63D3E"/>
    <w:rsid w:val="00D63F21"/>
    <w:rsid w:val="00D63FEE"/>
    <w:rsid w:val="00D64611"/>
    <w:rsid w:val="00D64662"/>
    <w:rsid w:val="00D64AAB"/>
    <w:rsid w:val="00D64CA0"/>
    <w:rsid w:val="00D65564"/>
    <w:rsid w:val="00D6570F"/>
    <w:rsid w:val="00D662A7"/>
    <w:rsid w:val="00D66624"/>
    <w:rsid w:val="00D66816"/>
    <w:rsid w:val="00D66862"/>
    <w:rsid w:val="00D66902"/>
    <w:rsid w:val="00D6716E"/>
    <w:rsid w:val="00D67196"/>
    <w:rsid w:val="00D707A9"/>
    <w:rsid w:val="00D707C7"/>
    <w:rsid w:val="00D70C0B"/>
    <w:rsid w:val="00D7160A"/>
    <w:rsid w:val="00D71861"/>
    <w:rsid w:val="00D71BA7"/>
    <w:rsid w:val="00D71D8E"/>
    <w:rsid w:val="00D720C3"/>
    <w:rsid w:val="00D725CC"/>
    <w:rsid w:val="00D72B9B"/>
    <w:rsid w:val="00D73174"/>
    <w:rsid w:val="00D734D8"/>
    <w:rsid w:val="00D7358A"/>
    <w:rsid w:val="00D7371C"/>
    <w:rsid w:val="00D73898"/>
    <w:rsid w:val="00D73F55"/>
    <w:rsid w:val="00D7404F"/>
    <w:rsid w:val="00D748FF"/>
    <w:rsid w:val="00D74EF2"/>
    <w:rsid w:val="00D76217"/>
    <w:rsid w:val="00D762AD"/>
    <w:rsid w:val="00D764A3"/>
    <w:rsid w:val="00D76555"/>
    <w:rsid w:val="00D769F1"/>
    <w:rsid w:val="00D76AE9"/>
    <w:rsid w:val="00D76C6D"/>
    <w:rsid w:val="00D76D73"/>
    <w:rsid w:val="00D772E9"/>
    <w:rsid w:val="00D77353"/>
    <w:rsid w:val="00D77536"/>
    <w:rsid w:val="00D77FA0"/>
    <w:rsid w:val="00D8061D"/>
    <w:rsid w:val="00D806A6"/>
    <w:rsid w:val="00D81372"/>
    <w:rsid w:val="00D818CC"/>
    <w:rsid w:val="00D819BE"/>
    <w:rsid w:val="00D81BB2"/>
    <w:rsid w:val="00D81C0B"/>
    <w:rsid w:val="00D8203F"/>
    <w:rsid w:val="00D8213D"/>
    <w:rsid w:val="00D82522"/>
    <w:rsid w:val="00D82778"/>
    <w:rsid w:val="00D82BDC"/>
    <w:rsid w:val="00D82DD4"/>
    <w:rsid w:val="00D830B5"/>
    <w:rsid w:val="00D83560"/>
    <w:rsid w:val="00D8398D"/>
    <w:rsid w:val="00D848C8"/>
    <w:rsid w:val="00D857D4"/>
    <w:rsid w:val="00D8586C"/>
    <w:rsid w:val="00D85990"/>
    <w:rsid w:val="00D85B1E"/>
    <w:rsid w:val="00D85B7E"/>
    <w:rsid w:val="00D85EEB"/>
    <w:rsid w:val="00D8659B"/>
    <w:rsid w:val="00D86814"/>
    <w:rsid w:val="00D869BE"/>
    <w:rsid w:val="00D86A47"/>
    <w:rsid w:val="00D86C8C"/>
    <w:rsid w:val="00D86D84"/>
    <w:rsid w:val="00D86DF0"/>
    <w:rsid w:val="00D86E2F"/>
    <w:rsid w:val="00D8767F"/>
    <w:rsid w:val="00D87B09"/>
    <w:rsid w:val="00D9014B"/>
    <w:rsid w:val="00D9037A"/>
    <w:rsid w:val="00D908EF"/>
    <w:rsid w:val="00D90CE3"/>
    <w:rsid w:val="00D91070"/>
    <w:rsid w:val="00D91454"/>
    <w:rsid w:val="00D9150D"/>
    <w:rsid w:val="00D91528"/>
    <w:rsid w:val="00D916C6"/>
    <w:rsid w:val="00D918A2"/>
    <w:rsid w:val="00D91C02"/>
    <w:rsid w:val="00D91FB5"/>
    <w:rsid w:val="00D92686"/>
    <w:rsid w:val="00D927CB"/>
    <w:rsid w:val="00D92A14"/>
    <w:rsid w:val="00D92F67"/>
    <w:rsid w:val="00D93050"/>
    <w:rsid w:val="00D93887"/>
    <w:rsid w:val="00D93C21"/>
    <w:rsid w:val="00D93E8F"/>
    <w:rsid w:val="00D9446F"/>
    <w:rsid w:val="00D94482"/>
    <w:rsid w:val="00D944E3"/>
    <w:rsid w:val="00D94694"/>
    <w:rsid w:val="00D950EE"/>
    <w:rsid w:val="00D95601"/>
    <w:rsid w:val="00D9570F"/>
    <w:rsid w:val="00D95816"/>
    <w:rsid w:val="00D9593A"/>
    <w:rsid w:val="00D95A00"/>
    <w:rsid w:val="00D95E4A"/>
    <w:rsid w:val="00D9609E"/>
    <w:rsid w:val="00D967D0"/>
    <w:rsid w:val="00D96B6E"/>
    <w:rsid w:val="00D976D1"/>
    <w:rsid w:val="00D97816"/>
    <w:rsid w:val="00D9787C"/>
    <w:rsid w:val="00D978E9"/>
    <w:rsid w:val="00D978ED"/>
    <w:rsid w:val="00DA02B8"/>
    <w:rsid w:val="00DA032A"/>
    <w:rsid w:val="00DA08E9"/>
    <w:rsid w:val="00DA10A7"/>
    <w:rsid w:val="00DA130C"/>
    <w:rsid w:val="00DA134F"/>
    <w:rsid w:val="00DA137E"/>
    <w:rsid w:val="00DA2219"/>
    <w:rsid w:val="00DA311F"/>
    <w:rsid w:val="00DA39EA"/>
    <w:rsid w:val="00DA3DFE"/>
    <w:rsid w:val="00DA3E9E"/>
    <w:rsid w:val="00DA41AA"/>
    <w:rsid w:val="00DA45A6"/>
    <w:rsid w:val="00DA479B"/>
    <w:rsid w:val="00DA4CE8"/>
    <w:rsid w:val="00DA4FD1"/>
    <w:rsid w:val="00DA4FDD"/>
    <w:rsid w:val="00DA50D0"/>
    <w:rsid w:val="00DA513F"/>
    <w:rsid w:val="00DA5159"/>
    <w:rsid w:val="00DA5699"/>
    <w:rsid w:val="00DA5741"/>
    <w:rsid w:val="00DA5987"/>
    <w:rsid w:val="00DA5AAE"/>
    <w:rsid w:val="00DA5B33"/>
    <w:rsid w:val="00DA6293"/>
    <w:rsid w:val="00DA63D4"/>
    <w:rsid w:val="00DA6D74"/>
    <w:rsid w:val="00DA73CB"/>
    <w:rsid w:val="00DA73ED"/>
    <w:rsid w:val="00DA7918"/>
    <w:rsid w:val="00DA7ACD"/>
    <w:rsid w:val="00DA7E32"/>
    <w:rsid w:val="00DB0152"/>
    <w:rsid w:val="00DB07F7"/>
    <w:rsid w:val="00DB0835"/>
    <w:rsid w:val="00DB0995"/>
    <w:rsid w:val="00DB0C1E"/>
    <w:rsid w:val="00DB0D98"/>
    <w:rsid w:val="00DB11F4"/>
    <w:rsid w:val="00DB1243"/>
    <w:rsid w:val="00DB1C2D"/>
    <w:rsid w:val="00DB1D66"/>
    <w:rsid w:val="00DB1E7C"/>
    <w:rsid w:val="00DB20E4"/>
    <w:rsid w:val="00DB2F11"/>
    <w:rsid w:val="00DB3738"/>
    <w:rsid w:val="00DB394F"/>
    <w:rsid w:val="00DB398C"/>
    <w:rsid w:val="00DB3E2C"/>
    <w:rsid w:val="00DB44AF"/>
    <w:rsid w:val="00DB4F3C"/>
    <w:rsid w:val="00DB5253"/>
    <w:rsid w:val="00DB5292"/>
    <w:rsid w:val="00DB52D9"/>
    <w:rsid w:val="00DB5583"/>
    <w:rsid w:val="00DB587F"/>
    <w:rsid w:val="00DB58A6"/>
    <w:rsid w:val="00DB5CFD"/>
    <w:rsid w:val="00DB62AD"/>
    <w:rsid w:val="00DB6306"/>
    <w:rsid w:val="00DB6C81"/>
    <w:rsid w:val="00DB6C9B"/>
    <w:rsid w:val="00DB7B00"/>
    <w:rsid w:val="00DB7B79"/>
    <w:rsid w:val="00DB7E0F"/>
    <w:rsid w:val="00DC02DC"/>
    <w:rsid w:val="00DC04E5"/>
    <w:rsid w:val="00DC06CA"/>
    <w:rsid w:val="00DC0783"/>
    <w:rsid w:val="00DC0C91"/>
    <w:rsid w:val="00DC0F9F"/>
    <w:rsid w:val="00DC1DE9"/>
    <w:rsid w:val="00DC1EB0"/>
    <w:rsid w:val="00DC2897"/>
    <w:rsid w:val="00DC2C53"/>
    <w:rsid w:val="00DC33A3"/>
    <w:rsid w:val="00DC367D"/>
    <w:rsid w:val="00DC374D"/>
    <w:rsid w:val="00DC3D68"/>
    <w:rsid w:val="00DC3DBF"/>
    <w:rsid w:val="00DC426F"/>
    <w:rsid w:val="00DC43D5"/>
    <w:rsid w:val="00DC46CC"/>
    <w:rsid w:val="00DC4E82"/>
    <w:rsid w:val="00DC4F64"/>
    <w:rsid w:val="00DC51FB"/>
    <w:rsid w:val="00DC602F"/>
    <w:rsid w:val="00DC609C"/>
    <w:rsid w:val="00DC6925"/>
    <w:rsid w:val="00DC6C19"/>
    <w:rsid w:val="00DC6CCF"/>
    <w:rsid w:val="00DC6D89"/>
    <w:rsid w:val="00DC6EC0"/>
    <w:rsid w:val="00DC7261"/>
    <w:rsid w:val="00DC7916"/>
    <w:rsid w:val="00DC7A02"/>
    <w:rsid w:val="00DC7F28"/>
    <w:rsid w:val="00DD0191"/>
    <w:rsid w:val="00DD02FB"/>
    <w:rsid w:val="00DD0378"/>
    <w:rsid w:val="00DD085D"/>
    <w:rsid w:val="00DD105A"/>
    <w:rsid w:val="00DD1389"/>
    <w:rsid w:val="00DD14C8"/>
    <w:rsid w:val="00DD1896"/>
    <w:rsid w:val="00DD1A79"/>
    <w:rsid w:val="00DD1D58"/>
    <w:rsid w:val="00DD1ED0"/>
    <w:rsid w:val="00DD23DA"/>
    <w:rsid w:val="00DD26E5"/>
    <w:rsid w:val="00DD27A7"/>
    <w:rsid w:val="00DD297C"/>
    <w:rsid w:val="00DD2D84"/>
    <w:rsid w:val="00DD3392"/>
    <w:rsid w:val="00DD34CE"/>
    <w:rsid w:val="00DD3530"/>
    <w:rsid w:val="00DD35E1"/>
    <w:rsid w:val="00DD3855"/>
    <w:rsid w:val="00DD3A00"/>
    <w:rsid w:val="00DD3C42"/>
    <w:rsid w:val="00DD485A"/>
    <w:rsid w:val="00DD5241"/>
    <w:rsid w:val="00DD531E"/>
    <w:rsid w:val="00DD5DC1"/>
    <w:rsid w:val="00DD5ECC"/>
    <w:rsid w:val="00DD6043"/>
    <w:rsid w:val="00DD67FC"/>
    <w:rsid w:val="00DD69CC"/>
    <w:rsid w:val="00DD6BB7"/>
    <w:rsid w:val="00DD6BDD"/>
    <w:rsid w:val="00DD6EA3"/>
    <w:rsid w:val="00DD741A"/>
    <w:rsid w:val="00DD78A0"/>
    <w:rsid w:val="00DD796B"/>
    <w:rsid w:val="00DD7A8A"/>
    <w:rsid w:val="00DD7CF6"/>
    <w:rsid w:val="00DE0393"/>
    <w:rsid w:val="00DE04C6"/>
    <w:rsid w:val="00DE08AA"/>
    <w:rsid w:val="00DE0983"/>
    <w:rsid w:val="00DE0D97"/>
    <w:rsid w:val="00DE0E7C"/>
    <w:rsid w:val="00DE11EC"/>
    <w:rsid w:val="00DE12EA"/>
    <w:rsid w:val="00DE1354"/>
    <w:rsid w:val="00DE1674"/>
    <w:rsid w:val="00DE1BA4"/>
    <w:rsid w:val="00DE1C64"/>
    <w:rsid w:val="00DE1F99"/>
    <w:rsid w:val="00DE2745"/>
    <w:rsid w:val="00DE2C44"/>
    <w:rsid w:val="00DE2FC0"/>
    <w:rsid w:val="00DE318B"/>
    <w:rsid w:val="00DE3623"/>
    <w:rsid w:val="00DE394C"/>
    <w:rsid w:val="00DE3B14"/>
    <w:rsid w:val="00DE42EB"/>
    <w:rsid w:val="00DE450A"/>
    <w:rsid w:val="00DE4604"/>
    <w:rsid w:val="00DE4954"/>
    <w:rsid w:val="00DE53D1"/>
    <w:rsid w:val="00DE57B0"/>
    <w:rsid w:val="00DE5B8F"/>
    <w:rsid w:val="00DE62A3"/>
    <w:rsid w:val="00DE65A4"/>
    <w:rsid w:val="00DE66F6"/>
    <w:rsid w:val="00DE69C6"/>
    <w:rsid w:val="00DE6E2F"/>
    <w:rsid w:val="00DE6FA5"/>
    <w:rsid w:val="00DE78C0"/>
    <w:rsid w:val="00DE7A0F"/>
    <w:rsid w:val="00DE7A6A"/>
    <w:rsid w:val="00DF0037"/>
    <w:rsid w:val="00DF0CF5"/>
    <w:rsid w:val="00DF0D08"/>
    <w:rsid w:val="00DF101E"/>
    <w:rsid w:val="00DF168B"/>
    <w:rsid w:val="00DF17D9"/>
    <w:rsid w:val="00DF1AFD"/>
    <w:rsid w:val="00DF1D80"/>
    <w:rsid w:val="00DF2835"/>
    <w:rsid w:val="00DF2DA7"/>
    <w:rsid w:val="00DF2E1D"/>
    <w:rsid w:val="00DF3005"/>
    <w:rsid w:val="00DF3527"/>
    <w:rsid w:val="00DF3627"/>
    <w:rsid w:val="00DF38DC"/>
    <w:rsid w:val="00DF3936"/>
    <w:rsid w:val="00DF3B2C"/>
    <w:rsid w:val="00DF3BC7"/>
    <w:rsid w:val="00DF3CC6"/>
    <w:rsid w:val="00DF3F3D"/>
    <w:rsid w:val="00DF4174"/>
    <w:rsid w:val="00DF42BC"/>
    <w:rsid w:val="00DF42FB"/>
    <w:rsid w:val="00DF4455"/>
    <w:rsid w:val="00DF456E"/>
    <w:rsid w:val="00DF45D4"/>
    <w:rsid w:val="00DF45F3"/>
    <w:rsid w:val="00DF465E"/>
    <w:rsid w:val="00DF469D"/>
    <w:rsid w:val="00DF475B"/>
    <w:rsid w:val="00DF532C"/>
    <w:rsid w:val="00DF55CB"/>
    <w:rsid w:val="00DF59DE"/>
    <w:rsid w:val="00DF5B39"/>
    <w:rsid w:val="00DF65CD"/>
    <w:rsid w:val="00DF666E"/>
    <w:rsid w:val="00DF6748"/>
    <w:rsid w:val="00DF6C57"/>
    <w:rsid w:val="00DF6DAE"/>
    <w:rsid w:val="00DF71D6"/>
    <w:rsid w:val="00DF73EB"/>
    <w:rsid w:val="00DF7709"/>
    <w:rsid w:val="00DF7772"/>
    <w:rsid w:val="00DF7ABA"/>
    <w:rsid w:val="00DF7F32"/>
    <w:rsid w:val="00E00239"/>
    <w:rsid w:val="00E00BC7"/>
    <w:rsid w:val="00E00DEA"/>
    <w:rsid w:val="00E011FC"/>
    <w:rsid w:val="00E012F6"/>
    <w:rsid w:val="00E01E6A"/>
    <w:rsid w:val="00E02DFD"/>
    <w:rsid w:val="00E0356A"/>
    <w:rsid w:val="00E03B0F"/>
    <w:rsid w:val="00E03B31"/>
    <w:rsid w:val="00E03CFF"/>
    <w:rsid w:val="00E04070"/>
    <w:rsid w:val="00E04DF0"/>
    <w:rsid w:val="00E04ED3"/>
    <w:rsid w:val="00E05699"/>
    <w:rsid w:val="00E0596B"/>
    <w:rsid w:val="00E05DA4"/>
    <w:rsid w:val="00E05F8E"/>
    <w:rsid w:val="00E06224"/>
    <w:rsid w:val="00E0625A"/>
    <w:rsid w:val="00E06429"/>
    <w:rsid w:val="00E0697E"/>
    <w:rsid w:val="00E06CC1"/>
    <w:rsid w:val="00E074CF"/>
    <w:rsid w:val="00E078BB"/>
    <w:rsid w:val="00E079BE"/>
    <w:rsid w:val="00E07F6B"/>
    <w:rsid w:val="00E10352"/>
    <w:rsid w:val="00E10983"/>
    <w:rsid w:val="00E10BAA"/>
    <w:rsid w:val="00E1102B"/>
    <w:rsid w:val="00E1153D"/>
    <w:rsid w:val="00E11542"/>
    <w:rsid w:val="00E11E16"/>
    <w:rsid w:val="00E12845"/>
    <w:rsid w:val="00E1367E"/>
    <w:rsid w:val="00E13EB7"/>
    <w:rsid w:val="00E1428C"/>
    <w:rsid w:val="00E14326"/>
    <w:rsid w:val="00E14556"/>
    <w:rsid w:val="00E14614"/>
    <w:rsid w:val="00E14DDA"/>
    <w:rsid w:val="00E151FF"/>
    <w:rsid w:val="00E15403"/>
    <w:rsid w:val="00E15C76"/>
    <w:rsid w:val="00E15CDB"/>
    <w:rsid w:val="00E15D72"/>
    <w:rsid w:val="00E16183"/>
    <w:rsid w:val="00E162A8"/>
    <w:rsid w:val="00E163EA"/>
    <w:rsid w:val="00E164DB"/>
    <w:rsid w:val="00E168DF"/>
    <w:rsid w:val="00E16BEE"/>
    <w:rsid w:val="00E16C87"/>
    <w:rsid w:val="00E173BF"/>
    <w:rsid w:val="00E178C4"/>
    <w:rsid w:val="00E17A0D"/>
    <w:rsid w:val="00E17B44"/>
    <w:rsid w:val="00E17F4A"/>
    <w:rsid w:val="00E20966"/>
    <w:rsid w:val="00E215E9"/>
    <w:rsid w:val="00E21A35"/>
    <w:rsid w:val="00E2264F"/>
    <w:rsid w:val="00E227F5"/>
    <w:rsid w:val="00E22ABF"/>
    <w:rsid w:val="00E22D35"/>
    <w:rsid w:val="00E22DE4"/>
    <w:rsid w:val="00E22E74"/>
    <w:rsid w:val="00E22E9B"/>
    <w:rsid w:val="00E22FD5"/>
    <w:rsid w:val="00E236EE"/>
    <w:rsid w:val="00E2374D"/>
    <w:rsid w:val="00E23C2C"/>
    <w:rsid w:val="00E243E0"/>
    <w:rsid w:val="00E24697"/>
    <w:rsid w:val="00E24AC0"/>
    <w:rsid w:val="00E25315"/>
    <w:rsid w:val="00E25507"/>
    <w:rsid w:val="00E25C36"/>
    <w:rsid w:val="00E2606C"/>
    <w:rsid w:val="00E261DE"/>
    <w:rsid w:val="00E26406"/>
    <w:rsid w:val="00E26C28"/>
    <w:rsid w:val="00E26CED"/>
    <w:rsid w:val="00E26D57"/>
    <w:rsid w:val="00E277E3"/>
    <w:rsid w:val="00E27B20"/>
    <w:rsid w:val="00E27D29"/>
    <w:rsid w:val="00E3038D"/>
    <w:rsid w:val="00E308FA"/>
    <w:rsid w:val="00E30B12"/>
    <w:rsid w:val="00E3112B"/>
    <w:rsid w:val="00E31B47"/>
    <w:rsid w:val="00E32A34"/>
    <w:rsid w:val="00E32A7A"/>
    <w:rsid w:val="00E32DB3"/>
    <w:rsid w:val="00E33151"/>
    <w:rsid w:val="00E33160"/>
    <w:rsid w:val="00E332B2"/>
    <w:rsid w:val="00E33418"/>
    <w:rsid w:val="00E33451"/>
    <w:rsid w:val="00E3393C"/>
    <w:rsid w:val="00E33D53"/>
    <w:rsid w:val="00E34004"/>
    <w:rsid w:val="00E3434F"/>
    <w:rsid w:val="00E3446B"/>
    <w:rsid w:val="00E347E4"/>
    <w:rsid w:val="00E353D9"/>
    <w:rsid w:val="00E3556B"/>
    <w:rsid w:val="00E357CE"/>
    <w:rsid w:val="00E36001"/>
    <w:rsid w:val="00E36312"/>
    <w:rsid w:val="00E363D6"/>
    <w:rsid w:val="00E3648A"/>
    <w:rsid w:val="00E36BB9"/>
    <w:rsid w:val="00E3716D"/>
    <w:rsid w:val="00E37186"/>
    <w:rsid w:val="00E37461"/>
    <w:rsid w:val="00E37CAA"/>
    <w:rsid w:val="00E40437"/>
    <w:rsid w:val="00E409A4"/>
    <w:rsid w:val="00E40AE1"/>
    <w:rsid w:val="00E41E09"/>
    <w:rsid w:val="00E42557"/>
    <w:rsid w:val="00E42B92"/>
    <w:rsid w:val="00E42D3E"/>
    <w:rsid w:val="00E43A9D"/>
    <w:rsid w:val="00E43C34"/>
    <w:rsid w:val="00E43C3C"/>
    <w:rsid w:val="00E443F7"/>
    <w:rsid w:val="00E44B69"/>
    <w:rsid w:val="00E44C1E"/>
    <w:rsid w:val="00E44D9C"/>
    <w:rsid w:val="00E451AA"/>
    <w:rsid w:val="00E45284"/>
    <w:rsid w:val="00E45514"/>
    <w:rsid w:val="00E45BF8"/>
    <w:rsid w:val="00E460CC"/>
    <w:rsid w:val="00E468B6"/>
    <w:rsid w:val="00E46C76"/>
    <w:rsid w:val="00E46EC8"/>
    <w:rsid w:val="00E47122"/>
    <w:rsid w:val="00E47410"/>
    <w:rsid w:val="00E47DED"/>
    <w:rsid w:val="00E47E6B"/>
    <w:rsid w:val="00E47F5D"/>
    <w:rsid w:val="00E5096E"/>
    <w:rsid w:val="00E50E00"/>
    <w:rsid w:val="00E51060"/>
    <w:rsid w:val="00E51A12"/>
    <w:rsid w:val="00E5200C"/>
    <w:rsid w:val="00E52168"/>
    <w:rsid w:val="00E5234C"/>
    <w:rsid w:val="00E52A92"/>
    <w:rsid w:val="00E53599"/>
    <w:rsid w:val="00E53946"/>
    <w:rsid w:val="00E53C42"/>
    <w:rsid w:val="00E53D3B"/>
    <w:rsid w:val="00E54FBA"/>
    <w:rsid w:val="00E5598F"/>
    <w:rsid w:val="00E5599E"/>
    <w:rsid w:val="00E55AA2"/>
    <w:rsid w:val="00E55C49"/>
    <w:rsid w:val="00E55D78"/>
    <w:rsid w:val="00E55EFA"/>
    <w:rsid w:val="00E562F0"/>
    <w:rsid w:val="00E56324"/>
    <w:rsid w:val="00E565A0"/>
    <w:rsid w:val="00E5679D"/>
    <w:rsid w:val="00E56877"/>
    <w:rsid w:val="00E569EC"/>
    <w:rsid w:val="00E56E24"/>
    <w:rsid w:val="00E57245"/>
    <w:rsid w:val="00E57532"/>
    <w:rsid w:val="00E578E4"/>
    <w:rsid w:val="00E57FEB"/>
    <w:rsid w:val="00E6033A"/>
    <w:rsid w:val="00E604F9"/>
    <w:rsid w:val="00E60832"/>
    <w:rsid w:val="00E60C9B"/>
    <w:rsid w:val="00E60EFF"/>
    <w:rsid w:val="00E60F19"/>
    <w:rsid w:val="00E61427"/>
    <w:rsid w:val="00E615B4"/>
    <w:rsid w:val="00E62976"/>
    <w:rsid w:val="00E6297E"/>
    <w:rsid w:val="00E62F5E"/>
    <w:rsid w:val="00E62FC0"/>
    <w:rsid w:val="00E6362A"/>
    <w:rsid w:val="00E63C7E"/>
    <w:rsid w:val="00E63F92"/>
    <w:rsid w:val="00E64351"/>
    <w:rsid w:val="00E64A08"/>
    <w:rsid w:val="00E651D7"/>
    <w:rsid w:val="00E652ED"/>
    <w:rsid w:val="00E65468"/>
    <w:rsid w:val="00E65832"/>
    <w:rsid w:val="00E65BED"/>
    <w:rsid w:val="00E65D17"/>
    <w:rsid w:val="00E65F8A"/>
    <w:rsid w:val="00E661E3"/>
    <w:rsid w:val="00E665DC"/>
    <w:rsid w:val="00E66964"/>
    <w:rsid w:val="00E67B79"/>
    <w:rsid w:val="00E700DB"/>
    <w:rsid w:val="00E701EB"/>
    <w:rsid w:val="00E70F9B"/>
    <w:rsid w:val="00E7169F"/>
    <w:rsid w:val="00E71900"/>
    <w:rsid w:val="00E71B77"/>
    <w:rsid w:val="00E71E51"/>
    <w:rsid w:val="00E72C24"/>
    <w:rsid w:val="00E72D96"/>
    <w:rsid w:val="00E73317"/>
    <w:rsid w:val="00E73706"/>
    <w:rsid w:val="00E73B0B"/>
    <w:rsid w:val="00E73DE9"/>
    <w:rsid w:val="00E74078"/>
    <w:rsid w:val="00E74956"/>
    <w:rsid w:val="00E74C02"/>
    <w:rsid w:val="00E752AF"/>
    <w:rsid w:val="00E75300"/>
    <w:rsid w:val="00E753D0"/>
    <w:rsid w:val="00E753F2"/>
    <w:rsid w:val="00E755E1"/>
    <w:rsid w:val="00E759B7"/>
    <w:rsid w:val="00E75CED"/>
    <w:rsid w:val="00E76D26"/>
    <w:rsid w:val="00E77952"/>
    <w:rsid w:val="00E77B5D"/>
    <w:rsid w:val="00E77CC7"/>
    <w:rsid w:val="00E80409"/>
    <w:rsid w:val="00E805F5"/>
    <w:rsid w:val="00E8060F"/>
    <w:rsid w:val="00E808E6"/>
    <w:rsid w:val="00E80AFF"/>
    <w:rsid w:val="00E80B1D"/>
    <w:rsid w:val="00E80EDB"/>
    <w:rsid w:val="00E80FF1"/>
    <w:rsid w:val="00E81447"/>
    <w:rsid w:val="00E8150C"/>
    <w:rsid w:val="00E81664"/>
    <w:rsid w:val="00E8176A"/>
    <w:rsid w:val="00E81C8D"/>
    <w:rsid w:val="00E81D78"/>
    <w:rsid w:val="00E828BB"/>
    <w:rsid w:val="00E83196"/>
    <w:rsid w:val="00E8399A"/>
    <w:rsid w:val="00E83A29"/>
    <w:rsid w:val="00E83BEE"/>
    <w:rsid w:val="00E83CB7"/>
    <w:rsid w:val="00E83D4A"/>
    <w:rsid w:val="00E846A8"/>
    <w:rsid w:val="00E84A80"/>
    <w:rsid w:val="00E84B42"/>
    <w:rsid w:val="00E854CF"/>
    <w:rsid w:val="00E854F5"/>
    <w:rsid w:val="00E85721"/>
    <w:rsid w:val="00E8595E"/>
    <w:rsid w:val="00E85980"/>
    <w:rsid w:val="00E85CE6"/>
    <w:rsid w:val="00E85CF8"/>
    <w:rsid w:val="00E85DE1"/>
    <w:rsid w:val="00E86320"/>
    <w:rsid w:val="00E86623"/>
    <w:rsid w:val="00E86647"/>
    <w:rsid w:val="00E8680D"/>
    <w:rsid w:val="00E869AE"/>
    <w:rsid w:val="00E86F90"/>
    <w:rsid w:val="00E870D9"/>
    <w:rsid w:val="00E8769B"/>
    <w:rsid w:val="00E87761"/>
    <w:rsid w:val="00E87BA8"/>
    <w:rsid w:val="00E908D5"/>
    <w:rsid w:val="00E90BD4"/>
    <w:rsid w:val="00E915AB"/>
    <w:rsid w:val="00E917B9"/>
    <w:rsid w:val="00E91817"/>
    <w:rsid w:val="00E91CC9"/>
    <w:rsid w:val="00E91D61"/>
    <w:rsid w:val="00E922F2"/>
    <w:rsid w:val="00E924C2"/>
    <w:rsid w:val="00E924EF"/>
    <w:rsid w:val="00E926DB"/>
    <w:rsid w:val="00E927F7"/>
    <w:rsid w:val="00E92923"/>
    <w:rsid w:val="00E92A34"/>
    <w:rsid w:val="00E932EA"/>
    <w:rsid w:val="00E933A2"/>
    <w:rsid w:val="00E93CAB"/>
    <w:rsid w:val="00E9475C"/>
    <w:rsid w:val="00E949F0"/>
    <w:rsid w:val="00E94D7E"/>
    <w:rsid w:val="00E94D8F"/>
    <w:rsid w:val="00E95427"/>
    <w:rsid w:val="00E96304"/>
    <w:rsid w:val="00E96348"/>
    <w:rsid w:val="00E964CA"/>
    <w:rsid w:val="00E96612"/>
    <w:rsid w:val="00E96DEC"/>
    <w:rsid w:val="00E96DF1"/>
    <w:rsid w:val="00E9726B"/>
    <w:rsid w:val="00E9794B"/>
    <w:rsid w:val="00EA0018"/>
    <w:rsid w:val="00EA008A"/>
    <w:rsid w:val="00EA083C"/>
    <w:rsid w:val="00EA09A4"/>
    <w:rsid w:val="00EA0B00"/>
    <w:rsid w:val="00EA0BEE"/>
    <w:rsid w:val="00EA0CF8"/>
    <w:rsid w:val="00EA1092"/>
    <w:rsid w:val="00EA114B"/>
    <w:rsid w:val="00EA13CB"/>
    <w:rsid w:val="00EA1484"/>
    <w:rsid w:val="00EA14C3"/>
    <w:rsid w:val="00EA15B4"/>
    <w:rsid w:val="00EA19B1"/>
    <w:rsid w:val="00EA2267"/>
    <w:rsid w:val="00EA243F"/>
    <w:rsid w:val="00EA2A2A"/>
    <w:rsid w:val="00EA2F61"/>
    <w:rsid w:val="00EA32C4"/>
    <w:rsid w:val="00EA358D"/>
    <w:rsid w:val="00EA3CCA"/>
    <w:rsid w:val="00EA3F82"/>
    <w:rsid w:val="00EA4642"/>
    <w:rsid w:val="00EA4A01"/>
    <w:rsid w:val="00EA548F"/>
    <w:rsid w:val="00EA58EB"/>
    <w:rsid w:val="00EA5E59"/>
    <w:rsid w:val="00EA5ED2"/>
    <w:rsid w:val="00EA68F3"/>
    <w:rsid w:val="00EA704D"/>
    <w:rsid w:val="00EA7B3C"/>
    <w:rsid w:val="00EB08BF"/>
    <w:rsid w:val="00EB08F8"/>
    <w:rsid w:val="00EB1336"/>
    <w:rsid w:val="00EB2028"/>
    <w:rsid w:val="00EB2373"/>
    <w:rsid w:val="00EB27B5"/>
    <w:rsid w:val="00EB2925"/>
    <w:rsid w:val="00EB3754"/>
    <w:rsid w:val="00EB5064"/>
    <w:rsid w:val="00EB5761"/>
    <w:rsid w:val="00EB576C"/>
    <w:rsid w:val="00EB5D7E"/>
    <w:rsid w:val="00EB5E7B"/>
    <w:rsid w:val="00EB6142"/>
    <w:rsid w:val="00EB61FF"/>
    <w:rsid w:val="00EB669A"/>
    <w:rsid w:val="00EB7671"/>
    <w:rsid w:val="00EB76F0"/>
    <w:rsid w:val="00EB7759"/>
    <w:rsid w:val="00EB7841"/>
    <w:rsid w:val="00EC0446"/>
    <w:rsid w:val="00EC0759"/>
    <w:rsid w:val="00EC0918"/>
    <w:rsid w:val="00EC0ACB"/>
    <w:rsid w:val="00EC1082"/>
    <w:rsid w:val="00EC1259"/>
    <w:rsid w:val="00EC138D"/>
    <w:rsid w:val="00EC1443"/>
    <w:rsid w:val="00EC1574"/>
    <w:rsid w:val="00EC15B6"/>
    <w:rsid w:val="00EC178B"/>
    <w:rsid w:val="00EC1E83"/>
    <w:rsid w:val="00EC2B69"/>
    <w:rsid w:val="00EC2BDE"/>
    <w:rsid w:val="00EC2E3D"/>
    <w:rsid w:val="00EC3087"/>
    <w:rsid w:val="00EC43BA"/>
    <w:rsid w:val="00EC43E9"/>
    <w:rsid w:val="00EC445A"/>
    <w:rsid w:val="00EC48CC"/>
    <w:rsid w:val="00EC4DBF"/>
    <w:rsid w:val="00EC530E"/>
    <w:rsid w:val="00EC5468"/>
    <w:rsid w:val="00EC55F6"/>
    <w:rsid w:val="00EC5A16"/>
    <w:rsid w:val="00EC5B51"/>
    <w:rsid w:val="00EC6369"/>
    <w:rsid w:val="00EC699B"/>
    <w:rsid w:val="00EC70E0"/>
    <w:rsid w:val="00EC71C1"/>
    <w:rsid w:val="00EC7611"/>
    <w:rsid w:val="00EC768D"/>
    <w:rsid w:val="00EC7787"/>
    <w:rsid w:val="00EC7A79"/>
    <w:rsid w:val="00ED003C"/>
    <w:rsid w:val="00ED0607"/>
    <w:rsid w:val="00ED072B"/>
    <w:rsid w:val="00ED087F"/>
    <w:rsid w:val="00ED0EA4"/>
    <w:rsid w:val="00ED0FAF"/>
    <w:rsid w:val="00ED13A5"/>
    <w:rsid w:val="00ED1731"/>
    <w:rsid w:val="00ED182E"/>
    <w:rsid w:val="00ED1909"/>
    <w:rsid w:val="00ED1951"/>
    <w:rsid w:val="00ED1A84"/>
    <w:rsid w:val="00ED1CA2"/>
    <w:rsid w:val="00ED1FC9"/>
    <w:rsid w:val="00ED2093"/>
    <w:rsid w:val="00ED2977"/>
    <w:rsid w:val="00ED2BE1"/>
    <w:rsid w:val="00ED2C01"/>
    <w:rsid w:val="00ED2DA6"/>
    <w:rsid w:val="00ED315C"/>
    <w:rsid w:val="00ED35C8"/>
    <w:rsid w:val="00ED3789"/>
    <w:rsid w:val="00ED3B7E"/>
    <w:rsid w:val="00ED3E11"/>
    <w:rsid w:val="00ED43F1"/>
    <w:rsid w:val="00ED5326"/>
    <w:rsid w:val="00ED5833"/>
    <w:rsid w:val="00ED5980"/>
    <w:rsid w:val="00ED5C1B"/>
    <w:rsid w:val="00ED5D2E"/>
    <w:rsid w:val="00ED5F02"/>
    <w:rsid w:val="00ED690D"/>
    <w:rsid w:val="00ED69C8"/>
    <w:rsid w:val="00ED6CC0"/>
    <w:rsid w:val="00ED7590"/>
    <w:rsid w:val="00ED7B2D"/>
    <w:rsid w:val="00ED7F57"/>
    <w:rsid w:val="00EE02BF"/>
    <w:rsid w:val="00EE02DE"/>
    <w:rsid w:val="00EE0363"/>
    <w:rsid w:val="00EE0372"/>
    <w:rsid w:val="00EE040C"/>
    <w:rsid w:val="00EE0544"/>
    <w:rsid w:val="00EE0689"/>
    <w:rsid w:val="00EE09CF"/>
    <w:rsid w:val="00EE0BC7"/>
    <w:rsid w:val="00EE0D0D"/>
    <w:rsid w:val="00EE118B"/>
    <w:rsid w:val="00EE12C2"/>
    <w:rsid w:val="00EE19FF"/>
    <w:rsid w:val="00EE1A68"/>
    <w:rsid w:val="00EE21D0"/>
    <w:rsid w:val="00EE2558"/>
    <w:rsid w:val="00EE25F1"/>
    <w:rsid w:val="00EE2654"/>
    <w:rsid w:val="00EE28CC"/>
    <w:rsid w:val="00EE31E5"/>
    <w:rsid w:val="00EE3496"/>
    <w:rsid w:val="00EE3A67"/>
    <w:rsid w:val="00EE3FBC"/>
    <w:rsid w:val="00EE3FFB"/>
    <w:rsid w:val="00EE40DC"/>
    <w:rsid w:val="00EE41E7"/>
    <w:rsid w:val="00EE456B"/>
    <w:rsid w:val="00EE45F4"/>
    <w:rsid w:val="00EE483C"/>
    <w:rsid w:val="00EE4B54"/>
    <w:rsid w:val="00EE4B9A"/>
    <w:rsid w:val="00EE4E7A"/>
    <w:rsid w:val="00EE5155"/>
    <w:rsid w:val="00EE54C7"/>
    <w:rsid w:val="00EE5CC5"/>
    <w:rsid w:val="00EE5F10"/>
    <w:rsid w:val="00EE63C4"/>
    <w:rsid w:val="00EE63F4"/>
    <w:rsid w:val="00EE67A2"/>
    <w:rsid w:val="00EE6833"/>
    <w:rsid w:val="00EE7A01"/>
    <w:rsid w:val="00EE7FBD"/>
    <w:rsid w:val="00EF06DA"/>
    <w:rsid w:val="00EF0968"/>
    <w:rsid w:val="00EF10D8"/>
    <w:rsid w:val="00EF10FA"/>
    <w:rsid w:val="00EF1598"/>
    <w:rsid w:val="00EF1B66"/>
    <w:rsid w:val="00EF1DC3"/>
    <w:rsid w:val="00EF3040"/>
    <w:rsid w:val="00EF385D"/>
    <w:rsid w:val="00EF3AB6"/>
    <w:rsid w:val="00EF4254"/>
    <w:rsid w:val="00EF4290"/>
    <w:rsid w:val="00EF4292"/>
    <w:rsid w:val="00EF48A1"/>
    <w:rsid w:val="00EF50C1"/>
    <w:rsid w:val="00EF5437"/>
    <w:rsid w:val="00EF596A"/>
    <w:rsid w:val="00EF5A6E"/>
    <w:rsid w:val="00EF5DAE"/>
    <w:rsid w:val="00EF6325"/>
    <w:rsid w:val="00EF6A14"/>
    <w:rsid w:val="00EF6AD3"/>
    <w:rsid w:val="00EF6B38"/>
    <w:rsid w:val="00EF705A"/>
    <w:rsid w:val="00EF74D3"/>
    <w:rsid w:val="00EF7866"/>
    <w:rsid w:val="00EF7AEF"/>
    <w:rsid w:val="00EF7DE2"/>
    <w:rsid w:val="00F00783"/>
    <w:rsid w:val="00F0101C"/>
    <w:rsid w:val="00F01242"/>
    <w:rsid w:val="00F015B8"/>
    <w:rsid w:val="00F017F8"/>
    <w:rsid w:val="00F01CFF"/>
    <w:rsid w:val="00F01D08"/>
    <w:rsid w:val="00F02BA7"/>
    <w:rsid w:val="00F02C03"/>
    <w:rsid w:val="00F02CED"/>
    <w:rsid w:val="00F031A4"/>
    <w:rsid w:val="00F037C9"/>
    <w:rsid w:val="00F03F81"/>
    <w:rsid w:val="00F04027"/>
    <w:rsid w:val="00F04111"/>
    <w:rsid w:val="00F044F2"/>
    <w:rsid w:val="00F04556"/>
    <w:rsid w:val="00F046BC"/>
    <w:rsid w:val="00F04A20"/>
    <w:rsid w:val="00F05444"/>
    <w:rsid w:val="00F05D18"/>
    <w:rsid w:val="00F06D3D"/>
    <w:rsid w:val="00F06E98"/>
    <w:rsid w:val="00F074DA"/>
    <w:rsid w:val="00F0752E"/>
    <w:rsid w:val="00F075B6"/>
    <w:rsid w:val="00F07878"/>
    <w:rsid w:val="00F07883"/>
    <w:rsid w:val="00F07B22"/>
    <w:rsid w:val="00F100E5"/>
    <w:rsid w:val="00F10E9A"/>
    <w:rsid w:val="00F120D5"/>
    <w:rsid w:val="00F1218D"/>
    <w:rsid w:val="00F12669"/>
    <w:rsid w:val="00F126B7"/>
    <w:rsid w:val="00F127F7"/>
    <w:rsid w:val="00F12870"/>
    <w:rsid w:val="00F12CB1"/>
    <w:rsid w:val="00F12F10"/>
    <w:rsid w:val="00F139B9"/>
    <w:rsid w:val="00F1431F"/>
    <w:rsid w:val="00F15017"/>
    <w:rsid w:val="00F154E7"/>
    <w:rsid w:val="00F15F8E"/>
    <w:rsid w:val="00F162B0"/>
    <w:rsid w:val="00F1743A"/>
    <w:rsid w:val="00F174F2"/>
    <w:rsid w:val="00F177D8"/>
    <w:rsid w:val="00F178CD"/>
    <w:rsid w:val="00F20605"/>
    <w:rsid w:val="00F20986"/>
    <w:rsid w:val="00F20A6B"/>
    <w:rsid w:val="00F214CA"/>
    <w:rsid w:val="00F218DA"/>
    <w:rsid w:val="00F21AAD"/>
    <w:rsid w:val="00F21B75"/>
    <w:rsid w:val="00F22142"/>
    <w:rsid w:val="00F22147"/>
    <w:rsid w:val="00F221C5"/>
    <w:rsid w:val="00F222BE"/>
    <w:rsid w:val="00F23041"/>
    <w:rsid w:val="00F23059"/>
    <w:rsid w:val="00F2322E"/>
    <w:rsid w:val="00F23618"/>
    <w:rsid w:val="00F2379E"/>
    <w:rsid w:val="00F23E37"/>
    <w:rsid w:val="00F24078"/>
    <w:rsid w:val="00F2451F"/>
    <w:rsid w:val="00F24BC3"/>
    <w:rsid w:val="00F253D3"/>
    <w:rsid w:val="00F2596C"/>
    <w:rsid w:val="00F25AC4"/>
    <w:rsid w:val="00F25D4F"/>
    <w:rsid w:val="00F25E26"/>
    <w:rsid w:val="00F25F06"/>
    <w:rsid w:val="00F261DD"/>
    <w:rsid w:val="00F262B9"/>
    <w:rsid w:val="00F262F2"/>
    <w:rsid w:val="00F2688B"/>
    <w:rsid w:val="00F2689D"/>
    <w:rsid w:val="00F27749"/>
    <w:rsid w:val="00F27ACA"/>
    <w:rsid w:val="00F27BFE"/>
    <w:rsid w:val="00F27C39"/>
    <w:rsid w:val="00F27CB6"/>
    <w:rsid w:val="00F30055"/>
    <w:rsid w:val="00F3040F"/>
    <w:rsid w:val="00F306FD"/>
    <w:rsid w:val="00F30814"/>
    <w:rsid w:val="00F31037"/>
    <w:rsid w:val="00F315F5"/>
    <w:rsid w:val="00F31853"/>
    <w:rsid w:val="00F32012"/>
    <w:rsid w:val="00F323F3"/>
    <w:rsid w:val="00F32810"/>
    <w:rsid w:val="00F331F7"/>
    <w:rsid w:val="00F332B1"/>
    <w:rsid w:val="00F33EF8"/>
    <w:rsid w:val="00F3419C"/>
    <w:rsid w:val="00F34538"/>
    <w:rsid w:val="00F34578"/>
    <w:rsid w:val="00F35190"/>
    <w:rsid w:val="00F353A6"/>
    <w:rsid w:val="00F357AF"/>
    <w:rsid w:val="00F3585B"/>
    <w:rsid w:val="00F36447"/>
    <w:rsid w:val="00F365E0"/>
    <w:rsid w:val="00F368B3"/>
    <w:rsid w:val="00F369BE"/>
    <w:rsid w:val="00F36A7A"/>
    <w:rsid w:val="00F36DD3"/>
    <w:rsid w:val="00F36EF9"/>
    <w:rsid w:val="00F37526"/>
    <w:rsid w:val="00F37E35"/>
    <w:rsid w:val="00F37EF8"/>
    <w:rsid w:val="00F37F14"/>
    <w:rsid w:val="00F403B8"/>
    <w:rsid w:val="00F407C3"/>
    <w:rsid w:val="00F40804"/>
    <w:rsid w:val="00F4121F"/>
    <w:rsid w:val="00F41816"/>
    <w:rsid w:val="00F41A89"/>
    <w:rsid w:val="00F41C56"/>
    <w:rsid w:val="00F41D15"/>
    <w:rsid w:val="00F41D38"/>
    <w:rsid w:val="00F4222E"/>
    <w:rsid w:val="00F427C2"/>
    <w:rsid w:val="00F42AAE"/>
    <w:rsid w:val="00F42E91"/>
    <w:rsid w:val="00F4305A"/>
    <w:rsid w:val="00F435BF"/>
    <w:rsid w:val="00F439BD"/>
    <w:rsid w:val="00F43B20"/>
    <w:rsid w:val="00F43F1A"/>
    <w:rsid w:val="00F442B2"/>
    <w:rsid w:val="00F447BA"/>
    <w:rsid w:val="00F44945"/>
    <w:rsid w:val="00F44A9F"/>
    <w:rsid w:val="00F44AC4"/>
    <w:rsid w:val="00F44E6B"/>
    <w:rsid w:val="00F454D9"/>
    <w:rsid w:val="00F45ED3"/>
    <w:rsid w:val="00F46081"/>
    <w:rsid w:val="00F4660B"/>
    <w:rsid w:val="00F4679D"/>
    <w:rsid w:val="00F467BA"/>
    <w:rsid w:val="00F46C81"/>
    <w:rsid w:val="00F470FB"/>
    <w:rsid w:val="00F47A5B"/>
    <w:rsid w:val="00F505F8"/>
    <w:rsid w:val="00F50741"/>
    <w:rsid w:val="00F50B2F"/>
    <w:rsid w:val="00F51436"/>
    <w:rsid w:val="00F51475"/>
    <w:rsid w:val="00F518EC"/>
    <w:rsid w:val="00F51A51"/>
    <w:rsid w:val="00F51EC0"/>
    <w:rsid w:val="00F524DE"/>
    <w:rsid w:val="00F52740"/>
    <w:rsid w:val="00F5283A"/>
    <w:rsid w:val="00F52894"/>
    <w:rsid w:val="00F52C87"/>
    <w:rsid w:val="00F53107"/>
    <w:rsid w:val="00F53CB9"/>
    <w:rsid w:val="00F54BB7"/>
    <w:rsid w:val="00F55171"/>
    <w:rsid w:val="00F55555"/>
    <w:rsid w:val="00F558A2"/>
    <w:rsid w:val="00F55BD3"/>
    <w:rsid w:val="00F55C90"/>
    <w:rsid w:val="00F55EA1"/>
    <w:rsid w:val="00F564E8"/>
    <w:rsid w:val="00F56615"/>
    <w:rsid w:val="00F5682C"/>
    <w:rsid w:val="00F56F79"/>
    <w:rsid w:val="00F57009"/>
    <w:rsid w:val="00F57078"/>
    <w:rsid w:val="00F570A6"/>
    <w:rsid w:val="00F57785"/>
    <w:rsid w:val="00F604A9"/>
    <w:rsid w:val="00F60BD9"/>
    <w:rsid w:val="00F60BF2"/>
    <w:rsid w:val="00F60DB0"/>
    <w:rsid w:val="00F61609"/>
    <w:rsid w:val="00F61A28"/>
    <w:rsid w:val="00F62CA7"/>
    <w:rsid w:val="00F62E9B"/>
    <w:rsid w:val="00F63385"/>
    <w:rsid w:val="00F63938"/>
    <w:rsid w:val="00F63C62"/>
    <w:rsid w:val="00F64F1A"/>
    <w:rsid w:val="00F656C1"/>
    <w:rsid w:val="00F66000"/>
    <w:rsid w:val="00F66080"/>
    <w:rsid w:val="00F66819"/>
    <w:rsid w:val="00F66998"/>
    <w:rsid w:val="00F6767A"/>
    <w:rsid w:val="00F67721"/>
    <w:rsid w:val="00F67B0B"/>
    <w:rsid w:val="00F67DEB"/>
    <w:rsid w:val="00F704BD"/>
    <w:rsid w:val="00F71851"/>
    <w:rsid w:val="00F718D4"/>
    <w:rsid w:val="00F71AA8"/>
    <w:rsid w:val="00F71B2F"/>
    <w:rsid w:val="00F71D65"/>
    <w:rsid w:val="00F71EDA"/>
    <w:rsid w:val="00F71EEF"/>
    <w:rsid w:val="00F7218A"/>
    <w:rsid w:val="00F722CE"/>
    <w:rsid w:val="00F729E6"/>
    <w:rsid w:val="00F72CC6"/>
    <w:rsid w:val="00F732B5"/>
    <w:rsid w:val="00F7335F"/>
    <w:rsid w:val="00F7346A"/>
    <w:rsid w:val="00F738A9"/>
    <w:rsid w:val="00F73C23"/>
    <w:rsid w:val="00F73F86"/>
    <w:rsid w:val="00F73FD1"/>
    <w:rsid w:val="00F7439E"/>
    <w:rsid w:val="00F74475"/>
    <w:rsid w:val="00F7495B"/>
    <w:rsid w:val="00F74B44"/>
    <w:rsid w:val="00F7506C"/>
    <w:rsid w:val="00F757FC"/>
    <w:rsid w:val="00F75D34"/>
    <w:rsid w:val="00F764F8"/>
    <w:rsid w:val="00F76722"/>
    <w:rsid w:val="00F76C9C"/>
    <w:rsid w:val="00F76E83"/>
    <w:rsid w:val="00F76F93"/>
    <w:rsid w:val="00F77891"/>
    <w:rsid w:val="00F77A48"/>
    <w:rsid w:val="00F77B44"/>
    <w:rsid w:val="00F77D1F"/>
    <w:rsid w:val="00F77E94"/>
    <w:rsid w:val="00F77EC9"/>
    <w:rsid w:val="00F77FEA"/>
    <w:rsid w:val="00F808CF"/>
    <w:rsid w:val="00F80C5C"/>
    <w:rsid w:val="00F812EE"/>
    <w:rsid w:val="00F814A0"/>
    <w:rsid w:val="00F816CA"/>
    <w:rsid w:val="00F81D43"/>
    <w:rsid w:val="00F82DAE"/>
    <w:rsid w:val="00F82FC0"/>
    <w:rsid w:val="00F83882"/>
    <w:rsid w:val="00F8435F"/>
    <w:rsid w:val="00F84406"/>
    <w:rsid w:val="00F848D3"/>
    <w:rsid w:val="00F84F82"/>
    <w:rsid w:val="00F85557"/>
    <w:rsid w:val="00F85FE0"/>
    <w:rsid w:val="00F86030"/>
    <w:rsid w:val="00F87352"/>
    <w:rsid w:val="00F87824"/>
    <w:rsid w:val="00F9068A"/>
    <w:rsid w:val="00F90D5A"/>
    <w:rsid w:val="00F91086"/>
    <w:rsid w:val="00F914F2"/>
    <w:rsid w:val="00F91572"/>
    <w:rsid w:val="00F91953"/>
    <w:rsid w:val="00F91FCC"/>
    <w:rsid w:val="00F92B33"/>
    <w:rsid w:val="00F93122"/>
    <w:rsid w:val="00F93306"/>
    <w:rsid w:val="00F93716"/>
    <w:rsid w:val="00F94149"/>
    <w:rsid w:val="00F942FA"/>
    <w:rsid w:val="00F94646"/>
    <w:rsid w:val="00F9475E"/>
    <w:rsid w:val="00F94B43"/>
    <w:rsid w:val="00F94FEC"/>
    <w:rsid w:val="00F9566B"/>
    <w:rsid w:val="00F95678"/>
    <w:rsid w:val="00F95749"/>
    <w:rsid w:val="00F95CCF"/>
    <w:rsid w:val="00F95D63"/>
    <w:rsid w:val="00F95E43"/>
    <w:rsid w:val="00F96918"/>
    <w:rsid w:val="00F96B95"/>
    <w:rsid w:val="00F96C4D"/>
    <w:rsid w:val="00F9704D"/>
    <w:rsid w:val="00F970A2"/>
    <w:rsid w:val="00F972B3"/>
    <w:rsid w:val="00F975A6"/>
    <w:rsid w:val="00F97D10"/>
    <w:rsid w:val="00FA0345"/>
    <w:rsid w:val="00FA0B63"/>
    <w:rsid w:val="00FA0CB0"/>
    <w:rsid w:val="00FA106C"/>
    <w:rsid w:val="00FA138C"/>
    <w:rsid w:val="00FA191D"/>
    <w:rsid w:val="00FA1949"/>
    <w:rsid w:val="00FA1D68"/>
    <w:rsid w:val="00FA1DEB"/>
    <w:rsid w:val="00FA220F"/>
    <w:rsid w:val="00FA230A"/>
    <w:rsid w:val="00FA2683"/>
    <w:rsid w:val="00FA31D1"/>
    <w:rsid w:val="00FA33BD"/>
    <w:rsid w:val="00FA340D"/>
    <w:rsid w:val="00FA384C"/>
    <w:rsid w:val="00FA3A60"/>
    <w:rsid w:val="00FA40C3"/>
    <w:rsid w:val="00FA4173"/>
    <w:rsid w:val="00FA423F"/>
    <w:rsid w:val="00FA44F8"/>
    <w:rsid w:val="00FA486C"/>
    <w:rsid w:val="00FA49DB"/>
    <w:rsid w:val="00FA5213"/>
    <w:rsid w:val="00FA5283"/>
    <w:rsid w:val="00FA52D5"/>
    <w:rsid w:val="00FA572B"/>
    <w:rsid w:val="00FA5BF7"/>
    <w:rsid w:val="00FA6395"/>
    <w:rsid w:val="00FA6404"/>
    <w:rsid w:val="00FA64BC"/>
    <w:rsid w:val="00FA70E6"/>
    <w:rsid w:val="00FA7432"/>
    <w:rsid w:val="00FA74EE"/>
    <w:rsid w:val="00FA7ACD"/>
    <w:rsid w:val="00FB015F"/>
    <w:rsid w:val="00FB03D5"/>
    <w:rsid w:val="00FB13EB"/>
    <w:rsid w:val="00FB171F"/>
    <w:rsid w:val="00FB19BA"/>
    <w:rsid w:val="00FB19D8"/>
    <w:rsid w:val="00FB1D53"/>
    <w:rsid w:val="00FB2097"/>
    <w:rsid w:val="00FB2142"/>
    <w:rsid w:val="00FB23B6"/>
    <w:rsid w:val="00FB23BC"/>
    <w:rsid w:val="00FB30F4"/>
    <w:rsid w:val="00FB339E"/>
    <w:rsid w:val="00FB37E2"/>
    <w:rsid w:val="00FB3FD9"/>
    <w:rsid w:val="00FB423B"/>
    <w:rsid w:val="00FB42B2"/>
    <w:rsid w:val="00FB46CB"/>
    <w:rsid w:val="00FB4AB4"/>
    <w:rsid w:val="00FB4C95"/>
    <w:rsid w:val="00FB4E9E"/>
    <w:rsid w:val="00FB4F0D"/>
    <w:rsid w:val="00FB5244"/>
    <w:rsid w:val="00FB525A"/>
    <w:rsid w:val="00FB5289"/>
    <w:rsid w:val="00FB5396"/>
    <w:rsid w:val="00FB53A0"/>
    <w:rsid w:val="00FB5449"/>
    <w:rsid w:val="00FB571F"/>
    <w:rsid w:val="00FB5A38"/>
    <w:rsid w:val="00FB6136"/>
    <w:rsid w:val="00FB61E1"/>
    <w:rsid w:val="00FB62C5"/>
    <w:rsid w:val="00FB6A72"/>
    <w:rsid w:val="00FB70EB"/>
    <w:rsid w:val="00FB746D"/>
    <w:rsid w:val="00FB7529"/>
    <w:rsid w:val="00FB7923"/>
    <w:rsid w:val="00FB7C47"/>
    <w:rsid w:val="00FC0D40"/>
    <w:rsid w:val="00FC0EB7"/>
    <w:rsid w:val="00FC1140"/>
    <w:rsid w:val="00FC1240"/>
    <w:rsid w:val="00FC13B7"/>
    <w:rsid w:val="00FC199A"/>
    <w:rsid w:val="00FC1A0C"/>
    <w:rsid w:val="00FC1AE1"/>
    <w:rsid w:val="00FC1E77"/>
    <w:rsid w:val="00FC22E2"/>
    <w:rsid w:val="00FC2C70"/>
    <w:rsid w:val="00FC2CE8"/>
    <w:rsid w:val="00FC3EA3"/>
    <w:rsid w:val="00FC417B"/>
    <w:rsid w:val="00FC447E"/>
    <w:rsid w:val="00FC4611"/>
    <w:rsid w:val="00FC4E57"/>
    <w:rsid w:val="00FC556D"/>
    <w:rsid w:val="00FC5758"/>
    <w:rsid w:val="00FC58C7"/>
    <w:rsid w:val="00FC59A7"/>
    <w:rsid w:val="00FC5D7C"/>
    <w:rsid w:val="00FC60C0"/>
    <w:rsid w:val="00FC6BFC"/>
    <w:rsid w:val="00FC6E09"/>
    <w:rsid w:val="00FC6F72"/>
    <w:rsid w:val="00FC6F9E"/>
    <w:rsid w:val="00FC728C"/>
    <w:rsid w:val="00FC77D6"/>
    <w:rsid w:val="00FC782E"/>
    <w:rsid w:val="00FC784D"/>
    <w:rsid w:val="00FC7ED9"/>
    <w:rsid w:val="00FD028C"/>
    <w:rsid w:val="00FD0667"/>
    <w:rsid w:val="00FD0675"/>
    <w:rsid w:val="00FD0743"/>
    <w:rsid w:val="00FD0823"/>
    <w:rsid w:val="00FD0C7A"/>
    <w:rsid w:val="00FD0D7E"/>
    <w:rsid w:val="00FD0DD5"/>
    <w:rsid w:val="00FD11E0"/>
    <w:rsid w:val="00FD1562"/>
    <w:rsid w:val="00FD15F9"/>
    <w:rsid w:val="00FD163F"/>
    <w:rsid w:val="00FD1915"/>
    <w:rsid w:val="00FD1D10"/>
    <w:rsid w:val="00FD21FE"/>
    <w:rsid w:val="00FD2280"/>
    <w:rsid w:val="00FD2687"/>
    <w:rsid w:val="00FD2E85"/>
    <w:rsid w:val="00FD2F60"/>
    <w:rsid w:val="00FD3406"/>
    <w:rsid w:val="00FD34AB"/>
    <w:rsid w:val="00FD36D3"/>
    <w:rsid w:val="00FD38FF"/>
    <w:rsid w:val="00FD3EE1"/>
    <w:rsid w:val="00FD46D8"/>
    <w:rsid w:val="00FD473A"/>
    <w:rsid w:val="00FD4B11"/>
    <w:rsid w:val="00FD4C3B"/>
    <w:rsid w:val="00FD50DE"/>
    <w:rsid w:val="00FD5461"/>
    <w:rsid w:val="00FD54E6"/>
    <w:rsid w:val="00FD5693"/>
    <w:rsid w:val="00FD58DF"/>
    <w:rsid w:val="00FD5B5C"/>
    <w:rsid w:val="00FD5EE8"/>
    <w:rsid w:val="00FD64BE"/>
    <w:rsid w:val="00FD6818"/>
    <w:rsid w:val="00FD6C18"/>
    <w:rsid w:val="00FD7231"/>
    <w:rsid w:val="00FD73C1"/>
    <w:rsid w:val="00FD7CC5"/>
    <w:rsid w:val="00FE0440"/>
    <w:rsid w:val="00FE0B33"/>
    <w:rsid w:val="00FE0C93"/>
    <w:rsid w:val="00FE0D4D"/>
    <w:rsid w:val="00FE0ECD"/>
    <w:rsid w:val="00FE117F"/>
    <w:rsid w:val="00FE11A4"/>
    <w:rsid w:val="00FE15C0"/>
    <w:rsid w:val="00FE16E8"/>
    <w:rsid w:val="00FE1700"/>
    <w:rsid w:val="00FE1728"/>
    <w:rsid w:val="00FE17DC"/>
    <w:rsid w:val="00FE1808"/>
    <w:rsid w:val="00FE18CE"/>
    <w:rsid w:val="00FE1ABB"/>
    <w:rsid w:val="00FE1EBA"/>
    <w:rsid w:val="00FE2063"/>
    <w:rsid w:val="00FE2304"/>
    <w:rsid w:val="00FE2733"/>
    <w:rsid w:val="00FE2AF3"/>
    <w:rsid w:val="00FE2E15"/>
    <w:rsid w:val="00FE2E1A"/>
    <w:rsid w:val="00FE2F33"/>
    <w:rsid w:val="00FE2F8C"/>
    <w:rsid w:val="00FE3768"/>
    <w:rsid w:val="00FE3CE7"/>
    <w:rsid w:val="00FE3E94"/>
    <w:rsid w:val="00FE3FBD"/>
    <w:rsid w:val="00FE50DF"/>
    <w:rsid w:val="00FE5245"/>
    <w:rsid w:val="00FE5529"/>
    <w:rsid w:val="00FE5616"/>
    <w:rsid w:val="00FE58C5"/>
    <w:rsid w:val="00FE5E44"/>
    <w:rsid w:val="00FE6014"/>
    <w:rsid w:val="00FE6300"/>
    <w:rsid w:val="00FE6606"/>
    <w:rsid w:val="00FE722D"/>
    <w:rsid w:val="00FE796B"/>
    <w:rsid w:val="00FE79F3"/>
    <w:rsid w:val="00FE7D09"/>
    <w:rsid w:val="00FE7F97"/>
    <w:rsid w:val="00FF01C5"/>
    <w:rsid w:val="00FF01F6"/>
    <w:rsid w:val="00FF03D9"/>
    <w:rsid w:val="00FF05E7"/>
    <w:rsid w:val="00FF07A7"/>
    <w:rsid w:val="00FF0C70"/>
    <w:rsid w:val="00FF1029"/>
    <w:rsid w:val="00FF10E0"/>
    <w:rsid w:val="00FF14C5"/>
    <w:rsid w:val="00FF1786"/>
    <w:rsid w:val="00FF18CC"/>
    <w:rsid w:val="00FF1A02"/>
    <w:rsid w:val="00FF1EBC"/>
    <w:rsid w:val="00FF23B2"/>
    <w:rsid w:val="00FF2F2E"/>
    <w:rsid w:val="00FF31DA"/>
    <w:rsid w:val="00FF39FD"/>
    <w:rsid w:val="00FF3DB9"/>
    <w:rsid w:val="00FF3F97"/>
    <w:rsid w:val="00FF418F"/>
    <w:rsid w:val="00FF44BC"/>
    <w:rsid w:val="00FF468B"/>
    <w:rsid w:val="00FF480A"/>
    <w:rsid w:val="00FF486D"/>
    <w:rsid w:val="00FF48CB"/>
    <w:rsid w:val="00FF4F5C"/>
    <w:rsid w:val="00FF5144"/>
    <w:rsid w:val="00FF5182"/>
    <w:rsid w:val="00FF559C"/>
    <w:rsid w:val="00FF5A57"/>
    <w:rsid w:val="00FF5DCE"/>
    <w:rsid w:val="00FF686F"/>
    <w:rsid w:val="00FF68C7"/>
    <w:rsid w:val="00FF6971"/>
    <w:rsid w:val="00FF6F81"/>
    <w:rsid w:val="00FF6FB0"/>
    <w:rsid w:val="00FF73CC"/>
    <w:rsid w:val="00FF771C"/>
    <w:rsid w:val="00FF7CCC"/>
    <w:rsid w:val="00FF7CE0"/>
    <w:rsid w:val="00FF7D7F"/>
    <w:rsid w:val="06FCC36C"/>
    <w:rsid w:val="086041AB"/>
    <w:rsid w:val="1E66A55C"/>
    <w:rsid w:val="2A4000A5"/>
    <w:rsid w:val="2D256C24"/>
    <w:rsid w:val="5EE3958C"/>
    <w:rsid w:val="62C5F1C4"/>
    <w:rsid w:val="687C7356"/>
    <w:rsid w:val="7DAC0B4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11B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4" w:qFormat="1"/>
    <w:lsdException w:name="heading 2" w:locked="0" w:uiPriority="4" w:qFormat="1"/>
    <w:lsdException w:name="heading 3" w:locked="0" w:uiPriority="4" w:qFormat="1"/>
    <w:lsdException w:name="heading 4" w:locked="0" w:uiPriority="4" w:qFormat="1"/>
    <w:lsdException w:name="heading 5" w:locked="0" w:uiPriority="4" w:qFormat="1"/>
    <w:lsdException w:name="heading 6" w:locked="0" w:uiPriority="9" w:qFormat="1"/>
    <w:lsdException w:name="heading 7" w:locked="0" w:semiHidden="1" w:uiPriority="9" w:qFormat="1"/>
    <w:lsdException w:name="heading 8" w:locked="0" w:semiHidden="1" w:uiPriority="9" w:qFormat="1"/>
    <w:lsdException w:name="heading 9" w:locked="0" w:semiHidden="1" w:uiPriority="9"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uiPriority="39" w:unhideWhenUsed="1"/>
    <w:lsdException w:name="toc 2" w:locked="0" w:uiPriority="39" w:unhideWhenUsed="1"/>
    <w:lsdException w:name="toc 3" w:locked="0" w:uiPriority="39" w:unhideWhenUsed="1"/>
    <w:lsdException w:name="toc 4" w:locked="0" w:semiHidden="1" w:uiPriority="39"/>
    <w:lsdException w:name="toc 5" w:locked="0" w:semiHidden="1" w:uiPriority="39"/>
    <w:lsdException w:name="toc 6" w:locked="0" w:semiHidden="1" w:uiPriority="39"/>
    <w:lsdException w:name="toc 7" w:locked="0" w:semiHidden="1" w:uiPriority="39"/>
    <w:lsdException w:name="toc 8" w:locked="0" w:semiHidden="1" w:uiPriority="39"/>
    <w:lsdException w:name="toc 9" w:locked="0" w:semiHidden="1" w:uiPriority="39"/>
    <w:lsdException w:name="Normal Indent" w:locked="0" w:semiHidden="1"/>
    <w:lsdException w:name="footnote text" w:locked="0" w:semiHidden="1"/>
    <w:lsdException w:name="annotation text" w:locked="0" w:semiHidden="1"/>
    <w:lsdException w:name="header" w:locked="0" w:uiPriority="29" w:unhideWhenUsed="1"/>
    <w:lsdException w:name="footer" w:locked="0" w:unhideWhenUsed="1"/>
    <w:lsdException w:name="index heading" w:locked="0" w:semiHidden="1"/>
    <w:lsdException w:name="caption" w:locked="0" w:uiPriority="35" w:unhideWhenUsed="1" w:qFormat="1"/>
    <w:lsdException w:name="table of figures" w:locked="0" w:unhideWhenUsed="1"/>
    <w:lsdException w:name="envelope address" w:locked="0" w:semiHidden="1"/>
    <w:lsdException w:name="envelope return" w:locked="0" w:semiHidden="1"/>
    <w:lsdException w:name="footnote reference" w:locked="0" w:semiHidden="1"/>
    <w:lsdException w:name="annotation reference" w:locked="0" w:semiHidden="1"/>
    <w:lsdException w:name="line number" w:locked="0" w:semiHidden="1"/>
    <w:lsdException w:name="page number" w:locked="0" w:unhideWhenUsed="1"/>
    <w:lsdException w:name="endnote reference" w:locked="0" w:semiHidden="1"/>
    <w:lsdException w:name="endnote text" w:locked="0" w:semiHidden="1"/>
    <w:lsdException w:name="table of authorities" w:semiHidden="1"/>
    <w:lsdException w:name="macro" w:locked="0" w:semiHidden="1"/>
    <w:lsdException w:name="toa heading" w:locked="0" w:semiHidden="1"/>
    <w:lsdException w:name="List" w:locked="0" w:semiHidden="1"/>
    <w:lsdException w:name="List Bullet" w:locked="0" w:semiHidden="1" w:unhideWhenUsed="1" w:qFormat="1"/>
    <w:lsdException w:name="List Number" w:locked="0" w:semiHidden="1" w:uiPriority="5" w:unhideWhenUsed="1" w:qFormat="1"/>
    <w:lsdException w:name="List 2" w:locked="0" w:semiHidden="1"/>
    <w:lsdException w:name="List 3" w:locked="0" w:semiHidden="1"/>
    <w:lsdException w:name="List 4" w:locked="0" w:semiHidden="1"/>
    <w:lsdException w:name="List 5" w:locked="0" w:semiHidden="1"/>
    <w:lsdException w:name="List Bullet 2" w:locked="0" w:semiHidden="1" w:unhideWhenUsed="1" w:qFormat="1"/>
    <w:lsdException w:name="List Bullet 3" w:locked="0" w:semiHidden="1" w:uiPriority="4" w:unhideWhenUsed="1" w:qFormat="1"/>
    <w:lsdException w:name="List Bullet 4" w:locked="0" w:semiHidden="1"/>
    <w:lsdException w:name="List Bullet 5" w:locked="0" w:semiHidden="1"/>
    <w:lsdException w:name="List Number 2" w:locked="0" w:semiHidden="1" w:uiPriority="5" w:unhideWhenUsed="1" w:qFormat="1"/>
    <w:lsdException w:name="List Number 3" w:locked="0" w:semiHidden="1" w:uiPriority="5" w:unhideWhenUsed="1" w:qFormat="1"/>
    <w:lsdException w:name="List Number 4" w:locked="0" w:semiHidden="1"/>
    <w:lsdException w:name="List Number 5" w:locked="0" w:semiHidden="1"/>
    <w:lsdException w:name="Title" w:locked="0" w:uiPriority="24"/>
    <w:lsdException w:name="Closing" w:locked="0" w:semiHidden="1"/>
    <w:lsdException w:name="Signature" w:locked="0" w:semiHidden="1" w:uiPriority="23"/>
    <w:lsdException w:name="Default Paragraph Font" w:locked="0" w:semiHidden="1" w:uiPriority="1" w:unhideWhenUsed="1"/>
    <w:lsdException w:name="Body Text" w:locked="0" w:unhideWhenUsed="1" w:qFormat="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uiPriority="24"/>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unhideWhenUsed="1" w:qFormat="1"/>
    <w:lsdException w:name="FollowedHyperlink" w:locked="0" w:semiHidden="1"/>
    <w:lsdException w:name="Strong" w:locked="0" w:semiHidden="1" w:uiPriority="22" w:qFormat="1"/>
    <w:lsdException w:name="Emphasis" w:locked="0" w:semiHidden="1" w:qFormat="1"/>
    <w:lsdException w:name="Document Map" w:locked="0" w:semiHidden="1"/>
    <w:lsdException w:name="Plain Text" w:locked="0" w:semiHidden="1"/>
    <w:lsdException w:name="E-mail Signature" w:locked="0" w:semiHidden="1"/>
    <w:lsdException w:name="HTML Top of Form" w:locked="0" w:semiHidden="1" w:unhideWhenUsed="1"/>
    <w:lsdException w:name="HTML Bottom of Form" w:locked="0" w:semiHidden="1" w:unhideWhenUsed="1"/>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unhideWhenUsed="1"/>
    <w:lsdException w:name="Normal Table" w:locked="0" w:semiHidden="1" w:unhideWhenUsed="1"/>
    <w:lsdException w:name="annotation subject" w:locked="0" w:semiHidden="1"/>
    <w:lsdException w:name="No List" w:locked="0" w:semiHidden="1" w:unhideWhenUsed="1"/>
    <w:lsdException w:name="Outline List 1" w:locked="0" w:semiHidden="1" w:unhideWhenUsed="1"/>
    <w:lsdException w:name="Outline List 2" w:locked="0" w:semiHidden="1" w:unhideWhenUsed="1"/>
    <w:lsdException w:name="Outline List 3" w:locked="0"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19" w:qFormat="1"/>
    <w:lsdException w:name="Intense Quote" w:locked="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qFormat="1"/>
    <w:lsdException w:name="Intense Emphasis" w:locked="0" w:semiHidden="1" w:qFormat="1"/>
    <w:lsdException w:name="Subtle Reference" w:locked="0" w:semiHidden="1" w:qFormat="1"/>
    <w:lsdException w:name="Intense Reference" w:locked="0" w:semiHidden="1" w:qFormat="1"/>
    <w:lsdException w:name="Book Title" w:locked="0" w:semiHidden="1" w:qFormat="1"/>
    <w:lsdException w:name="Bibliography" w:locked="0" w:semiHidden="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semiHidden/>
    <w:qFormat/>
    <w:rsid w:val="007665C8"/>
    <w:pPr>
      <w:spacing w:before="40" w:after="40" w:line="240" w:lineRule="auto"/>
    </w:pPr>
    <w:rPr>
      <w:rFonts w:ascii="Arial" w:hAnsi="Arial"/>
      <w:sz w:val="22"/>
      <w:lang w:val="en-AU"/>
    </w:rPr>
  </w:style>
  <w:style w:type="paragraph" w:styleId="Heading1">
    <w:name w:val="heading 1"/>
    <w:basedOn w:val="BodyText"/>
    <w:next w:val="BodyText"/>
    <w:link w:val="Heading1Char"/>
    <w:uiPriority w:val="9"/>
    <w:qFormat/>
    <w:rsid w:val="00B320F0"/>
    <w:pPr>
      <w:keepNext/>
      <w:spacing w:before="0" w:after="400"/>
      <w:outlineLvl w:val="0"/>
    </w:pPr>
    <w:rPr>
      <w:rFonts w:eastAsia="Times New Roman" w:cs="Arial"/>
      <w:b/>
      <w:bCs/>
      <w:color w:val="4B0985"/>
      <w:sz w:val="48"/>
      <w:szCs w:val="32"/>
      <w:lang w:eastAsia="en-AU"/>
    </w:rPr>
  </w:style>
  <w:style w:type="paragraph" w:styleId="Heading2">
    <w:name w:val="heading 2"/>
    <w:basedOn w:val="Heading1"/>
    <w:next w:val="BodyText"/>
    <w:link w:val="Heading2Char"/>
    <w:uiPriority w:val="9"/>
    <w:qFormat/>
    <w:rsid w:val="00B96396"/>
    <w:pPr>
      <w:numPr>
        <w:ilvl w:val="1"/>
      </w:numPr>
      <w:tabs>
        <w:tab w:val="clear" w:pos="357"/>
        <w:tab w:val="clear" w:pos="714"/>
        <w:tab w:val="clear" w:pos="1429"/>
      </w:tabs>
      <w:spacing w:before="240" w:after="0"/>
      <w:outlineLvl w:val="1"/>
    </w:pPr>
    <w:rPr>
      <w:bCs w:val="0"/>
      <w:iCs/>
      <w:color w:val="2F005F"/>
      <w:sz w:val="32"/>
      <w:szCs w:val="28"/>
    </w:rPr>
  </w:style>
  <w:style w:type="paragraph" w:styleId="Heading3">
    <w:name w:val="heading 3"/>
    <w:basedOn w:val="Heading1"/>
    <w:next w:val="BodyText"/>
    <w:link w:val="Heading3Char"/>
    <w:uiPriority w:val="9"/>
    <w:qFormat/>
    <w:rsid w:val="00925D48"/>
    <w:pPr>
      <w:numPr>
        <w:ilvl w:val="2"/>
      </w:numPr>
      <w:tabs>
        <w:tab w:val="clear" w:pos="357"/>
        <w:tab w:val="clear" w:pos="714"/>
        <w:tab w:val="clear" w:pos="1429"/>
      </w:tabs>
      <w:spacing w:before="240" w:after="0"/>
      <w:outlineLvl w:val="2"/>
    </w:pPr>
    <w:rPr>
      <w:bCs w:val="0"/>
      <w:sz w:val="26"/>
      <w:szCs w:val="26"/>
    </w:rPr>
  </w:style>
  <w:style w:type="paragraph" w:styleId="Heading4">
    <w:name w:val="heading 4"/>
    <w:basedOn w:val="Heading1"/>
    <w:next w:val="BodyText"/>
    <w:link w:val="Heading4Char"/>
    <w:uiPriority w:val="9"/>
    <w:qFormat/>
    <w:rsid w:val="00925D48"/>
    <w:pPr>
      <w:numPr>
        <w:ilvl w:val="3"/>
      </w:numPr>
      <w:tabs>
        <w:tab w:val="clear" w:pos="357"/>
        <w:tab w:val="clear" w:pos="714"/>
        <w:tab w:val="clear" w:pos="1429"/>
      </w:tabs>
      <w:spacing w:before="240" w:after="0"/>
      <w:outlineLvl w:val="3"/>
    </w:pPr>
    <w:rPr>
      <w:bCs w:val="0"/>
      <w:color w:val="012749"/>
      <w:sz w:val="22"/>
      <w:szCs w:val="21"/>
    </w:rPr>
  </w:style>
  <w:style w:type="paragraph" w:styleId="Heading5">
    <w:name w:val="heading 5"/>
    <w:basedOn w:val="Normal"/>
    <w:next w:val="Normal"/>
    <w:link w:val="Heading5Char"/>
    <w:uiPriority w:val="9"/>
    <w:qFormat/>
    <w:rsid w:val="00925D48"/>
    <w:pPr>
      <w:tabs>
        <w:tab w:val="left" w:pos="1072"/>
      </w:tabs>
      <w:spacing w:before="240" w:after="0" w:line="276" w:lineRule="auto"/>
      <w:outlineLvl w:val="4"/>
    </w:pPr>
    <w:rPr>
      <w:rFonts w:eastAsia="Times New Roman" w:cs="Times New Roman"/>
      <w:bCs/>
      <w:iCs/>
      <w:color w:val="4B0885"/>
      <w:lang w:val="en-GB" w:eastAsia="en-AU"/>
    </w:rPr>
  </w:style>
  <w:style w:type="paragraph" w:styleId="Heading6">
    <w:name w:val="heading 6"/>
    <w:basedOn w:val="Normal"/>
    <w:next w:val="Normal"/>
    <w:link w:val="Heading6Char"/>
    <w:uiPriority w:val="9"/>
    <w:semiHidden/>
    <w:qFormat/>
    <w:rsid w:val="003C7246"/>
    <w:pPr>
      <w:keepNext/>
      <w:keepLines/>
      <w:spacing w:before="240" w:after="0" w:line="276" w:lineRule="auto"/>
      <w:outlineLvl w:val="5"/>
    </w:pPr>
    <w:rPr>
      <w:rFonts w:eastAsiaTheme="majorEastAsia" w:cstheme="majorBidi"/>
      <w:color w:val="4B0885"/>
      <w:sz w:val="19"/>
    </w:rPr>
  </w:style>
  <w:style w:type="paragraph" w:styleId="Heading7">
    <w:name w:val="heading 7"/>
    <w:basedOn w:val="Normal"/>
    <w:next w:val="Normal"/>
    <w:link w:val="Heading7Char"/>
    <w:uiPriority w:val="9"/>
    <w:semiHidden/>
    <w:qFormat/>
    <w:rsid w:val="00A93BF8"/>
    <w:pPr>
      <w:keepNext/>
      <w:keepLines/>
      <w:spacing w:after="0"/>
      <w:outlineLvl w:val="6"/>
    </w:pPr>
    <w:rPr>
      <w:rFonts w:asciiTheme="majorHAnsi" w:eastAsiaTheme="majorEastAsia" w:hAnsiTheme="majorHAnsi" w:cstheme="majorBidi"/>
      <w:i/>
      <w:iCs/>
      <w:color w:val="341461" w:themeColor="accent1" w:themeShade="7F"/>
    </w:rPr>
  </w:style>
  <w:style w:type="paragraph" w:styleId="Heading8">
    <w:name w:val="heading 8"/>
    <w:basedOn w:val="Normal"/>
    <w:next w:val="Normal"/>
    <w:link w:val="Heading8Char"/>
    <w:uiPriority w:val="9"/>
    <w:semiHidden/>
    <w:qFormat/>
    <w:rsid w:val="00A93BF8"/>
    <w:pPr>
      <w:keepNext/>
      <w:keepLines/>
      <w:spacing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A93BF8"/>
    <w:pPr>
      <w:keepNext/>
      <w:keepLines/>
      <w:spacing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D26D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26D8"/>
    <w:rPr>
      <w:rFonts w:ascii="Tahoma" w:hAnsi="Tahoma" w:cs="Tahoma"/>
      <w:sz w:val="16"/>
      <w:szCs w:val="16"/>
    </w:rPr>
  </w:style>
  <w:style w:type="paragraph" w:styleId="ListBullet">
    <w:name w:val="List Bullet"/>
    <w:basedOn w:val="Normal"/>
    <w:uiPriority w:val="99"/>
    <w:qFormat/>
    <w:rsid w:val="005002B4"/>
    <w:pPr>
      <w:numPr>
        <w:numId w:val="23"/>
      </w:numPr>
      <w:spacing w:before="120" w:after="120" w:line="276" w:lineRule="auto"/>
    </w:pPr>
    <w:rPr>
      <w:rFonts w:eastAsia="Times New Roman" w:cs="Times New Roman"/>
      <w:szCs w:val="24"/>
      <w:lang w:eastAsia="en-GB"/>
    </w:rPr>
  </w:style>
  <w:style w:type="numbering" w:customStyle="1" w:styleId="ListBulletmaster">
    <w:name w:val="List Bullet (master)"/>
    <w:rsid w:val="006E4F12"/>
    <w:pPr>
      <w:numPr>
        <w:numId w:val="4"/>
      </w:numPr>
    </w:pPr>
  </w:style>
  <w:style w:type="paragraph" w:styleId="ListBullet2">
    <w:name w:val="List Bullet 2"/>
    <w:basedOn w:val="Normal"/>
    <w:uiPriority w:val="99"/>
    <w:qFormat/>
    <w:rsid w:val="005002B4"/>
    <w:pPr>
      <w:numPr>
        <w:ilvl w:val="1"/>
        <w:numId w:val="23"/>
      </w:numPr>
      <w:spacing w:before="120" w:after="120" w:line="276" w:lineRule="auto"/>
    </w:pPr>
    <w:rPr>
      <w:rFonts w:eastAsia="Times New Roman" w:cs="Times New Roman"/>
      <w:szCs w:val="24"/>
      <w:lang w:eastAsia="en-GB"/>
    </w:rPr>
  </w:style>
  <w:style w:type="paragraph" w:styleId="ListBullet3">
    <w:name w:val="List Bullet 3"/>
    <w:basedOn w:val="Normal"/>
    <w:uiPriority w:val="4"/>
    <w:qFormat/>
    <w:rsid w:val="005002B4"/>
    <w:pPr>
      <w:numPr>
        <w:ilvl w:val="2"/>
        <w:numId w:val="23"/>
      </w:numPr>
      <w:spacing w:before="120" w:after="120" w:line="276" w:lineRule="auto"/>
      <w:ind w:left="1071" w:hanging="357"/>
    </w:pPr>
    <w:rPr>
      <w:rFonts w:eastAsia="Times New Roman" w:cs="Times New Roman"/>
      <w:szCs w:val="24"/>
      <w:lang w:eastAsia="en-GB"/>
    </w:rPr>
  </w:style>
  <w:style w:type="numbering" w:customStyle="1" w:styleId="ListNumbermaster">
    <w:name w:val="List Number (master)"/>
    <w:rsid w:val="000419F4"/>
    <w:pPr>
      <w:numPr>
        <w:numId w:val="5"/>
      </w:numPr>
    </w:pPr>
  </w:style>
  <w:style w:type="paragraph" w:styleId="ListNumber2">
    <w:name w:val="List Number 2"/>
    <w:basedOn w:val="Normal"/>
    <w:uiPriority w:val="5"/>
    <w:qFormat/>
    <w:rsid w:val="005002B4"/>
    <w:pPr>
      <w:numPr>
        <w:ilvl w:val="1"/>
        <w:numId w:val="10"/>
      </w:numPr>
      <w:spacing w:before="120" w:after="120" w:line="276" w:lineRule="auto"/>
      <w:ind w:left="714" w:hanging="357"/>
    </w:pPr>
    <w:rPr>
      <w:rFonts w:eastAsia="Times New Roman" w:cs="Times New Roman"/>
      <w:szCs w:val="24"/>
      <w:lang w:eastAsia="en-GB"/>
    </w:rPr>
  </w:style>
  <w:style w:type="paragraph" w:styleId="ListNumber3">
    <w:name w:val="List Number 3"/>
    <w:basedOn w:val="Normal"/>
    <w:uiPriority w:val="5"/>
    <w:qFormat/>
    <w:rsid w:val="005002B4"/>
    <w:pPr>
      <w:numPr>
        <w:ilvl w:val="2"/>
        <w:numId w:val="10"/>
      </w:numPr>
      <w:spacing w:before="120" w:after="120" w:line="276" w:lineRule="auto"/>
      <w:ind w:left="1077" w:hanging="357"/>
    </w:pPr>
    <w:rPr>
      <w:rFonts w:eastAsia="Times New Roman" w:cs="Times New Roman"/>
      <w:szCs w:val="24"/>
      <w:lang w:eastAsia="en-GB"/>
    </w:rPr>
  </w:style>
  <w:style w:type="paragraph" w:styleId="ListNumber">
    <w:name w:val="List Number"/>
    <w:basedOn w:val="Normal"/>
    <w:uiPriority w:val="5"/>
    <w:qFormat/>
    <w:rsid w:val="005002B4"/>
    <w:pPr>
      <w:numPr>
        <w:numId w:val="10"/>
      </w:numPr>
      <w:spacing w:before="120" w:after="120" w:line="276" w:lineRule="auto"/>
      <w:ind w:left="357" w:hanging="357"/>
    </w:pPr>
    <w:rPr>
      <w:rFonts w:eastAsia="Times New Roman" w:cs="Times New Roman"/>
      <w:szCs w:val="24"/>
      <w:lang w:eastAsia="en-GB"/>
    </w:rPr>
  </w:style>
  <w:style w:type="paragraph" w:styleId="NoSpacing">
    <w:name w:val="No Spacing"/>
    <w:link w:val="NoSpacingChar"/>
    <w:uiPriority w:val="1"/>
    <w:semiHidden/>
    <w:qFormat/>
    <w:rsid w:val="006722C0"/>
    <w:pPr>
      <w:spacing w:after="0" w:line="240" w:lineRule="auto"/>
    </w:pPr>
    <w:rPr>
      <w:rFonts w:ascii="Arial" w:eastAsia="Times New Roman" w:hAnsi="Arial" w:cs="Times New Roman"/>
      <w:sz w:val="2"/>
      <w:szCs w:val="24"/>
      <w:lang w:val="en-AU" w:eastAsia="en-GB"/>
    </w:rPr>
  </w:style>
  <w:style w:type="paragraph" w:customStyle="1" w:styleId="TableHeading1">
    <w:name w:val="Table Heading 1"/>
    <w:basedOn w:val="Normal"/>
    <w:uiPriority w:val="13"/>
    <w:qFormat/>
    <w:rsid w:val="0082152E"/>
    <w:pPr>
      <w:spacing w:before="80" w:after="80"/>
    </w:pPr>
    <w:rPr>
      <w:rFonts w:eastAsia="Times New Roman" w:cs="Times New Roman"/>
      <w:bCs/>
      <w:sz w:val="20"/>
      <w:szCs w:val="24"/>
      <w:lang w:eastAsia="en-GB"/>
    </w:rPr>
  </w:style>
  <w:style w:type="paragraph" w:customStyle="1" w:styleId="TableListBullet">
    <w:name w:val="Table List Bullet"/>
    <w:basedOn w:val="Normal"/>
    <w:uiPriority w:val="15"/>
    <w:qFormat/>
    <w:rsid w:val="0082152E"/>
    <w:pPr>
      <w:numPr>
        <w:numId w:val="28"/>
      </w:numPr>
      <w:spacing w:before="80" w:after="80"/>
    </w:pPr>
    <w:rPr>
      <w:rFonts w:eastAsia="Times New Roman" w:cs="Times New Roman"/>
      <w:bCs/>
      <w:sz w:val="20"/>
      <w:szCs w:val="24"/>
      <w:lang w:eastAsia="en-GB"/>
    </w:rPr>
  </w:style>
  <w:style w:type="numbering" w:customStyle="1" w:styleId="TableListBulletmaster">
    <w:name w:val="Table List Bullet (master)"/>
    <w:rsid w:val="00CF6974"/>
    <w:pPr>
      <w:numPr>
        <w:numId w:val="6"/>
      </w:numPr>
    </w:pPr>
  </w:style>
  <w:style w:type="paragraph" w:customStyle="1" w:styleId="TableListBullet2">
    <w:name w:val="Table List Bullet 2"/>
    <w:basedOn w:val="TableListBullet"/>
    <w:uiPriority w:val="15"/>
    <w:qFormat/>
    <w:rsid w:val="00544654"/>
    <w:pPr>
      <w:numPr>
        <w:ilvl w:val="1"/>
      </w:numPr>
      <w:ind w:left="568" w:hanging="284"/>
    </w:pPr>
  </w:style>
  <w:style w:type="paragraph" w:customStyle="1" w:styleId="TableListNumber">
    <w:name w:val="Table List Number"/>
    <w:basedOn w:val="Normal"/>
    <w:uiPriority w:val="15"/>
    <w:qFormat/>
    <w:rsid w:val="0082152E"/>
    <w:pPr>
      <w:numPr>
        <w:numId w:val="29"/>
      </w:numPr>
      <w:spacing w:before="80" w:after="80"/>
    </w:pPr>
    <w:rPr>
      <w:rFonts w:eastAsia="Times New Roman" w:cs="Times New Roman"/>
      <w:bCs/>
      <w:sz w:val="20"/>
      <w:szCs w:val="24"/>
      <w:lang w:eastAsia="en-GB"/>
    </w:rPr>
  </w:style>
  <w:style w:type="numbering" w:customStyle="1" w:styleId="TableListNumbermaster">
    <w:name w:val="Table List Number (master)"/>
    <w:rsid w:val="00CF6974"/>
    <w:pPr>
      <w:numPr>
        <w:numId w:val="7"/>
      </w:numPr>
    </w:pPr>
  </w:style>
  <w:style w:type="paragraph" w:customStyle="1" w:styleId="TableListNumber2">
    <w:name w:val="Table List Number 2"/>
    <w:basedOn w:val="TableListNumber"/>
    <w:uiPriority w:val="15"/>
    <w:qFormat/>
    <w:rsid w:val="0082152E"/>
    <w:pPr>
      <w:numPr>
        <w:ilvl w:val="1"/>
      </w:numPr>
      <w:ind w:left="568" w:hanging="284"/>
    </w:pPr>
  </w:style>
  <w:style w:type="paragraph" w:customStyle="1" w:styleId="TableBodyText">
    <w:name w:val="Table Body Text"/>
    <w:basedOn w:val="Normal"/>
    <w:uiPriority w:val="14"/>
    <w:qFormat/>
    <w:rsid w:val="0082152E"/>
    <w:pPr>
      <w:spacing w:before="80" w:after="80"/>
    </w:pPr>
    <w:rPr>
      <w:rFonts w:eastAsia="Times New Roman" w:cs="Times New Roman"/>
      <w:bCs/>
      <w:sz w:val="20"/>
      <w:szCs w:val="24"/>
      <w:lang w:eastAsia="en-GB"/>
    </w:rPr>
  </w:style>
  <w:style w:type="paragraph" w:customStyle="1" w:styleId="TableBodyTextsmall">
    <w:name w:val="Table Body Text (small)"/>
    <w:basedOn w:val="TableBodyText"/>
    <w:uiPriority w:val="16"/>
    <w:semiHidden/>
    <w:qFormat/>
    <w:rsid w:val="00544654"/>
    <w:pPr>
      <w:spacing w:before="20" w:after="20"/>
    </w:pPr>
    <w:rPr>
      <w:sz w:val="15"/>
    </w:rPr>
  </w:style>
  <w:style w:type="character" w:customStyle="1" w:styleId="Characterbold">
    <w:name w:val="Character (bold)"/>
    <w:basedOn w:val="DefaultParagraphFont"/>
    <w:uiPriority w:val="2"/>
    <w:qFormat/>
    <w:rsid w:val="005012B2"/>
    <w:rPr>
      <w:b/>
      <w:lang w:val="en-AU"/>
    </w:rPr>
  </w:style>
  <w:style w:type="character" w:customStyle="1" w:styleId="Characteritalic">
    <w:name w:val="Character (italic)"/>
    <w:basedOn w:val="DefaultParagraphFont"/>
    <w:uiPriority w:val="2"/>
    <w:qFormat/>
    <w:rsid w:val="005012B2"/>
    <w:rPr>
      <w:i/>
      <w:lang w:val="en-AU"/>
    </w:rPr>
  </w:style>
  <w:style w:type="character" w:customStyle="1" w:styleId="Charactersubscript">
    <w:name w:val="Character (subscript)"/>
    <w:basedOn w:val="DefaultParagraphFont"/>
    <w:uiPriority w:val="3"/>
    <w:qFormat/>
    <w:rsid w:val="005012B2"/>
    <w:rPr>
      <w:vertAlign w:val="subscript"/>
      <w:lang w:val="en-AU"/>
    </w:rPr>
  </w:style>
  <w:style w:type="character" w:customStyle="1" w:styleId="Charactersuperscript">
    <w:name w:val="Character (superscript)"/>
    <w:basedOn w:val="DefaultParagraphFont"/>
    <w:uiPriority w:val="3"/>
    <w:qFormat/>
    <w:rsid w:val="005012B2"/>
    <w:rPr>
      <w:vertAlign w:val="superscript"/>
      <w:lang w:val="en-AU"/>
    </w:rPr>
  </w:style>
  <w:style w:type="paragraph" w:styleId="ListParagraph">
    <w:name w:val="List Paragraph"/>
    <w:basedOn w:val="Normal"/>
    <w:uiPriority w:val="34"/>
    <w:qFormat/>
    <w:rsid w:val="0023754A"/>
    <w:pPr>
      <w:ind w:left="720"/>
      <w:contextualSpacing/>
    </w:pPr>
  </w:style>
  <w:style w:type="character" w:customStyle="1" w:styleId="Heading1Char">
    <w:name w:val="Heading 1 Char"/>
    <w:basedOn w:val="DefaultParagraphFont"/>
    <w:link w:val="Heading1"/>
    <w:uiPriority w:val="9"/>
    <w:rsid w:val="00B320F0"/>
    <w:rPr>
      <w:rFonts w:ascii="Arial" w:eastAsia="Times New Roman" w:hAnsi="Arial" w:cs="Arial"/>
      <w:b/>
      <w:bCs/>
      <w:color w:val="4B0985"/>
      <w:sz w:val="48"/>
      <w:szCs w:val="32"/>
      <w:lang w:val="en-AU" w:eastAsia="en-AU"/>
    </w:rPr>
  </w:style>
  <w:style w:type="character" w:customStyle="1" w:styleId="Heading2Char">
    <w:name w:val="Heading 2 Char"/>
    <w:basedOn w:val="DefaultParagraphFont"/>
    <w:link w:val="Heading2"/>
    <w:uiPriority w:val="9"/>
    <w:rsid w:val="00B96396"/>
    <w:rPr>
      <w:rFonts w:ascii="Arial" w:eastAsia="Times New Roman" w:hAnsi="Arial" w:cs="Arial"/>
      <w:b/>
      <w:iCs/>
      <w:color w:val="2F005F"/>
      <w:sz w:val="32"/>
      <w:szCs w:val="28"/>
      <w:lang w:val="en-AU" w:eastAsia="en-AU"/>
    </w:rPr>
  </w:style>
  <w:style w:type="character" w:customStyle="1" w:styleId="Heading3Char">
    <w:name w:val="Heading 3 Char"/>
    <w:basedOn w:val="DefaultParagraphFont"/>
    <w:link w:val="Heading3"/>
    <w:uiPriority w:val="9"/>
    <w:rsid w:val="00925D48"/>
    <w:rPr>
      <w:rFonts w:ascii="Arial" w:eastAsia="Times New Roman" w:hAnsi="Arial" w:cs="Arial"/>
      <w:b/>
      <w:color w:val="4B0985"/>
      <w:sz w:val="26"/>
      <w:szCs w:val="26"/>
      <w:lang w:val="en-AU" w:eastAsia="en-AU"/>
    </w:rPr>
  </w:style>
  <w:style w:type="character" w:customStyle="1" w:styleId="Heading4Char">
    <w:name w:val="Heading 4 Char"/>
    <w:basedOn w:val="DefaultParagraphFont"/>
    <w:link w:val="Heading4"/>
    <w:uiPriority w:val="9"/>
    <w:rsid w:val="00925D48"/>
    <w:rPr>
      <w:rFonts w:ascii="Arial" w:eastAsia="Times New Roman" w:hAnsi="Arial" w:cs="Arial"/>
      <w:b/>
      <w:color w:val="012749"/>
      <w:sz w:val="22"/>
      <w:szCs w:val="21"/>
      <w:lang w:val="en-AU" w:eastAsia="en-AU"/>
    </w:rPr>
  </w:style>
  <w:style w:type="character" w:customStyle="1" w:styleId="Heading5Char">
    <w:name w:val="Heading 5 Char"/>
    <w:basedOn w:val="DefaultParagraphFont"/>
    <w:link w:val="Heading5"/>
    <w:uiPriority w:val="9"/>
    <w:rsid w:val="00925D48"/>
    <w:rPr>
      <w:rFonts w:ascii="Arial" w:eastAsia="Times New Roman" w:hAnsi="Arial" w:cs="Times New Roman"/>
      <w:bCs/>
      <w:iCs/>
      <w:color w:val="4B0885"/>
      <w:sz w:val="22"/>
      <w:lang w:val="en-GB" w:eastAsia="en-AU"/>
    </w:rPr>
  </w:style>
  <w:style w:type="paragraph" w:customStyle="1" w:styleId="AppendixHeading1">
    <w:name w:val="Appendix Heading 1"/>
    <w:basedOn w:val="Heading1"/>
    <w:next w:val="BodyText"/>
    <w:uiPriority w:val="11"/>
    <w:qFormat/>
    <w:rsid w:val="009279DF"/>
    <w:pPr>
      <w:keepNext w:val="0"/>
      <w:numPr>
        <w:numId w:val="32"/>
      </w:numPr>
      <w:tabs>
        <w:tab w:val="left" w:pos="2268"/>
      </w:tabs>
      <w:suppressAutoHyphens/>
      <w:spacing w:after="800"/>
      <w:ind w:left="3402" w:hanging="3402"/>
    </w:pPr>
    <w:rPr>
      <w:szCs w:val="30"/>
    </w:rPr>
  </w:style>
  <w:style w:type="numbering" w:customStyle="1" w:styleId="AppendixHeadingmaster">
    <w:name w:val="Appendix Heading (master)"/>
    <w:uiPriority w:val="99"/>
    <w:rsid w:val="004A69CF"/>
    <w:pPr>
      <w:numPr>
        <w:numId w:val="49"/>
      </w:numPr>
    </w:pPr>
  </w:style>
  <w:style w:type="paragraph" w:styleId="BodyText">
    <w:name w:val="Body Text"/>
    <w:basedOn w:val="Normal"/>
    <w:link w:val="BodyTextChar"/>
    <w:uiPriority w:val="99"/>
    <w:qFormat/>
    <w:rsid w:val="00E77B5D"/>
    <w:pPr>
      <w:tabs>
        <w:tab w:val="left" w:pos="357"/>
        <w:tab w:val="left" w:pos="714"/>
        <w:tab w:val="left" w:pos="1072"/>
        <w:tab w:val="left" w:pos="1429"/>
      </w:tabs>
      <w:spacing w:before="120" w:after="120" w:line="276" w:lineRule="auto"/>
    </w:pPr>
  </w:style>
  <w:style w:type="character" w:customStyle="1" w:styleId="BodyTextChar">
    <w:name w:val="Body Text Char"/>
    <w:basedOn w:val="DefaultParagraphFont"/>
    <w:link w:val="BodyText"/>
    <w:uiPriority w:val="99"/>
    <w:rsid w:val="00E77B5D"/>
    <w:rPr>
      <w:rFonts w:ascii="Arial" w:hAnsi="Arial"/>
      <w:sz w:val="22"/>
      <w:lang w:val="en-AU"/>
    </w:rPr>
  </w:style>
  <w:style w:type="paragraph" w:customStyle="1" w:styleId="AppendixHeading2">
    <w:name w:val="Appendix Heading 2"/>
    <w:basedOn w:val="AppendixHeading1"/>
    <w:next w:val="BodyText"/>
    <w:uiPriority w:val="11"/>
    <w:qFormat/>
    <w:rsid w:val="00281D65"/>
    <w:pPr>
      <w:keepNext/>
      <w:numPr>
        <w:ilvl w:val="1"/>
      </w:numPr>
      <w:spacing w:after="120"/>
    </w:pPr>
    <w:rPr>
      <w:color w:val="012749"/>
      <w:sz w:val="28"/>
    </w:rPr>
  </w:style>
  <w:style w:type="paragraph" w:customStyle="1" w:styleId="AppendixHeading3">
    <w:name w:val="Appendix Heading 3"/>
    <w:basedOn w:val="Heading1"/>
    <w:next w:val="BodyText"/>
    <w:uiPriority w:val="11"/>
    <w:semiHidden/>
    <w:rsid w:val="000419F4"/>
    <w:pPr>
      <w:suppressAutoHyphens/>
      <w:spacing w:after="120" w:line="312" w:lineRule="auto"/>
    </w:pPr>
    <w:rPr>
      <w:b w:val="0"/>
      <w:color w:val="0C9FCD"/>
      <w:sz w:val="26"/>
      <w:szCs w:val="30"/>
    </w:rPr>
  </w:style>
  <w:style w:type="paragraph" w:customStyle="1" w:styleId="Heading1unnumbered">
    <w:name w:val="Heading 1 (unnumbered)"/>
    <w:basedOn w:val="Heading1"/>
    <w:next w:val="BodyText"/>
    <w:uiPriority w:val="10"/>
    <w:semiHidden/>
    <w:rsid w:val="00127F9F"/>
    <w:pPr>
      <w:spacing w:after="0"/>
    </w:pPr>
  </w:style>
  <w:style w:type="numbering" w:customStyle="1" w:styleId="Headingsmaster">
    <w:name w:val="Headings (master)"/>
    <w:uiPriority w:val="99"/>
    <w:rsid w:val="00E26406"/>
    <w:pPr>
      <w:numPr>
        <w:numId w:val="3"/>
      </w:numPr>
    </w:pPr>
  </w:style>
  <w:style w:type="paragraph" w:customStyle="1" w:styleId="Image">
    <w:name w:val="Image"/>
    <w:basedOn w:val="Normal"/>
    <w:next w:val="BodyText"/>
    <w:uiPriority w:val="19"/>
    <w:qFormat/>
    <w:rsid w:val="00891E50"/>
    <w:pPr>
      <w:spacing w:before="120" w:after="120" w:line="276" w:lineRule="auto"/>
    </w:pPr>
    <w:rPr>
      <w:rFonts w:eastAsia="Times New Roman" w:cs="Times New Roman"/>
      <w:szCs w:val="24"/>
      <w:lang w:eastAsia="en-AU"/>
    </w:rPr>
  </w:style>
  <w:style w:type="paragraph" w:customStyle="1" w:styleId="InstructionalText">
    <w:name w:val="Instructional Text"/>
    <w:basedOn w:val="Normal"/>
    <w:uiPriority w:val="40"/>
    <w:semiHidden/>
    <w:rsid w:val="000419F4"/>
    <w:pPr>
      <w:spacing w:after="80" w:line="288" w:lineRule="auto"/>
    </w:pPr>
    <w:rPr>
      <w:rFonts w:eastAsia="Times New Roman" w:cs="Times New Roman"/>
      <w:vanish/>
      <w:color w:val="FF0000"/>
      <w:sz w:val="16"/>
      <w:szCs w:val="24"/>
      <w:lang w:eastAsia="en-GB"/>
    </w:rPr>
  </w:style>
  <w:style w:type="paragraph" w:customStyle="1" w:styleId="Source">
    <w:name w:val="Source"/>
    <w:basedOn w:val="TableBodyText"/>
    <w:next w:val="BodyText"/>
    <w:uiPriority w:val="17"/>
    <w:qFormat/>
    <w:rsid w:val="002B3BCD"/>
    <w:pPr>
      <w:spacing w:line="200" w:lineRule="atLeast"/>
    </w:pPr>
    <w:rPr>
      <w:sz w:val="17"/>
    </w:rPr>
  </w:style>
  <w:style w:type="paragraph" w:customStyle="1" w:styleId="TableBodyTextright">
    <w:name w:val="Table Body Text (right)"/>
    <w:basedOn w:val="TableBodyText"/>
    <w:uiPriority w:val="14"/>
    <w:qFormat/>
    <w:rsid w:val="0082152E"/>
    <w:pPr>
      <w:jc w:val="right"/>
    </w:pPr>
  </w:style>
  <w:style w:type="table" w:styleId="TableGrid">
    <w:name w:val="Table Grid"/>
    <w:basedOn w:val="TableNormal"/>
    <w:uiPriority w:val="59"/>
    <w:locked/>
    <w:rsid w:val="00D32F3C"/>
    <w:pPr>
      <w:spacing w:after="0" w:line="240" w:lineRule="auto"/>
    </w:pPr>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Arial" w:hAnsi="Arial"/>
        <w:b w:val="0"/>
        <w:sz w:val="18"/>
      </w:rPr>
      <w:tblPr/>
      <w:trPr>
        <w:tblHeader/>
      </w:trPr>
      <w:tcPr>
        <w:shd w:val="clear" w:color="auto" w:fill="F2F2F2" w:themeFill="background1" w:themeFillShade="F2"/>
      </w:tcPr>
    </w:tblStylePr>
  </w:style>
  <w:style w:type="paragraph" w:styleId="Quote">
    <w:name w:val="Quote"/>
    <w:basedOn w:val="Normal"/>
    <w:link w:val="QuoteChar"/>
    <w:uiPriority w:val="18"/>
    <w:qFormat/>
    <w:rsid w:val="00B96396"/>
    <w:pPr>
      <w:spacing w:before="120" w:after="120" w:line="23" w:lineRule="atLeast"/>
      <w:ind w:left="714" w:right="714"/>
      <w:jc w:val="center"/>
    </w:pPr>
    <w:rPr>
      <w:i/>
      <w:iCs/>
      <w:color w:val="0F2532"/>
    </w:rPr>
  </w:style>
  <w:style w:type="character" w:customStyle="1" w:styleId="QuoteChar">
    <w:name w:val="Quote Char"/>
    <w:basedOn w:val="DefaultParagraphFont"/>
    <w:link w:val="Quote"/>
    <w:uiPriority w:val="18"/>
    <w:rsid w:val="00B96396"/>
    <w:rPr>
      <w:rFonts w:ascii="Arial" w:hAnsi="Arial"/>
      <w:i/>
      <w:iCs/>
      <w:color w:val="0F2532"/>
      <w:sz w:val="22"/>
      <w:lang w:val="en-AU"/>
    </w:rPr>
  </w:style>
  <w:style w:type="paragraph" w:styleId="Header">
    <w:name w:val="header"/>
    <w:basedOn w:val="Normal"/>
    <w:link w:val="HeaderChar"/>
    <w:uiPriority w:val="24"/>
    <w:rsid w:val="004714FB"/>
    <w:pPr>
      <w:tabs>
        <w:tab w:val="right" w:pos="0"/>
        <w:tab w:val="center" w:pos="4680"/>
        <w:tab w:val="right" w:pos="9360"/>
      </w:tabs>
      <w:spacing w:line="276" w:lineRule="auto"/>
    </w:pPr>
    <w:rPr>
      <w:sz w:val="16"/>
    </w:rPr>
  </w:style>
  <w:style w:type="character" w:customStyle="1" w:styleId="HeaderChar">
    <w:name w:val="Header Char"/>
    <w:basedOn w:val="DefaultParagraphFont"/>
    <w:link w:val="Header"/>
    <w:uiPriority w:val="24"/>
    <w:semiHidden/>
    <w:rsid w:val="003F3496"/>
    <w:rPr>
      <w:rFonts w:ascii="Arial" w:hAnsi="Arial"/>
      <w:sz w:val="16"/>
      <w:lang w:val="en-AU"/>
    </w:rPr>
  </w:style>
  <w:style w:type="paragraph" w:styleId="Footer">
    <w:name w:val="footer"/>
    <w:basedOn w:val="Normal"/>
    <w:link w:val="FooterChar"/>
    <w:uiPriority w:val="24"/>
    <w:semiHidden/>
    <w:rsid w:val="004714FB"/>
    <w:pPr>
      <w:tabs>
        <w:tab w:val="right" w:pos="14629"/>
      </w:tabs>
      <w:spacing w:line="276" w:lineRule="auto"/>
    </w:pPr>
    <w:rPr>
      <w:sz w:val="16"/>
    </w:rPr>
  </w:style>
  <w:style w:type="character" w:customStyle="1" w:styleId="FooterChar">
    <w:name w:val="Footer Char"/>
    <w:basedOn w:val="DefaultParagraphFont"/>
    <w:link w:val="Footer"/>
    <w:uiPriority w:val="24"/>
    <w:semiHidden/>
    <w:rsid w:val="003F3496"/>
    <w:rPr>
      <w:rFonts w:ascii="Arial" w:hAnsi="Arial"/>
      <w:sz w:val="16"/>
      <w:lang w:val="en-AU"/>
    </w:rPr>
  </w:style>
  <w:style w:type="character" w:styleId="PageNumber">
    <w:name w:val="page number"/>
    <w:basedOn w:val="DefaultParagraphFont"/>
    <w:uiPriority w:val="24"/>
    <w:semiHidden/>
    <w:rsid w:val="005012B2"/>
    <w:rPr>
      <w:lang w:val="en-AU"/>
    </w:rPr>
  </w:style>
  <w:style w:type="table" w:styleId="LightShading">
    <w:name w:val="Light Shading"/>
    <w:basedOn w:val="TableNormal"/>
    <w:uiPriority w:val="60"/>
    <w:locked/>
    <w:rsid w:val="009076E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locked/>
    <w:rsid w:val="009076EA"/>
    <w:pPr>
      <w:spacing w:after="0" w:line="240" w:lineRule="auto"/>
    </w:pPr>
    <w:rPr>
      <w:color w:val="4E1E92" w:themeColor="accent1" w:themeShade="BF"/>
    </w:rPr>
    <w:tblPr>
      <w:tblStyleRowBandSize w:val="1"/>
      <w:tblStyleColBandSize w:val="1"/>
      <w:tblBorders>
        <w:top w:val="single" w:sz="8" w:space="0" w:color="6929C4" w:themeColor="accent1"/>
        <w:bottom w:val="single" w:sz="8" w:space="0" w:color="6929C4" w:themeColor="accent1"/>
      </w:tblBorders>
    </w:tblPr>
    <w:tblStylePr w:type="firstRow">
      <w:pPr>
        <w:spacing w:before="0" w:after="0" w:line="240" w:lineRule="auto"/>
      </w:pPr>
      <w:rPr>
        <w:b/>
        <w:bCs/>
      </w:rPr>
      <w:tblPr/>
      <w:tcPr>
        <w:tcBorders>
          <w:top w:val="single" w:sz="8" w:space="0" w:color="6929C4" w:themeColor="accent1"/>
          <w:left w:val="nil"/>
          <w:bottom w:val="single" w:sz="8" w:space="0" w:color="6929C4" w:themeColor="accent1"/>
          <w:right w:val="nil"/>
          <w:insideH w:val="nil"/>
          <w:insideV w:val="nil"/>
        </w:tcBorders>
      </w:tcPr>
    </w:tblStylePr>
    <w:tblStylePr w:type="lastRow">
      <w:pPr>
        <w:spacing w:before="0" w:after="0" w:line="240" w:lineRule="auto"/>
      </w:pPr>
      <w:rPr>
        <w:b/>
        <w:bCs/>
      </w:rPr>
      <w:tblPr/>
      <w:tcPr>
        <w:tcBorders>
          <w:top w:val="single" w:sz="8" w:space="0" w:color="6929C4" w:themeColor="accent1"/>
          <w:left w:val="nil"/>
          <w:bottom w:val="single" w:sz="8" w:space="0" w:color="6929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C7F3" w:themeFill="accent1" w:themeFillTint="3F"/>
      </w:tcPr>
    </w:tblStylePr>
    <w:tblStylePr w:type="band1Horz">
      <w:tblPr/>
      <w:tcPr>
        <w:tcBorders>
          <w:left w:val="nil"/>
          <w:right w:val="nil"/>
          <w:insideH w:val="nil"/>
          <w:insideV w:val="nil"/>
        </w:tcBorders>
        <w:shd w:val="clear" w:color="auto" w:fill="D9C7F3" w:themeFill="accent1" w:themeFillTint="3F"/>
      </w:tcPr>
    </w:tblStylePr>
  </w:style>
  <w:style w:type="paragraph" w:styleId="Title">
    <w:name w:val="Title"/>
    <w:basedOn w:val="Normal"/>
    <w:next w:val="BodyText"/>
    <w:link w:val="TitleChar"/>
    <w:uiPriority w:val="24"/>
    <w:rsid w:val="00835A0D"/>
    <w:pPr>
      <w:spacing w:before="2600" w:after="400" w:line="276" w:lineRule="auto"/>
    </w:pPr>
    <w:rPr>
      <w:rFonts w:eastAsiaTheme="majorEastAsia" w:cs="Arial"/>
      <w:b/>
      <w:color w:val="FFFFFF" w:themeColor="background1"/>
      <w:kern w:val="28"/>
      <w:sz w:val="80"/>
      <w:szCs w:val="52"/>
    </w:rPr>
  </w:style>
  <w:style w:type="character" w:customStyle="1" w:styleId="TitleChar">
    <w:name w:val="Title Char"/>
    <w:basedOn w:val="DefaultParagraphFont"/>
    <w:link w:val="Title"/>
    <w:uiPriority w:val="24"/>
    <w:rsid w:val="00835A0D"/>
    <w:rPr>
      <w:rFonts w:ascii="Arial" w:eastAsiaTheme="majorEastAsia" w:hAnsi="Arial" w:cs="Arial"/>
      <w:b/>
      <w:color w:val="FFFFFF" w:themeColor="background1"/>
      <w:kern w:val="28"/>
      <w:sz w:val="80"/>
      <w:szCs w:val="52"/>
      <w:lang w:val="en-AU"/>
    </w:rPr>
  </w:style>
  <w:style w:type="paragraph" w:styleId="Subtitle">
    <w:name w:val="Subtitle"/>
    <w:basedOn w:val="Normal"/>
    <w:next w:val="BodyText"/>
    <w:link w:val="SubtitleChar"/>
    <w:uiPriority w:val="24"/>
    <w:rsid w:val="000803B6"/>
    <w:pPr>
      <w:numPr>
        <w:ilvl w:val="1"/>
      </w:numPr>
      <w:spacing w:before="480" w:after="240" w:line="276" w:lineRule="auto"/>
    </w:pPr>
    <w:rPr>
      <w:rFonts w:eastAsiaTheme="majorEastAsia" w:cstheme="majorBidi"/>
      <w:iCs/>
      <w:color w:val="FFFFFF" w:themeColor="background1"/>
      <w:sz w:val="48"/>
      <w:szCs w:val="24"/>
    </w:rPr>
  </w:style>
  <w:style w:type="character" w:customStyle="1" w:styleId="SubtitleChar">
    <w:name w:val="Subtitle Char"/>
    <w:basedOn w:val="DefaultParagraphFont"/>
    <w:link w:val="Subtitle"/>
    <w:uiPriority w:val="24"/>
    <w:rsid w:val="000803B6"/>
    <w:rPr>
      <w:rFonts w:ascii="Arial" w:eastAsiaTheme="majorEastAsia" w:hAnsi="Arial" w:cstheme="majorBidi"/>
      <w:iCs/>
      <w:color w:val="FFFFFF" w:themeColor="background1"/>
      <w:sz w:val="48"/>
      <w:szCs w:val="24"/>
      <w:lang w:val="en-AU"/>
    </w:rPr>
  </w:style>
  <w:style w:type="numbering" w:customStyle="1" w:styleId="ListAlphanumericmaster">
    <w:name w:val="List Alphanumeric (master)"/>
    <w:uiPriority w:val="99"/>
    <w:rsid w:val="003D2B56"/>
    <w:pPr>
      <w:numPr>
        <w:numId w:val="9"/>
      </w:numPr>
    </w:pPr>
  </w:style>
  <w:style w:type="paragraph" w:styleId="TOCHeading">
    <w:name w:val="TOC Heading"/>
    <w:basedOn w:val="Heading1"/>
    <w:next w:val="Normal"/>
    <w:uiPriority w:val="39"/>
    <w:qFormat/>
    <w:rsid w:val="00F55EA1"/>
    <w:pPr>
      <w:keepLines/>
      <w:spacing w:after="0"/>
      <w:outlineLvl w:val="9"/>
    </w:pPr>
    <w:rPr>
      <w:rFonts w:eastAsiaTheme="majorEastAsia" w:cstheme="majorBidi"/>
      <w:szCs w:val="28"/>
      <w:lang w:eastAsia="en-US"/>
    </w:rPr>
  </w:style>
  <w:style w:type="paragraph" w:styleId="TOC1">
    <w:name w:val="toc 1"/>
    <w:basedOn w:val="Normal"/>
    <w:next w:val="Normal"/>
    <w:autoRedefine/>
    <w:uiPriority w:val="39"/>
    <w:rsid w:val="007665C8"/>
    <w:pPr>
      <w:tabs>
        <w:tab w:val="left" w:pos="440"/>
        <w:tab w:val="right" w:leader="dot" w:pos="9017"/>
      </w:tabs>
      <w:spacing w:after="100" w:line="276" w:lineRule="auto"/>
      <w:ind w:right="851"/>
    </w:pPr>
    <w:rPr>
      <w:b/>
      <w:color w:val="4B0985"/>
    </w:rPr>
  </w:style>
  <w:style w:type="paragraph" w:styleId="TOC2">
    <w:name w:val="toc 2"/>
    <w:basedOn w:val="Normal"/>
    <w:next w:val="Normal"/>
    <w:autoRedefine/>
    <w:uiPriority w:val="39"/>
    <w:rsid w:val="007665C8"/>
    <w:pPr>
      <w:tabs>
        <w:tab w:val="right" w:leader="dot" w:pos="9017"/>
      </w:tabs>
      <w:spacing w:after="100" w:line="276" w:lineRule="auto"/>
      <w:ind w:right="851"/>
    </w:pPr>
    <w:rPr>
      <w:b/>
    </w:rPr>
  </w:style>
  <w:style w:type="character" w:styleId="Hyperlink">
    <w:name w:val="Hyperlink"/>
    <w:basedOn w:val="DefaultParagraphFont"/>
    <w:uiPriority w:val="99"/>
    <w:qFormat/>
    <w:rsid w:val="003E6856"/>
    <w:rPr>
      <w:color w:val="215E9E"/>
      <w:u w:val="single"/>
    </w:rPr>
  </w:style>
  <w:style w:type="paragraph" w:styleId="TOC3">
    <w:name w:val="toc 3"/>
    <w:basedOn w:val="Normal"/>
    <w:next w:val="Normal"/>
    <w:autoRedefine/>
    <w:uiPriority w:val="39"/>
    <w:rsid w:val="007665C8"/>
    <w:pPr>
      <w:tabs>
        <w:tab w:val="right" w:leader="dot" w:pos="9017"/>
      </w:tabs>
      <w:spacing w:after="100" w:line="276" w:lineRule="auto"/>
      <w:ind w:right="851"/>
    </w:pPr>
  </w:style>
  <w:style w:type="paragraph" w:styleId="Caption">
    <w:name w:val="caption"/>
    <w:basedOn w:val="Normal"/>
    <w:next w:val="BodyText"/>
    <w:uiPriority w:val="35"/>
    <w:qFormat/>
    <w:rsid w:val="00783BA9"/>
    <w:pPr>
      <w:spacing w:before="120" w:line="276" w:lineRule="auto"/>
    </w:pPr>
    <w:rPr>
      <w:b/>
      <w:bCs/>
      <w:color w:val="012749"/>
      <w:sz w:val="18"/>
      <w:szCs w:val="18"/>
    </w:rPr>
  </w:style>
  <w:style w:type="paragraph" w:customStyle="1" w:styleId="Footerlandscape">
    <w:name w:val="Footer (landscape)"/>
    <w:basedOn w:val="Footer"/>
    <w:uiPriority w:val="24"/>
    <w:semiHidden/>
    <w:rsid w:val="008331A3"/>
    <w:pPr>
      <w:tabs>
        <w:tab w:val="right" w:pos="13608"/>
      </w:tabs>
    </w:pPr>
  </w:style>
  <w:style w:type="paragraph" w:customStyle="1" w:styleId="Headerlandscape">
    <w:name w:val="Header (landscape)"/>
    <w:basedOn w:val="Header"/>
    <w:uiPriority w:val="24"/>
    <w:semiHidden/>
    <w:rsid w:val="005012B2"/>
    <w:pPr>
      <w:tabs>
        <w:tab w:val="clear" w:pos="9360"/>
        <w:tab w:val="right" w:pos="13608"/>
      </w:tabs>
    </w:pPr>
  </w:style>
  <w:style w:type="paragraph" w:customStyle="1" w:styleId="ListLegal">
    <w:name w:val="List Legal"/>
    <w:basedOn w:val="ListNumber"/>
    <w:uiPriority w:val="8"/>
    <w:semiHidden/>
    <w:qFormat/>
    <w:rsid w:val="00291313"/>
    <w:pPr>
      <w:numPr>
        <w:numId w:val="20"/>
      </w:numPr>
    </w:pPr>
  </w:style>
  <w:style w:type="numbering" w:customStyle="1" w:styleId="ListLegalmaster">
    <w:name w:val="List Legal (master)"/>
    <w:uiPriority w:val="99"/>
    <w:rsid w:val="00291313"/>
    <w:pPr>
      <w:numPr>
        <w:numId w:val="13"/>
      </w:numPr>
    </w:pPr>
  </w:style>
  <w:style w:type="paragraph" w:customStyle="1" w:styleId="ListLegal2">
    <w:name w:val="List Legal 2"/>
    <w:basedOn w:val="ListNumber2"/>
    <w:uiPriority w:val="8"/>
    <w:semiHidden/>
    <w:qFormat/>
    <w:rsid w:val="00291313"/>
    <w:pPr>
      <w:numPr>
        <w:numId w:val="20"/>
      </w:numPr>
      <w:tabs>
        <w:tab w:val="left" w:pos="1077"/>
      </w:tabs>
    </w:pPr>
  </w:style>
  <w:style w:type="paragraph" w:customStyle="1" w:styleId="ListLegal3">
    <w:name w:val="List Legal 3"/>
    <w:basedOn w:val="ListLegal2"/>
    <w:uiPriority w:val="8"/>
    <w:semiHidden/>
    <w:qFormat/>
    <w:rsid w:val="00291313"/>
    <w:pPr>
      <w:numPr>
        <w:ilvl w:val="2"/>
      </w:numPr>
      <w:tabs>
        <w:tab w:val="clear" w:pos="1077"/>
        <w:tab w:val="left" w:pos="1435"/>
      </w:tabs>
    </w:pPr>
  </w:style>
  <w:style w:type="paragraph" w:customStyle="1" w:styleId="DocumentDetails">
    <w:name w:val="Document Details"/>
    <w:basedOn w:val="Normal"/>
    <w:next w:val="BodyText"/>
    <w:uiPriority w:val="24"/>
    <w:rsid w:val="005E26EF"/>
    <w:pPr>
      <w:spacing w:before="480" w:after="240" w:line="276" w:lineRule="auto"/>
    </w:pPr>
    <w:rPr>
      <w:rFonts w:ascii="Arial Bold" w:hAnsi="Arial Bold"/>
      <w:b/>
      <w:color w:val="FFFFFF" w:themeColor="background1"/>
      <w:spacing w:val="-10"/>
      <w:sz w:val="28"/>
    </w:rPr>
  </w:style>
  <w:style w:type="paragraph" w:customStyle="1" w:styleId="SingleSpace">
    <w:name w:val="Single Space"/>
    <w:basedOn w:val="BodyText"/>
    <w:uiPriority w:val="21"/>
    <w:rsid w:val="00891E50"/>
    <w:pPr>
      <w:spacing w:before="0" w:after="0" w:line="240" w:lineRule="auto"/>
    </w:pPr>
    <w:rPr>
      <w:sz w:val="2"/>
    </w:rPr>
  </w:style>
  <w:style w:type="character" w:customStyle="1" w:styleId="Characteryellowhighlight">
    <w:name w:val="Character (yellow highlight)"/>
    <w:basedOn w:val="DefaultParagraphFont"/>
    <w:uiPriority w:val="2"/>
    <w:semiHidden/>
    <w:qFormat/>
    <w:rsid w:val="005012B2"/>
    <w:rPr>
      <w:bdr w:val="none" w:sz="0" w:space="0" w:color="auto"/>
      <w:shd w:val="clear" w:color="auto" w:fill="FFFF00"/>
      <w:lang w:val="en-AU"/>
    </w:rPr>
  </w:style>
  <w:style w:type="paragraph" w:styleId="TableofFigures">
    <w:name w:val="table of figures"/>
    <w:basedOn w:val="Normal"/>
    <w:next w:val="Normal"/>
    <w:uiPriority w:val="99"/>
    <w:rsid w:val="00891E50"/>
    <w:pPr>
      <w:spacing w:after="100" w:line="276" w:lineRule="auto"/>
      <w:ind w:right="851"/>
    </w:pPr>
  </w:style>
  <w:style w:type="paragraph" w:customStyle="1" w:styleId="BodyTextindent">
    <w:name w:val="Body Text (indent)"/>
    <w:basedOn w:val="BodyText"/>
    <w:semiHidden/>
    <w:qFormat/>
    <w:rsid w:val="00010BC1"/>
    <w:pPr>
      <w:ind w:left="357"/>
    </w:pPr>
  </w:style>
  <w:style w:type="paragraph" w:customStyle="1" w:styleId="BodyTextindent2">
    <w:name w:val="Body Text (indent 2)"/>
    <w:basedOn w:val="BodyText"/>
    <w:uiPriority w:val="1"/>
    <w:semiHidden/>
    <w:qFormat/>
    <w:rsid w:val="001C4183"/>
    <w:pPr>
      <w:ind w:left="714"/>
    </w:pPr>
  </w:style>
  <w:style w:type="paragraph" w:customStyle="1" w:styleId="BodyTextindent3">
    <w:name w:val="Body Text (indent 3)"/>
    <w:basedOn w:val="BodyText"/>
    <w:uiPriority w:val="1"/>
    <w:semiHidden/>
    <w:qFormat/>
    <w:rsid w:val="001C4183"/>
    <w:pPr>
      <w:ind w:left="1077"/>
    </w:pPr>
  </w:style>
  <w:style w:type="character" w:customStyle="1" w:styleId="Charactersourcecode">
    <w:name w:val="Character (source code)"/>
    <w:basedOn w:val="DefaultParagraphFont"/>
    <w:uiPriority w:val="3"/>
    <w:semiHidden/>
    <w:qFormat/>
    <w:rsid w:val="00CA539A"/>
    <w:rPr>
      <w:rFonts w:ascii="Courier New" w:hAnsi="Courier New"/>
    </w:rPr>
  </w:style>
  <w:style w:type="paragraph" w:customStyle="1" w:styleId="EndNoteBibliography">
    <w:name w:val="EndNote Bibliography"/>
    <w:basedOn w:val="BodyText"/>
    <w:link w:val="EndNoteBibliographyChar"/>
    <w:uiPriority w:val="23"/>
    <w:semiHidden/>
    <w:rsid w:val="00402E7E"/>
    <w:pPr>
      <w:ind w:left="720" w:hanging="720"/>
    </w:pPr>
    <w:rPr>
      <w:rFonts w:cs="Calibri"/>
      <w:noProof/>
      <w:szCs w:val="22"/>
    </w:rPr>
  </w:style>
  <w:style w:type="character" w:customStyle="1" w:styleId="EndNoteBibliographyChar">
    <w:name w:val="EndNote Bibliography Char"/>
    <w:basedOn w:val="BodyTextChar"/>
    <w:link w:val="EndNoteBibliography"/>
    <w:uiPriority w:val="23"/>
    <w:semiHidden/>
    <w:rsid w:val="009E61A1"/>
    <w:rPr>
      <w:rFonts w:ascii="Arial" w:hAnsi="Arial" w:cs="Calibri"/>
      <w:noProof/>
      <w:sz w:val="22"/>
      <w:szCs w:val="22"/>
      <w:lang w:val="en-AU"/>
    </w:rPr>
  </w:style>
  <w:style w:type="paragraph" w:customStyle="1" w:styleId="EndNoteBibliographyTitle">
    <w:name w:val="EndNote Bibliography Title"/>
    <w:basedOn w:val="Heading1"/>
    <w:next w:val="EndNoteBibliography"/>
    <w:link w:val="EndNoteBibliographyTitleChar4"/>
    <w:uiPriority w:val="23"/>
    <w:semiHidden/>
    <w:rsid w:val="00402E7E"/>
    <w:pPr>
      <w:spacing w:before="120" w:after="120"/>
    </w:pPr>
    <w:rPr>
      <w:rFonts w:cs="Calibri"/>
      <w:i/>
      <w:noProof/>
      <w:sz w:val="20"/>
    </w:rPr>
  </w:style>
  <w:style w:type="character" w:customStyle="1" w:styleId="EndNoteBibliographyTitleChar4">
    <w:name w:val="EndNote Bibliography Title Char4"/>
    <w:basedOn w:val="BodyTextChar"/>
    <w:link w:val="EndNoteBibliographyTitle"/>
    <w:uiPriority w:val="23"/>
    <w:semiHidden/>
    <w:rsid w:val="009E61A1"/>
    <w:rPr>
      <w:rFonts w:ascii="Arial" w:eastAsia="Times New Roman" w:hAnsi="Arial" w:cs="Calibri"/>
      <w:bCs/>
      <w:i/>
      <w:noProof/>
      <w:sz w:val="22"/>
      <w:szCs w:val="32"/>
      <w:lang w:val="en-AU" w:eastAsia="en-AU"/>
    </w:rPr>
  </w:style>
  <w:style w:type="character" w:styleId="PlaceholderText">
    <w:name w:val="Placeholder Text"/>
    <w:basedOn w:val="DefaultParagraphFont"/>
    <w:uiPriority w:val="99"/>
    <w:rsid w:val="00706D2D"/>
    <w:rPr>
      <w:color w:val="C00000"/>
    </w:rPr>
  </w:style>
  <w:style w:type="paragraph" w:styleId="TOC4">
    <w:name w:val="toc 4"/>
    <w:basedOn w:val="TOC1"/>
    <w:next w:val="Normal"/>
    <w:autoRedefine/>
    <w:uiPriority w:val="39"/>
    <w:rsid w:val="00D92686"/>
    <w:pPr>
      <w:tabs>
        <w:tab w:val="left" w:pos="1418"/>
      </w:tabs>
    </w:pPr>
    <w:rPr>
      <w:noProof/>
    </w:rPr>
  </w:style>
  <w:style w:type="paragraph" w:customStyle="1" w:styleId="BodyTextindent4">
    <w:name w:val="Body Text (indent 4)"/>
    <w:basedOn w:val="BodyText"/>
    <w:uiPriority w:val="1"/>
    <w:semiHidden/>
    <w:qFormat/>
    <w:rsid w:val="00291313"/>
    <w:pPr>
      <w:ind w:left="1435"/>
    </w:pPr>
  </w:style>
  <w:style w:type="paragraph" w:styleId="FootnoteText">
    <w:name w:val="footnote text"/>
    <w:basedOn w:val="Normal"/>
    <w:link w:val="FootnoteTextChar"/>
    <w:uiPriority w:val="99"/>
    <w:rsid w:val="00E23C2C"/>
    <w:pPr>
      <w:spacing w:before="0" w:after="80"/>
      <w:ind w:left="113" w:hanging="113"/>
    </w:pPr>
    <w:rPr>
      <w:sz w:val="18"/>
    </w:rPr>
  </w:style>
  <w:style w:type="character" w:customStyle="1" w:styleId="FootnoteTextChar">
    <w:name w:val="Footnote Text Char"/>
    <w:basedOn w:val="DefaultParagraphFont"/>
    <w:link w:val="FootnoteText"/>
    <w:uiPriority w:val="99"/>
    <w:rsid w:val="00E23C2C"/>
    <w:rPr>
      <w:rFonts w:ascii="Arial" w:hAnsi="Arial"/>
      <w:sz w:val="18"/>
      <w:lang w:val="en-AU"/>
    </w:rPr>
  </w:style>
  <w:style w:type="character" w:styleId="FootnoteReference">
    <w:name w:val="footnote reference"/>
    <w:basedOn w:val="DefaultParagraphFont"/>
    <w:uiPriority w:val="99"/>
    <w:rsid w:val="00600004"/>
    <w:rPr>
      <w:vertAlign w:val="superscript"/>
    </w:rPr>
  </w:style>
  <w:style w:type="table" w:customStyle="1" w:styleId="CustomTableoption1">
    <w:name w:val="Custom Table (option 1)"/>
    <w:basedOn w:val="TableNormal"/>
    <w:uiPriority w:val="99"/>
    <w:rsid w:val="001646CD"/>
    <w:pPr>
      <w:spacing w:after="0" w:line="240" w:lineRule="auto"/>
    </w:pPr>
    <w:rPr>
      <w:rFonts w:ascii="Arial" w:hAnsi="Arial"/>
      <w:sz w:val="22"/>
    </w:rPr>
    <w:tblPr>
      <w:tblStyleRowBandSize w:val="1"/>
      <w:tblStyleColBandSize w:val="1"/>
      <w:tblBorders>
        <w:bottom w:val="single" w:sz="4" w:space="0" w:color="2F005F"/>
      </w:tblBorders>
    </w:tblPr>
    <w:trPr>
      <w:cantSplit/>
    </w:trPr>
    <w:tblStylePr w:type="firstRow">
      <w:rPr>
        <w:b w:val="0"/>
        <w:color w:val="FFFFFF" w:themeColor="background1"/>
      </w:rPr>
      <w:tblPr/>
      <w:tcPr>
        <w:shd w:val="clear" w:color="auto" w:fill="2F005F"/>
      </w:tcPr>
    </w:tblStylePr>
    <w:tblStylePr w:type="lastRow">
      <w:rPr>
        <w:b/>
      </w:rPr>
      <w:tblPr/>
      <w:tcPr>
        <w:shd w:val="clear" w:color="auto" w:fill="4B0985"/>
      </w:tcPr>
    </w:tblStylePr>
    <w:tblStylePr w:type="firstCol">
      <w:rPr>
        <w:b w:val="0"/>
        <w:color w:val="FFFFFF" w:themeColor="background1"/>
      </w:rPr>
      <w:tblPr/>
      <w:tcPr>
        <w:shd w:val="clear" w:color="auto" w:fill="2F005F"/>
      </w:tc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table" w:customStyle="1" w:styleId="CustomTableoption2">
    <w:name w:val="Custom Table (option 2)"/>
    <w:basedOn w:val="TableNormal"/>
    <w:uiPriority w:val="99"/>
    <w:rsid w:val="001646CD"/>
    <w:pPr>
      <w:spacing w:after="0" w:line="240" w:lineRule="auto"/>
    </w:pPr>
    <w:rPr>
      <w:rFonts w:ascii="Arial" w:hAnsi="Arial"/>
      <w:sz w:val="22"/>
    </w:rPr>
    <w:tblPr>
      <w:tblStyleRowBandSize w:val="1"/>
      <w:tblStyleColBandSize w:val="1"/>
      <w:tblBorders>
        <w:bottom w:val="single" w:sz="4" w:space="0" w:color="012749"/>
      </w:tblBorders>
    </w:tblPr>
    <w:trPr>
      <w:cantSplit/>
    </w:trPr>
    <w:tblStylePr w:type="firstRow">
      <w:rPr>
        <w:b w:val="0"/>
        <w:color w:val="FFFFFF" w:themeColor="background1"/>
      </w:rPr>
      <w:tblPr/>
      <w:tcPr>
        <w:shd w:val="clear" w:color="auto" w:fill="012749"/>
      </w:tcPr>
    </w:tblStylePr>
    <w:tblStylePr w:type="lastRow">
      <w:rPr>
        <w:b/>
      </w:rPr>
      <w:tblPr/>
      <w:tcPr>
        <w:shd w:val="clear" w:color="auto" w:fill="4B0985"/>
      </w:tcPr>
    </w:tblStylePr>
    <w:tblStylePr w:type="firstCol">
      <w:rPr>
        <w:b w:val="0"/>
        <w:color w:val="auto"/>
      </w:rPr>
      <w:tblPr/>
      <w:tcPr>
        <w:shd w:val="clear" w:color="auto" w:fill="012749"/>
      </w:tc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LargeSpace">
    <w:name w:val="Large Space"/>
    <w:basedOn w:val="SingleSpace"/>
    <w:uiPriority w:val="21"/>
    <w:rsid w:val="00A1478F"/>
    <w:pPr>
      <w:spacing w:after="6000"/>
    </w:pPr>
    <w:rPr>
      <w:sz w:val="96"/>
    </w:rPr>
  </w:style>
  <w:style w:type="table" w:customStyle="1" w:styleId="CustomTableplaceholder">
    <w:name w:val="Custom Table (placeholder)"/>
    <w:basedOn w:val="TableNormal"/>
    <w:uiPriority w:val="99"/>
    <w:rsid w:val="007C1A44"/>
    <w:pPr>
      <w:spacing w:after="0" w:line="240" w:lineRule="auto"/>
    </w:pPr>
    <w:rPr>
      <w:rFonts w:ascii="Arial" w:hAnsi="Arial"/>
    </w:rPr>
    <w:tblPr/>
  </w:style>
  <w:style w:type="paragraph" w:styleId="Signature">
    <w:name w:val="Signature"/>
    <w:basedOn w:val="Normal"/>
    <w:link w:val="SignatureChar"/>
    <w:uiPriority w:val="23"/>
    <w:semiHidden/>
    <w:rsid w:val="009E61A1"/>
    <w:pPr>
      <w:spacing w:before="360" w:after="360"/>
    </w:pPr>
    <w:rPr>
      <w:rFonts w:ascii="Segoe Script" w:hAnsi="Segoe Script"/>
      <w:color w:val="9630F1" w:themeColor="text2" w:themeTint="99"/>
      <w:sz w:val="24"/>
    </w:rPr>
  </w:style>
  <w:style w:type="character" w:customStyle="1" w:styleId="SignatureChar">
    <w:name w:val="Signature Char"/>
    <w:basedOn w:val="DefaultParagraphFont"/>
    <w:link w:val="Signature"/>
    <w:uiPriority w:val="23"/>
    <w:semiHidden/>
    <w:rsid w:val="009E61A1"/>
    <w:rPr>
      <w:rFonts w:ascii="Segoe Script" w:hAnsi="Segoe Script"/>
      <w:color w:val="9630F1" w:themeColor="text2" w:themeTint="99"/>
      <w:sz w:val="24"/>
      <w:lang w:val="en-AU"/>
    </w:rPr>
  </w:style>
  <w:style w:type="character" w:customStyle="1" w:styleId="NoSpacingChar">
    <w:name w:val="No Spacing Char"/>
    <w:basedOn w:val="DefaultParagraphFont"/>
    <w:link w:val="NoSpacing"/>
    <w:uiPriority w:val="1"/>
    <w:semiHidden/>
    <w:rsid w:val="00544EC5"/>
    <w:rPr>
      <w:rFonts w:ascii="Arial" w:eastAsia="Times New Roman" w:hAnsi="Arial" w:cs="Times New Roman"/>
      <w:sz w:val="2"/>
      <w:szCs w:val="24"/>
      <w:lang w:val="en-AU" w:eastAsia="en-GB"/>
    </w:rPr>
  </w:style>
  <w:style w:type="character" w:customStyle="1" w:styleId="Characterbolditalic">
    <w:name w:val="Character (bold italic)"/>
    <w:basedOn w:val="DefaultParagraphFont"/>
    <w:uiPriority w:val="2"/>
    <w:qFormat/>
    <w:rsid w:val="00137E20"/>
    <w:rPr>
      <w:b/>
      <w:i/>
    </w:rPr>
  </w:style>
  <w:style w:type="table" w:styleId="PlainTable4">
    <w:name w:val="Plain Table 4"/>
    <w:basedOn w:val="TableNormal"/>
    <w:uiPriority w:val="44"/>
    <w:locked/>
    <w:rsid w:val="00F23E37"/>
    <w:pPr>
      <w:spacing w:after="0" w:line="240" w:lineRule="auto"/>
    </w:pPr>
    <w:rPr>
      <w:rFonts w:ascii="Arial" w:hAnsi="Arial"/>
      <w:sz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E41E09"/>
    <w:rPr>
      <w:color w:val="605E5C"/>
      <w:shd w:val="clear" w:color="auto" w:fill="E1DFDD"/>
    </w:rPr>
  </w:style>
  <w:style w:type="table" w:customStyle="1" w:styleId="CustomTablestandard">
    <w:name w:val="Custom Table (standard)"/>
    <w:basedOn w:val="TableNormal"/>
    <w:uiPriority w:val="99"/>
    <w:locked/>
    <w:rsid w:val="00DD34CE"/>
    <w:pPr>
      <w:spacing w:after="0" w:line="240" w:lineRule="auto"/>
    </w:pPr>
    <w:rPr>
      <w:rFonts w:ascii="Arial" w:hAnsi="Arial"/>
      <w:sz w:val="18"/>
    </w:rPr>
    <w:tblP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
    <w:trPr>
      <w:cantSplit/>
    </w:trPr>
    <w:tblStylePr w:type="firstRow">
      <w:rPr>
        <w:rFonts w:ascii="Arial" w:hAnsi="Arial"/>
        <w:b w:val="0"/>
        <w:color w:val="FFFFFF" w:themeColor="background1"/>
      </w:rPr>
      <w:tblPr/>
      <w:tcPr>
        <w:shd w:val="clear" w:color="auto" w:fill="404040" w:themeFill="text1" w:themeFillTint="BF"/>
      </w:tcPr>
    </w:tblStylePr>
  </w:style>
  <w:style w:type="table" w:customStyle="1" w:styleId="CustomTablebasic">
    <w:name w:val="Custom Table (basic)"/>
    <w:basedOn w:val="TableNormal"/>
    <w:uiPriority w:val="99"/>
    <w:rsid w:val="007A171C"/>
    <w:pPr>
      <w:spacing w:after="0" w:line="240" w:lineRule="auto"/>
    </w:pPr>
    <w:rPr>
      <w:rFonts w:ascii="Arial" w:hAnsi="Arial"/>
      <w:sz w:val="22"/>
    </w:rPr>
    <w:tblPr>
      <w:tblStyleRowBandSize w:val="1"/>
      <w:tblBorders>
        <w:bottom w:val="single" w:sz="4" w:space="0" w:color="2F005F"/>
      </w:tblBorders>
    </w:tblPr>
    <w:tblStylePr w:type="firstRow">
      <w:tblPr/>
      <w:tcPr>
        <w:tcBorders>
          <w:bottom w:val="nil"/>
        </w:tcBorders>
        <w:shd w:val="clear" w:color="auto" w:fill="2F005F"/>
      </w:tcPr>
    </w:tblStylePr>
    <w:tblStylePr w:type="band2Horz">
      <w:tblPr/>
      <w:tcPr>
        <w:shd w:val="clear" w:color="auto" w:fill="F2F2F2" w:themeFill="background1" w:themeFillShade="F2"/>
      </w:tcPr>
    </w:tblStylePr>
  </w:style>
  <w:style w:type="table" w:customStyle="1" w:styleId="CustomTablepulloutbox">
    <w:name w:val="Custom Table (pullout box)"/>
    <w:basedOn w:val="TableNormal"/>
    <w:uiPriority w:val="99"/>
    <w:rsid w:val="00AC33C3"/>
    <w:pPr>
      <w:spacing w:after="0" w:line="240" w:lineRule="auto"/>
    </w:pPr>
    <w:tblPr>
      <w:tblBorders>
        <w:left w:val="single" w:sz="24" w:space="0" w:color="4B0885"/>
      </w:tblBorders>
    </w:tblPr>
    <w:tcPr>
      <w:shd w:val="clear" w:color="auto" w:fill="F2F2F2" w:themeFill="background1" w:themeFillShade="F2"/>
      <w:tcMar>
        <w:top w:w="227" w:type="dxa"/>
        <w:left w:w="227" w:type="dxa"/>
        <w:bottom w:w="227" w:type="dxa"/>
        <w:right w:w="227" w:type="dxa"/>
      </w:tcMar>
    </w:tcPr>
  </w:style>
  <w:style w:type="table" w:customStyle="1" w:styleId="CustomTablekeythemes">
    <w:name w:val="Custom Table (key themes)"/>
    <w:basedOn w:val="TableNormal"/>
    <w:uiPriority w:val="99"/>
    <w:rsid w:val="006819D3"/>
    <w:pPr>
      <w:spacing w:after="0" w:line="240" w:lineRule="auto"/>
    </w:pPr>
    <w:tblPr>
      <w:tblBorders>
        <w:top w:val="double" w:sz="12" w:space="0" w:color="D9D9D9" w:themeColor="background1" w:themeShade="D9"/>
        <w:bottom w:val="double" w:sz="12" w:space="0" w:color="D9D9D9" w:themeColor="background1" w:themeShade="D9"/>
      </w:tblBorders>
    </w:tblPr>
    <w:tcPr>
      <w:shd w:val="clear" w:color="auto" w:fill="D9D9D9" w:themeFill="background1" w:themeFillShade="D9"/>
      <w:tcMar>
        <w:top w:w="227" w:type="dxa"/>
        <w:left w:w="227" w:type="dxa"/>
        <w:bottom w:w="227" w:type="dxa"/>
        <w:right w:w="227" w:type="dxa"/>
      </w:tcMar>
    </w:tcPr>
  </w:style>
  <w:style w:type="paragraph" w:customStyle="1" w:styleId="TableHeading1centre">
    <w:name w:val="Table Heading 1 (centre)"/>
    <w:basedOn w:val="TableHeading1"/>
    <w:uiPriority w:val="13"/>
    <w:qFormat/>
    <w:rsid w:val="005D70A0"/>
    <w:pPr>
      <w:jc w:val="center"/>
    </w:pPr>
    <w:rPr>
      <w:color w:val="FFFFFF" w:themeColor="background1"/>
    </w:rPr>
  </w:style>
  <w:style w:type="paragraph" w:customStyle="1" w:styleId="TableHeading1right">
    <w:name w:val="Table Heading 1 (right)"/>
    <w:basedOn w:val="TableHeading1"/>
    <w:uiPriority w:val="13"/>
    <w:qFormat/>
    <w:rsid w:val="005D70A0"/>
    <w:pPr>
      <w:jc w:val="right"/>
    </w:pPr>
    <w:rPr>
      <w:color w:val="FFFFFF" w:themeColor="background1"/>
    </w:rPr>
  </w:style>
  <w:style w:type="paragraph" w:customStyle="1" w:styleId="TableBodyTextcentre">
    <w:name w:val="Table Body Text (centre)"/>
    <w:basedOn w:val="TableBodyText"/>
    <w:uiPriority w:val="14"/>
    <w:qFormat/>
    <w:rsid w:val="005D70A0"/>
    <w:pPr>
      <w:jc w:val="center"/>
    </w:pPr>
  </w:style>
  <w:style w:type="character" w:customStyle="1" w:styleId="Heading6Char">
    <w:name w:val="Heading 6 Char"/>
    <w:basedOn w:val="DefaultParagraphFont"/>
    <w:link w:val="Heading6"/>
    <w:uiPriority w:val="9"/>
    <w:semiHidden/>
    <w:rsid w:val="0082152E"/>
    <w:rPr>
      <w:rFonts w:ascii="Arial" w:eastAsiaTheme="majorEastAsia" w:hAnsi="Arial" w:cstheme="majorBidi"/>
      <w:color w:val="4B0885"/>
      <w:sz w:val="19"/>
      <w:lang w:val="en-AU"/>
    </w:rPr>
  </w:style>
  <w:style w:type="paragraph" w:customStyle="1" w:styleId="Quotelarge">
    <w:name w:val="Quote (large)"/>
    <w:basedOn w:val="Quote"/>
    <w:uiPriority w:val="18"/>
    <w:qFormat/>
    <w:rsid w:val="00B74938"/>
    <w:rPr>
      <w:color w:val="4B0885"/>
      <w:sz w:val="28"/>
    </w:rPr>
  </w:style>
  <w:style w:type="paragraph" w:customStyle="1" w:styleId="BoxHeading">
    <w:name w:val="Box Heading"/>
    <w:basedOn w:val="BodyText"/>
    <w:uiPriority w:val="16"/>
    <w:qFormat/>
    <w:rsid w:val="00B96396"/>
    <w:pPr>
      <w:keepNext/>
    </w:pPr>
    <w:rPr>
      <w:b/>
      <w:color w:val="2F005F"/>
      <w:sz w:val="23"/>
      <w:lang w:eastAsia="en-GB"/>
    </w:rPr>
  </w:style>
  <w:style w:type="table" w:customStyle="1" w:styleId="CustomTablepulloutbox2">
    <w:name w:val="Custom Table (pullout box 2)"/>
    <w:basedOn w:val="CustomTablepulloutbox"/>
    <w:uiPriority w:val="99"/>
    <w:rsid w:val="00F4121F"/>
    <w:tblPr/>
    <w:tcPr>
      <w:shd w:val="clear" w:color="auto" w:fill="E0D1F5"/>
    </w:tcPr>
  </w:style>
  <w:style w:type="character" w:styleId="CommentReference">
    <w:name w:val="annotation reference"/>
    <w:basedOn w:val="DefaultParagraphFont"/>
    <w:uiPriority w:val="99"/>
    <w:semiHidden/>
    <w:unhideWhenUsed/>
    <w:rsid w:val="00543936"/>
    <w:rPr>
      <w:sz w:val="16"/>
      <w:szCs w:val="16"/>
    </w:rPr>
  </w:style>
  <w:style w:type="paragraph" w:styleId="CommentText">
    <w:name w:val="annotation text"/>
    <w:basedOn w:val="Normal"/>
    <w:link w:val="CommentTextChar"/>
    <w:uiPriority w:val="99"/>
    <w:unhideWhenUsed/>
    <w:rsid w:val="00543936"/>
    <w:pPr>
      <w:spacing w:before="0" w:after="100" w:line="259" w:lineRule="auto"/>
    </w:pPr>
    <w:rPr>
      <w:rFonts w:asciiTheme="minorHAnsi" w:eastAsiaTheme="minorEastAsia" w:hAnsiTheme="minorHAnsi"/>
      <w:sz w:val="20"/>
      <w:szCs w:val="22"/>
      <w:lang w:val="en-US"/>
    </w:rPr>
  </w:style>
  <w:style w:type="character" w:customStyle="1" w:styleId="CommentTextChar">
    <w:name w:val="Comment Text Char"/>
    <w:basedOn w:val="DefaultParagraphFont"/>
    <w:link w:val="CommentText"/>
    <w:uiPriority w:val="99"/>
    <w:rsid w:val="00543936"/>
    <w:rPr>
      <w:rFonts w:eastAsiaTheme="minorEastAsia"/>
      <w:szCs w:val="22"/>
    </w:rPr>
  </w:style>
  <w:style w:type="character" w:styleId="Strong">
    <w:name w:val="Strong"/>
    <w:basedOn w:val="DefaultParagraphFont"/>
    <w:uiPriority w:val="22"/>
    <w:qFormat/>
    <w:rsid w:val="00543936"/>
    <w:rPr>
      <w:b/>
      <w:bCs/>
    </w:rPr>
  </w:style>
  <w:style w:type="paragraph" w:styleId="CommentSubject">
    <w:name w:val="annotation subject"/>
    <w:basedOn w:val="CommentText"/>
    <w:next w:val="CommentText"/>
    <w:link w:val="CommentSubjectChar"/>
    <w:uiPriority w:val="99"/>
    <w:semiHidden/>
    <w:rsid w:val="00543936"/>
    <w:pPr>
      <w:spacing w:before="40" w:after="40" w:line="240" w:lineRule="auto"/>
    </w:pPr>
    <w:rPr>
      <w:rFonts w:ascii="Arial" w:eastAsiaTheme="minorHAnsi" w:hAnsi="Arial"/>
      <w:b/>
      <w:bCs/>
      <w:szCs w:val="20"/>
      <w:lang w:val="en-AU"/>
    </w:rPr>
  </w:style>
  <w:style w:type="character" w:customStyle="1" w:styleId="CommentSubjectChar">
    <w:name w:val="Comment Subject Char"/>
    <w:basedOn w:val="CommentTextChar"/>
    <w:link w:val="CommentSubject"/>
    <w:uiPriority w:val="99"/>
    <w:semiHidden/>
    <w:rsid w:val="00543936"/>
    <w:rPr>
      <w:rFonts w:ascii="Arial" w:eastAsiaTheme="minorEastAsia" w:hAnsi="Arial"/>
      <w:b/>
      <w:bCs/>
      <w:szCs w:val="22"/>
      <w:lang w:val="en-AU"/>
    </w:rPr>
  </w:style>
  <w:style w:type="paragraph" w:styleId="Revision">
    <w:name w:val="Revision"/>
    <w:hidden/>
    <w:uiPriority w:val="99"/>
    <w:semiHidden/>
    <w:rsid w:val="00543936"/>
    <w:pPr>
      <w:spacing w:after="0" w:line="240" w:lineRule="auto"/>
    </w:pPr>
    <w:rPr>
      <w:rFonts w:ascii="Arial" w:hAnsi="Arial"/>
      <w:sz w:val="22"/>
      <w:lang w:val="en-AU"/>
    </w:rPr>
  </w:style>
  <w:style w:type="character" w:styleId="FollowedHyperlink">
    <w:name w:val="FollowedHyperlink"/>
    <w:basedOn w:val="DefaultParagraphFont"/>
    <w:uiPriority w:val="99"/>
    <w:semiHidden/>
    <w:rsid w:val="00543936"/>
    <w:rPr>
      <w:color w:val="800080" w:themeColor="followedHyperlink"/>
      <w:u w:val="single"/>
    </w:rPr>
  </w:style>
  <w:style w:type="character" w:styleId="Mention">
    <w:name w:val="Mention"/>
    <w:basedOn w:val="DefaultParagraphFont"/>
    <w:uiPriority w:val="99"/>
    <w:unhideWhenUsed/>
    <w:rsid w:val="00543936"/>
    <w:rPr>
      <w:color w:val="2B579A"/>
      <w:shd w:val="clear" w:color="auto" w:fill="E1DFDD"/>
    </w:rPr>
  </w:style>
  <w:style w:type="character" w:styleId="BookTitle">
    <w:name w:val="Book Title"/>
    <w:basedOn w:val="DefaultParagraphFont"/>
    <w:uiPriority w:val="99"/>
    <w:semiHidden/>
    <w:qFormat/>
    <w:rsid w:val="00A93BF8"/>
    <w:rPr>
      <w:b/>
      <w:bCs/>
      <w:i/>
      <w:iCs/>
      <w:spacing w:val="5"/>
    </w:rPr>
  </w:style>
  <w:style w:type="character" w:styleId="Emphasis">
    <w:name w:val="Emphasis"/>
    <w:basedOn w:val="DefaultParagraphFont"/>
    <w:uiPriority w:val="99"/>
    <w:semiHidden/>
    <w:qFormat/>
    <w:rsid w:val="00A93BF8"/>
    <w:rPr>
      <w:i/>
      <w:iCs/>
    </w:rPr>
  </w:style>
  <w:style w:type="character" w:customStyle="1" w:styleId="Heading7Char">
    <w:name w:val="Heading 7 Char"/>
    <w:basedOn w:val="DefaultParagraphFont"/>
    <w:link w:val="Heading7"/>
    <w:uiPriority w:val="9"/>
    <w:semiHidden/>
    <w:rsid w:val="00A93BF8"/>
    <w:rPr>
      <w:rFonts w:asciiTheme="majorHAnsi" w:eastAsiaTheme="majorEastAsia" w:hAnsiTheme="majorHAnsi" w:cstheme="majorBidi"/>
      <w:i/>
      <w:iCs/>
      <w:color w:val="341461" w:themeColor="accent1" w:themeShade="7F"/>
      <w:sz w:val="22"/>
      <w:lang w:val="en-AU"/>
    </w:rPr>
  </w:style>
  <w:style w:type="character" w:customStyle="1" w:styleId="Heading8Char">
    <w:name w:val="Heading 8 Char"/>
    <w:basedOn w:val="DefaultParagraphFont"/>
    <w:link w:val="Heading8"/>
    <w:uiPriority w:val="9"/>
    <w:semiHidden/>
    <w:rsid w:val="00A93BF8"/>
    <w:rPr>
      <w:rFonts w:asciiTheme="majorHAnsi" w:eastAsiaTheme="majorEastAsia" w:hAnsiTheme="majorHAnsi" w:cstheme="majorBidi"/>
      <w:color w:val="272727" w:themeColor="text1" w:themeTint="D8"/>
      <w:sz w:val="21"/>
      <w:szCs w:val="21"/>
      <w:lang w:val="en-AU"/>
    </w:rPr>
  </w:style>
  <w:style w:type="character" w:customStyle="1" w:styleId="Heading9Char">
    <w:name w:val="Heading 9 Char"/>
    <w:basedOn w:val="DefaultParagraphFont"/>
    <w:link w:val="Heading9"/>
    <w:uiPriority w:val="9"/>
    <w:semiHidden/>
    <w:rsid w:val="00A93BF8"/>
    <w:rPr>
      <w:rFonts w:asciiTheme="majorHAnsi" w:eastAsiaTheme="majorEastAsia" w:hAnsiTheme="majorHAnsi" w:cstheme="majorBidi"/>
      <w:i/>
      <w:iCs/>
      <w:color w:val="272727" w:themeColor="text1" w:themeTint="D8"/>
      <w:sz w:val="21"/>
      <w:szCs w:val="21"/>
      <w:lang w:val="en-AU"/>
    </w:rPr>
  </w:style>
  <w:style w:type="character" w:styleId="IntenseEmphasis">
    <w:name w:val="Intense Emphasis"/>
    <w:basedOn w:val="DefaultParagraphFont"/>
    <w:uiPriority w:val="99"/>
    <w:semiHidden/>
    <w:qFormat/>
    <w:rsid w:val="00A93BF8"/>
    <w:rPr>
      <w:i/>
      <w:iCs/>
      <w:color w:val="6929C4" w:themeColor="accent1"/>
    </w:rPr>
  </w:style>
  <w:style w:type="paragraph" w:styleId="IntenseQuote">
    <w:name w:val="Intense Quote"/>
    <w:basedOn w:val="Normal"/>
    <w:next w:val="Normal"/>
    <w:link w:val="IntenseQuoteChar"/>
    <w:uiPriority w:val="99"/>
    <w:semiHidden/>
    <w:qFormat/>
    <w:rsid w:val="00A93BF8"/>
    <w:pPr>
      <w:pBdr>
        <w:top w:val="single" w:sz="4" w:space="10" w:color="6929C4" w:themeColor="accent1"/>
        <w:bottom w:val="single" w:sz="4" w:space="10" w:color="6929C4" w:themeColor="accent1"/>
      </w:pBdr>
      <w:spacing w:before="360" w:after="360"/>
      <w:ind w:left="864" w:right="864"/>
      <w:jc w:val="center"/>
    </w:pPr>
    <w:rPr>
      <w:i/>
      <w:iCs/>
      <w:color w:val="6929C4" w:themeColor="accent1"/>
    </w:rPr>
  </w:style>
  <w:style w:type="character" w:customStyle="1" w:styleId="IntenseQuoteChar">
    <w:name w:val="Intense Quote Char"/>
    <w:basedOn w:val="DefaultParagraphFont"/>
    <w:link w:val="IntenseQuote"/>
    <w:uiPriority w:val="99"/>
    <w:semiHidden/>
    <w:rsid w:val="00A93BF8"/>
    <w:rPr>
      <w:rFonts w:ascii="Arial" w:hAnsi="Arial"/>
      <w:i/>
      <w:iCs/>
      <w:color w:val="6929C4" w:themeColor="accent1"/>
      <w:sz w:val="22"/>
      <w:lang w:val="en-AU"/>
    </w:rPr>
  </w:style>
  <w:style w:type="character" w:styleId="IntenseReference">
    <w:name w:val="Intense Reference"/>
    <w:basedOn w:val="DefaultParagraphFont"/>
    <w:uiPriority w:val="99"/>
    <w:semiHidden/>
    <w:qFormat/>
    <w:rsid w:val="00A93BF8"/>
    <w:rPr>
      <w:b/>
      <w:bCs/>
      <w:smallCaps/>
      <w:color w:val="6929C4" w:themeColor="accent1"/>
      <w:spacing w:val="5"/>
    </w:rPr>
  </w:style>
  <w:style w:type="character" w:styleId="SubtleEmphasis">
    <w:name w:val="Subtle Emphasis"/>
    <w:basedOn w:val="DefaultParagraphFont"/>
    <w:uiPriority w:val="99"/>
    <w:semiHidden/>
    <w:qFormat/>
    <w:rsid w:val="00A93BF8"/>
    <w:rPr>
      <w:i/>
      <w:iCs/>
      <w:color w:val="404040" w:themeColor="text1" w:themeTint="BF"/>
    </w:rPr>
  </w:style>
  <w:style w:type="character" w:styleId="SubtleReference">
    <w:name w:val="Subtle Reference"/>
    <w:basedOn w:val="DefaultParagraphFont"/>
    <w:uiPriority w:val="99"/>
    <w:semiHidden/>
    <w:qFormat/>
    <w:rsid w:val="00A93BF8"/>
    <w:rPr>
      <w:smallCaps/>
      <w:color w:val="5A5A5A" w:themeColor="text1" w:themeTint="A5"/>
    </w:rPr>
  </w:style>
  <w:style w:type="paragraph" w:styleId="NormalWeb">
    <w:name w:val="Normal (Web)"/>
    <w:basedOn w:val="Normal"/>
    <w:uiPriority w:val="99"/>
    <w:semiHidden/>
    <w:unhideWhenUsed/>
    <w:rsid w:val="005104B1"/>
    <w:pPr>
      <w:spacing w:before="100" w:beforeAutospacing="1" w:after="100" w:afterAutospacing="1"/>
    </w:pPr>
    <w:rPr>
      <w:rFonts w:ascii="Times New Roman" w:hAnsi="Times New Roman" w:cs="Times New Roman"/>
      <w:kern w:val="2"/>
      <w:sz w:val="24"/>
      <w:szCs w:val="24"/>
      <w:lang w:eastAsia="en-A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2591990">
      <w:bodyDiv w:val="1"/>
      <w:marLeft w:val="0"/>
      <w:marRight w:val="0"/>
      <w:marTop w:val="0"/>
      <w:marBottom w:val="0"/>
      <w:divBdr>
        <w:top w:val="none" w:sz="0" w:space="0" w:color="auto"/>
        <w:left w:val="none" w:sz="0" w:space="0" w:color="auto"/>
        <w:bottom w:val="none" w:sz="0" w:space="0" w:color="auto"/>
        <w:right w:val="none" w:sz="0" w:space="0" w:color="auto"/>
      </w:divBdr>
    </w:div>
    <w:div w:id="562252493">
      <w:bodyDiv w:val="1"/>
      <w:marLeft w:val="0"/>
      <w:marRight w:val="0"/>
      <w:marTop w:val="0"/>
      <w:marBottom w:val="0"/>
      <w:divBdr>
        <w:top w:val="none" w:sz="0" w:space="0" w:color="auto"/>
        <w:left w:val="none" w:sz="0" w:space="0" w:color="auto"/>
        <w:bottom w:val="none" w:sz="0" w:space="0" w:color="auto"/>
        <w:right w:val="none" w:sz="0" w:space="0" w:color="auto"/>
      </w:divBdr>
    </w:div>
    <w:div w:id="714623433">
      <w:bodyDiv w:val="1"/>
      <w:marLeft w:val="0"/>
      <w:marRight w:val="0"/>
      <w:marTop w:val="0"/>
      <w:marBottom w:val="0"/>
      <w:divBdr>
        <w:top w:val="none" w:sz="0" w:space="0" w:color="auto"/>
        <w:left w:val="none" w:sz="0" w:space="0" w:color="auto"/>
        <w:bottom w:val="none" w:sz="0" w:space="0" w:color="auto"/>
        <w:right w:val="none" w:sz="0" w:space="0" w:color="auto"/>
      </w:divBdr>
    </w:div>
    <w:div w:id="891425776">
      <w:bodyDiv w:val="1"/>
      <w:marLeft w:val="0"/>
      <w:marRight w:val="0"/>
      <w:marTop w:val="0"/>
      <w:marBottom w:val="0"/>
      <w:divBdr>
        <w:top w:val="none" w:sz="0" w:space="0" w:color="auto"/>
        <w:left w:val="none" w:sz="0" w:space="0" w:color="auto"/>
        <w:bottom w:val="none" w:sz="0" w:space="0" w:color="auto"/>
        <w:right w:val="none" w:sz="0" w:space="0" w:color="auto"/>
      </w:divBdr>
    </w:div>
    <w:div w:id="1285455281">
      <w:bodyDiv w:val="1"/>
      <w:marLeft w:val="0"/>
      <w:marRight w:val="0"/>
      <w:marTop w:val="0"/>
      <w:marBottom w:val="0"/>
      <w:divBdr>
        <w:top w:val="none" w:sz="0" w:space="0" w:color="auto"/>
        <w:left w:val="none" w:sz="0" w:space="0" w:color="auto"/>
        <w:bottom w:val="none" w:sz="0" w:space="0" w:color="auto"/>
        <w:right w:val="none" w:sz="0" w:space="0" w:color="auto"/>
      </w:divBdr>
    </w:div>
    <w:div w:id="1470174321">
      <w:bodyDiv w:val="1"/>
      <w:marLeft w:val="0"/>
      <w:marRight w:val="0"/>
      <w:marTop w:val="0"/>
      <w:marBottom w:val="0"/>
      <w:divBdr>
        <w:top w:val="none" w:sz="0" w:space="0" w:color="auto"/>
        <w:left w:val="none" w:sz="0" w:space="0" w:color="auto"/>
        <w:bottom w:val="none" w:sz="0" w:space="0" w:color="auto"/>
        <w:right w:val="none" w:sz="0" w:space="0" w:color="auto"/>
      </w:divBdr>
    </w:div>
    <w:div w:id="1731272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svg"/><Relationship Id="rId18" Type="http://schemas.openxmlformats.org/officeDocument/2006/relationships/chart" Target="charts/chart3.xml"/><Relationship Id="rId26" Type="http://schemas.openxmlformats.org/officeDocument/2006/relationships/image" Target="media/image5.png"/><Relationship Id="rId3" Type="http://schemas.openxmlformats.org/officeDocument/2006/relationships/styles" Target="styles.xml"/><Relationship Id="rId21" Type="http://schemas.openxmlformats.org/officeDocument/2006/relationships/chart" Target="charts/chart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oter" Target="footer3.xml"/><Relationship Id="rId25" Type="http://schemas.microsoft.com/office/2014/relationships/chartEx" Target="charts/chartEx2.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chart" Target="charts/chart5.xml"/><Relationship Id="rId29" Type="http://schemas.openxmlformats.org/officeDocument/2006/relationships/chart" Target="charts/chart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hart" Target="charts/chart7.xml"/><Relationship Id="rId32" Type="http://schemas.openxmlformats.org/officeDocument/2006/relationships/chart" Target="charts/chart13.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image" Target="media/image4.png"/><Relationship Id="rId28" Type="http://schemas.openxmlformats.org/officeDocument/2006/relationships/chart" Target="charts/chart9.xml"/><Relationship Id="rId10" Type="http://schemas.openxmlformats.org/officeDocument/2006/relationships/footer" Target="footer2.xml"/><Relationship Id="rId19" Type="http://schemas.openxmlformats.org/officeDocument/2006/relationships/chart" Target="charts/chart4.xml"/><Relationship Id="rId31" Type="http://schemas.openxmlformats.org/officeDocument/2006/relationships/chart" Target="charts/chart1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microsoft.com/office/2014/relationships/chartEx" Target="charts/chartEx1.xml"/><Relationship Id="rId27" Type="http://schemas.openxmlformats.org/officeDocument/2006/relationships/chart" Target="charts/chart8.xml"/><Relationship Id="rId30" Type="http://schemas.openxmlformats.org/officeDocument/2006/relationships/chart" Target="charts/chart11.xml"/><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jobsandskills.gov.au/data/total-new-vacancies" TargetMode="External"/><Relationship Id="rId1" Type="http://schemas.openxmlformats.org/officeDocument/2006/relationships/hyperlink" Target="https://www.jobsandskills.gov.au/data/recruitment-experiences-and-outlook-survey"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NULL" TargetMode="External"/></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NULL" TargetMode="External"/></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NULL" TargetMode="External"/></Relationships>
</file>

<file path=word/charts/_rels/chart8.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NULL" TargetMode="External"/></Relationships>
</file>

<file path=word/charts/_rels/chart9.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oleObject" Target="NULL"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12.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4.xml"/><Relationship Id="rId1" Type="http://schemas.microsoft.com/office/2011/relationships/chartStyle" Target="style4.xml"/></Relationships>
</file>

<file path=word/charts/_rels/chart13.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5.xml"/><Relationship Id="rId1" Type="http://schemas.microsoft.com/office/2011/relationships/chartStyle" Target="style5.xml"/></Relationships>
</file>

<file path=word/charts/_rels/chartEx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NULL" TargetMode="External"/></Relationships>
</file>

<file path=word/charts/_rels/chartEx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9083388504652274E-2"/>
          <c:y val="4.9695053083352154E-2"/>
          <c:w val="0.88880410387385522"/>
          <c:h val="0.88135688482806829"/>
        </c:manualLayout>
      </c:layout>
      <c:barChart>
        <c:barDir val="bar"/>
        <c:grouping val="clustered"/>
        <c:varyColors val="0"/>
        <c:ser>
          <c:idx val="1"/>
          <c:order val="0"/>
          <c:tx>
            <c:strRef>
              <c:f>'Figure 1'!$B$7</c:f>
              <c:strCache>
                <c:ptCount val="1"/>
                <c:pt idx="0">
                  <c:v>Occupations in shortage</c:v>
                </c:pt>
              </c:strCache>
            </c:strRef>
          </c:tx>
          <c:spPr>
            <a:solidFill>
              <a:srgbClr val="6929C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'Figure 1'!$A$8:$A$12</c:f>
              <c:numCache>
                <c:formatCode>General</c:formatCode>
                <c:ptCount val="5"/>
                <c:pt idx="0">
                  <c:v>2022</c:v>
                </c:pt>
                <c:pt idx="1">
                  <c:v>2023</c:v>
                </c:pt>
                <c:pt idx="2">
                  <c:v>2024</c:v>
                </c:pt>
                <c:pt idx="3">
                  <c:v>2025</c:v>
                </c:pt>
                <c:pt idx="4">
                  <c:v>2026</c:v>
                </c:pt>
              </c:numCache>
            </c:numRef>
          </c:cat>
          <c:val>
            <c:numRef>
              <c:f>'Figure 1'!$B$8:$B$12</c:f>
              <c:numCache>
                <c:formatCode>0%</c:formatCode>
                <c:ptCount val="5"/>
                <c:pt idx="0">
                  <c:v>0.3124387855044074</c:v>
                </c:pt>
                <c:pt idx="1">
                  <c:v>0.3623898139079334</c:v>
                </c:pt>
                <c:pt idx="2">
                  <c:v>0.32615083251714005</c:v>
                </c:pt>
                <c:pt idx="3">
                  <c:v>0.28697355533790403</c:v>
                </c:pt>
                <c:pt idx="4">
                  <c:v>0.27326150832517138</c:v>
                </c:pt>
              </c:numCache>
            </c:numRef>
          </c:val>
          <c:extLst>
            <c:ext xmlns:c16="http://schemas.microsoft.com/office/drawing/2014/chart" uri="{C3380CC4-5D6E-409C-BE32-E72D297353CC}">
              <c16:uniqueId val="{00000000-8414-4EB0-ACE6-E3853DE94075}"/>
            </c:ext>
          </c:extLst>
        </c:ser>
        <c:dLbls>
          <c:dLblPos val="outEnd"/>
          <c:showLegendKey val="0"/>
          <c:showVal val="1"/>
          <c:showCatName val="0"/>
          <c:showSerName val="0"/>
          <c:showPercent val="0"/>
          <c:showBubbleSize val="0"/>
        </c:dLbls>
        <c:gapWidth val="160"/>
        <c:axId val="957607392"/>
        <c:axId val="957587232"/>
      </c:barChart>
      <c:catAx>
        <c:axId val="957607392"/>
        <c:scaling>
          <c:orientation val="maxMin"/>
        </c:scaling>
        <c:delete val="0"/>
        <c:axPos val="l"/>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957587232"/>
        <c:crosses val="autoZero"/>
        <c:auto val="1"/>
        <c:lblAlgn val="ctr"/>
        <c:lblOffset val="100"/>
        <c:noMultiLvlLbl val="0"/>
      </c:catAx>
      <c:valAx>
        <c:axId val="957587232"/>
        <c:scaling>
          <c:orientation val="minMax"/>
          <c:min val="0"/>
        </c:scaling>
        <c:delete val="0"/>
        <c:axPos val="t"/>
        <c:numFmt formatCode="0%" sourceLinked="1"/>
        <c:majorTickMark val="out"/>
        <c:minorTickMark val="none"/>
        <c:tickLblPos val="high"/>
        <c:spPr>
          <a:noFill/>
          <a:ln>
            <a:noFill/>
          </a:ln>
          <a:effectLst/>
        </c:spPr>
        <c:txPr>
          <a:bodyPr rot="-60000000" spcFirstLastPara="1" vertOverflow="ellipsis" vert="horz" wrap="square" anchor="ctr" anchorCtr="1"/>
          <a:lstStyle/>
          <a:p>
            <a:pPr>
              <a:defRPr sz="800" b="0" i="0" u="none" strike="noStrike" kern="1200" baseline="0">
                <a:noFill/>
                <a:latin typeface="Arial" panose="020B0604020202020204" pitchFamily="34" charset="0"/>
                <a:ea typeface="+mn-ea"/>
                <a:cs typeface="Arial" panose="020B0604020202020204" pitchFamily="34" charset="0"/>
              </a:defRPr>
            </a:pPr>
            <a:endParaRPr lang="en-US"/>
          </a:p>
        </c:txPr>
        <c:crossAx val="95760739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7711448674952324E-2"/>
          <c:y val="4.0993588332819811E-2"/>
          <c:w val="0.90333697200850482"/>
          <c:h val="0.69545884315906559"/>
        </c:manualLayout>
      </c:layout>
      <c:barChart>
        <c:barDir val="col"/>
        <c:grouping val="clustered"/>
        <c:varyColors val="0"/>
        <c:ser>
          <c:idx val="1"/>
          <c:order val="0"/>
          <c:tx>
            <c:strRef>
              <c:f>'Figure 2'!$B$7</c:f>
              <c:strCache>
                <c:ptCount val="1"/>
                <c:pt idx="0">
                  <c:v>2022</c:v>
                </c:pt>
              </c:strCache>
            </c:strRef>
          </c:tx>
          <c:spPr>
            <a:solidFill>
              <a:srgbClr val="6929C4"/>
            </a:solidFill>
            <a:ln>
              <a:noFill/>
            </a:ln>
          </c:spPr>
          <c:invertIfNegative val="0"/>
          <c:cat>
            <c:strRef>
              <c:f>'Figure 2'!$A$8:$A$16</c:f>
              <c:strCache>
                <c:ptCount val="9"/>
                <c:pt idx="0">
                  <c:v>Managers</c:v>
                </c:pt>
                <c:pt idx="1">
                  <c:v>Professionals</c:v>
                </c:pt>
                <c:pt idx="2">
                  <c:v>Technicians &amp;
Trades 
Workers</c:v>
                </c:pt>
                <c:pt idx="3">
                  <c:v>Community &amp; Personal 
Service Workers</c:v>
                </c:pt>
                <c:pt idx="4">
                  <c:v>Clerical &amp; Administrative Workers</c:v>
                </c:pt>
                <c:pt idx="5">
                  <c:v>Sales Workers</c:v>
                </c:pt>
                <c:pt idx="6">
                  <c:v>Machinery Operators &amp; Drivers</c:v>
                </c:pt>
                <c:pt idx="7">
                  <c:v>Labourers</c:v>
                </c:pt>
                <c:pt idx="8">
                  <c:v>All occupations</c:v>
                </c:pt>
              </c:strCache>
            </c:strRef>
          </c:cat>
          <c:val>
            <c:numRef>
              <c:f>'Figure 2'!$B$8:$B$16</c:f>
              <c:numCache>
                <c:formatCode>0%</c:formatCode>
                <c:ptCount val="9"/>
                <c:pt idx="0">
                  <c:v>9.6774193548387094E-2</c:v>
                </c:pt>
                <c:pt idx="1">
                  <c:v>0.39296187683284456</c:v>
                </c:pt>
                <c:pt idx="2">
                  <c:v>0.46666666666666667</c:v>
                </c:pt>
                <c:pt idx="3">
                  <c:v>0.216</c:v>
                </c:pt>
                <c:pt idx="4">
                  <c:v>5.6338028169014086E-2</c:v>
                </c:pt>
                <c:pt idx="5">
                  <c:v>0.05</c:v>
                </c:pt>
                <c:pt idx="6">
                  <c:v>0.323943661971831</c:v>
                </c:pt>
                <c:pt idx="7">
                  <c:v>0.29545454545454547</c:v>
                </c:pt>
                <c:pt idx="8">
                  <c:v>0.3124387855044074</c:v>
                </c:pt>
              </c:numCache>
            </c:numRef>
          </c:val>
          <c:extLst>
            <c:ext xmlns:c16="http://schemas.microsoft.com/office/drawing/2014/chart" uri="{C3380CC4-5D6E-409C-BE32-E72D297353CC}">
              <c16:uniqueId val="{00000000-3007-4418-9303-36A8D30798ED}"/>
            </c:ext>
          </c:extLst>
        </c:ser>
        <c:ser>
          <c:idx val="2"/>
          <c:order val="1"/>
          <c:tx>
            <c:strRef>
              <c:f>'Figure 2'!$C$7</c:f>
              <c:strCache>
                <c:ptCount val="1"/>
                <c:pt idx="0">
                  <c:v>2023</c:v>
                </c:pt>
              </c:strCache>
            </c:strRef>
          </c:tx>
          <c:spPr>
            <a:solidFill>
              <a:srgbClr val="009D9A"/>
            </a:solidFill>
            <a:ln>
              <a:noFill/>
            </a:ln>
          </c:spPr>
          <c:invertIfNegative val="0"/>
          <c:cat>
            <c:strRef>
              <c:f>'Figure 2'!$A$8:$A$16</c:f>
              <c:strCache>
                <c:ptCount val="9"/>
                <c:pt idx="0">
                  <c:v>Managers</c:v>
                </c:pt>
                <c:pt idx="1">
                  <c:v>Professionals</c:v>
                </c:pt>
                <c:pt idx="2">
                  <c:v>Technicians &amp;
Trades 
Workers</c:v>
                </c:pt>
                <c:pt idx="3">
                  <c:v>Community &amp; Personal 
Service Workers</c:v>
                </c:pt>
                <c:pt idx="4">
                  <c:v>Clerical &amp; Administrative Workers</c:v>
                </c:pt>
                <c:pt idx="5">
                  <c:v>Sales Workers</c:v>
                </c:pt>
                <c:pt idx="6">
                  <c:v>Machinery Operators &amp; Drivers</c:v>
                </c:pt>
                <c:pt idx="7">
                  <c:v>Labourers</c:v>
                </c:pt>
                <c:pt idx="8">
                  <c:v>All occupations</c:v>
                </c:pt>
              </c:strCache>
            </c:strRef>
          </c:cat>
          <c:val>
            <c:numRef>
              <c:f>'Figure 2'!$C$8:$C$16</c:f>
              <c:numCache>
                <c:formatCode>0%</c:formatCode>
                <c:ptCount val="9"/>
                <c:pt idx="0">
                  <c:v>7.2580645161290314E-2</c:v>
                </c:pt>
                <c:pt idx="1">
                  <c:v>0.48093841642228735</c:v>
                </c:pt>
                <c:pt idx="2">
                  <c:v>0.50666666666666671</c:v>
                </c:pt>
                <c:pt idx="3">
                  <c:v>0.248</c:v>
                </c:pt>
                <c:pt idx="4">
                  <c:v>8.4507042253521125E-2</c:v>
                </c:pt>
                <c:pt idx="5">
                  <c:v>0</c:v>
                </c:pt>
                <c:pt idx="6">
                  <c:v>0.39436619718309862</c:v>
                </c:pt>
                <c:pt idx="7">
                  <c:v>0.40909090909090912</c:v>
                </c:pt>
                <c:pt idx="8">
                  <c:v>0.3623898139079334</c:v>
                </c:pt>
              </c:numCache>
            </c:numRef>
          </c:val>
          <c:extLst>
            <c:ext xmlns:c16="http://schemas.microsoft.com/office/drawing/2014/chart" uri="{C3380CC4-5D6E-409C-BE32-E72D297353CC}">
              <c16:uniqueId val="{00000001-3007-4418-9303-36A8D30798ED}"/>
            </c:ext>
          </c:extLst>
        </c:ser>
        <c:ser>
          <c:idx val="3"/>
          <c:order val="2"/>
          <c:tx>
            <c:strRef>
              <c:f>'Figure 2'!$D$7</c:f>
              <c:strCache>
                <c:ptCount val="1"/>
                <c:pt idx="0">
                  <c:v>2024</c:v>
                </c:pt>
              </c:strCache>
            </c:strRef>
          </c:tx>
          <c:spPr>
            <a:solidFill>
              <a:srgbClr val="012749"/>
            </a:solidFill>
            <a:ln>
              <a:noFill/>
            </a:ln>
            <a:effectLst/>
          </c:spPr>
          <c:invertIfNegative val="0"/>
          <c:cat>
            <c:strRef>
              <c:f>'Figure 2'!$A$8:$A$16</c:f>
              <c:strCache>
                <c:ptCount val="9"/>
                <c:pt idx="0">
                  <c:v>Managers</c:v>
                </c:pt>
                <c:pt idx="1">
                  <c:v>Professionals</c:v>
                </c:pt>
                <c:pt idx="2">
                  <c:v>Technicians &amp;
Trades 
Workers</c:v>
                </c:pt>
                <c:pt idx="3">
                  <c:v>Community &amp; Personal 
Service Workers</c:v>
                </c:pt>
                <c:pt idx="4">
                  <c:v>Clerical &amp; Administrative Workers</c:v>
                </c:pt>
                <c:pt idx="5">
                  <c:v>Sales Workers</c:v>
                </c:pt>
                <c:pt idx="6">
                  <c:v>Machinery Operators &amp; Drivers</c:v>
                </c:pt>
                <c:pt idx="7">
                  <c:v>Labourers</c:v>
                </c:pt>
                <c:pt idx="8">
                  <c:v>All occupations</c:v>
                </c:pt>
              </c:strCache>
            </c:strRef>
          </c:cat>
          <c:val>
            <c:numRef>
              <c:f>'Figure 2'!$D$8:$D$16</c:f>
              <c:numCache>
                <c:formatCode>0%</c:formatCode>
                <c:ptCount val="9"/>
                <c:pt idx="0">
                  <c:v>5.6451612903225805E-2</c:v>
                </c:pt>
                <c:pt idx="1">
                  <c:v>0.44868035190615835</c:v>
                </c:pt>
                <c:pt idx="2">
                  <c:v>0.51555555555555554</c:v>
                </c:pt>
                <c:pt idx="3">
                  <c:v>0.224</c:v>
                </c:pt>
                <c:pt idx="4">
                  <c:v>4.2253521126760563E-2</c:v>
                </c:pt>
                <c:pt idx="5">
                  <c:v>0</c:v>
                </c:pt>
                <c:pt idx="6">
                  <c:v>0.25352112676056338</c:v>
                </c:pt>
                <c:pt idx="7">
                  <c:v>0.18181818181818182</c:v>
                </c:pt>
                <c:pt idx="8">
                  <c:v>0.32615083251714005</c:v>
                </c:pt>
              </c:numCache>
            </c:numRef>
          </c:val>
          <c:extLst>
            <c:ext xmlns:c16="http://schemas.microsoft.com/office/drawing/2014/chart" uri="{C3380CC4-5D6E-409C-BE32-E72D297353CC}">
              <c16:uniqueId val="{00000002-3007-4418-9303-36A8D30798ED}"/>
            </c:ext>
          </c:extLst>
        </c:ser>
        <c:ser>
          <c:idx val="4"/>
          <c:order val="3"/>
          <c:tx>
            <c:strRef>
              <c:f>'Figure 2'!$E$7</c:f>
              <c:strCache>
                <c:ptCount val="1"/>
                <c:pt idx="0">
                  <c:v>2025</c:v>
                </c:pt>
              </c:strCache>
            </c:strRef>
          </c:tx>
          <c:spPr>
            <a:solidFill>
              <a:srgbClr val="EE538B"/>
            </a:solidFill>
            <a:ln>
              <a:noFill/>
            </a:ln>
            <a:effectLst/>
          </c:spPr>
          <c:invertIfNegative val="0"/>
          <c:cat>
            <c:strRef>
              <c:f>'Figure 2'!$A$8:$A$16</c:f>
              <c:strCache>
                <c:ptCount val="9"/>
                <c:pt idx="0">
                  <c:v>Managers</c:v>
                </c:pt>
                <c:pt idx="1">
                  <c:v>Professionals</c:v>
                </c:pt>
                <c:pt idx="2">
                  <c:v>Technicians &amp;
Trades 
Workers</c:v>
                </c:pt>
                <c:pt idx="3">
                  <c:v>Community &amp; Personal 
Service Workers</c:v>
                </c:pt>
                <c:pt idx="4">
                  <c:v>Clerical &amp; Administrative Workers</c:v>
                </c:pt>
                <c:pt idx="5">
                  <c:v>Sales Workers</c:v>
                </c:pt>
                <c:pt idx="6">
                  <c:v>Machinery Operators &amp; Drivers</c:v>
                </c:pt>
                <c:pt idx="7">
                  <c:v>Labourers</c:v>
                </c:pt>
                <c:pt idx="8">
                  <c:v>All occupations</c:v>
                </c:pt>
              </c:strCache>
            </c:strRef>
          </c:cat>
          <c:val>
            <c:numRef>
              <c:f>'Figure 2'!$E$8:$E$16</c:f>
              <c:numCache>
                <c:formatCode>0%</c:formatCode>
                <c:ptCount val="9"/>
                <c:pt idx="0">
                  <c:v>1.6129032258064516E-2</c:v>
                </c:pt>
                <c:pt idx="1">
                  <c:v>0.38709677419354838</c:v>
                </c:pt>
                <c:pt idx="2">
                  <c:v>0.48888888888888882</c:v>
                </c:pt>
                <c:pt idx="3">
                  <c:v>0.152</c:v>
                </c:pt>
                <c:pt idx="4">
                  <c:v>2.8169014084507043E-2</c:v>
                </c:pt>
                <c:pt idx="5">
                  <c:v>0</c:v>
                </c:pt>
                <c:pt idx="6">
                  <c:v>0.28169014084507044</c:v>
                </c:pt>
                <c:pt idx="7">
                  <c:v>0.18181818181818182</c:v>
                </c:pt>
                <c:pt idx="8">
                  <c:v>0.28697355533790403</c:v>
                </c:pt>
              </c:numCache>
            </c:numRef>
          </c:val>
          <c:extLst>
            <c:ext xmlns:c16="http://schemas.microsoft.com/office/drawing/2014/chart" uri="{C3380CC4-5D6E-409C-BE32-E72D297353CC}">
              <c16:uniqueId val="{00000003-3007-4418-9303-36A8D30798ED}"/>
            </c:ext>
          </c:extLst>
        </c:ser>
        <c:ser>
          <c:idx val="5"/>
          <c:order val="4"/>
          <c:tx>
            <c:strRef>
              <c:f>'Figure 2'!$F$7</c:f>
              <c:strCache>
                <c:ptCount val="1"/>
                <c:pt idx="0">
                  <c:v>2026</c:v>
                </c:pt>
              </c:strCache>
            </c:strRef>
          </c:tx>
          <c:spPr>
            <a:solidFill>
              <a:srgbClr val="1192E8"/>
            </a:solidFill>
            <a:ln>
              <a:noFill/>
            </a:ln>
          </c:spPr>
          <c:invertIfNegative val="0"/>
          <c:cat>
            <c:strRef>
              <c:f>'Figure 2'!$A$8:$A$16</c:f>
              <c:strCache>
                <c:ptCount val="9"/>
                <c:pt idx="0">
                  <c:v>Managers</c:v>
                </c:pt>
                <c:pt idx="1">
                  <c:v>Professionals</c:v>
                </c:pt>
                <c:pt idx="2">
                  <c:v>Technicians &amp;
Trades 
Workers</c:v>
                </c:pt>
                <c:pt idx="3">
                  <c:v>Community &amp; Personal 
Service Workers</c:v>
                </c:pt>
                <c:pt idx="4">
                  <c:v>Clerical &amp; Administrative Workers</c:v>
                </c:pt>
                <c:pt idx="5">
                  <c:v>Sales Workers</c:v>
                </c:pt>
                <c:pt idx="6">
                  <c:v>Machinery Operators &amp; Drivers</c:v>
                </c:pt>
                <c:pt idx="7">
                  <c:v>Labourers</c:v>
                </c:pt>
                <c:pt idx="8">
                  <c:v>All occupations</c:v>
                </c:pt>
              </c:strCache>
            </c:strRef>
          </c:cat>
          <c:val>
            <c:numRef>
              <c:f>'Figure 2'!$F$8:$F$16</c:f>
              <c:numCache>
                <c:formatCode>0%</c:formatCode>
                <c:ptCount val="9"/>
                <c:pt idx="0">
                  <c:v>2.4193548387096774E-2</c:v>
                </c:pt>
                <c:pt idx="1">
                  <c:v>0.36950146627565983</c:v>
                </c:pt>
                <c:pt idx="2">
                  <c:v>0.4844444444444444</c:v>
                </c:pt>
                <c:pt idx="3">
                  <c:v>0.16</c:v>
                </c:pt>
                <c:pt idx="4">
                  <c:v>4.2253521126760563E-2</c:v>
                </c:pt>
                <c:pt idx="5">
                  <c:v>0</c:v>
                </c:pt>
                <c:pt idx="6">
                  <c:v>0.16901408450704225</c:v>
                </c:pt>
                <c:pt idx="7">
                  <c:v>0.13636363636363635</c:v>
                </c:pt>
                <c:pt idx="8">
                  <c:v>0.27326150832517138</c:v>
                </c:pt>
              </c:numCache>
            </c:numRef>
          </c:val>
          <c:extLst>
            <c:ext xmlns:c16="http://schemas.microsoft.com/office/drawing/2014/chart" uri="{C3380CC4-5D6E-409C-BE32-E72D297353CC}">
              <c16:uniqueId val="{00000004-3007-4418-9303-36A8D30798ED}"/>
            </c:ext>
          </c:extLst>
        </c:ser>
        <c:dLbls>
          <c:showLegendKey val="0"/>
          <c:showVal val="0"/>
          <c:showCatName val="0"/>
          <c:showSerName val="0"/>
          <c:showPercent val="0"/>
          <c:showBubbleSize val="0"/>
        </c:dLbls>
        <c:gapWidth val="100"/>
        <c:overlap val="-27"/>
        <c:axId val="631538848"/>
        <c:axId val="631539328"/>
      </c:barChart>
      <c:catAx>
        <c:axId val="631538848"/>
        <c:scaling>
          <c:orientation val="minMax"/>
        </c:scaling>
        <c:delete val="0"/>
        <c:axPos val="b"/>
        <c:numFmt formatCode="General" sourceLinked="1"/>
        <c:majorTickMark val="none"/>
        <c:minorTickMark val="none"/>
        <c:tickLblPos val="nextTo"/>
        <c:spPr>
          <a:noFill/>
          <a:ln w="9525" cap="flat" cmpd="sng" algn="ctr">
            <a:noFill/>
            <a:round/>
          </a:ln>
          <a:effectLst/>
        </c:spPr>
        <c:txPr>
          <a:bodyPr rot="0"/>
          <a:lstStyle/>
          <a:p>
            <a:pPr>
              <a:defRPr sz="700"/>
            </a:pPr>
            <a:endParaRPr lang="en-US"/>
          </a:p>
        </c:txPr>
        <c:crossAx val="631539328"/>
        <c:crosses val="autoZero"/>
        <c:auto val="1"/>
        <c:lblAlgn val="ctr"/>
        <c:lblOffset val="100"/>
        <c:noMultiLvlLbl val="0"/>
      </c:catAx>
      <c:valAx>
        <c:axId val="631539328"/>
        <c:scaling>
          <c:orientation val="minMax"/>
        </c:scaling>
        <c:delete val="0"/>
        <c:axPos val="l"/>
        <c:numFmt formatCode="0%" sourceLinked="0"/>
        <c:majorTickMark val="out"/>
        <c:minorTickMark val="none"/>
        <c:tickLblPos val="nextTo"/>
        <c:spPr>
          <a:noFill/>
          <a:ln>
            <a:solidFill>
              <a:schemeClr val="bg1"/>
            </a:solidFill>
          </a:ln>
          <a:effectLst/>
        </c:spPr>
        <c:txPr>
          <a:bodyPr rot="-60000000" vert="horz"/>
          <a:lstStyle/>
          <a:p>
            <a:pPr>
              <a:defRPr sz="800"/>
            </a:pPr>
            <a:endParaRPr lang="en-US"/>
          </a:p>
        </c:txPr>
        <c:crossAx val="631538848"/>
        <c:crosses val="autoZero"/>
        <c:crossBetween val="between"/>
        <c:majorUnit val="0.2"/>
      </c:valAx>
      <c:spPr>
        <a:noFill/>
        <a:ln>
          <a:noFill/>
        </a:ln>
        <a:effectLst/>
      </c:spPr>
    </c:plotArea>
    <c:legend>
      <c:legendPos val="b"/>
      <c:overlay val="0"/>
      <c:spPr>
        <a:noFill/>
        <a:ln>
          <a:noFill/>
        </a:ln>
        <a:effectLst/>
      </c:spPr>
      <c:txPr>
        <a:bodyPr rot="0" vert="horz"/>
        <a:lstStyle/>
        <a:p>
          <a:pPr>
            <a:defRPr sz="800"/>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0"/>
          <c:tx>
            <c:strRef>
              <c:f>'Figure 4'!$B$7</c:f>
              <c:strCache>
                <c:ptCount val="1"/>
                <c:pt idx="0">
                  <c:v>2022</c:v>
                </c:pt>
              </c:strCache>
            </c:strRef>
          </c:tx>
          <c:spPr>
            <a:solidFill>
              <a:srgbClr val="6929C4"/>
            </a:solidFill>
            <a:ln>
              <a:noFill/>
            </a:ln>
          </c:spPr>
          <c:invertIfNegative val="0"/>
          <c:dLbls>
            <c:delete val="1"/>
          </c:dLbls>
          <c:cat>
            <c:strRef>
              <c:f>'Figure 4'!$A$8:$A$12</c:f>
              <c:strCache>
                <c:ptCount val="5"/>
                <c:pt idx="0">
                  <c:v>Skill Level 1</c:v>
                </c:pt>
                <c:pt idx="1">
                  <c:v>Skill Level 2</c:v>
                </c:pt>
                <c:pt idx="2">
                  <c:v>Skill Level 3</c:v>
                </c:pt>
                <c:pt idx="3">
                  <c:v>Skill Level 4</c:v>
                </c:pt>
                <c:pt idx="4">
                  <c:v>All occupations</c:v>
                </c:pt>
              </c:strCache>
            </c:strRef>
          </c:cat>
          <c:val>
            <c:numRef>
              <c:f>'Figure 4'!$B$8:$B$12</c:f>
              <c:numCache>
                <c:formatCode>0%</c:formatCode>
                <c:ptCount val="5"/>
                <c:pt idx="0">
                  <c:v>0.33254716981132076</c:v>
                </c:pt>
                <c:pt idx="1">
                  <c:v>0.19736842105263158</c:v>
                </c:pt>
                <c:pt idx="2">
                  <c:v>0.44396551724137934</c:v>
                </c:pt>
                <c:pt idx="3">
                  <c:v>0.21126760563380281</c:v>
                </c:pt>
                <c:pt idx="4">
                  <c:v>0.3124387855044074</c:v>
                </c:pt>
              </c:numCache>
            </c:numRef>
          </c:val>
          <c:extLst>
            <c:ext xmlns:c16="http://schemas.microsoft.com/office/drawing/2014/chart" uri="{C3380CC4-5D6E-409C-BE32-E72D297353CC}">
              <c16:uniqueId val="{00000000-0451-47C5-A457-D790A30C3AD9}"/>
            </c:ext>
          </c:extLst>
        </c:ser>
        <c:ser>
          <c:idx val="2"/>
          <c:order val="1"/>
          <c:tx>
            <c:strRef>
              <c:f>'Figure 4'!$C$7</c:f>
              <c:strCache>
                <c:ptCount val="1"/>
                <c:pt idx="0">
                  <c:v>2023</c:v>
                </c:pt>
              </c:strCache>
            </c:strRef>
          </c:tx>
          <c:spPr>
            <a:solidFill>
              <a:srgbClr val="009D9A"/>
            </a:solidFill>
            <a:ln>
              <a:noFill/>
            </a:ln>
          </c:spPr>
          <c:invertIfNegative val="0"/>
          <c:dLbls>
            <c:delete val="1"/>
          </c:dLbls>
          <c:cat>
            <c:strRef>
              <c:f>'Figure 4'!$A$8:$A$12</c:f>
              <c:strCache>
                <c:ptCount val="5"/>
                <c:pt idx="0">
                  <c:v>Skill Level 1</c:v>
                </c:pt>
                <c:pt idx="1">
                  <c:v>Skill Level 2</c:v>
                </c:pt>
                <c:pt idx="2">
                  <c:v>Skill Level 3</c:v>
                </c:pt>
                <c:pt idx="3">
                  <c:v>Skill Level 4</c:v>
                </c:pt>
                <c:pt idx="4">
                  <c:v>All occupations</c:v>
                </c:pt>
              </c:strCache>
            </c:strRef>
          </c:cat>
          <c:val>
            <c:numRef>
              <c:f>'Figure 4'!$C$8:$C$12</c:f>
              <c:numCache>
                <c:formatCode>0%</c:formatCode>
                <c:ptCount val="5"/>
                <c:pt idx="0">
                  <c:v>0.40330188679245282</c:v>
                </c:pt>
                <c:pt idx="1">
                  <c:v>0.20394736842105263</c:v>
                </c:pt>
                <c:pt idx="2">
                  <c:v>0.48706896551724138</c:v>
                </c:pt>
                <c:pt idx="3">
                  <c:v>0.25821596244131456</c:v>
                </c:pt>
                <c:pt idx="4">
                  <c:v>0.3623898139079334</c:v>
                </c:pt>
              </c:numCache>
            </c:numRef>
          </c:val>
          <c:extLst>
            <c:ext xmlns:c16="http://schemas.microsoft.com/office/drawing/2014/chart" uri="{C3380CC4-5D6E-409C-BE32-E72D297353CC}">
              <c16:uniqueId val="{00000001-0451-47C5-A457-D790A30C3AD9}"/>
            </c:ext>
          </c:extLst>
        </c:ser>
        <c:ser>
          <c:idx val="3"/>
          <c:order val="2"/>
          <c:tx>
            <c:strRef>
              <c:f>'Figure 4'!$D$7</c:f>
              <c:strCache>
                <c:ptCount val="1"/>
                <c:pt idx="0">
                  <c:v>2024</c:v>
                </c:pt>
              </c:strCache>
            </c:strRef>
          </c:tx>
          <c:spPr>
            <a:solidFill>
              <a:srgbClr val="012749"/>
            </a:solidFill>
            <a:ln>
              <a:noFill/>
            </a:ln>
            <a:effectLst/>
          </c:spPr>
          <c:invertIfNegative val="0"/>
          <c:dLbls>
            <c:delete val="1"/>
          </c:dLbls>
          <c:cat>
            <c:strRef>
              <c:f>'Figure 4'!$A$8:$A$12</c:f>
              <c:strCache>
                <c:ptCount val="5"/>
                <c:pt idx="0">
                  <c:v>Skill Level 1</c:v>
                </c:pt>
                <c:pt idx="1">
                  <c:v>Skill Level 2</c:v>
                </c:pt>
                <c:pt idx="2">
                  <c:v>Skill Level 3</c:v>
                </c:pt>
                <c:pt idx="3">
                  <c:v>Skill Level 4</c:v>
                </c:pt>
                <c:pt idx="4">
                  <c:v>All occupations</c:v>
                </c:pt>
              </c:strCache>
            </c:strRef>
          </c:cat>
          <c:val>
            <c:numRef>
              <c:f>'Figure 4'!$D$8:$D$12</c:f>
              <c:numCache>
                <c:formatCode>0%</c:formatCode>
                <c:ptCount val="5"/>
                <c:pt idx="0">
                  <c:v>0.37264150943396229</c:v>
                </c:pt>
                <c:pt idx="1">
                  <c:v>0.21052631578947367</c:v>
                </c:pt>
                <c:pt idx="2">
                  <c:v>0.46551724137931039</c:v>
                </c:pt>
                <c:pt idx="3">
                  <c:v>0.16431924882629106</c:v>
                </c:pt>
                <c:pt idx="4">
                  <c:v>0.32615083251714005</c:v>
                </c:pt>
              </c:numCache>
            </c:numRef>
          </c:val>
          <c:extLst>
            <c:ext xmlns:c16="http://schemas.microsoft.com/office/drawing/2014/chart" uri="{C3380CC4-5D6E-409C-BE32-E72D297353CC}">
              <c16:uniqueId val="{00000002-0451-47C5-A457-D790A30C3AD9}"/>
            </c:ext>
          </c:extLst>
        </c:ser>
        <c:ser>
          <c:idx val="4"/>
          <c:order val="3"/>
          <c:tx>
            <c:strRef>
              <c:f>'Figure 4'!$E$7</c:f>
              <c:strCache>
                <c:ptCount val="1"/>
                <c:pt idx="0">
                  <c:v>2025</c:v>
                </c:pt>
              </c:strCache>
            </c:strRef>
          </c:tx>
          <c:spPr>
            <a:solidFill>
              <a:srgbClr val="EE538B"/>
            </a:solidFill>
            <a:ln>
              <a:noFill/>
            </a:ln>
            <a:effectLst/>
          </c:spPr>
          <c:invertIfNegative val="0"/>
          <c:dLbls>
            <c:delete val="1"/>
          </c:dLbls>
          <c:cat>
            <c:strRef>
              <c:f>'Figure 4'!$A$8:$A$12</c:f>
              <c:strCache>
                <c:ptCount val="5"/>
                <c:pt idx="0">
                  <c:v>Skill Level 1</c:v>
                </c:pt>
                <c:pt idx="1">
                  <c:v>Skill Level 2</c:v>
                </c:pt>
                <c:pt idx="2">
                  <c:v>Skill Level 3</c:v>
                </c:pt>
                <c:pt idx="3">
                  <c:v>Skill Level 4</c:v>
                </c:pt>
                <c:pt idx="4">
                  <c:v>All occupations</c:v>
                </c:pt>
              </c:strCache>
            </c:strRef>
          </c:cat>
          <c:val>
            <c:numRef>
              <c:f>'Figure 4'!$E$8:$E$12</c:f>
              <c:numCache>
                <c:formatCode>0%</c:formatCode>
                <c:ptCount val="5"/>
                <c:pt idx="0">
                  <c:v>0.31367924528301888</c:v>
                </c:pt>
                <c:pt idx="1">
                  <c:v>0.19078947368421051</c:v>
                </c:pt>
                <c:pt idx="2">
                  <c:v>0.43103448275862066</c:v>
                </c:pt>
                <c:pt idx="3">
                  <c:v>0.1455399061032864</c:v>
                </c:pt>
                <c:pt idx="4">
                  <c:v>0.28697355533790403</c:v>
                </c:pt>
              </c:numCache>
            </c:numRef>
          </c:val>
          <c:extLst>
            <c:ext xmlns:c16="http://schemas.microsoft.com/office/drawing/2014/chart" uri="{C3380CC4-5D6E-409C-BE32-E72D297353CC}">
              <c16:uniqueId val="{00000003-0451-47C5-A457-D790A30C3AD9}"/>
            </c:ext>
          </c:extLst>
        </c:ser>
        <c:ser>
          <c:idx val="5"/>
          <c:order val="4"/>
          <c:tx>
            <c:strRef>
              <c:f>'Figure 4'!$F$7</c:f>
              <c:strCache>
                <c:ptCount val="1"/>
                <c:pt idx="0">
                  <c:v>2026</c:v>
                </c:pt>
              </c:strCache>
            </c:strRef>
          </c:tx>
          <c:spPr>
            <a:solidFill>
              <a:srgbClr val="1192E8"/>
            </a:solidFill>
            <a:ln>
              <a:noFill/>
            </a:ln>
          </c:spPr>
          <c:invertIfNegative val="0"/>
          <c:dLbls>
            <c:delete val="1"/>
          </c:dLbls>
          <c:cat>
            <c:strRef>
              <c:f>'Figure 4'!$A$8:$A$12</c:f>
              <c:strCache>
                <c:ptCount val="5"/>
                <c:pt idx="0">
                  <c:v>Skill Level 1</c:v>
                </c:pt>
                <c:pt idx="1">
                  <c:v>Skill Level 2</c:v>
                </c:pt>
                <c:pt idx="2">
                  <c:v>Skill Level 3</c:v>
                </c:pt>
                <c:pt idx="3">
                  <c:v>Skill Level 4</c:v>
                </c:pt>
                <c:pt idx="4">
                  <c:v>All occupations</c:v>
                </c:pt>
              </c:strCache>
            </c:strRef>
          </c:cat>
          <c:val>
            <c:numRef>
              <c:f>'Figure 4'!$F$8:$F$12</c:f>
              <c:numCache>
                <c:formatCode>0%</c:formatCode>
                <c:ptCount val="5"/>
                <c:pt idx="0">
                  <c:v>0.30188679245283018</c:v>
                </c:pt>
                <c:pt idx="1">
                  <c:v>0.19736842105263158</c:v>
                </c:pt>
                <c:pt idx="2">
                  <c:v>0.41810344827586204</c:v>
                </c:pt>
                <c:pt idx="3">
                  <c:v>0.11267605633802817</c:v>
                </c:pt>
                <c:pt idx="4">
                  <c:v>0.27326150832517138</c:v>
                </c:pt>
              </c:numCache>
            </c:numRef>
          </c:val>
          <c:extLst>
            <c:ext xmlns:c16="http://schemas.microsoft.com/office/drawing/2014/chart" uri="{C3380CC4-5D6E-409C-BE32-E72D297353CC}">
              <c16:uniqueId val="{00000004-0451-47C5-A457-D790A30C3AD9}"/>
            </c:ext>
          </c:extLst>
        </c:ser>
        <c:dLbls>
          <c:dLblPos val="outEnd"/>
          <c:showLegendKey val="0"/>
          <c:showVal val="1"/>
          <c:showCatName val="0"/>
          <c:showSerName val="0"/>
          <c:showPercent val="0"/>
          <c:showBubbleSize val="0"/>
        </c:dLbls>
        <c:gapWidth val="219"/>
        <c:overlap val="-27"/>
        <c:axId val="957614112"/>
        <c:axId val="957615072"/>
      </c:barChart>
      <c:catAx>
        <c:axId val="957614112"/>
        <c:scaling>
          <c:orientation val="minMax"/>
        </c:scaling>
        <c:delete val="0"/>
        <c:axPos val="b"/>
        <c:numFmt formatCode="General" sourceLinked="1"/>
        <c:majorTickMark val="out"/>
        <c:minorTickMark val="none"/>
        <c:tickLblPos val="nextTo"/>
        <c:spPr>
          <a:noFill/>
          <a:ln w="9525" cap="flat" cmpd="sng" algn="ctr">
            <a:noFill/>
            <a:round/>
          </a:ln>
          <a:effectLst/>
        </c:spPr>
        <c:txPr>
          <a:bodyPr rot="-60000000" vert="horz"/>
          <a:lstStyle/>
          <a:p>
            <a:pPr>
              <a:defRPr/>
            </a:pPr>
            <a:endParaRPr lang="en-US"/>
          </a:p>
        </c:txPr>
        <c:crossAx val="957615072"/>
        <c:crosses val="autoZero"/>
        <c:auto val="1"/>
        <c:lblAlgn val="ctr"/>
        <c:lblOffset val="100"/>
        <c:noMultiLvlLbl val="0"/>
      </c:catAx>
      <c:valAx>
        <c:axId val="957615072"/>
        <c:scaling>
          <c:orientation val="minMax"/>
        </c:scaling>
        <c:delete val="0"/>
        <c:axPos val="l"/>
        <c:numFmt formatCode="0%" sourceLinked="0"/>
        <c:majorTickMark val="out"/>
        <c:minorTickMark val="none"/>
        <c:tickLblPos val="nextTo"/>
        <c:spPr>
          <a:noFill/>
          <a:ln>
            <a:noFill/>
          </a:ln>
          <a:effectLst/>
        </c:spPr>
        <c:txPr>
          <a:bodyPr rot="-60000000" vert="horz"/>
          <a:lstStyle/>
          <a:p>
            <a:pPr>
              <a:defRPr/>
            </a:pPr>
            <a:endParaRPr lang="en-US"/>
          </a:p>
        </c:txPr>
        <c:crossAx val="957614112"/>
        <c:crosses val="autoZero"/>
        <c:crossBetween val="between"/>
        <c:majorUnit val="0.2"/>
      </c:valAx>
      <c:spPr>
        <a:noFill/>
        <a:ln>
          <a:noFill/>
        </a:ln>
        <a:effectLst/>
      </c:spPr>
    </c:plotArea>
    <c:legend>
      <c:legendPos val="b"/>
      <c:overlay val="0"/>
      <c:spPr>
        <a:noFill/>
        <a:ln>
          <a:noFill/>
        </a:ln>
        <a:effectLst/>
      </c:spPr>
      <c:txPr>
        <a:bodyPr rot="0" vert="horz"/>
        <a:lstStyle/>
        <a:p>
          <a:pPr>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0"/>
          <c:tx>
            <c:strRef>
              <c:f>'Figure 5'!$A$8</c:f>
              <c:strCache>
                <c:ptCount val="1"/>
                <c:pt idx="0">
                  <c:v>Shortage</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'Figure 5'!$B$7</c:f>
              <c:strCache>
                <c:ptCount val="1"/>
                <c:pt idx="0">
                  <c:v>Fill rate (%)</c:v>
                </c:pt>
              </c:strCache>
            </c:strRef>
          </c:cat>
          <c:val>
            <c:numRef>
              <c:f>'Figure 5'!$B$8</c:f>
              <c:numCache>
                <c:formatCode>0%</c:formatCode>
                <c:ptCount val="1"/>
                <c:pt idx="0">
                  <c:v>0.56830246160599129</c:v>
                </c:pt>
              </c:numCache>
            </c:numRef>
          </c:val>
          <c:extLst>
            <c:ext xmlns:c16="http://schemas.microsoft.com/office/drawing/2014/chart" uri="{C3380CC4-5D6E-409C-BE32-E72D297353CC}">
              <c16:uniqueId val="{00000000-9BA5-4672-ACD9-E8597DD8844F}"/>
            </c:ext>
          </c:extLst>
        </c:ser>
        <c:ser>
          <c:idx val="0"/>
          <c:order val="1"/>
          <c:tx>
            <c:strRef>
              <c:f>'Figure 5'!$A$9</c:f>
              <c:strCache>
                <c:ptCount val="1"/>
                <c:pt idx="0">
                  <c:v>No shortage</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'Figure 5'!$B$7</c:f>
              <c:strCache>
                <c:ptCount val="1"/>
                <c:pt idx="0">
                  <c:v>Fill rate (%)</c:v>
                </c:pt>
              </c:strCache>
            </c:strRef>
          </c:cat>
          <c:val>
            <c:numRef>
              <c:f>'Figure 5'!$B$9</c:f>
              <c:numCache>
                <c:formatCode>0%</c:formatCode>
                <c:ptCount val="1"/>
                <c:pt idx="0">
                  <c:v>0.77904798480285165</c:v>
                </c:pt>
              </c:numCache>
            </c:numRef>
          </c:val>
          <c:extLst>
            <c:ext xmlns:c16="http://schemas.microsoft.com/office/drawing/2014/chart" uri="{C3380CC4-5D6E-409C-BE32-E72D297353CC}">
              <c16:uniqueId val="{00000001-9BA5-4672-ACD9-E8597DD8844F}"/>
            </c:ext>
          </c:extLst>
        </c:ser>
        <c:dLbls>
          <c:dLblPos val="outEnd"/>
          <c:showLegendKey val="0"/>
          <c:showVal val="1"/>
          <c:showCatName val="0"/>
          <c:showSerName val="0"/>
          <c:showPercent val="0"/>
          <c:showBubbleSize val="0"/>
        </c:dLbls>
        <c:gapWidth val="300"/>
        <c:overlap val="-100"/>
        <c:axId val="957614112"/>
        <c:axId val="957615072"/>
      </c:barChart>
      <c:catAx>
        <c:axId val="957614112"/>
        <c:scaling>
          <c:orientation val="minMax"/>
        </c:scaling>
        <c:delete val="1"/>
        <c:axPos val="b"/>
        <c:numFmt formatCode="General" sourceLinked="1"/>
        <c:majorTickMark val="out"/>
        <c:minorTickMark val="none"/>
        <c:tickLblPos val="nextTo"/>
        <c:crossAx val="957615072"/>
        <c:crosses val="autoZero"/>
        <c:auto val="1"/>
        <c:lblAlgn val="ctr"/>
        <c:lblOffset val="100"/>
        <c:noMultiLvlLbl val="0"/>
      </c:catAx>
      <c:valAx>
        <c:axId val="957615072"/>
        <c:scaling>
          <c:orientation val="minMax"/>
        </c:scaling>
        <c:delete val="0"/>
        <c:axPos val="l"/>
        <c:numFmt formatCode="0%" sourceLinked="0"/>
        <c:majorTickMark val="out"/>
        <c:minorTickMark val="none"/>
        <c:tickLblPos val="nextTo"/>
        <c:spPr>
          <a:noFill/>
          <a:ln>
            <a:noFill/>
          </a:ln>
          <a:effectLst/>
        </c:spPr>
        <c:txPr>
          <a:bodyPr rot="-60000000" vert="horz"/>
          <a:lstStyle/>
          <a:p>
            <a:pPr>
              <a:defRPr/>
            </a:pPr>
            <a:endParaRPr lang="en-US"/>
          </a:p>
        </c:txPr>
        <c:crossAx val="957614112"/>
        <c:crosses val="autoZero"/>
        <c:crossBetween val="between"/>
        <c:majorUnit val="0.2"/>
      </c:valAx>
      <c:spPr>
        <a:noFill/>
        <a:ln>
          <a:noFill/>
        </a:ln>
        <a:effectLst/>
      </c:spPr>
    </c:plotArea>
    <c:legend>
      <c:legendPos val="b"/>
      <c:overlay val="0"/>
      <c:spPr>
        <a:noFill/>
        <a:ln>
          <a:noFill/>
        </a:ln>
        <a:effectLst/>
      </c:spPr>
      <c:txPr>
        <a:bodyPr rot="0" vert="horz"/>
        <a:lstStyle/>
        <a:p>
          <a:pPr>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0"/>
          <c:tx>
            <c:strRef>
              <c:f>'Figure 5'!$A$8</c:f>
              <c:strCache>
                <c:ptCount val="1"/>
                <c:pt idx="0">
                  <c:v>Shortage</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'Figure 5'!$C$7</c:f>
              <c:strCache>
                <c:ptCount val="1"/>
                <c:pt idx="0">
                  <c:v>Recruitment difficulty rate (%)</c:v>
                </c:pt>
              </c:strCache>
            </c:strRef>
          </c:cat>
          <c:val>
            <c:numRef>
              <c:f>'Figure 5'!$C$8</c:f>
              <c:numCache>
                <c:formatCode>0%</c:formatCode>
                <c:ptCount val="1"/>
                <c:pt idx="0">
                  <c:v>0.53807243876312905</c:v>
                </c:pt>
              </c:numCache>
            </c:numRef>
          </c:val>
          <c:extLst>
            <c:ext xmlns:c16="http://schemas.microsoft.com/office/drawing/2014/chart" uri="{C3380CC4-5D6E-409C-BE32-E72D297353CC}">
              <c16:uniqueId val="{00000000-D3A9-4960-B07E-32AD7BA7E1EE}"/>
            </c:ext>
          </c:extLst>
        </c:ser>
        <c:ser>
          <c:idx val="0"/>
          <c:order val="1"/>
          <c:tx>
            <c:strRef>
              <c:f>'Figure 5'!$A$9</c:f>
              <c:strCache>
                <c:ptCount val="1"/>
                <c:pt idx="0">
                  <c:v>No shortage</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'Figure 5'!$C$7</c:f>
              <c:strCache>
                <c:ptCount val="1"/>
                <c:pt idx="0">
                  <c:v>Recruitment difficulty rate (%)</c:v>
                </c:pt>
              </c:strCache>
            </c:strRef>
          </c:cat>
          <c:val>
            <c:numRef>
              <c:f>'Figure 5'!$C$9</c:f>
              <c:numCache>
                <c:formatCode>0%</c:formatCode>
                <c:ptCount val="1"/>
                <c:pt idx="0">
                  <c:v>0.35655816515462369</c:v>
                </c:pt>
              </c:numCache>
            </c:numRef>
          </c:val>
          <c:extLst>
            <c:ext xmlns:c16="http://schemas.microsoft.com/office/drawing/2014/chart" uri="{C3380CC4-5D6E-409C-BE32-E72D297353CC}">
              <c16:uniqueId val="{00000001-D3A9-4960-B07E-32AD7BA7E1EE}"/>
            </c:ext>
          </c:extLst>
        </c:ser>
        <c:dLbls>
          <c:dLblPos val="outEnd"/>
          <c:showLegendKey val="0"/>
          <c:showVal val="1"/>
          <c:showCatName val="0"/>
          <c:showSerName val="0"/>
          <c:showPercent val="0"/>
          <c:showBubbleSize val="0"/>
        </c:dLbls>
        <c:gapWidth val="300"/>
        <c:overlap val="-100"/>
        <c:axId val="957614112"/>
        <c:axId val="957615072"/>
      </c:barChart>
      <c:catAx>
        <c:axId val="957614112"/>
        <c:scaling>
          <c:orientation val="minMax"/>
        </c:scaling>
        <c:delete val="1"/>
        <c:axPos val="b"/>
        <c:numFmt formatCode="General" sourceLinked="1"/>
        <c:majorTickMark val="out"/>
        <c:minorTickMark val="none"/>
        <c:tickLblPos val="nextTo"/>
        <c:crossAx val="957615072"/>
        <c:crosses val="autoZero"/>
        <c:auto val="1"/>
        <c:lblAlgn val="ctr"/>
        <c:lblOffset val="100"/>
        <c:noMultiLvlLbl val="0"/>
      </c:catAx>
      <c:valAx>
        <c:axId val="957615072"/>
        <c:scaling>
          <c:orientation val="minMax"/>
          <c:max val="1"/>
        </c:scaling>
        <c:delete val="0"/>
        <c:axPos val="l"/>
        <c:numFmt formatCode="0%" sourceLinked="0"/>
        <c:majorTickMark val="out"/>
        <c:minorTickMark val="none"/>
        <c:tickLblPos val="nextTo"/>
        <c:spPr>
          <a:noFill/>
          <a:ln>
            <a:noFill/>
          </a:ln>
          <a:effectLst/>
        </c:spPr>
        <c:txPr>
          <a:bodyPr rot="-60000000" vert="horz"/>
          <a:lstStyle/>
          <a:p>
            <a:pPr>
              <a:defRPr/>
            </a:pPr>
            <a:endParaRPr lang="en-US"/>
          </a:p>
        </c:txPr>
        <c:crossAx val="957614112"/>
        <c:crosses val="autoZero"/>
        <c:crossBetween val="between"/>
        <c:majorUnit val="0.2"/>
        <c:minorUnit val="5.000000000000001E-2"/>
      </c:valAx>
      <c:spPr>
        <a:noFill/>
        <a:ln>
          <a:noFill/>
        </a:ln>
        <a:effectLst/>
      </c:spPr>
    </c:plotArea>
    <c:legend>
      <c:legendPos val="b"/>
      <c:overlay val="0"/>
      <c:spPr>
        <a:noFill/>
        <a:ln>
          <a:noFill/>
        </a:ln>
        <a:effectLst/>
      </c:spPr>
      <c:txPr>
        <a:bodyPr rot="0" vert="horz"/>
        <a:lstStyle/>
        <a:p>
          <a:pPr>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6643837110388908E-2"/>
          <c:y val="4.2268657887253508E-2"/>
          <c:w val="0.89824869675224117"/>
          <c:h val="0.83579653726347714"/>
        </c:manualLayout>
      </c:layout>
      <c:barChart>
        <c:barDir val="col"/>
        <c:grouping val="clustered"/>
        <c:varyColors val="0"/>
        <c:ser>
          <c:idx val="1"/>
          <c:order val="0"/>
          <c:tx>
            <c:strRef>
              <c:f>'Figure 5'!$A$8</c:f>
              <c:strCache>
                <c:ptCount val="1"/>
                <c:pt idx="0">
                  <c:v>Shortage</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'Figure 5'!$D$7</c:f>
              <c:strCache>
                <c:ptCount val="1"/>
                <c:pt idx="0">
                  <c:v>Vacancy duration (weeks)</c:v>
                </c:pt>
              </c:strCache>
            </c:strRef>
          </c:cat>
          <c:val>
            <c:numRef>
              <c:f>'Figure 5'!$D$8</c:f>
              <c:numCache>
                <c:formatCode>0.0</c:formatCode>
                <c:ptCount val="1"/>
                <c:pt idx="0">
                  <c:v>10.640227097906759</c:v>
                </c:pt>
              </c:numCache>
            </c:numRef>
          </c:val>
          <c:extLst>
            <c:ext xmlns:c16="http://schemas.microsoft.com/office/drawing/2014/chart" uri="{C3380CC4-5D6E-409C-BE32-E72D297353CC}">
              <c16:uniqueId val="{00000000-9755-4EF3-A8D8-5AEDC7D978FD}"/>
            </c:ext>
          </c:extLst>
        </c:ser>
        <c:ser>
          <c:idx val="0"/>
          <c:order val="1"/>
          <c:tx>
            <c:strRef>
              <c:f>'Figure 5'!$A$9</c:f>
              <c:strCache>
                <c:ptCount val="1"/>
                <c:pt idx="0">
                  <c:v>No shortage</c:v>
                </c:pt>
              </c:strCache>
            </c:strRef>
          </c:tx>
          <c:invertIfNegative val="0"/>
          <c:dLbls>
            <c:dLbl>
              <c:idx val="0"/>
              <c:spPr>
                <a:noFill/>
                <a:ln>
                  <a:noFill/>
                </a:ln>
                <a:effectLst/>
              </c:spPr>
              <c:txPr>
                <a:bodyPr wrap="square" lIns="38100" tIns="0" rIns="38100" bIns="72000" anchor="ctr">
                  <a:noAutofit/>
                </a:bodyPr>
                <a:lstStyle/>
                <a:p>
                  <a:pPr>
                    <a:defRPr/>
                  </a:pPr>
                  <a:endParaRPr lang="en-US"/>
                </a:p>
              </c:txPr>
              <c:dLblPos val="outEnd"/>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15:layout>
                    <c:manualLayout>
                      <c:w val="3.8320849782973801E-2"/>
                      <c:h val="3.4391046698241168E-2"/>
                    </c:manualLayout>
                  </c15:layout>
                </c:ext>
                <c:ext xmlns:c16="http://schemas.microsoft.com/office/drawing/2014/chart" uri="{C3380CC4-5D6E-409C-BE32-E72D297353CC}">
                  <c16:uniqueId val="{00000000-F806-4586-83AE-987126DA1A63}"/>
                </c:ext>
              </c:extLst>
            </c:dLbl>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ext>
            </c:extLst>
          </c:dLbls>
          <c:cat>
            <c:strRef>
              <c:f>'Figure 5'!$D$7</c:f>
              <c:strCache>
                <c:ptCount val="1"/>
                <c:pt idx="0">
                  <c:v>Vacancy duration (weeks)</c:v>
                </c:pt>
              </c:strCache>
            </c:strRef>
          </c:cat>
          <c:val>
            <c:numRef>
              <c:f>'Figure 5'!$D$9</c:f>
              <c:numCache>
                <c:formatCode>0.0</c:formatCode>
                <c:ptCount val="1"/>
                <c:pt idx="0">
                  <c:v>7.7550421400061955</c:v>
                </c:pt>
              </c:numCache>
            </c:numRef>
          </c:val>
          <c:extLst>
            <c:ext xmlns:c16="http://schemas.microsoft.com/office/drawing/2014/chart" uri="{C3380CC4-5D6E-409C-BE32-E72D297353CC}">
              <c16:uniqueId val="{00000001-9755-4EF3-A8D8-5AEDC7D978FD}"/>
            </c:ext>
          </c:extLst>
        </c:ser>
        <c:dLbls>
          <c:dLblPos val="outEnd"/>
          <c:showLegendKey val="0"/>
          <c:showVal val="1"/>
          <c:showCatName val="0"/>
          <c:showSerName val="0"/>
          <c:showPercent val="0"/>
          <c:showBubbleSize val="0"/>
        </c:dLbls>
        <c:gapWidth val="300"/>
        <c:overlap val="-100"/>
        <c:axId val="957614112"/>
        <c:axId val="957615072"/>
      </c:barChart>
      <c:catAx>
        <c:axId val="957614112"/>
        <c:scaling>
          <c:orientation val="minMax"/>
        </c:scaling>
        <c:delete val="1"/>
        <c:axPos val="b"/>
        <c:numFmt formatCode="General" sourceLinked="1"/>
        <c:majorTickMark val="out"/>
        <c:minorTickMark val="none"/>
        <c:tickLblPos val="nextTo"/>
        <c:crossAx val="957615072"/>
        <c:crosses val="autoZero"/>
        <c:auto val="1"/>
        <c:lblAlgn val="ctr"/>
        <c:lblOffset val="100"/>
        <c:noMultiLvlLbl val="0"/>
      </c:catAx>
      <c:valAx>
        <c:axId val="957615072"/>
        <c:scaling>
          <c:orientation val="minMax"/>
        </c:scaling>
        <c:delete val="0"/>
        <c:axPos val="l"/>
        <c:numFmt formatCode="General" sourceLinked="0"/>
        <c:majorTickMark val="out"/>
        <c:minorTickMark val="none"/>
        <c:tickLblPos val="nextTo"/>
        <c:spPr>
          <a:noFill/>
          <a:ln>
            <a:noFill/>
          </a:ln>
          <a:effectLst/>
        </c:spPr>
        <c:txPr>
          <a:bodyPr rot="-60000000" vert="horz"/>
          <a:lstStyle/>
          <a:p>
            <a:pPr>
              <a:defRPr/>
            </a:pPr>
            <a:endParaRPr lang="en-US"/>
          </a:p>
        </c:txPr>
        <c:crossAx val="957614112"/>
        <c:crosses val="autoZero"/>
        <c:crossBetween val="between"/>
        <c:majorUnit val="3"/>
      </c:valAx>
      <c:spPr>
        <a:noFill/>
        <a:ln>
          <a:noFill/>
        </a:ln>
        <a:effectLst/>
      </c:spPr>
    </c:plotArea>
    <c:legend>
      <c:legendPos val="b"/>
      <c:overlay val="0"/>
      <c:spPr>
        <a:noFill/>
        <a:ln>
          <a:noFill/>
        </a:ln>
        <a:effectLst/>
      </c:spPr>
      <c:txPr>
        <a:bodyPr rot="0" vert="horz"/>
        <a:lstStyle/>
        <a:p>
          <a:pPr>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1">
    <c:autoUpdate val="0"/>
  </c:externalData>
  <c:userShapes r:id="rId2"/>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'Figure 7'!$A$8</c:f>
              <c:strCache>
                <c:ptCount val="1"/>
                <c:pt idx="0">
                  <c:v>Shortage</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'Figure 7'!$B$7:$C$7</c:f>
              <c:strCache>
                <c:ptCount val="2"/>
                <c:pt idx="0">
                  <c:v>Qualified applicants per vacancy (no.)</c:v>
                </c:pt>
                <c:pt idx="1">
                  <c:v>Suitable applicants per vacancy (no.)</c:v>
                </c:pt>
              </c:strCache>
            </c:strRef>
          </c:cat>
          <c:val>
            <c:numRef>
              <c:f>'Figure 7'!$B$8:$C$8</c:f>
              <c:numCache>
                <c:formatCode>0.0</c:formatCode>
                <c:ptCount val="2"/>
                <c:pt idx="0">
                  <c:v>6.3163731271550612</c:v>
                </c:pt>
                <c:pt idx="1">
                  <c:v>3.2564518980254706</c:v>
                </c:pt>
              </c:numCache>
            </c:numRef>
          </c:val>
          <c:extLst>
            <c:ext xmlns:c16="http://schemas.microsoft.com/office/drawing/2014/chart" uri="{C3380CC4-5D6E-409C-BE32-E72D297353CC}">
              <c16:uniqueId val="{00000000-465C-46CF-BF81-404749888A99}"/>
            </c:ext>
          </c:extLst>
        </c:ser>
        <c:ser>
          <c:idx val="1"/>
          <c:order val="1"/>
          <c:tx>
            <c:strRef>
              <c:f>'Figure 7'!$A$9</c:f>
              <c:strCache>
                <c:ptCount val="1"/>
                <c:pt idx="0">
                  <c:v>No shortage</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'Figure 7'!$B$7:$C$7</c:f>
              <c:strCache>
                <c:ptCount val="2"/>
                <c:pt idx="0">
                  <c:v>Qualified applicants per vacancy (no.)</c:v>
                </c:pt>
                <c:pt idx="1">
                  <c:v>Suitable applicants per vacancy (no.)</c:v>
                </c:pt>
              </c:strCache>
            </c:strRef>
          </c:cat>
          <c:val>
            <c:numRef>
              <c:f>'Figure 7'!$B$9:$C$9</c:f>
              <c:numCache>
                <c:formatCode>0.0</c:formatCode>
                <c:ptCount val="2"/>
                <c:pt idx="0">
                  <c:v>12.801061267110303</c:v>
                </c:pt>
                <c:pt idx="1">
                  <c:v>6.2631587571918823</c:v>
                </c:pt>
              </c:numCache>
            </c:numRef>
          </c:val>
          <c:extLst>
            <c:ext xmlns:c16="http://schemas.microsoft.com/office/drawing/2014/chart" uri="{C3380CC4-5D6E-409C-BE32-E72D297353CC}">
              <c16:uniqueId val="{00000001-465C-46CF-BF81-404749888A99}"/>
            </c:ext>
          </c:extLst>
        </c:ser>
        <c:dLbls>
          <c:dLblPos val="outEnd"/>
          <c:showLegendKey val="0"/>
          <c:showVal val="1"/>
          <c:showCatName val="0"/>
          <c:showSerName val="0"/>
          <c:showPercent val="0"/>
          <c:showBubbleSize val="0"/>
        </c:dLbls>
        <c:gapWidth val="300"/>
        <c:overlap val="-100"/>
        <c:axId val="957614112"/>
        <c:axId val="957615072"/>
      </c:barChart>
      <c:catAx>
        <c:axId val="957614112"/>
        <c:scaling>
          <c:orientation val="minMax"/>
        </c:scaling>
        <c:delete val="0"/>
        <c:axPos val="b"/>
        <c:numFmt formatCode="General" sourceLinked="1"/>
        <c:majorTickMark val="out"/>
        <c:minorTickMark val="none"/>
        <c:tickLblPos val="nextTo"/>
        <c:spPr>
          <a:noFill/>
          <a:ln w="9525" cap="flat" cmpd="sng" algn="ctr">
            <a:noFill/>
            <a:round/>
          </a:ln>
          <a:effectLst/>
        </c:spPr>
        <c:txPr>
          <a:bodyPr rot="-60000000" vert="horz"/>
          <a:lstStyle/>
          <a:p>
            <a:pPr>
              <a:defRPr/>
            </a:pPr>
            <a:endParaRPr lang="en-US"/>
          </a:p>
        </c:txPr>
        <c:crossAx val="957615072"/>
        <c:crosses val="autoZero"/>
        <c:auto val="1"/>
        <c:lblAlgn val="ctr"/>
        <c:lblOffset val="100"/>
        <c:noMultiLvlLbl val="0"/>
      </c:catAx>
      <c:valAx>
        <c:axId val="957615072"/>
        <c:scaling>
          <c:orientation val="minMax"/>
        </c:scaling>
        <c:delete val="0"/>
        <c:axPos val="l"/>
        <c:numFmt formatCode="General" sourceLinked="0"/>
        <c:majorTickMark val="out"/>
        <c:minorTickMark val="none"/>
        <c:tickLblPos val="nextTo"/>
        <c:spPr>
          <a:noFill/>
          <a:ln>
            <a:noFill/>
          </a:ln>
          <a:effectLst/>
        </c:spPr>
        <c:txPr>
          <a:bodyPr rot="-60000000" vert="horz"/>
          <a:lstStyle/>
          <a:p>
            <a:pPr>
              <a:defRPr/>
            </a:pPr>
            <a:endParaRPr lang="en-US"/>
          </a:p>
        </c:txPr>
        <c:crossAx val="957614112"/>
        <c:crosses val="autoZero"/>
        <c:crossBetween val="between"/>
        <c:majorUnit val="2"/>
      </c:valAx>
      <c:spPr>
        <a:noFill/>
        <a:ln>
          <a:noFill/>
        </a:ln>
        <a:effectLst/>
      </c:spPr>
    </c:plotArea>
    <c:legend>
      <c:legendPos val="b"/>
      <c:overlay val="0"/>
      <c:spPr>
        <a:noFill/>
        <a:ln>
          <a:noFill/>
        </a:ln>
        <a:effectLst/>
      </c:spPr>
      <c:txPr>
        <a:bodyPr rot="0" vert="horz"/>
        <a:lstStyle/>
        <a:p>
          <a:pPr>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1">
    <c:autoUpdate val="0"/>
  </c:externalData>
  <c:userShapes r:id="rId2"/>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9046131698911597E-2"/>
          <c:y val="5.8115400581154004E-2"/>
          <c:w val="0.91654747311710694"/>
          <c:h val="0.85950356765802782"/>
        </c:manualLayout>
      </c:layout>
      <c:barChart>
        <c:barDir val="col"/>
        <c:grouping val="clustered"/>
        <c:varyColors val="0"/>
        <c:ser>
          <c:idx val="0"/>
          <c:order val="0"/>
          <c:tx>
            <c:strRef>
              <c:f>'NEW Figure 8 (P2 metrics)'!$A$8</c:f>
              <c:strCache>
                <c:ptCount val="1"/>
                <c:pt idx="0">
                  <c:v>Shortage</c:v>
                </c:pt>
              </c:strCache>
            </c:strRef>
          </c:tx>
          <c:invertIfNegative val="0"/>
          <c:dPt>
            <c:idx val="0"/>
            <c:invertIfNegative val="0"/>
            <c:bubble3D val="0"/>
            <c:extLst>
              <c:ext xmlns:c16="http://schemas.microsoft.com/office/drawing/2014/chart" uri="{C3380CC4-5D6E-409C-BE32-E72D297353CC}">
                <c16:uniqueId val="{00000000-91C0-4F1C-A11E-4A57B70A602D}"/>
              </c:ext>
            </c:extLst>
          </c:dPt>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'NEW Figure 8 (P2 metrics)'!$B$7</c:f>
              <c:strCache>
                <c:ptCount val="1"/>
                <c:pt idx="0">
                  <c:v>IVI 5year change, 2022-26</c:v>
                </c:pt>
              </c:strCache>
            </c:strRef>
          </c:cat>
          <c:val>
            <c:numRef>
              <c:f>'NEW Figure 8 (P2 metrics)'!$B$8</c:f>
              <c:numCache>
                <c:formatCode>0%</c:formatCode>
                <c:ptCount val="1"/>
                <c:pt idx="0">
                  <c:v>3.7331895351819563E-2</c:v>
                </c:pt>
              </c:numCache>
            </c:numRef>
          </c:val>
          <c:extLst>
            <c:ext xmlns:c16="http://schemas.microsoft.com/office/drawing/2014/chart" uri="{C3380CC4-5D6E-409C-BE32-E72D297353CC}">
              <c16:uniqueId val="{00000001-91C0-4F1C-A11E-4A57B70A602D}"/>
            </c:ext>
          </c:extLst>
        </c:ser>
        <c:ser>
          <c:idx val="1"/>
          <c:order val="1"/>
          <c:tx>
            <c:strRef>
              <c:f>'NEW Figure 8 (P2 metrics)'!$A$9</c:f>
              <c:strCache>
                <c:ptCount val="1"/>
                <c:pt idx="0">
                  <c:v>No shortage</c:v>
                </c:pt>
              </c:strCache>
            </c:strRef>
          </c:tx>
          <c:invertIfNegative val="0"/>
          <c:dLbls>
            <c:dLbl>
              <c:idx val="0"/>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C01-4765-B3B2-24FD0897F90B}"/>
                </c:ext>
              </c:extLst>
            </c:dLbl>
            <c:spPr>
              <a:noFill/>
              <a:ln>
                <a:noFill/>
              </a:ln>
              <a:effectLst/>
            </c:spPr>
            <c:dLblPos val="outEnd"/>
            <c:showLegendKey val="0"/>
            <c:showVal val="0"/>
            <c:showCatName val="0"/>
            <c:showSerName val="0"/>
            <c:showPercent val="0"/>
            <c:showBubbleSize val="0"/>
            <c:extLst>
              <c:ext xmlns:c15="http://schemas.microsoft.com/office/drawing/2012/chart" uri="{CE6537A1-D6FC-4f65-9D91-7224C49458BB}">
                <c15:showLeaderLines val="1"/>
              </c:ext>
            </c:extLst>
          </c:dLbls>
          <c:cat>
            <c:strRef>
              <c:f>'NEW Figure 8 (P2 metrics)'!$B$7</c:f>
              <c:strCache>
                <c:ptCount val="1"/>
                <c:pt idx="0">
                  <c:v>IVI 5year change, 2022-26</c:v>
                </c:pt>
              </c:strCache>
            </c:strRef>
          </c:cat>
          <c:val>
            <c:numRef>
              <c:f>'NEW Figure 8 (P2 metrics)'!$B$9</c:f>
              <c:numCache>
                <c:formatCode>0%</c:formatCode>
                <c:ptCount val="1"/>
                <c:pt idx="0">
                  <c:v>-4.0230639426438466E-2</c:v>
                </c:pt>
              </c:numCache>
            </c:numRef>
          </c:val>
          <c:extLst>
            <c:ext xmlns:c16="http://schemas.microsoft.com/office/drawing/2014/chart" uri="{C3380CC4-5D6E-409C-BE32-E72D297353CC}">
              <c16:uniqueId val="{00000002-91C0-4F1C-A11E-4A57B70A602D}"/>
            </c:ext>
          </c:extLst>
        </c:ser>
        <c:dLbls>
          <c:dLblPos val="outEnd"/>
          <c:showLegendKey val="0"/>
          <c:showVal val="1"/>
          <c:showCatName val="0"/>
          <c:showSerName val="0"/>
          <c:showPercent val="0"/>
          <c:showBubbleSize val="0"/>
        </c:dLbls>
        <c:gapWidth val="300"/>
        <c:overlap val="-100"/>
        <c:axId val="957614112"/>
        <c:axId val="957615072"/>
      </c:barChart>
      <c:catAx>
        <c:axId val="957614112"/>
        <c:scaling>
          <c:orientation val="minMax"/>
        </c:scaling>
        <c:delete val="0"/>
        <c:axPos val="b"/>
        <c:numFmt formatCode="General" sourceLinked="1"/>
        <c:majorTickMark val="out"/>
        <c:minorTickMark val="none"/>
        <c:tickLblPos val="none"/>
        <c:crossAx val="957615072"/>
        <c:crosses val="autoZero"/>
        <c:auto val="1"/>
        <c:lblAlgn val="ctr"/>
        <c:lblOffset val="100"/>
        <c:noMultiLvlLbl val="0"/>
      </c:catAx>
      <c:valAx>
        <c:axId val="957615072"/>
        <c:scaling>
          <c:orientation val="minMax"/>
        </c:scaling>
        <c:delete val="0"/>
        <c:axPos val="l"/>
        <c:numFmt formatCode="0%" sourceLinked="0"/>
        <c:majorTickMark val="out"/>
        <c:minorTickMark val="none"/>
        <c:tickLblPos val="nextTo"/>
        <c:spPr>
          <a:noFill/>
          <a:ln>
            <a:noFill/>
          </a:ln>
          <a:effectLst/>
        </c:spPr>
        <c:txPr>
          <a:bodyPr rot="-60000000" vert="horz"/>
          <a:lstStyle/>
          <a:p>
            <a:pPr>
              <a:defRPr/>
            </a:pPr>
            <a:endParaRPr lang="en-US"/>
          </a:p>
        </c:txPr>
        <c:crossAx val="957614112"/>
        <c:crosses val="autoZero"/>
        <c:crossBetween val="between"/>
        <c:majorUnit val="1.0000000000000002E-2"/>
      </c:valAx>
      <c:spPr>
        <a:noFill/>
        <a:ln>
          <a:noFill/>
        </a:ln>
        <a:effectLst/>
      </c:spPr>
    </c:plotArea>
    <c:legend>
      <c:legendPos val="b"/>
      <c:overlay val="0"/>
      <c:spPr>
        <a:noFill/>
        <a:ln>
          <a:noFill/>
        </a:ln>
        <a:effectLst/>
      </c:spPr>
      <c:txPr>
        <a:bodyPr rot="0" vert="horz"/>
        <a:lstStyle/>
        <a:p>
          <a:pPr>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1">
    <c:autoUpdate val="0"/>
  </c:externalData>
  <c:userShapes r:id="rId2"/>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'Figure 8_RR'!$A$8</c:f>
              <c:strCache>
                <c:ptCount val="1"/>
                <c:pt idx="0">
                  <c:v>Shortage</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'Figure 8_RR'!$B$7</c:f>
              <c:strCache>
                <c:ptCount val="1"/>
                <c:pt idx="0">
                  <c:v>Replacement rate (%)</c:v>
                </c:pt>
              </c:strCache>
            </c:strRef>
          </c:cat>
          <c:val>
            <c:numRef>
              <c:f>'Figure 8_RR'!$B$8</c:f>
              <c:numCache>
                <c:formatCode>0%</c:formatCode>
                <c:ptCount val="1"/>
                <c:pt idx="0">
                  <c:v>0.14336656498841355</c:v>
                </c:pt>
              </c:numCache>
            </c:numRef>
          </c:val>
          <c:extLst>
            <c:ext xmlns:c16="http://schemas.microsoft.com/office/drawing/2014/chart" uri="{C3380CC4-5D6E-409C-BE32-E72D297353CC}">
              <c16:uniqueId val="{00000000-0005-410B-BBA1-60645D5B4830}"/>
            </c:ext>
          </c:extLst>
        </c:ser>
        <c:ser>
          <c:idx val="1"/>
          <c:order val="1"/>
          <c:tx>
            <c:strRef>
              <c:f>'Figure 8_RR'!$A$9</c:f>
              <c:strCache>
                <c:ptCount val="1"/>
                <c:pt idx="0">
                  <c:v>No shortage</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'Figure 8_RR'!$B$7</c:f>
              <c:strCache>
                <c:ptCount val="1"/>
                <c:pt idx="0">
                  <c:v>Replacement rate (%)</c:v>
                </c:pt>
              </c:strCache>
            </c:strRef>
          </c:cat>
          <c:val>
            <c:numRef>
              <c:f>'Figure 8_RR'!$B$9</c:f>
              <c:numCache>
                <c:formatCode>0%</c:formatCode>
                <c:ptCount val="1"/>
                <c:pt idx="0">
                  <c:v>0.17458441788670595</c:v>
                </c:pt>
              </c:numCache>
            </c:numRef>
          </c:val>
          <c:extLst>
            <c:ext xmlns:c16="http://schemas.microsoft.com/office/drawing/2014/chart" uri="{C3380CC4-5D6E-409C-BE32-E72D297353CC}">
              <c16:uniqueId val="{00000001-0005-410B-BBA1-60645D5B4830}"/>
            </c:ext>
          </c:extLst>
        </c:ser>
        <c:dLbls>
          <c:dLblPos val="outEnd"/>
          <c:showLegendKey val="0"/>
          <c:showVal val="1"/>
          <c:showCatName val="0"/>
          <c:showSerName val="0"/>
          <c:showPercent val="0"/>
          <c:showBubbleSize val="0"/>
        </c:dLbls>
        <c:gapWidth val="300"/>
        <c:overlap val="-100"/>
        <c:axId val="957614112"/>
        <c:axId val="957615072"/>
      </c:barChart>
      <c:catAx>
        <c:axId val="957614112"/>
        <c:scaling>
          <c:orientation val="minMax"/>
        </c:scaling>
        <c:delete val="0"/>
        <c:axPos val="b"/>
        <c:numFmt formatCode="General" sourceLinked="1"/>
        <c:majorTickMark val="out"/>
        <c:minorTickMark val="none"/>
        <c:tickLblPos val="nextTo"/>
        <c:spPr>
          <a:noFill/>
          <a:ln w="9525" cap="flat" cmpd="sng" algn="ctr">
            <a:noFill/>
            <a:round/>
          </a:ln>
          <a:effectLst/>
        </c:spPr>
        <c:txPr>
          <a:bodyPr rot="-60000000" vert="horz"/>
          <a:lstStyle/>
          <a:p>
            <a:pPr>
              <a:defRPr/>
            </a:pPr>
            <a:endParaRPr lang="en-US"/>
          </a:p>
        </c:txPr>
        <c:crossAx val="957615072"/>
        <c:crosses val="autoZero"/>
        <c:auto val="1"/>
        <c:lblAlgn val="ctr"/>
        <c:lblOffset val="100"/>
        <c:noMultiLvlLbl val="0"/>
      </c:catAx>
      <c:valAx>
        <c:axId val="957615072"/>
        <c:scaling>
          <c:orientation val="minMax"/>
        </c:scaling>
        <c:delete val="0"/>
        <c:axPos val="l"/>
        <c:numFmt formatCode="0%" sourceLinked="0"/>
        <c:majorTickMark val="out"/>
        <c:minorTickMark val="none"/>
        <c:tickLblPos val="nextTo"/>
        <c:spPr>
          <a:noFill/>
          <a:ln>
            <a:noFill/>
          </a:ln>
          <a:effectLst/>
        </c:spPr>
        <c:txPr>
          <a:bodyPr rot="-60000000" vert="horz"/>
          <a:lstStyle/>
          <a:p>
            <a:pPr>
              <a:defRPr/>
            </a:pPr>
            <a:endParaRPr lang="en-US"/>
          </a:p>
        </c:txPr>
        <c:crossAx val="957614112"/>
        <c:crosses val="autoZero"/>
        <c:crossBetween val="between"/>
        <c:majorUnit val="5.000000000000001E-2"/>
      </c:valAx>
      <c:spPr>
        <a:noFill/>
        <a:ln>
          <a:noFill/>
        </a:ln>
        <a:effectLst/>
      </c:spPr>
    </c:plotArea>
    <c:legend>
      <c:legendPos val="b"/>
      <c:overlay val="0"/>
      <c:spPr>
        <a:noFill/>
        <a:ln>
          <a:noFill/>
        </a:ln>
        <a:effectLst/>
      </c:spPr>
      <c:txPr>
        <a:bodyPr rot="0" vert="horz"/>
        <a:lstStyle/>
        <a:p>
          <a:pPr>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1">
    <c:autoUpdate val="0"/>
  </c:externalData>
  <c:userShapes r:id="rId2"/>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0"/>
          <c:tx>
            <c:strRef>
              <c:f>'Figure 9'!$A$8</c:f>
              <c:strCache>
                <c:ptCount val="1"/>
                <c:pt idx="0">
                  <c:v>Shortage</c:v>
                </c:pt>
              </c:strCache>
            </c:strRef>
          </c:tx>
          <c:spPr>
            <a:solidFill>
              <a:srgbClr val="6929C4"/>
            </a:solidFill>
            <a:ln>
              <a:noFill/>
            </a:ln>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'Figure 9'!$B$7:$E$7</c:f>
              <c:strCache>
                <c:ptCount val="4"/>
                <c:pt idx="0">
                  <c:v>Severe undersupply</c:v>
                </c:pt>
                <c:pt idx="1">
                  <c:v>Undersupply</c:v>
                </c:pt>
                <c:pt idx="2">
                  <c:v>About right</c:v>
                </c:pt>
                <c:pt idx="3">
                  <c:v>Oversupply</c:v>
                </c:pt>
              </c:strCache>
            </c:strRef>
          </c:cat>
          <c:val>
            <c:numRef>
              <c:f>'Figure 9'!$B$8:$E$8</c:f>
              <c:numCache>
                <c:formatCode>0%</c:formatCode>
                <c:ptCount val="4"/>
                <c:pt idx="0">
                  <c:v>0.39265447146136018</c:v>
                </c:pt>
                <c:pt idx="1">
                  <c:v>0.52660092855975271</c:v>
                </c:pt>
                <c:pt idx="2">
                  <c:v>5.3384417248870948E-2</c:v>
                </c:pt>
                <c:pt idx="3">
                  <c:v>1.9095719920098668E-2</c:v>
                </c:pt>
              </c:numCache>
            </c:numRef>
          </c:val>
          <c:extLst>
            <c:ext xmlns:c16="http://schemas.microsoft.com/office/drawing/2014/chart" uri="{C3380CC4-5D6E-409C-BE32-E72D297353CC}">
              <c16:uniqueId val="{00000000-9FF0-43A9-8014-B4F43C1047C8}"/>
            </c:ext>
          </c:extLst>
        </c:ser>
        <c:ser>
          <c:idx val="2"/>
          <c:order val="1"/>
          <c:tx>
            <c:strRef>
              <c:f>'Figure 9'!$A$9</c:f>
              <c:strCache>
                <c:ptCount val="1"/>
                <c:pt idx="0">
                  <c:v>No shortage</c:v>
                </c:pt>
              </c:strCache>
            </c:strRef>
          </c:tx>
          <c:spPr>
            <a:solidFill>
              <a:srgbClr val="009D9A"/>
            </a:solidFill>
            <a:ln>
              <a:noFill/>
            </a:ln>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'Figure 9'!$B$7:$E$7</c:f>
              <c:strCache>
                <c:ptCount val="4"/>
                <c:pt idx="0">
                  <c:v>Severe undersupply</c:v>
                </c:pt>
                <c:pt idx="1">
                  <c:v>Undersupply</c:v>
                </c:pt>
                <c:pt idx="2">
                  <c:v>About right</c:v>
                </c:pt>
                <c:pt idx="3">
                  <c:v>Oversupply</c:v>
                </c:pt>
              </c:strCache>
            </c:strRef>
          </c:cat>
          <c:val>
            <c:numRef>
              <c:f>'Figure 9'!$B$9:$E$9</c:f>
              <c:numCache>
                <c:formatCode>0%</c:formatCode>
                <c:ptCount val="4"/>
                <c:pt idx="0">
                  <c:v>0.28062350842096478</c:v>
                </c:pt>
                <c:pt idx="1">
                  <c:v>0.46536201090278467</c:v>
                </c:pt>
                <c:pt idx="2">
                  <c:v>0.19644533474149226</c:v>
                </c:pt>
                <c:pt idx="3">
                  <c:v>3.8656616383930975E-2</c:v>
                </c:pt>
              </c:numCache>
            </c:numRef>
          </c:val>
          <c:extLst>
            <c:ext xmlns:c16="http://schemas.microsoft.com/office/drawing/2014/chart" uri="{C3380CC4-5D6E-409C-BE32-E72D297353CC}">
              <c16:uniqueId val="{00000001-9FF0-43A9-8014-B4F43C1047C8}"/>
            </c:ext>
          </c:extLst>
        </c:ser>
        <c:dLbls>
          <c:dLblPos val="outEnd"/>
          <c:showLegendKey val="0"/>
          <c:showVal val="1"/>
          <c:showCatName val="0"/>
          <c:showSerName val="0"/>
          <c:showPercent val="0"/>
          <c:showBubbleSize val="0"/>
        </c:dLbls>
        <c:gapWidth val="219"/>
        <c:overlap val="-27"/>
        <c:axId val="957614112"/>
        <c:axId val="957615072"/>
      </c:barChart>
      <c:catAx>
        <c:axId val="957614112"/>
        <c:scaling>
          <c:orientation val="minMax"/>
        </c:scaling>
        <c:delete val="0"/>
        <c:axPos val="b"/>
        <c:numFmt formatCode="General" sourceLinked="1"/>
        <c:majorTickMark val="out"/>
        <c:minorTickMark val="none"/>
        <c:tickLblPos val="nextTo"/>
        <c:spPr>
          <a:noFill/>
          <a:ln w="9525" cap="flat" cmpd="sng" algn="ctr">
            <a:noFill/>
            <a:round/>
          </a:ln>
          <a:effectLst/>
        </c:spPr>
        <c:txPr>
          <a:bodyPr rot="-60000000" vert="horz"/>
          <a:lstStyle/>
          <a:p>
            <a:pPr>
              <a:defRPr/>
            </a:pPr>
            <a:endParaRPr lang="en-US"/>
          </a:p>
        </c:txPr>
        <c:crossAx val="957615072"/>
        <c:crosses val="autoZero"/>
        <c:auto val="1"/>
        <c:lblAlgn val="ctr"/>
        <c:lblOffset val="100"/>
        <c:noMultiLvlLbl val="0"/>
      </c:catAx>
      <c:valAx>
        <c:axId val="957615072"/>
        <c:scaling>
          <c:orientation val="minMax"/>
        </c:scaling>
        <c:delete val="0"/>
        <c:axPos val="l"/>
        <c:numFmt formatCode="0%" sourceLinked="0"/>
        <c:majorTickMark val="out"/>
        <c:minorTickMark val="none"/>
        <c:tickLblPos val="nextTo"/>
        <c:spPr>
          <a:noFill/>
          <a:ln>
            <a:noFill/>
          </a:ln>
          <a:effectLst/>
        </c:spPr>
        <c:txPr>
          <a:bodyPr rot="-60000000" vert="horz"/>
          <a:lstStyle/>
          <a:p>
            <a:pPr>
              <a:defRPr/>
            </a:pPr>
            <a:endParaRPr lang="en-US"/>
          </a:p>
        </c:txPr>
        <c:crossAx val="957614112"/>
        <c:crosses val="autoZero"/>
        <c:crossBetween val="between"/>
      </c:valAx>
      <c:spPr>
        <a:noFill/>
        <a:ln>
          <a:noFill/>
        </a:ln>
        <a:effectLst/>
      </c:spPr>
    </c:plotArea>
    <c:legend>
      <c:legendPos val="b"/>
      <c:overlay val="0"/>
      <c:spPr>
        <a:noFill/>
        <a:ln>
          <a:noFill/>
        </a:ln>
        <a:effectLst/>
      </c:spPr>
      <c:txPr>
        <a:bodyPr rot="0" vert="horz"/>
        <a:lstStyle/>
        <a:p>
          <a:pPr>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0"/>
          <c:tx>
            <c:strRef>
              <c:f>'Figure 9'!$A$8</c:f>
              <c:strCache>
                <c:ptCount val="1"/>
                <c:pt idx="0">
                  <c:v>Shortage</c:v>
                </c:pt>
              </c:strCache>
            </c:strRef>
          </c:tx>
          <c:spPr>
            <a:solidFill>
              <a:srgbClr val="6929C4"/>
            </a:solidFill>
            <a:ln>
              <a:noFill/>
            </a:ln>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'Figure 9'!$J$7:$M$7</c:f>
              <c:strCache>
                <c:ptCount val="4"/>
                <c:pt idx="0">
                  <c:v>Much higher demand in 2026 than 2025</c:v>
                </c:pt>
                <c:pt idx="1">
                  <c:v>Higher demand in 2026 than 2025</c:v>
                </c:pt>
                <c:pt idx="2">
                  <c:v>About the same demand in 2026 as 2025</c:v>
                </c:pt>
                <c:pt idx="3">
                  <c:v>Lower demand in 2026 than 2025</c:v>
                </c:pt>
              </c:strCache>
            </c:strRef>
          </c:cat>
          <c:val>
            <c:numRef>
              <c:f>'Figure 9'!$J$8:$M$8</c:f>
              <c:numCache>
                <c:formatCode>0%</c:formatCode>
                <c:ptCount val="4"/>
                <c:pt idx="0">
                  <c:v>0.18882132246339434</c:v>
                </c:pt>
                <c:pt idx="1">
                  <c:v>0.3734632334387496</c:v>
                </c:pt>
                <c:pt idx="2">
                  <c:v>0.39954771705082681</c:v>
                </c:pt>
                <c:pt idx="3">
                  <c:v>2.5771032832152829E-2</c:v>
                </c:pt>
              </c:numCache>
            </c:numRef>
          </c:val>
          <c:extLst>
            <c:ext xmlns:c16="http://schemas.microsoft.com/office/drawing/2014/chart" uri="{C3380CC4-5D6E-409C-BE32-E72D297353CC}">
              <c16:uniqueId val="{00000000-7008-4A4A-A85B-B5D81634A4A7}"/>
            </c:ext>
          </c:extLst>
        </c:ser>
        <c:ser>
          <c:idx val="2"/>
          <c:order val="1"/>
          <c:tx>
            <c:strRef>
              <c:f>'Figure 9'!$A$9</c:f>
              <c:strCache>
                <c:ptCount val="1"/>
                <c:pt idx="0">
                  <c:v>No shortage</c:v>
                </c:pt>
              </c:strCache>
            </c:strRef>
          </c:tx>
          <c:spPr>
            <a:solidFill>
              <a:srgbClr val="009D9A"/>
            </a:solidFill>
            <a:ln>
              <a:noFill/>
            </a:ln>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'Figure 9'!$J$7:$M$7</c:f>
              <c:strCache>
                <c:ptCount val="4"/>
                <c:pt idx="0">
                  <c:v>Much higher demand in 2026 than 2025</c:v>
                </c:pt>
                <c:pt idx="1">
                  <c:v>Higher demand in 2026 than 2025</c:v>
                </c:pt>
                <c:pt idx="2">
                  <c:v>About the same demand in 2026 as 2025</c:v>
                </c:pt>
                <c:pt idx="3">
                  <c:v>Lower demand in 2026 than 2025</c:v>
                </c:pt>
              </c:strCache>
            </c:strRef>
          </c:cat>
          <c:val>
            <c:numRef>
              <c:f>'Figure 9'!$J$9:$M$9</c:f>
              <c:numCache>
                <c:formatCode>0%</c:formatCode>
                <c:ptCount val="4"/>
                <c:pt idx="0">
                  <c:v>0.12982226236232292</c:v>
                </c:pt>
                <c:pt idx="1">
                  <c:v>0.40188390903206583</c:v>
                </c:pt>
                <c:pt idx="2">
                  <c:v>0.38200331082636096</c:v>
                </c:pt>
                <c:pt idx="3">
                  <c:v>6.7377988228422836E-2</c:v>
                </c:pt>
              </c:numCache>
            </c:numRef>
          </c:val>
          <c:extLst>
            <c:ext xmlns:c16="http://schemas.microsoft.com/office/drawing/2014/chart" uri="{C3380CC4-5D6E-409C-BE32-E72D297353CC}">
              <c16:uniqueId val="{00000001-7008-4A4A-A85B-B5D81634A4A7}"/>
            </c:ext>
          </c:extLst>
        </c:ser>
        <c:dLbls>
          <c:dLblPos val="outEnd"/>
          <c:showLegendKey val="0"/>
          <c:showVal val="1"/>
          <c:showCatName val="0"/>
          <c:showSerName val="0"/>
          <c:showPercent val="0"/>
          <c:showBubbleSize val="0"/>
        </c:dLbls>
        <c:gapWidth val="219"/>
        <c:overlap val="-27"/>
        <c:axId val="957614112"/>
        <c:axId val="957615072"/>
      </c:barChart>
      <c:catAx>
        <c:axId val="957614112"/>
        <c:scaling>
          <c:orientation val="minMax"/>
        </c:scaling>
        <c:delete val="0"/>
        <c:axPos val="b"/>
        <c:numFmt formatCode="General" sourceLinked="1"/>
        <c:majorTickMark val="out"/>
        <c:minorTickMark val="none"/>
        <c:tickLblPos val="nextTo"/>
        <c:spPr>
          <a:noFill/>
          <a:ln w="9525" cap="flat" cmpd="sng" algn="ctr">
            <a:noFill/>
            <a:round/>
          </a:ln>
          <a:effectLst/>
        </c:spPr>
        <c:txPr>
          <a:bodyPr rot="-60000000" vert="horz"/>
          <a:lstStyle/>
          <a:p>
            <a:pPr>
              <a:defRPr/>
            </a:pPr>
            <a:endParaRPr lang="en-US"/>
          </a:p>
        </c:txPr>
        <c:crossAx val="957615072"/>
        <c:crosses val="autoZero"/>
        <c:auto val="1"/>
        <c:lblAlgn val="ctr"/>
        <c:lblOffset val="100"/>
        <c:noMultiLvlLbl val="0"/>
      </c:catAx>
      <c:valAx>
        <c:axId val="957615072"/>
        <c:scaling>
          <c:orientation val="minMax"/>
          <c:max val="0.6"/>
        </c:scaling>
        <c:delete val="0"/>
        <c:axPos val="l"/>
        <c:numFmt formatCode="0%" sourceLinked="0"/>
        <c:majorTickMark val="out"/>
        <c:minorTickMark val="none"/>
        <c:tickLblPos val="nextTo"/>
        <c:spPr>
          <a:noFill/>
          <a:ln>
            <a:noFill/>
          </a:ln>
          <a:effectLst/>
        </c:spPr>
        <c:txPr>
          <a:bodyPr rot="-60000000" vert="horz"/>
          <a:lstStyle/>
          <a:p>
            <a:pPr>
              <a:defRPr/>
            </a:pPr>
            <a:endParaRPr lang="en-US"/>
          </a:p>
        </c:txPr>
        <c:crossAx val="957614112"/>
        <c:crosses val="autoZero"/>
        <c:crossBetween val="between"/>
      </c:valAx>
      <c:spPr>
        <a:noFill/>
        <a:ln>
          <a:noFill/>
        </a:ln>
        <a:effectLst/>
      </c:spPr>
    </c:plotArea>
    <c:legend>
      <c:legendPos val="b"/>
      <c:overlay val="0"/>
      <c:spPr>
        <a:noFill/>
        <a:ln>
          <a:noFill/>
        </a:ln>
        <a:effectLst/>
      </c:spPr>
      <c:txPr>
        <a:bodyPr rot="0" vert="horz"/>
        <a:lstStyle/>
        <a:p>
          <a:pPr>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'Appendix A Figure A1'!$C$6</c:f>
              <c:strCache>
                <c:ptCount val="1"/>
                <c:pt idx="0">
                  <c:v>Clear</c:v>
                </c:pt>
              </c:strCache>
            </c:strRef>
          </c:tx>
          <c:spPr>
            <a:solidFill>
              <a:schemeClr val="accent1"/>
            </a:solidFill>
            <a:ln>
              <a:noFill/>
            </a:ln>
            <a:effectLst/>
          </c:spPr>
          <c:invertIfNegative val="0"/>
          <c:cat>
            <c:multiLvlStrRef>
              <c:f>'Appendix A Figure A1'!$A$7:$B$24</c:f>
              <c:multiLvlStrCache>
                <c:ptCount val="18"/>
                <c:lvl>
                  <c:pt idx="0">
                    <c:v>Shortage</c:v>
                  </c:pt>
                  <c:pt idx="1">
                    <c:v>No shortage</c:v>
                  </c:pt>
                  <c:pt idx="2">
                    <c:v>Shortage</c:v>
                  </c:pt>
                  <c:pt idx="3">
                    <c:v>No shortage</c:v>
                  </c:pt>
                  <c:pt idx="4">
                    <c:v>Shortage</c:v>
                  </c:pt>
                  <c:pt idx="5">
                    <c:v>No shortage</c:v>
                  </c:pt>
                  <c:pt idx="6">
                    <c:v>Shortage</c:v>
                  </c:pt>
                  <c:pt idx="7">
                    <c:v>No shortage</c:v>
                  </c:pt>
                  <c:pt idx="8">
                    <c:v>Shortage</c:v>
                  </c:pt>
                  <c:pt idx="9">
                    <c:v>No shortage</c:v>
                  </c:pt>
                  <c:pt idx="10">
                    <c:v>Shortage</c:v>
                  </c:pt>
                  <c:pt idx="11">
                    <c:v>No shortage</c:v>
                  </c:pt>
                  <c:pt idx="12">
                    <c:v>Shortage</c:v>
                  </c:pt>
                  <c:pt idx="13">
                    <c:v>No shortage</c:v>
                  </c:pt>
                  <c:pt idx="14">
                    <c:v>Shortage</c:v>
                  </c:pt>
                  <c:pt idx="15">
                    <c:v>No shortage</c:v>
                  </c:pt>
                  <c:pt idx="16">
                    <c:v>Shortage</c:v>
                  </c:pt>
                  <c:pt idx="17">
                    <c:v>No shortage</c:v>
                  </c:pt>
                </c:lvl>
                <c:lvl>
                  <c:pt idx="0">
                    <c:v>Managers</c:v>
                  </c:pt>
                  <c:pt idx="2">
                    <c:v>Professionals</c:v>
                  </c:pt>
                  <c:pt idx="4">
                    <c:v>Technicians and Trades Workers</c:v>
                  </c:pt>
                  <c:pt idx="6">
                    <c:v>Community and Personal Service Workers</c:v>
                  </c:pt>
                  <c:pt idx="8">
                    <c:v>Clerical and Administrative Workers</c:v>
                  </c:pt>
                  <c:pt idx="10">
                    <c:v>Sales Workers</c:v>
                  </c:pt>
                  <c:pt idx="12">
                    <c:v>Machinery Operators and Drivers</c:v>
                  </c:pt>
                  <c:pt idx="14">
                    <c:v>Labourers</c:v>
                  </c:pt>
                  <c:pt idx="16">
                    <c:v>All occupations</c:v>
                  </c:pt>
                </c:lvl>
              </c:multiLvlStrCache>
            </c:multiLvlStrRef>
          </c:cat>
          <c:val>
            <c:numRef>
              <c:f>'Appendix A Figure A1'!$C$7:$C$24</c:f>
              <c:numCache>
                <c:formatCode>0%</c:formatCode>
                <c:ptCount val="18"/>
                <c:pt idx="0">
                  <c:v>8.0645161290322578E-3</c:v>
                </c:pt>
                <c:pt idx="1">
                  <c:v>0.58064516129032262</c:v>
                </c:pt>
                <c:pt idx="2">
                  <c:v>0.1906158357771261</c:v>
                </c:pt>
                <c:pt idx="3">
                  <c:v>0.34897360703812319</c:v>
                </c:pt>
                <c:pt idx="4">
                  <c:v>0.36888888888888888</c:v>
                </c:pt>
                <c:pt idx="5">
                  <c:v>0.13777777777777778</c:v>
                </c:pt>
                <c:pt idx="6">
                  <c:v>0.08</c:v>
                </c:pt>
                <c:pt idx="7">
                  <c:v>0.42399999999999999</c:v>
                </c:pt>
                <c:pt idx="8">
                  <c:v>2.8169014084507043E-2</c:v>
                </c:pt>
                <c:pt idx="9">
                  <c:v>0.6901408450704225</c:v>
                </c:pt>
                <c:pt idx="10">
                  <c:v>0</c:v>
                </c:pt>
                <c:pt idx="11">
                  <c:v>0.55000000000000004</c:v>
                </c:pt>
                <c:pt idx="12">
                  <c:v>9.8591549295774641E-2</c:v>
                </c:pt>
                <c:pt idx="13">
                  <c:v>0.30985915492957744</c:v>
                </c:pt>
                <c:pt idx="14">
                  <c:v>0.13636363636363635</c:v>
                </c:pt>
                <c:pt idx="15">
                  <c:v>0.13636363636363635</c:v>
                </c:pt>
                <c:pt idx="16">
                  <c:v>0.17042115572967678</c:v>
                </c:pt>
                <c:pt idx="17">
                  <c:v>0.35553379040156707</c:v>
                </c:pt>
              </c:numCache>
            </c:numRef>
          </c:val>
          <c:extLst>
            <c:ext xmlns:c16="http://schemas.microsoft.com/office/drawing/2014/chart" uri="{C3380CC4-5D6E-409C-BE32-E72D297353CC}">
              <c16:uniqueId val="{00000000-2EC5-4689-8E3F-311CA2C75342}"/>
            </c:ext>
          </c:extLst>
        </c:ser>
        <c:ser>
          <c:idx val="1"/>
          <c:order val="1"/>
          <c:tx>
            <c:strRef>
              <c:f>'Appendix A Figure A1'!$D$6</c:f>
              <c:strCache>
                <c:ptCount val="1"/>
                <c:pt idx="0">
                  <c:v>On-balance</c:v>
                </c:pt>
              </c:strCache>
            </c:strRef>
          </c:tx>
          <c:spPr>
            <a:solidFill>
              <a:schemeClr val="accent2"/>
            </a:solidFill>
            <a:ln>
              <a:noFill/>
            </a:ln>
            <a:effectLst/>
          </c:spPr>
          <c:invertIfNegative val="0"/>
          <c:cat>
            <c:multiLvlStrRef>
              <c:f>'Appendix A Figure A1'!$A$7:$B$24</c:f>
              <c:multiLvlStrCache>
                <c:ptCount val="18"/>
                <c:lvl>
                  <c:pt idx="0">
                    <c:v>Shortage</c:v>
                  </c:pt>
                  <c:pt idx="1">
                    <c:v>No shortage</c:v>
                  </c:pt>
                  <c:pt idx="2">
                    <c:v>Shortage</c:v>
                  </c:pt>
                  <c:pt idx="3">
                    <c:v>No shortage</c:v>
                  </c:pt>
                  <c:pt idx="4">
                    <c:v>Shortage</c:v>
                  </c:pt>
                  <c:pt idx="5">
                    <c:v>No shortage</c:v>
                  </c:pt>
                  <c:pt idx="6">
                    <c:v>Shortage</c:v>
                  </c:pt>
                  <c:pt idx="7">
                    <c:v>No shortage</c:v>
                  </c:pt>
                  <c:pt idx="8">
                    <c:v>Shortage</c:v>
                  </c:pt>
                  <c:pt idx="9">
                    <c:v>No shortage</c:v>
                  </c:pt>
                  <c:pt idx="10">
                    <c:v>Shortage</c:v>
                  </c:pt>
                  <c:pt idx="11">
                    <c:v>No shortage</c:v>
                  </c:pt>
                  <c:pt idx="12">
                    <c:v>Shortage</c:v>
                  </c:pt>
                  <c:pt idx="13">
                    <c:v>No shortage</c:v>
                  </c:pt>
                  <c:pt idx="14">
                    <c:v>Shortage</c:v>
                  </c:pt>
                  <c:pt idx="15">
                    <c:v>No shortage</c:v>
                  </c:pt>
                  <c:pt idx="16">
                    <c:v>Shortage</c:v>
                  </c:pt>
                  <c:pt idx="17">
                    <c:v>No shortage</c:v>
                  </c:pt>
                </c:lvl>
                <c:lvl>
                  <c:pt idx="0">
                    <c:v>Managers</c:v>
                  </c:pt>
                  <c:pt idx="2">
                    <c:v>Professionals</c:v>
                  </c:pt>
                  <c:pt idx="4">
                    <c:v>Technicians and Trades Workers</c:v>
                  </c:pt>
                  <c:pt idx="6">
                    <c:v>Community and Personal Service Workers</c:v>
                  </c:pt>
                  <c:pt idx="8">
                    <c:v>Clerical and Administrative Workers</c:v>
                  </c:pt>
                  <c:pt idx="10">
                    <c:v>Sales Workers</c:v>
                  </c:pt>
                  <c:pt idx="12">
                    <c:v>Machinery Operators and Drivers</c:v>
                  </c:pt>
                  <c:pt idx="14">
                    <c:v>Labourers</c:v>
                  </c:pt>
                  <c:pt idx="16">
                    <c:v>All occupations</c:v>
                  </c:pt>
                </c:lvl>
              </c:multiLvlStrCache>
            </c:multiLvlStrRef>
          </c:cat>
          <c:val>
            <c:numRef>
              <c:f>'Appendix A Figure A1'!$D$7:$D$24</c:f>
              <c:numCache>
                <c:formatCode>0%</c:formatCode>
                <c:ptCount val="18"/>
                <c:pt idx="0">
                  <c:v>1.6129032258064516E-2</c:v>
                </c:pt>
                <c:pt idx="1">
                  <c:v>0.39516129032258063</c:v>
                </c:pt>
                <c:pt idx="2">
                  <c:v>0.17888563049853373</c:v>
                </c:pt>
                <c:pt idx="3">
                  <c:v>0.28152492668621704</c:v>
                </c:pt>
                <c:pt idx="4">
                  <c:v>0.11555555555555555</c:v>
                </c:pt>
                <c:pt idx="5">
                  <c:v>0.37777777777777777</c:v>
                </c:pt>
                <c:pt idx="6">
                  <c:v>0.08</c:v>
                </c:pt>
                <c:pt idx="7">
                  <c:v>0.41599999999999998</c:v>
                </c:pt>
                <c:pt idx="8">
                  <c:v>1.4084507042253521E-2</c:v>
                </c:pt>
                <c:pt idx="9">
                  <c:v>0.26760563380281688</c:v>
                </c:pt>
                <c:pt idx="10">
                  <c:v>0</c:v>
                </c:pt>
                <c:pt idx="11">
                  <c:v>0.45</c:v>
                </c:pt>
                <c:pt idx="12">
                  <c:v>7.0422535211267609E-2</c:v>
                </c:pt>
                <c:pt idx="13">
                  <c:v>0.52112676056338025</c:v>
                </c:pt>
                <c:pt idx="14">
                  <c:v>0</c:v>
                </c:pt>
                <c:pt idx="15">
                  <c:v>0.72727272727272729</c:v>
                </c:pt>
                <c:pt idx="16">
                  <c:v>0.10284035259549461</c:v>
                </c:pt>
                <c:pt idx="17">
                  <c:v>0.37120470127326149</c:v>
                </c:pt>
              </c:numCache>
            </c:numRef>
          </c:val>
          <c:extLst>
            <c:ext xmlns:c16="http://schemas.microsoft.com/office/drawing/2014/chart" uri="{C3380CC4-5D6E-409C-BE32-E72D297353CC}">
              <c16:uniqueId val="{00000001-2EC5-4689-8E3F-311CA2C75342}"/>
            </c:ext>
          </c:extLst>
        </c:ser>
        <c:dLbls>
          <c:showLegendKey val="0"/>
          <c:showVal val="0"/>
          <c:showCatName val="0"/>
          <c:showSerName val="0"/>
          <c:showPercent val="0"/>
          <c:showBubbleSize val="0"/>
        </c:dLbls>
        <c:gapWidth val="150"/>
        <c:overlap val="100"/>
        <c:axId val="337031391"/>
        <c:axId val="337032351"/>
      </c:barChart>
      <c:catAx>
        <c:axId val="337031391"/>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337032351"/>
        <c:crosses val="autoZero"/>
        <c:auto val="1"/>
        <c:lblAlgn val="ctr"/>
        <c:lblOffset val="150"/>
        <c:noMultiLvlLbl val="0"/>
      </c:catAx>
      <c:valAx>
        <c:axId val="337032351"/>
        <c:scaling>
          <c:orientation val="minMax"/>
          <c:max val="1"/>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337031391"/>
        <c:crossesAt val="1"/>
        <c:crossBetween val="between"/>
        <c:majorUnit val="0.2"/>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2658979734451438E-2"/>
          <c:y val="4.2643467643467645E-2"/>
          <c:w val="0.89293501048218027"/>
          <c:h val="0.65980341880341897"/>
        </c:manualLayout>
      </c:layout>
      <c:barChart>
        <c:barDir val="col"/>
        <c:grouping val="stacked"/>
        <c:varyColors val="0"/>
        <c:ser>
          <c:idx val="1"/>
          <c:order val="0"/>
          <c:tx>
            <c:strRef>
              <c:f>'Appendix A Figure A2'!$C$6</c:f>
              <c:strCache>
                <c:ptCount val="1"/>
                <c:pt idx="0">
                  <c:v>Clear</c:v>
                </c:pt>
              </c:strCache>
            </c:strRef>
          </c:tx>
          <c:spPr>
            <a:solidFill>
              <a:srgbClr val="6929C4"/>
            </a:solidFill>
            <a:ln>
              <a:noFill/>
            </a:ln>
            <a:effectLst/>
          </c:spPr>
          <c:invertIfNegative val="0"/>
          <c:cat>
            <c:multiLvlStrRef>
              <c:f>'Appendix A Figure A2'!$A$7:$B$16</c:f>
              <c:multiLvlStrCache>
                <c:ptCount val="10"/>
                <c:lvl>
                  <c:pt idx="0">
                    <c:v>Shortage</c:v>
                  </c:pt>
                  <c:pt idx="1">
                    <c:v>No shortage</c:v>
                  </c:pt>
                  <c:pt idx="2">
                    <c:v>Shortage</c:v>
                  </c:pt>
                  <c:pt idx="3">
                    <c:v>No shortage</c:v>
                  </c:pt>
                  <c:pt idx="4">
                    <c:v>Shortage</c:v>
                  </c:pt>
                  <c:pt idx="5">
                    <c:v>No shortage</c:v>
                  </c:pt>
                  <c:pt idx="6">
                    <c:v>Shortage</c:v>
                  </c:pt>
                  <c:pt idx="7">
                    <c:v>No shortage</c:v>
                  </c:pt>
                  <c:pt idx="8">
                    <c:v>Shortage</c:v>
                  </c:pt>
                  <c:pt idx="9">
                    <c:v>No shortage</c:v>
                  </c:pt>
                </c:lvl>
                <c:lvl>
                  <c:pt idx="0">
                    <c:v>Skill Level 1</c:v>
                  </c:pt>
                  <c:pt idx="2">
                    <c:v>Skill Level 2</c:v>
                  </c:pt>
                  <c:pt idx="4">
                    <c:v>Skill Level 3</c:v>
                  </c:pt>
                  <c:pt idx="6">
                    <c:v>Skill Level 4</c:v>
                  </c:pt>
                  <c:pt idx="8">
                    <c:v>All occupations</c:v>
                  </c:pt>
                </c:lvl>
              </c:multiLvlStrCache>
            </c:multiLvlStrRef>
          </c:cat>
          <c:val>
            <c:numRef>
              <c:f>'Appendix A Figure A2'!$C$7:$C$16</c:f>
              <c:numCache>
                <c:formatCode>0%</c:formatCode>
                <c:ptCount val="10"/>
                <c:pt idx="0">
                  <c:v>0.15566037735849056</c:v>
                </c:pt>
                <c:pt idx="1">
                  <c:v>0.38443396226415094</c:v>
                </c:pt>
                <c:pt idx="2">
                  <c:v>0.13157894736842105</c:v>
                </c:pt>
                <c:pt idx="3">
                  <c:v>0.5</c:v>
                </c:pt>
                <c:pt idx="4">
                  <c:v>0.31034482758620691</c:v>
                </c:pt>
                <c:pt idx="5">
                  <c:v>0.15086206896551724</c:v>
                </c:pt>
                <c:pt idx="6">
                  <c:v>7.5117370892018781E-2</c:v>
                </c:pt>
                <c:pt idx="7">
                  <c:v>0.41784037558685444</c:v>
                </c:pt>
                <c:pt idx="8">
                  <c:v>0.17042115572967678</c:v>
                </c:pt>
                <c:pt idx="9">
                  <c:v>0.35553379040156707</c:v>
                </c:pt>
              </c:numCache>
            </c:numRef>
          </c:val>
          <c:extLst>
            <c:ext xmlns:c16="http://schemas.microsoft.com/office/drawing/2014/chart" uri="{C3380CC4-5D6E-409C-BE32-E72D297353CC}">
              <c16:uniqueId val="{00000000-8E66-4EFB-9A3F-CAB0FB001D82}"/>
            </c:ext>
          </c:extLst>
        </c:ser>
        <c:ser>
          <c:idx val="2"/>
          <c:order val="1"/>
          <c:tx>
            <c:strRef>
              <c:f>'Appendix A Figure A2'!$D$6</c:f>
              <c:strCache>
                <c:ptCount val="1"/>
                <c:pt idx="0">
                  <c:v>On-balance</c:v>
                </c:pt>
              </c:strCache>
            </c:strRef>
          </c:tx>
          <c:spPr>
            <a:solidFill>
              <a:srgbClr val="009D9A"/>
            </a:solidFill>
            <a:ln>
              <a:noFill/>
            </a:ln>
            <a:effectLst/>
          </c:spPr>
          <c:invertIfNegative val="0"/>
          <c:cat>
            <c:multiLvlStrRef>
              <c:f>'Appendix A Figure A2'!$A$7:$B$16</c:f>
              <c:multiLvlStrCache>
                <c:ptCount val="10"/>
                <c:lvl>
                  <c:pt idx="0">
                    <c:v>Shortage</c:v>
                  </c:pt>
                  <c:pt idx="1">
                    <c:v>No shortage</c:v>
                  </c:pt>
                  <c:pt idx="2">
                    <c:v>Shortage</c:v>
                  </c:pt>
                  <c:pt idx="3">
                    <c:v>No shortage</c:v>
                  </c:pt>
                  <c:pt idx="4">
                    <c:v>Shortage</c:v>
                  </c:pt>
                  <c:pt idx="5">
                    <c:v>No shortage</c:v>
                  </c:pt>
                  <c:pt idx="6">
                    <c:v>Shortage</c:v>
                  </c:pt>
                  <c:pt idx="7">
                    <c:v>No shortage</c:v>
                  </c:pt>
                  <c:pt idx="8">
                    <c:v>Shortage</c:v>
                  </c:pt>
                  <c:pt idx="9">
                    <c:v>No shortage</c:v>
                  </c:pt>
                </c:lvl>
                <c:lvl>
                  <c:pt idx="0">
                    <c:v>Skill Level 1</c:v>
                  </c:pt>
                  <c:pt idx="2">
                    <c:v>Skill Level 2</c:v>
                  </c:pt>
                  <c:pt idx="4">
                    <c:v>Skill Level 3</c:v>
                  </c:pt>
                  <c:pt idx="6">
                    <c:v>Skill Level 4</c:v>
                  </c:pt>
                  <c:pt idx="8">
                    <c:v>All occupations</c:v>
                  </c:pt>
                </c:lvl>
              </c:multiLvlStrCache>
            </c:multiLvlStrRef>
          </c:cat>
          <c:val>
            <c:numRef>
              <c:f>'Appendix A Figure A2'!$D$7:$D$16</c:f>
              <c:numCache>
                <c:formatCode>0%</c:formatCode>
                <c:ptCount val="10"/>
                <c:pt idx="0">
                  <c:v>0.14622641509433962</c:v>
                </c:pt>
                <c:pt idx="1">
                  <c:v>0.31367924528301888</c:v>
                </c:pt>
                <c:pt idx="2">
                  <c:v>6.5789473684210523E-2</c:v>
                </c:pt>
                <c:pt idx="3">
                  <c:v>0.30263157894736842</c:v>
                </c:pt>
                <c:pt idx="4">
                  <c:v>0.10775862068965517</c:v>
                </c:pt>
                <c:pt idx="5">
                  <c:v>0.43103448275862066</c:v>
                </c:pt>
                <c:pt idx="6">
                  <c:v>3.7558685446009391E-2</c:v>
                </c:pt>
                <c:pt idx="7">
                  <c:v>0.46948356807511737</c:v>
                </c:pt>
                <c:pt idx="8">
                  <c:v>0.10284035259549461</c:v>
                </c:pt>
                <c:pt idx="9">
                  <c:v>0.37120470127326149</c:v>
                </c:pt>
              </c:numCache>
            </c:numRef>
          </c:val>
          <c:extLst>
            <c:ext xmlns:c16="http://schemas.microsoft.com/office/drawing/2014/chart" uri="{C3380CC4-5D6E-409C-BE32-E72D297353CC}">
              <c16:uniqueId val="{00000001-8E66-4EFB-9A3F-CAB0FB001D82}"/>
            </c:ext>
          </c:extLst>
        </c:ser>
        <c:dLbls>
          <c:showLegendKey val="0"/>
          <c:showVal val="0"/>
          <c:showCatName val="0"/>
          <c:showSerName val="0"/>
          <c:showPercent val="0"/>
          <c:showBubbleSize val="0"/>
        </c:dLbls>
        <c:gapWidth val="200"/>
        <c:overlap val="100"/>
        <c:axId val="2098202080"/>
        <c:axId val="2098205440"/>
      </c:barChart>
      <c:catAx>
        <c:axId val="20982020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2098205440"/>
        <c:crosses val="autoZero"/>
        <c:auto val="1"/>
        <c:lblAlgn val="ctr"/>
        <c:lblOffset val="100"/>
        <c:noMultiLvlLbl val="0"/>
      </c:catAx>
      <c:valAx>
        <c:axId val="2098205440"/>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2098202080"/>
        <c:crosses val="autoZero"/>
        <c:crossBetween val="between"/>
        <c:majorUnit val="0.2"/>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'NEW Figs (P2 metrics) data'!$AK$3:$AK$917</cx:f>
        <cx:lvl ptCount="915" formatCode="0%">
          <cx:pt idx="0">0.63954934799599805</cx:pt>
          <cx:pt idx="1">0.7006863597576356</cx:pt>
          <cx:pt idx="2">0.62385691416201217</cx:pt>
          <cx:pt idx="3">0.63724959366683331</cx:pt>
          <cx:pt idx="4">0.47648257074620232</cx:pt>
          <cx:pt idx="5">0.51222357471039259</cx:pt>
          <cx:pt idx="6">0.31012749569536863</cx:pt>
          <cx:pt idx="7">0.6212259861077768</cx:pt>
          <cx:pt idx="8">0.29584693449574451</cx:pt>
          <cx:pt idx="9">0.27978727135462472</cx:pt>
          <cx:pt idx="10">0.63669620952462458</cx:pt>
          <cx:pt idx="11">0.54240347699824065</cx:pt>
          <cx:pt idx="12">0.51201928730217494</cx:pt>
          <cx:pt idx="13">0.58075619120938338</cx:pt>
          <cx:pt idx="14">0.52671598706883649</cx:pt>
          <cx:pt idx="15">0.52533312070087645</cx:pt>
          <cx:pt idx="16">0.41007753999355712</cx:pt>
          <cx:pt idx="17">0.65357980278996419</cx:pt>
          <cx:pt idx="18">0.5943733642939919</cx:pt>
          <cx:pt idx="19">0.67166327052427743</cx:pt>
          <cx:pt idx="20">0.62549967717402666</cx:pt>
          <cx:pt idx="21">0.54369048239896334</cx:pt>
          <cx:pt idx="22">0.5347915766463206</cx:pt>
          <cx:pt idx="23">0.67768594813636818</cx:pt>
          <cx:pt idx="24">0.65966867369019233</cx:pt>
          <cx:pt idx="25">0.60638703367846558</cx:pt>
          <cx:pt idx="26">0.44955248703177081</cx:pt>
          <cx:pt idx="27">0.50158099054837824</cx:pt>
          <cx:pt idx="28">0.44041824678493657</cx:pt>
          <cx:pt idx="29">0.5729273972057024</cx:pt>
          <cx:pt idx="30">0.51742602933994042</cx:pt>
          <cx:pt idx="31">0.46128117690178438</cx:pt>
          <cx:pt idx="32">0.50364351061090418</cx:pt>
          <cx:pt idx="33">0.72363980269268124</cx:pt>
          <cx:pt idx="34">0.45926942045574659</cx:pt>
          <cx:pt idx="35">0.52636882012346953</cx:pt>
          <cx:pt idx="36">0.56719936890582745</cx:pt>
          <cx:pt idx="37">0.62997014253783268</cx:pt>
          <cx:pt idx="38">0.5709746773885287</cx:pt>
          <cx:pt idx="39">0.6108864544358531</cx:pt>
          <cx:pt idx="40">0.74288235703178762</cx:pt>
          <cx:pt idx="41">0.30236542670932332</cx:pt>
          <cx:pt idx="42">0.49220214745132029</cx:pt>
          <cx:pt idx="43">0.65735874863849819</cx:pt>
          <cx:pt idx="44">0.54171003475020607</cx:pt>
          <cx:pt idx="45">0.62434640509932415</cx:pt>
          <cx:pt idx="46">0.5880589826733883</cx:pt>
          <cx:pt idx="47">0.44134056330025878</cx:pt>
          <cx:pt idx="48">0.62819017697837598</cx:pt>
          <cx:pt idx="49">0.64237548777726083</cx:pt>
          <cx:pt idx="50">0.65081472621440761</cx:pt>
          <cx:pt idx="51">0.63944843566542209</cx:pt>
          <cx:pt idx="52">0.55889836717090713</cx:pt>
          <cx:pt idx="53">0.66658823678763923</cx:pt>
          <cx:pt idx="54">0.5994639966097921</cx:pt>
          <cx:pt idx="55">0.33173918330402152</cx:pt>
          <cx:pt idx="56">0.53594986540735157</cx:pt>
          <cx:pt idx="57">0.71428818417148265</cx:pt>
          <cx:pt idx="58">0.5433759104406225</cx:pt>
          <cx:pt idx="59">0.53931793711025777</cx:pt>
          <cx:pt idx="60">0.64036055917454626</cx:pt>
          <cx:pt idx="61">0.63999915747482883</cx:pt>
          <cx:pt idx="62">0.60145554019501468</cx:pt>
          <cx:pt idx="63">0.56509835353464388</cx:pt>
          <cx:pt idx="64">0.51554891986198448</cx:pt>
          <cx:pt idx="65">0.5629727193548324</cx:pt>
          <cx:pt idx="66">0.4217424677033022</cx:pt>
          <cx:pt idx="67">0.57314144963272406</cx:pt>
          <cx:pt idx="68">0.39069310933506918</cx:pt>
          <cx:pt idx="69">0.30272236851158663</cx:pt>
          <cx:pt idx="70">0.47223109072511671</cx:pt>
          <cx:pt idx="71">0.62595915941546143</cx:pt>
          <cx:pt idx="72">0.47254720002795531</cx:pt>
          <cx:pt idx="73">0.46197211155480572</cx:pt>
          <cx:pt idx="74">0.51609449806198104</cx:pt>
          <cx:pt idx="75">0.46171787005338832</cx:pt>
          <cx:pt idx="76">0.46080913971188048</cx:pt>
          <cx:pt idx="77">0.57045185116863462</cx:pt>
          <cx:pt idx="78">0.47524609489115438</cx:pt>
          <cx:pt idx="79">0.36751645529555099</cx:pt>
          <cx:pt idx="80">0.45010749560988761</cx:pt>
          <cx:pt idx="81">0.53517778140076178</cx:pt>
          <cx:pt idx="82">0.45467018913029122</cx:pt>
          <cx:pt idx="83">0.76465922496848959</cx:pt>
          <cx:pt idx="84">0.32606666800092499</cx:pt>
          <cx:pt idx="85">0.52821643772108251</cx:pt>
          <cx:pt idx="86">0.7350278407273908</cx:pt>
          <cx:pt idx="87">0.55092307640511207</cx:pt>
          <cx:pt idx="88">0.69119472020955497</cx:pt>
          <cx:pt idx="89">0.46054759652995297</cx:pt>
          <cx:pt idx="90">0.63316696164988351</cx:pt>
          <cx:pt idx="91">0.48341153030595491</cx:pt>
          <cx:pt idx="92">0.69178876430011516</cx:pt>
          <cx:pt idx="93">0.60841402351269491</cx:pt>
          <cx:pt idx="94">0.66211394860707118</cx:pt>
          <cx:pt idx="95">0.6629665103226059</cx:pt>
          <cx:pt idx="96">0.35553418477846499</cx:pt>
          <cx:pt idx="97">0.62164383012700919</cx:pt>
          <cx:pt idx="98">0.54653597111388064</cx:pt>
          <cx:pt idx="99">0.37753927450034458</cx:pt>
          <cx:pt idx="100">0.60618598477850283</cx:pt>
          <cx:pt idx="101">0.47855855081438642</cx:pt>
          <cx:pt idx="102">0.43707468250990539</cx:pt>
          <cx:pt idx="103">0.61754900273076418</cx:pt>
          <cx:pt idx="104">0.66898729712937788</cx:pt>
          <cx:pt idx="105">0.69614797380907389</cx:pt>
          <cx:pt idx="106">0.60229527668971017</cx:pt>
          <cx:pt idx="107">0.57127760027913421</cx:pt>
          <cx:pt idx="108">0.70780345134546707</cx:pt>
          <cx:pt idx="109">0.63361859636491025</cx:pt>
          <cx:pt idx="110">0.68366240402753564</cx:pt>
          <cx:pt idx="111">0.68366240402753564</cx:pt>
          <cx:pt idx="112">0.68366240402753564</cx:pt>
          <cx:pt idx="113">0.48041437496369832</cx:pt>
          <cx:pt idx="114">0.62766996359163829</cx:pt>
          <cx:pt idx="115">0.69254173553049214</cx:pt>
          <cx:pt idx="116">0.60020116351836172</cx:pt>
          <cx:pt idx="117">0.67614923362668633</cx:pt>
          <cx:pt idx="118">0.70512658223188152</cx:pt>
          <cx:pt idx="119">0.64817701769712799</cx:pt>
          <cx:pt idx="120">0.50930007724555149</cx:pt>
          <cx:pt idx="121">0.70737716419893459</cx:pt>
          <cx:pt idx="122">0.7073771641989347</cx:pt>
          <cx:pt idx="123">0.68910540682074306</cx:pt>
          <cx:pt idx="124">0.39746590832045742</cx:pt>
          <cx:pt idx="125">0.85617383428789584</cx:pt>
          <cx:pt idx="126">0.46022634134071172</cx:pt>
          <cx:pt idx="127">0.62336504923516156</cx:pt>
          <cx:pt idx="128">0.60112978390289151</cx:pt>
          <cx:pt idx="129">0.51524047399113593</cx:pt>
          <cx:pt idx="130">0.60418855877867628</cx:pt>
          <cx:pt idx="131">0.54468197084714753</cx:pt>
          <cx:pt idx="132">0.51823666573452498</cx:pt>
          <cx:pt idx="133">0.48591937950307662</cx:pt>
          <cx:pt idx="134">0.54760257528432177</cx:pt>
          <cx:pt idx="135">0.41098645099817588</cx:pt>
          <cx:pt idx="136">0.49135469448870789</cx:pt>
          <cx:pt idx="137">0.40002983391729779</cx:pt>
          <cx:pt idx="138">0.28146173070856079</cx:pt>
          <cx:pt idx="139">0.41047476408858369</cx:pt>
          <cx:pt idx="140">0.51035890087105995</cx:pt>
          <cx:pt idx="141">0.54571929971396504</cx:pt>
          <cx:pt idx="142">0.30035054960098378</cx:pt>
          <cx:pt idx="143">0.47967156068362821</cx:pt>
          <cx:pt idx="144">0.30549218422733238</cx:pt>
          <cx:pt idx="145">0.401186968610864</cx:pt>
          <cx:pt idx="146">0.22786245239978531</cx:pt>
          <cx:pt idx="147">0.22067394367051371</cx:pt>
          <cx:pt idx="148">0.33821033470963541</cx:pt>
          <cx:pt idx="149">0.51148649711246974</cx:pt>
          <cx:pt idx="150">0.44630794627850828</cx:pt>
          <cx:pt idx="151">0.42218136573503612</cx:pt>
          <cx:pt idx="152">0.35448084919976142</cx:pt>
          <cx:pt idx="153">0.25624362465737588</cx:pt>
          <cx:pt idx="154">0.55169522624229084</cx:pt>
          <cx:pt idx="155">0.71184277516355388</cx:pt>
          <cx:pt idx="156">0.49403921454121691</cx:pt>
          <cx:pt idx="157">0.27083176683345273</cx:pt>
          <cx:pt idx="158">0.50781290480904351</cx:pt>
          <cx:pt idx="159">0.3704669355499795</cx:pt>
          <cx:pt idx="160">0.43080168818142772</cx:pt>
          <cx:pt idx="161">0.31662789981872203</cx:pt>
          <cx:pt idx="162">0.2940682879909795</cx:pt>
          <cx:pt idx="163">0.53032027796075532</cx:pt>
          <cx:pt idx="164">0.52935774007825231</cx:pt>
          <cx:pt idx="165">0.40638734129017751</cx:pt>
          <cx:pt idx="166">0.29752485277132812</cx:pt>
          <cx:pt idx="167">0.55963940877502261</cx:pt>
          <cx:pt idx="168">0.37685013350769042</cx:pt>
          <cx:pt idx="169">0.36932828374510379</cx:pt>
          <cx:pt idx="170">0.43515143903444231</cx:pt>
          <cx:pt idx="171">0.43695994000239458</cx:pt>
          <cx:pt idx="172">0.36812169031489672</cx:pt>
          <cx:pt idx="173">0.34564527822929247</cx:pt>
          <cx:pt idx="174">0.36793077620607822</cx:pt>
          <cx:pt idx="175">0.37133298258426761</cx:pt>
          <cx:pt idx="176">0.37791307214657388</cx:pt>
          <cx:pt idx="177">0.40233786408518007</cx:pt>
          <cx:pt idx="178">0.40233786408518007</cx:pt>
          <cx:pt idx="179">0.54600791137794813</cx:pt>
          <cx:pt idx="180">0.48948981568757888</cx:pt>
          <cx:pt idx="181">0.38502124822161221</cx:pt>
          <cx:pt idx="182">0.34341179655887211</cx:pt>
          <cx:pt idx="183">0.4363147055508641</cx:pt>
          <cx:pt idx="184">0.54396370215514556</cx:pt>
          <cx:pt idx="185">0.53236595720326263</cx:pt>
          <cx:pt idx="186">0.38602394599167889</cx:pt>
          <cx:pt idx="187">0.36143912866066691</cx:pt>
          <cx:pt idx="188">0.47329538713934399</cx:pt>
          <cx:pt idx="189">0.37300193804227622</cx:pt>
          <cx:pt idx="190">0.49734019517923211</cx:pt>
          <cx:pt idx="191">0.45995734731789178</cx:pt>
          <cx:pt idx="192">0.55186787459655773</cx:pt>
          <cx:pt idx="193">0.47382988210295229</cx:pt>
          <cx:pt idx="194">0.67026247224287572</cx:pt>
          <cx:pt idx="195">0.65888584608898448</cx:pt>
          <cx:pt idx="196">0.54189427228412324</cx:pt>
          <cx:pt idx="197">0</cx:pt>
          <cx:pt idx="198">0.67952730501499869</cx:pt>
          <cx:pt idx="199">0.41117212810773912</cx:pt>
          <cx:pt idx="200">0.41117212810773918</cx:pt>
          <cx:pt idx="201">0.44959521432875682</cx:pt>
          <cx:pt idx="202">0.44959521432875682</cx:pt>
          <cx:pt idx="203">0</cx:pt>
          <cx:pt idx="204">0.39162157524303798</cx:pt>
          <cx:pt idx="205">0.47866608899601948</cx:pt>
          <cx:pt idx="206">0.50041672719810748</cx:pt>
          <cx:pt idx="207">0.50041672719810748</cx:pt>
          <cx:pt idx="208">0.43836372980738092</cx:pt>
          <cx:pt idx="209">0.48816134148910889</cx:pt>
          <cx:pt idx="210">0.59930430148276093</cx:pt>
          <cx:pt idx="211">0.45540895528356579</cx:pt>
          <cx:pt idx="212">0.50829139365949882</cx:pt>
          <cx:pt idx="213">0.68293745536712747</cx:pt>
          <cx:pt idx="214">0.67717545862303008</cx:pt>
          <cx:pt idx="215">0.62495219248621303</cx:pt>
          <cx:pt idx="216">0.61700915750351082</cx:pt>
          <cx:pt idx="217">0.63506727069460012</cx:pt>
          <cx:pt idx="218">0.57093964528057017</cx:pt>
          <cx:pt idx="219">0.56938235071935306</cx:pt>
          <cx:pt idx="220">0.60500083113163072</cx:pt>
          <cx:pt idx="221">0.64488605455949577</cx:pt>
          <cx:pt idx="222">0.50014226790389327</cx:pt>
          <cx:pt idx="223">0.62203156448556529</cx:pt>
          <cx:pt idx="224">0.65241033677790061</cx:pt>
          <cx:pt idx="225">0.67408389300356208</cx:pt>
          <cx:pt idx="226">0.6104164485922432</cx:pt>
          <cx:pt idx="227">0.67779309067349458</cx:pt>
          <cx:pt idx="228">0.46326991448586619</cx:pt>
          <cx:pt idx="229">0.60495183331746805</cx:pt>
          <cx:pt idx="230">0.66202603506138014</cx:pt>
          <cx:pt idx="231">0.59703567658229806</cx:pt>
          <cx:pt idx="232">0.47228153300591752</cx:pt>
          <cx:pt idx="233">0.4458805187259865</cx:pt>
          <cx:pt idx="234">0.68343066848779255</cx:pt>
          <cx:pt idx="235">0.59766028139089877</cx:pt>
          <cx:pt idx="236">0.49224669474588972</cx:pt>
          <cx:pt idx="237">0.47761292322240589</cx:pt>
          <cx:pt idx="238">0.54448994986578425</cx:pt>
          <cx:pt idx="239">0.62446330778917725</cx:pt>
          <cx:pt idx="240">0.59753484417955616</cx:pt>
          <cx:pt idx="241">0.64545848988612697</cx:pt>
          <cx:pt idx="242">0.61480146301499927</cx:pt>
          <cx:pt idx="243">0.52766892146734568</cx:pt>
          <cx:pt idx="244">0.53657865030224883</cx:pt>
          <cx:pt idx="245">0.59922664123694924</cx:pt>
          <cx:pt idx="246">0.54714650493835326</cx:pt>
          <cx:pt idx="247">0.46393360568221931</cx:pt>
          <cx:pt idx="248">0.58648719332788091</cx:pt>
          <cx:pt idx="249">0.55759011165571559</cx:pt>
          <cx:pt idx="250">0.5195322319322504</cx:pt>
          <cx:pt idx="251">0.37950980748283503</cx:pt>
          <cx:pt idx="252">0.47140532184324502</cx:pt>
        </cx:lvl>
      </cx:numDim>
    </cx:data>
    <cx:data id="1">
      <cx:numDim type="val">
        <cx:f>'NEW Figs (P2 metrics) data'!$AL$3:$AL$917</cx:f>
        <cx:lvl ptCount="915" formatCode="0%">
          <cx:pt idx="0">0.8160828268929311</cx:pt>
          <cx:pt idx="1">0.75087388898820118</cx:pt>
          <cx:pt idx="2">0.73479112733493224</cx:pt>
          <cx:pt idx="3">0.74490203474018868</cx:pt>
          <cx:pt idx="4">0.8121803750903489</cx:pt>
          <cx:pt idx="5">0.80323909312424946</cx:pt>
          <cx:pt idx="6">0.83278727794705087</cx:pt>
          <cx:pt idx="7">0.80999799806255524</cx:pt>
          <cx:pt idx="8">0.84547386929941593</cx:pt>
          <cx:pt idx="9">0.77602273509003761</cx:pt>
          <cx:pt idx="10">0.78964480706059148</cx:pt>
          <cx:pt idx="11">0.79752045562437546</cx:pt>
          <cx:pt idx="12">0.7707461738297624</cx:pt>
          <cx:pt idx="13">0.78611093924797315</cx:pt>
          <cx:pt idx="14">0.71106444599076157</cx:pt>
          <cx:pt idx="15">0.79069760283389412</cx:pt>
          <cx:pt idx="16">0.61723955344485326</cx:pt>
          <cx:pt idx="17">0.79467128777299789</cx:pt>
          <cx:pt idx="18">0.83608687063271614</cx:pt>
          <cx:pt idx="19">0.83374656955827664</cx:pt>
          <cx:pt idx="20">0.83500225593610933</cx:pt>
          <cx:pt idx="21">0.79467128777299789</cx:pt>
          <cx:pt idx="22">0.71635223387063673</cx:pt>
          <cx:pt idx="23">0.82266584041912172</cx:pt>
          <cx:pt idx="24">0.81375717113003687</cx:pt>
          <cx:pt idx="25">0.81434153945655352</cx:pt>
          <cx:pt idx="26">0.72412255001691539</cx:pt>
          <cx:pt idx="27">0.74434187403231156</cx:pt>
          <cx:pt idx="28">0.75228421458930761</cx:pt>
          <cx:pt idx="29">0.76325780201623405</cx:pt>
          <cx:pt idx="30">0.81160747591457716</cx:pt>
          <cx:pt idx="31">0.7884979237762948</cx:pt>
          <cx:pt idx="32">0.83346914481696222</cx:pt>
          <cx:pt idx="33">0.76899309636387903</cx:pt>
          <cx:pt idx="34">0.8136569060061033</cx:pt>
          <cx:pt idx="35">0.77663911596572577</cx:pt>
          <cx:pt idx="36">0.6684007927385226</cx:pt>
          <cx:pt idx="37">0.69363058227610985</cx:pt>
          <cx:pt idx="38">0.79111498125109914</cx:pt>
          <cx:pt idx="39">0.79189329773438533</cx:pt>
          <cx:pt idx="40">0.78610639214346412</cx:pt>
          <cx:pt idx="41">0.66823110283952092</cx:pt>
          <cx:pt idx="42">0.76511827018214917</cx:pt>
          <cx:pt idx="43">0.77301152414873675</cx:pt>
          <cx:pt idx="44">0.77565993385391374</cx:pt>
          <cx:pt idx="45">0.78540054722726327</cx:pt>
          <cx:pt idx="46">0.71535110688613257</cx:pt>
          <cx:pt idx="47">0.79116565106540349</cx:pt>
          <cx:pt idx="48">0.75812713360685269</cx:pt>
          <cx:pt idx="49">0.74507608193940322</cx:pt>
          <cx:pt idx="50">0.72339361341890274</cx:pt>
          <cx:pt idx="51">0.80711926735554473</cx:pt>
          <cx:pt idx="52">0.86199817203396478</cx:pt>
          <cx:pt idx="53">0.81104735418642715</cx:pt>
          <cx:pt idx="54">0.85468560025469253</cx:pt>
          <cx:pt idx="55">0.7981593343931902</cx:pt>
          <cx:pt idx="56">0.71449872049652652</cx:pt>
          <cx:pt idx="57">0.83695824507691685</cx:pt>
          <cx:pt idx="58">0.7839139136535469</cx:pt>
          <cx:pt idx="59">0.7724448428708669</cx:pt>
          <cx:pt idx="60">0.62928591974276205</cx:pt>
          <cx:pt idx="61">0.72826926301642114</cx:pt>
          <cx:pt idx="62">0.78284393001989805</cx:pt>
          <cx:pt idx="63">0.76080340457372697</cx:pt>
          <cx:pt idx="64">0.76080340457372697</cx:pt>
          <cx:pt idx="65">0.66335197508617627</cx:pt>
          <cx:pt idx="66">0.73497425249545356</cx:pt>
          <cx:pt idx="67">0.70489038665326198</cx:pt>
          <cx:pt idx="68">0.74937304632001478</cx:pt>
          <cx:pt idx="69">0.72921040436640427</cx:pt>
          <cx:pt idx="70">0.73594338218693967</cx:pt>
          <cx:pt idx="71">0.75719378108815838</cx:pt>
          <cx:pt idx="72">0.5984815040195296</cx:pt>
          <cx:pt idx="73">0.72457897930448589</cx:pt>
          <cx:pt idx="74">0.71459447676664289</cx:pt>
          <cx:pt idx="75">0.71278976374113012</cx:pt>
          <cx:pt idx="76">0.63961585733048198</cx:pt>
          <cx:pt idx="77">0.78326263403245211</cx:pt>
          <cx:pt idx="78">0.67666605397922286</cx:pt>
          <cx:pt idx="79">0.78629595260645668</cx:pt>
          <cx:pt idx="80">0.798725329079085</cx:pt>
          <cx:pt idx="81">0.78525127348955492</cx:pt>
          <cx:pt idx="82">0.79440711184976265</cx:pt>
          <cx:pt idx="83">0.83645892406345479</cx:pt>
          <cx:pt idx="84">0.81316893251793176</cx:pt>
          <cx:pt idx="85">0.6463942248397343</cx:pt>
          <cx:pt idx="86">0.77822442669199554</cx:pt>
          <cx:pt idx="87">0.62771403916646906</cx:pt>
          <cx:pt idx="88">0.74046916860510503</cx:pt>
          <cx:pt idx="89">0.65727161809185231</cx:pt>
          <cx:pt idx="90">0.84681437861805298</cx:pt>
          <cx:pt idx="91">0.79623857832024381</cx:pt>
          <cx:pt idx="92">0.69144334394926821</cx:pt>
          <cx:pt idx="93">0.76061870346175109</cx:pt>
          <cx:pt idx="94">0.68601892005085729</cx:pt>
          <cx:pt idx="95">0.69913967787079168</cx:pt>
          <cx:pt idx="96">0.75183919890571449</cx:pt>
          <cx:pt idx="97">0.74455435570934625</cx:pt>
          <cx:pt idx="98">0.48296744765723038</cx:pt>
          <cx:pt idx="99">0.62433649020897231</cx:pt>
          <cx:pt idx="100">0.65844829655234116</cx:pt>
          <cx:pt idx="101">0.6895996035745664</cx:pt>
          <cx:pt idx="102">0.62157882349510796</cx:pt>
          <cx:pt idx="103">0.70075057161469356</cx:pt>
          <cx:pt idx="104">0.82053403215903997</cx:pt>
          <cx:pt idx="105">0.80397720645587556</cx:pt>
          <cx:pt idx="106">0.79705383584647238</cx:pt>
          <cx:pt idx="107">0.71795074288797089</cx:pt>
          <cx:pt idx="108">0.6449155605704856</cx:pt>
          <cx:pt idx="109">0.77257672117160614</cx:pt>
          <cx:pt idx="110">0.74521555090750136</cx:pt>
          <cx:pt idx="111">0.75807301520265613</cx:pt>
          <cx:pt idx="112">0.8270525780408251</cx:pt>
          <cx:pt idx="113">0.83685185827759678</cx:pt>
          <cx:pt idx="114">0.69190748656887524</cx:pt>
          <cx:pt idx="115">0.69484795058671511</cx:pt>
          <cx:pt idx="116">0.58731004424449995</cx:pt>
          <cx:pt idx="117">0.68066354026158238</cx:pt>
          <cx:pt idx="118">0.65127453760648324</cx:pt>
          <cx:pt idx="119">0.71326167294534226</cx:pt>
          <cx:pt idx="120">0.82662467991072064</cx:pt>
          <cx:pt idx="121">0.7946465356645579</cx:pt>
          <cx:pt idx="122">0.66387989572153983</cx:pt>
          <cx:pt idx="123">0.77289367252859786</cx:pt>
          <cx:pt idx="124">0.81905513586615697</cx:pt>
          <cx:pt idx="125">0.75531869863508283</cx:pt>
          <cx:pt idx="126">0.73025456314353199</cx:pt>
          <cx:pt idx="127">0.80209922366886111</cx:pt>
          <cx:pt idx="128">0.72544149263289415</cx:pt>
          <cx:pt idx="129">0.70529985097156911</cx:pt>
          <cx:pt idx="130">0.76138489036814327</cx:pt>
          <cx:pt idx="131">0.70246631486119426</cx:pt>
          <cx:pt idx="132">0.71394719040026511</cx:pt>
          <cx:pt idx="133">0.63598402347819183</cx:pt>
          <cx:pt idx="134">0.62162680931674219</cx:pt>
          <cx:pt idx="135">0.69484313235316209</cx:pt>
          <cx:pt idx="136">0.69135642102122008</cx:pt>
          <cx:pt idx="137">0.61786748180018747</cx:pt>
          <cx:pt idx="138">0.75127335192823197</cx:pt>
          <cx:pt idx="139">0.74387612063291475</cx:pt>
          <cx:pt idx="140">0.72035475693491413</cx:pt>
          <cx:pt idx="141">0.72675284722343825</cx:pt>
          <cx:pt idx="142">0.82145189098672577</cx:pt>
          <cx:pt idx="143">0.71130811053425591</cx:pt>
          <cx:pt idx="144">0.64264718426477341</cx:pt>
          <cx:pt idx="145">0.75000653146087315</cx:pt>
          <cx:pt idx="146">0.63008452470401166</cx:pt>
          <cx:pt idx="147">0.6326957959840952</cx:pt>
          <cx:pt idx="148">0.76005264034250331</cx:pt>
          <cx:pt idx="149">0.76005264034250331</cx:pt>
          <cx:pt idx="150">0.76005264034250331</cx:pt>
          <cx:pt idx="151">0.68682686777234803</cx:pt>
          <cx:pt idx="152">0.73562200389638643</cx:pt>
          <cx:pt idx="153">0.80608898841730714</cx:pt>
          <cx:pt idx="154">0.79295522923531325</cx:pt>
          <cx:pt idx="155">0.58861860404717448</cx:pt>
          <cx:pt idx="156">0.6909619767077666</cx:pt>
          <cx:pt idx="157">0.83088941440559183</cx:pt>
          <cx:pt idx="158">0.68589734879539543</cx:pt>
          <cx:pt idx="159">0.66366430402340748</cx:pt>
          <cx:pt idx="160">0.88016129216290218</cx:pt>
          <cx:pt idx="161">0.81052032914653505</cx:pt>
          <cx:pt idx="162">0.83696111626917569</cx:pt>
          <cx:pt idx="163">0.83696111626917569</cx:pt>
          <cx:pt idx="164">0.73082644515552342</cx:pt>
          <cx:pt idx="165">0.81226857871490032</cx:pt>
          <cx:pt idx="166">0.79283231012450928</cx:pt>
          <cx:pt idx="167">0.79299323772977559</cx:pt>
          <cx:pt idx="168">0.83174995860512813</cx:pt>
          <cx:pt idx="169">0.66561920028298094</cx:pt>
          <cx:pt idx="170">0.78816784764338077</cx:pt>
          <cx:pt idx="171">0.77846143857850103</cx:pt>
          <cx:pt idx="172">0.77846143857850103</cx:pt>
          <cx:pt idx="173">0.78816784764338088</cx:pt>
          <cx:pt idx="174">0.77772644741248054</cx:pt>
          <cx:pt idx="175">0.76797352220160264</cx:pt>
          <cx:pt idx="176">0.72206457430844606</cx:pt>
          <cx:pt idx="177">0.81817881840750717</cx:pt>
          <cx:pt idx="178">0.65333110280477114</cx:pt>
          <cx:pt idx="179">0.65888842153683747</cx:pt>
          <cx:pt idx="180">0.63230090040347531</cx:pt>
          <cx:pt idx="181">0.75361861958270282</cx:pt>
          <cx:pt idx="182">0.66244478307949639</cx:pt>
          <cx:pt idx="183">0.67876906013407556</cx:pt>
          <cx:pt idx="184">0.59302352480291964</cx:pt>
          <cx:pt idx="185">0.70811498725910382</cx:pt>
          <cx:pt idx="186">0.73332881467921673</cx:pt>
          <cx:pt idx="187">0.79248627629718271</cx:pt>
          <cx:pt idx="188">0.86243574498607389</cx:pt>
          <cx:pt idx="189">0.77542589664872541</cx:pt>
          <cx:pt idx="190">0.84373334078359874</cx:pt>
          <cx:pt idx="191">0.73210319043372063</cx:pt>
          <cx:pt idx="192">0.75628496714647542</cx:pt>
          <cx:pt idx="193">0.67988210888663902</cx:pt>
          <cx:pt idx="194">0.51331934079627972</cx:pt>
          <cx:pt idx="195">0.50379194012034079</cx:pt>
          <cx:pt idx="196">0.69736562634091215</cx:pt>
          <cx:pt idx="197">0.65177554679934968</cx:pt>
          <cx:pt idx="198">0.7037085488357343</cx:pt>
          <cx:pt idx="199">0.60221218293052314</cx:pt>
          <cx:pt idx="200">0.70527776135888232</cx:pt>
          <cx:pt idx="201">0.75600414500676305</cx:pt>
          <cx:pt idx="202">0.63749065998080667</cx:pt>
          <cx:pt idx="203">0.5950147652673432</cx:pt>
          <cx:pt idx="204">0.76455150788064385</cx:pt>
          <cx:pt idx="205">0.70757095709337836</cx:pt>
          <cx:pt idx="206">0.7250040528223618</cx:pt>
          <cx:pt idx="207">0.66736996798139359</cx:pt>
          <cx:pt idx="208">0.60329343830598225</cx:pt>
          <cx:pt idx="209">0.52880595136936526</cx:pt>
          <cx:pt idx="210">0.76095282367244554</cx:pt>
          <cx:pt idx="211">0.61190720237852558</cx:pt>
          <cx:pt idx="212">0.61455638710331184</cx:pt>
          <cx:pt idx="213">0.76751486772804922</cx:pt>
          <cx:pt idx="214">0.69357151714643173</cx:pt>
          <cx:pt idx="215">0.69357151714643173</cx:pt>
          <cx:pt idx="216">0.69614232042971547</cx:pt>
          <cx:pt idx="217">0.80249885008606803</cx:pt>
          <cx:pt idx="218">0.80051338418165374</cx:pt>
          <cx:pt idx="219">0.68500751394974346</cx:pt>
          <cx:pt idx="220">0.64022601794498968</cx:pt>
          <cx:pt idx="221">0.65182882933781483</cx:pt>
          <cx:pt idx="222">0.80051338418165374</cx:pt>
          <cx:pt idx="223">0.73819545018957566</cx:pt>
          <cx:pt idx="224">0.78397805823905531</cx:pt>
          <cx:pt idx="225">0.81767153936708992</cx:pt>
          <cx:pt idx="226">0.70950647387769772</cx:pt>
          <cx:pt idx="227">0.71211840462253906</cx:pt>
          <cx:pt idx="228">0.66886009933882418</cx:pt>
          <cx:pt idx="229">0.68095398394760864</cx:pt>
          <cx:pt idx="230">0.5842389033611054</cx:pt>
          <cx:pt idx="231">0.64720685730858607</cx:pt>
          <cx:pt idx="232">0.7810353869419463</cx:pt>
          <cx:pt idx="233">0.67804709677306074</cx:pt>
          <cx:pt idx="234">0.84525796806384634</cx:pt>
          <cx:pt idx="235">0.79183843007699417</cx:pt>
          <cx:pt idx="236">0.74387194008284563</cx:pt>
          <cx:pt idx="237">0.76261553849381314</cx:pt>
          <cx:pt idx="238">0.56772972737232041</cx:pt>
          <cx:pt idx="239">0.72377030128461006</cx:pt>
          <cx:pt idx="240">0.73387592472896668</cx:pt>
          <cx:pt idx="241">0.72129954981302968</cx:pt>
          <cx:pt idx="242">0.64883518663063788</cx:pt>
          <cx:pt idx="243">0.59780215516370716</cx:pt>
          <cx:pt idx="244">0.6695324507950674</cx:pt>
          <cx:pt idx="245">0.67546225436944585</cx:pt>
          <cx:pt idx="246">0.71352551408700338</cx:pt>
          <cx:pt idx="247">0.48293885065194547</cx:pt>
          <cx:pt idx="248">0.67481711525434418</cx:pt>
          <cx:pt idx="249">0.70858178638005265</cx:pt>
          <cx:pt idx="250">0.69966176626352283</cx:pt>
          <cx:pt idx="251">0.76851201618654763</cx:pt>
          <cx:pt idx="252">0.75814871301827436</cx:pt>
          <cx:pt idx="253">0.79819202317950255</cx:pt>
          <cx:pt idx="254">0.72881811170717659</cx:pt>
          <cx:pt idx="255">0.76744070273652343</cx:pt>
          <cx:pt idx="256">0.68273141101885315</cx:pt>
          <cx:pt idx="257">0.72685409635161446</cx:pt>
          <cx:pt idx="258">0.77911110266231987</cx:pt>
          <cx:pt idx="259">0.74010301853761662</cx:pt>
          <cx:pt idx="260">0.74533957352115632</cx:pt>
          <cx:pt idx="261">0.76395435404957257</cx:pt>
          <cx:pt idx="262">0.7824824865769725</cx:pt>
          <cx:pt idx="263">0.81360665515403863</cx:pt>
          <cx:pt idx="264">0.70291765996016242</cx:pt>
          <cx:pt idx="265">0.72500749508961948</cx:pt>
          <cx:pt idx="266">0.65236988579234745</cx:pt>
          <cx:pt idx="267">0.70780345134546707</cx:pt>
          <cx:pt idx="268">0.63361859636491025</cx:pt>
          <cx:pt idx="269">0.70780345134546707</cx:pt>
          <cx:pt idx="270">0.69613734228725843</cx:pt>
          <cx:pt idx="271">0.74493222165079997</cx:pt>
          <cx:pt idx="272">0.76824009106390001</cx:pt>
          <cx:pt idx="273">0.68366240402753564</cx:pt>
          <cx:pt idx="274">0.68366240402753564</cx:pt>
          <cx:pt idx="275">0.70634808394619841</cx:pt>
          <cx:pt idx="276">0.75706419121629431</cx:pt>
          <cx:pt idx="277">0.72566583541949803</cx:pt>
          <cx:pt idx="278">0.68068977464386515</cx:pt>
          <cx:pt idx="279">0.74106634473862532</cx:pt>
          <cx:pt idx="280">0.80103082095724598</cx:pt>
          <cx:pt idx="281">0.78248248657697272</cx:pt>
          <cx:pt idx="282">0.70794416949018679</cx:pt>
          <cx:pt idx="283">0.79864373978672953</cx:pt>
          <cx:pt idx="284">0.55072692507041476</cx:pt>
          <cx:pt idx="285">0.51539544830183492</cx:pt>
          <cx:pt idx="286">0.6507709097468023</cx:pt>
          <cx:pt idx="287">0.7605007730076413</cx:pt>
          <cx:pt idx="288">0.7643095546117683</cx:pt>
          <cx:pt idx="289">0.77626164166049372</cx:pt>
          <cx:pt idx="290">0.71970773367772534</cx:pt>
          <cx:pt idx="291">0.64455406881124122</cx:pt>
          <cx:pt idx="292">0.60998145221516342</cx:pt>
          <cx:pt idx="293">0.82483277633074537</cx:pt>
          <cx:pt idx="294">0.36602409312522888</cx:pt>
          <cx:pt idx="295">0.56944980765631859</cx:pt>
          <cx:pt idx="296">0.26763270744440582</cx:pt>
          <cx:pt idx="297">0.72947778173981737</cx:pt>
          <cx:pt idx="298">0.72677975361989988</cx:pt>
          <cx:pt idx="299">0.80012346944897306</cx:pt>
          <cx:pt idx="300">0.76463134353999795</cx:pt>
          <cx:pt idx="301">0.7073771641989347</cx:pt>
          <cx:pt idx="302">0.7073771641989347</cx:pt>
          <cx:pt idx="303">0.80819667902672221</cx:pt>
          <cx:pt idx="304">0.61189263415615835</cx:pt>
          <cx:pt idx="305">0.71705173589081805</cx:pt>
          <cx:pt idx="306">0.68566750707768942</cx:pt>
          <cx:pt idx="307">0.74924794241139236</cx:pt>
          <cx:pt idx="308">0.77295435268491164</cx:pt>
          <cx:pt idx="309">0.77295435268491164</cx:pt>
          <cx:pt idx="310">0.67503912660548171</cx:pt>
          <cx:pt idx="311">0.74069203300489939</cx:pt>
          <cx:pt idx="312">0.55649053110965063</cx:pt>
          <cx:pt idx="313">0.55649053110965063</cx:pt>
          <cx:pt idx="314">0.77515510774008278</cx:pt>
          <cx:pt idx="315">0.71167339312461231</cx:pt>
          <cx:pt idx="316">0.7428757682207503</cx:pt>
          <cx:pt idx="317">0.71694932096147457</cx:pt>
          <cx:pt idx="318">0.69221933611004849</cx:pt>
          <cx:pt idx="319">0.69161103828526316</cx:pt>
          <cx:pt idx="320">0.70679505258850139</cx:pt>
          <cx:pt idx="321">0.51906042993356039</cx:pt>
          <cx:pt idx="322">0.70995766736028632</cx:pt>
          <cx:pt idx="323">0.782757817568843</cx:pt>
          <cx:pt idx="324">0.63913244354222332</cx:pt>
          <cx:pt idx="325">0.54230730784194325</cx:pt>
          <cx:pt idx="326">0.72035622794661913</cx:pt>
          <cx:pt idx="327">0.64038327265314265</cx:pt>
          <cx:pt idx="328">0.70661686746174368</cx:pt>
          <cx:pt idx="329">0.67847849107984382</cx:pt>
          <cx:pt idx="330">0.67847849107984382</cx:pt>
          <cx:pt idx="331">0.7552307795241775</cx:pt>
          <cx:pt idx="332">0.88814378391692339</cx:pt>
          <cx:pt idx="333">0.73977099303297744</cx:pt>
          <cx:pt idx="334">0.71275069555765502</cx:pt>
          <cx:pt idx="335">0.51537204014984361</cx:pt>
          <cx:pt idx="336">0.73395821393564176</cx:pt>
          <cx:pt idx="337">0.75327753860422397</cx:pt>
          <cx:pt idx="338">0.603381915923204</cx:pt>
          <cx:pt idx="339">0.51665194073856135</cx:pt>
          <cx:pt idx="340">0.48699858731419698</cx:pt>
          <cx:pt idx="341">0.54208210861959261</cx:pt>
          <cx:pt idx="342">0.36910676158650069</cx:pt>
          <cx:pt idx="343">0.47804293861401159</cx:pt>
          <cx:pt idx="344">0.43310073049222142</cx:pt>
          <cx:pt idx="345">0.53602041182742932</cx:pt>
          <cx:pt idx="346">0.55966631583194393</cx:pt>
          <cx:pt idx="347">0.7220464696621568</cx:pt>
          <cx:pt idx="348">0.56043000585689062</cx:pt>
          <cx:pt idx="349">0.57578122772998219</cx:pt>
          <cx:pt idx="350">0.7381200647681958</cx:pt>
          <cx:pt idx="351">0.61840679432652002</cx:pt>
          <cx:pt idx="352">0.48315590126518582</cx:pt>
          <cx:pt idx="353">0.69767115074841224</cx:pt>
          <cx:pt idx="354">0.613665801292547</cx:pt>
          <cx:pt idx="355">0.66716707527858077</cx:pt>
          <cx:pt idx="356">0.66301118423272187</cx:pt>
          <cx:pt idx="357">0.55434451158547016</cx:pt>
          <cx:pt idx="358">0.67952730501499869</cx:pt>
          <cx:pt idx="359">0.76108100255611744</cx:pt>
          <cx:pt idx="360">0.72555971439211209</cx:pt>
          <cx:pt idx="361">0</cx:pt>
          <cx:pt idx="362">0</cx:pt>
          <cx:pt idx="363">0</cx:pt>
          <cx:pt idx="364">0</cx:pt>
          <cx:pt idx="365">0</cx:pt>
          <cx:pt idx="366">0</cx:pt>
          <cx:pt idx="367">0</cx:pt>
          <cx:pt idx="368">0</cx:pt>
          <cx:pt idx="369">0</cx:pt>
          <cx:pt idx="370">0</cx:pt>
          <cx:pt idx="371">0</cx:pt>
          <cx:pt idx="372">0</cx:pt>
          <cx:pt idx="373">0</cx:pt>
          <cx:pt idx="374">0.59804490615375538</cx:pt>
          <cx:pt idx="375">0.51053509892683768</cx:pt>
          <cx:pt idx="376">0.41485063943999329</cx:pt>
          <cx:pt idx="377">0.47631800814264841</cx:pt>
          <cx:pt idx="378">0.44290448009784689</cx:pt>
          <cx:pt idx="379">0.48127722384096289</cx:pt>
          <cx:pt idx="380">0.59130049365668103</cx:pt>
          <cx:pt idx="381">0.57217416877403604</cx:pt>
          <cx:pt idx="382">0.54230617054000696</cx:pt>
          <cx:pt idx="383">0.47098314180048478</cx:pt>
          <cx:pt idx="384">0.449358070537764</cx:pt>
          <cx:pt idx="385">0.55293270769050329</cx:pt>
          <cx:pt idx="386">0.2630010074116223</cx:pt>
          <cx:pt idx="387">0.64538342465894805</cx:pt>
          <cx:pt idx="388">0.45459861546767538</cx:pt>
          <cx:pt idx="389">0.53127970688369797</cx:pt>
          <cx:pt idx="390">0.66279058691067028</cx:pt>
          <cx:pt idx="391">0.46122758318325152</cx:pt>
          <cx:pt idx="392">0.45254148157278951</cx:pt>
          <cx:pt idx="393">0.36286865985381223</cx:pt>
          <cx:pt idx="394">0.57573008012541471</cx:pt>
          <cx:pt idx="395">0.57807811273165022</cx:pt>
          <cx:pt idx="396">0.60050351449691919</cx:pt>
          <cx:pt idx="397">0.68503499522859468</cx:pt>
          <cx:pt idx="398">0.79829251174445548</cx:pt>
          <cx:pt idx="399">0.50076154369795867</cx:pt>
          <cx:pt idx="400">0.5419642623559402</cx:pt>
          <cx:pt idx="401">0.42853130721515792</cx:pt>
          <cx:pt idx="402">0.51392900255125717</cx:pt>
          <cx:pt idx="403">0.56664400628354472</cx:pt>
          <cx:pt idx="404">0.42454006644011483</cx:pt>
          <cx:pt idx="405">0.47348967491440419</cx:pt>
          <cx:pt idx="406">0.51458806551223957</cx:pt>
          <cx:pt idx="407">0.58423436376323279</cx:pt>
          <cx:pt idx="408">0.7517192064961975</cx:pt>
          <cx:pt idx="409">0.51498770191112997</cx:pt>
          <cx:pt idx="410">0.46379528981170681</cx:pt>
          <cx:pt idx="411">0.69250445911954017</cx:pt>
          <cx:pt idx="412">0.76791065229668254</cx:pt>
          <cx:pt idx="413">0.69981397857239458</cx:pt>
          <cx:pt idx="414">0.62856068099068274</cx:pt>
          <cx:pt idx="415">0.77838029644598283</cx:pt>
          <cx:pt idx="416">0.71470408943782249</cx:pt>
          <cx:pt idx="417">0.81798863325965288</cx:pt>
          <cx:pt idx="418">0.70253551958482852</cx:pt>
          <cx:pt idx="419">0.58766892955645467</cx:pt>
          <cx:pt idx="420">0.69581374748377145</cx:pt>
          <cx:pt idx="421">0.65824338187172959</cx:pt>
          <cx:pt idx="422">0.67527019692788148</cx:pt>
          <cx:pt idx="423">0.60695891067683683</cx:pt>
          <cx:pt idx="424">0.78552987217251824</cx:pt>
          <cx:pt idx="425">0.73698483966549855</cx:pt>
          <cx:pt idx="426">0.64221676658343085</cx:pt>
          <cx:pt idx="427">0.73386450316444252</cx:pt>
          <cx:pt idx="428">0.86081053947811104</cx:pt>
          <cx:pt idx="429">0.60695989111409054</cx:pt>
          <cx:pt idx="430">0.62113317393811684</cx:pt>
          <cx:pt idx="431">0.85063947112104366</cx:pt>
          <cx:pt idx="432">0.61673721788239078</cx:pt>
          <cx:pt idx="433">0.61796840401630992</cx:pt>
          <cx:pt idx="434">0.6722823517959875</cx:pt>
          <cx:pt idx="435">0.72018183349793685</cx:pt>
          <cx:pt idx="436">0.72192373197960835</cx:pt>
          <cx:pt idx="437">0.5943546329638425</cx:pt>
          <cx:pt idx="438">0.77464914932818174</cx:pt>
          <cx:pt idx="439">0.67972812316235076</cx:pt>
          <cx:pt idx="440">0.60267598578276238</cx:pt>
          <cx:pt idx="441">0.47581514284944021</cx:pt>
          <cx:pt idx="442">0.87424934908891561</cx:pt>
          <cx:pt idx="443">0.2827980097307769</cx:pt>
          <cx:pt idx="444">0.59656101772159664</cx:pt>
          <cx:pt idx="445">0.8049509489684602</cx:pt>
          <cx:pt idx="446">0.65877582586383654</cx:pt>
          <cx:pt idx="447">0.59495970656288388</cx:pt>
          <cx:pt idx="448">0.61259651204588994</cx:pt>
          <cx:pt idx="449">0.60330800491244552</cx:pt>
          <cx:pt idx="450">0.57639365527805508</cx:pt>
          <cx:pt idx="451">0.67849058283813524</cx:pt>
          <cx:pt idx="452">0.73808308514771914</cx:pt>
          <cx:pt idx="453">0.68424844009477048</cx:pt>
          <cx:pt idx="454">0.65061627882482553</cx:pt>
          <cx:pt idx="455">0.66779801591748977</cx:pt>
          <cx:pt idx="456">0.6564003602355869</cx:pt>
          <cx:pt idx="457">0.64104342522448299</cx:pt>
          <cx:pt idx="458">0.62010449853169303</cx:pt>
          <cx:pt idx="459">0.6693998955724122</cx:pt>
          <cx:pt idx="460">0.64934680419790958</cx:pt>
          <cx:pt idx="461">0.72078881607259138</cx:pt>
          <cx:pt idx="462">0.69987816600797981</cx:pt>
          <cx:pt idx="463">0.60895662592620625</cx:pt>
          <cx:pt idx="464">0.50536735897569651</cx:pt>
          <cx:pt idx="465">0.69355358693115832</cx:pt>
          <cx:pt idx="466">0.6341056509033749</cx:pt>
          <cx:pt idx="467">0.63994177489990645</cx:pt>
          <cx:pt idx="468">0.54535877100607233</cx:pt>
          <cx:pt idx="469">0.64684863363183387</cx:pt>
          <cx:pt idx="470">0.66492693531095337</cx:pt>
          <cx:pt idx="471">0.65740295820242456</cx:pt>
          <cx:pt idx="472">0.78781319847295139</cx:pt>
          <cx:pt idx="473">0.65827742393626831</cx:pt>
          <cx:pt idx="474">0.66874284041943255</cx:pt>
          <cx:pt idx="475">0.47976901893846369</cx:pt>
          <cx:pt idx="476">0.66367853476405037</cx:pt>
          <cx:pt idx="477">0.59430378288684482</cx:pt>
          <cx:pt idx="478">0.66856912817761505</cx:pt>
          <cx:pt idx="479">0.82073037443016927</cx:pt>
          <cx:pt idx="480">0.80433142383570655</cx:pt>
          <cx:pt idx="481">0.75046341915012271</cx:pt>
          <cx:pt idx="482">0.73350662629117414</cx:pt>
          <cx:pt idx="483">0.84173935913347353</cx:pt>
          <cx:pt idx="484">0.84119380510838593</cx:pt>
          <cx:pt idx="485">0.65922911587007527</cx:pt>
          <cx:pt idx="486">0.87349238294287845</cx:pt>
          <cx:pt idx="487">0.89693417358991556</cx:pt>
          <cx:pt idx="488">0.73486497776815629</cx:pt>
          <cx:pt idx="489">0.86126998980705594</cx:pt>
          <cx:pt idx="490">0.78463651927502664</cx:pt>
          <cx:pt idx="491">0.80950328943396666</cx:pt>
          <cx:pt idx="492">0.76097262886547479</cx:pt>
          <cx:pt idx="493">0.83989487309778543</cx:pt>
          <cx:pt idx="494">0.81931254821693855</cx:pt>
          <cx:pt idx="495">0.77561160632587767</cx:pt>
          <cx:pt idx="496">0.83232463467172824</cx:pt>
          <cx:pt idx="497">0.84977697549427489</cx:pt>
          <cx:pt idx="498">0.81689681882594456</cx:pt>
          <cx:pt idx="499">0.76521078569994927</cx:pt>
          <cx:pt idx="500">0.74821531744392755</cx:pt>
          <cx:pt idx="501">0.84747297900196961</cx:pt>
          <cx:pt idx="502">0.850959407302886</cx:pt>
          <cx:pt idx="503">0.68453606435902992</cx:pt>
          <cx:pt idx="504">0.64524946287272889</cx:pt>
          <cx:pt idx="505">0.74983408850231881</cx:pt>
          <cx:pt idx="506">0.68227579633455937</cx:pt>
          <cx:pt idx="507">0.7276763346003815</cx:pt>
          <cx:pt idx="508">0.75816545279398517</cx:pt>
          <cx:pt idx="509">0.77442885875462264</cx:pt>
          <cx:pt idx="510">0.77566098495769431</cx:pt>
          <cx:pt idx="511">0.78124739375246244</cx:pt>
          <cx:pt idx="512">0.81958709487304215</cx:pt>
          <cx:pt idx="513">0.70238766524226426</cx:pt>
          <cx:pt idx="514">0.76767134669468318</cx:pt>
          <cx:pt idx="515">0.64589271711604257</cx:pt>
          <cx:pt idx="516">0.66696487948034655</cx:pt>
          <cx:pt idx="517">0.65456831586378272</cx:pt>
          <cx:pt idx="518">0.8119374774581013</cx:pt>
          <cx:pt idx="519">0.6473299975658513</cx:pt>
          <cx:pt idx="520">0.67125122179793184</cx:pt>
          <cx:pt idx="521">0.83830320351883691</cx:pt>
          <cx:pt idx="522">0.65427585747755201</cx:pt>
          <cx:pt idx="523">0.65853836768287843</cx:pt>
          <cx:pt idx="524">0.71397833876930117</cx:pt>
          <cx:pt idx="525">0.69890182149830793</cx:pt>
          <cx:pt idx="526">0.73504566056238252</cx:pt>
          <cx:pt idx="527">0.67198807866710619</cx:pt>
          <cx:pt idx="528">0.63090994693420699</cx:pt>
          <cx:pt idx="529">0.69061301227314842</cx:pt>
          <cx:pt idx="530">0.65558567270334878</cx:pt>
          <cx:pt idx="531">0.7849705131371093</cx:pt>
          <cx:pt idx="532">0.53251390672453358</cx:pt>
          <cx:pt idx="533">0.49654686615582633</cx:pt>
          <cx:pt idx="534">0.50163059109106201</cx:pt>
          <cx:pt idx="535">0.81641123450288589</cx:pt>
          <cx:pt idx="536">0.64889822564060073</cx:pt>
          <cx:pt idx="537">0.67032588756286093</cx:pt>
          <cx:pt idx="538">0.58985579213873118</cx:pt>
          <cx:pt idx="539">0.80132916609081251</cx:pt>
          <cx:pt idx="540">0.7916471761348135</cx:pt>
          <cx:pt idx="541">0.51296400988829005</cx:pt>
          <cx:pt idx="542">0.54489474859994613</cx:pt>
          <cx:pt idx="543">0.63861105376646343</cx:pt>
          <cx:pt idx="544">0.70688828522120428</cx:pt>
          <cx:pt idx="545">0.70648601937538047</cx:pt>
          <cx:pt idx="546">0.71529284310891683</cx:pt>
          <cx:pt idx="547">0.71913954815059966</cx:pt>
          <cx:pt idx="548">0.65501882987350069</cx:pt>
          <cx:pt idx="549">0.63605455812198419</cx:pt>
          <cx:pt idx="550">0.54307420035244014</cx:pt>
          <cx:pt idx="551">0.72518500914305883</cx:pt>
          <cx:pt idx="552">0.54295275546796928</cx:pt>
          <cx:pt idx="553">0.71104929072929279</cx:pt>
          <cx:pt idx="554">0.69786398924887105</cx:pt>
          <cx:pt idx="555">0.67153120642186048</cx:pt>
          <cx:pt idx="556">0.7363187314301497</cx:pt>
          <cx:pt idx="557">0.67653107167290283</cx:pt>
          <cx:pt idx="558">0.69934415470659683</cx:pt>
          <cx:pt idx="559">0.61623403312584135</cx:pt>
          <cx:pt idx="560">0.64181328601440113</cx:pt>
          <cx:pt idx="561">0.7631724573575569</cx:pt>
          <cx:pt idx="562">0.56074472137281017</cx:pt>
          <cx:pt idx="563">0.60394732594120881</cx:pt>
          <cx:pt idx="564">0.58449682883962806</cx:pt>
          <cx:pt idx="565">0.55962924269697922</cx:pt>
          <cx:pt idx="566">0.57901266906016768</cx:pt>
          <cx:pt idx="567">0.71071404122496384</cx:pt>
          <cx:pt idx="568">0.67480856686589286</cx:pt>
          <cx:pt idx="569">0.6894469177040905</cx:pt>
          <cx:pt idx="570">0.55791959368037602</cx:pt>
          <cx:pt idx="571">0.54438039739486066</cx:pt>
          <cx:pt idx="572">0.51298585386401918</cx:pt>
          <cx:pt idx="573">0.57393634216212197</cx:pt>
          <cx:pt idx="574">0.6265589884170647</cx:pt>
          <cx:pt idx="575">0.57593924311079858</cx:pt>
          <cx:pt idx="576">0.52393703067339814</cx:pt>
          <cx:pt idx="577">0.57699604472095734</cx:pt>
          <cx:pt idx="578">0.77670122968781863</cx:pt>
          <cx:pt idx="579">0.52948976604209852</cx:pt>
          <cx:pt idx="580">0.52303714014046143</cx:pt>
          <cx:pt idx="581">0.49404392276402392</cx:pt>
          <cx:pt idx="582">0.53534635781074513</cx:pt>
          <cx:pt idx="583">0.56079789085648779</cx:pt>
          <cx:pt idx="584">0.54674151803678828</cx:pt>
          <cx:pt idx="585">0.56495901443499252</cx:pt>
          <cx:pt idx="586">0.68004439881623979</cx:pt>
          <cx:pt idx="587">0.44974057155538688</cx:pt>
          <cx:pt idx="588">0.52421832950872804</cx:pt>
          <cx:pt idx="589">0.74925256941705187</cx:pt>
          <cx:pt idx="590">0.66477819517183778</cx:pt>
          <cx:pt idx="591">0.70920879006198878</cx:pt>
          <cx:pt idx="592">0.42020118049971328</cx:pt>
          <cx:pt idx="593">0.65535291370506799</cx:pt>
          <cx:pt idx="594">0.61998472142048577</cx:pt>
          <cx:pt idx="595">0.61533809937334905</cx:pt>
          <cx:pt idx="596">0.55571896183378156</cx:pt>
          <cx:pt idx="597">0.59034672922160891</cx:pt>
          <cx:pt idx="598">0.6470038481342445</cx:pt>
          <cx:pt idx="599">0.68639610582512589</cx:pt>
          <cx:pt idx="600">0.69098216786305111</cx:pt>
          <cx:pt idx="601">0.61087617607722577</cx:pt>
          <cx:pt idx="602">0.70266485159621328</cx:pt>
          <cx:pt idx="603">0.68471430459506344</cx:pt>
          <cx:pt idx="604">0.67234249067852592</cx:pt>
          <cx:pt idx="605">0.71779161397668934</cx:pt>
          <cx:pt idx="606">0.67205737903113427</cx:pt>
          <cx:pt idx="607">0.64804668233589002</cx:pt>
          <cx:pt idx="608">0.62771878082656662</cx:pt>
          <cx:pt idx="609">0.71814390645773385</cx:pt>
          <cx:pt idx="610">0.75626163124299373</cx:pt>
          <cx:pt idx="611">0.60470409143717097</cx:pt>
          <cx:pt idx="612">0.49216045794370489</cx:pt>
          <cx:pt idx="613">0.58852854531714371</cx:pt>
          <cx:pt idx="614">0.59772372971842036</cx:pt>
          <cx:pt idx="615">0.556894988858879</cx:pt>
          <cx:pt idx="616">0.50823173466393368</cx:pt>
          <cx:pt idx="617">0.54375236889448264</cx:pt>
          <cx:pt idx="618">0.66679740716262348</cx:pt>
          <cx:pt idx="619">0.68850501624076421</cx:pt>
          <cx:pt idx="620">0.87305781073581967</cx:pt>
          <cx:pt idx="621">0.50505514090538406</cx:pt>
          <cx:pt idx="622">0.67583663010346895</cx:pt>
          <cx:pt idx="623">0.7283857381009905</cx:pt>
          <cx:pt idx="624">0.76186469453624239</cx:pt>
          <cx:pt idx="625">0.5903416753862184</cx:pt>
          <cx:pt idx="626">0.5357937132975874</cx:pt>
          <cx:pt idx="627">0.67461696558944728</cx:pt>
          <cx:pt idx="628">0.86692982320796186</cx:pt>
          <cx:pt idx="629">0.66545153023027881</cx:pt>
          <cx:pt idx="630">0.60904794059545708</cx:pt>
          <cx:pt idx="631">0.44410874200329797</cx:pt>
          <cx:pt idx="632">0.62352011514772754</cx:pt>
          <cx:pt idx="633">0.67007950899833391</cx:pt>
          <cx:pt idx="634">0.68210922123901718</cx:pt>
          <cx:pt idx="635">0.58068590582039037</cx:pt>
          <cx:pt idx="636">0.66968532192083763</cx:pt>
          <cx:pt idx="637">0.56881198371055353</cx:pt>
          <cx:pt idx="638">0.7598415268768649</cx:pt>
          <cx:pt idx="639">0.69307268041202363</cx:pt>
          <cx:pt idx="640">0.66579503161285658</cx:pt>
          <cx:pt idx="641">0.66479514552584118</cx:pt>
          <cx:pt idx="642">0.67426932950241825</cx:pt>
          <cx:pt idx="643">0.66479514552584118</cx:pt>
          <cx:pt idx="644">0.67746904677984376</cx:pt>
          <cx:pt idx="645">0.65555538796841206</cx:pt>
          <cx:pt idx="646">0.59522016819236079</cx:pt>
          <cx:pt idx="647">0.64000213427730956</cx:pt>
          <cx:pt idx="648">0.57086320068161944</cx:pt>
          <cx:pt idx="649">0.57086320068161944</cx:pt>
          <cx:pt idx="650">0.63580587928391785</cx:pt>
          <cx:pt idx="651">0.609846473850432</cx:pt>
          <cx:pt idx="652">0.66965516612356668</cx:pt>
          <cx:pt idx="653">0.57282778822550107</cx:pt>
          <cx:pt idx="654">0.63027424741180837</cx:pt>
          <cx:pt idx="655">0.69632119100928058</cx:pt>
          <cx:pt idx="656">0.55946017847638208</cx:pt>
          <cx:pt idx="657">0.85710403577821492</cx:pt>
          <cx:pt idx="658">0.46012351600266521</cx:pt>
          <cx:pt idx="659">0.51651816052640176</cx:pt>
          <cx:pt idx="660">0.54388209099296903</cx:pt>
          <cx:pt idx="661">0.58491796917368932</cx:pt>
        </cx:lvl>
      </cx:numDim>
    </cx:data>
  </cx:chartData>
  <cx:chart>
    <cx:plotArea>
      <cx:plotAreaRegion>
        <cx:series layoutId="boxWhisker" uniqueId="{00000000-C189-4479-934A-43E29974E94D}">
          <cx:tx>
            <cx:txData>
              <cx:f>'NEW Figs (P2 metrics) data'!$AK$2</cx:f>
              <cx:v>Shortage</cx:v>
            </cx:txData>
          </cx:tx>
          <cx:dataId val="0"/>
          <cx:layoutPr>
            <cx:visibility meanLine="1" meanMarker="0" nonoutliers="0" outliers="0"/>
            <cx:statistics quartileMethod="exclusive"/>
          </cx:layoutPr>
        </cx:series>
        <cx:series layoutId="boxWhisker" uniqueId="{00000001-C189-4479-934A-43E29974E94D}">
          <cx:tx>
            <cx:txData>
              <cx:f>'NEW Figs (P2 metrics) data'!$AL$2</cx:f>
              <cx:v>No shortage</cx:v>
            </cx:txData>
          </cx:tx>
          <cx:dataId val="1"/>
          <cx:layoutPr>
            <cx:visibility meanLine="1" meanMarker="0" nonoutliers="0" outliers="0"/>
            <cx:statistics quartileMethod="exclusive"/>
          </cx:layoutPr>
        </cx:series>
      </cx:plotAreaRegion>
      <cx:axis id="0" hidden="1">
        <cx:catScaling gapWidth="0.400000006"/>
        <cx:tickLabels/>
        <cx:txPr>
          <a:bodyPr vertOverflow="overflow" horzOverflow="overflow" wrap="square" lIns="0" tIns="0" rIns="0" bIns="0"/>
          <a:lstStyle/>
          <a:p>
            <a:pPr algn="ctr" rtl="0">
              <a:defRPr sz="900" b="0" i="0">
                <a:solidFill>
                  <a:sysClr val="windowText" lastClr="000000"/>
                </a:solidFill>
                <a:latin typeface="+mj-lt"/>
                <a:ea typeface="Arial" panose="020B0604020202020204" pitchFamily="34" charset="0"/>
                <a:cs typeface="Arial" panose="020B0604020202020204" pitchFamily="34" charset="0"/>
              </a:defRPr>
            </a:pPr>
            <a:endParaRPr lang="en-AU">
              <a:solidFill>
                <a:sysClr val="windowText" lastClr="000000"/>
              </a:solidFill>
              <a:latin typeface="+mj-lt"/>
              <a:cs typeface="Arial" panose="020B0604020202020204" pitchFamily="34" charset="0"/>
            </a:endParaRPr>
          </a:p>
        </cx:txPr>
      </cx:axis>
      <cx:axis id="1">
        <cx:valScaling min="0.20000000000000001"/>
        <cx:tickLabels/>
        <cx:spPr>
          <a:ln>
            <a:noFill/>
          </a:ln>
        </cx:spPr>
        <cx:txPr>
          <a:bodyPr vertOverflow="overflow" horzOverflow="overflow" wrap="square" lIns="0" tIns="0" rIns="0" bIns="0"/>
          <a:lstStyle/>
          <a:p>
            <a:pPr algn="ctr" rtl="0">
              <a:defRPr sz="800" b="0" i="0">
                <a:solidFill>
                  <a:sysClr val="windowText" lastClr="000000"/>
                </a:solidFill>
                <a:latin typeface="Arial" panose="020B0604020202020204" pitchFamily="34" charset="0"/>
                <a:ea typeface="Arial" panose="020B0604020202020204" pitchFamily="34" charset="0"/>
                <a:cs typeface="Arial" panose="020B0604020202020204" pitchFamily="34" charset="0"/>
              </a:defRPr>
            </a:pPr>
            <a:endParaRPr lang="en-AU" sz="800">
              <a:solidFill>
                <a:sysClr val="windowText" lastClr="000000"/>
              </a:solidFill>
              <a:latin typeface="Arial" panose="020B0604020202020204" pitchFamily="34" charset="0"/>
              <a:cs typeface="Arial" panose="020B0604020202020204" pitchFamily="34" charset="0"/>
            </a:endParaRPr>
          </a:p>
        </cx:txPr>
      </cx:axis>
    </cx:plotArea>
    <cx:legend pos="b" align="ctr" overlay="0">
      <cx:txPr>
        <a:bodyPr vertOverflow="overflow" horzOverflow="overflow" wrap="square" lIns="0" tIns="0" rIns="0" bIns="0"/>
        <a:lstStyle/>
        <a:p>
          <a:pPr algn="ctr" rtl="0">
            <a:defRPr sz="800" b="0" i="0">
              <a:solidFill>
                <a:sysClr val="windowText" lastClr="000000"/>
              </a:solidFill>
              <a:latin typeface="Arial" panose="020B0604020202020204" pitchFamily="34" charset="0"/>
              <a:ea typeface="Arial" panose="020B0604020202020204" pitchFamily="34" charset="0"/>
              <a:cs typeface="Arial" panose="020B0604020202020204" pitchFamily="34" charset="0"/>
            </a:defRPr>
          </a:pPr>
          <a:endParaRPr lang="en-AU" sz="800">
            <a:solidFill>
              <a:sysClr val="windowText" lastClr="000000"/>
            </a:solidFill>
            <a:latin typeface="Arial" panose="020B0604020202020204" pitchFamily="34" charset="0"/>
            <a:cs typeface="Arial" panose="020B0604020202020204" pitchFamily="34" charset="0"/>
          </a:endParaRPr>
        </a:p>
      </cx:txPr>
    </cx:legend>
  </cx:chart>
  <cx:spPr>
    <a:ln>
      <a:noFill/>
    </a:ln>
  </cx:spPr>
</cx:chartSpace>
</file>

<file path=word/charts/chartEx2.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'Box plots - 6-digit test'!$B$3:$B$194</cx:f>
        <cx:lvl ptCount="192" formatCode="0.0">
          <cx:pt idx="0">0.67895518866017701</cx:pt>
          <cx:pt idx="1">0.9574922484113837</cx:pt>
          <cx:pt idx="2">0.037621664144441347</cx:pt>
          <cx:pt idx="3">0.8464198199089279</cx:pt>
          <cx:pt idx="4">1.106515094074072</cx:pt>
          <cx:pt idx="5">0.12957601074871941</cx:pt>
          <cx:pt idx="6">0.25662944806667509</cx:pt>
          <cx:pt idx="7">0.60747727728988554</cx:pt>
          <cx:pt idx="8">0.88073894315966905</cx:pt>
          <cx:pt idx="9">0.73459069303870672</cx:pt>
          <cx:pt idx="10">0.7225601437938054</cx:pt>
          <cx:pt idx="11">1.170127968904616</cx:pt>
          <cx:pt idx="12">0.61466565633535497</cx:pt>
          <cx:pt idx="13">1.136547883116853</cx:pt>
          <cx:pt idx="14">0.79398831618980026</cx:pt>
          <cx:pt idx="15">0.76895806074032436</cx:pt>
          <cx:pt idx="16">1.011624928061712</cx:pt>
          <cx:pt idx="17">0.73390656289540379</cx:pt>
          <cx:pt idx="18">0.622172556578235</cx:pt>
          <cx:pt idx="19">0.20507431421373029</cx:pt>
          <cx:pt idx="20">0.79109818808814314</cx:pt>
          <cx:pt idx="21">0.7340419463354122</cx:pt>
          <cx:pt idx="22">0.62765518365146011</cx:pt>
          <cx:pt idx="23">0.57219897754018234</cx:pt>
          <cx:pt idx="24">-1.4367436946797589</cx:pt>
          <cx:pt idx="25">0.45151418192967169</cx:pt>
          <cx:pt idx="26">-0.52014970444911413</cx:pt>
          <cx:pt idx="27">-1.203737089003619</cx:pt>
          <cx:pt idx="28">-0.56144829087444581</cx:pt>
          <cx:pt idx="29">-0.56600358951490382</cx:pt>
          <cx:pt idx="30">-0.57411442365085197</cx:pt>
          <cx:pt idx="31">-0.82333884478497876</cx:pt>
          <cx:pt idx="32">-0.51728866688974584</cx:pt>
          <cx:pt idx="33">-1.4631028957023049</cx:pt>
          <cx:pt idx="34">-1.4891985786715971</cx:pt>
          <cx:pt idx="35">-1.254296489208155</cx:pt>
          <cx:pt idx="36">-1.851425457746696</cx:pt>
          <cx:pt idx="37">-0.82998967693801795</cx:pt>
          <cx:pt idx="38">-0.77076854554526708</cx:pt>
          <cx:pt idx="39">-0.0062568788554422383</cx:pt>
          <cx:pt idx="40">-0.80428385211777997</cx:pt>
          <cx:pt idx="41">-0.9000058443820389</cx:pt>
          <cx:pt idx="42">-1.1517564730639049</cx:pt>
          <cx:pt idx="43">-0.22237261026391589</cx:pt>
          <cx:pt idx="44">0.1659503064964292</cx:pt>
          <cx:pt idx="45">-1.52538251754226</cx:pt>
          <cx:pt idx="46">-0.59901487325266922</cx:pt>
          <cx:pt idx="47">-1.9448677250244439</cx:pt>
          <cx:pt idx="48">-1.632345027735888</cx:pt>
          <cx:pt idx="49">-1.689679298733497</cx:pt>
          <cx:pt idx="50">-1.6418851232605991</cx:pt>
          <cx:pt idx="51">-0.61108377852303875</cx:pt>
          <cx:pt idx="52">-0.54474479936004538</cx:pt>
          <cx:pt idx="53">-0.64113787636935626</cx:pt>
          <cx:pt idx="54">-0.59667663980595798</cx:pt>
          <cx:pt idx="55">-0.40432917966629128</cx:pt>
          <cx:pt idx="56">-0.68424445205527995</cx:pt>
          <cx:pt idx="57">-0.67802178616120257</cx:pt>
          <cx:pt idx="58">-0.45060441093547882</cx:pt>
          <cx:pt idx="59">-0.68258386014900507</cx:pt>
          <cx:pt idx="60">-0.63863692656498472</cx:pt>
          <cx:pt idx="61">-0.5861260882336512</cx:pt>
          <cx:pt idx="62">-0.54448188886443161</cx:pt>
          <cx:pt idx="63">-0.62269332087174378</cx:pt>
          <cx:pt idx="64">-0.97133777478848526</cx:pt>
          <cx:pt idx="65">-1.0139000126399791</cx:pt>
          <cx:pt idx="66">-0.62630285851672163</cx:pt>
          <cx:pt idx="67">-0.71376588558281284</cx:pt>
          <cx:pt idx="68">-0.61507020863010808</cx:pt>
          <cx:pt idx="69">-0.82923861000267252</cx:pt>
          <cx:pt idx="70">-0.68540661508656342</cx:pt>
          <cx:pt idx="71">-0.69162164746460064</cx:pt>
          <cx:pt idx="72">-0.69689401696540254</cx:pt>
          <cx:pt idx="73">-0.51614379721861958</cx:pt>
          <cx:pt idx="74">-0.067625825227429104</cx:pt>
          <cx:pt idx="75">-0.75068115413681147</cx:pt>
          <cx:pt idx="76">-0.1055107561784694</cx:pt>
          <cx:pt idx="77">-0.84216116538284269</cx:pt>
          <cx:pt idx="78">-0.73992128214505715</cx:pt>
          <cx:pt idx="79">-0.68915900958146059</cx:pt>
          <cx:pt idx="80">-1.698440052923015</cx:pt>
          <cx:pt idx="81">-0.49534286114249371</cx:pt>
          <cx:pt idx="82">-0.024564026298541819</cx:pt>
          <cx:pt idx="83">-0.48993049557615992</cx:pt>
          <cx:pt idx="84">-0.46344822687157722</cx:pt>
          <cx:pt idx="85">-0.51490105620948956</cx:pt>
          <cx:pt idx="86">0.38742326105470642</cx:pt>
          <cx:pt idx="87">-1.026397551961405</cx:pt>
          <cx:pt idx="88">-0.49725316920864499</cx:pt>
          <cx:pt idx="89">-0.1435024635767301</cx:pt>
          <cx:pt idx="90">-0.48754502610401801</cx:pt>
          <cx:pt idx="91">1.389768889663487</cx:pt>
          <cx:pt idx="92">1.358720235987211</cx:pt>
          <cx:pt idx="93">1.090135021928812</cx:pt>
          <cx:pt idx="94">1.08827133279245</cx:pt>
          <cx:pt idx="95">-0.53553629371107681</cx:pt>
          <cx:pt idx="96">0.2145359031521834</cx:pt>
          <cx:pt idx="97">0.40054726223636422</cx:pt>
          <cx:pt idx="98">-1.0636390928861461</cx:pt>
          <cx:pt idx="99">-0.30207296004414808</cx:pt>
          <cx:pt idx="100">-0.95392729743628912</cx:pt>
          <cx:pt idx="101">-0.61615203445460587</cx:pt>
          <cx:pt idx="102">0.79041404523890924</cx:pt>
          <cx:pt idx="103">-0.1092868119544885</cx:pt>
          <cx:pt idx="104">0.35369675652442423</cx:pt>
          <cx:pt idx="105">0.86977859125941936</cx:pt>
          <cx:pt idx="106">0.33398165180870931</cx:pt>
          <cx:pt idx="107">0.85407519933141796</cx:pt>
          <cx:pt idx="108">0.15322605502866621</cx:pt>
          <cx:pt idx="109">0.22169643681949891</cx:pt>
          <cx:pt idx="110">0.7866137497855421</cx:pt>
          <cx:pt idx="111">0.1199013777894584</cx:pt>
          <cx:pt idx="112">-0.75018032148133518</cx:pt>
          <cx:pt idx="113">-0.1921970391860319</cx:pt>
          <cx:pt idx="114">-0.090262447396455503</cx:pt>
          <cx:pt idx="115">-0.1268213955555075</cx:pt>
          <cx:pt idx="116">-0.1143845012289697</cx:pt>
          <cx:pt idx="117">0.19973359321985429</cx:pt>
          <cx:pt idx="118">0.25197799225455553</cx:pt>
          <cx:pt idx="119">0.2450575494103466</cx:pt>
          <cx:pt idx="120">-0.14034275351745909</cx:pt>
          <cx:pt idx="121">-0.099823564026679357</cx:pt>
          <cx:pt idx="122">-0.20857436707362001</cx:pt>
          <cx:pt idx="123">0.26801366426477768</cx:pt>
          <cx:pt idx="124">-0.2202650294755806</cx:pt>
          <cx:pt idx="125">0.26785512708688808</cx:pt>
          <cx:pt idx="126">-0.16513497028825869</cx:pt>
          <cx:pt idx="127">0.15887330512388331</cx:pt>
          <cx:pt idx="128">-0.77429297647357354</cx:pt>
          <cx:pt idx="129">-0.44791896807043718</cx:pt>
          <cx:pt idx="130">-1.7046440642868459</cx:pt>
          <cx:pt idx="131">-0.1102205445509865</cx:pt>
          <cx:pt idx="132">-0.31649810330304051</cx:pt>
          <cx:pt idx="133">-0.25027527298860891</cx:pt>
          <cx:pt idx="134">-0.36590271118133039</cx:pt>
          <cx:pt idx="135">0.084973665033466705</cx:pt>
          <cx:pt idx="136">-0.58591341762088112</cx:pt>
          <cx:pt idx="137">-0.093685471990768487</cx:pt>
          <cx:pt idx="138">-0.33314913912323169</cx:pt>
          <cx:pt idx="139">-0.31803650286139579</cx:pt>
          <cx:pt idx="140">-0.39650353284199058</cx:pt>
          <cx:pt idx="141">-0.36935347267533869</cx:pt>
          <cx:pt idx="142">-0.3708050752286014</cx:pt>
          <cx:pt idx="143">-0.49599834963312173</cx:pt>
          <cx:pt idx="144">-0.47091895194861388</cx:pt>
          <cx:pt idx="145">-0.16062804152969659</cx:pt>
          <cx:pt idx="146">-0.70126107009432026</cx:pt>
          <cx:pt idx="147">0.66920474106911287</cx:pt>
          <cx:pt idx="148">-0.10033591020653621</cx:pt>
          <cx:pt idx="149">0.49018351938565358</cx:pt>
          <cx:pt idx="150">0.59426635255229243</cx:pt>
          <cx:pt idx="151">0.56187627618583891</cx:pt>
          <cx:pt idx="152">0.043144983151060412</cx:pt>
          <cx:pt idx="153">0.28246931674378478</cx:pt>
          <cx:pt idx="154">0.46620027617791632</cx:pt>
          <cx:pt idx="155">-0.2356642960227546</cx:pt>
          <cx:pt idx="156">-0.81803779686691969</cx:pt>
          <cx:pt idx="157">-0.4939691121483949</cx:pt>
          <cx:pt idx="158">-0.97805672503602636</cx:pt>
          <cx:pt idx="159">0.52655091354403449</cx:pt>
          <cx:pt idx="160">-0.83638693553227927</cx:pt>
          <cx:pt idx="161">0.1860024624284424</cx:pt>
          <cx:pt idx="162">0.091868346432261827</cx:pt>
          <cx:pt idx="163">0.21644092004262289</cx:pt>
          <cx:pt idx="164">0.73482976395801636</cx:pt>
          <cx:pt idx="165">-0.49321576217852359</cx:pt>
          <cx:pt idx="166">-0.33693965736063403</cx:pt>
          <cx:pt idx="167">0.13734510236949179</cx:pt>
          <cx:pt idx="168">0.1272428855044696</cx:pt>
          <cx:pt idx="169">-0.49050382725540143</cx:pt>
          <cx:pt idx="170">0.13821639227955049</cx:pt>
          <cx:pt idx="171">-0.82536850698539532</cx:pt>
          <cx:pt idx="172">-1.049359646248853</cx:pt>
          <cx:pt idx="173">-0.0074945027757080673</cx:pt>
          <cx:pt idx="174">-0.38070836351097398</cx:pt>
          <cx:pt idx="175">0.28076527508727889</cx:pt>
          <cx:pt idx="176">-0.53388075167160975</cx:pt>
          <cx:pt idx="177">0.38263168504502731</cx:pt>
          <cx:pt idx="178">-1.14197380531957</cx:pt>
          <cx:pt idx="179">0.30162790089583069</cx:pt>
          <cx:pt idx="180">0.32826983184093761</cx:pt>
          <cx:pt idx="181">0.066200296131171843</cx:pt>
          <cx:pt idx="182">0.073682694090179801</cx:pt>
          <cx:pt idx="183">0.033557329705172112</cx:pt>
          <cx:pt idx="184">0.1974145690334117</cx:pt>
          <cx:pt idx="185">-1.2300323103142929</cx:pt>
          <cx:pt idx="186">0.084039349021403975</cx:pt>
          <cx:pt idx="187">-1.056305342457954</cx:pt>
          <cx:pt idx="188">0.047180212486740203</cx:pt>
          <cx:pt idx="189">0.022057799415486471</cx:pt>
          <cx:pt idx="190">-0.1869896726095468</cx:pt>
          <cx:pt idx="191">-0.67635639990070962</cx:pt>
        </cx:lvl>
      </cx:numDim>
    </cx:data>
    <cx:data id="1">
      <cx:numDim type="val">
        <cx:f>'Box plots - 6-digit test'!$C$3:$C$343</cx:f>
        <cx:lvl ptCount="341" formatCode="0.0">
          <cx:pt idx="0">1.4308480346163459</cx:pt>
          <cx:pt idx="1">1.1320528443741471</cx:pt>
          <cx:pt idx="2">0.62098298642178307</cx:pt>
          <cx:pt idx="3">0.64092010744089922</cx:pt>
          <cx:pt idx="4">0.73934740377482466</cx:pt>
          <cx:pt idx="5">0.66076547584257428</cx:pt>
          <cx:pt idx="6">0.7332001970971076</cx:pt>
          <cx:pt idx="7">0.63576608570873017</cx:pt>
          <cx:pt idx="8">0.66682548853880919</cx:pt>
          <cx:pt idx="9">0.62942480689413571</cx:pt>
          <cx:pt idx="10">0.24400120304078499</cx:pt>
          <cx:pt idx="11">0.23622906573962729</cx:pt>
          <cx:pt idx="12">0.05237104503605039</cx:pt>
          <cx:pt idx="13">0.26051987965437989</cx:pt>
          <cx:pt idx="14">0.060537464485558967</cx:pt>
          <cx:pt idx="15">0.065096084832975354</cx:pt>
          <cx:pt idx="16">0.27331276269138849</cx:pt>
          <cx:pt idx="17">1.233642318350846</cx:pt>
          <cx:pt idx="18">1.04148383412271</cx:pt>
          <cx:pt idx="19">1.023450881406736</cx:pt>
          <cx:pt idx="20">0.37139672695653969</cx:pt>
          <cx:pt idx="21">1.1290363478164029</cx:pt>
          <cx:pt idx="22">1.0117009202977409</cx:pt>
          <cx:pt idx="23">0.70009181352857919</cx:pt>
          <cx:pt idx="24">0.34825121697789457</cx:pt>
          <cx:pt idx="25">1.0737817496402451</cx:pt>
          <cx:pt idx="26">1.2204330982625</cx:pt>
          <cx:pt idx="27">1.233690842911831</cx:pt>
          <cx:pt idx="28">1.194725521423768</cx:pt>
          <cx:pt idx="29">1.0626459372922921</cx:pt>
          <cx:pt idx="30">1.296641788868</cx:pt>
          <cx:pt idx="31">1.062237202295665</cx:pt>
          <cx:pt idx="32">1.692516953356475</cx:pt>
          <cx:pt idx="33">1.201595658708384</cx:pt>
          <cx:pt idx="34">-0.12420451001022401</cx:pt>
          <cx:pt idx="35">0.3056199221651692</cx:pt>
          <cx:pt idx="36">0.084253676041725178</cx:pt>
          <cx:pt idx="37">0.1164568091117273</cx:pt>
          <cx:pt idx="38">0.34561062472531973</cx:pt>
          <cx:pt idx="39">0.15814236789478911</cx:pt>
          <cx:pt idx="40">-0.64641152921387235</cx:pt>
          <cx:pt idx="41">-0.011371979521864081</cx:pt>
          <cx:pt idx="42">0.044918685401422298</cx:pt>
          <cx:pt idx="43">0.41027845298379401</cx:pt>
          <cx:pt idx="44">1.197072403295143</cx:pt>
          <cx:pt idx="45">1.1746133988020091</cx:pt>
          <cx:pt idx="46">1.070127974155481</cx:pt>
          <cx:pt idx="47">1.134520272224427</cx:pt>
          <cx:pt idx="48">0.43702681477510552</cx:pt>
          <cx:pt idx="49">0.99017180840818986</cx:pt>
          <cx:pt idx="50">0.66165270912012542</cx:pt>
          <cx:pt idx="51">0.92703142934600891</cx:pt>
          <cx:pt idx="52">0.79629192666223281</cx:pt>
          <cx:pt idx="53">0.65787902620759731</cx:pt>
          <cx:pt idx="54">-0.16837572831990449</cx:pt>
          <cx:pt idx="55">0.75892655071383519</cx:pt>
          <cx:pt idx="56">-0.093474420152560356</cx:pt>
          <cx:pt idx="57">0.59594737579358492</cx:pt>
          <cx:pt idx="58">0.052479492460439481</cx:pt>
          <cx:pt idx="59">0.94514295780928537</cx:pt>
          <cx:pt idx="60">1.331270377663393</cx:pt>
          <cx:pt idx="61">1.0422889212394431</cx:pt>
          <cx:pt idx="62">0.99059971002040026</cx:pt>
          <cx:pt idx="63">0.0047288227494943769</cx:pt>
          <cx:pt idx="64">1.309238972459509</cx:pt>
          <cx:pt idx="65">0.92723887444203523</cx:pt>
          <cx:pt idx="66">1.0215932599315489</cx:pt>
          <cx:pt idx="67">0.96884169940492848</cx:pt>
          <cx:pt idx="68">0.88941456577572753</cx:pt>
          <cx:pt idx="69">1.030890816615649</cx:pt>
          <cx:pt idx="70">0.91358364492044597</cx:pt>
          <cx:pt idx="71">0.93456072709365712</cx:pt>
          <cx:pt idx="72">1.0418884152084611</cx:pt>
          <cx:pt idx="73">0.97131431455441231</cx:pt>
          <cx:pt idx="74">0.95723082339181653</cx:pt>
          <cx:pt idx="75">0.69369837798692835</cx:pt>
          <cx:pt idx="76">1.0569857464013379</cx:pt>
          <cx:pt idx="77">0.21461652391074629</cx:pt>
          <cx:pt idx="78">0.31590900046053833</cx:pt>
          <cx:pt idx="79">1.323278822432453</cx:pt>
          <cx:pt idx="80">1.2880336813667701</cx:pt>
          <cx:pt idx="81">1.4075849455245251</cx:pt>
          <cx:pt idx="82">1.294696057505681</cx:pt>
          <cx:pt idx="83">0.72907191570537933</cx:pt>
          <cx:pt idx="84">0.57459055003878978</cx:pt>
          <cx:pt idx="85">0.73356465909717805</cx:pt>
          <cx:pt idx="86">0.74963900675429551</cx:pt>
          <cx:pt idx="87">1.1403952713709149</cx:pt>
          <cx:pt idx="88">0.7958426404160015</cx:pt>
          <cx:pt idx="89">1.309585821264057</cx:pt>
          <cx:pt idx="90">0.99282354864891342</cx:pt>
          <cx:pt idx="91">0.01664488542970188</cx:pt>
          <cx:pt idx="92">0.81171796006288943</cx:pt>
          <cx:pt idx="93">1.1541365762829709</cx:pt>
          <cx:pt idx="94">1.1661647663771859</cx:pt>
          <cx:pt idx="95">1.1467100286529699</cx:pt>
          <cx:pt idx="96">1.091944963656484</cx:pt>
          <cx:pt idx="97">1.1804322816357169</cx:pt>
          <cx:pt idx="98">1.1401463519430171</cx:pt>
          <cx:pt idx="99">1.1403345861888601</cx:pt>
          <cx:pt idx="100">0.97101735063707517</cx:pt>
          <cx:pt idx="101">1.0351318514708441</cx:pt>
          <cx:pt idx="102">0.80440983186589365</cx:pt>
          <cx:pt idx="103">0.95147969333697491</cx:pt>
          <cx:pt idx="104">1.0481841914552019</cx:pt>
          <cx:pt idx="105">0.67462720773885154</cx:pt>
          <cx:pt idx="106">0.41790543292888138</cx:pt>
          <cx:pt idx="107">0.25813360213592862</cx:pt>
          <cx:pt idx="108">0.88286339503785083</cx:pt>
          <cx:pt idx="109">0.94814431091010354</cx:pt>
          <cx:pt idx="110">1.1707134762498479</cx:pt>
          <cx:pt idx="111">1.0500915221001379</cx:pt>
          <cx:pt idx="112">0.74853611810561871</cx:pt>
          <cx:pt idx="113">0.94768925013197514</cx:pt>
          <cx:pt idx="114">0.94039977850560552</cx:pt>
          <cx:pt idx="115">0.85453485267743412</cx:pt>
          <cx:pt idx="116">0.05488721883540304</cx:pt>
          <cx:pt idx="117">1.118055430575936</cx:pt>
          <cx:pt idx="118">1.0419572176816889</cx:pt>
          <cx:pt idx="119">0.59870298867538052</cx:pt>
          <cx:pt idx="120">0.91242986346232779</cx:pt>
          <cx:pt idx="121">0.89892137716872789</cx:pt>
          <cx:pt idx="122">0.46732480064701359</cx:pt>
          <cx:pt idx="123">1.008677986599422</cx:pt>
          <cx:pt idx="124">0.73089418569661602</cx:pt>
          <cx:pt idx="125">0.53511774425377334</cx:pt>
          <cx:pt idx="126">0.2426295601369137</cx:pt>
          <cx:pt idx="127">0.22173399167922361</cx:pt>
          <cx:pt idx="128">0.43478043387708221</cx:pt>
          <cx:pt idx="129">0.30215633197060038</cx:pt>
          <cx:pt idx="130">-1.096776528888135</cx:pt>
          <cx:pt idx="131">0.51694872651914547</cx:pt>
          <cx:pt idx="132">-0.31318591221618908</cx:pt>
          <cx:pt idx="133">-0.010043327907687249</cx:pt>
          <cx:pt idx="134">-0.059039692663291447</cx:pt>
          <cx:pt idx="135">-0.90746504731076061</cx:pt>
          <cx:pt idx="136">-1.1146918708404649</cx:pt>
          <cx:pt idx="137">-1.114910484461165</cx:pt>
          <cx:pt idx="138">-1.117256866826241</cx:pt>
          <cx:pt idx="139">-0.23011254382946911</cx:pt>
          <cx:pt idx="140">-0.047685046580927981</cx:pt>
          <cx:pt idx="141">-0.080347127450564937</cx:pt>
          <cx:pt idx="142">0.47673882651075772</cx:pt>
          <cx:pt idx="143">0.4958090532724353</cx:pt>
          <cx:pt idx="144">-1.088507989464591</cx:pt>
          <cx:pt idx="145">0.1728062320981025</cx:pt>
          <cx:pt idx="146">0.76664753974199185</cx:pt>
          <cx:pt idx="147">-0.65301845667257075</cx:pt>
          <cx:pt idx="148">-0.62265192559971627</cx:pt>
          <cx:pt idx="149">-0.62321148298232032</cx:pt>
          <cx:pt idx="150">-1.277788401103279</cx:pt>
          <cx:pt idx="151">-0.65470256376932312</cx:pt>
          <cx:pt idx="152">-0.54053496065418205</cx:pt>
          <cx:pt idx="153">-0.70747661615359436</cx:pt>
          <cx:pt idx="154">-0.65933756899846196</cx:pt>
          <cx:pt idx="155">-0.78868558485882345</cx:pt>
          <cx:pt idx="156">-0.49046818218251159</cx:pt>
          <cx:pt idx="157">-0.9860559472598589</cx:pt>
          <cx:pt idx="158">-0.1060718449885822</cx:pt>
          <cx:pt idx="159">-0.54847537671940527</cx:pt>
          <cx:pt idx="160">-0.26096165292299262</cx:pt>
          <cx:pt idx="161">-0.60827303280534961</cx:pt>
          <cx:pt idx="162">1.41731579032058</cx:pt>
          <cx:pt idx="163">1.288381089015372</cx:pt>
          <cx:pt idx="164">1.41731579032058</cx:pt>
          <cx:pt idx="165">1.3593464925766221</cx:pt>
          <cx:pt idx="166">1.2961134803235379</cx:pt>
          <cx:pt idx="167">1.3260938034941201</cx:pt>
          <cx:pt idx="168">1.28787359790034</cx:pt>
          <cx:pt idx="169">0.82426185712717626</cx:pt>
          <cx:pt idx="170">1.0258221842522051</cx:pt>
          <cx:pt idx="171">1.2572398733101151</cx:pt>
          <cx:pt idx="172">0.97980414066321453</cx:pt>
          <cx:pt idx="173">1.415457155335216</cx:pt>
          <cx:pt idx="174">1.402162142782502</cx:pt>
          <cx:pt idx="175">1.273356500924288</cx:pt>
          <cx:pt idx="176">1.25220138366871</cx:pt>
          <cx:pt idx="177">1.5446028629894619</cx:pt>
          <cx:pt idx="178">1.3769225375027689</cx:pt>
          <cx:pt idx="179">1.2813005211110859</cx:pt>
          <cx:pt idx="180">1.0627247837186391</cx:pt>
          <cx:pt idx="181">-0.53553629371107681</cx:pt>
          <cx:pt idx="182">-0.53389797884281975</cx:pt>
          <cx:pt idx="183">0.44030229557711609</cx:pt>
          <cx:pt idx="184">0.14284510764298999</cx:pt>
          <cx:pt idx="185">0.23390085914891581</cx:pt>
          <cx:pt idx="186">0.47773650349699359</cx:pt>
          <cx:pt idx="187">-0.93219786645806924</cx:pt>
          <cx:pt idx="188">0.15626461411046089</cx:pt>
          <cx:pt idx="189">-0.1885784356357916</cx:pt>
          <cx:pt idx="190">0.15136749360660851</cx:pt>
          <cx:pt idx="191">0.43122123095462589</cx:pt>
          <cx:pt idx="192">0.48692122807048621</cx:pt>
          <cx:pt idx="193">0.88545613650140043</cx:pt>
          <cx:pt idx="194">0.30950067520391528</cx:pt>
          <cx:pt idx="195">0.56386255875313873</cx:pt>
          <cx:pt idx="196">1.168127968237991</cx:pt>
          <cx:pt idx="197">0.95014878647139334</cx:pt>
          <cx:pt idx="198">0.86758862996251684</cx:pt>
          <cx:pt idx="199">-0.0018647775648630289</cx:pt>
          <cx:pt idx="200">1.245708304064278</cx:pt>
          <cx:pt idx="201">0.84411392850681821</cx:pt>
          <cx:pt idx="202">0.97341567975639443</cx:pt>
          <cx:pt idx="203">0.88878305328238616</cx:pt>
          <cx:pt idx="204">0.42121111705072639</cx:pt>
          <cx:pt idx="205">0.52677729744849122</cx:pt>
          <cx:pt idx="206">0.55187697596303131</cx:pt>
          <cx:pt idx="207">0.63109952295229865</cx:pt>
          <cx:pt idx="208">0.35432462817645322</cx:pt>
          <cx:pt idx="209">-0.039856877528574593</cx:pt>
          <cx:pt idx="210">0.67225715240549011</cx:pt>
          <cx:pt idx="211">1.278307970779166</cx:pt>
          <cx:pt idx="212">1.5537149653081339</cx:pt>
          <cx:pt idx="213">1.5034373783950989</cx:pt>
          <cx:pt idx="214">0.82438235295873286</cx:pt>
          <cx:pt idx="215">1.3929707609352631</cx:pt>
          <cx:pt idx="216">1.388707191637458</cx:pt>
          <cx:pt idx="217">-0.022333993057427119</cx:pt>
          <cx:pt idx="218">0.0081611116037363374</cx:pt>
          <cx:pt idx="219">0.51689267333655131</cx:pt>
          <cx:pt idx="220">0.1163608338822963</cx:pt>
          <cx:pt idx="221">-0.003585389261095973</cx:pt>
          <cx:pt idx="222">0.070416174945117316</cx:pt>
          <cx:pt idx="223">-0.35306967245041809</cx:pt>
          <cx:pt idx="224">0.87581647501013293</cx:pt>
          <cx:pt idx="225">0.60622310582576944</cx:pt>
          <cx:pt idx="226">0.69136848442118959</cx:pt>
          <cx:pt idx="227">0.13281147706063209</cx:pt>
          <cx:pt idx="228">1.2002289449533901</cx:pt>
          <cx:pt idx="229">0.26129089226958652</cx:pt>
          <cx:pt idx="230">0.63348119164662897</cx:pt>
          <cx:pt idx="231">-0.1328247440583801</cx:pt>
          <cx:pt idx="232">-1.0400523981841281</cx:pt>
          <cx:pt idx="233">-0.41230388099120979</cx:pt>
          <cx:pt idx="234">0.60211035088539244</cx:pt>
          <cx:pt idx="235">1.0267581272830399</cx:pt>
          <cx:pt idx="236">0.32773344201386312</cx:pt>
          <cx:pt idx="237">0.33602932761147247</cx:pt>
          <cx:pt idx="238">0.3987067072763133</cx:pt>
          <cx:pt idx="239">0.42599240568968932</cx:pt>
          <cx:pt idx="240">-0.032554107928056457</cx:pt>
          <cx:pt idx="241">-0.029161351354713538</cx:pt>
          <cx:pt idx="242">-0.56584882886489885</cx:pt>
          <cx:pt idx="243">-0.82230219565272256</cx:pt>
          <cx:pt idx="244">-0.044990508787266403</cx:pt>
          <cx:pt idx="245">-0.4997574950881245</cx:pt>
          <cx:pt idx="246">0.24084701687422649</cx:pt>
          <cx:pt idx="247">0.0092245558451100607</cx:pt>
          <cx:pt idx="248">-0.45020827595674939</cx:pt>
          <cx:pt idx="249">0.42279145952078379</cx:pt>
          <cx:pt idx="250">-0.14411110632219121</cx:pt>
          <cx:pt idx="251">0.14472990363009861</cx:pt>
          <cx:pt idx="252">-0.051064016871806388</cx:pt>
          <cx:pt idx="253">0.47071208098271139</cx:pt>
          <cx:pt idx="254">-0.55084006710427991</cx:pt>
          <cx:pt idx="255">0.30389804943025661</cx:pt>
          <cx:pt idx="256">0.89518345856552939</cx:pt>
          <cx:pt idx="257">0.015260753041938189</cx:pt>
          <cx:pt idx="258">-0.19384208794590879</cx:pt>
          <cx:pt idx="259">-0.23221726094557299</cx:pt>
          <cx:pt idx="260">-0.085583766879339773</cx:pt>
          <cx:pt idx="261">0.58405972840182852</cx:pt>
          <cx:pt idx="262">-0.96920002868498778</cx:pt>
          <cx:pt idx="263">-0.86760195487525671</cx:pt>
          <cx:pt idx="264">1.053077207178611</cx:pt>
          <cx:pt idx="265">0.89377121654843039</cx:pt>
          <cx:pt idx="266">1.084452919406379</cx:pt>
          <cx:pt idx="267">0.16186595852817209</cx:pt>
          <cx:pt idx="268">0.89865463572824433</cx:pt>
          <cx:pt idx="269">1.129513635210762</cx:pt>
          <cx:pt idx="270">0.98865422424020988</cx:pt>
          <cx:pt idx="271">0.65686241395761735</cx:pt>
          <cx:pt idx="272">0.96501897919327106</cx:pt>
          <cx:pt idx="273">1.410620593408598</cx:pt>
          <cx:pt idx="274">1.423054867296403</cx:pt>
          <cx:pt idx="275">1.3195625730585949</cx:pt>
          <cx:pt idx="276">1.1262616080988559</cx:pt>
          <cx:pt idx="277">0.43437773817931769</cx:pt>
          <cx:pt idx="278">1.466136484127575</cx:pt>
          <cx:pt idx="279">0.98256237929525181</cx:pt>
          <cx:pt idx="280">1.163805408997296</cx:pt>
          <cx:pt idx="281">0.58034130335268896</cx:pt>
          <cx:pt idx="282">0.95179462110660706</cx:pt>
          <cx:pt idx="283">1.0859256168141711</cx:pt>
          <cx:pt idx="284">1.212412209833883</cx:pt>
          <cx:pt idx="285">1.004106408859428</cx:pt>
          <cx:pt idx="286">1.200581082949163</cx:pt>
          <cx:pt idx="287">1.058532047231983</cx:pt>
          <cx:pt idx="288">0.77276139516574149</cx:pt>
          <cx:pt idx="289">0.86028064866058118</cx:pt>
          <cx:pt idx="290">0.7819943171580408</cx:pt>
          <cx:pt idx="291">1.0539869410611851</cx:pt>
          <cx:pt idx="292">0.5247714522000404</cx:pt>
          <cx:pt idx="293">1.1083229262644201</cx:pt>
          <cx:pt idx="294">1.1224898018311029</cx:pt>
          <cx:pt idx="295">0.067619925281000359</cx:pt>
          <cx:pt idx="296">0.63586549970142148</cx:pt>
          <cx:pt idx="297">1.3848445040528921</cx:pt>
          <cx:pt idx="298">0.9715341173919132</cx:pt>
          <cx:pt idx="299">0.84192563796561837</cx:pt>
          <cx:pt idx="300">0.76105997135226078</cx:pt>
          <cx:pt idx="301">0.88104631610544448</cx:pt>
          <cx:pt idx="302">0.85870973602701728</cx:pt>
          <cx:pt idx="303">0.64845269593620758</cx:pt>
          <cx:pt idx="304">0.67086641738735331</cx:pt>
          <cx:pt idx="305">0.44837799189809319</cx:pt>
          <cx:pt idx="306">0.0080981811915390445</cx:pt>
          <cx:pt idx="307">0.46323371521064471</cx:pt>
          <cx:pt idx="308">-0.10756034568988369</cx:pt>
          <cx:pt idx="309">0.78038219364272932</cx:pt>
          <cx:pt idx="310">-0.044894671558176391</cx:pt>
          <cx:pt idx="311">-0.053876767873366038</cx:pt>
          <cx:pt idx="312">0.55340518499428315</cx:pt>
          <cx:pt idx="313">0.76320997785435996</cx:pt>
          <cx:pt idx="314">0.36826246534698021</cx:pt>
          <cx:pt idx="315">0.35689132134847679</cx:pt>
          <cx:pt idx="316">0.33666094707269961</cx:pt>
          <cx:pt idx="317">0.40487948908365251</cx:pt>
          <cx:pt idx="318">0.34288987443983082</cx:pt>
          <cx:pt idx="319">-0.12553313507882399</cx:pt>
          <cx:pt idx="320">0.48685741186114972</cx:pt>
          <cx:pt idx="321">0.1495231493363893</cx:pt>
          <cx:pt idx="322">0.89060433391128324</cx:pt>
          <cx:pt idx="323">-0.1172871793524948</cx:pt>
          <cx:pt idx="324">0.37293738472015198</cx:pt>
          <cx:pt idx="325">-0.13574327429357511</cx:pt>
          <cx:pt idx="326">0.1186048111502447</cx:pt>
          <cx:pt idx="327">0.1347504540509257</cx:pt>
          <cx:pt idx="328">0.088755030905423027</cx:pt>
          <cx:pt idx="329">0.60871506534407915</cx:pt>
          <cx:pt idx="330">0.1012875745259718</cx:pt>
          <cx:pt idx="331">0.013607461580612769</cx:pt>
          <cx:pt idx="332">-0.072690735924788807</cx:pt>
          <cx:pt idx="333">0.06051108070510125</cx:pt>
          <cx:pt idx="334">0.018269381803988068</cx:pt>
          <cx:pt idx="335">0.30425602330196932</cx:pt>
          <cx:pt idx="336">0.59124136969958663</cx:pt>
          <cx:pt idx="337">-0.088486831921327891</cx:pt>
          <cx:pt idx="338">0.080239050278053003</cx:pt>
          <cx:pt idx="339">0.55225089017453621</cx:pt>
          <cx:pt idx="340">0.094427999990268408</cx:pt>
        </cx:lvl>
      </cx:numDim>
    </cx:data>
  </cx:chartData>
  <cx:chart>
    <cx:plotArea>
      <cx:plotAreaRegion>
        <cx:series layoutId="boxWhisker" uniqueId="{00000000-C189-4479-934A-43E29974E94D}">
          <cx:tx>
            <cx:txData>
              <cx:f>'Box plots - 6-digit test'!$B$2</cx:f>
              <cx:v>Shortage</cx:v>
            </cx:txData>
          </cx:tx>
          <cx:dataId val="0"/>
          <cx:layoutPr>
            <cx:visibility meanLine="1" meanMarker="0" nonoutliers="0" outliers="0"/>
            <cx:statistics quartileMethod="exclusive"/>
          </cx:layoutPr>
        </cx:series>
        <cx:series layoutId="boxWhisker" uniqueId="{00000001-C189-4479-934A-43E29974E94D}">
          <cx:tx>
            <cx:txData>
              <cx:f>'Box plots - 6-digit test'!$C$2</cx:f>
              <cx:v>No shortage</cx:v>
            </cx:txData>
          </cx:tx>
          <cx:dataId val="1"/>
          <cx:layoutPr>
            <cx:visibility meanLine="1" meanMarker="0" nonoutliers="0" outliers="0"/>
            <cx:statistics quartileMethod="exclusive"/>
          </cx:layoutPr>
        </cx:series>
      </cx:plotAreaRegion>
      <cx:axis id="0" hidden="1">
        <cx:catScaling gapWidth="0.400000006"/>
        <cx:tickLabels/>
        <cx:txPr>
          <a:bodyPr vertOverflow="overflow" horzOverflow="overflow" wrap="square" lIns="0" tIns="0" rIns="0" bIns="0"/>
          <a:lstStyle/>
          <a:p>
            <a:pPr algn="ctr" rtl="0">
              <a:defRPr sz="900" b="0" i="0">
                <a:solidFill>
                  <a:sysClr val="windowText" lastClr="000000"/>
                </a:solidFill>
                <a:latin typeface="+mj-lt"/>
                <a:ea typeface="Arial" panose="020B0604020202020204" pitchFamily="34" charset="0"/>
                <a:cs typeface="Arial" panose="020B0604020202020204" pitchFamily="34" charset="0"/>
              </a:defRPr>
            </a:pPr>
            <a:endParaRPr lang="en-AU">
              <a:solidFill>
                <a:sysClr val="windowText" lastClr="000000"/>
              </a:solidFill>
              <a:latin typeface="+mj-lt"/>
              <a:cs typeface="Arial" panose="020B0604020202020204" pitchFamily="34" charset="0"/>
            </a:endParaRPr>
          </a:p>
        </cx:txPr>
      </cx:axis>
      <cx:axis id="1">
        <cx:valScaling min="-2"/>
        <cx:tickLabels/>
        <cx:numFmt formatCode="0.0" sourceLinked="0"/>
        <cx:spPr>
          <a:ln>
            <a:noFill/>
          </a:ln>
        </cx:spPr>
        <cx:txPr>
          <a:bodyPr vertOverflow="overflow" horzOverflow="overflow" wrap="square" lIns="0" tIns="0" rIns="0" bIns="0"/>
          <a:lstStyle/>
          <a:p>
            <a:pPr algn="ctr" rtl="0">
              <a:defRPr sz="800" b="0" i="0">
                <a:solidFill>
                  <a:sysClr val="windowText" lastClr="000000"/>
                </a:solidFill>
                <a:latin typeface="Arial" panose="020B0604020202020204" pitchFamily="34" charset="0"/>
                <a:ea typeface="Arial" panose="020B0604020202020204" pitchFamily="34" charset="0"/>
                <a:cs typeface="Arial" panose="020B0604020202020204" pitchFamily="34" charset="0"/>
              </a:defRPr>
            </a:pPr>
            <a:endParaRPr lang="en-AU" sz="800">
              <a:solidFill>
                <a:sysClr val="windowText" lastClr="000000"/>
              </a:solidFill>
              <a:latin typeface="Arial" panose="020B0604020202020204" pitchFamily="34" charset="0"/>
              <a:cs typeface="Arial" panose="020B0604020202020204" pitchFamily="34" charset="0"/>
            </a:endParaRPr>
          </a:p>
        </cx:txPr>
      </cx:axis>
    </cx:plotArea>
    <cx:legend pos="b" align="ctr" overlay="0">
      <cx:txPr>
        <a:bodyPr vertOverflow="overflow" horzOverflow="overflow" wrap="square" lIns="0" tIns="0" rIns="0" bIns="0"/>
        <a:lstStyle/>
        <a:p>
          <a:pPr algn="ctr" rtl="0">
            <a:defRPr sz="800" b="0" i="0">
              <a:solidFill>
                <a:sysClr val="windowText" lastClr="000000"/>
              </a:solidFill>
              <a:latin typeface="Arial" panose="020B0604020202020204" pitchFamily="34" charset="0"/>
              <a:ea typeface="Arial" panose="020B0604020202020204" pitchFamily="34" charset="0"/>
              <a:cs typeface="Arial" panose="020B0604020202020204" pitchFamily="34" charset="0"/>
            </a:defRPr>
          </a:pPr>
          <a:endParaRPr lang="en-AU" sz="800">
            <a:solidFill>
              <a:sysClr val="windowText" lastClr="000000"/>
            </a:solidFill>
            <a:latin typeface="Arial" panose="020B0604020202020204" pitchFamily="34" charset="0"/>
            <a:cs typeface="Arial" panose="020B0604020202020204" pitchFamily="34" charset="0"/>
          </a:endParaRPr>
        </a:p>
      </cx:txPr>
    </cx:legend>
  </cx:chart>
  <cx:spPr>
    <a:ln>
      <a:noFill/>
    </a:ln>
  </cx:spPr>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40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40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0.09059</cdr:x>
      <cdr:y>0.49666</cdr:y>
    </cdr:from>
    <cdr:to>
      <cdr:x>0.92518</cdr:x>
      <cdr:y>0.49666</cdr:y>
    </cdr:to>
    <cdr:cxnSp macro="">
      <cdr:nvCxnSpPr>
        <cdr:cNvPr id="2" name="Straight Connector 1"/>
        <cdr:cNvCxnSpPr/>
      </cdr:nvCxnSpPr>
      <cdr:spPr>
        <a:xfrm xmlns:a="http://schemas.openxmlformats.org/drawingml/2006/main">
          <a:off x="519174" y="1519504"/>
          <a:ext cx="4782931" cy="0"/>
        </a:xfrm>
        <a:prstGeom xmlns:a="http://schemas.openxmlformats.org/drawingml/2006/main" prst="line">
          <a:avLst/>
        </a:prstGeom>
        <a:ln xmlns:a="http://schemas.openxmlformats.org/drawingml/2006/main" w="12700" cap="flat" cmpd="sng" algn="ctr">
          <a:solidFill>
            <a:srgbClr val="1192E8"/>
          </a:solidFill>
          <a:prstDash val="dash"/>
          <a:round/>
          <a:headEnd type="none" w="med" len="med"/>
          <a:tailEnd type="none" w="med" len="med"/>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cxnSp>
  </cdr:relSizeAnchor>
</c:userShapes>
</file>

<file path=word/drawings/drawing2.xml><?xml version="1.0" encoding="utf-8"?>
<c:userShapes xmlns:c="http://schemas.openxmlformats.org/drawingml/2006/chart">
  <cdr:relSizeAnchor xmlns:cdr="http://schemas.openxmlformats.org/drawingml/2006/chartDrawing">
    <cdr:from>
      <cdr:x>0.00636</cdr:x>
      <cdr:y>0.28045</cdr:y>
    </cdr:from>
    <cdr:to>
      <cdr:x>0.06205</cdr:x>
      <cdr:y>0.67924</cdr:y>
    </cdr:to>
    <cdr:sp macro="" textlink="">
      <cdr:nvSpPr>
        <cdr:cNvPr id="2" name="TextBox 1">
          <a:extLst xmlns:a="http://schemas.openxmlformats.org/drawingml/2006/main">
            <a:ext uri="{FF2B5EF4-FFF2-40B4-BE49-F238E27FC236}">
              <a16:creationId xmlns:a16="http://schemas.microsoft.com/office/drawing/2014/main" id="{49CE4612-9F0C-0FCD-A051-77ADD6D04343}"/>
            </a:ext>
          </a:extLst>
        </cdr:cNvPr>
        <cdr:cNvSpPr txBox="1"/>
      </cdr:nvSpPr>
      <cdr:spPr>
        <a:xfrm xmlns:a="http://schemas.openxmlformats.org/drawingml/2006/main">
          <a:off x="36449" y="858017"/>
          <a:ext cx="319152" cy="1220070"/>
        </a:xfrm>
        <a:prstGeom xmlns:a="http://schemas.openxmlformats.org/drawingml/2006/main" prst="rect">
          <a:avLst/>
        </a:prstGeom>
      </cdr:spPr>
      <cdr:txBody>
        <a:bodyPr xmlns:a="http://schemas.openxmlformats.org/drawingml/2006/main" vertOverflow="clip" vert="vert270" wrap="square" rtlCol="0" anchor="b" anchorCtr="1"/>
        <a:lstStyle xmlns:a="http://schemas.openxmlformats.org/drawingml/2006/main"/>
        <a:p xmlns:a="http://schemas.openxmlformats.org/drawingml/2006/main">
          <a:r>
            <a:rPr lang="en-AU" sz="800" kern="1200">
              <a:latin typeface="Arial" panose="020B0604020202020204" pitchFamily="34" charset="0"/>
              <a:cs typeface="Arial" panose="020B0604020202020204" pitchFamily="34" charset="0"/>
            </a:rPr>
            <a:t>weeks</a:t>
          </a:r>
        </a:p>
      </cdr:txBody>
    </cdr:sp>
  </cdr:relSizeAnchor>
  <cdr:relSizeAnchor xmlns:cdr="http://schemas.openxmlformats.org/drawingml/2006/chartDrawing">
    <cdr:from>
      <cdr:x>0.10305</cdr:x>
      <cdr:y>0.22466</cdr:y>
    </cdr:from>
    <cdr:to>
      <cdr:x>0.992</cdr:x>
      <cdr:y>0.31245</cdr:y>
    </cdr:to>
    <cdr:grpSp>
      <cdr:nvGrpSpPr>
        <cdr:cNvPr id="3" name="Group 2"/>
        <cdr:cNvGrpSpPr/>
      </cdr:nvGrpSpPr>
      <cdr:grpSpPr>
        <a:xfrm xmlns:a="http://schemas.openxmlformats.org/drawingml/2006/main">
          <a:off x="590549" y="687321"/>
          <a:ext cx="5094476" cy="268587"/>
          <a:chOff x="10099868" y="310641"/>
          <a:chExt cx="5212504" cy="268605"/>
        </a:xfrm>
      </cdr:grpSpPr>
      <cdr:cxnSp macro="">
        <cdr:nvCxnSpPr>
          <cdr:cNvPr id="4" name="Straight Connector 3"/>
          <cdr:cNvCxnSpPr/>
        </cdr:nvCxnSpPr>
        <cdr:spPr>
          <a:xfrm xmlns:a="http://schemas.openxmlformats.org/drawingml/2006/main" flipV="1">
            <a:off x="10099868" y="501183"/>
            <a:ext cx="5095910" cy="17501"/>
          </a:xfrm>
          <a:prstGeom xmlns:a="http://schemas.openxmlformats.org/drawingml/2006/main" prst="line">
            <a:avLst/>
          </a:prstGeom>
          <a:ln xmlns:a="http://schemas.openxmlformats.org/drawingml/2006/main" w="12700" cap="flat" cmpd="sng" algn="ctr">
            <a:solidFill>
              <a:srgbClr val="1192E8"/>
            </a:solidFill>
            <a:prstDash val="dash"/>
            <a:round/>
            <a:headEnd type="none" w="med" len="med"/>
            <a:tailEnd type="none" w="med" len="med"/>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cxnSp>
      <cdr:sp macro="" textlink="">
        <cdr:nvSpPr>
          <cdr:cNvPr id="5" name="TextBox 6"/>
          <cdr:cNvSpPr txBox="1"/>
        </cdr:nvSpPr>
        <cdr:spPr>
          <a:xfrm xmlns:a="http://schemas.openxmlformats.org/drawingml/2006/main">
            <a:off x="14906319" y="310641"/>
            <a:ext cx="406053" cy="268605"/>
          </a:xfrm>
          <a:prstGeom xmlns:a="http://schemas.openxmlformats.org/drawingml/2006/main" prst="rect">
            <a:avLst/>
          </a:prstGeom>
        </cdr:spPr>
        <cdr:txBody>
          <a:bodyPr xmlns:a="http://schemas.openxmlformats.org/drawingml/2006/main" wrap="square" rtlCol="0">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nSpc>
                <a:spcPts val="1000"/>
              </a:lnSpc>
              <a:spcBef>
                <a:spcPts val="400"/>
              </a:spcBef>
              <a:spcAft>
                <a:spcPts val="400"/>
              </a:spcAft>
              <a:buNone/>
            </a:pPr>
            <a:r>
              <a:rPr lang="en-AU" sz="800">
                <a:effectLst/>
                <a:latin typeface="Arial" panose="020B0604020202020204" pitchFamily="34" charset="0"/>
                <a:ea typeface="Times New Roman" panose="02020603050405020304" pitchFamily="18" charset="0"/>
                <a:cs typeface="Times New Roman" panose="02020603050405020304" pitchFamily="18" charset="0"/>
              </a:rPr>
              <a:t>8.5</a:t>
            </a:r>
          </a:p>
        </cdr:txBody>
      </cdr:sp>
    </cdr:grpSp>
  </cdr:relSizeAnchor>
</c:userShapes>
</file>

<file path=word/drawings/drawing3.xml><?xml version="1.0" encoding="utf-8"?>
<c:userShapes xmlns:c="http://schemas.openxmlformats.org/drawingml/2006/chart">
  <cdr:relSizeAnchor xmlns:cdr="http://schemas.openxmlformats.org/drawingml/2006/chartDrawing">
    <cdr:from>
      <cdr:x>0.05051</cdr:x>
      <cdr:y>0.14824</cdr:y>
    </cdr:from>
    <cdr:to>
      <cdr:x>0.51569</cdr:x>
      <cdr:y>0.21281</cdr:y>
    </cdr:to>
    <cdr:grpSp>
      <cdr:nvGrpSpPr>
        <cdr:cNvPr id="2" name="Group 1"/>
        <cdr:cNvGrpSpPr/>
      </cdr:nvGrpSpPr>
      <cdr:grpSpPr>
        <a:xfrm xmlns:a="http://schemas.openxmlformats.org/drawingml/2006/main">
          <a:off x="289485" y="453543"/>
          <a:ext cx="2665857" cy="197526"/>
          <a:chOff x="-4638911" y="-10528969"/>
          <a:chExt cx="10268415" cy="148263"/>
        </a:xfrm>
      </cdr:grpSpPr>
      <cdr:cxnSp macro="">
        <cdr:nvCxnSpPr>
          <cdr:cNvPr id="3" name="Straight Connector 2"/>
          <cdr:cNvCxnSpPr/>
        </cdr:nvCxnSpPr>
        <cdr:spPr>
          <a:xfrm xmlns:a="http://schemas.openxmlformats.org/drawingml/2006/main" flipV="1">
            <a:off x="-4638911" y="-10391866"/>
            <a:ext cx="9951723" cy="7620"/>
          </a:xfrm>
          <a:prstGeom xmlns:a="http://schemas.openxmlformats.org/drawingml/2006/main" prst="line">
            <a:avLst/>
          </a:prstGeom>
          <a:ln xmlns:a="http://schemas.openxmlformats.org/drawingml/2006/main" w="12700" cap="flat" cmpd="sng" algn="ctr">
            <a:solidFill>
              <a:srgbClr val="1192E8"/>
            </a:solidFill>
            <a:prstDash val="dash"/>
            <a:round/>
            <a:headEnd type="none" w="med" len="med"/>
            <a:tailEnd type="none" w="med" len="med"/>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cxnSp>
      <cdr:sp macro="" textlink="">
        <cdr:nvSpPr>
          <cdr:cNvPr id="4" name="TextBox 6"/>
          <cdr:cNvSpPr txBox="1"/>
        </cdr:nvSpPr>
        <cdr:spPr>
          <a:xfrm xmlns:a="http://schemas.openxmlformats.org/drawingml/2006/main">
            <a:off x="3826180" y="-10528969"/>
            <a:ext cx="1803324" cy="148263"/>
          </a:xfrm>
          <a:prstGeom xmlns:a="http://schemas.openxmlformats.org/drawingml/2006/main" prst="rect">
            <a:avLst/>
          </a:prstGeom>
        </cdr:spPr>
        <cdr:txBody>
          <a:bodyPr xmlns:a="http://schemas.openxmlformats.org/drawingml/2006/main" wrap="square" rtlCol="0">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nSpc>
                <a:spcPts val="1000"/>
              </a:lnSpc>
              <a:spcBef>
                <a:spcPts val="400"/>
              </a:spcBef>
              <a:spcAft>
                <a:spcPts val="400"/>
              </a:spcAft>
              <a:buNone/>
            </a:pPr>
            <a:r>
              <a:rPr lang="en-AU" sz="850">
                <a:effectLst/>
                <a:latin typeface="Arial" panose="020B0604020202020204" pitchFamily="34" charset="0"/>
                <a:ea typeface="Times New Roman" panose="02020603050405020304" pitchFamily="18" charset="0"/>
                <a:cs typeface="Times New Roman" panose="02020603050405020304" pitchFamily="18" charset="0"/>
              </a:rPr>
              <a:t>11.0</a:t>
            </a:r>
          </a:p>
        </cdr:txBody>
      </cdr:sp>
    </cdr:grpSp>
  </cdr:relSizeAnchor>
  <cdr:relSizeAnchor xmlns:cdr="http://schemas.openxmlformats.org/drawingml/2006/chartDrawing">
    <cdr:from>
      <cdr:x>0.53012</cdr:x>
      <cdr:y>0.46148</cdr:y>
    </cdr:from>
    <cdr:to>
      <cdr:x>0.97297</cdr:x>
      <cdr:y>0.53925</cdr:y>
    </cdr:to>
    <cdr:grpSp>
      <cdr:nvGrpSpPr>
        <cdr:cNvPr id="5" name="Group 4"/>
        <cdr:cNvGrpSpPr/>
      </cdr:nvGrpSpPr>
      <cdr:grpSpPr>
        <a:xfrm xmlns:a="http://schemas.openxmlformats.org/drawingml/2006/main">
          <a:off x="3038051" y="1411854"/>
          <a:ext cx="2537905" cy="237949"/>
          <a:chOff x="-23791290" y="-18912294"/>
          <a:chExt cx="39564160" cy="391754"/>
        </a:xfrm>
      </cdr:grpSpPr>
      <cdr:cxnSp macro="">
        <cdr:nvCxnSpPr>
          <cdr:cNvPr id="6" name="Straight Connector 5"/>
          <cdr:cNvCxnSpPr/>
        </cdr:nvCxnSpPr>
        <cdr:spPr>
          <a:xfrm xmlns:a="http://schemas.openxmlformats.org/drawingml/2006/main" flipV="1">
            <a:off x="-23791290" y="-18604842"/>
            <a:ext cx="38332293" cy="5720"/>
          </a:xfrm>
          <a:prstGeom xmlns:a="http://schemas.openxmlformats.org/drawingml/2006/main" prst="line">
            <a:avLst/>
          </a:prstGeom>
          <a:ln xmlns:a="http://schemas.openxmlformats.org/drawingml/2006/main" w="12700" cap="flat" cmpd="sng" algn="ctr">
            <a:solidFill>
              <a:srgbClr val="1192E8"/>
            </a:solidFill>
            <a:prstDash val="dash"/>
            <a:round/>
            <a:headEnd type="none" w="med" len="med"/>
            <a:tailEnd type="none" w="med" len="med"/>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cxnSp>
      <cdr:sp macro="" textlink="">
        <cdr:nvSpPr>
          <cdr:cNvPr id="7" name="TextBox 6"/>
          <cdr:cNvSpPr txBox="1"/>
        </cdr:nvSpPr>
        <cdr:spPr>
          <a:xfrm xmlns:a="http://schemas.openxmlformats.org/drawingml/2006/main">
            <a:off x="9775791" y="-18912294"/>
            <a:ext cx="5997079" cy="391754"/>
          </a:xfrm>
          <a:prstGeom xmlns:a="http://schemas.openxmlformats.org/drawingml/2006/main" prst="rect">
            <a:avLst/>
          </a:prstGeom>
        </cdr:spPr>
        <cdr:txBody>
          <a:bodyPr xmlns:a="http://schemas.openxmlformats.org/drawingml/2006/main" wrap="square" rtlCol="0">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nSpc>
                <a:spcPts val="1000"/>
              </a:lnSpc>
              <a:spcBef>
                <a:spcPts val="400"/>
              </a:spcBef>
              <a:spcAft>
                <a:spcPts val="400"/>
              </a:spcAft>
              <a:buNone/>
            </a:pPr>
            <a:r>
              <a:rPr lang="en-AU" sz="850">
                <a:effectLst/>
                <a:latin typeface="Arial" panose="020B0604020202020204" pitchFamily="34" charset="0"/>
                <a:ea typeface="Times New Roman" panose="02020603050405020304" pitchFamily="18" charset="0"/>
                <a:cs typeface="Times New Roman" panose="02020603050405020304" pitchFamily="18" charset="0"/>
              </a:rPr>
              <a:t>5.4</a:t>
            </a:r>
          </a:p>
        </cdr:txBody>
      </cdr:sp>
    </cdr:grpSp>
  </cdr:relSizeAnchor>
</c:userShapes>
</file>

<file path=word/drawings/drawing4.xml><?xml version="1.0" encoding="utf-8"?>
<c:userShapes xmlns:c="http://schemas.openxmlformats.org/drawingml/2006/chart">
  <cdr:relSizeAnchor xmlns:cdr="http://schemas.openxmlformats.org/drawingml/2006/chartDrawing">
    <cdr:from>
      <cdr:x>0.06129</cdr:x>
      <cdr:y>0.60015</cdr:y>
    </cdr:from>
    <cdr:to>
      <cdr:x>0.98415</cdr:x>
      <cdr:y>0.6647</cdr:y>
    </cdr:to>
    <cdr:grpSp>
      <cdr:nvGrpSpPr>
        <cdr:cNvPr id="2" name="Group 1"/>
        <cdr:cNvGrpSpPr/>
      </cdr:nvGrpSpPr>
      <cdr:grpSpPr>
        <a:xfrm xmlns:a="http://schemas.openxmlformats.org/drawingml/2006/main">
          <a:off x="351227" y="1836109"/>
          <a:ext cx="5288791" cy="197489"/>
          <a:chOff x="-1392817" y="-5045678"/>
          <a:chExt cx="5098026" cy="137048"/>
        </a:xfrm>
      </cdr:grpSpPr>
      <cdr:cxnSp macro="">
        <cdr:nvCxnSpPr>
          <cdr:cNvPr id="3" name="Straight Connector 2"/>
          <cdr:cNvCxnSpPr/>
        </cdr:nvCxnSpPr>
        <cdr:spPr>
          <a:xfrm xmlns:a="http://schemas.openxmlformats.org/drawingml/2006/main" flipV="1">
            <a:off x="-1392817" y="-4916250"/>
            <a:ext cx="4935445" cy="7620"/>
          </a:xfrm>
          <a:prstGeom xmlns:a="http://schemas.openxmlformats.org/drawingml/2006/main" prst="line">
            <a:avLst/>
          </a:prstGeom>
          <a:ln xmlns:a="http://schemas.openxmlformats.org/drawingml/2006/main" w="12700" cap="flat" cmpd="sng" algn="ctr">
            <a:solidFill>
              <a:srgbClr val="1192E8"/>
            </a:solidFill>
            <a:prstDash val="dash"/>
            <a:round/>
            <a:headEnd type="none" w="med" len="med"/>
            <a:tailEnd type="none" w="med" len="med"/>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cxnSp>
      <cdr:sp macro="" textlink="">
        <cdr:nvSpPr>
          <cdr:cNvPr id="4" name="TextBox 6"/>
          <cdr:cNvSpPr txBox="1"/>
        </cdr:nvSpPr>
        <cdr:spPr>
          <a:xfrm xmlns:a="http://schemas.openxmlformats.org/drawingml/2006/main">
            <a:off x="3266825" y="-5045678"/>
            <a:ext cx="438384" cy="106608"/>
          </a:xfrm>
          <a:prstGeom xmlns:a="http://schemas.openxmlformats.org/drawingml/2006/main" prst="rect">
            <a:avLst/>
          </a:prstGeom>
        </cdr:spPr>
        <cdr:txBody>
          <a:bodyPr xmlns:a="http://schemas.openxmlformats.org/drawingml/2006/main" wrap="square" rtlCol="0">
            <a:noAutofit/>
          </a:bodyPr>
          <a:lstStyle xmlns:a="http://schemas.openxmlformats.org/drawingml/2006/main"/>
          <a:p xmlns:a="http://schemas.openxmlformats.org/drawingml/2006/main">
            <a:pPr>
              <a:lnSpc>
                <a:spcPts val="1000"/>
              </a:lnSpc>
              <a:spcBef>
                <a:spcPts val="400"/>
              </a:spcBef>
              <a:spcAft>
                <a:spcPts val="400"/>
              </a:spcAft>
              <a:buNone/>
            </a:pPr>
            <a:r>
              <a:rPr lang="en-AU" sz="850">
                <a:effectLst/>
                <a:latin typeface="Arial" panose="020B0604020202020204" pitchFamily="34" charset="0"/>
                <a:ea typeface="Times New Roman" panose="02020603050405020304" pitchFamily="18" charset="0"/>
                <a:cs typeface="Times New Roman" panose="02020603050405020304" pitchFamily="18" charset="0"/>
              </a:rPr>
              <a:t>-2%</a:t>
            </a:r>
          </a:p>
        </cdr:txBody>
      </cdr:sp>
    </cdr:grpSp>
  </cdr:relSizeAnchor>
</c:userShapes>
</file>

<file path=word/drawings/drawing5.xml><?xml version="1.0" encoding="utf-8"?>
<c:userShapes xmlns:c="http://schemas.openxmlformats.org/drawingml/2006/chart">
  <cdr:relSizeAnchor xmlns:cdr="http://schemas.openxmlformats.org/drawingml/2006/chartDrawing">
    <cdr:from>
      <cdr:x>0.07155</cdr:x>
      <cdr:y>0.0808</cdr:y>
    </cdr:from>
    <cdr:to>
      <cdr:x>0.93762</cdr:x>
      <cdr:y>0.17399</cdr:y>
    </cdr:to>
    <cdr:grpSp>
      <cdr:nvGrpSpPr>
        <cdr:cNvPr id="3" name="Group 2"/>
        <cdr:cNvGrpSpPr/>
      </cdr:nvGrpSpPr>
      <cdr:grpSpPr>
        <a:xfrm xmlns:a="http://schemas.openxmlformats.org/drawingml/2006/main">
          <a:off x="410044" y="247202"/>
          <a:ext cx="4963339" cy="285108"/>
          <a:chOff x="410044" y="247202"/>
          <a:chExt cx="4963339" cy="285108"/>
        </a:xfrm>
      </cdr:grpSpPr>
      <cdr:cxnSp macro="">
        <cdr:nvCxnSpPr>
          <cdr:cNvPr id="2" name="Straight Connector 1"/>
          <cdr:cNvCxnSpPr/>
        </cdr:nvCxnSpPr>
        <cdr:spPr>
          <a:xfrm xmlns:a="http://schemas.openxmlformats.org/drawingml/2006/main">
            <a:off x="410044" y="437560"/>
            <a:ext cx="4858407" cy="5629"/>
          </a:xfrm>
          <a:prstGeom xmlns:a="http://schemas.openxmlformats.org/drawingml/2006/main" prst="line">
            <a:avLst/>
          </a:prstGeom>
          <a:ln xmlns:a="http://schemas.openxmlformats.org/drawingml/2006/main" w="12700" cap="flat" cmpd="sng" algn="ctr">
            <a:solidFill>
              <a:srgbClr val="1192E8"/>
            </a:solidFill>
            <a:prstDash val="dash"/>
            <a:round/>
            <a:headEnd type="none" w="med" len="med"/>
            <a:tailEnd type="none" w="med" len="med"/>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cxnSp>
      <cdr:sp macro="" textlink="">
        <cdr:nvSpPr>
          <cdr:cNvPr id="7" name="TextBox 6"/>
          <cdr:cNvSpPr txBox="1"/>
        </cdr:nvSpPr>
        <cdr:spPr>
          <a:xfrm xmlns:a="http://schemas.openxmlformats.org/drawingml/2006/main">
            <a:off x="4955144" y="247202"/>
            <a:ext cx="418239" cy="285108"/>
          </a:xfrm>
          <a:prstGeom xmlns:a="http://schemas.openxmlformats.org/drawingml/2006/main" prst="rect">
            <a:avLst/>
          </a:prstGeom>
        </cdr:spPr>
        <cdr:txBody>
          <a:bodyPr xmlns:a="http://schemas.openxmlformats.org/drawingml/2006/main" wrap="square" rtlCol="0">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nSpc>
                <a:spcPts val="1000"/>
              </a:lnSpc>
              <a:spcBef>
                <a:spcPts val="400"/>
              </a:spcBef>
              <a:spcAft>
                <a:spcPts val="400"/>
              </a:spcAft>
              <a:buNone/>
            </a:pPr>
            <a:r>
              <a:rPr lang="en-AU" sz="850">
                <a:effectLst/>
                <a:latin typeface="Arial" panose="020B0604020202020204" pitchFamily="34" charset="0"/>
                <a:ea typeface="Times New Roman" panose="02020603050405020304" pitchFamily="18" charset="0"/>
                <a:cs typeface="Times New Roman" panose="02020603050405020304" pitchFamily="18" charset="0"/>
              </a:rPr>
              <a:t>17%</a:t>
            </a:r>
          </a:p>
        </cdr:txBody>
      </cdr:sp>
    </cdr:grpSp>
  </cdr:relSizeAnchor>
</c:userShapes>
</file>

<file path=word/theme/theme1.xml><?xml version="1.0" encoding="utf-8"?>
<a:theme xmlns:a="http://schemas.openxmlformats.org/drawingml/2006/main" name="Office Theme">
  <a:themeElements>
    <a:clrScheme name="JSA">
      <a:dk1>
        <a:sysClr val="windowText" lastClr="000000"/>
      </a:dk1>
      <a:lt1>
        <a:sysClr val="window" lastClr="FFFFFF"/>
      </a:lt1>
      <a:dk2>
        <a:srgbClr val="4B0985"/>
      </a:dk2>
      <a:lt2>
        <a:srgbClr val="D5A3F9"/>
      </a:lt2>
      <a:accent1>
        <a:srgbClr val="6929C4"/>
      </a:accent1>
      <a:accent2>
        <a:srgbClr val="009D9A"/>
      </a:accent2>
      <a:accent3>
        <a:srgbClr val="012749"/>
      </a:accent3>
      <a:accent4>
        <a:srgbClr val="EE538B"/>
      </a:accent4>
      <a:accent5>
        <a:srgbClr val="1192E8"/>
      </a:accent5>
      <a:accent6>
        <a:srgbClr val="9F1853"/>
      </a:accent6>
      <a:hlink>
        <a:srgbClr val="215E9E"/>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144F5A-3C7F-42D8-939D-C2DE9E746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3940</Words>
  <Characters>22458</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26346</CharactersWithSpaces>
  <SharedDoc>false</SharedDoc>
  <HLinks>
    <vt:vector size="252" baseType="variant">
      <vt:variant>
        <vt:i4>1179700</vt:i4>
      </vt:variant>
      <vt:variant>
        <vt:i4>236</vt:i4>
      </vt:variant>
      <vt:variant>
        <vt:i4>0</vt:i4>
      </vt:variant>
      <vt:variant>
        <vt:i4>5</vt:i4>
      </vt:variant>
      <vt:variant>
        <vt:lpwstr/>
      </vt:variant>
      <vt:variant>
        <vt:lpwstr>_Toc242271327</vt:lpwstr>
      </vt:variant>
      <vt:variant>
        <vt:i4>1179700</vt:i4>
      </vt:variant>
      <vt:variant>
        <vt:i4>230</vt:i4>
      </vt:variant>
      <vt:variant>
        <vt:i4>0</vt:i4>
      </vt:variant>
      <vt:variant>
        <vt:i4>5</vt:i4>
      </vt:variant>
      <vt:variant>
        <vt:lpwstr/>
      </vt:variant>
      <vt:variant>
        <vt:lpwstr>_Toc242271326</vt:lpwstr>
      </vt:variant>
      <vt:variant>
        <vt:i4>1179700</vt:i4>
      </vt:variant>
      <vt:variant>
        <vt:i4>221</vt:i4>
      </vt:variant>
      <vt:variant>
        <vt:i4>0</vt:i4>
      </vt:variant>
      <vt:variant>
        <vt:i4>5</vt:i4>
      </vt:variant>
      <vt:variant>
        <vt:lpwstr/>
      </vt:variant>
      <vt:variant>
        <vt:lpwstr>_Toc242271325</vt:lpwstr>
      </vt:variant>
      <vt:variant>
        <vt:i4>1179700</vt:i4>
      </vt:variant>
      <vt:variant>
        <vt:i4>215</vt:i4>
      </vt:variant>
      <vt:variant>
        <vt:i4>0</vt:i4>
      </vt:variant>
      <vt:variant>
        <vt:i4>5</vt:i4>
      </vt:variant>
      <vt:variant>
        <vt:lpwstr/>
      </vt:variant>
      <vt:variant>
        <vt:lpwstr>_Toc242271324</vt:lpwstr>
      </vt:variant>
      <vt:variant>
        <vt:i4>1179700</vt:i4>
      </vt:variant>
      <vt:variant>
        <vt:i4>209</vt:i4>
      </vt:variant>
      <vt:variant>
        <vt:i4>0</vt:i4>
      </vt:variant>
      <vt:variant>
        <vt:i4>5</vt:i4>
      </vt:variant>
      <vt:variant>
        <vt:lpwstr/>
      </vt:variant>
      <vt:variant>
        <vt:lpwstr>_Toc242271323</vt:lpwstr>
      </vt:variant>
      <vt:variant>
        <vt:i4>1179700</vt:i4>
      </vt:variant>
      <vt:variant>
        <vt:i4>203</vt:i4>
      </vt:variant>
      <vt:variant>
        <vt:i4>0</vt:i4>
      </vt:variant>
      <vt:variant>
        <vt:i4>5</vt:i4>
      </vt:variant>
      <vt:variant>
        <vt:lpwstr/>
      </vt:variant>
      <vt:variant>
        <vt:lpwstr>_Toc242271322</vt:lpwstr>
      </vt:variant>
      <vt:variant>
        <vt:i4>1179700</vt:i4>
      </vt:variant>
      <vt:variant>
        <vt:i4>197</vt:i4>
      </vt:variant>
      <vt:variant>
        <vt:i4>0</vt:i4>
      </vt:variant>
      <vt:variant>
        <vt:i4>5</vt:i4>
      </vt:variant>
      <vt:variant>
        <vt:lpwstr/>
      </vt:variant>
      <vt:variant>
        <vt:lpwstr>_Toc242271321</vt:lpwstr>
      </vt:variant>
      <vt:variant>
        <vt:i4>1179700</vt:i4>
      </vt:variant>
      <vt:variant>
        <vt:i4>191</vt:i4>
      </vt:variant>
      <vt:variant>
        <vt:i4>0</vt:i4>
      </vt:variant>
      <vt:variant>
        <vt:i4>5</vt:i4>
      </vt:variant>
      <vt:variant>
        <vt:lpwstr/>
      </vt:variant>
      <vt:variant>
        <vt:lpwstr>_Toc242271320</vt:lpwstr>
      </vt:variant>
      <vt:variant>
        <vt:i4>1114164</vt:i4>
      </vt:variant>
      <vt:variant>
        <vt:i4>185</vt:i4>
      </vt:variant>
      <vt:variant>
        <vt:i4>0</vt:i4>
      </vt:variant>
      <vt:variant>
        <vt:i4>5</vt:i4>
      </vt:variant>
      <vt:variant>
        <vt:lpwstr/>
      </vt:variant>
      <vt:variant>
        <vt:lpwstr>_Toc242271319</vt:lpwstr>
      </vt:variant>
      <vt:variant>
        <vt:i4>1114164</vt:i4>
      </vt:variant>
      <vt:variant>
        <vt:i4>179</vt:i4>
      </vt:variant>
      <vt:variant>
        <vt:i4>0</vt:i4>
      </vt:variant>
      <vt:variant>
        <vt:i4>5</vt:i4>
      </vt:variant>
      <vt:variant>
        <vt:lpwstr/>
      </vt:variant>
      <vt:variant>
        <vt:lpwstr>_Toc242271318</vt:lpwstr>
      </vt:variant>
      <vt:variant>
        <vt:i4>1114164</vt:i4>
      </vt:variant>
      <vt:variant>
        <vt:i4>173</vt:i4>
      </vt:variant>
      <vt:variant>
        <vt:i4>0</vt:i4>
      </vt:variant>
      <vt:variant>
        <vt:i4>5</vt:i4>
      </vt:variant>
      <vt:variant>
        <vt:lpwstr/>
      </vt:variant>
      <vt:variant>
        <vt:lpwstr>_Toc242271317</vt:lpwstr>
      </vt:variant>
      <vt:variant>
        <vt:i4>1114164</vt:i4>
      </vt:variant>
      <vt:variant>
        <vt:i4>167</vt:i4>
      </vt:variant>
      <vt:variant>
        <vt:i4>0</vt:i4>
      </vt:variant>
      <vt:variant>
        <vt:i4>5</vt:i4>
      </vt:variant>
      <vt:variant>
        <vt:lpwstr/>
      </vt:variant>
      <vt:variant>
        <vt:lpwstr>_Toc242271316</vt:lpwstr>
      </vt:variant>
      <vt:variant>
        <vt:i4>1114164</vt:i4>
      </vt:variant>
      <vt:variant>
        <vt:i4>161</vt:i4>
      </vt:variant>
      <vt:variant>
        <vt:i4>0</vt:i4>
      </vt:variant>
      <vt:variant>
        <vt:i4>5</vt:i4>
      </vt:variant>
      <vt:variant>
        <vt:lpwstr/>
      </vt:variant>
      <vt:variant>
        <vt:lpwstr>_Toc242271315</vt:lpwstr>
      </vt:variant>
      <vt:variant>
        <vt:i4>1114164</vt:i4>
      </vt:variant>
      <vt:variant>
        <vt:i4>155</vt:i4>
      </vt:variant>
      <vt:variant>
        <vt:i4>0</vt:i4>
      </vt:variant>
      <vt:variant>
        <vt:i4>5</vt:i4>
      </vt:variant>
      <vt:variant>
        <vt:lpwstr/>
      </vt:variant>
      <vt:variant>
        <vt:lpwstr>_Toc242271314</vt:lpwstr>
      </vt:variant>
      <vt:variant>
        <vt:i4>1114164</vt:i4>
      </vt:variant>
      <vt:variant>
        <vt:i4>149</vt:i4>
      </vt:variant>
      <vt:variant>
        <vt:i4>0</vt:i4>
      </vt:variant>
      <vt:variant>
        <vt:i4>5</vt:i4>
      </vt:variant>
      <vt:variant>
        <vt:lpwstr/>
      </vt:variant>
      <vt:variant>
        <vt:lpwstr>_Toc242271313</vt:lpwstr>
      </vt:variant>
      <vt:variant>
        <vt:i4>1114164</vt:i4>
      </vt:variant>
      <vt:variant>
        <vt:i4>140</vt:i4>
      </vt:variant>
      <vt:variant>
        <vt:i4>0</vt:i4>
      </vt:variant>
      <vt:variant>
        <vt:i4>5</vt:i4>
      </vt:variant>
      <vt:variant>
        <vt:lpwstr/>
      </vt:variant>
      <vt:variant>
        <vt:lpwstr>_Toc242271312</vt:lpwstr>
      </vt:variant>
      <vt:variant>
        <vt:i4>1114164</vt:i4>
      </vt:variant>
      <vt:variant>
        <vt:i4>134</vt:i4>
      </vt:variant>
      <vt:variant>
        <vt:i4>0</vt:i4>
      </vt:variant>
      <vt:variant>
        <vt:i4>5</vt:i4>
      </vt:variant>
      <vt:variant>
        <vt:lpwstr/>
      </vt:variant>
      <vt:variant>
        <vt:lpwstr>_Toc242271311</vt:lpwstr>
      </vt:variant>
      <vt:variant>
        <vt:i4>1114164</vt:i4>
      </vt:variant>
      <vt:variant>
        <vt:i4>125</vt:i4>
      </vt:variant>
      <vt:variant>
        <vt:i4>0</vt:i4>
      </vt:variant>
      <vt:variant>
        <vt:i4>5</vt:i4>
      </vt:variant>
      <vt:variant>
        <vt:lpwstr/>
      </vt:variant>
      <vt:variant>
        <vt:lpwstr>_Toc242271310</vt:lpwstr>
      </vt:variant>
      <vt:variant>
        <vt:i4>1048628</vt:i4>
      </vt:variant>
      <vt:variant>
        <vt:i4>119</vt:i4>
      </vt:variant>
      <vt:variant>
        <vt:i4>0</vt:i4>
      </vt:variant>
      <vt:variant>
        <vt:i4>5</vt:i4>
      </vt:variant>
      <vt:variant>
        <vt:lpwstr/>
      </vt:variant>
      <vt:variant>
        <vt:lpwstr>_Toc242271309</vt:lpwstr>
      </vt:variant>
      <vt:variant>
        <vt:i4>1048628</vt:i4>
      </vt:variant>
      <vt:variant>
        <vt:i4>113</vt:i4>
      </vt:variant>
      <vt:variant>
        <vt:i4>0</vt:i4>
      </vt:variant>
      <vt:variant>
        <vt:i4>5</vt:i4>
      </vt:variant>
      <vt:variant>
        <vt:lpwstr/>
      </vt:variant>
      <vt:variant>
        <vt:lpwstr>_Toc242271308</vt:lpwstr>
      </vt:variant>
      <vt:variant>
        <vt:i4>1048628</vt:i4>
      </vt:variant>
      <vt:variant>
        <vt:i4>104</vt:i4>
      </vt:variant>
      <vt:variant>
        <vt:i4>0</vt:i4>
      </vt:variant>
      <vt:variant>
        <vt:i4>5</vt:i4>
      </vt:variant>
      <vt:variant>
        <vt:lpwstr/>
      </vt:variant>
      <vt:variant>
        <vt:lpwstr>_Toc242271307</vt:lpwstr>
      </vt:variant>
      <vt:variant>
        <vt:i4>1048628</vt:i4>
      </vt:variant>
      <vt:variant>
        <vt:i4>98</vt:i4>
      </vt:variant>
      <vt:variant>
        <vt:i4>0</vt:i4>
      </vt:variant>
      <vt:variant>
        <vt:i4>5</vt:i4>
      </vt:variant>
      <vt:variant>
        <vt:lpwstr/>
      </vt:variant>
      <vt:variant>
        <vt:lpwstr>_Toc242271306</vt:lpwstr>
      </vt:variant>
      <vt:variant>
        <vt:i4>1048628</vt:i4>
      </vt:variant>
      <vt:variant>
        <vt:i4>92</vt:i4>
      </vt:variant>
      <vt:variant>
        <vt:i4>0</vt:i4>
      </vt:variant>
      <vt:variant>
        <vt:i4>5</vt:i4>
      </vt:variant>
      <vt:variant>
        <vt:lpwstr/>
      </vt:variant>
      <vt:variant>
        <vt:lpwstr>_Toc242271305</vt:lpwstr>
      </vt:variant>
      <vt:variant>
        <vt:i4>1048628</vt:i4>
      </vt:variant>
      <vt:variant>
        <vt:i4>86</vt:i4>
      </vt:variant>
      <vt:variant>
        <vt:i4>0</vt:i4>
      </vt:variant>
      <vt:variant>
        <vt:i4>5</vt:i4>
      </vt:variant>
      <vt:variant>
        <vt:lpwstr/>
      </vt:variant>
      <vt:variant>
        <vt:lpwstr>_Toc242271304</vt:lpwstr>
      </vt:variant>
      <vt:variant>
        <vt:i4>1048628</vt:i4>
      </vt:variant>
      <vt:variant>
        <vt:i4>80</vt:i4>
      </vt:variant>
      <vt:variant>
        <vt:i4>0</vt:i4>
      </vt:variant>
      <vt:variant>
        <vt:i4>5</vt:i4>
      </vt:variant>
      <vt:variant>
        <vt:lpwstr/>
      </vt:variant>
      <vt:variant>
        <vt:lpwstr>_Toc242271303</vt:lpwstr>
      </vt:variant>
      <vt:variant>
        <vt:i4>1048628</vt:i4>
      </vt:variant>
      <vt:variant>
        <vt:i4>74</vt:i4>
      </vt:variant>
      <vt:variant>
        <vt:i4>0</vt:i4>
      </vt:variant>
      <vt:variant>
        <vt:i4>5</vt:i4>
      </vt:variant>
      <vt:variant>
        <vt:lpwstr/>
      </vt:variant>
      <vt:variant>
        <vt:lpwstr>_Toc242271302</vt:lpwstr>
      </vt:variant>
      <vt:variant>
        <vt:i4>1048628</vt:i4>
      </vt:variant>
      <vt:variant>
        <vt:i4>68</vt:i4>
      </vt:variant>
      <vt:variant>
        <vt:i4>0</vt:i4>
      </vt:variant>
      <vt:variant>
        <vt:i4>5</vt:i4>
      </vt:variant>
      <vt:variant>
        <vt:lpwstr/>
      </vt:variant>
      <vt:variant>
        <vt:lpwstr>_Toc242271301</vt:lpwstr>
      </vt:variant>
      <vt:variant>
        <vt:i4>1048628</vt:i4>
      </vt:variant>
      <vt:variant>
        <vt:i4>62</vt:i4>
      </vt:variant>
      <vt:variant>
        <vt:i4>0</vt:i4>
      </vt:variant>
      <vt:variant>
        <vt:i4>5</vt:i4>
      </vt:variant>
      <vt:variant>
        <vt:lpwstr/>
      </vt:variant>
      <vt:variant>
        <vt:lpwstr>_Toc242271300</vt:lpwstr>
      </vt:variant>
      <vt:variant>
        <vt:i4>1638453</vt:i4>
      </vt:variant>
      <vt:variant>
        <vt:i4>56</vt:i4>
      </vt:variant>
      <vt:variant>
        <vt:i4>0</vt:i4>
      </vt:variant>
      <vt:variant>
        <vt:i4>5</vt:i4>
      </vt:variant>
      <vt:variant>
        <vt:lpwstr/>
      </vt:variant>
      <vt:variant>
        <vt:lpwstr>_Toc242271299</vt:lpwstr>
      </vt:variant>
      <vt:variant>
        <vt:i4>1638453</vt:i4>
      </vt:variant>
      <vt:variant>
        <vt:i4>50</vt:i4>
      </vt:variant>
      <vt:variant>
        <vt:i4>0</vt:i4>
      </vt:variant>
      <vt:variant>
        <vt:i4>5</vt:i4>
      </vt:variant>
      <vt:variant>
        <vt:lpwstr/>
      </vt:variant>
      <vt:variant>
        <vt:lpwstr>_Toc242271298</vt:lpwstr>
      </vt:variant>
      <vt:variant>
        <vt:i4>1638453</vt:i4>
      </vt:variant>
      <vt:variant>
        <vt:i4>44</vt:i4>
      </vt:variant>
      <vt:variant>
        <vt:i4>0</vt:i4>
      </vt:variant>
      <vt:variant>
        <vt:i4>5</vt:i4>
      </vt:variant>
      <vt:variant>
        <vt:lpwstr/>
      </vt:variant>
      <vt:variant>
        <vt:lpwstr>_Toc242271297</vt:lpwstr>
      </vt:variant>
      <vt:variant>
        <vt:i4>1638453</vt:i4>
      </vt:variant>
      <vt:variant>
        <vt:i4>38</vt:i4>
      </vt:variant>
      <vt:variant>
        <vt:i4>0</vt:i4>
      </vt:variant>
      <vt:variant>
        <vt:i4>5</vt:i4>
      </vt:variant>
      <vt:variant>
        <vt:lpwstr/>
      </vt:variant>
      <vt:variant>
        <vt:lpwstr>_Toc242271296</vt:lpwstr>
      </vt:variant>
      <vt:variant>
        <vt:i4>1638453</vt:i4>
      </vt:variant>
      <vt:variant>
        <vt:i4>32</vt:i4>
      </vt:variant>
      <vt:variant>
        <vt:i4>0</vt:i4>
      </vt:variant>
      <vt:variant>
        <vt:i4>5</vt:i4>
      </vt:variant>
      <vt:variant>
        <vt:lpwstr/>
      </vt:variant>
      <vt:variant>
        <vt:lpwstr>_Toc242271295</vt:lpwstr>
      </vt:variant>
      <vt:variant>
        <vt:i4>1638453</vt:i4>
      </vt:variant>
      <vt:variant>
        <vt:i4>26</vt:i4>
      </vt:variant>
      <vt:variant>
        <vt:i4>0</vt:i4>
      </vt:variant>
      <vt:variant>
        <vt:i4>5</vt:i4>
      </vt:variant>
      <vt:variant>
        <vt:lpwstr/>
      </vt:variant>
      <vt:variant>
        <vt:lpwstr>_Toc242271294</vt:lpwstr>
      </vt:variant>
      <vt:variant>
        <vt:i4>1638453</vt:i4>
      </vt:variant>
      <vt:variant>
        <vt:i4>20</vt:i4>
      </vt:variant>
      <vt:variant>
        <vt:i4>0</vt:i4>
      </vt:variant>
      <vt:variant>
        <vt:i4>5</vt:i4>
      </vt:variant>
      <vt:variant>
        <vt:lpwstr/>
      </vt:variant>
      <vt:variant>
        <vt:lpwstr>_Toc242271293</vt:lpwstr>
      </vt:variant>
      <vt:variant>
        <vt:i4>1638453</vt:i4>
      </vt:variant>
      <vt:variant>
        <vt:i4>14</vt:i4>
      </vt:variant>
      <vt:variant>
        <vt:i4>0</vt:i4>
      </vt:variant>
      <vt:variant>
        <vt:i4>5</vt:i4>
      </vt:variant>
      <vt:variant>
        <vt:lpwstr/>
      </vt:variant>
      <vt:variant>
        <vt:lpwstr>_Toc242271292</vt:lpwstr>
      </vt:variant>
      <vt:variant>
        <vt:i4>1638453</vt:i4>
      </vt:variant>
      <vt:variant>
        <vt:i4>8</vt:i4>
      </vt:variant>
      <vt:variant>
        <vt:i4>0</vt:i4>
      </vt:variant>
      <vt:variant>
        <vt:i4>5</vt:i4>
      </vt:variant>
      <vt:variant>
        <vt:lpwstr/>
      </vt:variant>
      <vt:variant>
        <vt:lpwstr>_Toc242271291</vt:lpwstr>
      </vt:variant>
      <vt:variant>
        <vt:i4>1638453</vt:i4>
      </vt:variant>
      <vt:variant>
        <vt:i4>2</vt:i4>
      </vt:variant>
      <vt:variant>
        <vt:i4>0</vt:i4>
      </vt:variant>
      <vt:variant>
        <vt:i4>5</vt:i4>
      </vt:variant>
      <vt:variant>
        <vt:lpwstr/>
      </vt:variant>
      <vt:variant>
        <vt:lpwstr>_Toc242271290</vt:lpwstr>
      </vt:variant>
      <vt:variant>
        <vt:i4>393308</vt:i4>
      </vt:variant>
      <vt:variant>
        <vt:i4>9</vt:i4>
      </vt:variant>
      <vt:variant>
        <vt:i4>0</vt:i4>
      </vt:variant>
      <vt:variant>
        <vt:i4>5</vt:i4>
      </vt:variant>
      <vt:variant>
        <vt:lpwstr>https://www.jobsandskills.gov.au/data/occupation-shortage</vt:lpwstr>
      </vt:variant>
      <vt:variant>
        <vt:lpwstr>methodologypaper</vt:lpwstr>
      </vt:variant>
      <vt:variant>
        <vt:i4>7864425</vt:i4>
      </vt:variant>
      <vt:variant>
        <vt:i4>6</vt:i4>
      </vt:variant>
      <vt:variant>
        <vt:i4>0</vt:i4>
      </vt:variant>
      <vt:variant>
        <vt:i4>5</vt:i4>
      </vt:variant>
      <vt:variant>
        <vt:lpwstr>https://www.jobsandskills.gov.au/data/total-new-vacancies</vt:lpwstr>
      </vt:variant>
      <vt:variant>
        <vt:lpwstr>totalnewvacanciesm</vt:lpwstr>
      </vt:variant>
      <vt:variant>
        <vt:i4>7012477</vt:i4>
      </vt:variant>
      <vt:variant>
        <vt:i4>3</vt:i4>
      </vt:variant>
      <vt:variant>
        <vt:i4>0</vt:i4>
      </vt:variant>
      <vt:variant>
        <vt:i4>5</vt:i4>
      </vt:variant>
      <vt:variant>
        <vt:lpwstr>https://www.jobsandskills.gov.au/data/recruitment-experiences-and-outlook-survey</vt:lpwstr>
      </vt:variant>
      <vt:variant>
        <vt:lpwstr>methodology</vt:lpwstr>
      </vt:variant>
      <vt:variant>
        <vt:i4>393308</vt:i4>
      </vt:variant>
      <vt:variant>
        <vt:i4>0</vt:i4>
      </vt:variant>
      <vt:variant>
        <vt:i4>0</vt:i4>
      </vt:variant>
      <vt:variant>
        <vt:i4>5</vt:i4>
      </vt:variant>
      <vt:variant>
        <vt:lpwstr>https://www.jobsandskills.gov.au/data/occupation-shortage</vt:lpwstr>
      </vt:variant>
      <vt:variant>
        <vt:lpwstr>methodologypaper</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2026-10-20T22:40:00Z</dcterms:created>
  <dcterms:modified xsi:type="dcterms:W3CDTF">2026-10-20T22:40:00Z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2026-10-20T22:40:21Z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355473ad-128d-4f4b-a785-04f2063a6d3e</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