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7B651" w14:textId="15414E00" w:rsidR="00732448" w:rsidRPr="002212A8" w:rsidRDefault="00CE5805" w:rsidP="005D6222">
      <w:pPr>
        <w:pStyle w:val="Title"/>
        <w:spacing w:before="480"/>
      </w:pPr>
      <w:bookmarkStart w:id="0" w:name="_Toc176263235"/>
      <w:r w:rsidRPr="002212A8">
        <w:t>Recruitment trends in the IT industry</w:t>
      </w:r>
      <w:bookmarkEnd w:id="0"/>
      <w:r w:rsidRPr="002212A8">
        <w:t>: Analysis of the REOS dataset</w:t>
      </w:r>
    </w:p>
    <w:p w14:paraId="1BE663A2" w14:textId="4861A3F8" w:rsidR="009D3B92" w:rsidRDefault="009D3B92" w:rsidP="009D3B92">
      <w:pPr>
        <w:pStyle w:val="BodyText"/>
      </w:pPr>
      <w:r w:rsidRPr="009D3B92">
        <w:t xml:space="preserve">The IT industry is a significant contributor to Australia's digital economy and has recorded strong employment growth in recent years. While long-term employment projections remain positive, other labour market indicators point to changing conditions, including lower </w:t>
      </w:r>
      <w:r w:rsidR="00732D66">
        <w:t xml:space="preserve">levels of </w:t>
      </w:r>
      <w:r w:rsidR="00C15269">
        <w:t xml:space="preserve">online </w:t>
      </w:r>
      <w:r w:rsidR="00732D66" w:rsidRPr="00712D45">
        <w:t>job advertisement</w:t>
      </w:r>
      <w:r w:rsidR="00C15269">
        <w:t>s</w:t>
      </w:r>
      <w:r w:rsidRPr="009D3B92">
        <w:t>, softer recruitment activity and more subdued employer staffing expectations. Understanding these developments is important because the sector plays a key role in technological adoption and innovation across the broader economy.</w:t>
      </w:r>
    </w:p>
    <w:p w14:paraId="38777022" w14:textId="2A2B3703" w:rsidR="00A21EEA" w:rsidRPr="009D3B92" w:rsidRDefault="00A21EEA" w:rsidP="009D3B92">
      <w:pPr>
        <w:pStyle w:val="BodyText"/>
      </w:pPr>
      <w:r w:rsidRPr="00A21EEA">
        <w:t>The IT industry may also provide an early indication of how emerging technologies are influencing workforce and recruitment patterns. Recent evidence suggests that many ICT occupations are experiencing rapid skill change and relatively high exposure to AI-related augmentation.</w:t>
      </w:r>
      <w:r>
        <w:rPr>
          <w:rStyle w:val="FootnoteReference"/>
        </w:rPr>
        <w:footnoteReference w:id="1"/>
      </w:r>
      <w:r w:rsidRPr="00A21EEA">
        <w:t xml:space="preserve"> However, current evidence does not indicate widespread AI-related disruption to employment growth.</w:t>
      </w:r>
      <w:r w:rsidR="000E1378">
        <w:rPr>
          <w:rStyle w:val="FootnoteReference"/>
        </w:rPr>
        <w:footnoteReference w:id="2"/>
      </w:r>
      <w:r w:rsidRPr="00A21EEA">
        <w:t xml:space="preserve"> </w:t>
      </w:r>
      <w:r w:rsidR="00CB2DEA">
        <w:t>T</w:t>
      </w:r>
      <w:r w:rsidRPr="00A21EEA">
        <w:t xml:space="preserve">his report considers whether broader labour market indicators </w:t>
      </w:r>
      <w:r w:rsidR="00AD61DA">
        <w:t>point to</w:t>
      </w:r>
      <w:r w:rsidR="00AD61DA" w:rsidRPr="00A21EEA">
        <w:t xml:space="preserve"> </w:t>
      </w:r>
      <w:r w:rsidRPr="00A21EEA">
        <w:t>changing recruitment conditions in the sector and how these compare with wider industry trends.</w:t>
      </w:r>
    </w:p>
    <w:p w14:paraId="3F4D8D59" w14:textId="3BD95676" w:rsidR="00A45D77" w:rsidRPr="00A45D77" w:rsidRDefault="00CE5805" w:rsidP="00A45D77">
      <w:pPr>
        <w:pStyle w:val="BodyText"/>
      </w:pPr>
      <w:r w:rsidRPr="00D7358E">
        <w:t>Using data from Jobs and Skills Australia’s Recruitment Experiences and Outlook Survey (REOS), this report examines recruitment trends in the IT industry</w:t>
      </w:r>
      <w:r w:rsidR="0099676B">
        <w:t xml:space="preserve">, </w:t>
      </w:r>
      <w:r w:rsidR="00E13693" w:rsidRPr="00E13693">
        <w:t>including recruitment activity, hiring difficulty, applicant</w:t>
      </w:r>
      <w:r w:rsidR="00AD61DA">
        <w:t xml:space="preserve"> per vacancy</w:t>
      </w:r>
      <w:r w:rsidR="00E13693" w:rsidRPr="00E13693">
        <w:t xml:space="preserve"> numbers and employer expectations. It also draws on other labour market evidence, including employment, vacancy and occupational data, to provide a broader picture of recruitment trends</w:t>
      </w:r>
      <w:r w:rsidR="006A7EE1">
        <w:t xml:space="preserve"> in the indu</w:t>
      </w:r>
      <w:r w:rsidR="0010717E">
        <w:t>stry</w:t>
      </w:r>
      <w:r w:rsidR="00625CD5">
        <w:t>.</w:t>
      </w:r>
      <w:r w:rsidR="00A45D77">
        <w:t xml:space="preserve"> </w:t>
      </w:r>
      <w:r w:rsidR="00A45D77" w:rsidRPr="00A45D77">
        <w:t>The findings suggest that recruitment conditions in the IT industry</w:t>
      </w:r>
      <w:r w:rsidR="00651C52">
        <w:t>, on average, tend to be</w:t>
      </w:r>
      <w:r w:rsidR="004A0926">
        <w:t xml:space="preserve"> </w:t>
      </w:r>
      <w:r w:rsidR="00A45D77" w:rsidRPr="00A45D77">
        <w:t>softer than in many other industries, with relatively large applicant pools and lower recruitment difficulty pointing to strong competition for vacancies, although employers continue to report challenges in finding candidates with specific technical skills.</w:t>
      </w:r>
    </w:p>
    <w:p w14:paraId="2AA1D173" w14:textId="77777777" w:rsidR="007D40B7" w:rsidRDefault="00CE5805" w:rsidP="00313C5A">
      <w:pPr>
        <w:pStyle w:val="BodyText"/>
      </w:pPr>
      <w:r w:rsidRPr="00D7358E">
        <w:t xml:space="preserve">For this report, the IT industry is </w:t>
      </w:r>
      <w:r w:rsidR="00135951">
        <w:t>defined</w:t>
      </w:r>
      <w:r w:rsidR="00031BAB">
        <w:t xml:space="preserve"> as</w:t>
      </w:r>
      <w:r w:rsidRPr="00D7358E">
        <w:t xml:space="preserve"> the ABS ANZSIC Subdivision 70 Computer System Design and Related Services. </w:t>
      </w:r>
      <w:r w:rsidR="00107088" w:rsidRPr="00D7358E">
        <w:t xml:space="preserve">This industry sits within the </w:t>
      </w:r>
      <w:r w:rsidR="00841D41" w:rsidRPr="00D7358E">
        <w:t>Professional, Scientific and Technical Services</w:t>
      </w:r>
      <w:r w:rsidR="00107088" w:rsidRPr="00D7358E">
        <w:t xml:space="preserve"> industry division. </w:t>
      </w:r>
      <w:r w:rsidR="009408EE">
        <w:t xml:space="preserve">The remaining </w:t>
      </w:r>
      <w:r w:rsidR="00920C7F">
        <w:t>industries</w:t>
      </w:r>
      <w:r w:rsidR="009408EE">
        <w:t xml:space="preserve"> within this division fall into </w:t>
      </w:r>
      <w:r w:rsidR="00977BEB">
        <w:t xml:space="preserve">the </w:t>
      </w:r>
      <w:r w:rsidR="00977BEB" w:rsidRPr="00D7358E">
        <w:t xml:space="preserve">ANZSIC Subdivision </w:t>
      </w:r>
      <w:r w:rsidR="009408EE">
        <w:t xml:space="preserve">69 </w:t>
      </w:r>
      <w:r w:rsidR="009408EE" w:rsidRPr="009408EE">
        <w:t xml:space="preserve">Professional, Scientific and Technical Services (Except </w:t>
      </w:r>
      <w:r w:rsidR="009408EE" w:rsidRPr="009408EE">
        <w:lastRenderedPageBreak/>
        <w:t>Computer System Design and Related Services)</w:t>
      </w:r>
      <w:r w:rsidR="009408EE">
        <w:t xml:space="preserve"> and are referred to as ‘Other </w:t>
      </w:r>
      <w:r w:rsidR="009408EE" w:rsidRPr="009408EE">
        <w:t>Professional, Scientific and Technical Services</w:t>
      </w:r>
      <w:r w:rsidR="009408EE">
        <w:t>’ industries in this paper.</w:t>
      </w:r>
      <w:r w:rsidR="00A96924">
        <w:t xml:space="preserve"> </w:t>
      </w:r>
    </w:p>
    <w:p w14:paraId="7493EE25" w14:textId="43303980" w:rsidR="00AB3F47" w:rsidRPr="00F55390" w:rsidRDefault="00920C7F" w:rsidP="00313C5A">
      <w:pPr>
        <w:pStyle w:val="BodyText"/>
      </w:pPr>
      <w:r w:rsidRPr="00920C7F">
        <w:t xml:space="preserve">While the IT industry employs the largest share of ICT Professionals, these workers are </w:t>
      </w:r>
      <w:r w:rsidRPr="00F55390">
        <w:t>employed across all industry divisions. Similarly, the IT industry itself has a broad occupational profile, employing workers across all major occupation groups, from managers and professionals through to labourers</w:t>
      </w:r>
      <w:r w:rsidR="004E464C">
        <w:t>.</w:t>
      </w:r>
      <w:r w:rsidR="00591034" w:rsidRPr="00F55390">
        <w:rPr>
          <w:rStyle w:val="FootnoteReference"/>
        </w:rPr>
        <w:footnoteReference w:id="3"/>
      </w:r>
      <w:r w:rsidR="00F73FEB">
        <w:t xml:space="preserve"> </w:t>
      </w:r>
    </w:p>
    <w:p w14:paraId="5109343F" w14:textId="6C1558A5" w:rsidR="005B6BDF" w:rsidRPr="005B6BDF" w:rsidRDefault="009B56AF" w:rsidP="005B6BDF">
      <w:pPr>
        <w:pStyle w:val="BodyText"/>
      </w:pPr>
      <w:r>
        <w:t xml:space="preserve">Given the </w:t>
      </w:r>
      <w:r w:rsidR="007F0662">
        <w:t>relatively</w:t>
      </w:r>
      <w:r>
        <w:t xml:space="preserve"> small</w:t>
      </w:r>
      <w:r w:rsidR="00920C7F" w:rsidRPr="00F55390">
        <w:t xml:space="preserve"> REOS sample size for the IT industry</w:t>
      </w:r>
      <w:r>
        <w:t>,</w:t>
      </w:r>
      <w:r w:rsidR="007F0662">
        <w:t xml:space="preserve"> findings</w:t>
      </w:r>
      <w:r w:rsidR="00920C7F" w:rsidRPr="00F55390">
        <w:t xml:space="preserve"> should be </w:t>
      </w:r>
      <w:r w:rsidR="007F0662">
        <w:t>interpreted</w:t>
      </w:r>
      <w:r w:rsidR="007F0662" w:rsidRPr="00F55390">
        <w:t xml:space="preserve"> </w:t>
      </w:r>
      <w:r w:rsidR="00920C7F" w:rsidRPr="00F55390">
        <w:t xml:space="preserve">in their broader </w:t>
      </w:r>
      <w:r w:rsidR="007F0662">
        <w:t>labour market</w:t>
      </w:r>
      <w:r w:rsidR="00F153DF">
        <w:t xml:space="preserve"> </w:t>
      </w:r>
      <w:r w:rsidR="00920C7F" w:rsidRPr="00F55390">
        <w:t xml:space="preserve">context and not in isolation. </w:t>
      </w:r>
      <w:r w:rsidR="00F153DF" w:rsidRPr="00F55390">
        <w:t xml:space="preserve">Where possible, annual results </w:t>
      </w:r>
      <w:r w:rsidR="00F153DF">
        <w:t>are</w:t>
      </w:r>
      <w:r w:rsidR="00F153DF" w:rsidRPr="00F55390">
        <w:t xml:space="preserve"> presented on a financial year basis</w:t>
      </w:r>
      <w:r w:rsidR="005B6BDF">
        <w:t xml:space="preserve">, </w:t>
      </w:r>
      <w:r w:rsidR="005B6BDF" w:rsidRPr="005B6BDF">
        <w:t xml:space="preserve">while more disaggregated analysis draws on the broader REOS dataset covering </w:t>
      </w:r>
      <w:r w:rsidR="0015257E">
        <w:t xml:space="preserve">financial years </w:t>
      </w:r>
      <w:r w:rsidR="005B6BDF" w:rsidRPr="005B6BDF">
        <w:t>2020-21 to 2025-26 to increase sample size and support more robust results.</w:t>
      </w:r>
    </w:p>
    <w:p w14:paraId="6D9906E1" w14:textId="18BE9ADF" w:rsidR="00CE5805" w:rsidRPr="00920C7F" w:rsidRDefault="00CE5805" w:rsidP="00364F62">
      <w:pPr>
        <w:pStyle w:val="Heading1"/>
      </w:pPr>
      <w:r w:rsidRPr="00920C7F">
        <w:t xml:space="preserve">Key </w:t>
      </w:r>
      <w:r w:rsidR="00C15269">
        <w:t>findings</w:t>
      </w:r>
    </w:p>
    <w:p w14:paraId="00F3FFF8" w14:textId="79D193B1" w:rsidR="001E4042" w:rsidRPr="00920C7F" w:rsidRDefault="00452F11" w:rsidP="00FE480C">
      <w:pPr>
        <w:pStyle w:val="Heading2"/>
      </w:pPr>
      <w:r>
        <w:t xml:space="preserve">For </w:t>
      </w:r>
      <w:r w:rsidR="00C15269">
        <w:t xml:space="preserve">the </w:t>
      </w:r>
      <w:r w:rsidR="00C63424" w:rsidRPr="00920C7F">
        <w:t>IT industry</w:t>
      </w:r>
    </w:p>
    <w:p w14:paraId="3BEC64C2" w14:textId="64243251" w:rsidR="00940DBD" w:rsidRDefault="00F17C43" w:rsidP="00F17C43">
      <w:pPr>
        <w:pStyle w:val="ListBullet"/>
      </w:pPr>
      <w:r>
        <w:t xml:space="preserve">REOS results indicate a significant recent shift in </w:t>
      </w:r>
      <w:r w:rsidR="00AD51A0">
        <w:t xml:space="preserve">the areas of major concern </w:t>
      </w:r>
      <w:r w:rsidR="00204ADD">
        <w:t>cited by</w:t>
      </w:r>
      <w:r w:rsidR="00AD51A0">
        <w:t xml:space="preserve"> employers in the IT industry</w:t>
      </w:r>
      <w:r w:rsidR="00BA5A68">
        <w:t xml:space="preserve"> -</w:t>
      </w:r>
      <w:r w:rsidR="00204ADD">
        <w:t xml:space="preserve"> </w:t>
      </w:r>
      <w:r w:rsidR="00940DBD">
        <w:t xml:space="preserve">away from concerns about recruitment or retention difficulties and towards </w:t>
      </w:r>
      <w:r w:rsidR="00BA5A68">
        <w:t xml:space="preserve">concerns about </w:t>
      </w:r>
      <w:r w:rsidR="00204ADD">
        <w:t>a lack of demand for products or services</w:t>
      </w:r>
      <w:r w:rsidR="00AD51A0">
        <w:t>.</w:t>
      </w:r>
    </w:p>
    <w:p w14:paraId="5225C123" w14:textId="437007A9" w:rsidR="009D44A5" w:rsidRDefault="00F17C43" w:rsidP="00F17C43">
      <w:pPr>
        <w:pStyle w:val="ListBullet"/>
      </w:pPr>
      <w:r>
        <w:t>I</w:t>
      </w:r>
      <w:r w:rsidRPr="00920C7F">
        <w:t>n 2025</w:t>
      </w:r>
      <w:r>
        <w:t xml:space="preserve">-26, only 3% </w:t>
      </w:r>
      <w:r w:rsidRPr="006437E9">
        <w:t xml:space="preserve">nominated recruitment or retention difficulties as their greatest concern over the next three months, </w:t>
      </w:r>
      <w:r w:rsidRPr="00920C7F">
        <w:t xml:space="preserve">compared </w:t>
      </w:r>
      <w:r>
        <w:t>with 20% of employers in Other</w:t>
      </w:r>
      <w:r w:rsidRPr="00920C7F">
        <w:t xml:space="preserve"> Professional, Scientific and Technical Services industries. </w:t>
      </w:r>
      <w:r w:rsidR="00A662FE">
        <w:t xml:space="preserve">This </w:t>
      </w:r>
      <w:r w:rsidR="003F5423">
        <w:t xml:space="preserve">represents a significant reduction </w:t>
      </w:r>
      <w:r w:rsidR="00A662FE">
        <w:t>compare</w:t>
      </w:r>
      <w:r w:rsidR="003F5423">
        <w:t xml:space="preserve">d to previous years. </w:t>
      </w:r>
      <w:r w:rsidR="002D0E66">
        <w:t>Annualised data</w:t>
      </w:r>
      <w:r w:rsidR="003F5423">
        <w:t xml:space="preserve"> from 2021-22 </w:t>
      </w:r>
      <w:r w:rsidR="003E347F">
        <w:t>from 2024-25</w:t>
      </w:r>
      <w:r w:rsidR="002D0E66">
        <w:t xml:space="preserve"> </w:t>
      </w:r>
      <w:r w:rsidR="00EF6E9F">
        <w:t>highlights that</w:t>
      </w:r>
      <w:r w:rsidR="003E347F">
        <w:t xml:space="preserve"> between 18% and 30% of employer</w:t>
      </w:r>
      <w:r w:rsidR="00A662FE">
        <w:t xml:space="preserve">s in the IT industry </w:t>
      </w:r>
      <w:r w:rsidR="003E347F" w:rsidRPr="006437E9">
        <w:t>nominated recruitment or retention difficulties as their greatest concern</w:t>
      </w:r>
      <w:r w:rsidR="00EF6E9F">
        <w:t xml:space="preserve"> each year.</w:t>
      </w:r>
    </w:p>
    <w:p w14:paraId="42F65078" w14:textId="7B3476DB" w:rsidR="00F17C43" w:rsidRPr="00920C7F" w:rsidRDefault="00F17C43" w:rsidP="00F17C43">
      <w:pPr>
        <w:pStyle w:val="ListBullet"/>
      </w:pPr>
      <w:r>
        <w:t>Instead, l</w:t>
      </w:r>
      <w:r w:rsidRPr="00920C7F">
        <w:t xml:space="preserve">ack of demand for products or services was the most </w:t>
      </w:r>
      <w:r>
        <w:t>cited</w:t>
      </w:r>
      <w:r w:rsidRPr="00920C7F">
        <w:t xml:space="preserve"> concern for </w:t>
      </w:r>
      <w:r>
        <w:t>employers in the IT</w:t>
      </w:r>
      <w:r w:rsidRPr="00920C7F">
        <w:t xml:space="preserve"> industr</w:t>
      </w:r>
      <w:r>
        <w:t>y</w:t>
      </w:r>
      <w:r w:rsidRPr="00920C7F">
        <w:t xml:space="preserve"> in 2025-26 (43%</w:t>
      </w:r>
      <w:r>
        <w:t>, compared with</w:t>
      </w:r>
      <w:r w:rsidRPr="00920C7F">
        <w:t xml:space="preserve"> 23% </w:t>
      </w:r>
      <w:r w:rsidRPr="0005454B">
        <w:t xml:space="preserve">for </w:t>
      </w:r>
      <w:r>
        <w:t>O</w:t>
      </w:r>
      <w:r w:rsidRPr="0005454B">
        <w:t>ther Professional, Scientific and Technical Services</w:t>
      </w:r>
      <w:r>
        <w:t xml:space="preserve"> industries</w:t>
      </w:r>
      <w:r w:rsidRPr="00920C7F">
        <w:t>).</w:t>
      </w:r>
      <w:r w:rsidR="009D44A5">
        <w:t xml:space="preserve"> This </w:t>
      </w:r>
      <w:r w:rsidR="00EF03FA">
        <w:t xml:space="preserve">represents a significant increase </w:t>
      </w:r>
      <w:r w:rsidR="00713574">
        <w:t xml:space="preserve">when </w:t>
      </w:r>
      <w:r w:rsidR="009D44A5">
        <w:t>compare</w:t>
      </w:r>
      <w:r w:rsidR="00713574">
        <w:t>d</w:t>
      </w:r>
      <w:r w:rsidR="009D44A5">
        <w:t xml:space="preserve"> to only 8% of </w:t>
      </w:r>
      <w:r w:rsidR="00016B20">
        <w:t>employers in the IT industry citing lack of demand for products and services in 2023-24.</w:t>
      </w:r>
    </w:p>
    <w:p w14:paraId="76AE15B8" w14:textId="4C761F4C" w:rsidR="007A4F44" w:rsidRDefault="00BA5A68" w:rsidP="00670999">
      <w:pPr>
        <w:pStyle w:val="ListBullet"/>
      </w:pPr>
      <w:r>
        <w:t xml:space="preserve">This shift in </w:t>
      </w:r>
      <w:r w:rsidR="007A4F44">
        <w:t xml:space="preserve">IT industry </w:t>
      </w:r>
      <w:r w:rsidR="009B3DB4">
        <w:t xml:space="preserve">employer concerns is likely to </w:t>
      </w:r>
      <w:r w:rsidR="00B418A8">
        <w:t xml:space="preserve">have </w:t>
      </w:r>
      <w:r w:rsidR="009B3DB4">
        <w:t>influence</w:t>
      </w:r>
      <w:r w:rsidR="00B418A8">
        <w:t>d</w:t>
      </w:r>
      <w:r w:rsidR="009B3DB4">
        <w:t xml:space="preserve"> both </w:t>
      </w:r>
      <w:r w:rsidR="007A4F44">
        <w:t xml:space="preserve">their </w:t>
      </w:r>
      <w:r w:rsidR="00FC5BE4">
        <w:t xml:space="preserve">recent </w:t>
      </w:r>
      <w:r w:rsidR="009B3DB4">
        <w:t>recruitment activity and</w:t>
      </w:r>
      <w:r w:rsidR="007A4F44">
        <w:t xml:space="preserve"> their</w:t>
      </w:r>
      <w:r w:rsidR="009B3DB4">
        <w:t xml:space="preserve"> </w:t>
      </w:r>
      <w:r w:rsidR="00FC5BE4">
        <w:t xml:space="preserve">recent views on </w:t>
      </w:r>
      <w:r w:rsidR="009B3DB4">
        <w:t>future employment expectations</w:t>
      </w:r>
      <w:r w:rsidR="00B418A8">
        <w:t xml:space="preserve"> to some degree, though this effect cannot be quantified</w:t>
      </w:r>
      <w:r w:rsidR="007A4F44">
        <w:t xml:space="preserve">. </w:t>
      </w:r>
    </w:p>
    <w:p w14:paraId="36DBD4DC" w14:textId="154E77DD" w:rsidR="009479C1" w:rsidRPr="00920C7F" w:rsidRDefault="00592D4D" w:rsidP="00AB05D5">
      <w:pPr>
        <w:pStyle w:val="ListBullet"/>
      </w:pPr>
      <w:r>
        <w:t>In 2025-26, t</w:t>
      </w:r>
      <w:r w:rsidR="0035695F" w:rsidRPr="00920C7F">
        <w:t>he IT industry</w:t>
      </w:r>
      <w:r w:rsidR="00DF140A" w:rsidRPr="00920C7F">
        <w:t xml:space="preserve"> </w:t>
      </w:r>
      <w:r w:rsidR="00D15C16" w:rsidRPr="00920C7F">
        <w:t xml:space="preserve">recruitment rate </w:t>
      </w:r>
      <w:r w:rsidR="00DF140A" w:rsidRPr="00920C7F">
        <w:t>(</w:t>
      </w:r>
      <w:r w:rsidR="009076A0" w:rsidRPr="00920C7F">
        <w:t>32</w:t>
      </w:r>
      <w:r w:rsidR="00DF140A" w:rsidRPr="00920C7F">
        <w:t xml:space="preserve">%) </w:t>
      </w:r>
      <w:r>
        <w:t>was</w:t>
      </w:r>
      <w:r w:rsidRPr="00920C7F">
        <w:t xml:space="preserve"> </w:t>
      </w:r>
      <w:r w:rsidR="009076A0" w:rsidRPr="00920C7F">
        <w:t>considerably</w:t>
      </w:r>
      <w:r w:rsidR="00DF140A" w:rsidRPr="00920C7F">
        <w:t xml:space="preserve"> lower than </w:t>
      </w:r>
      <w:r w:rsidR="009076A0" w:rsidRPr="00920C7F">
        <w:t>the</w:t>
      </w:r>
      <w:r w:rsidR="00DF140A" w:rsidRPr="00920C7F">
        <w:t xml:space="preserve"> average for </w:t>
      </w:r>
      <w:r w:rsidR="0097563C" w:rsidRPr="00920C7F">
        <w:t>Other</w:t>
      </w:r>
      <w:r w:rsidR="009076A0" w:rsidRPr="00920C7F">
        <w:t xml:space="preserve"> </w:t>
      </w:r>
      <w:r w:rsidR="00841D41" w:rsidRPr="00920C7F">
        <w:t>Professional, Scientific and Technical Services</w:t>
      </w:r>
      <w:r w:rsidR="00DF140A" w:rsidRPr="00920C7F">
        <w:t xml:space="preserve"> (</w:t>
      </w:r>
      <w:r w:rsidR="009076A0" w:rsidRPr="00920C7F">
        <w:t>41</w:t>
      </w:r>
      <w:r w:rsidR="00DF140A" w:rsidRPr="00920C7F">
        <w:t>%)</w:t>
      </w:r>
      <w:r w:rsidR="009076A0" w:rsidRPr="00920C7F">
        <w:t xml:space="preserve"> and the average for all industries (49%). </w:t>
      </w:r>
      <w:r w:rsidR="00A8620A">
        <w:t xml:space="preserve">This is consistent with </w:t>
      </w:r>
      <w:r w:rsidR="001A2E81">
        <w:t xml:space="preserve">a theme of softened recruitment levels </w:t>
      </w:r>
      <w:r w:rsidR="00AE7063">
        <w:t xml:space="preserve">highlighted in </w:t>
      </w:r>
      <w:hyperlink r:id="rId8" w:history="1">
        <w:r w:rsidR="00AE7063" w:rsidRPr="00AE7063">
          <w:rPr>
            <w:rStyle w:val="Hyperlink"/>
          </w:rPr>
          <w:t>Future Skills Organisation's Workforce Plan 2026</w:t>
        </w:r>
      </w:hyperlink>
      <w:r w:rsidR="00AE7063">
        <w:t>.</w:t>
      </w:r>
    </w:p>
    <w:p w14:paraId="22B81065" w14:textId="6294488D" w:rsidR="00CE5805" w:rsidRPr="00B04A4D" w:rsidRDefault="00DF140A" w:rsidP="00AB05D5">
      <w:pPr>
        <w:pStyle w:val="ListBullet"/>
      </w:pPr>
      <w:r w:rsidRPr="00B04A4D">
        <w:t xml:space="preserve">Employment expectations </w:t>
      </w:r>
      <w:r w:rsidR="00945A4F" w:rsidRPr="00B04A4D">
        <w:t>were</w:t>
      </w:r>
      <w:r w:rsidRPr="00B04A4D">
        <w:t xml:space="preserve"> also subdued</w:t>
      </w:r>
      <w:r w:rsidR="00945A4F" w:rsidRPr="00B04A4D">
        <w:t xml:space="preserve"> in the IT industry</w:t>
      </w:r>
      <w:r w:rsidR="00EC643F" w:rsidRPr="00B04A4D">
        <w:t xml:space="preserve"> in 2025-26,</w:t>
      </w:r>
      <w:r w:rsidR="00945A4F" w:rsidRPr="00B04A4D">
        <w:t xml:space="preserve"> with just 1</w:t>
      </w:r>
      <w:r w:rsidR="009076A0" w:rsidRPr="00B04A4D">
        <w:t>6</w:t>
      </w:r>
      <w:r w:rsidR="00945A4F" w:rsidRPr="00B04A4D">
        <w:t>%</w:t>
      </w:r>
      <w:r w:rsidR="00921215" w:rsidRPr="00B04A4D">
        <w:t xml:space="preserve"> of </w:t>
      </w:r>
      <w:r w:rsidR="00D44BC4" w:rsidRPr="00B04A4D">
        <w:t>employers in the industry</w:t>
      </w:r>
      <w:r w:rsidR="00945A4F" w:rsidRPr="00B04A4D">
        <w:t xml:space="preserve"> expecting to increase staffing</w:t>
      </w:r>
      <w:r w:rsidR="009076A0" w:rsidRPr="00B04A4D">
        <w:t xml:space="preserve"> </w:t>
      </w:r>
      <w:r w:rsidR="002D4ED8" w:rsidRPr="00B04A4D">
        <w:t xml:space="preserve">in the </w:t>
      </w:r>
      <w:r w:rsidR="006B14CF" w:rsidRPr="00B04A4D">
        <w:t>three</w:t>
      </w:r>
      <w:r w:rsidR="002D4ED8" w:rsidRPr="00B04A4D">
        <w:t xml:space="preserve"> months after being surveyed</w:t>
      </w:r>
      <w:r w:rsidR="00FB66D6" w:rsidRPr="00B04A4D">
        <w:t xml:space="preserve">, </w:t>
      </w:r>
      <w:r w:rsidR="00712D45" w:rsidRPr="00B04A4D">
        <w:t>the</w:t>
      </w:r>
      <w:r w:rsidR="00945A4F" w:rsidRPr="00B04A4D">
        <w:t xml:space="preserve"> lowest level in recent years</w:t>
      </w:r>
      <w:r w:rsidR="0054297B" w:rsidRPr="00B04A4D">
        <w:t xml:space="preserve"> and</w:t>
      </w:r>
      <w:r w:rsidR="009076A0" w:rsidRPr="00B04A4D">
        <w:t xml:space="preserve"> below the</w:t>
      </w:r>
      <w:r w:rsidR="00D7358E" w:rsidRPr="00B04A4D">
        <w:t xml:space="preserve"> </w:t>
      </w:r>
      <w:r w:rsidR="009076A0" w:rsidRPr="00B04A4D">
        <w:t>all</w:t>
      </w:r>
      <w:r w:rsidR="00D7358E" w:rsidRPr="00B04A4D">
        <w:t>-</w:t>
      </w:r>
      <w:r w:rsidR="009076A0" w:rsidRPr="00B04A4D">
        <w:t xml:space="preserve">industry average (19%). </w:t>
      </w:r>
    </w:p>
    <w:p w14:paraId="1CF5480C" w14:textId="64BED50E" w:rsidR="00A10DDF" w:rsidRDefault="000617DA" w:rsidP="00A10DDF">
      <w:pPr>
        <w:pStyle w:val="ListBullet"/>
      </w:pPr>
      <w:r>
        <w:lastRenderedPageBreak/>
        <w:t>In line with th</w:t>
      </w:r>
      <w:r w:rsidR="001B584C">
        <w:t xml:space="preserve">is weaker hiring demand, </w:t>
      </w:r>
      <w:r w:rsidR="006B176E" w:rsidRPr="00CB5479">
        <w:t xml:space="preserve">recruitment </w:t>
      </w:r>
      <w:r w:rsidR="00A10DDF" w:rsidRPr="00A10DDF">
        <w:t>difficulty in the IT industry was relatively low, recording the second-lowest recruitment difficulty rate among the industry subdivisions analysed.</w:t>
      </w:r>
    </w:p>
    <w:p w14:paraId="04A64A18" w14:textId="1B2F46D5" w:rsidR="00070846" w:rsidRPr="00070846" w:rsidRDefault="00070846" w:rsidP="00070846">
      <w:pPr>
        <w:pStyle w:val="ListBullet"/>
      </w:pPr>
      <w:r w:rsidRPr="00070846">
        <w:t>REOS data also suggest strong competition for vacancies</w:t>
      </w:r>
      <w:r>
        <w:t xml:space="preserve"> in the industry</w:t>
      </w:r>
      <w:r w:rsidRPr="00070846">
        <w:t>, with 34% of recruiting employers receiving 20 or more applicants per vacancy, the second-highest proportion among the industry subdivisions analysed. However, data on applicant numbers should be interpreted with caution, as around one-third of recruiting employers were unable to provide this information.</w:t>
      </w:r>
    </w:p>
    <w:p w14:paraId="6373534A" w14:textId="309EE816" w:rsidR="00070846" w:rsidRPr="00A10DDF" w:rsidRDefault="009C0B81" w:rsidP="00D41D9F">
      <w:pPr>
        <w:pStyle w:val="ListBullet"/>
      </w:pPr>
      <w:r>
        <w:t xml:space="preserve">Taken together, </w:t>
      </w:r>
      <w:r w:rsidRPr="00AB05D5">
        <w:t>REOS data suggest that recruitment</w:t>
      </w:r>
      <w:r>
        <w:t xml:space="preserve"> activity</w:t>
      </w:r>
      <w:r w:rsidRPr="00AB05D5">
        <w:t xml:space="preserve"> in the IT industry is currently subdued, </w:t>
      </w:r>
      <w:r>
        <w:t xml:space="preserve">and </w:t>
      </w:r>
      <w:r w:rsidRPr="00AB05D5">
        <w:t>recruitment difficulty</w:t>
      </w:r>
      <w:r>
        <w:t xml:space="preserve"> </w:t>
      </w:r>
      <w:r w:rsidR="00200827">
        <w:t>is relative</w:t>
      </w:r>
      <w:r w:rsidR="00D41D9F">
        <w:t>ly</w:t>
      </w:r>
      <w:r w:rsidR="00200827">
        <w:t xml:space="preserve"> low compared</w:t>
      </w:r>
      <w:r w:rsidR="00200827" w:rsidRPr="00AB05D5">
        <w:t xml:space="preserve"> to other industries</w:t>
      </w:r>
      <w:r w:rsidR="002351E0">
        <w:t>,</w:t>
      </w:r>
      <w:r w:rsidR="00200827">
        <w:t xml:space="preserve"> </w:t>
      </w:r>
      <w:r>
        <w:t xml:space="preserve">while </w:t>
      </w:r>
      <w:r w:rsidRPr="00AB05D5">
        <w:t>competition among job seekers</w:t>
      </w:r>
      <w:r w:rsidR="0087353C">
        <w:t xml:space="preserve"> remain</w:t>
      </w:r>
      <w:r w:rsidR="00412357">
        <w:t>s strong</w:t>
      </w:r>
      <w:r w:rsidRPr="00AB05D5">
        <w:t xml:space="preserve">. </w:t>
      </w:r>
      <w:r w:rsidR="00617EE4" w:rsidRPr="00617EE4">
        <w:t xml:space="preserve">The </w:t>
      </w:r>
      <w:r w:rsidR="00617EE4">
        <w:t>findings</w:t>
      </w:r>
      <w:r w:rsidR="00617EE4" w:rsidRPr="00617EE4">
        <w:t xml:space="preserve"> also suggest that recruitment difficulties are more likely to reflect specific technical skill mismatches and/or an oversupply of candidates than a general shortage of applicants.</w:t>
      </w:r>
    </w:p>
    <w:p w14:paraId="166D0A21" w14:textId="7BC52586" w:rsidR="00FE480C" w:rsidRPr="00E01222" w:rsidRDefault="00452F11" w:rsidP="00FE480C">
      <w:pPr>
        <w:pStyle w:val="Heading2"/>
      </w:pPr>
      <w:r>
        <w:t xml:space="preserve">For </w:t>
      </w:r>
      <w:r w:rsidR="009076A0" w:rsidRPr="00E01222">
        <w:t xml:space="preserve">ICT </w:t>
      </w:r>
      <w:r w:rsidR="00627DEB" w:rsidRPr="00E01222">
        <w:t>P</w:t>
      </w:r>
      <w:r w:rsidR="009076A0" w:rsidRPr="00E01222">
        <w:t>rofessionals</w:t>
      </w:r>
    </w:p>
    <w:p w14:paraId="478CBAC3" w14:textId="1BD6C56F" w:rsidR="003950FD" w:rsidRPr="00E01222" w:rsidRDefault="009076A0" w:rsidP="003950FD">
      <w:pPr>
        <w:pStyle w:val="ListBullet"/>
      </w:pPr>
      <w:r w:rsidRPr="00E01222">
        <w:t xml:space="preserve">Looking </w:t>
      </w:r>
      <w:r w:rsidR="00E01222">
        <w:t xml:space="preserve">specifically </w:t>
      </w:r>
      <w:r w:rsidRPr="00E01222">
        <w:t xml:space="preserve">at ICT </w:t>
      </w:r>
      <w:r w:rsidR="00E01222">
        <w:t>P</w:t>
      </w:r>
      <w:r w:rsidRPr="00E01222">
        <w:t xml:space="preserve">rofessionals over 2020-21 to 2025-26, </w:t>
      </w:r>
      <w:r w:rsidR="00126B5A" w:rsidRPr="00E01222">
        <w:t xml:space="preserve">REOS data indicate that </w:t>
      </w:r>
      <w:r w:rsidR="003950FD" w:rsidRPr="00E01222">
        <w:t>employers attracted large applicant fields for their advertised positions with 42</w:t>
      </w:r>
      <w:r w:rsidRPr="00E01222">
        <w:t xml:space="preserve">% of </w:t>
      </w:r>
      <w:r w:rsidR="00AB0C08">
        <w:t xml:space="preserve">recruiting </w:t>
      </w:r>
      <w:r w:rsidRPr="00E01222">
        <w:t>employers receiv</w:t>
      </w:r>
      <w:r w:rsidR="003950FD" w:rsidRPr="00E01222">
        <w:t>ing</w:t>
      </w:r>
      <w:r w:rsidRPr="00E01222">
        <w:t xml:space="preserve"> 20 or more applicants per </w:t>
      </w:r>
      <w:r w:rsidR="00AB0C08">
        <w:t>vacancy</w:t>
      </w:r>
      <w:r w:rsidRPr="00E01222">
        <w:t xml:space="preserve">, the </w:t>
      </w:r>
      <w:r w:rsidR="003950FD" w:rsidRPr="00E01222">
        <w:t>second</w:t>
      </w:r>
      <w:r w:rsidRPr="00E01222">
        <w:t xml:space="preserve"> highest of any of the analysed </w:t>
      </w:r>
      <w:r w:rsidR="003950FD" w:rsidRPr="00E01222">
        <w:t>2-digit occupation groups</w:t>
      </w:r>
      <w:r w:rsidRPr="00E01222">
        <w:t xml:space="preserve">. </w:t>
      </w:r>
    </w:p>
    <w:p w14:paraId="43A94CA2" w14:textId="400C1212" w:rsidR="009076A0" w:rsidRPr="00E01222" w:rsidRDefault="003950FD" w:rsidP="003950FD">
      <w:pPr>
        <w:pStyle w:val="ListBullet"/>
      </w:pPr>
      <w:r w:rsidRPr="00E01222">
        <w:t>R</w:t>
      </w:r>
      <w:r w:rsidR="009076A0" w:rsidRPr="00E01222">
        <w:t xml:space="preserve">ecruitment difficulty </w:t>
      </w:r>
      <w:r w:rsidR="00E01222">
        <w:t xml:space="preserve">for employers hiring ICT </w:t>
      </w:r>
      <w:r w:rsidR="00C52F4A">
        <w:t>P</w:t>
      </w:r>
      <w:r w:rsidR="00E01222">
        <w:t>rofessional</w:t>
      </w:r>
      <w:r w:rsidR="00C52F4A">
        <w:t>s</w:t>
      </w:r>
      <w:r w:rsidR="00E01222">
        <w:t xml:space="preserve"> </w:t>
      </w:r>
      <w:r w:rsidR="009076A0" w:rsidRPr="00E01222">
        <w:t>was also well below average</w:t>
      </w:r>
      <w:r w:rsidR="003D3864" w:rsidRPr="00E01222">
        <w:t xml:space="preserve">, </w:t>
      </w:r>
      <w:r w:rsidR="009076A0" w:rsidRPr="00E01222">
        <w:t>at 4</w:t>
      </w:r>
      <w:r w:rsidRPr="00E01222">
        <w:t>4</w:t>
      </w:r>
      <w:r w:rsidR="009076A0" w:rsidRPr="00E01222">
        <w:t xml:space="preserve">%. A very low proportion of employers cited </w:t>
      </w:r>
      <w:r w:rsidR="00E01222">
        <w:t xml:space="preserve">a </w:t>
      </w:r>
      <w:r w:rsidR="009076A0" w:rsidRPr="00E01222">
        <w:t>lack of applicants as a reason for difficulty</w:t>
      </w:r>
      <w:r w:rsidR="00E01222">
        <w:t>, while a relatively</w:t>
      </w:r>
      <w:r w:rsidR="009076A0" w:rsidRPr="00E01222">
        <w:t xml:space="preserve"> high proportion cited </w:t>
      </w:r>
      <w:r w:rsidR="00E01222">
        <w:t xml:space="preserve">a </w:t>
      </w:r>
      <w:r w:rsidR="009076A0" w:rsidRPr="00E01222">
        <w:t>lack of technical skills.</w:t>
      </w:r>
    </w:p>
    <w:p w14:paraId="68090517" w14:textId="1FCB412B" w:rsidR="00F27354" w:rsidRDefault="009408EE" w:rsidP="00F27354">
      <w:pPr>
        <w:pStyle w:val="Heading1"/>
      </w:pPr>
      <w:r>
        <w:t>Broad l</w:t>
      </w:r>
      <w:r w:rsidR="00F27354">
        <w:t>abour market trends in the IT industry</w:t>
      </w:r>
    </w:p>
    <w:p w14:paraId="45CB4D45" w14:textId="6EB0652E" w:rsidR="00F27354" w:rsidRPr="00E01222" w:rsidRDefault="002B588D" w:rsidP="00F27354">
      <w:pPr>
        <w:pStyle w:val="BodyText"/>
      </w:pPr>
      <w:r w:rsidRPr="00E01222">
        <w:t>In</w:t>
      </w:r>
      <w:r w:rsidR="00F212FA">
        <w:t xml:space="preserve"> </w:t>
      </w:r>
      <w:r w:rsidR="00313C5A" w:rsidRPr="00E01222">
        <w:t>February</w:t>
      </w:r>
      <w:r w:rsidR="00F27354" w:rsidRPr="00E01222">
        <w:t xml:space="preserve"> 2026, the IT industry employed 376,100 workers, accounting for around </w:t>
      </w:r>
      <w:r w:rsidR="007C3309" w:rsidRPr="00E01222">
        <w:t>2.5</w:t>
      </w:r>
      <w:r w:rsidR="009479C1" w:rsidRPr="00E01222">
        <w:t xml:space="preserve">% </w:t>
      </w:r>
      <w:r w:rsidR="00F27354" w:rsidRPr="00E01222">
        <w:t>of total employment in Australia</w:t>
      </w:r>
      <w:r w:rsidR="000C37E2">
        <w:t>.</w:t>
      </w:r>
      <w:r w:rsidR="007C3309" w:rsidRPr="00E01222">
        <w:rPr>
          <w:rStyle w:val="FootnoteReference"/>
        </w:rPr>
        <w:footnoteReference w:id="4"/>
      </w:r>
      <w:r w:rsidR="00F27354" w:rsidRPr="00E01222">
        <w:t xml:space="preserve"> </w:t>
      </w:r>
      <w:r w:rsidR="007C3309" w:rsidRPr="00E01222">
        <w:t xml:space="preserve">Over the last year, </w:t>
      </w:r>
      <w:r w:rsidR="00681D29" w:rsidRPr="00E01222">
        <w:t xml:space="preserve">employment in the IT industry grew by 5.2%, well above the average for all industries (1.5%).  </w:t>
      </w:r>
    </w:p>
    <w:p w14:paraId="3EE207D6" w14:textId="0343B372" w:rsidR="001F627D" w:rsidRPr="00E01222" w:rsidRDefault="009408EE" w:rsidP="00F27354">
      <w:pPr>
        <w:pStyle w:val="BodyText"/>
      </w:pPr>
      <w:r w:rsidRPr="00E01222">
        <w:t xml:space="preserve">Looking over the last five years, </w:t>
      </w:r>
      <w:r w:rsidR="00F27354" w:rsidRPr="00E01222">
        <w:t xml:space="preserve">IT industry </w:t>
      </w:r>
      <w:r w:rsidRPr="00E01222">
        <w:t xml:space="preserve">employment increased by </w:t>
      </w:r>
      <w:r w:rsidR="00F27354" w:rsidRPr="00E01222">
        <w:t>29.5% (or 85,</w:t>
      </w:r>
      <w:r w:rsidR="009951BA" w:rsidRPr="00E01222">
        <w:t>6</w:t>
      </w:r>
      <w:r w:rsidR="00F27354" w:rsidRPr="00E01222">
        <w:t xml:space="preserve">00 persons), </w:t>
      </w:r>
      <w:r w:rsidRPr="00E01222">
        <w:t>compared with 14.8%</w:t>
      </w:r>
      <w:r w:rsidR="00F27354" w:rsidRPr="00E01222">
        <w:t xml:space="preserve"> for all industries. By contrast, </w:t>
      </w:r>
      <w:r w:rsidRPr="00E01222">
        <w:t>the</w:t>
      </w:r>
      <w:r w:rsidR="00F27354" w:rsidRPr="00E01222">
        <w:t xml:space="preserve"> </w:t>
      </w:r>
      <w:r w:rsidR="0097563C" w:rsidRPr="00E01222">
        <w:t xml:space="preserve">Other </w:t>
      </w:r>
      <w:r w:rsidR="00F27354" w:rsidRPr="00E01222">
        <w:t>Professional, Scientific and Technical Services industry grew at a slower rate, up by 17.5% (or 154,100 persons) over this period. ICT Professionals have also recorded similarly strong employment growth over this period (up by 29.3%</w:t>
      </w:r>
      <w:r w:rsidR="0097563C" w:rsidRPr="00E01222">
        <w:t xml:space="preserve"> or 99,500)</w:t>
      </w:r>
      <w:r w:rsidR="00F27354" w:rsidRPr="00E01222">
        <w:t>.</w:t>
      </w:r>
      <w:r w:rsidR="001F627D" w:rsidRPr="00E01222">
        <w:t xml:space="preserve"> </w:t>
      </w:r>
    </w:p>
    <w:p w14:paraId="6ECE702B" w14:textId="7AFD9A17" w:rsidR="00F27354" w:rsidRDefault="00190986" w:rsidP="00F27354">
      <w:pPr>
        <w:pStyle w:val="BodyText"/>
      </w:pPr>
      <w:r w:rsidRPr="00595B60">
        <w:t xml:space="preserve">Despite </w:t>
      </w:r>
      <w:r w:rsidR="00C12CE8" w:rsidRPr="00595B60">
        <w:t xml:space="preserve">optimism </w:t>
      </w:r>
      <w:r w:rsidR="008C40EF" w:rsidRPr="00595B60">
        <w:t>around</w:t>
      </w:r>
      <w:r w:rsidR="00C12CE8" w:rsidRPr="00595B60">
        <w:t xml:space="preserve"> future staffing levels</w:t>
      </w:r>
      <w:r w:rsidR="008C40EF" w:rsidRPr="00595B60">
        <w:t xml:space="preserve"> being low in 2025-26</w:t>
      </w:r>
      <w:r w:rsidR="00C12CE8" w:rsidRPr="00595B60">
        <w:t>,</w:t>
      </w:r>
      <w:r w:rsidR="008C40EF" w:rsidRPr="00595B60">
        <w:t xml:space="preserve"> l</w:t>
      </w:r>
      <w:r w:rsidR="009100C4" w:rsidRPr="00595B60">
        <w:t xml:space="preserve">ooking </w:t>
      </w:r>
      <w:r w:rsidRPr="00595B60">
        <w:t xml:space="preserve">over the longer term, </w:t>
      </w:r>
      <w:r w:rsidR="00F27354" w:rsidRPr="00595B60">
        <w:t xml:space="preserve">strong </w:t>
      </w:r>
      <w:r w:rsidR="00BA0E0B" w:rsidRPr="00595B60">
        <w:t xml:space="preserve">employment </w:t>
      </w:r>
      <w:r w:rsidR="00F27354" w:rsidRPr="00595B60">
        <w:t xml:space="preserve">growth is expected to continue. JSA projects that employment </w:t>
      </w:r>
      <w:r w:rsidR="00F212FA" w:rsidRPr="00595B60">
        <w:t>in</w:t>
      </w:r>
      <w:r w:rsidR="00F27354" w:rsidRPr="00595B60">
        <w:t xml:space="preserve"> </w:t>
      </w:r>
      <w:r w:rsidR="001F627D" w:rsidRPr="00595B60">
        <w:t xml:space="preserve">the </w:t>
      </w:r>
      <w:r w:rsidR="00C94312" w:rsidRPr="00595B60">
        <w:t>IT industry</w:t>
      </w:r>
      <w:r w:rsidR="00F27354" w:rsidRPr="00595B60">
        <w:t xml:space="preserve"> </w:t>
      </w:r>
      <w:r w:rsidR="00F212FA" w:rsidRPr="00595B60">
        <w:t>will</w:t>
      </w:r>
      <w:r w:rsidR="00F27354" w:rsidRPr="00595B60">
        <w:t xml:space="preserve"> increase by </w:t>
      </w:r>
      <w:r w:rsidR="00C94312" w:rsidRPr="00595B60">
        <w:t>54,200</w:t>
      </w:r>
      <w:r w:rsidR="00F27354" w:rsidRPr="00595B60">
        <w:t xml:space="preserve"> (or </w:t>
      </w:r>
      <w:r w:rsidR="00C94312" w:rsidRPr="00595B60">
        <w:t>15.3</w:t>
      </w:r>
      <w:r w:rsidR="00F27354" w:rsidRPr="00595B60">
        <w:t>%</w:t>
      </w:r>
      <w:r w:rsidR="00C94312" w:rsidRPr="00595B60">
        <w:t>)</w:t>
      </w:r>
      <w:r w:rsidR="00F212FA" w:rsidRPr="00595B60">
        <w:t xml:space="preserve"> in the five years</w:t>
      </w:r>
      <w:r w:rsidR="00F212FA" w:rsidRPr="002577E1">
        <w:t xml:space="preserve"> to May 2030.</w:t>
      </w:r>
      <w:r w:rsidR="00F212FA">
        <w:t xml:space="preserve"> This is</w:t>
      </w:r>
      <w:r w:rsidR="00C94312" w:rsidRPr="00E01222">
        <w:t xml:space="preserve"> above the 8.3% for Other Professional, Scientific and Technical Services industries and the </w:t>
      </w:r>
      <w:r w:rsidR="00F27354" w:rsidRPr="00E01222">
        <w:t xml:space="preserve">6.5% </w:t>
      </w:r>
      <w:r w:rsidR="00C94312" w:rsidRPr="00E01222">
        <w:t>for all industries</w:t>
      </w:r>
      <w:r w:rsidR="00F27354" w:rsidRPr="00E01222">
        <w:t xml:space="preserve">. </w:t>
      </w:r>
      <w:r w:rsidR="00F212FA">
        <w:t>E</w:t>
      </w:r>
      <w:r w:rsidR="00F27354" w:rsidRPr="00E01222">
        <w:t xml:space="preserve">mployment </w:t>
      </w:r>
      <w:r w:rsidR="00F212FA">
        <w:t xml:space="preserve">for ICT Professionals </w:t>
      </w:r>
      <w:r w:rsidR="00F27354" w:rsidRPr="00E01222">
        <w:t xml:space="preserve">is forecast to increase by 62,200 (or 14.8%) over the same period.  </w:t>
      </w:r>
    </w:p>
    <w:p w14:paraId="1B5DDF4A" w14:textId="4136BE41" w:rsidR="00AD4325" w:rsidRDefault="00DF0640" w:rsidP="00F27354">
      <w:pPr>
        <w:pStyle w:val="BodyText"/>
      </w:pPr>
      <w:r w:rsidRPr="002058EC">
        <w:t>Around 4</w:t>
      </w:r>
      <w:r w:rsidR="003858B4" w:rsidRPr="002058EC">
        <w:t>8</w:t>
      </w:r>
      <w:r w:rsidRPr="002058EC">
        <w:t>% of employment in the IT industry is</w:t>
      </w:r>
      <w:r w:rsidRPr="00E01222">
        <w:t xml:space="preserve"> accounted for by ICT Professionals.</w:t>
      </w:r>
      <w:r>
        <w:t xml:space="preserve"> </w:t>
      </w:r>
      <w:r w:rsidRPr="00E01222">
        <w:t xml:space="preserve">Several ICT </w:t>
      </w:r>
      <w:r>
        <w:t>P</w:t>
      </w:r>
      <w:r w:rsidRPr="00E01222">
        <w:t>rofession</w:t>
      </w:r>
      <w:r>
        <w:t>al</w:t>
      </w:r>
      <w:r w:rsidRPr="00E01222">
        <w:t xml:space="preserve"> </w:t>
      </w:r>
      <w:r>
        <w:t>occupations</w:t>
      </w:r>
      <w:r w:rsidRPr="00E01222">
        <w:t xml:space="preserve"> have high AI automation exposure scores which indicate that AI is </w:t>
      </w:r>
      <w:r>
        <w:t xml:space="preserve">more </w:t>
      </w:r>
      <w:r w:rsidRPr="00E01222">
        <w:t xml:space="preserve">likely to provide opportunities to support, enhance, or improve the way they carry </w:t>
      </w:r>
      <w:r w:rsidRPr="00E01222">
        <w:lastRenderedPageBreak/>
        <w:t>out their existing tasks</w:t>
      </w:r>
      <w:r w:rsidR="009F2FAF">
        <w:t>.</w:t>
      </w:r>
      <w:r w:rsidRPr="00E01222">
        <w:rPr>
          <w:rStyle w:val="FootnoteReference"/>
        </w:rPr>
        <w:footnoteReference w:id="5"/>
      </w:r>
      <w:r w:rsidRPr="00E01222">
        <w:t xml:space="preserve"> The recent </w:t>
      </w:r>
      <w:r w:rsidRPr="00E01222">
        <w:rPr>
          <w:i/>
          <w:iCs/>
        </w:rPr>
        <w:t xml:space="preserve">AI and </w:t>
      </w:r>
      <w:r>
        <w:rPr>
          <w:i/>
          <w:iCs/>
        </w:rPr>
        <w:t>E</w:t>
      </w:r>
      <w:r w:rsidRPr="00E01222">
        <w:rPr>
          <w:i/>
          <w:iCs/>
        </w:rPr>
        <w:t>mployment in Australia</w:t>
      </w:r>
      <w:r w:rsidRPr="00E01222">
        <w:t xml:space="preserve"> report suggests that while AI may be changing the way that ICT </w:t>
      </w:r>
      <w:r>
        <w:t>P</w:t>
      </w:r>
      <w:r w:rsidRPr="00E01222">
        <w:t>rofessionals undertake tasks, there is no evidence of widespread slowing in employment growth due to AI</w:t>
      </w:r>
      <w:r w:rsidR="00201E94">
        <w:t>.</w:t>
      </w:r>
      <w:r w:rsidRPr="00E01222">
        <w:rPr>
          <w:rStyle w:val="FootnoteReference"/>
        </w:rPr>
        <w:footnoteReference w:id="6"/>
      </w:r>
    </w:p>
    <w:p w14:paraId="33C89552" w14:textId="519E2515" w:rsidR="004B2608" w:rsidRDefault="00DF0640" w:rsidP="00F27354">
      <w:pPr>
        <w:pStyle w:val="BodyText"/>
      </w:pPr>
      <w:r w:rsidRPr="00595B60">
        <w:t>Employment growth for ICT Professionals has been strong over the last five years and is expected to continue to grow strongly over the five years to May 2030</w:t>
      </w:r>
      <w:r w:rsidR="00201E94" w:rsidRPr="00595B60">
        <w:t>.</w:t>
      </w:r>
      <w:r w:rsidRPr="00595B60">
        <w:rPr>
          <w:rStyle w:val="FootnoteReference"/>
        </w:rPr>
        <w:footnoteReference w:id="7"/>
      </w:r>
      <w:r w:rsidRPr="00595B60">
        <w:t xml:space="preserve"> </w:t>
      </w:r>
      <w:r w:rsidR="00F27354" w:rsidRPr="00595B60">
        <w:t xml:space="preserve">JSA’s Internet Vacancy </w:t>
      </w:r>
      <w:r w:rsidR="00C94312" w:rsidRPr="00595B60">
        <w:t>Index</w:t>
      </w:r>
      <w:r w:rsidR="00F27354" w:rsidRPr="00595B60">
        <w:t xml:space="preserve"> is not available for the IT industry</w:t>
      </w:r>
      <w:r w:rsidR="00C94312" w:rsidRPr="00595B60">
        <w:t>.</w:t>
      </w:r>
      <w:r w:rsidR="00F27354" w:rsidRPr="00595B60">
        <w:t xml:space="preserve"> </w:t>
      </w:r>
      <w:r w:rsidR="00C94312" w:rsidRPr="00595B60">
        <w:t xml:space="preserve">However, </w:t>
      </w:r>
      <w:r w:rsidR="00F27354" w:rsidRPr="00595B60">
        <w:t xml:space="preserve">the number of online job advertisements for ICT </w:t>
      </w:r>
      <w:r w:rsidR="00C94312" w:rsidRPr="00595B60">
        <w:t>P</w:t>
      </w:r>
      <w:r w:rsidR="00F27354" w:rsidRPr="00595B60">
        <w:t xml:space="preserve">rofessionals </w:t>
      </w:r>
      <w:r w:rsidR="00587737" w:rsidRPr="00595B60">
        <w:t xml:space="preserve">was </w:t>
      </w:r>
      <w:r w:rsidR="00F27354" w:rsidRPr="00595B60">
        <w:t xml:space="preserve">at </w:t>
      </w:r>
      <w:r w:rsidR="00E67B80" w:rsidRPr="00595B60">
        <w:t>the</w:t>
      </w:r>
      <w:r w:rsidR="00F27354" w:rsidRPr="00595B60">
        <w:t xml:space="preserve"> lowest level </w:t>
      </w:r>
      <w:r w:rsidR="00E67B80" w:rsidRPr="00595B60">
        <w:t>recorded in</w:t>
      </w:r>
      <w:r w:rsidR="00F27354" w:rsidRPr="00595B60">
        <w:t xml:space="preserve"> the </w:t>
      </w:r>
      <w:r w:rsidR="00C94312" w:rsidRPr="00595B60">
        <w:t>time</w:t>
      </w:r>
      <w:r w:rsidR="00F212FA" w:rsidRPr="00595B60">
        <w:t xml:space="preserve"> </w:t>
      </w:r>
      <w:r w:rsidR="00C94312" w:rsidRPr="00595B60">
        <w:t>series (at</w:t>
      </w:r>
      <w:r w:rsidR="00F27354" w:rsidRPr="00595B60">
        <w:t xml:space="preserve"> </w:t>
      </w:r>
      <w:r w:rsidR="009100C4" w:rsidRPr="00595B60">
        <w:t>5,960</w:t>
      </w:r>
      <w:r w:rsidR="00B94BA6" w:rsidRPr="00595B60">
        <w:t xml:space="preserve"> in July 2026)</w:t>
      </w:r>
      <w:r w:rsidR="00F27354" w:rsidRPr="00595B60">
        <w:t xml:space="preserve">. </w:t>
      </w:r>
      <w:r w:rsidR="00B94BA6" w:rsidRPr="00595B60">
        <w:t>Internet vacanc</w:t>
      </w:r>
      <w:r w:rsidR="00F212FA" w:rsidRPr="00595B60">
        <w:t>y nu</w:t>
      </w:r>
      <w:r w:rsidR="00B94BA6" w:rsidRPr="00595B60">
        <w:t xml:space="preserve">mbers for ICT Professionals have been trending down since the recent high recorded in April 2022 (of </w:t>
      </w:r>
      <w:r w:rsidR="009100C4" w:rsidRPr="00595B60">
        <w:t>14,78</w:t>
      </w:r>
      <w:r w:rsidR="00595B60" w:rsidRPr="00595B60">
        <w:t>0</w:t>
      </w:r>
      <w:r w:rsidR="00B94BA6" w:rsidRPr="00595B60">
        <w:t>).</w:t>
      </w:r>
      <w:r w:rsidR="00991F42" w:rsidRPr="00595B60">
        <w:rPr>
          <w:rStyle w:val="FootnoteReference"/>
        </w:rPr>
        <w:footnoteReference w:id="8"/>
      </w:r>
      <w:r w:rsidR="00B94BA6">
        <w:t xml:space="preserve"> </w:t>
      </w:r>
      <w:r w:rsidR="00F27354" w:rsidRPr="00F27354">
        <w:t xml:space="preserve"> </w:t>
      </w:r>
    </w:p>
    <w:p w14:paraId="63E7FD39" w14:textId="168314BB" w:rsidR="00C6290B" w:rsidRPr="002212A8" w:rsidRDefault="00C6290B" w:rsidP="00C6290B">
      <w:pPr>
        <w:pStyle w:val="Heading1"/>
      </w:pPr>
      <w:r w:rsidRPr="002212A8">
        <w:t xml:space="preserve">Future concerns in the </w:t>
      </w:r>
      <w:r w:rsidR="000F2E86">
        <w:t xml:space="preserve">IT </w:t>
      </w:r>
      <w:r w:rsidRPr="002212A8">
        <w:t>industry</w:t>
      </w:r>
    </w:p>
    <w:p w14:paraId="55EA5856" w14:textId="012EC3D7" w:rsidR="00C6290B" w:rsidRDefault="002A74FC" w:rsidP="00C6290B">
      <w:pPr>
        <w:pStyle w:val="BodyText"/>
      </w:pPr>
      <w:r w:rsidRPr="00185565">
        <w:rPr>
          <w:rStyle w:val="Characteritalic"/>
          <w:i w:val="0"/>
          <w:iCs/>
        </w:rPr>
        <w:t>As part of the REOS survey, e</w:t>
      </w:r>
      <w:r w:rsidR="00C6290B" w:rsidRPr="002212A8">
        <w:t>mployers are asked about their single greatest concern over the next three months (i</w:t>
      </w:r>
      <w:r w:rsidR="00C6290B">
        <w:t>.</w:t>
      </w:r>
      <w:r w:rsidR="00C6290B" w:rsidRPr="002212A8">
        <w:t xml:space="preserve">e. for the three months following the survey). </w:t>
      </w:r>
      <w:r w:rsidR="00C6290B" w:rsidRPr="00A856B8">
        <w:t xml:space="preserve">Over the past five financial years, REOS data indicate a notable shift in employers’ reported concerns. In 2025–26, lack of demand for products or services was the </w:t>
      </w:r>
      <w:proofErr w:type="gramStart"/>
      <w:r w:rsidR="00C6290B" w:rsidRPr="00A856B8">
        <w:t>most commonly reported</w:t>
      </w:r>
      <w:proofErr w:type="gramEnd"/>
      <w:r w:rsidR="00C6290B" w:rsidRPr="00A856B8">
        <w:t xml:space="preserve"> concern, rising to 43%, up from 35% in 2024–25 and 8% in 2023–24</w:t>
      </w:r>
      <w:r w:rsidR="00C6290B">
        <w:t xml:space="preserve"> (Table </w:t>
      </w:r>
      <w:r>
        <w:t>1</w:t>
      </w:r>
      <w:r w:rsidR="00C6290B">
        <w:t>)</w:t>
      </w:r>
      <w:r w:rsidR="00C6290B" w:rsidRPr="00A856B8">
        <w:t xml:space="preserve">. In contrast, the proportion citing recruitment or retention difficulties and skill shortages as their greatest concern fell sharply, from 22% to 3% over the latest year. Together, these results suggest that employers’ concerns </w:t>
      </w:r>
      <w:r w:rsidR="00374EE8">
        <w:t>in the industry</w:t>
      </w:r>
      <w:r w:rsidR="00C6290B" w:rsidRPr="00A856B8">
        <w:t xml:space="preserve"> have shifted away from workforce availability towards demand-related issues.</w:t>
      </w:r>
    </w:p>
    <w:p w14:paraId="1A4BB2E9" w14:textId="7FEE4AAF" w:rsidR="00C6290B" w:rsidRDefault="005E2B42" w:rsidP="00C6290B">
      <w:pPr>
        <w:pStyle w:val="Caption"/>
      </w:pPr>
      <w:r w:rsidRPr="002212A8">
        <w:t xml:space="preserve">Table </w:t>
      </w:r>
      <w:r w:rsidR="002A74FC">
        <w:t>1</w:t>
      </w:r>
      <w:r w:rsidRPr="002212A8">
        <w:t xml:space="preserve">: </w:t>
      </w:r>
      <w:r>
        <w:t>S</w:t>
      </w:r>
      <w:r w:rsidRPr="002212A8">
        <w:t>ingle greatest future concern responses, IT industry, 2021-22 to 2025-26</w:t>
      </w:r>
    </w:p>
    <w:tbl>
      <w:tblPr>
        <w:tblStyle w:val="CustomTablebasic"/>
        <w:tblpPr w:leftFromText="180" w:rightFromText="180" w:vertAnchor="text" w:horzAnchor="margin" w:tblpY="67"/>
        <w:tblW w:w="0" w:type="auto"/>
        <w:tblLook w:val="0020" w:firstRow="1" w:lastRow="0" w:firstColumn="0" w:lastColumn="0" w:noHBand="0" w:noVBand="0"/>
      </w:tblPr>
      <w:tblGrid>
        <w:gridCol w:w="3828"/>
        <w:gridCol w:w="992"/>
        <w:gridCol w:w="992"/>
        <w:gridCol w:w="992"/>
        <w:gridCol w:w="993"/>
        <w:gridCol w:w="992"/>
      </w:tblGrid>
      <w:tr w:rsidR="00C6290B" w:rsidRPr="002212A8" w14:paraId="45C3CC3B" w14:textId="77777777">
        <w:trPr>
          <w:cnfStyle w:val="100000000000" w:firstRow="1" w:lastRow="0" w:firstColumn="0" w:lastColumn="0" w:oddVBand="0" w:evenVBand="0" w:oddHBand="0" w:evenHBand="0" w:firstRowFirstColumn="0" w:firstRowLastColumn="0" w:lastRowFirstColumn="0" w:lastRowLastColumn="0"/>
        </w:trPr>
        <w:tc>
          <w:tcPr>
            <w:tcW w:w="3828" w:type="dxa"/>
          </w:tcPr>
          <w:p w14:paraId="651B5C0D" w14:textId="77777777" w:rsidR="00C6290B" w:rsidRPr="002212A8" w:rsidRDefault="00C6290B">
            <w:pPr>
              <w:pStyle w:val="TableBodyText"/>
            </w:pPr>
            <w:bookmarkStart w:id="1" w:name="_Toc170216937"/>
            <w:r w:rsidRPr="002212A8">
              <w:t>Greatest future concern over the next three months</w:t>
            </w:r>
          </w:p>
        </w:tc>
        <w:tc>
          <w:tcPr>
            <w:tcW w:w="992" w:type="dxa"/>
            <w:vAlign w:val="bottom"/>
          </w:tcPr>
          <w:p w14:paraId="65A73C88" w14:textId="77777777" w:rsidR="00C6290B" w:rsidRPr="002212A8" w:rsidRDefault="00C6290B">
            <w:pPr>
              <w:pStyle w:val="TableHeading1right"/>
            </w:pPr>
            <w:r w:rsidRPr="002212A8">
              <w:t>2021-22</w:t>
            </w:r>
          </w:p>
        </w:tc>
        <w:tc>
          <w:tcPr>
            <w:tcW w:w="992" w:type="dxa"/>
            <w:vAlign w:val="bottom"/>
          </w:tcPr>
          <w:p w14:paraId="5BCA1721" w14:textId="77777777" w:rsidR="00C6290B" w:rsidRPr="002212A8" w:rsidRDefault="00C6290B">
            <w:pPr>
              <w:pStyle w:val="TableHeading1right"/>
            </w:pPr>
            <w:r w:rsidRPr="002212A8">
              <w:t>2022-23</w:t>
            </w:r>
          </w:p>
        </w:tc>
        <w:tc>
          <w:tcPr>
            <w:tcW w:w="992" w:type="dxa"/>
            <w:vAlign w:val="bottom"/>
          </w:tcPr>
          <w:p w14:paraId="72E63224" w14:textId="77777777" w:rsidR="00C6290B" w:rsidRPr="002212A8" w:rsidRDefault="00C6290B">
            <w:pPr>
              <w:pStyle w:val="TableHeading1right"/>
            </w:pPr>
            <w:r w:rsidRPr="002212A8">
              <w:t>2023-24</w:t>
            </w:r>
          </w:p>
        </w:tc>
        <w:tc>
          <w:tcPr>
            <w:tcW w:w="993" w:type="dxa"/>
            <w:vAlign w:val="bottom"/>
          </w:tcPr>
          <w:p w14:paraId="041E712A" w14:textId="77777777" w:rsidR="00C6290B" w:rsidRPr="002212A8" w:rsidRDefault="00C6290B">
            <w:pPr>
              <w:pStyle w:val="TableHeading1right"/>
            </w:pPr>
            <w:r w:rsidRPr="002212A8">
              <w:t>2024-25</w:t>
            </w:r>
          </w:p>
        </w:tc>
        <w:tc>
          <w:tcPr>
            <w:tcW w:w="992" w:type="dxa"/>
            <w:vAlign w:val="bottom"/>
          </w:tcPr>
          <w:p w14:paraId="1EE802E5" w14:textId="77777777" w:rsidR="00C6290B" w:rsidRPr="002212A8" w:rsidRDefault="00C6290B">
            <w:pPr>
              <w:pStyle w:val="TableHeading1right"/>
            </w:pPr>
            <w:r w:rsidRPr="002212A8">
              <w:t>2025-26</w:t>
            </w:r>
          </w:p>
        </w:tc>
      </w:tr>
      <w:tr w:rsidR="00C6290B" w:rsidRPr="002212A8" w14:paraId="456AD984" w14:textId="77777777">
        <w:tc>
          <w:tcPr>
            <w:tcW w:w="3828" w:type="dxa"/>
            <w:hideMark/>
          </w:tcPr>
          <w:p w14:paraId="037EC064" w14:textId="77777777" w:rsidR="00C6290B" w:rsidRPr="0049648E" w:rsidRDefault="00C6290B">
            <w:pPr>
              <w:pStyle w:val="Source"/>
            </w:pPr>
            <w:r w:rsidRPr="0049648E">
              <w:t>Lack of demand for products/services</w:t>
            </w:r>
          </w:p>
        </w:tc>
        <w:tc>
          <w:tcPr>
            <w:tcW w:w="992" w:type="dxa"/>
            <w:hideMark/>
          </w:tcPr>
          <w:p w14:paraId="30A75E59" w14:textId="77777777" w:rsidR="00C6290B" w:rsidRPr="0049648E" w:rsidRDefault="00C6290B">
            <w:pPr>
              <w:pStyle w:val="Source"/>
              <w:jc w:val="center"/>
            </w:pPr>
            <w:r w:rsidRPr="0049648E">
              <w:t>21%</w:t>
            </w:r>
          </w:p>
        </w:tc>
        <w:tc>
          <w:tcPr>
            <w:tcW w:w="992" w:type="dxa"/>
            <w:hideMark/>
          </w:tcPr>
          <w:p w14:paraId="1FDB41A5" w14:textId="77777777" w:rsidR="00C6290B" w:rsidRPr="0049648E" w:rsidRDefault="00C6290B">
            <w:pPr>
              <w:pStyle w:val="Source"/>
              <w:jc w:val="center"/>
            </w:pPr>
            <w:r w:rsidRPr="0049648E">
              <w:t>16%</w:t>
            </w:r>
          </w:p>
        </w:tc>
        <w:tc>
          <w:tcPr>
            <w:tcW w:w="992" w:type="dxa"/>
          </w:tcPr>
          <w:p w14:paraId="39720B18" w14:textId="77777777" w:rsidR="00C6290B" w:rsidRPr="0049648E" w:rsidRDefault="00C6290B">
            <w:pPr>
              <w:pStyle w:val="Source"/>
              <w:jc w:val="center"/>
            </w:pPr>
            <w:r w:rsidRPr="0049648E">
              <w:t>8%</w:t>
            </w:r>
          </w:p>
        </w:tc>
        <w:tc>
          <w:tcPr>
            <w:tcW w:w="993" w:type="dxa"/>
          </w:tcPr>
          <w:p w14:paraId="67205B60" w14:textId="77777777" w:rsidR="00C6290B" w:rsidRPr="0049648E" w:rsidRDefault="00C6290B">
            <w:pPr>
              <w:pStyle w:val="Source"/>
              <w:jc w:val="center"/>
            </w:pPr>
            <w:r w:rsidRPr="0049648E">
              <w:t>35%</w:t>
            </w:r>
          </w:p>
        </w:tc>
        <w:tc>
          <w:tcPr>
            <w:tcW w:w="992" w:type="dxa"/>
          </w:tcPr>
          <w:p w14:paraId="5F5E72E6" w14:textId="77777777" w:rsidR="00C6290B" w:rsidRPr="0049648E" w:rsidRDefault="00C6290B">
            <w:pPr>
              <w:pStyle w:val="Source"/>
              <w:jc w:val="center"/>
            </w:pPr>
            <w:r w:rsidRPr="0049648E">
              <w:t>43%</w:t>
            </w:r>
          </w:p>
        </w:tc>
      </w:tr>
      <w:tr w:rsidR="00C6290B" w:rsidRPr="002212A8" w14:paraId="27E9ACAC" w14:textId="77777777">
        <w:trPr>
          <w:cnfStyle w:val="000000010000" w:firstRow="0" w:lastRow="0" w:firstColumn="0" w:lastColumn="0" w:oddVBand="0" w:evenVBand="0" w:oddHBand="0" w:evenHBand="1" w:firstRowFirstColumn="0" w:firstRowLastColumn="0" w:lastRowFirstColumn="0" w:lastRowLastColumn="0"/>
        </w:trPr>
        <w:tc>
          <w:tcPr>
            <w:tcW w:w="3828" w:type="dxa"/>
            <w:hideMark/>
          </w:tcPr>
          <w:p w14:paraId="2F276F60" w14:textId="77777777" w:rsidR="00C6290B" w:rsidRPr="0049648E" w:rsidRDefault="00C6290B">
            <w:pPr>
              <w:pStyle w:val="Source"/>
            </w:pPr>
            <w:r w:rsidRPr="0049648E">
              <w:t>Other reasons</w:t>
            </w:r>
          </w:p>
        </w:tc>
        <w:tc>
          <w:tcPr>
            <w:tcW w:w="992" w:type="dxa"/>
            <w:hideMark/>
          </w:tcPr>
          <w:p w14:paraId="16E88839" w14:textId="77777777" w:rsidR="00C6290B" w:rsidRPr="0049648E" w:rsidRDefault="00C6290B">
            <w:pPr>
              <w:pStyle w:val="Source"/>
              <w:jc w:val="center"/>
            </w:pPr>
            <w:r w:rsidRPr="0049648E">
              <w:t>15%</w:t>
            </w:r>
          </w:p>
        </w:tc>
        <w:tc>
          <w:tcPr>
            <w:tcW w:w="992" w:type="dxa"/>
            <w:hideMark/>
          </w:tcPr>
          <w:p w14:paraId="71BEBE15" w14:textId="77777777" w:rsidR="00C6290B" w:rsidRPr="0049648E" w:rsidRDefault="00C6290B">
            <w:pPr>
              <w:pStyle w:val="Source"/>
              <w:jc w:val="center"/>
            </w:pPr>
            <w:r w:rsidRPr="0049648E">
              <w:t>1%</w:t>
            </w:r>
          </w:p>
        </w:tc>
        <w:tc>
          <w:tcPr>
            <w:tcW w:w="992" w:type="dxa"/>
          </w:tcPr>
          <w:p w14:paraId="3D8F217E" w14:textId="77777777" w:rsidR="00C6290B" w:rsidRPr="0049648E" w:rsidRDefault="00C6290B">
            <w:pPr>
              <w:pStyle w:val="Source"/>
              <w:jc w:val="center"/>
            </w:pPr>
            <w:r w:rsidRPr="0049648E">
              <w:t>5%</w:t>
            </w:r>
          </w:p>
        </w:tc>
        <w:tc>
          <w:tcPr>
            <w:tcW w:w="993" w:type="dxa"/>
          </w:tcPr>
          <w:p w14:paraId="3704ADF9" w14:textId="77777777" w:rsidR="00C6290B" w:rsidRPr="0049648E" w:rsidRDefault="00C6290B">
            <w:pPr>
              <w:pStyle w:val="Source"/>
              <w:jc w:val="center"/>
            </w:pPr>
            <w:r w:rsidRPr="0049648E">
              <w:t>13%</w:t>
            </w:r>
          </w:p>
        </w:tc>
        <w:tc>
          <w:tcPr>
            <w:tcW w:w="992" w:type="dxa"/>
          </w:tcPr>
          <w:p w14:paraId="49930312" w14:textId="77777777" w:rsidR="00C6290B" w:rsidRPr="0049648E" w:rsidRDefault="00C6290B">
            <w:pPr>
              <w:pStyle w:val="Source"/>
              <w:jc w:val="center"/>
            </w:pPr>
            <w:r w:rsidRPr="0049648E">
              <w:t>20%</w:t>
            </w:r>
          </w:p>
        </w:tc>
      </w:tr>
      <w:tr w:rsidR="00C6290B" w:rsidRPr="002212A8" w14:paraId="3CE3AFB8" w14:textId="77777777">
        <w:tc>
          <w:tcPr>
            <w:tcW w:w="3828" w:type="dxa"/>
            <w:hideMark/>
          </w:tcPr>
          <w:p w14:paraId="4A9201E0" w14:textId="77777777" w:rsidR="00C6290B" w:rsidRPr="0049648E" w:rsidRDefault="00C6290B">
            <w:pPr>
              <w:pStyle w:val="Source"/>
            </w:pPr>
            <w:r w:rsidRPr="0049648E">
              <w:t>No concerns</w:t>
            </w:r>
          </w:p>
        </w:tc>
        <w:tc>
          <w:tcPr>
            <w:tcW w:w="992" w:type="dxa"/>
            <w:hideMark/>
          </w:tcPr>
          <w:p w14:paraId="5E5EBB7A" w14:textId="77777777" w:rsidR="00C6290B" w:rsidRPr="0049648E" w:rsidRDefault="00C6290B">
            <w:pPr>
              <w:pStyle w:val="Source"/>
              <w:jc w:val="center"/>
            </w:pPr>
            <w:r w:rsidRPr="0049648E">
              <w:t>25%</w:t>
            </w:r>
          </w:p>
        </w:tc>
        <w:tc>
          <w:tcPr>
            <w:tcW w:w="992" w:type="dxa"/>
            <w:hideMark/>
          </w:tcPr>
          <w:p w14:paraId="734B0DA3" w14:textId="77777777" w:rsidR="00C6290B" w:rsidRPr="0049648E" w:rsidRDefault="00C6290B">
            <w:pPr>
              <w:pStyle w:val="Source"/>
              <w:jc w:val="center"/>
            </w:pPr>
            <w:r w:rsidRPr="0049648E">
              <w:t>22%</w:t>
            </w:r>
          </w:p>
        </w:tc>
        <w:tc>
          <w:tcPr>
            <w:tcW w:w="992" w:type="dxa"/>
          </w:tcPr>
          <w:p w14:paraId="215709A6" w14:textId="77777777" w:rsidR="00C6290B" w:rsidRPr="0049648E" w:rsidRDefault="00C6290B">
            <w:pPr>
              <w:pStyle w:val="Source"/>
              <w:jc w:val="center"/>
            </w:pPr>
            <w:r w:rsidRPr="0049648E">
              <w:t>30%</w:t>
            </w:r>
          </w:p>
        </w:tc>
        <w:tc>
          <w:tcPr>
            <w:tcW w:w="993" w:type="dxa"/>
          </w:tcPr>
          <w:p w14:paraId="2319DA48" w14:textId="77777777" w:rsidR="00C6290B" w:rsidRPr="0049648E" w:rsidRDefault="00C6290B">
            <w:pPr>
              <w:pStyle w:val="Source"/>
              <w:jc w:val="center"/>
            </w:pPr>
            <w:r w:rsidRPr="0049648E">
              <w:t>15%</w:t>
            </w:r>
          </w:p>
        </w:tc>
        <w:tc>
          <w:tcPr>
            <w:tcW w:w="992" w:type="dxa"/>
          </w:tcPr>
          <w:p w14:paraId="31D7BFBE" w14:textId="77777777" w:rsidR="00C6290B" w:rsidRPr="0049648E" w:rsidRDefault="00C6290B">
            <w:pPr>
              <w:pStyle w:val="Source"/>
              <w:jc w:val="center"/>
            </w:pPr>
            <w:r w:rsidRPr="0049648E">
              <w:t>19%</w:t>
            </w:r>
          </w:p>
        </w:tc>
      </w:tr>
      <w:tr w:rsidR="00C6290B" w:rsidRPr="002212A8" w14:paraId="6CD08851" w14:textId="77777777">
        <w:trPr>
          <w:cnfStyle w:val="000000010000" w:firstRow="0" w:lastRow="0" w:firstColumn="0" w:lastColumn="0" w:oddVBand="0" w:evenVBand="0" w:oddHBand="0" w:evenHBand="1" w:firstRowFirstColumn="0" w:firstRowLastColumn="0" w:lastRowFirstColumn="0" w:lastRowLastColumn="0"/>
        </w:trPr>
        <w:tc>
          <w:tcPr>
            <w:tcW w:w="3828" w:type="dxa"/>
            <w:hideMark/>
          </w:tcPr>
          <w:p w14:paraId="05D8FB91" w14:textId="77777777" w:rsidR="00C6290B" w:rsidRPr="0049648E" w:rsidRDefault="00C6290B">
            <w:pPr>
              <w:pStyle w:val="Source"/>
            </w:pPr>
            <w:r w:rsidRPr="0049648E">
              <w:t>Costs</w:t>
            </w:r>
          </w:p>
        </w:tc>
        <w:tc>
          <w:tcPr>
            <w:tcW w:w="992" w:type="dxa"/>
            <w:hideMark/>
          </w:tcPr>
          <w:p w14:paraId="7037955B" w14:textId="77777777" w:rsidR="00C6290B" w:rsidRPr="0049648E" w:rsidRDefault="00C6290B">
            <w:pPr>
              <w:pStyle w:val="Source"/>
              <w:jc w:val="center"/>
            </w:pPr>
            <w:r w:rsidRPr="0049648E">
              <w:t>3%</w:t>
            </w:r>
          </w:p>
        </w:tc>
        <w:tc>
          <w:tcPr>
            <w:tcW w:w="992" w:type="dxa"/>
            <w:hideMark/>
          </w:tcPr>
          <w:p w14:paraId="1F69C04B" w14:textId="77777777" w:rsidR="00C6290B" w:rsidRPr="0049648E" w:rsidRDefault="00C6290B">
            <w:pPr>
              <w:pStyle w:val="Source"/>
              <w:jc w:val="center"/>
            </w:pPr>
            <w:r w:rsidRPr="0049648E">
              <w:t>14%</w:t>
            </w:r>
          </w:p>
        </w:tc>
        <w:tc>
          <w:tcPr>
            <w:tcW w:w="992" w:type="dxa"/>
          </w:tcPr>
          <w:p w14:paraId="3702B704" w14:textId="77777777" w:rsidR="00C6290B" w:rsidRPr="0049648E" w:rsidRDefault="00C6290B">
            <w:pPr>
              <w:pStyle w:val="Source"/>
              <w:jc w:val="center"/>
            </w:pPr>
            <w:r w:rsidRPr="0049648E">
              <w:t>11%</w:t>
            </w:r>
          </w:p>
        </w:tc>
        <w:tc>
          <w:tcPr>
            <w:tcW w:w="993" w:type="dxa"/>
          </w:tcPr>
          <w:p w14:paraId="7E33F003" w14:textId="77777777" w:rsidR="00C6290B" w:rsidRPr="0049648E" w:rsidRDefault="00C6290B">
            <w:pPr>
              <w:pStyle w:val="Source"/>
              <w:jc w:val="center"/>
            </w:pPr>
            <w:r w:rsidRPr="0049648E">
              <w:t>9%</w:t>
            </w:r>
          </w:p>
        </w:tc>
        <w:tc>
          <w:tcPr>
            <w:tcW w:w="992" w:type="dxa"/>
          </w:tcPr>
          <w:p w14:paraId="298BA1F2" w14:textId="77777777" w:rsidR="00C6290B" w:rsidRPr="0049648E" w:rsidRDefault="00C6290B">
            <w:pPr>
              <w:pStyle w:val="Source"/>
              <w:jc w:val="center"/>
            </w:pPr>
            <w:r w:rsidRPr="0049648E">
              <w:t>5%</w:t>
            </w:r>
          </w:p>
        </w:tc>
      </w:tr>
      <w:tr w:rsidR="00C6290B" w:rsidRPr="002212A8" w14:paraId="4F3E4327" w14:textId="77777777">
        <w:tc>
          <w:tcPr>
            <w:tcW w:w="3828" w:type="dxa"/>
            <w:hideMark/>
          </w:tcPr>
          <w:p w14:paraId="170A8F9A" w14:textId="77777777" w:rsidR="00C6290B" w:rsidRPr="0049648E" w:rsidRDefault="00C6290B">
            <w:pPr>
              <w:pStyle w:val="Source"/>
            </w:pPr>
            <w:r w:rsidRPr="0049648E">
              <w:t>Keeping up with demand for products or services</w:t>
            </w:r>
          </w:p>
        </w:tc>
        <w:tc>
          <w:tcPr>
            <w:tcW w:w="992" w:type="dxa"/>
            <w:hideMark/>
          </w:tcPr>
          <w:p w14:paraId="0B33CA4F" w14:textId="77777777" w:rsidR="00C6290B" w:rsidRPr="0049648E" w:rsidRDefault="00C6290B">
            <w:pPr>
              <w:pStyle w:val="Source"/>
              <w:jc w:val="center"/>
            </w:pPr>
            <w:r w:rsidRPr="0049648E">
              <w:t>1%</w:t>
            </w:r>
          </w:p>
        </w:tc>
        <w:tc>
          <w:tcPr>
            <w:tcW w:w="992" w:type="dxa"/>
            <w:hideMark/>
          </w:tcPr>
          <w:p w14:paraId="5CE4F77D" w14:textId="77777777" w:rsidR="00C6290B" w:rsidRPr="0049648E" w:rsidRDefault="00C6290B">
            <w:pPr>
              <w:pStyle w:val="Source"/>
              <w:jc w:val="center"/>
            </w:pPr>
            <w:r w:rsidRPr="0049648E">
              <w:t>8%</w:t>
            </w:r>
          </w:p>
        </w:tc>
        <w:tc>
          <w:tcPr>
            <w:tcW w:w="992" w:type="dxa"/>
          </w:tcPr>
          <w:p w14:paraId="56F7587D" w14:textId="77777777" w:rsidR="00C6290B" w:rsidRPr="0049648E" w:rsidRDefault="00C6290B">
            <w:pPr>
              <w:pStyle w:val="Source"/>
              <w:jc w:val="center"/>
            </w:pPr>
            <w:r w:rsidRPr="0049648E">
              <w:t>4%</w:t>
            </w:r>
          </w:p>
        </w:tc>
        <w:tc>
          <w:tcPr>
            <w:tcW w:w="993" w:type="dxa"/>
          </w:tcPr>
          <w:p w14:paraId="6A0AAAB2" w14:textId="77777777" w:rsidR="00C6290B" w:rsidRPr="0049648E" w:rsidRDefault="00C6290B">
            <w:pPr>
              <w:pStyle w:val="Source"/>
              <w:jc w:val="center"/>
            </w:pPr>
            <w:r w:rsidRPr="0049648E">
              <w:t>0%</w:t>
            </w:r>
          </w:p>
        </w:tc>
        <w:tc>
          <w:tcPr>
            <w:tcW w:w="992" w:type="dxa"/>
          </w:tcPr>
          <w:p w14:paraId="36434F19" w14:textId="77777777" w:rsidR="00C6290B" w:rsidRPr="0049648E" w:rsidRDefault="00C6290B">
            <w:pPr>
              <w:pStyle w:val="Source"/>
              <w:jc w:val="center"/>
            </w:pPr>
            <w:r w:rsidRPr="0049648E">
              <w:t>5%</w:t>
            </w:r>
          </w:p>
        </w:tc>
      </w:tr>
      <w:tr w:rsidR="00C6290B" w:rsidRPr="002212A8" w14:paraId="075313A3" w14:textId="77777777">
        <w:trPr>
          <w:cnfStyle w:val="000000010000" w:firstRow="0" w:lastRow="0" w:firstColumn="0" w:lastColumn="0" w:oddVBand="0" w:evenVBand="0" w:oddHBand="0" w:evenHBand="1" w:firstRowFirstColumn="0" w:firstRowLastColumn="0" w:lastRowFirstColumn="0" w:lastRowLastColumn="0"/>
        </w:trPr>
        <w:tc>
          <w:tcPr>
            <w:tcW w:w="3828" w:type="dxa"/>
            <w:hideMark/>
          </w:tcPr>
          <w:p w14:paraId="22A31D8A" w14:textId="77777777" w:rsidR="00C6290B" w:rsidRPr="0049648E" w:rsidRDefault="00C6290B">
            <w:pPr>
              <w:pStyle w:val="Source"/>
            </w:pPr>
            <w:r w:rsidRPr="0049648E">
              <w:t>Recruitment/ retention diff</w:t>
            </w:r>
            <w:r>
              <w:t>iculty</w:t>
            </w:r>
            <w:r w:rsidRPr="0049648E">
              <w:t>/skill shortages</w:t>
            </w:r>
          </w:p>
        </w:tc>
        <w:tc>
          <w:tcPr>
            <w:tcW w:w="992" w:type="dxa"/>
            <w:hideMark/>
          </w:tcPr>
          <w:p w14:paraId="66B0FFF6" w14:textId="77777777" w:rsidR="00C6290B" w:rsidRPr="0049648E" w:rsidRDefault="00C6290B">
            <w:pPr>
              <w:pStyle w:val="Source"/>
              <w:jc w:val="center"/>
            </w:pPr>
            <w:r w:rsidRPr="0049648E">
              <w:t>18%</w:t>
            </w:r>
          </w:p>
        </w:tc>
        <w:tc>
          <w:tcPr>
            <w:tcW w:w="992" w:type="dxa"/>
            <w:hideMark/>
          </w:tcPr>
          <w:p w14:paraId="2F586F7D" w14:textId="77777777" w:rsidR="00C6290B" w:rsidRPr="0049648E" w:rsidRDefault="00C6290B">
            <w:pPr>
              <w:pStyle w:val="Source"/>
              <w:jc w:val="center"/>
            </w:pPr>
            <w:r w:rsidRPr="0049648E">
              <w:t>30%</w:t>
            </w:r>
          </w:p>
        </w:tc>
        <w:tc>
          <w:tcPr>
            <w:tcW w:w="992" w:type="dxa"/>
          </w:tcPr>
          <w:p w14:paraId="6EB9D032" w14:textId="77777777" w:rsidR="00C6290B" w:rsidRPr="0049648E" w:rsidRDefault="00C6290B">
            <w:pPr>
              <w:pStyle w:val="Source"/>
              <w:jc w:val="center"/>
            </w:pPr>
            <w:r w:rsidRPr="0049648E">
              <w:t>24%</w:t>
            </w:r>
          </w:p>
        </w:tc>
        <w:tc>
          <w:tcPr>
            <w:tcW w:w="993" w:type="dxa"/>
          </w:tcPr>
          <w:p w14:paraId="6974FA6F" w14:textId="77777777" w:rsidR="00C6290B" w:rsidRPr="0049648E" w:rsidRDefault="00C6290B">
            <w:pPr>
              <w:pStyle w:val="Source"/>
              <w:jc w:val="center"/>
            </w:pPr>
            <w:r w:rsidRPr="0049648E">
              <w:t>22%</w:t>
            </w:r>
          </w:p>
        </w:tc>
        <w:tc>
          <w:tcPr>
            <w:tcW w:w="992" w:type="dxa"/>
          </w:tcPr>
          <w:p w14:paraId="47B8604C" w14:textId="77777777" w:rsidR="00C6290B" w:rsidRPr="0049648E" w:rsidRDefault="00C6290B">
            <w:pPr>
              <w:pStyle w:val="Source"/>
              <w:jc w:val="center"/>
            </w:pPr>
            <w:r w:rsidRPr="0049648E">
              <w:t>3%</w:t>
            </w:r>
          </w:p>
        </w:tc>
      </w:tr>
      <w:tr w:rsidR="00C6290B" w:rsidRPr="002212A8" w14:paraId="555297E9" w14:textId="77777777">
        <w:tc>
          <w:tcPr>
            <w:tcW w:w="3828" w:type="dxa"/>
          </w:tcPr>
          <w:p w14:paraId="19250765" w14:textId="77777777" w:rsidR="00C6290B" w:rsidRPr="0049648E" w:rsidRDefault="00C6290B">
            <w:pPr>
              <w:pStyle w:val="Source"/>
            </w:pPr>
            <w:r w:rsidRPr="0049648E">
              <w:t>Cash flow</w:t>
            </w:r>
          </w:p>
        </w:tc>
        <w:tc>
          <w:tcPr>
            <w:tcW w:w="992" w:type="dxa"/>
          </w:tcPr>
          <w:p w14:paraId="3C99637E" w14:textId="77777777" w:rsidR="00C6290B" w:rsidRPr="0049648E" w:rsidRDefault="00C6290B">
            <w:pPr>
              <w:pStyle w:val="Source"/>
              <w:jc w:val="center"/>
            </w:pPr>
            <w:r w:rsidRPr="0049648E">
              <w:t>6%</w:t>
            </w:r>
          </w:p>
        </w:tc>
        <w:tc>
          <w:tcPr>
            <w:tcW w:w="992" w:type="dxa"/>
          </w:tcPr>
          <w:p w14:paraId="638A9C48" w14:textId="77777777" w:rsidR="00C6290B" w:rsidRPr="0049648E" w:rsidRDefault="00C6290B">
            <w:pPr>
              <w:pStyle w:val="Source"/>
              <w:jc w:val="center"/>
            </w:pPr>
            <w:r w:rsidRPr="0049648E">
              <w:t>4%</w:t>
            </w:r>
          </w:p>
        </w:tc>
        <w:tc>
          <w:tcPr>
            <w:tcW w:w="992" w:type="dxa"/>
          </w:tcPr>
          <w:p w14:paraId="579A693F" w14:textId="77777777" w:rsidR="00C6290B" w:rsidRPr="0049648E" w:rsidRDefault="00C6290B">
            <w:pPr>
              <w:pStyle w:val="Source"/>
              <w:jc w:val="center"/>
            </w:pPr>
            <w:r w:rsidRPr="0049648E">
              <w:t>14%</w:t>
            </w:r>
          </w:p>
        </w:tc>
        <w:tc>
          <w:tcPr>
            <w:tcW w:w="993" w:type="dxa"/>
          </w:tcPr>
          <w:p w14:paraId="59C46FB9" w14:textId="77777777" w:rsidR="00C6290B" w:rsidRPr="0049648E" w:rsidRDefault="00C6290B">
            <w:pPr>
              <w:pStyle w:val="Source"/>
              <w:jc w:val="center"/>
            </w:pPr>
            <w:r w:rsidRPr="0049648E">
              <w:t>4%</w:t>
            </w:r>
          </w:p>
        </w:tc>
        <w:tc>
          <w:tcPr>
            <w:tcW w:w="992" w:type="dxa"/>
          </w:tcPr>
          <w:p w14:paraId="5FFF043E" w14:textId="77777777" w:rsidR="00C6290B" w:rsidRPr="0049648E" w:rsidRDefault="00C6290B">
            <w:pPr>
              <w:pStyle w:val="Source"/>
              <w:jc w:val="center"/>
            </w:pPr>
            <w:r w:rsidRPr="0049648E">
              <w:t>3%</w:t>
            </w:r>
          </w:p>
        </w:tc>
      </w:tr>
      <w:tr w:rsidR="00C6290B" w:rsidRPr="002212A8" w14:paraId="27DD5293" w14:textId="77777777">
        <w:trPr>
          <w:cnfStyle w:val="000000010000" w:firstRow="0" w:lastRow="0" w:firstColumn="0" w:lastColumn="0" w:oddVBand="0" w:evenVBand="0" w:oddHBand="0" w:evenHBand="1" w:firstRowFirstColumn="0" w:firstRowLastColumn="0" w:lastRowFirstColumn="0" w:lastRowLastColumn="0"/>
        </w:trPr>
        <w:tc>
          <w:tcPr>
            <w:tcW w:w="3828" w:type="dxa"/>
          </w:tcPr>
          <w:p w14:paraId="5C9ABA3B" w14:textId="77777777" w:rsidR="00C6290B" w:rsidRPr="0049648E" w:rsidRDefault="00C6290B">
            <w:pPr>
              <w:pStyle w:val="Source"/>
            </w:pPr>
            <w:r w:rsidRPr="0049648E">
              <w:t>Government regulation/red tape</w:t>
            </w:r>
          </w:p>
        </w:tc>
        <w:tc>
          <w:tcPr>
            <w:tcW w:w="992" w:type="dxa"/>
          </w:tcPr>
          <w:p w14:paraId="36E75B8D" w14:textId="77777777" w:rsidR="00C6290B" w:rsidRPr="0049648E" w:rsidRDefault="00C6290B">
            <w:pPr>
              <w:pStyle w:val="Source"/>
              <w:jc w:val="center"/>
            </w:pPr>
            <w:r w:rsidRPr="0049648E">
              <w:t>0%</w:t>
            </w:r>
          </w:p>
        </w:tc>
        <w:tc>
          <w:tcPr>
            <w:tcW w:w="992" w:type="dxa"/>
          </w:tcPr>
          <w:p w14:paraId="64AFFC33" w14:textId="77777777" w:rsidR="00C6290B" w:rsidRPr="0049648E" w:rsidRDefault="00C6290B">
            <w:pPr>
              <w:pStyle w:val="Source"/>
              <w:jc w:val="center"/>
            </w:pPr>
            <w:r w:rsidRPr="0049648E">
              <w:t>0%</w:t>
            </w:r>
          </w:p>
        </w:tc>
        <w:tc>
          <w:tcPr>
            <w:tcW w:w="992" w:type="dxa"/>
          </w:tcPr>
          <w:p w14:paraId="4E6B1169" w14:textId="77777777" w:rsidR="00C6290B" w:rsidRPr="0049648E" w:rsidRDefault="00C6290B">
            <w:pPr>
              <w:pStyle w:val="Source"/>
              <w:jc w:val="center"/>
            </w:pPr>
            <w:r w:rsidRPr="0049648E">
              <w:t>0%</w:t>
            </w:r>
          </w:p>
        </w:tc>
        <w:tc>
          <w:tcPr>
            <w:tcW w:w="993" w:type="dxa"/>
          </w:tcPr>
          <w:p w14:paraId="7C87BDA9" w14:textId="77777777" w:rsidR="00C6290B" w:rsidRPr="0049648E" w:rsidRDefault="00C6290B">
            <w:pPr>
              <w:pStyle w:val="Source"/>
              <w:jc w:val="center"/>
            </w:pPr>
            <w:r w:rsidRPr="0049648E">
              <w:t>0%</w:t>
            </w:r>
          </w:p>
        </w:tc>
        <w:tc>
          <w:tcPr>
            <w:tcW w:w="992" w:type="dxa"/>
          </w:tcPr>
          <w:p w14:paraId="7E83F866" w14:textId="77777777" w:rsidR="00C6290B" w:rsidRPr="0049648E" w:rsidRDefault="00C6290B">
            <w:pPr>
              <w:pStyle w:val="Source"/>
              <w:jc w:val="center"/>
            </w:pPr>
            <w:r w:rsidRPr="0049648E">
              <w:t>2%</w:t>
            </w:r>
          </w:p>
        </w:tc>
      </w:tr>
      <w:tr w:rsidR="00C6290B" w:rsidRPr="002212A8" w14:paraId="36BEDFFD" w14:textId="77777777">
        <w:tc>
          <w:tcPr>
            <w:tcW w:w="3828" w:type="dxa"/>
          </w:tcPr>
          <w:p w14:paraId="70B58C12" w14:textId="77777777" w:rsidR="00C6290B" w:rsidRPr="0049648E" w:rsidRDefault="00C6290B">
            <w:pPr>
              <w:pStyle w:val="Source"/>
            </w:pPr>
            <w:r w:rsidRPr="0049648E">
              <w:t>Health related concerns (inc</w:t>
            </w:r>
            <w:r>
              <w:t>.</w:t>
            </w:r>
            <w:r w:rsidRPr="0049648E">
              <w:t xml:space="preserve"> mental health)</w:t>
            </w:r>
          </w:p>
        </w:tc>
        <w:tc>
          <w:tcPr>
            <w:tcW w:w="992" w:type="dxa"/>
          </w:tcPr>
          <w:p w14:paraId="7FCB70FE" w14:textId="77777777" w:rsidR="00C6290B" w:rsidRPr="0049648E" w:rsidRDefault="00C6290B">
            <w:pPr>
              <w:pStyle w:val="Source"/>
              <w:jc w:val="center"/>
            </w:pPr>
            <w:r w:rsidRPr="0049648E">
              <w:t>0%</w:t>
            </w:r>
          </w:p>
        </w:tc>
        <w:tc>
          <w:tcPr>
            <w:tcW w:w="992" w:type="dxa"/>
          </w:tcPr>
          <w:p w14:paraId="3ABAB430" w14:textId="77777777" w:rsidR="00C6290B" w:rsidRPr="0049648E" w:rsidRDefault="00C6290B">
            <w:pPr>
              <w:pStyle w:val="Source"/>
              <w:jc w:val="center"/>
            </w:pPr>
            <w:r w:rsidRPr="0049648E">
              <w:t>6%</w:t>
            </w:r>
          </w:p>
        </w:tc>
        <w:tc>
          <w:tcPr>
            <w:tcW w:w="992" w:type="dxa"/>
          </w:tcPr>
          <w:p w14:paraId="279F6F47" w14:textId="77777777" w:rsidR="00C6290B" w:rsidRPr="0049648E" w:rsidRDefault="00C6290B">
            <w:pPr>
              <w:pStyle w:val="Source"/>
              <w:jc w:val="center"/>
            </w:pPr>
            <w:r w:rsidRPr="0049648E">
              <w:t>0%</w:t>
            </w:r>
          </w:p>
        </w:tc>
        <w:tc>
          <w:tcPr>
            <w:tcW w:w="993" w:type="dxa"/>
          </w:tcPr>
          <w:p w14:paraId="2A7CC877" w14:textId="77777777" w:rsidR="00C6290B" w:rsidRPr="0049648E" w:rsidRDefault="00C6290B">
            <w:pPr>
              <w:pStyle w:val="Source"/>
              <w:jc w:val="center"/>
            </w:pPr>
            <w:r w:rsidRPr="0049648E">
              <w:t>3%</w:t>
            </w:r>
          </w:p>
        </w:tc>
        <w:tc>
          <w:tcPr>
            <w:tcW w:w="992" w:type="dxa"/>
          </w:tcPr>
          <w:p w14:paraId="102356A0" w14:textId="77777777" w:rsidR="00C6290B" w:rsidRPr="0049648E" w:rsidRDefault="00C6290B">
            <w:pPr>
              <w:pStyle w:val="Source"/>
              <w:jc w:val="center"/>
            </w:pPr>
            <w:r w:rsidRPr="0049648E">
              <w:t>0%</w:t>
            </w:r>
          </w:p>
        </w:tc>
      </w:tr>
      <w:tr w:rsidR="00C6290B" w:rsidRPr="002212A8" w14:paraId="46D053F5" w14:textId="77777777">
        <w:trPr>
          <w:cnfStyle w:val="000000010000" w:firstRow="0" w:lastRow="0" w:firstColumn="0" w:lastColumn="0" w:oddVBand="0" w:evenVBand="0" w:oddHBand="0" w:evenHBand="1" w:firstRowFirstColumn="0" w:firstRowLastColumn="0" w:lastRowFirstColumn="0" w:lastRowLastColumn="0"/>
        </w:trPr>
        <w:tc>
          <w:tcPr>
            <w:tcW w:w="3828" w:type="dxa"/>
          </w:tcPr>
          <w:p w14:paraId="53A3B8A9" w14:textId="77777777" w:rsidR="00C6290B" w:rsidRPr="0049648E" w:rsidRDefault="00C6290B">
            <w:pPr>
              <w:pStyle w:val="Source"/>
              <w:keepNext/>
            </w:pPr>
            <w:r w:rsidRPr="0049648E">
              <w:t>Supply chain issues</w:t>
            </w:r>
          </w:p>
        </w:tc>
        <w:tc>
          <w:tcPr>
            <w:tcW w:w="992" w:type="dxa"/>
          </w:tcPr>
          <w:p w14:paraId="4AF01DBC" w14:textId="77777777" w:rsidR="00C6290B" w:rsidRPr="0049648E" w:rsidRDefault="00C6290B">
            <w:pPr>
              <w:pStyle w:val="Source"/>
              <w:keepNext/>
              <w:jc w:val="center"/>
            </w:pPr>
            <w:r w:rsidRPr="0049648E">
              <w:t>11%</w:t>
            </w:r>
          </w:p>
        </w:tc>
        <w:tc>
          <w:tcPr>
            <w:tcW w:w="992" w:type="dxa"/>
          </w:tcPr>
          <w:p w14:paraId="78B1962D" w14:textId="77777777" w:rsidR="00C6290B" w:rsidRPr="0049648E" w:rsidRDefault="00C6290B">
            <w:pPr>
              <w:pStyle w:val="Source"/>
              <w:keepNext/>
              <w:jc w:val="center"/>
            </w:pPr>
            <w:r w:rsidRPr="0049648E">
              <w:t>0%</w:t>
            </w:r>
          </w:p>
        </w:tc>
        <w:tc>
          <w:tcPr>
            <w:tcW w:w="992" w:type="dxa"/>
          </w:tcPr>
          <w:p w14:paraId="4FDB373B" w14:textId="77777777" w:rsidR="00C6290B" w:rsidRPr="0049648E" w:rsidRDefault="00C6290B">
            <w:pPr>
              <w:pStyle w:val="Source"/>
              <w:keepNext/>
              <w:jc w:val="center"/>
            </w:pPr>
            <w:r w:rsidRPr="0049648E">
              <w:t>3%</w:t>
            </w:r>
          </w:p>
        </w:tc>
        <w:tc>
          <w:tcPr>
            <w:tcW w:w="993" w:type="dxa"/>
          </w:tcPr>
          <w:p w14:paraId="27E2A814" w14:textId="77777777" w:rsidR="00C6290B" w:rsidRPr="0049648E" w:rsidRDefault="00C6290B">
            <w:pPr>
              <w:pStyle w:val="Source"/>
              <w:keepNext/>
              <w:jc w:val="center"/>
            </w:pPr>
            <w:r w:rsidRPr="0049648E">
              <w:t>0%</w:t>
            </w:r>
          </w:p>
        </w:tc>
        <w:tc>
          <w:tcPr>
            <w:tcW w:w="992" w:type="dxa"/>
          </w:tcPr>
          <w:p w14:paraId="3D56D258" w14:textId="77777777" w:rsidR="00C6290B" w:rsidRPr="0049648E" w:rsidRDefault="00C6290B">
            <w:pPr>
              <w:pStyle w:val="Source"/>
              <w:keepNext/>
              <w:jc w:val="center"/>
            </w:pPr>
            <w:r w:rsidRPr="0049648E">
              <w:t>0%</w:t>
            </w:r>
          </w:p>
        </w:tc>
      </w:tr>
    </w:tbl>
    <w:bookmarkEnd w:id="1"/>
    <w:p w14:paraId="4131BD9D" w14:textId="77777777" w:rsidR="00C6290B" w:rsidRPr="009F4D4D" w:rsidRDefault="00C6290B" w:rsidP="00C6290B">
      <w:pPr>
        <w:pStyle w:val="BodyText"/>
        <w:keepNext/>
        <w:rPr>
          <w:szCs w:val="17"/>
        </w:rPr>
      </w:pPr>
      <w:r w:rsidRPr="00A856B8">
        <w:rPr>
          <w:sz w:val="17"/>
          <w:szCs w:val="17"/>
        </w:rPr>
        <w:t>Source: JSA, Recruitment Experiences and Outlook Survey (REOS), 30 June 2026</w:t>
      </w:r>
    </w:p>
    <w:p w14:paraId="2C44012F" w14:textId="59C04D18" w:rsidR="00C6290B" w:rsidRPr="002212A8" w:rsidRDefault="00D106A9" w:rsidP="00C6290B">
      <w:pPr>
        <w:pStyle w:val="BodyText"/>
      </w:pPr>
      <w:r>
        <w:t>Comparing with other industries</w:t>
      </w:r>
      <w:r w:rsidR="008B244B">
        <w:t>, i</w:t>
      </w:r>
      <w:r w:rsidR="00C6290B" w:rsidRPr="002212A8">
        <w:t xml:space="preserve">n 2025-26, </w:t>
      </w:r>
      <w:r w:rsidR="00B53F8B">
        <w:t xml:space="preserve">weak demand </w:t>
      </w:r>
      <w:r w:rsidR="00A21A10" w:rsidRPr="0049648E">
        <w:t>for their products or services</w:t>
      </w:r>
      <w:r w:rsidR="00B53F8B">
        <w:t xml:space="preserve"> was the dom</w:t>
      </w:r>
      <w:r w:rsidR="005D6E83">
        <w:t>inant concern in the IT industry</w:t>
      </w:r>
      <w:r w:rsidR="000C6BD9">
        <w:t xml:space="preserve">, reported by </w:t>
      </w:r>
      <w:r w:rsidR="00C6290B" w:rsidRPr="002212A8">
        <w:t>4</w:t>
      </w:r>
      <w:r w:rsidR="00C6290B">
        <w:t>3</w:t>
      </w:r>
      <w:r w:rsidR="00C6290B" w:rsidRPr="002212A8">
        <w:t xml:space="preserve">% of businesses in the </w:t>
      </w:r>
      <w:r w:rsidR="00C6290B" w:rsidRPr="0049648E">
        <w:t>industry</w:t>
      </w:r>
      <w:r w:rsidR="003D4153">
        <w:t xml:space="preserve">. </w:t>
      </w:r>
      <w:r w:rsidR="003D4153" w:rsidRPr="003D4153">
        <w:t xml:space="preserve">This was considerably higher than in Other Professional, Scientific and Technical Services </w:t>
      </w:r>
      <w:r w:rsidR="003D4153" w:rsidRPr="003D4153">
        <w:lastRenderedPageBreak/>
        <w:t>industries (23%) and across all industries (24%).</w:t>
      </w:r>
      <w:r w:rsidR="00C6290B" w:rsidRPr="0049648E">
        <w:t xml:space="preserve"> 20% </w:t>
      </w:r>
      <w:r w:rsidR="00836A09">
        <w:t xml:space="preserve">of employers in the industry </w:t>
      </w:r>
      <w:r w:rsidR="00C6290B" w:rsidRPr="0049648E">
        <w:t>nominated other reasons</w:t>
      </w:r>
      <w:r w:rsidR="00984121">
        <w:rPr>
          <w:rStyle w:val="FootnoteReference"/>
        </w:rPr>
        <w:footnoteReference w:id="9"/>
      </w:r>
      <w:r w:rsidR="00C6290B" w:rsidRPr="0049648E">
        <w:t xml:space="preserve"> </w:t>
      </w:r>
      <w:r w:rsidR="00836A09">
        <w:t>(</w:t>
      </w:r>
      <w:r w:rsidR="00F45D3D" w:rsidRPr="00F45D3D">
        <w:t>more than double the proportion across all industries (9%)</w:t>
      </w:r>
      <w:r w:rsidR="00F45D3D">
        <w:t>)</w:t>
      </w:r>
      <w:r w:rsidR="00836A09">
        <w:t xml:space="preserve"> </w:t>
      </w:r>
      <w:r w:rsidR="00C6290B" w:rsidRPr="0049648E">
        <w:t>and 19% reported no concerns. Just 3% of businesses in the IT industry nominated recruitment or retention difficulties (ranked sixth) compared with 20% in Other Professional, Scientific and Technical Services businesses.</w:t>
      </w:r>
    </w:p>
    <w:p w14:paraId="47EE370C" w14:textId="77777777" w:rsidR="00C6290B" w:rsidRPr="002212A8" w:rsidRDefault="00C6290B" w:rsidP="00653AAE">
      <w:pPr>
        <w:pStyle w:val="Caption"/>
        <w:keepNext/>
        <w:keepLines/>
      </w:pPr>
      <w:bookmarkStart w:id="2" w:name="_Toc170216936"/>
      <w:r w:rsidRPr="00C6290B">
        <w:t xml:space="preserve">Table 2: </w:t>
      </w:r>
      <w:bookmarkEnd w:id="2"/>
      <w:r w:rsidRPr="00C6290B">
        <w:t>Single greatest future concern, by industry, 2025-26</w:t>
      </w:r>
      <w:r w:rsidRPr="002212A8">
        <w:t xml:space="preserve"> </w:t>
      </w:r>
    </w:p>
    <w:tbl>
      <w:tblPr>
        <w:tblStyle w:val="CustomTablebasic"/>
        <w:tblW w:w="0" w:type="auto"/>
        <w:tblLook w:val="0020" w:firstRow="1" w:lastRow="0" w:firstColumn="0" w:lastColumn="0" w:noHBand="0" w:noVBand="0"/>
      </w:tblPr>
      <w:tblGrid>
        <w:gridCol w:w="4280"/>
        <w:gridCol w:w="1582"/>
        <w:gridCol w:w="2076"/>
        <w:gridCol w:w="1089"/>
      </w:tblGrid>
      <w:tr w:rsidR="00C6290B" w:rsidRPr="002212A8" w14:paraId="4EF7E7C5" w14:textId="77777777">
        <w:trPr>
          <w:cnfStyle w:val="100000000000" w:firstRow="1" w:lastRow="0" w:firstColumn="0" w:lastColumn="0" w:oddVBand="0" w:evenVBand="0" w:oddHBand="0" w:evenHBand="0" w:firstRowFirstColumn="0" w:firstRowLastColumn="0" w:lastRowFirstColumn="0" w:lastRowLastColumn="0"/>
        </w:trPr>
        <w:tc>
          <w:tcPr>
            <w:tcW w:w="4280" w:type="dxa"/>
          </w:tcPr>
          <w:p w14:paraId="18C2B26F" w14:textId="77777777" w:rsidR="00C6290B" w:rsidRPr="002212A8" w:rsidRDefault="00C6290B" w:rsidP="00653AAE">
            <w:pPr>
              <w:pStyle w:val="TableBodyText"/>
              <w:keepNext/>
              <w:keepLines/>
            </w:pPr>
            <w:r w:rsidRPr="002212A8">
              <w:t>Greatest future concern over the next three months</w:t>
            </w:r>
          </w:p>
        </w:tc>
        <w:tc>
          <w:tcPr>
            <w:tcW w:w="4747" w:type="dxa"/>
            <w:gridSpan w:val="3"/>
            <w:vAlign w:val="center"/>
          </w:tcPr>
          <w:p w14:paraId="00441575" w14:textId="77777777" w:rsidR="00C6290B" w:rsidRPr="002212A8" w:rsidRDefault="00C6290B" w:rsidP="00653AAE">
            <w:pPr>
              <w:pStyle w:val="TableHeading1right"/>
              <w:keepNext/>
              <w:keepLines/>
              <w:jc w:val="center"/>
            </w:pPr>
            <w:r w:rsidRPr="002212A8">
              <w:t>2025-26</w:t>
            </w:r>
          </w:p>
        </w:tc>
      </w:tr>
      <w:tr w:rsidR="00C6290B" w:rsidRPr="002212A8" w14:paraId="1F77A6D6" w14:textId="77777777">
        <w:tc>
          <w:tcPr>
            <w:tcW w:w="4280" w:type="dxa"/>
            <w:vAlign w:val="bottom"/>
            <w:hideMark/>
          </w:tcPr>
          <w:p w14:paraId="1783483D" w14:textId="77777777" w:rsidR="00C6290B" w:rsidRPr="002212A8" w:rsidRDefault="00C6290B" w:rsidP="00653AAE">
            <w:pPr>
              <w:pStyle w:val="Source"/>
              <w:keepNext/>
              <w:keepLines/>
            </w:pPr>
          </w:p>
        </w:tc>
        <w:tc>
          <w:tcPr>
            <w:tcW w:w="1582" w:type="dxa"/>
            <w:hideMark/>
          </w:tcPr>
          <w:p w14:paraId="2276FB98" w14:textId="77777777" w:rsidR="00C6290B" w:rsidRPr="002212A8" w:rsidRDefault="00C6290B" w:rsidP="00653AAE">
            <w:pPr>
              <w:pStyle w:val="Source"/>
              <w:keepNext/>
              <w:keepLines/>
              <w:jc w:val="center"/>
            </w:pPr>
            <w:r w:rsidRPr="002212A8">
              <w:t>IT industry</w:t>
            </w:r>
          </w:p>
        </w:tc>
        <w:tc>
          <w:tcPr>
            <w:tcW w:w="2076" w:type="dxa"/>
            <w:hideMark/>
          </w:tcPr>
          <w:p w14:paraId="499EA8DF" w14:textId="77777777" w:rsidR="00C6290B" w:rsidRPr="002212A8" w:rsidRDefault="00C6290B" w:rsidP="00653AAE">
            <w:pPr>
              <w:pStyle w:val="Source"/>
              <w:keepNext/>
              <w:keepLines/>
              <w:jc w:val="center"/>
            </w:pPr>
            <w:r>
              <w:t>Other</w:t>
            </w:r>
            <w:r w:rsidRPr="002212A8">
              <w:t xml:space="preserve"> Professional, Scientific and Technical Services industries</w:t>
            </w:r>
            <w:r>
              <w:rPr>
                <w:rStyle w:val="FootnoteReference"/>
              </w:rPr>
              <w:footnoteReference w:id="10"/>
            </w:r>
          </w:p>
        </w:tc>
        <w:tc>
          <w:tcPr>
            <w:tcW w:w="1089" w:type="dxa"/>
          </w:tcPr>
          <w:p w14:paraId="66C144C2" w14:textId="77777777" w:rsidR="00C6290B" w:rsidRPr="002212A8" w:rsidRDefault="00C6290B" w:rsidP="00653AAE">
            <w:pPr>
              <w:pStyle w:val="Source"/>
              <w:keepNext/>
              <w:keepLines/>
              <w:jc w:val="center"/>
            </w:pPr>
            <w:r w:rsidRPr="002212A8">
              <w:t>All industries</w:t>
            </w:r>
          </w:p>
        </w:tc>
      </w:tr>
      <w:tr w:rsidR="00C6290B" w:rsidRPr="002212A8" w14:paraId="7BA59900" w14:textId="77777777">
        <w:trPr>
          <w:cnfStyle w:val="000000010000" w:firstRow="0" w:lastRow="0" w:firstColumn="0" w:lastColumn="0" w:oddVBand="0" w:evenVBand="0" w:oddHBand="0" w:evenHBand="1" w:firstRowFirstColumn="0" w:firstRowLastColumn="0" w:lastRowFirstColumn="0" w:lastRowLastColumn="0"/>
        </w:trPr>
        <w:tc>
          <w:tcPr>
            <w:tcW w:w="4280" w:type="dxa"/>
            <w:hideMark/>
          </w:tcPr>
          <w:p w14:paraId="4C4829D9" w14:textId="77777777" w:rsidR="00C6290B" w:rsidRPr="002212A8" w:rsidRDefault="00C6290B" w:rsidP="00653AAE">
            <w:pPr>
              <w:pStyle w:val="Source"/>
              <w:keepNext/>
              <w:keepLines/>
            </w:pPr>
            <w:r w:rsidRPr="002212A8">
              <w:t>Lack of demand for products/services</w:t>
            </w:r>
          </w:p>
        </w:tc>
        <w:tc>
          <w:tcPr>
            <w:tcW w:w="1582" w:type="dxa"/>
            <w:hideMark/>
          </w:tcPr>
          <w:p w14:paraId="077A35F7" w14:textId="77777777" w:rsidR="00C6290B" w:rsidRPr="002212A8" w:rsidRDefault="00C6290B" w:rsidP="00653AAE">
            <w:pPr>
              <w:pStyle w:val="Source"/>
              <w:keepNext/>
              <w:keepLines/>
              <w:jc w:val="center"/>
            </w:pPr>
            <w:r w:rsidRPr="002212A8">
              <w:t>43%</w:t>
            </w:r>
          </w:p>
        </w:tc>
        <w:tc>
          <w:tcPr>
            <w:tcW w:w="2076" w:type="dxa"/>
            <w:hideMark/>
          </w:tcPr>
          <w:p w14:paraId="7674E6D2" w14:textId="77777777" w:rsidR="00C6290B" w:rsidRPr="002212A8" w:rsidRDefault="00C6290B" w:rsidP="00653AAE">
            <w:pPr>
              <w:pStyle w:val="Source"/>
              <w:keepNext/>
              <w:keepLines/>
              <w:jc w:val="center"/>
            </w:pPr>
            <w:r w:rsidRPr="002212A8">
              <w:t>23%</w:t>
            </w:r>
          </w:p>
        </w:tc>
        <w:tc>
          <w:tcPr>
            <w:tcW w:w="1089" w:type="dxa"/>
          </w:tcPr>
          <w:p w14:paraId="7DC7F8ED" w14:textId="77777777" w:rsidR="00C6290B" w:rsidRPr="002212A8" w:rsidRDefault="00C6290B" w:rsidP="00653AAE">
            <w:pPr>
              <w:pStyle w:val="Source"/>
              <w:keepNext/>
              <w:keepLines/>
              <w:jc w:val="center"/>
            </w:pPr>
            <w:r w:rsidRPr="002212A8">
              <w:t>24%</w:t>
            </w:r>
          </w:p>
        </w:tc>
      </w:tr>
      <w:tr w:rsidR="00C6290B" w:rsidRPr="002212A8" w14:paraId="5625DC0D" w14:textId="77777777">
        <w:tc>
          <w:tcPr>
            <w:tcW w:w="4280" w:type="dxa"/>
            <w:hideMark/>
          </w:tcPr>
          <w:p w14:paraId="1AEB8D6A" w14:textId="77777777" w:rsidR="00C6290B" w:rsidRPr="002212A8" w:rsidRDefault="00C6290B" w:rsidP="00653AAE">
            <w:pPr>
              <w:pStyle w:val="Source"/>
              <w:keepNext/>
              <w:keepLines/>
            </w:pPr>
            <w:r w:rsidRPr="002212A8">
              <w:t>Other reasons</w:t>
            </w:r>
          </w:p>
        </w:tc>
        <w:tc>
          <w:tcPr>
            <w:tcW w:w="1582" w:type="dxa"/>
            <w:hideMark/>
          </w:tcPr>
          <w:p w14:paraId="599CCB16" w14:textId="77777777" w:rsidR="00C6290B" w:rsidRPr="002212A8" w:rsidRDefault="00C6290B" w:rsidP="00653AAE">
            <w:pPr>
              <w:pStyle w:val="Source"/>
              <w:keepNext/>
              <w:keepLines/>
              <w:jc w:val="center"/>
            </w:pPr>
            <w:r w:rsidRPr="002212A8">
              <w:t>20%</w:t>
            </w:r>
          </w:p>
        </w:tc>
        <w:tc>
          <w:tcPr>
            <w:tcW w:w="2076" w:type="dxa"/>
            <w:hideMark/>
          </w:tcPr>
          <w:p w14:paraId="6F27F1F1" w14:textId="77777777" w:rsidR="00C6290B" w:rsidRPr="002212A8" w:rsidRDefault="00C6290B" w:rsidP="00653AAE">
            <w:pPr>
              <w:pStyle w:val="Source"/>
              <w:keepNext/>
              <w:keepLines/>
              <w:jc w:val="center"/>
            </w:pPr>
            <w:r w:rsidRPr="002212A8">
              <w:t>10%</w:t>
            </w:r>
          </w:p>
        </w:tc>
        <w:tc>
          <w:tcPr>
            <w:tcW w:w="1089" w:type="dxa"/>
          </w:tcPr>
          <w:p w14:paraId="6A799A6B" w14:textId="77777777" w:rsidR="00C6290B" w:rsidRPr="002212A8" w:rsidRDefault="00C6290B" w:rsidP="00653AAE">
            <w:pPr>
              <w:pStyle w:val="Source"/>
              <w:keepNext/>
              <w:keepLines/>
              <w:jc w:val="center"/>
            </w:pPr>
            <w:r w:rsidRPr="002212A8">
              <w:t>9</w:t>
            </w:r>
            <w:r>
              <w:t>%</w:t>
            </w:r>
          </w:p>
        </w:tc>
      </w:tr>
      <w:tr w:rsidR="00C6290B" w:rsidRPr="002212A8" w14:paraId="67712653" w14:textId="77777777">
        <w:trPr>
          <w:cnfStyle w:val="000000010000" w:firstRow="0" w:lastRow="0" w:firstColumn="0" w:lastColumn="0" w:oddVBand="0" w:evenVBand="0" w:oddHBand="0" w:evenHBand="1" w:firstRowFirstColumn="0" w:firstRowLastColumn="0" w:lastRowFirstColumn="0" w:lastRowLastColumn="0"/>
        </w:trPr>
        <w:tc>
          <w:tcPr>
            <w:tcW w:w="4280" w:type="dxa"/>
            <w:hideMark/>
          </w:tcPr>
          <w:p w14:paraId="0577CF1E" w14:textId="77777777" w:rsidR="00C6290B" w:rsidRPr="002212A8" w:rsidRDefault="00C6290B" w:rsidP="00653AAE">
            <w:pPr>
              <w:pStyle w:val="Source"/>
              <w:keepNext/>
              <w:keepLines/>
            </w:pPr>
            <w:r w:rsidRPr="002212A8">
              <w:t>No concerns</w:t>
            </w:r>
          </w:p>
        </w:tc>
        <w:tc>
          <w:tcPr>
            <w:tcW w:w="1582" w:type="dxa"/>
            <w:hideMark/>
          </w:tcPr>
          <w:p w14:paraId="6051770E" w14:textId="77777777" w:rsidR="00C6290B" w:rsidRPr="002212A8" w:rsidRDefault="00C6290B" w:rsidP="00653AAE">
            <w:pPr>
              <w:pStyle w:val="Source"/>
              <w:keepNext/>
              <w:keepLines/>
              <w:jc w:val="center"/>
            </w:pPr>
            <w:r w:rsidRPr="002212A8">
              <w:t>19%</w:t>
            </w:r>
          </w:p>
        </w:tc>
        <w:tc>
          <w:tcPr>
            <w:tcW w:w="2076" w:type="dxa"/>
            <w:hideMark/>
          </w:tcPr>
          <w:p w14:paraId="30514707" w14:textId="77777777" w:rsidR="00C6290B" w:rsidRPr="002212A8" w:rsidRDefault="00C6290B" w:rsidP="00653AAE">
            <w:pPr>
              <w:pStyle w:val="Source"/>
              <w:keepNext/>
              <w:keepLines/>
              <w:jc w:val="center"/>
            </w:pPr>
            <w:r w:rsidRPr="002212A8">
              <w:t>24%</w:t>
            </w:r>
          </w:p>
        </w:tc>
        <w:tc>
          <w:tcPr>
            <w:tcW w:w="1089" w:type="dxa"/>
          </w:tcPr>
          <w:p w14:paraId="391EA372" w14:textId="77777777" w:rsidR="00C6290B" w:rsidRPr="002212A8" w:rsidRDefault="00C6290B" w:rsidP="00653AAE">
            <w:pPr>
              <w:pStyle w:val="Source"/>
              <w:keepNext/>
              <w:keepLines/>
              <w:jc w:val="center"/>
            </w:pPr>
            <w:r w:rsidRPr="002212A8">
              <w:t>21%</w:t>
            </w:r>
          </w:p>
        </w:tc>
      </w:tr>
      <w:tr w:rsidR="00C6290B" w:rsidRPr="002212A8" w14:paraId="5F5531DE" w14:textId="77777777">
        <w:tc>
          <w:tcPr>
            <w:tcW w:w="4280" w:type="dxa"/>
            <w:hideMark/>
          </w:tcPr>
          <w:p w14:paraId="7AD83D27" w14:textId="77777777" w:rsidR="00C6290B" w:rsidRPr="002212A8" w:rsidRDefault="00C6290B" w:rsidP="00653AAE">
            <w:pPr>
              <w:pStyle w:val="Source"/>
              <w:keepNext/>
              <w:keepLines/>
            </w:pPr>
            <w:r w:rsidRPr="002212A8">
              <w:t>Costs</w:t>
            </w:r>
          </w:p>
        </w:tc>
        <w:tc>
          <w:tcPr>
            <w:tcW w:w="1582" w:type="dxa"/>
            <w:hideMark/>
          </w:tcPr>
          <w:p w14:paraId="54AEFCCC" w14:textId="77777777" w:rsidR="00C6290B" w:rsidRPr="002212A8" w:rsidRDefault="00C6290B" w:rsidP="00653AAE">
            <w:pPr>
              <w:pStyle w:val="Source"/>
              <w:keepNext/>
              <w:keepLines/>
              <w:jc w:val="center"/>
            </w:pPr>
            <w:r w:rsidRPr="002212A8">
              <w:t>5%</w:t>
            </w:r>
          </w:p>
        </w:tc>
        <w:tc>
          <w:tcPr>
            <w:tcW w:w="2076" w:type="dxa"/>
            <w:hideMark/>
          </w:tcPr>
          <w:p w14:paraId="58251339" w14:textId="77777777" w:rsidR="00C6290B" w:rsidRPr="002212A8" w:rsidRDefault="00C6290B" w:rsidP="00653AAE">
            <w:pPr>
              <w:pStyle w:val="Source"/>
              <w:keepNext/>
              <w:keepLines/>
              <w:jc w:val="center"/>
            </w:pPr>
            <w:r w:rsidRPr="002212A8">
              <w:t>7%</w:t>
            </w:r>
          </w:p>
        </w:tc>
        <w:tc>
          <w:tcPr>
            <w:tcW w:w="1089" w:type="dxa"/>
          </w:tcPr>
          <w:p w14:paraId="215F47E0" w14:textId="77777777" w:rsidR="00C6290B" w:rsidRPr="002212A8" w:rsidRDefault="00C6290B" w:rsidP="00653AAE">
            <w:pPr>
              <w:pStyle w:val="Source"/>
              <w:keepNext/>
              <w:keepLines/>
              <w:jc w:val="center"/>
            </w:pPr>
            <w:r w:rsidRPr="002212A8">
              <w:t>13%</w:t>
            </w:r>
          </w:p>
        </w:tc>
      </w:tr>
      <w:tr w:rsidR="00C6290B" w:rsidRPr="002212A8" w14:paraId="1C46615A" w14:textId="77777777">
        <w:trPr>
          <w:cnfStyle w:val="000000010000" w:firstRow="0" w:lastRow="0" w:firstColumn="0" w:lastColumn="0" w:oddVBand="0" w:evenVBand="0" w:oddHBand="0" w:evenHBand="1" w:firstRowFirstColumn="0" w:firstRowLastColumn="0" w:lastRowFirstColumn="0" w:lastRowLastColumn="0"/>
        </w:trPr>
        <w:tc>
          <w:tcPr>
            <w:tcW w:w="4280" w:type="dxa"/>
            <w:hideMark/>
          </w:tcPr>
          <w:p w14:paraId="6266F527" w14:textId="77777777" w:rsidR="00C6290B" w:rsidRPr="002212A8" w:rsidRDefault="00C6290B" w:rsidP="00653AAE">
            <w:pPr>
              <w:pStyle w:val="Source"/>
              <w:keepNext/>
              <w:keepLines/>
            </w:pPr>
            <w:r w:rsidRPr="002212A8">
              <w:t>Keeping up with demand for products or services</w:t>
            </w:r>
          </w:p>
        </w:tc>
        <w:tc>
          <w:tcPr>
            <w:tcW w:w="1582" w:type="dxa"/>
            <w:hideMark/>
          </w:tcPr>
          <w:p w14:paraId="22D7BB67" w14:textId="77777777" w:rsidR="00C6290B" w:rsidRPr="002212A8" w:rsidRDefault="00C6290B" w:rsidP="00653AAE">
            <w:pPr>
              <w:pStyle w:val="Source"/>
              <w:keepNext/>
              <w:keepLines/>
              <w:jc w:val="center"/>
            </w:pPr>
            <w:r w:rsidRPr="002212A8">
              <w:t>5%</w:t>
            </w:r>
          </w:p>
        </w:tc>
        <w:tc>
          <w:tcPr>
            <w:tcW w:w="2076" w:type="dxa"/>
            <w:hideMark/>
          </w:tcPr>
          <w:p w14:paraId="493D16EA" w14:textId="77777777" w:rsidR="00C6290B" w:rsidRPr="002212A8" w:rsidRDefault="00C6290B" w:rsidP="00653AAE">
            <w:pPr>
              <w:pStyle w:val="Source"/>
              <w:keepNext/>
              <w:keepLines/>
              <w:jc w:val="center"/>
            </w:pPr>
            <w:r w:rsidRPr="002212A8">
              <w:t>8%</w:t>
            </w:r>
          </w:p>
        </w:tc>
        <w:tc>
          <w:tcPr>
            <w:tcW w:w="1089" w:type="dxa"/>
          </w:tcPr>
          <w:p w14:paraId="47A4E733" w14:textId="77777777" w:rsidR="00C6290B" w:rsidRPr="002212A8" w:rsidRDefault="00C6290B" w:rsidP="00653AAE">
            <w:pPr>
              <w:pStyle w:val="Source"/>
              <w:keepNext/>
              <w:keepLines/>
              <w:jc w:val="center"/>
            </w:pPr>
            <w:r w:rsidRPr="002212A8">
              <w:t>4%</w:t>
            </w:r>
          </w:p>
        </w:tc>
      </w:tr>
      <w:tr w:rsidR="00C6290B" w:rsidRPr="002212A8" w14:paraId="79129209" w14:textId="77777777">
        <w:tc>
          <w:tcPr>
            <w:tcW w:w="4280" w:type="dxa"/>
            <w:hideMark/>
          </w:tcPr>
          <w:p w14:paraId="53117AA8" w14:textId="77777777" w:rsidR="00C6290B" w:rsidRPr="002212A8" w:rsidRDefault="00C6290B" w:rsidP="00653AAE">
            <w:pPr>
              <w:pStyle w:val="Source"/>
              <w:keepNext/>
              <w:keepLines/>
            </w:pPr>
            <w:r w:rsidRPr="002212A8">
              <w:t>Recruitment/ retention diff</w:t>
            </w:r>
            <w:r>
              <w:t>iculty</w:t>
            </w:r>
            <w:r w:rsidRPr="002212A8">
              <w:t>/skill shortages</w:t>
            </w:r>
          </w:p>
        </w:tc>
        <w:tc>
          <w:tcPr>
            <w:tcW w:w="1582" w:type="dxa"/>
            <w:hideMark/>
          </w:tcPr>
          <w:p w14:paraId="609B6B60" w14:textId="77777777" w:rsidR="00C6290B" w:rsidRPr="002212A8" w:rsidRDefault="00C6290B" w:rsidP="00653AAE">
            <w:pPr>
              <w:pStyle w:val="Source"/>
              <w:keepNext/>
              <w:keepLines/>
              <w:jc w:val="center"/>
            </w:pPr>
            <w:r w:rsidRPr="002212A8">
              <w:t>3%</w:t>
            </w:r>
          </w:p>
        </w:tc>
        <w:tc>
          <w:tcPr>
            <w:tcW w:w="2076" w:type="dxa"/>
            <w:hideMark/>
          </w:tcPr>
          <w:p w14:paraId="457334BD" w14:textId="77777777" w:rsidR="00C6290B" w:rsidRPr="002212A8" w:rsidRDefault="00C6290B" w:rsidP="00653AAE">
            <w:pPr>
              <w:pStyle w:val="Source"/>
              <w:keepNext/>
              <w:keepLines/>
              <w:jc w:val="center"/>
            </w:pPr>
            <w:r w:rsidRPr="002212A8">
              <w:t>20%</w:t>
            </w:r>
          </w:p>
        </w:tc>
        <w:tc>
          <w:tcPr>
            <w:tcW w:w="1089" w:type="dxa"/>
          </w:tcPr>
          <w:p w14:paraId="6FBB21F4" w14:textId="77777777" w:rsidR="00C6290B" w:rsidRPr="002212A8" w:rsidRDefault="00C6290B" w:rsidP="00653AAE">
            <w:pPr>
              <w:pStyle w:val="Source"/>
              <w:keepNext/>
              <w:keepLines/>
              <w:jc w:val="center"/>
            </w:pPr>
            <w:r w:rsidRPr="002212A8">
              <w:t>21%</w:t>
            </w:r>
          </w:p>
        </w:tc>
      </w:tr>
      <w:tr w:rsidR="00C6290B" w:rsidRPr="002212A8" w14:paraId="34CFB04F" w14:textId="77777777">
        <w:trPr>
          <w:cnfStyle w:val="000000010000" w:firstRow="0" w:lastRow="0" w:firstColumn="0" w:lastColumn="0" w:oddVBand="0" w:evenVBand="0" w:oddHBand="0" w:evenHBand="1" w:firstRowFirstColumn="0" w:firstRowLastColumn="0" w:lastRowFirstColumn="0" w:lastRowLastColumn="0"/>
        </w:trPr>
        <w:tc>
          <w:tcPr>
            <w:tcW w:w="4280" w:type="dxa"/>
          </w:tcPr>
          <w:p w14:paraId="587961F9" w14:textId="77777777" w:rsidR="00C6290B" w:rsidRPr="002212A8" w:rsidRDefault="00C6290B" w:rsidP="00653AAE">
            <w:pPr>
              <w:pStyle w:val="Source"/>
              <w:keepNext/>
              <w:keepLines/>
            </w:pPr>
            <w:r w:rsidRPr="002212A8">
              <w:t>Cash flow</w:t>
            </w:r>
          </w:p>
        </w:tc>
        <w:tc>
          <w:tcPr>
            <w:tcW w:w="1582" w:type="dxa"/>
          </w:tcPr>
          <w:p w14:paraId="43B06D4A" w14:textId="77777777" w:rsidR="00C6290B" w:rsidRPr="002212A8" w:rsidRDefault="00C6290B" w:rsidP="00653AAE">
            <w:pPr>
              <w:pStyle w:val="Source"/>
              <w:keepNext/>
              <w:keepLines/>
              <w:jc w:val="center"/>
            </w:pPr>
            <w:r w:rsidRPr="002212A8">
              <w:t>3%</w:t>
            </w:r>
          </w:p>
        </w:tc>
        <w:tc>
          <w:tcPr>
            <w:tcW w:w="2076" w:type="dxa"/>
          </w:tcPr>
          <w:p w14:paraId="625D95EF" w14:textId="77777777" w:rsidR="00C6290B" w:rsidRPr="002212A8" w:rsidRDefault="00C6290B" w:rsidP="00653AAE">
            <w:pPr>
              <w:pStyle w:val="Source"/>
              <w:keepNext/>
              <w:keepLines/>
              <w:jc w:val="center"/>
            </w:pPr>
            <w:r w:rsidRPr="002212A8">
              <w:t>6%</w:t>
            </w:r>
          </w:p>
        </w:tc>
        <w:tc>
          <w:tcPr>
            <w:tcW w:w="1089" w:type="dxa"/>
          </w:tcPr>
          <w:p w14:paraId="3B4DDACD" w14:textId="77777777" w:rsidR="00C6290B" w:rsidRPr="002212A8" w:rsidRDefault="00C6290B" w:rsidP="00653AAE">
            <w:pPr>
              <w:pStyle w:val="Source"/>
              <w:keepNext/>
              <w:keepLines/>
              <w:jc w:val="center"/>
            </w:pPr>
            <w:r w:rsidRPr="002212A8">
              <w:t>4%</w:t>
            </w:r>
          </w:p>
        </w:tc>
      </w:tr>
      <w:tr w:rsidR="00C6290B" w:rsidRPr="002212A8" w14:paraId="1197AB0D" w14:textId="77777777">
        <w:tc>
          <w:tcPr>
            <w:tcW w:w="4280" w:type="dxa"/>
          </w:tcPr>
          <w:p w14:paraId="1EAB8544" w14:textId="77777777" w:rsidR="00C6290B" w:rsidRPr="002212A8" w:rsidRDefault="00C6290B" w:rsidP="00653AAE">
            <w:pPr>
              <w:pStyle w:val="Source"/>
              <w:keepNext/>
              <w:keepLines/>
            </w:pPr>
            <w:r w:rsidRPr="002212A8">
              <w:t>Government regulation/red tape</w:t>
            </w:r>
          </w:p>
        </w:tc>
        <w:tc>
          <w:tcPr>
            <w:tcW w:w="1582" w:type="dxa"/>
          </w:tcPr>
          <w:p w14:paraId="35244EE1" w14:textId="77777777" w:rsidR="00C6290B" w:rsidRPr="002212A8" w:rsidRDefault="00C6290B" w:rsidP="00653AAE">
            <w:pPr>
              <w:pStyle w:val="Source"/>
              <w:keepNext/>
              <w:keepLines/>
              <w:jc w:val="center"/>
            </w:pPr>
            <w:r w:rsidRPr="002212A8">
              <w:t>2%</w:t>
            </w:r>
          </w:p>
        </w:tc>
        <w:tc>
          <w:tcPr>
            <w:tcW w:w="2076" w:type="dxa"/>
          </w:tcPr>
          <w:p w14:paraId="4CF2EB06" w14:textId="77777777" w:rsidR="00C6290B" w:rsidRPr="002212A8" w:rsidRDefault="00C6290B" w:rsidP="00653AAE">
            <w:pPr>
              <w:pStyle w:val="Source"/>
              <w:keepNext/>
              <w:keepLines/>
              <w:jc w:val="center"/>
            </w:pPr>
            <w:r w:rsidRPr="002212A8">
              <w:t>2%</w:t>
            </w:r>
          </w:p>
        </w:tc>
        <w:tc>
          <w:tcPr>
            <w:tcW w:w="1089" w:type="dxa"/>
          </w:tcPr>
          <w:p w14:paraId="1E2F247E" w14:textId="77777777" w:rsidR="00C6290B" w:rsidRPr="002212A8" w:rsidRDefault="00C6290B" w:rsidP="00653AAE">
            <w:pPr>
              <w:pStyle w:val="Source"/>
              <w:keepNext/>
              <w:keepLines/>
              <w:jc w:val="center"/>
            </w:pPr>
            <w:r w:rsidRPr="002212A8">
              <w:t>1%</w:t>
            </w:r>
          </w:p>
        </w:tc>
      </w:tr>
      <w:tr w:rsidR="00C6290B" w:rsidRPr="002212A8" w14:paraId="1D9A4341" w14:textId="77777777">
        <w:trPr>
          <w:cnfStyle w:val="000000010000" w:firstRow="0" w:lastRow="0" w:firstColumn="0" w:lastColumn="0" w:oddVBand="0" w:evenVBand="0" w:oddHBand="0" w:evenHBand="1" w:firstRowFirstColumn="0" w:firstRowLastColumn="0" w:lastRowFirstColumn="0" w:lastRowLastColumn="0"/>
        </w:trPr>
        <w:tc>
          <w:tcPr>
            <w:tcW w:w="4280" w:type="dxa"/>
          </w:tcPr>
          <w:p w14:paraId="0289CAD2" w14:textId="77777777" w:rsidR="00C6290B" w:rsidRPr="002212A8" w:rsidRDefault="00C6290B" w:rsidP="00653AAE">
            <w:pPr>
              <w:pStyle w:val="Source"/>
              <w:keepNext/>
              <w:keepLines/>
            </w:pPr>
            <w:r w:rsidRPr="002212A8">
              <w:t>Health related concerns (inc</w:t>
            </w:r>
            <w:r>
              <w:t>. m</w:t>
            </w:r>
            <w:r w:rsidRPr="002212A8">
              <w:t>ental health)</w:t>
            </w:r>
          </w:p>
        </w:tc>
        <w:tc>
          <w:tcPr>
            <w:tcW w:w="1582" w:type="dxa"/>
          </w:tcPr>
          <w:p w14:paraId="7B369D7F" w14:textId="77777777" w:rsidR="00C6290B" w:rsidRPr="002212A8" w:rsidRDefault="00C6290B" w:rsidP="00653AAE">
            <w:pPr>
              <w:pStyle w:val="Source"/>
              <w:keepNext/>
              <w:keepLines/>
              <w:jc w:val="center"/>
            </w:pPr>
            <w:r w:rsidRPr="002212A8">
              <w:t>0%</w:t>
            </w:r>
          </w:p>
        </w:tc>
        <w:tc>
          <w:tcPr>
            <w:tcW w:w="2076" w:type="dxa"/>
          </w:tcPr>
          <w:p w14:paraId="79450EB7" w14:textId="77777777" w:rsidR="00C6290B" w:rsidRPr="002212A8" w:rsidRDefault="00C6290B" w:rsidP="00653AAE">
            <w:pPr>
              <w:pStyle w:val="Source"/>
              <w:keepNext/>
              <w:keepLines/>
              <w:jc w:val="center"/>
            </w:pPr>
            <w:r w:rsidRPr="002212A8">
              <w:t>0%</w:t>
            </w:r>
          </w:p>
        </w:tc>
        <w:tc>
          <w:tcPr>
            <w:tcW w:w="1089" w:type="dxa"/>
          </w:tcPr>
          <w:p w14:paraId="695283E1" w14:textId="77777777" w:rsidR="00C6290B" w:rsidRPr="002212A8" w:rsidRDefault="00C6290B" w:rsidP="00653AAE">
            <w:pPr>
              <w:pStyle w:val="Source"/>
              <w:keepNext/>
              <w:keepLines/>
              <w:jc w:val="center"/>
            </w:pPr>
            <w:r w:rsidRPr="002212A8">
              <w:t>1%</w:t>
            </w:r>
          </w:p>
        </w:tc>
      </w:tr>
      <w:tr w:rsidR="00C6290B" w:rsidRPr="002212A8" w14:paraId="51AD40B6" w14:textId="77777777">
        <w:tc>
          <w:tcPr>
            <w:tcW w:w="4280" w:type="dxa"/>
          </w:tcPr>
          <w:p w14:paraId="4212D966" w14:textId="77777777" w:rsidR="00C6290B" w:rsidRPr="002212A8" w:rsidRDefault="00C6290B" w:rsidP="00653AAE">
            <w:pPr>
              <w:pStyle w:val="Source"/>
              <w:keepNext/>
              <w:keepLines/>
            </w:pPr>
            <w:r w:rsidRPr="002212A8">
              <w:t>Supply chain issues</w:t>
            </w:r>
          </w:p>
        </w:tc>
        <w:tc>
          <w:tcPr>
            <w:tcW w:w="1582" w:type="dxa"/>
          </w:tcPr>
          <w:p w14:paraId="682AEE27" w14:textId="77777777" w:rsidR="00C6290B" w:rsidRPr="002212A8" w:rsidRDefault="00C6290B" w:rsidP="00653AAE">
            <w:pPr>
              <w:pStyle w:val="Source"/>
              <w:keepNext/>
              <w:keepLines/>
              <w:jc w:val="center"/>
            </w:pPr>
            <w:r w:rsidRPr="002212A8">
              <w:t>0%</w:t>
            </w:r>
          </w:p>
        </w:tc>
        <w:tc>
          <w:tcPr>
            <w:tcW w:w="2076" w:type="dxa"/>
          </w:tcPr>
          <w:p w14:paraId="51FF2EAD" w14:textId="77777777" w:rsidR="00C6290B" w:rsidRPr="002212A8" w:rsidRDefault="00C6290B" w:rsidP="00653AAE">
            <w:pPr>
              <w:pStyle w:val="Source"/>
              <w:keepNext/>
              <w:keepLines/>
              <w:jc w:val="center"/>
            </w:pPr>
            <w:r w:rsidRPr="002212A8">
              <w:t>0%</w:t>
            </w:r>
          </w:p>
        </w:tc>
        <w:tc>
          <w:tcPr>
            <w:tcW w:w="1089" w:type="dxa"/>
          </w:tcPr>
          <w:p w14:paraId="45AE7AE3" w14:textId="77777777" w:rsidR="00C6290B" w:rsidRPr="002212A8" w:rsidRDefault="00C6290B" w:rsidP="00653AAE">
            <w:pPr>
              <w:pStyle w:val="Source"/>
              <w:keepNext/>
              <w:keepLines/>
              <w:jc w:val="center"/>
            </w:pPr>
            <w:r w:rsidRPr="002212A8">
              <w:t>1%</w:t>
            </w:r>
          </w:p>
        </w:tc>
      </w:tr>
    </w:tbl>
    <w:p w14:paraId="7E9875AF" w14:textId="77777777" w:rsidR="00C6290B" w:rsidRPr="002212A8" w:rsidRDefault="00C6290B" w:rsidP="00653AAE">
      <w:pPr>
        <w:pStyle w:val="Source"/>
        <w:keepNext/>
        <w:keepLines/>
      </w:pPr>
      <w:r w:rsidRPr="002212A8">
        <w:t>Source: JSA, Recruitment Experiences and Outlook Survey (REOS), 30 June 2026</w:t>
      </w:r>
    </w:p>
    <w:p w14:paraId="318D2775" w14:textId="77777777" w:rsidR="00C6290B" w:rsidRDefault="00C6290B" w:rsidP="00F27354">
      <w:pPr>
        <w:pStyle w:val="BodyText"/>
      </w:pPr>
    </w:p>
    <w:p w14:paraId="7CECFD73" w14:textId="5F6098A7" w:rsidR="00522E1E" w:rsidRPr="002212A8" w:rsidRDefault="00522E1E" w:rsidP="00DB64D9">
      <w:pPr>
        <w:pStyle w:val="Heading1"/>
      </w:pPr>
      <w:r w:rsidRPr="002212A8">
        <w:t>Recruitment activity in the IT industry</w:t>
      </w:r>
    </w:p>
    <w:p w14:paraId="6EC10597" w14:textId="1160071E" w:rsidR="00EB175B" w:rsidRPr="00B94BA6" w:rsidRDefault="00F93D1E" w:rsidP="00DB64D9">
      <w:pPr>
        <w:pStyle w:val="BodyText"/>
        <w:rPr>
          <w:rStyle w:val="Characteritalic"/>
          <w:i w:val="0"/>
          <w:iCs/>
        </w:rPr>
      </w:pPr>
      <w:r>
        <w:rPr>
          <w:rStyle w:val="Characteritalic"/>
          <w:i w:val="0"/>
          <w:iCs/>
        </w:rPr>
        <w:t>E</w:t>
      </w:r>
      <w:r w:rsidR="00185565" w:rsidRPr="00185565">
        <w:rPr>
          <w:rStyle w:val="Characteritalic"/>
          <w:i w:val="0"/>
          <w:iCs/>
        </w:rPr>
        <w:t xml:space="preserve">mployers are </w:t>
      </w:r>
      <w:r>
        <w:rPr>
          <w:rStyle w:val="Characteritalic"/>
          <w:i w:val="0"/>
          <w:iCs/>
        </w:rPr>
        <w:t>also</w:t>
      </w:r>
      <w:r w:rsidR="00185565" w:rsidRPr="00185565">
        <w:rPr>
          <w:rStyle w:val="Characteritalic"/>
          <w:i w:val="0"/>
          <w:iCs/>
        </w:rPr>
        <w:t xml:space="preserve"> asked whether they are currently recruiting or had recruited in the previous month</w:t>
      </w:r>
      <w:r w:rsidR="003056D6" w:rsidRPr="00B94BA6">
        <w:rPr>
          <w:rStyle w:val="Characteritalic"/>
          <w:i w:val="0"/>
          <w:iCs/>
        </w:rPr>
        <w:t xml:space="preserve">. </w:t>
      </w:r>
    </w:p>
    <w:p w14:paraId="2EDF051A" w14:textId="2A5E4D9F" w:rsidR="002A4554" w:rsidRPr="00595B60" w:rsidRDefault="003056D6" w:rsidP="00222A8C">
      <w:pPr>
        <w:pStyle w:val="BodyText"/>
      </w:pPr>
      <w:r w:rsidRPr="00595B60">
        <w:t>In 2025-26, the recruitment rate</w:t>
      </w:r>
      <w:r w:rsidRPr="00595B60">
        <w:rPr>
          <w:rStyle w:val="FootnoteReference"/>
        </w:rPr>
        <w:footnoteReference w:id="11"/>
      </w:r>
      <w:r w:rsidRPr="00595B60">
        <w:t xml:space="preserve"> for the IT industry was</w:t>
      </w:r>
      <w:r w:rsidR="00017CD3" w:rsidRPr="00595B60">
        <w:t xml:space="preserve"> 32</w:t>
      </w:r>
      <w:r w:rsidRPr="00595B60">
        <w:t xml:space="preserve">%, which was </w:t>
      </w:r>
      <w:r w:rsidR="00017CD3" w:rsidRPr="00595B60">
        <w:t>considerably</w:t>
      </w:r>
      <w:r w:rsidRPr="00595B60">
        <w:t xml:space="preserve"> lower than</w:t>
      </w:r>
      <w:r w:rsidR="00107088" w:rsidRPr="00595B60">
        <w:t xml:space="preserve"> </w:t>
      </w:r>
      <w:r w:rsidR="00841D41" w:rsidRPr="00595B60">
        <w:t xml:space="preserve">the </w:t>
      </w:r>
      <w:r w:rsidR="00107088" w:rsidRPr="00595B60">
        <w:t xml:space="preserve">average </w:t>
      </w:r>
      <w:r w:rsidR="00185565" w:rsidRPr="00595B60">
        <w:t>for Other</w:t>
      </w:r>
      <w:r w:rsidR="00107088" w:rsidRPr="00595B60">
        <w:t xml:space="preserve"> Professional, Scientific and Technical Services</w:t>
      </w:r>
      <w:r w:rsidR="00EB175B" w:rsidRPr="00595B60">
        <w:t xml:space="preserve"> industr</w:t>
      </w:r>
      <w:r w:rsidR="00185565" w:rsidRPr="00595B60">
        <w:t>ies</w:t>
      </w:r>
      <w:r w:rsidR="00107088" w:rsidRPr="00595B60">
        <w:t xml:space="preserve"> (</w:t>
      </w:r>
      <w:r w:rsidR="00017CD3" w:rsidRPr="00595B60">
        <w:t>41</w:t>
      </w:r>
      <w:r w:rsidR="00107088" w:rsidRPr="00595B60">
        <w:t xml:space="preserve">%). The recruitment rate for all industries was </w:t>
      </w:r>
      <w:r w:rsidR="00017CD3" w:rsidRPr="00595B60">
        <w:t>49</w:t>
      </w:r>
      <w:r w:rsidR="00107088" w:rsidRPr="00595B60">
        <w:t>% in 2025-26.</w:t>
      </w:r>
      <w:r w:rsidR="00933E10">
        <w:t xml:space="preserve"> </w:t>
      </w:r>
      <w:r w:rsidR="0048330C">
        <w:t>It</w:t>
      </w:r>
      <w:r w:rsidR="0086719B" w:rsidRPr="00D41D9F">
        <w:t xml:space="preserve"> is worth noting that, although the recruitment rate for the IT industry appeared higher in 2024–25, the rate fell back to 32% in 2025–26, a level </w:t>
      </w:r>
      <w:proofErr w:type="gramStart"/>
      <w:r w:rsidR="0086719B" w:rsidRPr="00D41D9F">
        <w:t>similar to</w:t>
      </w:r>
      <w:proofErr w:type="gramEnd"/>
      <w:r w:rsidR="0086719B" w:rsidRPr="00D41D9F">
        <w:t xml:space="preserve"> that recorded in 2023–24 (31%)</w:t>
      </w:r>
      <w:r w:rsidR="003952C4">
        <w:t>.</w:t>
      </w:r>
      <w:r w:rsidR="00933E10">
        <w:t xml:space="preserve"> </w:t>
      </w:r>
      <w:r w:rsidR="0048330C">
        <w:t>The</w:t>
      </w:r>
      <w:r w:rsidR="00FC3957">
        <w:t xml:space="preserve"> </w:t>
      </w:r>
      <w:r w:rsidR="00B65AEA">
        <w:t xml:space="preserve">2025-26 </w:t>
      </w:r>
      <w:r w:rsidR="00FC3957">
        <w:t>r</w:t>
      </w:r>
      <w:r w:rsidR="00B65AEA">
        <w:t>ecruitment rate</w:t>
      </w:r>
      <w:r w:rsidR="000D4909">
        <w:t xml:space="preserve"> </w:t>
      </w:r>
      <w:r w:rsidR="0086719B" w:rsidRPr="00D41D9F">
        <w:t>was well below the rates recorded</w:t>
      </w:r>
      <w:r w:rsidR="007D4877">
        <w:t xml:space="preserve"> in all years</w:t>
      </w:r>
      <w:r w:rsidR="0086719B" w:rsidRPr="00D41D9F">
        <w:t xml:space="preserve"> during 2020-2023 period.</w:t>
      </w:r>
    </w:p>
    <w:p w14:paraId="45468E8E" w14:textId="4C96DEA6" w:rsidR="00222A8C" w:rsidRPr="00222A8C" w:rsidRDefault="00222A8C" w:rsidP="00222A8C">
      <w:pPr>
        <w:pStyle w:val="BodyText"/>
      </w:pPr>
      <w:r w:rsidRPr="00595B60">
        <w:t>Using two-year rolling averages to smooth the year-to-year volatility</w:t>
      </w:r>
      <w:r w:rsidR="00614487" w:rsidRPr="00595B60">
        <w:t xml:space="preserve"> (see Chart 5 in the Appendix)</w:t>
      </w:r>
      <w:r w:rsidRPr="00595B60">
        <w:t>,</w:t>
      </w:r>
      <w:r w:rsidR="00614487" w:rsidRPr="00595B60">
        <w:t xml:space="preserve"> </w:t>
      </w:r>
      <w:r w:rsidRPr="00595B60">
        <w:t xml:space="preserve">the data show that the IT industry’s recruitment rate declined </w:t>
      </w:r>
      <w:r w:rsidR="00B436FC" w:rsidRPr="00595B60">
        <w:t xml:space="preserve">from </w:t>
      </w:r>
      <w:r w:rsidR="00CB22A4" w:rsidRPr="00595B60">
        <w:t>around</w:t>
      </w:r>
      <w:r w:rsidR="007B7F9E" w:rsidRPr="00595B60">
        <w:t xml:space="preserve"> </w:t>
      </w:r>
      <w:r w:rsidRPr="00595B60">
        <w:t>46% in the period 202</w:t>
      </w:r>
      <w:r w:rsidR="00D146BC" w:rsidRPr="00595B60">
        <w:t>1</w:t>
      </w:r>
      <w:r w:rsidR="009F5340" w:rsidRPr="00595B60">
        <w:t>-</w:t>
      </w:r>
      <w:r w:rsidRPr="00595B60">
        <w:t>2</w:t>
      </w:r>
      <w:r w:rsidR="00D146BC" w:rsidRPr="00595B60">
        <w:t>2</w:t>
      </w:r>
      <w:r w:rsidRPr="00595B60">
        <w:t xml:space="preserve"> to 2022</w:t>
      </w:r>
      <w:r w:rsidR="009F5340" w:rsidRPr="00595B60">
        <w:t>-</w:t>
      </w:r>
      <w:r w:rsidRPr="00595B60">
        <w:t xml:space="preserve">23, to </w:t>
      </w:r>
      <w:r w:rsidR="00E11DA9" w:rsidRPr="00595B60">
        <w:t>around 3</w:t>
      </w:r>
      <w:r w:rsidR="00CB22A4" w:rsidRPr="00595B60">
        <w:t>7</w:t>
      </w:r>
      <w:r w:rsidR="00F21FA6" w:rsidRPr="00595B60">
        <w:t>%</w:t>
      </w:r>
      <w:r w:rsidRPr="00595B60">
        <w:t xml:space="preserve"> in the period</w:t>
      </w:r>
      <w:r w:rsidR="00A428D0" w:rsidRPr="00595B60">
        <w:t xml:space="preserve"> </w:t>
      </w:r>
      <w:r w:rsidRPr="00595B60">
        <w:t>2023</w:t>
      </w:r>
      <w:r w:rsidR="009F5340" w:rsidRPr="00595B60">
        <w:t>-</w:t>
      </w:r>
      <w:r w:rsidRPr="00595B60">
        <w:t>24 to 2025</w:t>
      </w:r>
      <w:r w:rsidR="009F5340" w:rsidRPr="00595B60">
        <w:t>-</w:t>
      </w:r>
      <w:r w:rsidRPr="00595B60">
        <w:t>26</w:t>
      </w:r>
      <w:r w:rsidR="00B436FC" w:rsidRPr="00595B60">
        <w:t>.</w:t>
      </w:r>
      <w:r w:rsidRPr="00595B60">
        <w:t xml:space="preserve"> This suggests that the lower recruitment rates observed in recent years may reflect a broader moderation in recruitment activity rather than a one-off result, although the limited time series means this pattern should be interpreted with caution.</w:t>
      </w:r>
    </w:p>
    <w:p w14:paraId="36144235" w14:textId="5D934B03" w:rsidR="00522E1E" w:rsidRPr="002212A8" w:rsidRDefault="00DB64D9" w:rsidP="00111F9F">
      <w:pPr>
        <w:pStyle w:val="BodyText"/>
        <w:keepNext/>
        <w:keepLines/>
        <w:rPr>
          <w:rStyle w:val="Characterbold"/>
        </w:rPr>
      </w:pPr>
      <w:r w:rsidRPr="00B04A4D">
        <w:rPr>
          <w:rStyle w:val="Characterbold"/>
        </w:rPr>
        <w:lastRenderedPageBreak/>
        <w:t xml:space="preserve">Chart </w:t>
      </w:r>
      <w:r w:rsidR="00F55390" w:rsidRPr="00B04A4D">
        <w:rPr>
          <w:rStyle w:val="Characterbold"/>
        </w:rPr>
        <w:t>1</w:t>
      </w:r>
      <w:r w:rsidRPr="00B04A4D">
        <w:rPr>
          <w:rStyle w:val="Characterbold"/>
        </w:rPr>
        <w:t>: Recruitment</w:t>
      </w:r>
      <w:r w:rsidRPr="002212A8">
        <w:rPr>
          <w:rStyle w:val="Characterbold"/>
        </w:rPr>
        <w:t xml:space="preserve"> rate in the IT industry compared with all </w:t>
      </w:r>
      <w:r w:rsidR="00A1107A">
        <w:rPr>
          <w:rStyle w:val="Characterbold"/>
        </w:rPr>
        <w:t>O</w:t>
      </w:r>
      <w:r w:rsidRPr="002212A8">
        <w:rPr>
          <w:rStyle w:val="Characterbold"/>
        </w:rPr>
        <w:t xml:space="preserve">ther Professional, Scientific and Technical Services industries, </w:t>
      </w:r>
      <w:r w:rsidR="00017CD3" w:rsidRPr="002212A8">
        <w:rPr>
          <w:rStyle w:val="Characterbold"/>
        </w:rPr>
        <w:t>2020-21 to 2025-26</w:t>
      </w:r>
    </w:p>
    <w:p w14:paraId="2973D793" w14:textId="07AA934B" w:rsidR="00781855" w:rsidRPr="00781855" w:rsidRDefault="00781855" w:rsidP="00781855">
      <w:pPr>
        <w:pStyle w:val="BodyText"/>
        <w:rPr>
          <w:lang w:eastAsia="en-GB"/>
        </w:rPr>
      </w:pPr>
      <w:r>
        <w:rPr>
          <w:noProof/>
          <w:lang w:eastAsia="en-GB"/>
        </w:rPr>
        <w:drawing>
          <wp:inline distT="0" distB="0" distL="0" distR="0" wp14:anchorId="087A0013" wp14:editId="0BEC4C64">
            <wp:extent cx="5602605" cy="2487295"/>
            <wp:effectExtent l="0" t="0" r="0" b="8255"/>
            <wp:docPr id="321628716" name="Picture 2" descr="Chart 1 expressing data outlined in &quot;Recruitment activity in the IT industry&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628716" name="Picture 2" descr="Chart 1 expressing data outlined in &quot;Recruitment activity in the IT industry&quo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02605" cy="2487295"/>
                    </a:xfrm>
                    <a:prstGeom prst="rect">
                      <a:avLst/>
                    </a:prstGeom>
                    <a:noFill/>
                  </pic:spPr>
                </pic:pic>
              </a:graphicData>
            </a:graphic>
          </wp:inline>
        </w:drawing>
      </w:r>
    </w:p>
    <w:p w14:paraId="78172D56" w14:textId="7B3250BE" w:rsidR="004C3AC1" w:rsidRPr="002212A8" w:rsidRDefault="004C3AC1" w:rsidP="00A1107A">
      <w:pPr>
        <w:pStyle w:val="Source"/>
      </w:pPr>
      <w:r w:rsidRPr="00A1107A">
        <w:t>Source: JSA, Recruitment Experiences and Outlook Survey (REOS), 30 June 2026</w:t>
      </w:r>
    </w:p>
    <w:p w14:paraId="450EAA9D" w14:textId="4D7B941E" w:rsidR="00EB175B" w:rsidRPr="0049648E" w:rsidRDefault="00EB175B" w:rsidP="00364F62">
      <w:pPr>
        <w:pStyle w:val="Heading1"/>
      </w:pPr>
      <w:r w:rsidRPr="0049648E">
        <w:t>Expectations for future staffing level</w:t>
      </w:r>
      <w:r w:rsidR="007F73A2" w:rsidRPr="0049648E">
        <w:t xml:space="preserve"> increases</w:t>
      </w:r>
    </w:p>
    <w:p w14:paraId="3D342015" w14:textId="4CD67AD5" w:rsidR="00EB175B" w:rsidRPr="0049648E" w:rsidRDefault="00EA24EA" w:rsidP="00EB175B">
      <w:pPr>
        <w:pStyle w:val="BodyText"/>
      </w:pPr>
      <w:r w:rsidRPr="0049648E">
        <w:t xml:space="preserve">As part of the REOS survey, employers are asked about their expectations for staffing numbers over the </w:t>
      </w:r>
      <w:r w:rsidR="00DF140A" w:rsidRPr="0049648E">
        <w:t xml:space="preserve">next </w:t>
      </w:r>
      <w:r w:rsidRPr="0049648E">
        <w:t>three months</w:t>
      </w:r>
      <w:r w:rsidR="00DF140A" w:rsidRPr="0049648E">
        <w:t xml:space="preserve"> (i</w:t>
      </w:r>
      <w:r w:rsidR="00826FE4" w:rsidRPr="0049648E">
        <w:t>.</w:t>
      </w:r>
      <w:r w:rsidR="00DF140A" w:rsidRPr="0049648E">
        <w:t>e. in the three month</w:t>
      </w:r>
      <w:r w:rsidR="00945A4F" w:rsidRPr="0049648E">
        <w:t>s</w:t>
      </w:r>
      <w:r w:rsidR="00DF140A" w:rsidRPr="0049648E">
        <w:t xml:space="preserve"> </w:t>
      </w:r>
      <w:r w:rsidR="00945A4F" w:rsidRPr="0049648E">
        <w:t>following the survey</w:t>
      </w:r>
      <w:r w:rsidR="00DF140A" w:rsidRPr="0049648E">
        <w:t>)</w:t>
      </w:r>
      <w:r w:rsidRPr="0049648E">
        <w:t xml:space="preserve">. </w:t>
      </w:r>
    </w:p>
    <w:p w14:paraId="0CD6FE6F" w14:textId="2BF1DDA4" w:rsidR="00EA24EA" w:rsidRPr="0049648E" w:rsidRDefault="00DF140A" w:rsidP="00A1107A">
      <w:pPr>
        <w:pStyle w:val="BodyText"/>
      </w:pPr>
      <w:r w:rsidRPr="00837A5E">
        <w:t>In 2025-26, 1</w:t>
      </w:r>
      <w:r w:rsidR="00EE5B4E" w:rsidRPr="00837A5E">
        <w:t>6</w:t>
      </w:r>
      <w:r w:rsidRPr="00837A5E">
        <w:t>% of employers in the IT industry expect</w:t>
      </w:r>
      <w:r w:rsidR="00A1107A" w:rsidRPr="00837A5E">
        <w:t>ed</w:t>
      </w:r>
      <w:r w:rsidRPr="00837A5E">
        <w:t xml:space="preserve"> to increase </w:t>
      </w:r>
      <w:r w:rsidR="00EE5B4E" w:rsidRPr="00837A5E">
        <w:t xml:space="preserve">their </w:t>
      </w:r>
      <w:r w:rsidRPr="00837A5E">
        <w:t>staffing</w:t>
      </w:r>
      <w:r w:rsidR="00EE5B4E" w:rsidRPr="00837A5E">
        <w:t xml:space="preserve"> in the next three month</w:t>
      </w:r>
      <w:r w:rsidR="00826FE4" w:rsidRPr="00837A5E">
        <w:t>s</w:t>
      </w:r>
      <w:r w:rsidRPr="00837A5E">
        <w:t xml:space="preserve">, below the </w:t>
      </w:r>
      <w:r w:rsidR="00EE5B4E" w:rsidRPr="00837A5E">
        <w:t>21</w:t>
      </w:r>
      <w:r w:rsidRPr="00837A5E">
        <w:t xml:space="preserve">% recorded for </w:t>
      </w:r>
      <w:r w:rsidR="00A1107A" w:rsidRPr="00837A5E">
        <w:t>O</w:t>
      </w:r>
      <w:r w:rsidRPr="00837A5E">
        <w:t>ther Professional, Scientific and Technical Services industr</w:t>
      </w:r>
      <w:r w:rsidR="00841D41" w:rsidRPr="00837A5E">
        <w:t>ies</w:t>
      </w:r>
      <w:r w:rsidRPr="00837A5E">
        <w:t xml:space="preserve"> and the 19% recorded for all industries.</w:t>
      </w:r>
      <w:r w:rsidR="000108B0" w:rsidRPr="00837A5E">
        <w:t xml:space="preserve"> Th</w:t>
      </w:r>
      <w:r w:rsidR="00D64B60" w:rsidRPr="00837A5E">
        <w:t xml:space="preserve">e relativity between these results differs noticeably from the preceding four financial years, where </w:t>
      </w:r>
      <w:r w:rsidR="00250A92" w:rsidRPr="00837A5E">
        <w:t xml:space="preserve">the percentage of employers expecting to increase their staffing was </w:t>
      </w:r>
      <w:r w:rsidR="00824556" w:rsidRPr="00837A5E">
        <w:t>greater in the IT industry than it was for either Other Professional, Scientific and Technical Services industries or for all industries.</w:t>
      </w:r>
    </w:p>
    <w:p w14:paraId="756362D0" w14:textId="3BFCDF49" w:rsidR="00DF140A" w:rsidRPr="002212A8" w:rsidRDefault="00DF140A" w:rsidP="0042272C">
      <w:pPr>
        <w:pStyle w:val="BodyText"/>
        <w:keepNext/>
        <w:keepLines/>
        <w:rPr>
          <w:rStyle w:val="Characterbold"/>
        </w:rPr>
      </w:pPr>
      <w:r w:rsidRPr="0049648E">
        <w:rPr>
          <w:rStyle w:val="Characterbold"/>
        </w:rPr>
        <w:lastRenderedPageBreak/>
        <w:t xml:space="preserve">Chart </w:t>
      </w:r>
      <w:r w:rsidR="00F55390" w:rsidRPr="0049648E">
        <w:rPr>
          <w:rStyle w:val="Characterbold"/>
        </w:rPr>
        <w:t>2</w:t>
      </w:r>
      <w:r w:rsidRPr="0049648E">
        <w:rPr>
          <w:rStyle w:val="Characterbold"/>
        </w:rPr>
        <w:t>: Expectations for staffing numbers</w:t>
      </w:r>
      <w:r w:rsidR="007F73A2" w:rsidRPr="0049648E">
        <w:rPr>
          <w:rStyle w:val="Characterbold"/>
        </w:rPr>
        <w:t xml:space="preserve"> to increase</w:t>
      </w:r>
      <w:r w:rsidRPr="0049648E">
        <w:rPr>
          <w:rStyle w:val="Characterbold"/>
        </w:rPr>
        <w:t xml:space="preserve"> in the IT industry compared with </w:t>
      </w:r>
      <w:r w:rsidR="00EB33D5">
        <w:rPr>
          <w:rStyle w:val="Characterbold"/>
        </w:rPr>
        <w:t>O</w:t>
      </w:r>
      <w:r w:rsidRPr="0049648E">
        <w:rPr>
          <w:rStyle w:val="Characterbold"/>
        </w:rPr>
        <w:t xml:space="preserve">ther Professional, Scientific and Technical Services industries, </w:t>
      </w:r>
      <w:r w:rsidR="00EE5B4E" w:rsidRPr="0049648E">
        <w:rPr>
          <w:rStyle w:val="Characterbold"/>
        </w:rPr>
        <w:t xml:space="preserve">2020-21 to </w:t>
      </w:r>
      <w:r w:rsidR="0049648E">
        <w:rPr>
          <w:rStyle w:val="Characterbold"/>
        </w:rPr>
        <w:br/>
      </w:r>
      <w:r w:rsidR="00EE5B4E" w:rsidRPr="0049648E">
        <w:rPr>
          <w:rStyle w:val="Characterbold"/>
        </w:rPr>
        <w:t>2025-26</w:t>
      </w:r>
    </w:p>
    <w:p w14:paraId="587DA867" w14:textId="3EFAAF91" w:rsidR="00DC136B" w:rsidRPr="002212A8" w:rsidRDefault="00DC136B" w:rsidP="0042272C">
      <w:pPr>
        <w:pStyle w:val="BodyText"/>
        <w:keepNext/>
        <w:keepLines/>
        <w:rPr>
          <w:lang w:eastAsia="en-AU"/>
        </w:rPr>
      </w:pPr>
      <w:r>
        <w:rPr>
          <w:noProof/>
          <w:lang w:eastAsia="en-AU"/>
        </w:rPr>
        <w:drawing>
          <wp:inline distT="0" distB="0" distL="0" distR="0" wp14:anchorId="3F6E1C71" wp14:editId="2E46FFD9">
            <wp:extent cx="5730875" cy="2725420"/>
            <wp:effectExtent l="0" t="0" r="3175" b="0"/>
            <wp:docPr id="1007712853" name="Picture 3" descr="Chart 2 expressing data outlined in &quot;Expectations for future staffing level increases&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712853" name="Picture 3" descr="Chart 2 expressing data outlined in &quot;Expectations for future staffing level increases&quo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0875" cy="2725420"/>
                    </a:xfrm>
                    <a:prstGeom prst="rect">
                      <a:avLst/>
                    </a:prstGeom>
                    <a:noFill/>
                  </pic:spPr>
                </pic:pic>
              </a:graphicData>
            </a:graphic>
          </wp:inline>
        </w:drawing>
      </w:r>
    </w:p>
    <w:p w14:paraId="3444F4B4" w14:textId="77777777" w:rsidR="004C3AC1" w:rsidRDefault="004C3AC1" w:rsidP="0042272C">
      <w:pPr>
        <w:pStyle w:val="Source"/>
        <w:keepNext/>
        <w:keepLines/>
      </w:pPr>
      <w:r w:rsidRPr="002212A8">
        <w:t>Source: JSA, Recruitment Experiences and Outlook Survey (REOS), 30 June 2026</w:t>
      </w:r>
    </w:p>
    <w:p w14:paraId="4790F0E9" w14:textId="10745BAB" w:rsidR="00AD4325" w:rsidRPr="00AD4325" w:rsidRDefault="00AD4325" w:rsidP="00AD4325">
      <w:pPr>
        <w:pStyle w:val="BodyText"/>
        <w:rPr>
          <w:lang w:eastAsia="en-GB"/>
        </w:rPr>
      </w:pPr>
    </w:p>
    <w:p w14:paraId="5C42671A" w14:textId="6D3D7B8E" w:rsidR="007E2315" w:rsidRPr="002212A8" w:rsidRDefault="007E2315" w:rsidP="007E2315">
      <w:pPr>
        <w:pStyle w:val="Heading1"/>
      </w:pPr>
      <w:r w:rsidRPr="002212A8">
        <w:t>Recruitment difficulty in the IT industry</w:t>
      </w:r>
    </w:p>
    <w:p w14:paraId="360BE0D2" w14:textId="6A2AE033" w:rsidR="00A1107A" w:rsidRPr="001C6FB4" w:rsidRDefault="00A1107A" w:rsidP="00455AF6">
      <w:pPr>
        <w:pStyle w:val="BodyText"/>
        <w:rPr>
          <w:rStyle w:val="Characteritalic"/>
        </w:rPr>
      </w:pPr>
      <w:r w:rsidRPr="001C6FB4">
        <w:rPr>
          <w:rStyle w:val="Characteritalic"/>
        </w:rPr>
        <w:t>Unless otherwise specified, this section uses combined data for 2020-21 to 2025-26 due to the smaller sample sizes available at this level of disaggregation</w:t>
      </w:r>
      <w:r w:rsidR="00896D14" w:rsidRPr="001C6FB4">
        <w:rPr>
          <w:rStyle w:val="Characteritalic"/>
        </w:rPr>
        <w:t>.</w:t>
      </w:r>
    </w:p>
    <w:p w14:paraId="6781A416" w14:textId="77C90487" w:rsidR="00455AF6" w:rsidRPr="001C6FB4" w:rsidRDefault="00455AF6" w:rsidP="00455AF6">
      <w:pPr>
        <w:pStyle w:val="BodyText"/>
      </w:pPr>
      <w:r w:rsidRPr="001C6FB4">
        <w:t xml:space="preserve">As part of the REOS survey, </w:t>
      </w:r>
      <w:r w:rsidR="0021326E" w:rsidRPr="001C6FB4">
        <w:t xml:space="preserve">employers are asked a series of questions about the occupation for which they most recently recruited in the </w:t>
      </w:r>
      <w:r w:rsidR="009B7ED1">
        <w:t>previous</w:t>
      </w:r>
      <w:r w:rsidR="0021326E" w:rsidRPr="001C6FB4">
        <w:t xml:space="preserve"> month</w:t>
      </w:r>
      <w:r w:rsidRPr="001C6FB4">
        <w:t xml:space="preserve">. </w:t>
      </w:r>
    </w:p>
    <w:p w14:paraId="580A73BC" w14:textId="4EA34848" w:rsidR="002D242C" w:rsidRPr="001C6FB4" w:rsidRDefault="0021326E">
      <w:pPr>
        <w:spacing w:before="0" w:after="200" w:line="276" w:lineRule="auto"/>
      </w:pPr>
      <w:r w:rsidRPr="001C6FB4">
        <w:t>For this period</w:t>
      </w:r>
      <w:r w:rsidR="00455AF6" w:rsidRPr="001C6FB4">
        <w:t xml:space="preserve">, </w:t>
      </w:r>
      <w:r w:rsidRPr="001C6FB4">
        <w:t>two key</w:t>
      </w:r>
      <w:r w:rsidR="002D242C" w:rsidRPr="001C6FB4">
        <w:t xml:space="preserve"> trends are evident</w:t>
      </w:r>
      <w:r w:rsidR="00841D41" w:rsidRPr="001C6FB4">
        <w:t>:</w:t>
      </w:r>
    </w:p>
    <w:p w14:paraId="2E97F712" w14:textId="3C07DBA4" w:rsidR="007E2315" w:rsidRPr="001C6FB4" w:rsidRDefault="002D242C" w:rsidP="002D242C">
      <w:pPr>
        <w:pStyle w:val="ListBullet"/>
      </w:pPr>
      <w:r w:rsidRPr="001C6FB4">
        <w:t>E</w:t>
      </w:r>
      <w:r w:rsidR="007E2315" w:rsidRPr="001C6FB4">
        <w:t>mployers</w:t>
      </w:r>
      <w:r w:rsidR="0021326E" w:rsidRPr="001C6FB4">
        <w:t xml:space="preserve"> </w:t>
      </w:r>
      <w:r w:rsidR="00455AF6" w:rsidRPr="001C6FB4">
        <w:t xml:space="preserve">in the </w:t>
      </w:r>
      <w:r w:rsidR="007E2315" w:rsidRPr="001C6FB4">
        <w:t>IT industry</w:t>
      </w:r>
      <w:r w:rsidR="0021326E" w:rsidRPr="001C6FB4">
        <w:t>, on average,</w:t>
      </w:r>
      <w:r w:rsidR="007E2315" w:rsidRPr="001C6FB4">
        <w:t xml:space="preserve"> </w:t>
      </w:r>
      <w:r w:rsidRPr="001C6FB4">
        <w:t>had considerably less</w:t>
      </w:r>
      <w:r w:rsidR="007E2315" w:rsidRPr="001C6FB4">
        <w:t xml:space="preserve"> difficulty recruiting than </w:t>
      </w:r>
      <w:r w:rsidR="0021326E" w:rsidRPr="001C6FB4">
        <w:t>those in</w:t>
      </w:r>
      <w:r w:rsidR="00B837AC" w:rsidRPr="001C6FB4">
        <w:t xml:space="preserve"> </w:t>
      </w:r>
      <w:r w:rsidR="0021326E" w:rsidRPr="001C6FB4">
        <w:t>O</w:t>
      </w:r>
      <w:r w:rsidR="00B837AC" w:rsidRPr="001C6FB4">
        <w:t xml:space="preserve">ther </w:t>
      </w:r>
      <w:r w:rsidR="007E2315" w:rsidRPr="001C6FB4">
        <w:t xml:space="preserve">Professional, Scientific and Technical Services industries. </w:t>
      </w:r>
    </w:p>
    <w:p w14:paraId="03F5B8C2" w14:textId="6960EFED" w:rsidR="002D242C" w:rsidRPr="001C6FB4" w:rsidRDefault="002D242C" w:rsidP="002D242C">
      <w:pPr>
        <w:pStyle w:val="ListBullet"/>
      </w:pPr>
      <w:r w:rsidRPr="001C6FB4">
        <w:t>Small businesses in this industry had considerably more difficulty recruiting than medium and larger businesses.</w:t>
      </w:r>
    </w:p>
    <w:p w14:paraId="3ACB2C4F" w14:textId="2708872A" w:rsidR="00494F45" w:rsidRPr="001C6FB4" w:rsidRDefault="00661984" w:rsidP="0021326E">
      <w:pPr>
        <w:pStyle w:val="BodyText"/>
      </w:pPr>
      <w:r w:rsidRPr="001C6FB4">
        <w:t>Over this period,</w:t>
      </w:r>
      <w:r w:rsidR="00510338" w:rsidRPr="001C6FB4">
        <w:t xml:space="preserve"> 3</w:t>
      </w:r>
      <w:r w:rsidR="00C4621D" w:rsidRPr="001C6FB4">
        <w:t>9</w:t>
      </w:r>
      <w:r w:rsidR="00CD1780" w:rsidRPr="001C6FB4">
        <w:t xml:space="preserve">% of recruiting </w:t>
      </w:r>
      <w:r w:rsidR="00510338" w:rsidRPr="001C6FB4">
        <w:t xml:space="preserve">employers </w:t>
      </w:r>
      <w:r w:rsidR="00CD1780" w:rsidRPr="001C6FB4">
        <w:t>in th</w:t>
      </w:r>
      <w:r w:rsidR="00510338" w:rsidRPr="001C6FB4">
        <w:t>e IT</w:t>
      </w:r>
      <w:r w:rsidR="00CD1780" w:rsidRPr="001C6FB4">
        <w:t xml:space="preserve"> industry stated that they had difficulty hiring staff.</w:t>
      </w:r>
      <w:r w:rsidR="00510338" w:rsidRPr="001C6FB4">
        <w:t xml:space="preserve"> </w:t>
      </w:r>
      <w:r w:rsidR="00494F45" w:rsidRPr="001C6FB4">
        <w:t xml:space="preserve">This was the </w:t>
      </w:r>
      <w:r w:rsidR="009922EA" w:rsidRPr="001C6FB4">
        <w:t>second</w:t>
      </w:r>
      <w:r w:rsidR="00494F45" w:rsidRPr="001C6FB4">
        <w:t xml:space="preserve"> lowest recruitment difficulty rate of </w:t>
      </w:r>
      <w:r w:rsidRPr="001C6FB4">
        <w:t xml:space="preserve">the </w:t>
      </w:r>
      <w:r w:rsidR="009922EA" w:rsidRPr="001C6FB4">
        <w:t>39</w:t>
      </w:r>
      <w:r w:rsidRPr="001C6FB4">
        <w:t xml:space="preserve"> </w:t>
      </w:r>
      <w:r w:rsidR="00494F45" w:rsidRPr="001C6FB4">
        <w:t>industry subdivision</w:t>
      </w:r>
      <w:r w:rsidR="00C4621D" w:rsidRPr="001C6FB4">
        <w:t>s</w:t>
      </w:r>
      <w:r w:rsidRPr="001C6FB4">
        <w:t xml:space="preserve"> (2-digit) analysed</w:t>
      </w:r>
      <w:r w:rsidR="00494F45" w:rsidRPr="001C6FB4">
        <w:t>. This compares with</w:t>
      </w:r>
      <w:r w:rsidR="008D00CE" w:rsidRPr="001C6FB4">
        <w:t xml:space="preserve"> 5</w:t>
      </w:r>
      <w:r w:rsidR="006A31DF" w:rsidRPr="001C6FB4">
        <w:t>4</w:t>
      </w:r>
      <w:r w:rsidR="00494F45" w:rsidRPr="001C6FB4">
        <w:t xml:space="preserve">% </w:t>
      </w:r>
      <w:r w:rsidR="006A31DF" w:rsidRPr="001C6FB4">
        <w:t>of</w:t>
      </w:r>
      <w:r w:rsidR="00494F45" w:rsidRPr="001C6FB4">
        <w:t xml:space="preserve"> recruiting employers in </w:t>
      </w:r>
      <w:r w:rsidR="00EB33D5">
        <w:t>O</w:t>
      </w:r>
      <w:r w:rsidR="00494F45" w:rsidRPr="001C6FB4">
        <w:t xml:space="preserve">ther Professional, Scientific and Technical </w:t>
      </w:r>
      <w:r w:rsidR="00841D41" w:rsidRPr="001C6FB4">
        <w:t>S</w:t>
      </w:r>
      <w:r w:rsidR="00494F45" w:rsidRPr="001C6FB4">
        <w:t xml:space="preserve">ervices industries </w:t>
      </w:r>
      <w:r w:rsidR="0021326E" w:rsidRPr="001C6FB4">
        <w:t>and</w:t>
      </w:r>
      <w:r w:rsidR="00494F45" w:rsidRPr="001C6FB4">
        <w:t xml:space="preserve"> </w:t>
      </w:r>
      <w:r w:rsidR="009922EA" w:rsidRPr="001C6FB4">
        <w:t>54</w:t>
      </w:r>
      <w:r w:rsidR="00494F45" w:rsidRPr="001C6FB4">
        <w:t>% across all industries.</w:t>
      </w:r>
    </w:p>
    <w:p w14:paraId="32EB0E1D" w14:textId="67F03D41" w:rsidR="00771276" w:rsidRPr="001C6FB4" w:rsidRDefault="00771276" w:rsidP="0021326E">
      <w:pPr>
        <w:pStyle w:val="BodyText"/>
      </w:pPr>
      <w:r w:rsidRPr="001C6FB4">
        <w:t>Data also suggest that r</w:t>
      </w:r>
      <w:r w:rsidR="00494F45" w:rsidRPr="001C6FB4">
        <w:t>ecruitment difficulty rates</w:t>
      </w:r>
      <w:r w:rsidR="00510338" w:rsidRPr="001C6FB4">
        <w:t xml:space="preserve"> var</w:t>
      </w:r>
      <w:r w:rsidR="00BD5754" w:rsidRPr="001C6FB4">
        <w:t>y</w:t>
      </w:r>
      <w:r w:rsidR="00510338" w:rsidRPr="001C6FB4">
        <w:t xml:space="preserve"> considerably by business size, with</w:t>
      </w:r>
      <w:r w:rsidR="0042272C" w:rsidRPr="001C6FB4">
        <w:t xml:space="preserve"> 46</w:t>
      </w:r>
      <w:r w:rsidR="00510338" w:rsidRPr="001C6FB4">
        <w:t xml:space="preserve">% of small IT businesses </w:t>
      </w:r>
      <w:r w:rsidR="00494F45" w:rsidRPr="001C6FB4">
        <w:t xml:space="preserve">(less than 20 employees) </w:t>
      </w:r>
      <w:r w:rsidR="00510338" w:rsidRPr="001C6FB4">
        <w:t xml:space="preserve">experiencing recruitment difficulty, compared with 27% of </w:t>
      </w:r>
      <w:r w:rsidR="00494F45" w:rsidRPr="001C6FB4">
        <w:t>larger</w:t>
      </w:r>
      <w:r w:rsidR="00510338" w:rsidRPr="001C6FB4">
        <w:t xml:space="preserve"> businesses</w:t>
      </w:r>
      <w:r w:rsidR="00494F45" w:rsidRPr="001C6FB4">
        <w:t xml:space="preserve"> (20 or more employees).</w:t>
      </w:r>
      <w:r w:rsidRPr="001C6FB4">
        <w:t xml:space="preserve"> </w:t>
      </w:r>
    </w:p>
    <w:p w14:paraId="5894D16F" w14:textId="5F052CCF" w:rsidR="0042272C" w:rsidRPr="001C6FB4" w:rsidRDefault="00771276" w:rsidP="0021326E">
      <w:pPr>
        <w:pStyle w:val="ListBullet"/>
      </w:pPr>
      <w:r w:rsidRPr="001C6FB4">
        <w:t>Larger businesses in the IT industry tend to have significantly lower recruitment difficulty rates</w:t>
      </w:r>
      <w:r w:rsidR="001922F6" w:rsidRPr="001C6FB4">
        <w:t xml:space="preserve"> compared with larger business</w:t>
      </w:r>
      <w:r w:rsidR="00826FE4" w:rsidRPr="001C6FB4">
        <w:t>es</w:t>
      </w:r>
      <w:r w:rsidR="001922F6" w:rsidRPr="001C6FB4">
        <w:t xml:space="preserve"> in </w:t>
      </w:r>
      <w:r w:rsidR="00826FE4" w:rsidRPr="001C6FB4">
        <w:t>O</w:t>
      </w:r>
      <w:r w:rsidRPr="001C6FB4">
        <w:t xml:space="preserve">ther </w:t>
      </w:r>
      <w:r w:rsidR="00826FE4" w:rsidRPr="001C6FB4">
        <w:t>P</w:t>
      </w:r>
      <w:r w:rsidRPr="001C6FB4">
        <w:t xml:space="preserve">rofessional, </w:t>
      </w:r>
      <w:r w:rsidR="00826FE4" w:rsidRPr="001C6FB4">
        <w:t>S</w:t>
      </w:r>
      <w:r w:rsidRPr="001C6FB4">
        <w:t xml:space="preserve">cientific and </w:t>
      </w:r>
      <w:r w:rsidR="00826FE4" w:rsidRPr="001C6FB4">
        <w:t>Technical</w:t>
      </w:r>
      <w:r w:rsidRPr="001C6FB4">
        <w:t xml:space="preserve"> </w:t>
      </w:r>
      <w:r w:rsidR="00826FE4" w:rsidRPr="001C6FB4">
        <w:t>S</w:t>
      </w:r>
      <w:r w:rsidRPr="001C6FB4">
        <w:t xml:space="preserve">ervices industries (48%) and </w:t>
      </w:r>
      <w:r w:rsidR="001922F6" w:rsidRPr="001C6FB4">
        <w:t>the</w:t>
      </w:r>
      <w:r w:rsidR="0021326E" w:rsidRPr="001C6FB4">
        <w:t xml:space="preserve"> </w:t>
      </w:r>
      <w:r w:rsidR="001922F6" w:rsidRPr="001C6FB4">
        <w:t>all</w:t>
      </w:r>
      <w:r w:rsidR="0021326E" w:rsidRPr="001C6FB4">
        <w:t>-</w:t>
      </w:r>
      <w:r w:rsidR="001922F6" w:rsidRPr="001C6FB4">
        <w:t>industr</w:t>
      </w:r>
      <w:r w:rsidR="0021326E" w:rsidRPr="001C6FB4">
        <w:t>ies</w:t>
      </w:r>
      <w:r w:rsidR="001922F6" w:rsidRPr="001C6FB4">
        <w:t xml:space="preserve"> average </w:t>
      </w:r>
      <w:r w:rsidR="0021326E" w:rsidRPr="001C6FB4">
        <w:t>for larger businesses (</w:t>
      </w:r>
      <w:r w:rsidR="001922F6" w:rsidRPr="001C6FB4">
        <w:t>4</w:t>
      </w:r>
      <w:r w:rsidR="009922EA" w:rsidRPr="001C6FB4">
        <w:t>8</w:t>
      </w:r>
      <w:r w:rsidR="001922F6" w:rsidRPr="001C6FB4">
        <w:t>%</w:t>
      </w:r>
      <w:r w:rsidR="0021326E" w:rsidRPr="001C6FB4">
        <w:t>)</w:t>
      </w:r>
      <w:r w:rsidR="001922F6" w:rsidRPr="001C6FB4">
        <w:t xml:space="preserve">. </w:t>
      </w:r>
    </w:p>
    <w:p w14:paraId="7B35E3AE" w14:textId="2CCAB76A" w:rsidR="00810D23" w:rsidRPr="00F5772C" w:rsidRDefault="00810D23" w:rsidP="00810D23">
      <w:pPr>
        <w:pStyle w:val="Heading1"/>
      </w:pPr>
      <w:r w:rsidRPr="00F5772C">
        <w:lastRenderedPageBreak/>
        <w:t>Applicant numbers in the IT industry</w:t>
      </w:r>
    </w:p>
    <w:p w14:paraId="7DA8D52B" w14:textId="267B221D" w:rsidR="00325B2E" w:rsidRPr="00F5772C" w:rsidRDefault="00325B2E" w:rsidP="005126C6">
      <w:pPr>
        <w:pStyle w:val="BodyText"/>
      </w:pPr>
      <w:r w:rsidRPr="00F5772C">
        <w:t xml:space="preserve">The REOS survey asks employers how many applicants they received for their most recent recruitment exercise. Employers who were unsure about their applicant numbers were excluded from the analysis. It should be noted that a large proportion of employers surveyed were unsure about applicant numbers – with </w:t>
      </w:r>
      <w:r w:rsidR="00565C5A" w:rsidRPr="00F5772C">
        <w:t>around one in three employers unable to provide an estimate</w:t>
      </w:r>
      <w:r w:rsidRPr="00F5772C">
        <w:t xml:space="preserve">. </w:t>
      </w:r>
      <w:r w:rsidR="005E075B" w:rsidRPr="00F5772C">
        <w:t>Industries were excluded from the analysis if they did not have a sufficient sample size for analysis.</w:t>
      </w:r>
    </w:p>
    <w:p w14:paraId="7BCF5036" w14:textId="51DB5FCA" w:rsidR="005126C6" w:rsidRPr="00F5772C" w:rsidRDefault="005126C6" w:rsidP="005126C6">
      <w:pPr>
        <w:pStyle w:val="BodyText"/>
      </w:pPr>
      <w:r w:rsidRPr="00F5772C">
        <w:t xml:space="preserve">Data suggest that employers in the IT industry tend to </w:t>
      </w:r>
      <w:r w:rsidR="00565C5A" w:rsidRPr="00F5772C">
        <w:t>attract</w:t>
      </w:r>
      <w:r w:rsidRPr="00F5772C">
        <w:t xml:space="preserve"> large applicant fields when they recruit and that applicants tend to face strong competition to secure positions in this industry. </w:t>
      </w:r>
    </w:p>
    <w:p w14:paraId="700AB8A8" w14:textId="10ECE1B2" w:rsidR="00810D23" w:rsidRPr="00F5772C" w:rsidRDefault="00565C5A" w:rsidP="005126C6">
      <w:pPr>
        <w:pStyle w:val="BodyText"/>
      </w:pPr>
      <w:r w:rsidRPr="00F5772C">
        <w:t>Looking at</w:t>
      </w:r>
      <w:r w:rsidR="005126C6" w:rsidRPr="00F5772C">
        <w:t xml:space="preserve"> businesses in the IT industry</w:t>
      </w:r>
      <w:r w:rsidRPr="00F5772C">
        <w:t xml:space="preserve">, 34% </w:t>
      </w:r>
      <w:r w:rsidR="00BA4E25" w:rsidRPr="00F5772C">
        <w:t xml:space="preserve">of recruiting employers </w:t>
      </w:r>
      <w:r w:rsidR="005126C6" w:rsidRPr="00F5772C">
        <w:t xml:space="preserve">stated that they had 20 or more </w:t>
      </w:r>
      <w:r w:rsidRPr="00F5772C">
        <w:t xml:space="preserve">applicants </w:t>
      </w:r>
      <w:r w:rsidR="005126C6" w:rsidRPr="00F5772C">
        <w:t xml:space="preserve">per vacancy. </w:t>
      </w:r>
      <w:r w:rsidR="005126C6" w:rsidRPr="002058EC">
        <w:t xml:space="preserve">This was the </w:t>
      </w:r>
      <w:r w:rsidR="004E7B8D" w:rsidRPr="002058EC">
        <w:t>second</w:t>
      </w:r>
      <w:r w:rsidR="005126C6" w:rsidRPr="002058EC">
        <w:t xml:space="preserve"> highest of the 2-digit</w:t>
      </w:r>
      <w:r w:rsidR="005126C6" w:rsidRPr="00F5772C">
        <w:t xml:space="preserve"> industries analysed and is well above the average of 26% for </w:t>
      </w:r>
      <w:r w:rsidR="00EB33D5">
        <w:t>O</w:t>
      </w:r>
      <w:r w:rsidR="005126C6" w:rsidRPr="00F5772C">
        <w:t xml:space="preserve">ther Professional, Scientific and Technical Services industries and </w:t>
      </w:r>
      <w:r w:rsidR="00414537">
        <w:t xml:space="preserve">of </w:t>
      </w:r>
      <w:r w:rsidR="005126C6" w:rsidRPr="00F5772C">
        <w:t>19% for the all-industries average.</w:t>
      </w:r>
      <w:r w:rsidR="005E075B" w:rsidRPr="00F5772C">
        <w:t xml:space="preserve"> </w:t>
      </w:r>
    </w:p>
    <w:p w14:paraId="7ED25EBD" w14:textId="2D7788BA" w:rsidR="00325B2E" w:rsidRPr="002212A8" w:rsidRDefault="00656B8E" w:rsidP="00C323E9">
      <w:pPr>
        <w:pStyle w:val="BodyText"/>
      </w:pPr>
      <w:r w:rsidRPr="00F5772C">
        <w:t xml:space="preserve">Table </w:t>
      </w:r>
      <w:r w:rsidR="00F55390" w:rsidRPr="00F5772C">
        <w:t>3</w:t>
      </w:r>
      <w:r w:rsidR="00F023CA">
        <w:t>,</w:t>
      </w:r>
      <w:r w:rsidR="00152D50" w:rsidRPr="00F5772C">
        <w:t xml:space="preserve"> </w:t>
      </w:r>
      <w:r w:rsidRPr="00F5772C">
        <w:t xml:space="preserve">below, shows the recruitment difficulty rate and the proportion of employers with 20 </w:t>
      </w:r>
      <w:r w:rsidR="00C52F4A" w:rsidRPr="00F5772C">
        <w:t xml:space="preserve">or more </w:t>
      </w:r>
      <w:r w:rsidRPr="00F5772C">
        <w:t>applicants</w:t>
      </w:r>
      <w:r w:rsidR="00BA4E25" w:rsidRPr="00F5772C">
        <w:t xml:space="preserve"> per vacancy</w:t>
      </w:r>
      <w:r w:rsidRPr="00F5772C">
        <w:t xml:space="preserve"> by 2-digit industry</w:t>
      </w:r>
      <w:r w:rsidR="00565C5A" w:rsidRPr="00F5772C">
        <w:t>.</w:t>
      </w:r>
      <w:r w:rsidRPr="00F5772C">
        <w:t xml:space="preserve"> </w:t>
      </w:r>
      <w:r w:rsidR="00152D50" w:rsidRPr="00F5772C">
        <w:rPr>
          <w:rStyle w:val="Characterbold"/>
          <w:b w:val="0"/>
        </w:rPr>
        <w:t xml:space="preserve">Employers surveyed in the IT industry tended to report </w:t>
      </w:r>
      <w:r w:rsidR="005E5076">
        <w:rPr>
          <w:rStyle w:val="Characterbold"/>
          <w:b w:val="0"/>
        </w:rPr>
        <w:t xml:space="preserve">relatively </w:t>
      </w:r>
      <w:r w:rsidR="00152D50" w:rsidRPr="00F5772C">
        <w:rPr>
          <w:rStyle w:val="Characterbold"/>
          <w:b w:val="0"/>
        </w:rPr>
        <w:t xml:space="preserve">lower recruitment difficulty and higher applicant </w:t>
      </w:r>
      <w:r w:rsidR="00BA4E25" w:rsidRPr="00F5772C">
        <w:rPr>
          <w:rStyle w:val="Characterbold"/>
          <w:b w:val="0"/>
        </w:rPr>
        <w:t xml:space="preserve">per vacancy </w:t>
      </w:r>
      <w:r w:rsidR="00152D50" w:rsidRPr="00F5772C">
        <w:rPr>
          <w:rStyle w:val="Characterbold"/>
          <w:b w:val="0"/>
        </w:rPr>
        <w:t>numbers than many other selected 2-digit industries</w:t>
      </w:r>
      <w:r w:rsidR="00152D50" w:rsidRPr="00290940">
        <w:rPr>
          <w:rStyle w:val="Characterbold"/>
          <w:b w:val="0"/>
        </w:rPr>
        <w:t>.</w:t>
      </w:r>
      <w:r w:rsidR="00BC52A3">
        <w:rPr>
          <w:rStyle w:val="Characterbold"/>
          <w:b w:val="0"/>
        </w:rPr>
        <w:t xml:space="preserve"> Specifically,</w:t>
      </w:r>
      <w:r w:rsidR="00152D50" w:rsidRPr="00290940">
        <w:rPr>
          <w:rStyle w:val="Characterbold"/>
          <w:b w:val="0"/>
        </w:rPr>
        <w:t xml:space="preserve"> </w:t>
      </w:r>
      <w:r w:rsidR="00033382" w:rsidRPr="00290940">
        <w:rPr>
          <w:rStyle w:val="Characterbold"/>
          <w:b w:val="0"/>
        </w:rPr>
        <w:t xml:space="preserve">39% of </w:t>
      </w:r>
      <w:r w:rsidR="009C2EC4" w:rsidRPr="00290940">
        <w:rPr>
          <w:rStyle w:val="Characterbold"/>
          <w:b w:val="0"/>
        </w:rPr>
        <w:t>employers in the</w:t>
      </w:r>
      <w:r w:rsidR="009E2314" w:rsidRPr="003028D0">
        <w:t xml:space="preserve"> IT industry </w:t>
      </w:r>
      <w:r w:rsidR="009C2EC4" w:rsidRPr="003028D0">
        <w:t>reported recruitment difficulty</w:t>
      </w:r>
      <w:r w:rsidR="009E2314" w:rsidRPr="00290940">
        <w:t xml:space="preserve">, the </w:t>
      </w:r>
      <w:r w:rsidR="00290940" w:rsidRPr="00290940">
        <w:t>second lowest</w:t>
      </w:r>
      <w:r w:rsidR="009E2314" w:rsidRPr="00290940">
        <w:t xml:space="preserve"> among the 39 industries analysed, </w:t>
      </w:r>
      <w:r w:rsidR="009506DC">
        <w:t xml:space="preserve">behind </w:t>
      </w:r>
      <w:r w:rsidR="009E2314" w:rsidRPr="00290940">
        <w:t xml:space="preserve">Food Retailing </w:t>
      </w:r>
      <w:r w:rsidR="009506DC">
        <w:t>(</w:t>
      </w:r>
      <w:r w:rsidR="009E2314" w:rsidRPr="00290940">
        <w:t>37%</w:t>
      </w:r>
      <w:r w:rsidR="009506DC">
        <w:t>)</w:t>
      </w:r>
      <w:r w:rsidR="009E2314" w:rsidRPr="00290940">
        <w:t>.</w:t>
      </w:r>
      <w:r w:rsidR="000B6495" w:rsidRPr="00290940">
        <w:t xml:space="preserve"> </w:t>
      </w:r>
      <w:r w:rsidR="0068651B">
        <w:t>At the same time</w:t>
      </w:r>
      <w:r w:rsidR="000B6495" w:rsidRPr="00290940">
        <w:t>,</w:t>
      </w:r>
      <w:r w:rsidR="009E2314" w:rsidRPr="00290940">
        <w:t xml:space="preserve"> </w:t>
      </w:r>
      <w:r w:rsidR="000B6495" w:rsidRPr="00290940">
        <w:t xml:space="preserve">34% </w:t>
      </w:r>
      <w:r w:rsidR="009E2314" w:rsidRPr="003028D0">
        <w:t>of IT employers received 20 or more applicants</w:t>
      </w:r>
      <w:r w:rsidR="009E2314" w:rsidRPr="00290940">
        <w:t xml:space="preserve">, the second-highest proportion, behind Other Goods Wholesaling </w:t>
      </w:r>
      <w:r w:rsidR="00EF1DA2">
        <w:t>(</w:t>
      </w:r>
      <w:r w:rsidR="009E2314" w:rsidRPr="00290940">
        <w:t>37%</w:t>
      </w:r>
      <w:r w:rsidR="00EF1DA2">
        <w:t>)</w:t>
      </w:r>
      <w:r w:rsidR="009E2314" w:rsidRPr="00290940">
        <w:t>.</w:t>
      </w:r>
      <w:r w:rsidR="00C44863">
        <w:rPr>
          <w:rStyle w:val="Characterbold"/>
          <w:b w:val="0"/>
        </w:rPr>
        <w:t xml:space="preserve"> T</w:t>
      </w:r>
      <w:r w:rsidR="003B322C">
        <w:rPr>
          <w:rStyle w:val="Characterbold"/>
          <w:b w:val="0"/>
        </w:rPr>
        <w:t>able</w:t>
      </w:r>
      <w:r w:rsidR="00C44863">
        <w:rPr>
          <w:rStyle w:val="Characterbold"/>
          <w:b w:val="0"/>
        </w:rPr>
        <w:t xml:space="preserve"> 3</w:t>
      </w:r>
      <w:r w:rsidR="003B322C">
        <w:rPr>
          <w:rStyle w:val="Characterbold"/>
          <w:b w:val="0"/>
        </w:rPr>
        <w:t xml:space="preserve"> is sorted</w:t>
      </w:r>
      <w:r w:rsidR="001D17E0">
        <w:rPr>
          <w:rStyle w:val="Characterbold"/>
          <w:b w:val="0"/>
        </w:rPr>
        <w:t xml:space="preserve"> in ascending order</w:t>
      </w:r>
      <w:r w:rsidR="003B322C">
        <w:rPr>
          <w:rStyle w:val="Characterbold"/>
          <w:b w:val="0"/>
        </w:rPr>
        <w:t xml:space="preserve"> by the recruitment difficulty rate.</w:t>
      </w:r>
    </w:p>
    <w:p w14:paraId="59CB946F" w14:textId="00AA187D" w:rsidR="00325B2E" w:rsidRPr="00F5772C" w:rsidRDefault="00565C5A" w:rsidP="00325B2E">
      <w:pPr>
        <w:pStyle w:val="Caption"/>
      </w:pPr>
      <w:r w:rsidRPr="00F5772C">
        <w:t xml:space="preserve">Table </w:t>
      </w:r>
      <w:r w:rsidR="00F55390" w:rsidRPr="00F5772C">
        <w:t>3</w:t>
      </w:r>
      <w:r w:rsidRPr="00F5772C">
        <w:t>: Recruitment difficulty rate and proportion of employers receiving 20 or more applicants per vacancy, by selected 2-digit industry, combined data from 2020-21 to 2025-26</w:t>
      </w:r>
    </w:p>
    <w:tbl>
      <w:tblPr>
        <w:tblStyle w:val="CustomTablebasic"/>
        <w:tblW w:w="0" w:type="auto"/>
        <w:tblLook w:val="04A0" w:firstRow="1" w:lastRow="0" w:firstColumn="1" w:lastColumn="0" w:noHBand="0" w:noVBand="1"/>
      </w:tblPr>
      <w:tblGrid>
        <w:gridCol w:w="1318"/>
        <w:gridCol w:w="4373"/>
        <w:gridCol w:w="1667"/>
        <w:gridCol w:w="1669"/>
      </w:tblGrid>
      <w:tr w:rsidR="00590C8B" w:rsidRPr="00F5772C" w14:paraId="5CD109EC" w14:textId="77777777" w:rsidTr="0059180E">
        <w:trPr>
          <w:cnfStyle w:val="100000000000" w:firstRow="1" w:lastRow="0" w:firstColumn="0" w:lastColumn="0" w:oddVBand="0" w:evenVBand="0" w:oddHBand="0" w:evenHBand="0" w:firstRowFirstColumn="0" w:firstRowLastColumn="0" w:lastRowFirstColumn="0" w:lastRowLastColumn="0"/>
          <w:trHeight w:val="20"/>
          <w:tblHeader/>
        </w:trPr>
        <w:tc>
          <w:tcPr>
            <w:tcW w:w="0" w:type="auto"/>
            <w:vAlign w:val="center"/>
          </w:tcPr>
          <w:p w14:paraId="293441D9" w14:textId="65CB072F" w:rsidR="00590C8B" w:rsidRPr="00F5772C" w:rsidRDefault="00590C8B" w:rsidP="0004335E">
            <w:pPr>
              <w:pStyle w:val="ListBullet"/>
              <w:numPr>
                <w:ilvl w:val="0"/>
                <w:numId w:val="0"/>
              </w:numPr>
              <w:spacing w:before="100" w:beforeAutospacing="1" w:after="100" w:afterAutospacing="1"/>
              <w:ind w:left="-57" w:right="-57"/>
              <w:jc w:val="center"/>
              <w:rPr>
                <w:color w:val="FFFFFF" w:themeColor="background1"/>
                <w:sz w:val="19"/>
                <w:szCs w:val="19"/>
              </w:rPr>
            </w:pPr>
            <w:r w:rsidRPr="00F5772C">
              <w:rPr>
                <w:rFonts w:ascii="Aptos" w:hAnsi="Aptos" w:cs="Arial"/>
                <w:color w:val="FFFFFF" w:themeColor="background1"/>
                <w:kern w:val="24"/>
                <w:sz w:val="19"/>
                <w:szCs w:val="19"/>
              </w:rPr>
              <w:t>Industry code (2-digit)</w:t>
            </w:r>
          </w:p>
        </w:tc>
        <w:tc>
          <w:tcPr>
            <w:tcW w:w="0" w:type="auto"/>
            <w:vAlign w:val="center"/>
          </w:tcPr>
          <w:p w14:paraId="54CEDF92" w14:textId="57B9770D" w:rsidR="00590C8B" w:rsidRPr="00F5772C" w:rsidRDefault="00590C8B" w:rsidP="0004335E">
            <w:pPr>
              <w:pStyle w:val="ListBullet"/>
              <w:numPr>
                <w:ilvl w:val="0"/>
                <w:numId w:val="0"/>
              </w:numPr>
              <w:spacing w:before="100" w:beforeAutospacing="1" w:after="100" w:afterAutospacing="1"/>
              <w:ind w:left="-57" w:right="-57"/>
              <w:jc w:val="center"/>
              <w:rPr>
                <w:color w:val="FFFFFF" w:themeColor="background1"/>
                <w:sz w:val="19"/>
                <w:szCs w:val="19"/>
              </w:rPr>
            </w:pPr>
            <w:r w:rsidRPr="00F5772C">
              <w:rPr>
                <w:rFonts w:ascii="Aptos" w:hAnsi="Aptos" w:cs="Arial"/>
                <w:color w:val="FFFFFF" w:themeColor="background1"/>
                <w:kern w:val="24"/>
                <w:sz w:val="19"/>
                <w:szCs w:val="19"/>
              </w:rPr>
              <w:t>Industry title (2-digit)</w:t>
            </w:r>
          </w:p>
        </w:tc>
        <w:tc>
          <w:tcPr>
            <w:tcW w:w="0" w:type="auto"/>
            <w:vAlign w:val="center"/>
          </w:tcPr>
          <w:p w14:paraId="1F63D7A8" w14:textId="58AEE95C" w:rsidR="00590C8B" w:rsidRPr="00F5772C" w:rsidRDefault="00590C8B" w:rsidP="0004335E">
            <w:pPr>
              <w:pStyle w:val="ListBullet"/>
              <w:numPr>
                <w:ilvl w:val="0"/>
                <w:numId w:val="0"/>
              </w:numPr>
              <w:spacing w:before="100" w:beforeAutospacing="1" w:after="100" w:afterAutospacing="1"/>
              <w:ind w:left="-57" w:right="-57"/>
              <w:jc w:val="center"/>
              <w:rPr>
                <w:color w:val="FFFFFF" w:themeColor="background1"/>
                <w:sz w:val="19"/>
                <w:szCs w:val="19"/>
              </w:rPr>
            </w:pPr>
            <w:r w:rsidRPr="00F5772C">
              <w:rPr>
                <w:rFonts w:ascii="Aptos" w:hAnsi="Aptos" w:cs="Arial"/>
                <w:color w:val="FFFFFF" w:themeColor="background1"/>
                <w:kern w:val="24"/>
                <w:sz w:val="19"/>
                <w:szCs w:val="19"/>
              </w:rPr>
              <w:t>Recruitment difficulty rate</w:t>
            </w:r>
          </w:p>
        </w:tc>
        <w:tc>
          <w:tcPr>
            <w:tcW w:w="0" w:type="auto"/>
            <w:vAlign w:val="center"/>
          </w:tcPr>
          <w:p w14:paraId="545505EC" w14:textId="58AAECFA" w:rsidR="00590C8B" w:rsidRPr="00F5772C" w:rsidRDefault="00590C8B" w:rsidP="0004335E">
            <w:pPr>
              <w:pStyle w:val="ListBullet"/>
              <w:numPr>
                <w:ilvl w:val="0"/>
                <w:numId w:val="0"/>
              </w:numPr>
              <w:spacing w:before="100" w:beforeAutospacing="1" w:after="100" w:afterAutospacing="1"/>
              <w:ind w:left="-57" w:right="-57"/>
              <w:jc w:val="center"/>
              <w:rPr>
                <w:color w:val="FFFFFF" w:themeColor="background1"/>
                <w:sz w:val="19"/>
                <w:szCs w:val="19"/>
              </w:rPr>
            </w:pPr>
            <w:r w:rsidRPr="00F5772C">
              <w:rPr>
                <w:rFonts w:ascii="Aptos" w:hAnsi="Aptos" w:cs="Arial"/>
                <w:color w:val="FFFFFF" w:themeColor="background1"/>
                <w:kern w:val="24"/>
                <w:sz w:val="19"/>
                <w:szCs w:val="19"/>
              </w:rPr>
              <w:t>% with 20 or more applicants</w:t>
            </w:r>
          </w:p>
        </w:tc>
      </w:tr>
      <w:tr w:rsidR="00590C8B" w:rsidRPr="00F5772C" w14:paraId="0B478D6A" w14:textId="77777777" w:rsidTr="0059180E">
        <w:trPr>
          <w:trHeight w:val="20"/>
        </w:trPr>
        <w:tc>
          <w:tcPr>
            <w:tcW w:w="0" w:type="auto"/>
          </w:tcPr>
          <w:p w14:paraId="5A767EBF" w14:textId="790FE164"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sz w:val="19"/>
                <w:szCs w:val="19"/>
              </w:rPr>
              <w:t>41</w:t>
            </w:r>
          </w:p>
        </w:tc>
        <w:tc>
          <w:tcPr>
            <w:tcW w:w="0" w:type="auto"/>
          </w:tcPr>
          <w:p w14:paraId="0EE94154" w14:textId="57306B89" w:rsidR="00590C8B" w:rsidRPr="00F5772C" w:rsidRDefault="00590C8B" w:rsidP="00590C8B">
            <w:pPr>
              <w:pStyle w:val="ListBullet"/>
              <w:numPr>
                <w:ilvl w:val="0"/>
                <w:numId w:val="0"/>
              </w:numPr>
              <w:spacing w:before="100" w:beforeAutospacing="1" w:after="100" w:afterAutospacing="1"/>
              <w:ind w:left="-57" w:right="-57"/>
              <w:rPr>
                <w:rFonts w:ascii="Aptos" w:hAnsi="Aptos" w:cs="Arial"/>
                <w:color w:val="000000" w:themeColor="dark1"/>
                <w:kern w:val="24"/>
                <w:sz w:val="19"/>
                <w:szCs w:val="19"/>
              </w:rPr>
            </w:pPr>
            <w:r w:rsidRPr="00F5772C">
              <w:rPr>
                <w:rFonts w:ascii="Aptos" w:hAnsi="Aptos" w:cs="Arial"/>
                <w:color w:val="000000" w:themeColor="dark1"/>
                <w:kern w:val="24"/>
                <w:sz w:val="19"/>
                <w:szCs w:val="19"/>
              </w:rPr>
              <w:t>Food Retailing</w:t>
            </w:r>
          </w:p>
        </w:tc>
        <w:tc>
          <w:tcPr>
            <w:tcW w:w="0" w:type="auto"/>
          </w:tcPr>
          <w:p w14:paraId="257BE21F" w14:textId="06357724"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cs="Arial"/>
                <w:color w:val="000000" w:themeColor="dark1"/>
                <w:kern w:val="24"/>
                <w:sz w:val="19"/>
                <w:szCs w:val="19"/>
              </w:rPr>
              <w:t>37%</w:t>
            </w:r>
          </w:p>
        </w:tc>
        <w:tc>
          <w:tcPr>
            <w:tcW w:w="0" w:type="auto"/>
          </w:tcPr>
          <w:p w14:paraId="1C9E985B" w14:textId="27B6DC79"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cs="Arial"/>
                <w:color w:val="000000" w:themeColor="dark1"/>
                <w:kern w:val="24"/>
                <w:sz w:val="19"/>
                <w:szCs w:val="19"/>
              </w:rPr>
              <w:t>11%</w:t>
            </w:r>
          </w:p>
        </w:tc>
      </w:tr>
      <w:tr w:rsidR="00590C8B" w:rsidRPr="00F5772C" w14:paraId="47679A3D" w14:textId="77777777" w:rsidTr="0059180E">
        <w:trPr>
          <w:cnfStyle w:val="000000010000" w:firstRow="0" w:lastRow="0" w:firstColumn="0" w:lastColumn="0" w:oddVBand="0" w:evenVBand="0" w:oddHBand="0" w:evenHBand="1" w:firstRowFirstColumn="0" w:firstRowLastColumn="0" w:lastRowFirstColumn="0" w:lastRowLastColumn="0"/>
          <w:trHeight w:val="20"/>
        </w:trPr>
        <w:tc>
          <w:tcPr>
            <w:tcW w:w="0" w:type="auto"/>
          </w:tcPr>
          <w:p w14:paraId="5308D161" w14:textId="419BC454"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sz w:val="19"/>
                <w:szCs w:val="19"/>
              </w:rPr>
              <w:t>70</w:t>
            </w:r>
          </w:p>
        </w:tc>
        <w:tc>
          <w:tcPr>
            <w:tcW w:w="0" w:type="auto"/>
          </w:tcPr>
          <w:p w14:paraId="14556715" w14:textId="55A44059" w:rsidR="00590C8B" w:rsidRPr="00F5772C" w:rsidRDefault="00590C8B" w:rsidP="00590C8B">
            <w:pPr>
              <w:pStyle w:val="ListBullet"/>
              <w:numPr>
                <w:ilvl w:val="0"/>
                <w:numId w:val="0"/>
              </w:numPr>
              <w:spacing w:before="100" w:beforeAutospacing="1" w:after="100" w:afterAutospacing="1"/>
              <w:ind w:left="-57" w:right="-57"/>
              <w:rPr>
                <w:rFonts w:ascii="Aptos" w:hAnsi="Aptos" w:cs="Arial"/>
                <w:color w:val="000000" w:themeColor="dark1"/>
                <w:kern w:val="24"/>
                <w:sz w:val="19"/>
                <w:szCs w:val="19"/>
              </w:rPr>
            </w:pPr>
            <w:r w:rsidRPr="00F5772C">
              <w:rPr>
                <w:rFonts w:ascii="Aptos" w:hAnsi="Aptos" w:cs="Arial"/>
                <w:color w:val="000000" w:themeColor="dark1"/>
                <w:kern w:val="24"/>
                <w:sz w:val="19"/>
                <w:szCs w:val="19"/>
              </w:rPr>
              <w:t>IT industry (Computer System Design and Related Services)</w:t>
            </w:r>
          </w:p>
        </w:tc>
        <w:tc>
          <w:tcPr>
            <w:tcW w:w="0" w:type="auto"/>
          </w:tcPr>
          <w:p w14:paraId="2B60593C" w14:textId="4073B345"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cs="Arial"/>
                <w:color w:val="000000" w:themeColor="dark1"/>
                <w:kern w:val="24"/>
                <w:sz w:val="19"/>
                <w:szCs w:val="19"/>
              </w:rPr>
              <w:t>39%</w:t>
            </w:r>
          </w:p>
        </w:tc>
        <w:tc>
          <w:tcPr>
            <w:tcW w:w="0" w:type="auto"/>
          </w:tcPr>
          <w:p w14:paraId="2A4C2D03" w14:textId="57FD4D84"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cs="Arial"/>
                <w:color w:val="000000" w:themeColor="dark1"/>
                <w:kern w:val="24"/>
                <w:sz w:val="19"/>
                <w:szCs w:val="19"/>
              </w:rPr>
              <w:t>34%</w:t>
            </w:r>
          </w:p>
        </w:tc>
      </w:tr>
      <w:tr w:rsidR="00590C8B" w:rsidRPr="00F5772C" w14:paraId="1BE4FED4" w14:textId="77777777" w:rsidTr="0059180E">
        <w:trPr>
          <w:trHeight w:val="20"/>
        </w:trPr>
        <w:tc>
          <w:tcPr>
            <w:tcW w:w="0" w:type="auto"/>
          </w:tcPr>
          <w:p w14:paraId="6C95014E" w14:textId="78411101"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sz w:val="19"/>
                <w:szCs w:val="19"/>
              </w:rPr>
              <w:t>91</w:t>
            </w:r>
          </w:p>
        </w:tc>
        <w:tc>
          <w:tcPr>
            <w:tcW w:w="0" w:type="auto"/>
          </w:tcPr>
          <w:p w14:paraId="2B6003CD" w14:textId="603BB61C" w:rsidR="00590C8B" w:rsidRPr="00F5772C" w:rsidRDefault="00590C8B" w:rsidP="00590C8B">
            <w:pPr>
              <w:pStyle w:val="ListBullet"/>
              <w:numPr>
                <w:ilvl w:val="0"/>
                <w:numId w:val="0"/>
              </w:numPr>
              <w:spacing w:before="100" w:beforeAutospacing="1" w:after="100" w:afterAutospacing="1"/>
              <w:ind w:left="-57" w:right="-57"/>
              <w:rPr>
                <w:rFonts w:ascii="Aptos" w:hAnsi="Aptos" w:cs="Arial"/>
                <w:color w:val="000000" w:themeColor="dark1"/>
                <w:kern w:val="24"/>
                <w:sz w:val="19"/>
                <w:szCs w:val="19"/>
              </w:rPr>
            </w:pPr>
            <w:r w:rsidRPr="00F5772C">
              <w:rPr>
                <w:rFonts w:ascii="Aptos" w:hAnsi="Aptos" w:cs="Arial"/>
                <w:color w:val="000000" w:themeColor="dark1"/>
                <w:kern w:val="24"/>
                <w:sz w:val="19"/>
                <w:szCs w:val="19"/>
              </w:rPr>
              <w:t>Sports and Recreation Activities</w:t>
            </w:r>
          </w:p>
        </w:tc>
        <w:tc>
          <w:tcPr>
            <w:tcW w:w="0" w:type="auto"/>
          </w:tcPr>
          <w:p w14:paraId="1D7E89B2" w14:textId="7575BF90"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cs="Arial"/>
                <w:color w:val="000000" w:themeColor="dark1"/>
                <w:kern w:val="24"/>
                <w:sz w:val="19"/>
                <w:szCs w:val="19"/>
              </w:rPr>
              <w:t>40%</w:t>
            </w:r>
          </w:p>
        </w:tc>
        <w:tc>
          <w:tcPr>
            <w:tcW w:w="0" w:type="auto"/>
          </w:tcPr>
          <w:p w14:paraId="1A752A50" w14:textId="20474211"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cs="Arial"/>
                <w:color w:val="000000" w:themeColor="dark1"/>
                <w:kern w:val="24"/>
                <w:sz w:val="19"/>
                <w:szCs w:val="19"/>
              </w:rPr>
              <w:t>20%</w:t>
            </w:r>
          </w:p>
        </w:tc>
      </w:tr>
      <w:tr w:rsidR="00590C8B" w:rsidRPr="00F5772C" w14:paraId="17BCB36C" w14:textId="77777777" w:rsidTr="0059180E">
        <w:trPr>
          <w:cnfStyle w:val="000000010000" w:firstRow="0" w:lastRow="0" w:firstColumn="0" w:lastColumn="0" w:oddVBand="0" w:evenVBand="0" w:oddHBand="0" w:evenHBand="1" w:firstRowFirstColumn="0" w:firstRowLastColumn="0" w:lastRowFirstColumn="0" w:lastRowLastColumn="0"/>
          <w:trHeight w:val="20"/>
        </w:trPr>
        <w:tc>
          <w:tcPr>
            <w:tcW w:w="0" w:type="auto"/>
          </w:tcPr>
          <w:p w14:paraId="3B10D499" w14:textId="05677C7B"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sz w:val="19"/>
                <w:szCs w:val="19"/>
              </w:rPr>
              <w:t>67</w:t>
            </w:r>
          </w:p>
        </w:tc>
        <w:tc>
          <w:tcPr>
            <w:tcW w:w="0" w:type="auto"/>
          </w:tcPr>
          <w:p w14:paraId="0FB8B34C" w14:textId="66CDA0AE" w:rsidR="00590C8B" w:rsidRPr="00F5772C" w:rsidRDefault="00590C8B" w:rsidP="00590C8B">
            <w:pPr>
              <w:pStyle w:val="ListBullet"/>
              <w:numPr>
                <w:ilvl w:val="0"/>
                <w:numId w:val="0"/>
              </w:numPr>
              <w:spacing w:before="100" w:beforeAutospacing="1" w:after="100" w:afterAutospacing="1"/>
              <w:ind w:left="-57" w:right="-57"/>
              <w:rPr>
                <w:rFonts w:ascii="Aptos" w:hAnsi="Aptos" w:cs="Arial"/>
                <w:color w:val="000000" w:themeColor="dark1"/>
                <w:kern w:val="24"/>
                <w:sz w:val="19"/>
                <w:szCs w:val="19"/>
              </w:rPr>
            </w:pPr>
            <w:r w:rsidRPr="00F5772C">
              <w:rPr>
                <w:rFonts w:ascii="Aptos" w:hAnsi="Aptos" w:cs="Arial"/>
                <w:color w:val="000000" w:themeColor="dark1"/>
                <w:kern w:val="24"/>
                <w:sz w:val="19"/>
                <w:szCs w:val="19"/>
              </w:rPr>
              <w:t>Property Operators and Real Estate Services</w:t>
            </w:r>
          </w:p>
        </w:tc>
        <w:tc>
          <w:tcPr>
            <w:tcW w:w="0" w:type="auto"/>
          </w:tcPr>
          <w:p w14:paraId="3BC3298D" w14:textId="41D92C38"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cs="Arial"/>
                <w:color w:val="000000" w:themeColor="dark1"/>
                <w:kern w:val="24"/>
                <w:sz w:val="19"/>
                <w:szCs w:val="19"/>
              </w:rPr>
              <w:t>43%</w:t>
            </w:r>
          </w:p>
        </w:tc>
        <w:tc>
          <w:tcPr>
            <w:tcW w:w="0" w:type="auto"/>
          </w:tcPr>
          <w:p w14:paraId="491DCFE0" w14:textId="090C86E8"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cs="Arial"/>
                <w:color w:val="000000" w:themeColor="dark1"/>
                <w:kern w:val="24"/>
                <w:sz w:val="19"/>
                <w:szCs w:val="19"/>
              </w:rPr>
              <w:t>27%</w:t>
            </w:r>
          </w:p>
        </w:tc>
      </w:tr>
      <w:tr w:rsidR="00590C8B" w:rsidRPr="00F5772C" w14:paraId="6498C872" w14:textId="77777777" w:rsidTr="0059180E">
        <w:trPr>
          <w:trHeight w:val="20"/>
        </w:trPr>
        <w:tc>
          <w:tcPr>
            <w:tcW w:w="0" w:type="auto"/>
          </w:tcPr>
          <w:p w14:paraId="3D3BF10E" w14:textId="3B748100"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sz w:val="19"/>
                <w:szCs w:val="19"/>
              </w:rPr>
              <w:t>72</w:t>
            </w:r>
          </w:p>
        </w:tc>
        <w:tc>
          <w:tcPr>
            <w:tcW w:w="0" w:type="auto"/>
          </w:tcPr>
          <w:p w14:paraId="3F9B701E" w14:textId="2B5CFF10" w:rsidR="00590C8B" w:rsidRPr="00F5772C" w:rsidRDefault="00590C8B" w:rsidP="00590C8B">
            <w:pPr>
              <w:pStyle w:val="ListBullet"/>
              <w:numPr>
                <w:ilvl w:val="0"/>
                <w:numId w:val="0"/>
              </w:numPr>
              <w:spacing w:before="100" w:beforeAutospacing="1" w:after="100" w:afterAutospacing="1"/>
              <w:ind w:left="-57" w:right="-57"/>
              <w:rPr>
                <w:rFonts w:ascii="Aptos" w:hAnsi="Aptos" w:cs="Arial"/>
                <w:color w:val="000000" w:themeColor="dark1"/>
                <w:kern w:val="24"/>
                <w:sz w:val="19"/>
                <w:szCs w:val="19"/>
              </w:rPr>
            </w:pPr>
            <w:r w:rsidRPr="00F5772C">
              <w:rPr>
                <w:rFonts w:ascii="Aptos" w:hAnsi="Aptos" w:cs="Arial"/>
                <w:color w:val="000000" w:themeColor="dark1"/>
                <w:kern w:val="24"/>
                <w:sz w:val="19"/>
                <w:szCs w:val="19"/>
              </w:rPr>
              <w:t>Administrative Services</w:t>
            </w:r>
          </w:p>
        </w:tc>
        <w:tc>
          <w:tcPr>
            <w:tcW w:w="0" w:type="auto"/>
          </w:tcPr>
          <w:p w14:paraId="4928F40F" w14:textId="76078E5B"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cs="Arial"/>
                <w:color w:val="000000" w:themeColor="dark1"/>
                <w:kern w:val="24"/>
                <w:sz w:val="19"/>
                <w:szCs w:val="19"/>
              </w:rPr>
              <w:t>45%</w:t>
            </w:r>
          </w:p>
        </w:tc>
        <w:tc>
          <w:tcPr>
            <w:tcW w:w="0" w:type="auto"/>
          </w:tcPr>
          <w:p w14:paraId="4327B007" w14:textId="1DC092F4"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cs="Arial"/>
                <w:color w:val="000000" w:themeColor="dark1"/>
                <w:kern w:val="24"/>
                <w:sz w:val="19"/>
                <w:szCs w:val="19"/>
              </w:rPr>
              <w:t>28%</w:t>
            </w:r>
          </w:p>
        </w:tc>
      </w:tr>
      <w:tr w:rsidR="00590C8B" w:rsidRPr="00F5772C" w14:paraId="1C2CA9C6" w14:textId="77777777" w:rsidTr="0059180E">
        <w:trPr>
          <w:cnfStyle w:val="000000010000" w:firstRow="0" w:lastRow="0" w:firstColumn="0" w:lastColumn="0" w:oddVBand="0" w:evenVBand="0" w:oddHBand="0" w:evenHBand="1" w:firstRowFirstColumn="0" w:firstRowLastColumn="0" w:lastRowFirstColumn="0" w:lastRowLastColumn="0"/>
          <w:trHeight w:val="20"/>
        </w:trPr>
        <w:tc>
          <w:tcPr>
            <w:tcW w:w="0" w:type="auto"/>
          </w:tcPr>
          <w:p w14:paraId="52809CC2" w14:textId="478AAA5D"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sz w:val="19"/>
                <w:szCs w:val="19"/>
              </w:rPr>
              <w:t>45</w:t>
            </w:r>
          </w:p>
        </w:tc>
        <w:tc>
          <w:tcPr>
            <w:tcW w:w="0" w:type="auto"/>
          </w:tcPr>
          <w:p w14:paraId="2B0AA2E2" w14:textId="23C7A697" w:rsidR="00590C8B" w:rsidRPr="00F5772C" w:rsidRDefault="00590C8B" w:rsidP="00590C8B">
            <w:pPr>
              <w:pStyle w:val="ListBullet"/>
              <w:numPr>
                <w:ilvl w:val="0"/>
                <w:numId w:val="0"/>
              </w:numPr>
              <w:spacing w:before="100" w:beforeAutospacing="1" w:after="100" w:afterAutospacing="1"/>
              <w:ind w:left="-57" w:right="-57"/>
              <w:rPr>
                <w:rFonts w:ascii="Aptos" w:hAnsi="Aptos" w:cs="Arial"/>
                <w:color w:val="000000" w:themeColor="dark1"/>
                <w:kern w:val="24"/>
                <w:sz w:val="19"/>
                <w:szCs w:val="19"/>
              </w:rPr>
            </w:pPr>
            <w:r w:rsidRPr="00F5772C">
              <w:rPr>
                <w:rFonts w:ascii="Aptos" w:hAnsi="Aptos" w:cs="Arial"/>
                <w:color w:val="000000" w:themeColor="dark1"/>
                <w:kern w:val="24"/>
                <w:sz w:val="19"/>
                <w:szCs w:val="19"/>
              </w:rPr>
              <w:t>Food and Beverage Services</w:t>
            </w:r>
          </w:p>
        </w:tc>
        <w:tc>
          <w:tcPr>
            <w:tcW w:w="0" w:type="auto"/>
          </w:tcPr>
          <w:p w14:paraId="52177ADD" w14:textId="17CF0721"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cs="Arial"/>
                <w:color w:val="000000" w:themeColor="dark1"/>
                <w:kern w:val="24"/>
                <w:sz w:val="19"/>
                <w:szCs w:val="19"/>
              </w:rPr>
              <w:t>46%</w:t>
            </w:r>
          </w:p>
        </w:tc>
        <w:tc>
          <w:tcPr>
            <w:tcW w:w="0" w:type="auto"/>
          </w:tcPr>
          <w:p w14:paraId="69D1440E" w14:textId="6EC2811D"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cs="Arial"/>
                <w:color w:val="000000" w:themeColor="dark1"/>
                <w:kern w:val="24"/>
                <w:sz w:val="19"/>
                <w:szCs w:val="19"/>
              </w:rPr>
              <w:t>13%</w:t>
            </w:r>
          </w:p>
        </w:tc>
      </w:tr>
      <w:tr w:rsidR="00590C8B" w:rsidRPr="00F5772C" w14:paraId="0CD5C2B3" w14:textId="77777777" w:rsidTr="0059180E">
        <w:trPr>
          <w:trHeight w:val="20"/>
        </w:trPr>
        <w:tc>
          <w:tcPr>
            <w:tcW w:w="0" w:type="auto"/>
          </w:tcPr>
          <w:p w14:paraId="7879DEDA" w14:textId="4FE6417C"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sz w:val="19"/>
                <w:szCs w:val="19"/>
              </w:rPr>
              <w:t>64</w:t>
            </w:r>
          </w:p>
        </w:tc>
        <w:tc>
          <w:tcPr>
            <w:tcW w:w="0" w:type="auto"/>
          </w:tcPr>
          <w:p w14:paraId="76674DCC" w14:textId="0EEF8EF3" w:rsidR="00590C8B" w:rsidRPr="00F5772C" w:rsidRDefault="00590C8B" w:rsidP="00590C8B">
            <w:pPr>
              <w:pStyle w:val="ListBullet"/>
              <w:numPr>
                <w:ilvl w:val="0"/>
                <w:numId w:val="0"/>
              </w:numPr>
              <w:spacing w:before="100" w:beforeAutospacing="1" w:after="100" w:afterAutospacing="1"/>
              <w:ind w:left="-57" w:right="-57"/>
              <w:rPr>
                <w:rFonts w:ascii="Aptos" w:hAnsi="Aptos" w:cs="Arial"/>
                <w:color w:val="000000" w:themeColor="dark1"/>
                <w:kern w:val="24"/>
                <w:sz w:val="19"/>
                <w:szCs w:val="19"/>
              </w:rPr>
            </w:pPr>
            <w:r w:rsidRPr="00F5772C">
              <w:rPr>
                <w:rFonts w:ascii="Aptos" w:hAnsi="Aptos" w:cs="Arial"/>
                <w:color w:val="000000" w:themeColor="dark1"/>
                <w:kern w:val="24"/>
                <w:sz w:val="19"/>
                <w:szCs w:val="19"/>
              </w:rPr>
              <w:t>Auxiliary Finance and Insurance Services</w:t>
            </w:r>
          </w:p>
        </w:tc>
        <w:tc>
          <w:tcPr>
            <w:tcW w:w="0" w:type="auto"/>
          </w:tcPr>
          <w:p w14:paraId="74208E02" w14:textId="53CB1F3C"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cs="Arial"/>
                <w:color w:val="000000" w:themeColor="dark1"/>
                <w:kern w:val="24"/>
                <w:sz w:val="19"/>
                <w:szCs w:val="19"/>
              </w:rPr>
              <w:t>47%</w:t>
            </w:r>
          </w:p>
        </w:tc>
        <w:tc>
          <w:tcPr>
            <w:tcW w:w="0" w:type="auto"/>
          </w:tcPr>
          <w:p w14:paraId="1FF4C928" w14:textId="000397C1"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cs="Arial"/>
                <w:color w:val="000000" w:themeColor="dark1"/>
                <w:kern w:val="24"/>
                <w:sz w:val="19"/>
                <w:szCs w:val="19"/>
              </w:rPr>
              <w:t>29%</w:t>
            </w:r>
          </w:p>
        </w:tc>
      </w:tr>
      <w:tr w:rsidR="00590C8B" w:rsidRPr="00F5772C" w14:paraId="2391E919" w14:textId="77777777" w:rsidTr="0059180E">
        <w:trPr>
          <w:cnfStyle w:val="000000010000" w:firstRow="0" w:lastRow="0" w:firstColumn="0" w:lastColumn="0" w:oddVBand="0" w:evenVBand="0" w:oddHBand="0" w:evenHBand="1" w:firstRowFirstColumn="0" w:firstRowLastColumn="0" w:lastRowFirstColumn="0" w:lastRowLastColumn="0"/>
          <w:trHeight w:val="20"/>
        </w:trPr>
        <w:tc>
          <w:tcPr>
            <w:tcW w:w="0" w:type="auto"/>
          </w:tcPr>
          <w:p w14:paraId="7F9B0538" w14:textId="5A298453"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sz w:val="19"/>
                <w:szCs w:val="19"/>
              </w:rPr>
              <w:t>36</w:t>
            </w:r>
          </w:p>
        </w:tc>
        <w:tc>
          <w:tcPr>
            <w:tcW w:w="0" w:type="auto"/>
          </w:tcPr>
          <w:p w14:paraId="79243E62" w14:textId="4C9DD768" w:rsidR="00590C8B" w:rsidRPr="00F5772C" w:rsidRDefault="00590C8B" w:rsidP="00590C8B">
            <w:pPr>
              <w:pStyle w:val="ListBullet"/>
              <w:numPr>
                <w:ilvl w:val="0"/>
                <w:numId w:val="0"/>
              </w:numPr>
              <w:spacing w:before="100" w:beforeAutospacing="1" w:after="100" w:afterAutospacing="1"/>
              <w:ind w:left="-57" w:right="-57"/>
              <w:rPr>
                <w:rFonts w:ascii="Aptos" w:hAnsi="Aptos" w:cs="Arial"/>
                <w:color w:val="000000" w:themeColor="dark1"/>
                <w:kern w:val="24"/>
                <w:sz w:val="19"/>
                <w:szCs w:val="19"/>
              </w:rPr>
            </w:pPr>
            <w:r w:rsidRPr="00F5772C">
              <w:rPr>
                <w:rFonts w:ascii="Aptos" w:hAnsi="Aptos" w:cs="Arial"/>
                <w:color w:val="000000" w:themeColor="dark1"/>
                <w:kern w:val="24"/>
                <w:sz w:val="19"/>
                <w:szCs w:val="19"/>
              </w:rPr>
              <w:t>Grocery, Liquor and Tobacco Product Wholesaling</w:t>
            </w:r>
          </w:p>
        </w:tc>
        <w:tc>
          <w:tcPr>
            <w:tcW w:w="0" w:type="auto"/>
          </w:tcPr>
          <w:p w14:paraId="7E7A3E58" w14:textId="13455AE8"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cs="Arial"/>
                <w:color w:val="000000" w:themeColor="dark1"/>
                <w:kern w:val="24"/>
                <w:sz w:val="19"/>
                <w:szCs w:val="19"/>
              </w:rPr>
              <w:t>47%</w:t>
            </w:r>
          </w:p>
        </w:tc>
        <w:tc>
          <w:tcPr>
            <w:tcW w:w="0" w:type="auto"/>
          </w:tcPr>
          <w:p w14:paraId="32B6A2D7" w14:textId="26D4E63E"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cs="Arial"/>
                <w:color w:val="000000" w:themeColor="dark1"/>
                <w:kern w:val="24"/>
                <w:sz w:val="19"/>
                <w:szCs w:val="19"/>
              </w:rPr>
              <w:t>24%</w:t>
            </w:r>
          </w:p>
        </w:tc>
      </w:tr>
      <w:tr w:rsidR="00590C8B" w:rsidRPr="00F5772C" w14:paraId="06072D9A" w14:textId="77777777" w:rsidTr="0059180E">
        <w:trPr>
          <w:trHeight w:val="20"/>
        </w:trPr>
        <w:tc>
          <w:tcPr>
            <w:tcW w:w="0" w:type="auto"/>
          </w:tcPr>
          <w:p w14:paraId="2FA83980" w14:textId="21678965"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sz w:val="19"/>
                <w:szCs w:val="19"/>
              </w:rPr>
              <w:t>40</w:t>
            </w:r>
          </w:p>
        </w:tc>
        <w:tc>
          <w:tcPr>
            <w:tcW w:w="0" w:type="auto"/>
          </w:tcPr>
          <w:p w14:paraId="63B2C009" w14:textId="483C692C" w:rsidR="00590C8B" w:rsidRPr="00F5772C" w:rsidRDefault="00590C8B" w:rsidP="00590C8B">
            <w:pPr>
              <w:pStyle w:val="ListBullet"/>
              <w:numPr>
                <w:ilvl w:val="0"/>
                <w:numId w:val="0"/>
              </w:numPr>
              <w:spacing w:before="100" w:beforeAutospacing="1" w:after="100" w:afterAutospacing="1"/>
              <w:ind w:left="-57" w:right="-57"/>
              <w:rPr>
                <w:rFonts w:ascii="Aptos" w:hAnsi="Aptos" w:cs="Arial"/>
                <w:color w:val="000000" w:themeColor="dark1"/>
                <w:kern w:val="24"/>
                <w:sz w:val="19"/>
                <w:szCs w:val="19"/>
              </w:rPr>
            </w:pPr>
            <w:r w:rsidRPr="00F5772C">
              <w:rPr>
                <w:rFonts w:ascii="Aptos" w:hAnsi="Aptos" w:cs="Arial"/>
                <w:color w:val="000000" w:themeColor="dark1"/>
                <w:kern w:val="24"/>
                <w:sz w:val="19"/>
                <w:szCs w:val="19"/>
              </w:rPr>
              <w:t>Fuel Retailing</w:t>
            </w:r>
          </w:p>
        </w:tc>
        <w:tc>
          <w:tcPr>
            <w:tcW w:w="0" w:type="auto"/>
          </w:tcPr>
          <w:p w14:paraId="5B7DFF9F" w14:textId="00655B42"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cs="Arial"/>
                <w:color w:val="000000" w:themeColor="dark1"/>
                <w:kern w:val="24"/>
                <w:sz w:val="19"/>
                <w:szCs w:val="19"/>
              </w:rPr>
              <w:t>47%</w:t>
            </w:r>
          </w:p>
        </w:tc>
        <w:tc>
          <w:tcPr>
            <w:tcW w:w="0" w:type="auto"/>
          </w:tcPr>
          <w:p w14:paraId="0BC45540" w14:textId="3E62D34F"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cs="Arial"/>
                <w:color w:val="000000" w:themeColor="dark1"/>
                <w:kern w:val="24"/>
                <w:sz w:val="19"/>
                <w:szCs w:val="19"/>
              </w:rPr>
              <w:t>17%</w:t>
            </w:r>
          </w:p>
        </w:tc>
      </w:tr>
      <w:tr w:rsidR="00590C8B" w:rsidRPr="00F5772C" w14:paraId="3A8490DD" w14:textId="77777777" w:rsidTr="0059180E">
        <w:trPr>
          <w:cnfStyle w:val="000000010000" w:firstRow="0" w:lastRow="0" w:firstColumn="0" w:lastColumn="0" w:oddVBand="0" w:evenVBand="0" w:oddHBand="0" w:evenHBand="1" w:firstRowFirstColumn="0" w:firstRowLastColumn="0" w:lastRowFirstColumn="0" w:lastRowLastColumn="0"/>
          <w:trHeight w:val="20"/>
        </w:trPr>
        <w:tc>
          <w:tcPr>
            <w:tcW w:w="0" w:type="auto"/>
          </w:tcPr>
          <w:p w14:paraId="5C6D2D02" w14:textId="7B68A3FE"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sz w:val="19"/>
                <w:szCs w:val="19"/>
              </w:rPr>
              <w:t>80</w:t>
            </w:r>
          </w:p>
        </w:tc>
        <w:tc>
          <w:tcPr>
            <w:tcW w:w="0" w:type="auto"/>
          </w:tcPr>
          <w:p w14:paraId="63648B2D" w14:textId="7B1B7826" w:rsidR="00590C8B" w:rsidRPr="00F5772C" w:rsidRDefault="00590C8B" w:rsidP="00590C8B">
            <w:pPr>
              <w:pStyle w:val="ListBullet"/>
              <w:numPr>
                <w:ilvl w:val="0"/>
                <w:numId w:val="0"/>
              </w:numPr>
              <w:spacing w:before="100" w:beforeAutospacing="1" w:after="100" w:afterAutospacing="1"/>
              <w:ind w:left="-57" w:right="-57"/>
              <w:rPr>
                <w:rFonts w:ascii="Aptos" w:hAnsi="Aptos" w:cs="Arial"/>
                <w:color w:val="000000" w:themeColor="dark1"/>
                <w:kern w:val="24"/>
                <w:sz w:val="19"/>
                <w:szCs w:val="19"/>
              </w:rPr>
            </w:pPr>
            <w:r w:rsidRPr="00F5772C">
              <w:rPr>
                <w:rFonts w:ascii="Aptos" w:hAnsi="Aptos" w:cs="Arial"/>
                <w:color w:val="000000" w:themeColor="dark1"/>
                <w:kern w:val="24"/>
                <w:sz w:val="19"/>
                <w:szCs w:val="19"/>
              </w:rPr>
              <w:t>Preschool and School Education</w:t>
            </w:r>
          </w:p>
        </w:tc>
        <w:tc>
          <w:tcPr>
            <w:tcW w:w="0" w:type="auto"/>
          </w:tcPr>
          <w:p w14:paraId="233C3B4E" w14:textId="55A8C001"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cs="Arial"/>
                <w:color w:val="000000" w:themeColor="dark1"/>
                <w:kern w:val="24"/>
                <w:sz w:val="19"/>
                <w:szCs w:val="19"/>
              </w:rPr>
              <w:t>47%</w:t>
            </w:r>
          </w:p>
        </w:tc>
        <w:tc>
          <w:tcPr>
            <w:tcW w:w="0" w:type="auto"/>
          </w:tcPr>
          <w:p w14:paraId="58BBDFC6" w14:textId="23D6B8B5"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cs="Arial"/>
                <w:color w:val="000000" w:themeColor="dark1"/>
                <w:kern w:val="24"/>
                <w:sz w:val="19"/>
                <w:szCs w:val="19"/>
              </w:rPr>
              <w:t>12%</w:t>
            </w:r>
          </w:p>
        </w:tc>
      </w:tr>
      <w:tr w:rsidR="00590C8B" w:rsidRPr="00F5772C" w14:paraId="6A93F89D" w14:textId="77777777" w:rsidTr="0059180E">
        <w:trPr>
          <w:trHeight w:val="20"/>
        </w:trPr>
        <w:tc>
          <w:tcPr>
            <w:tcW w:w="0" w:type="auto"/>
          </w:tcPr>
          <w:p w14:paraId="64897947" w14:textId="50D9041B"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sz w:val="19"/>
                <w:szCs w:val="19"/>
              </w:rPr>
              <w:t>12</w:t>
            </w:r>
          </w:p>
        </w:tc>
        <w:tc>
          <w:tcPr>
            <w:tcW w:w="0" w:type="auto"/>
          </w:tcPr>
          <w:p w14:paraId="08FE8452" w14:textId="304D3663" w:rsidR="00590C8B" w:rsidRPr="00F5772C" w:rsidRDefault="00590C8B" w:rsidP="00590C8B">
            <w:pPr>
              <w:pStyle w:val="ListBullet"/>
              <w:numPr>
                <w:ilvl w:val="0"/>
                <w:numId w:val="0"/>
              </w:numPr>
              <w:spacing w:before="100" w:beforeAutospacing="1" w:after="100" w:afterAutospacing="1"/>
              <w:ind w:left="-57" w:right="-57"/>
              <w:rPr>
                <w:rFonts w:ascii="Aptos" w:hAnsi="Aptos" w:cs="Arial"/>
                <w:color w:val="000000" w:themeColor="dark1"/>
                <w:kern w:val="24"/>
                <w:sz w:val="19"/>
                <w:szCs w:val="19"/>
              </w:rPr>
            </w:pPr>
            <w:r w:rsidRPr="00F5772C">
              <w:rPr>
                <w:rFonts w:ascii="Aptos" w:hAnsi="Aptos" w:cs="Arial"/>
                <w:color w:val="000000" w:themeColor="dark1"/>
                <w:kern w:val="24"/>
                <w:sz w:val="19"/>
                <w:szCs w:val="19"/>
              </w:rPr>
              <w:t>Beverage and Tobacco Product Manufacturing</w:t>
            </w:r>
          </w:p>
        </w:tc>
        <w:tc>
          <w:tcPr>
            <w:tcW w:w="0" w:type="auto"/>
          </w:tcPr>
          <w:p w14:paraId="2726E401" w14:textId="733D65DF"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cs="Arial"/>
                <w:color w:val="000000" w:themeColor="dark1"/>
                <w:kern w:val="24"/>
                <w:sz w:val="19"/>
                <w:szCs w:val="19"/>
              </w:rPr>
              <w:t>48%</w:t>
            </w:r>
          </w:p>
        </w:tc>
        <w:tc>
          <w:tcPr>
            <w:tcW w:w="0" w:type="auto"/>
          </w:tcPr>
          <w:p w14:paraId="1A05C645" w14:textId="618AA082"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cs="Arial"/>
                <w:color w:val="000000" w:themeColor="dark1"/>
                <w:kern w:val="24"/>
                <w:sz w:val="19"/>
                <w:szCs w:val="19"/>
              </w:rPr>
              <w:t>14%</w:t>
            </w:r>
          </w:p>
        </w:tc>
      </w:tr>
      <w:tr w:rsidR="00590C8B" w:rsidRPr="00F5772C" w14:paraId="34BF6498" w14:textId="77777777" w:rsidTr="0059180E">
        <w:trPr>
          <w:cnfStyle w:val="000000010000" w:firstRow="0" w:lastRow="0" w:firstColumn="0" w:lastColumn="0" w:oddVBand="0" w:evenVBand="0" w:oddHBand="0" w:evenHBand="1" w:firstRowFirstColumn="0" w:firstRowLastColumn="0" w:lastRowFirstColumn="0" w:lastRowLastColumn="0"/>
          <w:trHeight w:val="20"/>
        </w:trPr>
        <w:tc>
          <w:tcPr>
            <w:tcW w:w="0" w:type="auto"/>
          </w:tcPr>
          <w:p w14:paraId="49B59E0A" w14:textId="205A0A15"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sz w:val="19"/>
                <w:szCs w:val="19"/>
              </w:rPr>
              <w:t>30</w:t>
            </w:r>
          </w:p>
        </w:tc>
        <w:tc>
          <w:tcPr>
            <w:tcW w:w="0" w:type="auto"/>
          </w:tcPr>
          <w:p w14:paraId="577CBAE6" w14:textId="467E1758" w:rsidR="00590C8B" w:rsidRPr="00F5772C" w:rsidRDefault="00590C8B" w:rsidP="00590C8B">
            <w:pPr>
              <w:pStyle w:val="ListBullet"/>
              <w:numPr>
                <w:ilvl w:val="0"/>
                <w:numId w:val="0"/>
              </w:numPr>
              <w:spacing w:before="100" w:beforeAutospacing="1" w:after="100" w:afterAutospacing="1"/>
              <w:ind w:left="-57" w:right="-57"/>
              <w:rPr>
                <w:rFonts w:ascii="Aptos" w:hAnsi="Aptos" w:cs="Arial"/>
                <w:color w:val="000000" w:themeColor="dark1"/>
                <w:kern w:val="24"/>
                <w:sz w:val="19"/>
                <w:szCs w:val="19"/>
              </w:rPr>
            </w:pPr>
            <w:r w:rsidRPr="00F5772C">
              <w:rPr>
                <w:rFonts w:ascii="Aptos" w:hAnsi="Aptos" w:cs="Arial"/>
                <w:color w:val="000000" w:themeColor="dark1"/>
                <w:kern w:val="24"/>
                <w:sz w:val="19"/>
                <w:szCs w:val="19"/>
              </w:rPr>
              <w:t>Building Construction</w:t>
            </w:r>
          </w:p>
        </w:tc>
        <w:tc>
          <w:tcPr>
            <w:tcW w:w="0" w:type="auto"/>
          </w:tcPr>
          <w:p w14:paraId="671AFE84" w14:textId="07010E18"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cs="Arial"/>
                <w:color w:val="000000" w:themeColor="dark1"/>
                <w:kern w:val="24"/>
                <w:sz w:val="19"/>
                <w:szCs w:val="19"/>
              </w:rPr>
              <w:t>48%</w:t>
            </w:r>
          </w:p>
        </w:tc>
        <w:tc>
          <w:tcPr>
            <w:tcW w:w="0" w:type="auto"/>
          </w:tcPr>
          <w:p w14:paraId="11A2FC8D" w14:textId="325E6882"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cs="Arial"/>
                <w:color w:val="000000" w:themeColor="dark1"/>
                <w:kern w:val="24"/>
                <w:sz w:val="19"/>
                <w:szCs w:val="19"/>
              </w:rPr>
              <w:t>22%</w:t>
            </w:r>
          </w:p>
        </w:tc>
      </w:tr>
      <w:tr w:rsidR="00590C8B" w:rsidRPr="00F5772C" w14:paraId="1EFB85DB" w14:textId="77777777" w:rsidTr="0059180E">
        <w:trPr>
          <w:trHeight w:val="20"/>
        </w:trPr>
        <w:tc>
          <w:tcPr>
            <w:tcW w:w="0" w:type="auto"/>
          </w:tcPr>
          <w:p w14:paraId="2D82FDFA" w14:textId="235E26FA"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sz w:val="19"/>
                <w:szCs w:val="19"/>
              </w:rPr>
              <w:t>37</w:t>
            </w:r>
          </w:p>
        </w:tc>
        <w:tc>
          <w:tcPr>
            <w:tcW w:w="0" w:type="auto"/>
          </w:tcPr>
          <w:p w14:paraId="155622BC" w14:textId="6CB82AED" w:rsidR="00590C8B" w:rsidRPr="00F5772C" w:rsidRDefault="00590C8B" w:rsidP="00590C8B">
            <w:pPr>
              <w:pStyle w:val="ListBullet"/>
              <w:numPr>
                <w:ilvl w:val="0"/>
                <w:numId w:val="0"/>
              </w:numPr>
              <w:spacing w:before="100" w:beforeAutospacing="1" w:after="100" w:afterAutospacing="1"/>
              <w:ind w:left="-57" w:right="-57"/>
              <w:rPr>
                <w:rFonts w:ascii="Aptos" w:hAnsi="Aptos" w:cs="Arial"/>
                <w:color w:val="000000" w:themeColor="dark1"/>
                <w:kern w:val="24"/>
                <w:sz w:val="19"/>
                <w:szCs w:val="19"/>
              </w:rPr>
            </w:pPr>
            <w:r w:rsidRPr="00F5772C">
              <w:rPr>
                <w:rFonts w:ascii="Aptos" w:hAnsi="Aptos" w:cs="Arial"/>
                <w:color w:val="000000" w:themeColor="dark1"/>
                <w:kern w:val="24"/>
                <w:sz w:val="19"/>
                <w:szCs w:val="19"/>
              </w:rPr>
              <w:t>Other Goods Wholesaling</w:t>
            </w:r>
          </w:p>
        </w:tc>
        <w:tc>
          <w:tcPr>
            <w:tcW w:w="0" w:type="auto"/>
          </w:tcPr>
          <w:p w14:paraId="247F41A4" w14:textId="16E1ADC6"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cs="Arial"/>
                <w:color w:val="000000" w:themeColor="dark1"/>
                <w:kern w:val="24"/>
                <w:sz w:val="19"/>
                <w:szCs w:val="19"/>
              </w:rPr>
              <w:t>49%</w:t>
            </w:r>
          </w:p>
        </w:tc>
        <w:tc>
          <w:tcPr>
            <w:tcW w:w="0" w:type="auto"/>
          </w:tcPr>
          <w:p w14:paraId="41060506" w14:textId="1EDFA416"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cs="Arial"/>
                <w:color w:val="000000" w:themeColor="dark1"/>
                <w:kern w:val="24"/>
                <w:sz w:val="19"/>
                <w:szCs w:val="19"/>
              </w:rPr>
              <w:t>37%</w:t>
            </w:r>
          </w:p>
        </w:tc>
      </w:tr>
      <w:tr w:rsidR="00590C8B" w:rsidRPr="00F5772C" w14:paraId="7DA1FFF5" w14:textId="77777777" w:rsidTr="0059180E">
        <w:trPr>
          <w:cnfStyle w:val="000000010000" w:firstRow="0" w:lastRow="0" w:firstColumn="0" w:lastColumn="0" w:oddVBand="0" w:evenVBand="0" w:oddHBand="0" w:evenHBand="1" w:firstRowFirstColumn="0" w:firstRowLastColumn="0" w:lastRowFirstColumn="0" w:lastRowLastColumn="0"/>
          <w:trHeight w:val="20"/>
        </w:trPr>
        <w:tc>
          <w:tcPr>
            <w:tcW w:w="0" w:type="auto"/>
          </w:tcPr>
          <w:p w14:paraId="324AF1C2" w14:textId="145595EF"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sz w:val="19"/>
                <w:szCs w:val="19"/>
              </w:rPr>
              <w:t>42</w:t>
            </w:r>
          </w:p>
        </w:tc>
        <w:tc>
          <w:tcPr>
            <w:tcW w:w="0" w:type="auto"/>
          </w:tcPr>
          <w:p w14:paraId="00297918" w14:textId="55CC2DAC" w:rsidR="00590C8B" w:rsidRPr="00F5772C" w:rsidRDefault="00590C8B" w:rsidP="00590C8B">
            <w:pPr>
              <w:pStyle w:val="ListBullet"/>
              <w:numPr>
                <w:ilvl w:val="0"/>
                <w:numId w:val="0"/>
              </w:numPr>
              <w:spacing w:before="100" w:beforeAutospacing="1" w:after="100" w:afterAutospacing="1"/>
              <w:ind w:left="-57" w:right="-57"/>
              <w:rPr>
                <w:rFonts w:ascii="Aptos" w:hAnsi="Aptos" w:cs="Arial"/>
                <w:color w:val="000000" w:themeColor="dark1"/>
                <w:kern w:val="24"/>
                <w:sz w:val="19"/>
                <w:szCs w:val="19"/>
              </w:rPr>
            </w:pPr>
            <w:r w:rsidRPr="00F5772C">
              <w:rPr>
                <w:rFonts w:ascii="Aptos" w:hAnsi="Aptos" w:cs="Arial"/>
                <w:color w:val="000000" w:themeColor="dark1"/>
                <w:kern w:val="24"/>
                <w:sz w:val="19"/>
                <w:szCs w:val="19"/>
              </w:rPr>
              <w:t>Other Store-Based Retailing</w:t>
            </w:r>
          </w:p>
        </w:tc>
        <w:tc>
          <w:tcPr>
            <w:tcW w:w="0" w:type="auto"/>
          </w:tcPr>
          <w:p w14:paraId="52174A7C" w14:textId="6E6A3293"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cs="Arial"/>
                <w:color w:val="000000" w:themeColor="dark1"/>
                <w:kern w:val="24"/>
                <w:sz w:val="19"/>
                <w:szCs w:val="19"/>
              </w:rPr>
              <w:t>49%</w:t>
            </w:r>
          </w:p>
        </w:tc>
        <w:tc>
          <w:tcPr>
            <w:tcW w:w="0" w:type="auto"/>
          </w:tcPr>
          <w:p w14:paraId="62915CCD" w14:textId="2C834B2D"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cs="Arial"/>
                <w:color w:val="000000" w:themeColor="dark1"/>
                <w:kern w:val="24"/>
                <w:sz w:val="19"/>
                <w:szCs w:val="19"/>
              </w:rPr>
              <w:t>22%</w:t>
            </w:r>
          </w:p>
        </w:tc>
      </w:tr>
      <w:tr w:rsidR="00590C8B" w:rsidRPr="00F5772C" w14:paraId="0640E516" w14:textId="77777777" w:rsidTr="0059180E">
        <w:trPr>
          <w:trHeight w:val="20"/>
        </w:trPr>
        <w:tc>
          <w:tcPr>
            <w:tcW w:w="0" w:type="auto"/>
          </w:tcPr>
          <w:p w14:paraId="4AE551E4" w14:textId="009A4B9D"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sz w:val="19"/>
                <w:szCs w:val="19"/>
              </w:rPr>
              <w:t>95</w:t>
            </w:r>
          </w:p>
        </w:tc>
        <w:tc>
          <w:tcPr>
            <w:tcW w:w="0" w:type="auto"/>
          </w:tcPr>
          <w:p w14:paraId="5A836348" w14:textId="619D747F" w:rsidR="00590C8B" w:rsidRPr="00F5772C" w:rsidRDefault="00590C8B" w:rsidP="00590C8B">
            <w:pPr>
              <w:pStyle w:val="ListBullet"/>
              <w:numPr>
                <w:ilvl w:val="0"/>
                <w:numId w:val="0"/>
              </w:numPr>
              <w:spacing w:before="100" w:beforeAutospacing="1" w:after="100" w:afterAutospacing="1"/>
              <w:ind w:left="-57" w:right="-57"/>
              <w:rPr>
                <w:rFonts w:ascii="Aptos" w:hAnsi="Aptos" w:cs="Arial"/>
                <w:color w:val="000000" w:themeColor="dark1"/>
                <w:kern w:val="24"/>
                <w:sz w:val="19"/>
                <w:szCs w:val="19"/>
              </w:rPr>
            </w:pPr>
            <w:r w:rsidRPr="00F5772C">
              <w:rPr>
                <w:rFonts w:ascii="Aptos" w:hAnsi="Aptos" w:cs="Arial"/>
                <w:color w:val="000000" w:themeColor="dark1"/>
                <w:kern w:val="24"/>
                <w:sz w:val="19"/>
                <w:szCs w:val="19"/>
              </w:rPr>
              <w:t>Personal and Other Services</w:t>
            </w:r>
          </w:p>
        </w:tc>
        <w:tc>
          <w:tcPr>
            <w:tcW w:w="0" w:type="auto"/>
          </w:tcPr>
          <w:p w14:paraId="7D84979F" w14:textId="0E8F2BF1"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cs="Arial"/>
                <w:color w:val="000000" w:themeColor="dark1"/>
                <w:kern w:val="24"/>
                <w:sz w:val="19"/>
                <w:szCs w:val="19"/>
              </w:rPr>
              <w:t>50%</w:t>
            </w:r>
          </w:p>
        </w:tc>
        <w:tc>
          <w:tcPr>
            <w:tcW w:w="0" w:type="auto"/>
          </w:tcPr>
          <w:p w14:paraId="62B9A020" w14:textId="711250B7"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cs="Arial"/>
                <w:color w:val="000000" w:themeColor="dark1"/>
                <w:kern w:val="24"/>
                <w:sz w:val="19"/>
                <w:szCs w:val="19"/>
              </w:rPr>
              <w:t>22%</w:t>
            </w:r>
          </w:p>
        </w:tc>
      </w:tr>
      <w:tr w:rsidR="00590C8B" w:rsidRPr="00F5772C" w14:paraId="023FCADD" w14:textId="77777777" w:rsidTr="0059180E">
        <w:trPr>
          <w:cnfStyle w:val="000000010000" w:firstRow="0" w:lastRow="0" w:firstColumn="0" w:lastColumn="0" w:oddVBand="0" w:evenVBand="0" w:oddHBand="0" w:evenHBand="1" w:firstRowFirstColumn="0" w:firstRowLastColumn="0" w:lastRowFirstColumn="0" w:lastRowLastColumn="0"/>
          <w:trHeight w:val="20"/>
        </w:trPr>
        <w:tc>
          <w:tcPr>
            <w:tcW w:w="0" w:type="auto"/>
          </w:tcPr>
          <w:p w14:paraId="02A14155" w14:textId="30271FBB"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sz w:val="19"/>
                <w:szCs w:val="19"/>
              </w:rPr>
              <w:t>11</w:t>
            </w:r>
          </w:p>
        </w:tc>
        <w:tc>
          <w:tcPr>
            <w:tcW w:w="0" w:type="auto"/>
          </w:tcPr>
          <w:p w14:paraId="7F54002A" w14:textId="20C195E0" w:rsidR="00590C8B" w:rsidRPr="00F5772C" w:rsidRDefault="00590C8B" w:rsidP="00590C8B">
            <w:pPr>
              <w:pStyle w:val="ListBullet"/>
              <w:numPr>
                <w:ilvl w:val="0"/>
                <w:numId w:val="0"/>
              </w:numPr>
              <w:spacing w:before="100" w:beforeAutospacing="1" w:after="100" w:afterAutospacing="1"/>
              <w:ind w:left="-57" w:right="-57"/>
              <w:rPr>
                <w:rFonts w:ascii="Aptos" w:hAnsi="Aptos" w:cs="Arial"/>
                <w:color w:val="000000" w:themeColor="dark1"/>
                <w:kern w:val="24"/>
                <w:sz w:val="19"/>
                <w:szCs w:val="19"/>
              </w:rPr>
            </w:pPr>
            <w:r w:rsidRPr="00F5772C">
              <w:rPr>
                <w:rFonts w:ascii="Aptos" w:hAnsi="Aptos" w:cs="Arial"/>
                <w:color w:val="000000" w:themeColor="dark1"/>
                <w:kern w:val="24"/>
                <w:sz w:val="19"/>
                <w:szCs w:val="19"/>
              </w:rPr>
              <w:t>Food Product Manufacturing</w:t>
            </w:r>
          </w:p>
        </w:tc>
        <w:tc>
          <w:tcPr>
            <w:tcW w:w="0" w:type="auto"/>
          </w:tcPr>
          <w:p w14:paraId="5497447E" w14:textId="7022D7C8"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cs="Arial"/>
                <w:color w:val="000000" w:themeColor="dark1"/>
                <w:kern w:val="24"/>
                <w:sz w:val="19"/>
                <w:szCs w:val="19"/>
              </w:rPr>
              <w:t>50%</w:t>
            </w:r>
          </w:p>
        </w:tc>
        <w:tc>
          <w:tcPr>
            <w:tcW w:w="0" w:type="auto"/>
          </w:tcPr>
          <w:p w14:paraId="4A2B82A5" w14:textId="1C546213"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cs="Arial"/>
                <w:color w:val="000000" w:themeColor="dark1"/>
                <w:kern w:val="24"/>
                <w:sz w:val="19"/>
                <w:szCs w:val="19"/>
              </w:rPr>
              <w:t>19%</w:t>
            </w:r>
          </w:p>
        </w:tc>
      </w:tr>
      <w:tr w:rsidR="00590C8B" w:rsidRPr="00F5772C" w14:paraId="2A59223F" w14:textId="77777777" w:rsidTr="0059180E">
        <w:trPr>
          <w:trHeight w:val="20"/>
        </w:trPr>
        <w:tc>
          <w:tcPr>
            <w:tcW w:w="0" w:type="auto"/>
          </w:tcPr>
          <w:p w14:paraId="6456285F" w14:textId="571A6CC1"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sz w:val="19"/>
                <w:szCs w:val="19"/>
              </w:rPr>
              <w:t>85</w:t>
            </w:r>
          </w:p>
        </w:tc>
        <w:tc>
          <w:tcPr>
            <w:tcW w:w="0" w:type="auto"/>
          </w:tcPr>
          <w:p w14:paraId="5857A52C" w14:textId="26FC2EE7" w:rsidR="00590C8B" w:rsidRPr="00F5772C" w:rsidRDefault="00590C8B" w:rsidP="00590C8B">
            <w:pPr>
              <w:pStyle w:val="ListBullet"/>
              <w:numPr>
                <w:ilvl w:val="0"/>
                <w:numId w:val="0"/>
              </w:numPr>
              <w:spacing w:before="100" w:beforeAutospacing="1" w:after="100" w:afterAutospacing="1"/>
              <w:ind w:left="-57" w:right="-57"/>
              <w:rPr>
                <w:rFonts w:ascii="Aptos" w:hAnsi="Aptos" w:cs="Arial"/>
                <w:color w:val="000000" w:themeColor="dark1"/>
                <w:kern w:val="24"/>
                <w:sz w:val="19"/>
                <w:szCs w:val="19"/>
              </w:rPr>
            </w:pPr>
            <w:r w:rsidRPr="00F5772C">
              <w:rPr>
                <w:rFonts w:ascii="Aptos" w:hAnsi="Aptos" w:cs="Arial"/>
                <w:color w:val="000000" w:themeColor="dark1"/>
                <w:kern w:val="24"/>
                <w:sz w:val="19"/>
                <w:szCs w:val="19"/>
              </w:rPr>
              <w:t>Medical and Other Health Care Services</w:t>
            </w:r>
          </w:p>
        </w:tc>
        <w:tc>
          <w:tcPr>
            <w:tcW w:w="0" w:type="auto"/>
          </w:tcPr>
          <w:p w14:paraId="35685F9A" w14:textId="0753B4D0"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cs="Arial"/>
                <w:color w:val="000000" w:themeColor="dark1"/>
                <w:kern w:val="24"/>
                <w:sz w:val="19"/>
                <w:szCs w:val="19"/>
              </w:rPr>
              <w:t>50%</w:t>
            </w:r>
          </w:p>
        </w:tc>
        <w:tc>
          <w:tcPr>
            <w:tcW w:w="0" w:type="auto"/>
          </w:tcPr>
          <w:p w14:paraId="00286FE4" w14:textId="2BAD83D4"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cs="Arial"/>
                <w:color w:val="000000" w:themeColor="dark1"/>
                <w:kern w:val="24"/>
                <w:sz w:val="19"/>
                <w:szCs w:val="19"/>
              </w:rPr>
              <w:t>25%</w:t>
            </w:r>
          </w:p>
        </w:tc>
      </w:tr>
      <w:tr w:rsidR="00590C8B" w:rsidRPr="00F5772C" w14:paraId="00BF6697" w14:textId="77777777" w:rsidTr="0059180E">
        <w:trPr>
          <w:cnfStyle w:val="000000010000" w:firstRow="0" w:lastRow="0" w:firstColumn="0" w:lastColumn="0" w:oddVBand="0" w:evenVBand="0" w:oddHBand="0" w:evenHBand="1" w:firstRowFirstColumn="0" w:firstRowLastColumn="0" w:lastRowFirstColumn="0" w:lastRowLastColumn="0"/>
          <w:trHeight w:val="20"/>
        </w:trPr>
        <w:tc>
          <w:tcPr>
            <w:tcW w:w="0" w:type="auto"/>
          </w:tcPr>
          <w:p w14:paraId="3D6CB738" w14:textId="26E2D622"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sz w:val="19"/>
                <w:szCs w:val="19"/>
              </w:rPr>
              <w:t>44</w:t>
            </w:r>
          </w:p>
        </w:tc>
        <w:tc>
          <w:tcPr>
            <w:tcW w:w="0" w:type="auto"/>
          </w:tcPr>
          <w:p w14:paraId="0EBDBB0F" w14:textId="2228073D" w:rsidR="00590C8B" w:rsidRPr="00F5772C" w:rsidRDefault="00590C8B" w:rsidP="00590C8B">
            <w:pPr>
              <w:pStyle w:val="ListBullet"/>
              <w:numPr>
                <w:ilvl w:val="0"/>
                <w:numId w:val="0"/>
              </w:numPr>
              <w:spacing w:before="100" w:beforeAutospacing="1" w:after="100" w:afterAutospacing="1"/>
              <w:ind w:left="-57" w:right="-57"/>
              <w:rPr>
                <w:rFonts w:ascii="Aptos" w:hAnsi="Aptos" w:cs="Arial"/>
                <w:color w:val="000000" w:themeColor="dark1"/>
                <w:kern w:val="24"/>
                <w:sz w:val="19"/>
                <w:szCs w:val="19"/>
              </w:rPr>
            </w:pPr>
            <w:r w:rsidRPr="00F5772C">
              <w:rPr>
                <w:rFonts w:ascii="Aptos" w:hAnsi="Aptos" w:cs="Arial"/>
                <w:color w:val="000000" w:themeColor="dark1"/>
                <w:kern w:val="24"/>
                <w:sz w:val="19"/>
                <w:szCs w:val="19"/>
              </w:rPr>
              <w:t>Accommodation</w:t>
            </w:r>
          </w:p>
        </w:tc>
        <w:tc>
          <w:tcPr>
            <w:tcW w:w="0" w:type="auto"/>
          </w:tcPr>
          <w:p w14:paraId="1FBDEE84" w14:textId="5372E24C"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cs="Arial"/>
                <w:color w:val="000000" w:themeColor="dark1"/>
                <w:kern w:val="24"/>
                <w:sz w:val="19"/>
                <w:szCs w:val="19"/>
              </w:rPr>
              <w:t>51%</w:t>
            </w:r>
          </w:p>
        </w:tc>
        <w:tc>
          <w:tcPr>
            <w:tcW w:w="0" w:type="auto"/>
          </w:tcPr>
          <w:p w14:paraId="5473FD0B" w14:textId="09D2F5E5"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cs="Arial"/>
                <w:color w:val="000000" w:themeColor="dark1"/>
                <w:kern w:val="24"/>
                <w:sz w:val="19"/>
                <w:szCs w:val="19"/>
              </w:rPr>
              <w:t>18%</w:t>
            </w:r>
          </w:p>
        </w:tc>
      </w:tr>
      <w:tr w:rsidR="00590C8B" w:rsidRPr="00F5772C" w14:paraId="231A9D5A" w14:textId="77777777" w:rsidTr="0059180E">
        <w:trPr>
          <w:trHeight w:val="20"/>
        </w:trPr>
        <w:tc>
          <w:tcPr>
            <w:tcW w:w="0" w:type="auto"/>
          </w:tcPr>
          <w:p w14:paraId="49CF6F4B" w14:textId="40F123C3"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sz w:val="19"/>
                <w:szCs w:val="19"/>
              </w:rPr>
              <w:t>86</w:t>
            </w:r>
          </w:p>
        </w:tc>
        <w:tc>
          <w:tcPr>
            <w:tcW w:w="0" w:type="auto"/>
          </w:tcPr>
          <w:p w14:paraId="35ED722E" w14:textId="49B34093" w:rsidR="00590C8B" w:rsidRPr="00F5772C" w:rsidRDefault="00590C8B" w:rsidP="00590C8B">
            <w:pPr>
              <w:pStyle w:val="ListBullet"/>
              <w:numPr>
                <w:ilvl w:val="0"/>
                <w:numId w:val="0"/>
              </w:numPr>
              <w:spacing w:before="100" w:beforeAutospacing="1" w:after="100" w:afterAutospacing="1"/>
              <w:ind w:left="-57" w:right="-57"/>
              <w:rPr>
                <w:rFonts w:ascii="Aptos" w:hAnsi="Aptos" w:cs="Arial"/>
                <w:color w:val="000000" w:themeColor="dark1"/>
                <w:kern w:val="24"/>
                <w:sz w:val="19"/>
                <w:szCs w:val="19"/>
              </w:rPr>
            </w:pPr>
            <w:r w:rsidRPr="00F5772C">
              <w:rPr>
                <w:rFonts w:ascii="Aptos" w:hAnsi="Aptos" w:cs="Arial"/>
                <w:color w:val="000000" w:themeColor="dark1"/>
                <w:kern w:val="24"/>
                <w:sz w:val="19"/>
                <w:szCs w:val="19"/>
              </w:rPr>
              <w:t>Residential Care Services</w:t>
            </w:r>
          </w:p>
        </w:tc>
        <w:tc>
          <w:tcPr>
            <w:tcW w:w="0" w:type="auto"/>
          </w:tcPr>
          <w:p w14:paraId="71421D28" w14:textId="035D620B"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cs="Arial"/>
                <w:color w:val="000000" w:themeColor="dark1"/>
                <w:kern w:val="24"/>
                <w:sz w:val="19"/>
                <w:szCs w:val="19"/>
              </w:rPr>
              <w:t>52%</w:t>
            </w:r>
          </w:p>
        </w:tc>
        <w:tc>
          <w:tcPr>
            <w:tcW w:w="0" w:type="auto"/>
          </w:tcPr>
          <w:p w14:paraId="10658E8E" w14:textId="1AD0B96B"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cs="Arial"/>
                <w:color w:val="000000" w:themeColor="dark1"/>
                <w:kern w:val="24"/>
                <w:sz w:val="19"/>
                <w:szCs w:val="19"/>
              </w:rPr>
              <w:t>14%</w:t>
            </w:r>
          </w:p>
        </w:tc>
      </w:tr>
      <w:tr w:rsidR="00590C8B" w:rsidRPr="00F5772C" w14:paraId="69DEDD79" w14:textId="77777777" w:rsidTr="0059180E">
        <w:trPr>
          <w:cnfStyle w:val="000000010000" w:firstRow="0" w:lastRow="0" w:firstColumn="0" w:lastColumn="0" w:oddVBand="0" w:evenVBand="0" w:oddHBand="0" w:evenHBand="1" w:firstRowFirstColumn="0" w:firstRowLastColumn="0" w:lastRowFirstColumn="0" w:lastRowLastColumn="0"/>
          <w:trHeight w:val="20"/>
        </w:trPr>
        <w:tc>
          <w:tcPr>
            <w:tcW w:w="0" w:type="auto"/>
          </w:tcPr>
          <w:p w14:paraId="4F134F46" w14:textId="59F08240"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sz w:val="19"/>
                <w:szCs w:val="19"/>
              </w:rPr>
              <w:t>33</w:t>
            </w:r>
          </w:p>
        </w:tc>
        <w:tc>
          <w:tcPr>
            <w:tcW w:w="0" w:type="auto"/>
          </w:tcPr>
          <w:p w14:paraId="32D51882" w14:textId="16FA26A6" w:rsidR="00590C8B" w:rsidRPr="00F5772C" w:rsidRDefault="00590C8B" w:rsidP="00590C8B">
            <w:pPr>
              <w:pStyle w:val="ListBullet"/>
              <w:numPr>
                <w:ilvl w:val="0"/>
                <w:numId w:val="0"/>
              </w:numPr>
              <w:spacing w:before="100" w:beforeAutospacing="1" w:after="100" w:afterAutospacing="1"/>
              <w:ind w:left="-57" w:right="-57"/>
              <w:rPr>
                <w:rFonts w:ascii="Aptos" w:hAnsi="Aptos" w:cs="Arial"/>
                <w:color w:val="000000" w:themeColor="dark1"/>
                <w:kern w:val="24"/>
                <w:sz w:val="19"/>
                <w:szCs w:val="19"/>
              </w:rPr>
            </w:pPr>
            <w:r w:rsidRPr="00F5772C">
              <w:rPr>
                <w:rFonts w:ascii="Aptos" w:hAnsi="Aptos" w:cs="Arial"/>
                <w:color w:val="000000" w:themeColor="dark1"/>
                <w:kern w:val="24"/>
                <w:sz w:val="19"/>
                <w:szCs w:val="19"/>
              </w:rPr>
              <w:t>Basic Material Wholesaling</w:t>
            </w:r>
          </w:p>
        </w:tc>
        <w:tc>
          <w:tcPr>
            <w:tcW w:w="0" w:type="auto"/>
          </w:tcPr>
          <w:p w14:paraId="3419F22B" w14:textId="44B5B4F0"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cs="Arial"/>
                <w:color w:val="000000" w:themeColor="dark1"/>
                <w:kern w:val="24"/>
                <w:sz w:val="19"/>
                <w:szCs w:val="19"/>
              </w:rPr>
              <w:t>52%</w:t>
            </w:r>
          </w:p>
        </w:tc>
        <w:tc>
          <w:tcPr>
            <w:tcW w:w="0" w:type="auto"/>
          </w:tcPr>
          <w:p w14:paraId="626C2546" w14:textId="4CDD5B8E"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cs="Arial"/>
                <w:color w:val="000000" w:themeColor="dark1"/>
                <w:kern w:val="24"/>
                <w:sz w:val="19"/>
                <w:szCs w:val="19"/>
              </w:rPr>
              <w:t>22%</w:t>
            </w:r>
          </w:p>
        </w:tc>
      </w:tr>
      <w:tr w:rsidR="00590C8B" w:rsidRPr="00F5772C" w14:paraId="289FFF68" w14:textId="77777777" w:rsidTr="0059180E">
        <w:trPr>
          <w:trHeight w:val="20"/>
        </w:trPr>
        <w:tc>
          <w:tcPr>
            <w:tcW w:w="0" w:type="auto"/>
          </w:tcPr>
          <w:p w14:paraId="25E34C24" w14:textId="768D77D4"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sz w:val="19"/>
                <w:szCs w:val="19"/>
              </w:rPr>
              <w:t>19</w:t>
            </w:r>
          </w:p>
        </w:tc>
        <w:tc>
          <w:tcPr>
            <w:tcW w:w="0" w:type="auto"/>
          </w:tcPr>
          <w:p w14:paraId="1BECCB1C" w14:textId="1F0A7C78" w:rsidR="00590C8B" w:rsidRPr="00F5772C" w:rsidRDefault="00590C8B" w:rsidP="00590C8B">
            <w:pPr>
              <w:pStyle w:val="ListBullet"/>
              <w:numPr>
                <w:ilvl w:val="0"/>
                <w:numId w:val="0"/>
              </w:numPr>
              <w:spacing w:before="100" w:beforeAutospacing="1" w:after="100" w:afterAutospacing="1"/>
              <w:ind w:left="-57" w:right="-57"/>
              <w:rPr>
                <w:rFonts w:ascii="Aptos" w:hAnsi="Aptos" w:cs="Arial"/>
                <w:color w:val="000000" w:themeColor="dark1"/>
                <w:kern w:val="24"/>
                <w:sz w:val="19"/>
                <w:szCs w:val="19"/>
              </w:rPr>
            </w:pPr>
            <w:r w:rsidRPr="00F5772C">
              <w:rPr>
                <w:rFonts w:ascii="Aptos" w:hAnsi="Aptos" w:cs="Arial"/>
                <w:color w:val="000000" w:themeColor="dark1"/>
                <w:kern w:val="24"/>
                <w:sz w:val="19"/>
                <w:szCs w:val="19"/>
              </w:rPr>
              <w:t>Polymer Product and Rubber Product Manufacturing</w:t>
            </w:r>
          </w:p>
        </w:tc>
        <w:tc>
          <w:tcPr>
            <w:tcW w:w="0" w:type="auto"/>
          </w:tcPr>
          <w:p w14:paraId="6638B654" w14:textId="20DF4DE3"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cs="Arial"/>
                <w:color w:val="000000" w:themeColor="dark1"/>
                <w:kern w:val="24"/>
                <w:sz w:val="19"/>
                <w:szCs w:val="19"/>
              </w:rPr>
              <w:t>53%</w:t>
            </w:r>
          </w:p>
        </w:tc>
        <w:tc>
          <w:tcPr>
            <w:tcW w:w="0" w:type="auto"/>
          </w:tcPr>
          <w:p w14:paraId="28B7A775" w14:textId="6BA57E3E"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cs="Arial"/>
                <w:color w:val="000000" w:themeColor="dark1"/>
                <w:kern w:val="24"/>
                <w:sz w:val="19"/>
                <w:szCs w:val="19"/>
              </w:rPr>
              <w:t>20%</w:t>
            </w:r>
          </w:p>
        </w:tc>
      </w:tr>
      <w:tr w:rsidR="00590C8B" w:rsidRPr="00F5772C" w14:paraId="52DE129E" w14:textId="77777777" w:rsidTr="0059180E">
        <w:trPr>
          <w:cnfStyle w:val="000000010000" w:firstRow="0" w:lastRow="0" w:firstColumn="0" w:lastColumn="0" w:oddVBand="0" w:evenVBand="0" w:oddHBand="0" w:evenHBand="1" w:firstRowFirstColumn="0" w:firstRowLastColumn="0" w:lastRowFirstColumn="0" w:lastRowLastColumn="0"/>
          <w:trHeight w:val="20"/>
        </w:trPr>
        <w:tc>
          <w:tcPr>
            <w:tcW w:w="0" w:type="auto"/>
          </w:tcPr>
          <w:p w14:paraId="1D1612B3" w14:textId="6F252ED9"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sz w:val="19"/>
                <w:szCs w:val="19"/>
              </w:rPr>
              <w:lastRenderedPageBreak/>
              <w:t>69</w:t>
            </w:r>
          </w:p>
        </w:tc>
        <w:tc>
          <w:tcPr>
            <w:tcW w:w="0" w:type="auto"/>
          </w:tcPr>
          <w:p w14:paraId="72D80F4D" w14:textId="23C2B58A" w:rsidR="00590C8B" w:rsidRPr="00F5772C" w:rsidRDefault="00590C8B" w:rsidP="00590C8B">
            <w:pPr>
              <w:pStyle w:val="ListBullet"/>
              <w:numPr>
                <w:ilvl w:val="0"/>
                <w:numId w:val="0"/>
              </w:numPr>
              <w:spacing w:before="100" w:beforeAutospacing="1" w:after="100" w:afterAutospacing="1"/>
              <w:ind w:left="-57" w:right="-57"/>
              <w:rPr>
                <w:rFonts w:ascii="Aptos" w:hAnsi="Aptos" w:cs="Arial"/>
                <w:color w:val="000000" w:themeColor="dark1"/>
                <w:kern w:val="24"/>
                <w:sz w:val="19"/>
                <w:szCs w:val="19"/>
              </w:rPr>
            </w:pPr>
            <w:r w:rsidRPr="00F5772C">
              <w:rPr>
                <w:rFonts w:ascii="Aptos" w:hAnsi="Aptos" w:cs="Arial"/>
                <w:color w:val="000000" w:themeColor="dark1"/>
                <w:kern w:val="24"/>
                <w:sz w:val="19"/>
                <w:szCs w:val="19"/>
              </w:rPr>
              <w:t>Professional, Scientific and Technical Services (Except Computer System Design and Related Services)</w:t>
            </w:r>
          </w:p>
        </w:tc>
        <w:tc>
          <w:tcPr>
            <w:tcW w:w="0" w:type="auto"/>
          </w:tcPr>
          <w:p w14:paraId="65CFF89A" w14:textId="0BE9B7E9"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cs="Arial"/>
                <w:color w:val="000000" w:themeColor="dark1"/>
                <w:kern w:val="24"/>
                <w:sz w:val="19"/>
                <w:szCs w:val="19"/>
              </w:rPr>
              <w:t>54%</w:t>
            </w:r>
          </w:p>
        </w:tc>
        <w:tc>
          <w:tcPr>
            <w:tcW w:w="0" w:type="auto"/>
          </w:tcPr>
          <w:p w14:paraId="7681210E" w14:textId="4BFD3290"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cs="Arial"/>
                <w:color w:val="000000" w:themeColor="dark1"/>
                <w:kern w:val="24"/>
                <w:sz w:val="19"/>
                <w:szCs w:val="19"/>
              </w:rPr>
              <w:t>26%</w:t>
            </w:r>
          </w:p>
        </w:tc>
      </w:tr>
      <w:tr w:rsidR="00590C8B" w:rsidRPr="00F5772C" w14:paraId="4F4FCFD6" w14:textId="77777777" w:rsidTr="0059180E">
        <w:trPr>
          <w:trHeight w:val="20"/>
        </w:trPr>
        <w:tc>
          <w:tcPr>
            <w:tcW w:w="0" w:type="auto"/>
          </w:tcPr>
          <w:p w14:paraId="2C7D0D0B" w14:textId="409FF217"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sz w:val="19"/>
                <w:szCs w:val="19"/>
              </w:rPr>
              <w:t>01</w:t>
            </w:r>
          </w:p>
        </w:tc>
        <w:tc>
          <w:tcPr>
            <w:tcW w:w="0" w:type="auto"/>
          </w:tcPr>
          <w:p w14:paraId="546A2A13" w14:textId="4E784F4D" w:rsidR="00590C8B" w:rsidRPr="00F5772C" w:rsidRDefault="00590C8B" w:rsidP="00590C8B">
            <w:pPr>
              <w:pStyle w:val="ListBullet"/>
              <w:numPr>
                <w:ilvl w:val="0"/>
                <w:numId w:val="0"/>
              </w:numPr>
              <w:spacing w:before="100" w:beforeAutospacing="1" w:after="100" w:afterAutospacing="1"/>
              <w:ind w:left="-57" w:right="-57"/>
              <w:rPr>
                <w:rFonts w:ascii="Aptos" w:hAnsi="Aptos" w:cs="Arial"/>
                <w:color w:val="000000" w:themeColor="dark1"/>
                <w:kern w:val="24"/>
                <w:sz w:val="19"/>
                <w:szCs w:val="19"/>
              </w:rPr>
            </w:pPr>
            <w:r w:rsidRPr="00F5772C">
              <w:rPr>
                <w:rFonts w:ascii="Aptos" w:hAnsi="Aptos" w:cs="Arial"/>
                <w:color w:val="000000" w:themeColor="dark1"/>
                <w:kern w:val="24"/>
                <w:sz w:val="19"/>
                <w:szCs w:val="19"/>
              </w:rPr>
              <w:t>Agriculture</w:t>
            </w:r>
          </w:p>
        </w:tc>
        <w:tc>
          <w:tcPr>
            <w:tcW w:w="0" w:type="auto"/>
          </w:tcPr>
          <w:p w14:paraId="07DCF4E5" w14:textId="7E5635F2"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cs="Arial"/>
                <w:color w:val="000000" w:themeColor="dark1"/>
                <w:kern w:val="24"/>
                <w:sz w:val="19"/>
                <w:szCs w:val="19"/>
              </w:rPr>
              <w:t>55%</w:t>
            </w:r>
          </w:p>
        </w:tc>
        <w:tc>
          <w:tcPr>
            <w:tcW w:w="0" w:type="auto"/>
          </w:tcPr>
          <w:p w14:paraId="42ABAE70" w14:textId="72FF0A72"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cs="Arial"/>
                <w:color w:val="000000" w:themeColor="dark1"/>
                <w:kern w:val="24"/>
                <w:sz w:val="19"/>
                <w:szCs w:val="19"/>
              </w:rPr>
              <w:t>15%</w:t>
            </w:r>
          </w:p>
        </w:tc>
      </w:tr>
      <w:tr w:rsidR="00590C8B" w:rsidRPr="00F5772C" w14:paraId="11B63CD7" w14:textId="77777777" w:rsidTr="0059180E">
        <w:trPr>
          <w:cnfStyle w:val="000000010000" w:firstRow="0" w:lastRow="0" w:firstColumn="0" w:lastColumn="0" w:oddVBand="0" w:evenVBand="0" w:oddHBand="0" w:evenHBand="1" w:firstRowFirstColumn="0" w:firstRowLastColumn="0" w:lastRowFirstColumn="0" w:lastRowLastColumn="0"/>
          <w:trHeight w:val="20"/>
        </w:trPr>
        <w:tc>
          <w:tcPr>
            <w:tcW w:w="0" w:type="auto"/>
          </w:tcPr>
          <w:p w14:paraId="43E513B7" w14:textId="3BC0A239"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sz w:val="19"/>
                <w:szCs w:val="19"/>
              </w:rPr>
              <w:t>66</w:t>
            </w:r>
          </w:p>
        </w:tc>
        <w:tc>
          <w:tcPr>
            <w:tcW w:w="0" w:type="auto"/>
          </w:tcPr>
          <w:p w14:paraId="46323E8E" w14:textId="732C6817" w:rsidR="00590C8B" w:rsidRPr="00F5772C" w:rsidRDefault="00590C8B" w:rsidP="00590C8B">
            <w:pPr>
              <w:pStyle w:val="ListBullet"/>
              <w:numPr>
                <w:ilvl w:val="0"/>
                <w:numId w:val="0"/>
              </w:numPr>
              <w:spacing w:before="100" w:beforeAutospacing="1" w:after="100" w:afterAutospacing="1"/>
              <w:ind w:left="-57" w:right="-57"/>
              <w:rPr>
                <w:rFonts w:ascii="Aptos" w:hAnsi="Aptos" w:cs="Arial"/>
                <w:color w:val="000000" w:themeColor="dark1"/>
                <w:kern w:val="24"/>
                <w:sz w:val="19"/>
                <w:szCs w:val="19"/>
              </w:rPr>
            </w:pPr>
            <w:r w:rsidRPr="00F5772C">
              <w:rPr>
                <w:rFonts w:ascii="Aptos" w:hAnsi="Aptos" w:cs="Arial"/>
                <w:color w:val="000000" w:themeColor="dark1"/>
                <w:kern w:val="24"/>
                <w:sz w:val="19"/>
                <w:szCs w:val="19"/>
              </w:rPr>
              <w:t>Rental and Hiring Services (except Real Estate)</w:t>
            </w:r>
          </w:p>
        </w:tc>
        <w:tc>
          <w:tcPr>
            <w:tcW w:w="0" w:type="auto"/>
          </w:tcPr>
          <w:p w14:paraId="109696B8" w14:textId="2C4D33C1"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cs="Arial"/>
                <w:color w:val="000000" w:themeColor="dark1"/>
                <w:kern w:val="24"/>
                <w:sz w:val="19"/>
                <w:szCs w:val="19"/>
              </w:rPr>
              <w:t>55%</w:t>
            </w:r>
          </w:p>
        </w:tc>
        <w:tc>
          <w:tcPr>
            <w:tcW w:w="0" w:type="auto"/>
          </w:tcPr>
          <w:p w14:paraId="7C20CF1B" w14:textId="405E81BE"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cs="Arial"/>
                <w:color w:val="000000" w:themeColor="dark1"/>
                <w:kern w:val="24"/>
                <w:sz w:val="19"/>
                <w:szCs w:val="19"/>
              </w:rPr>
              <w:t>24%</w:t>
            </w:r>
          </w:p>
        </w:tc>
      </w:tr>
      <w:tr w:rsidR="00590C8B" w:rsidRPr="00F5772C" w14:paraId="0A10993D" w14:textId="77777777" w:rsidTr="0059180E">
        <w:trPr>
          <w:trHeight w:val="20"/>
        </w:trPr>
        <w:tc>
          <w:tcPr>
            <w:tcW w:w="0" w:type="auto"/>
          </w:tcPr>
          <w:p w14:paraId="1748CBAA" w14:textId="1FB205DC"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sz w:val="19"/>
                <w:szCs w:val="19"/>
              </w:rPr>
              <w:t>16</w:t>
            </w:r>
          </w:p>
        </w:tc>
        <w:tc>
          <w:tcPr>
            <w:tcW w:w="0" w:type="auto"/>
          </w:tcPr>
          <w:p w14:paraId="5EB9FE24" w14:textId="30374B7D" w:rsidR="00590C8B" w:rsidRPr="00F5772C" w:rsidRDefault="00590C8B" w:rsidP="00590C8B">
            <w:pPr>
              <w:pStyle w:val="ListBullet"/>
              <w:numPr>
                <w:ilvl w:val="0"/>
                <w:numId w:val="0"/>
              </w:numPr>
              <w:spacing w:before="100" w:beforeAutospacing="1" w:after="100" w:afterAutospacing="1"/>
              <w:ind w:left="-57" w:right="-57"/>
              <w:rPr>
                <w:rFonts w:ascii="Aptos" w:hAnsi="Aptos" w:cs="Arial"/>
                <w:color w:val="000000" w:themeColor="dark1"/>
                <w:kern w:val="24"/>
                <w:sz w:val="19"/>
                <w:szCs w:val="19"/>
              </w:rPr>
            </w:pPr>
            <w:r w:rsidRPr="00F5772C">
              <w:rPr>
                <w:rFonts w:ascii="Aptos" w:hAnsi="Aptos" w:cs="Arial"/>
                <w:color w:val="000000" w:themeColor="dark1"/>
                <w:kern w:val="24"/>
                <w:sz w:val="19"/>
                <w:szCs w:val="19"/>
              </w:rPr>
              <w:t>Printing (including the Reproduction of Recorded Media)</w:t>
            </w:r>
          </w:p>
        </w:tc>
        <w:tc>
          <w:tcPr>
            <w:tcW w:w="0" w:type="auto"/>
          </w:tcPr>
          <w:p w14:paraId="20578C90" w14:textId="7C53D2B0"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cs="Arial"/>
                <w:color w:val="000000" w:themeColor="dark1"/>
                <w:kern w:val="24"/>
                <w:sz w:val="19"/>
                <w:szCs w:val="19"/>
              </w:rPr>
              <w:t>56%</w:t>
            </w:r>
          </w:p>
        </w:tc>
        <w:tc>
          <w:tcPr>
            <w:tcW w:w="0" w:type="auto"/>
          </w:tcPr>
          <w:p w14:paraId="59B82FDA" w14:textId="31FADD7B"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cs="Arial"/>
                <w:color w:val="000000" w:themeColor="dark1"/>
                <w:kern w:val="24"/>
                <w:sz w:val="19"/>
                <w:szCs w:val="19"/>
              </w:rPr>
              <w:t>29%</w:t>
            </w:r>
          </w:p>
        </w:tc>
      </w:tr>
      <w:tr w:rsidR="00590C8B" w:rsidRPr="00F5772C" w14:paraId="03E17FEB" w14:textId="77777777" w:rsidTr="0059180E">
        <w:trPr>
          <w:cnfStyle w:val="000000010000" w:firstRow="0" w:lastRow="0" w:firstColumn="0" w:lastColumn="0" w:oddVBand="0" w:evenVBand="0" w:oddHBand="0" w:evenHBand="1" w:firstRowFirstColumn="0" w:firstRowLastColumn="0" w:lastRowFirstColumn="0" w:lastRowLastColumn="0"/>
          <w:trHeight w:val="20"/>
        </w:trPr>
        <w:tc>
          <w:tcPr>
            <w:tcW w:w="0" w:type="auto"/>
          </w:tcPr>
          <w:p w14:paraId="39D360DF" w14:textId="50328834"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sz w:val="19"/>
                <w:szCs w:val="19"/>
              </w:rPr>
              <w:t>73</w:t>
            </w:r>
          </w:p>
        </w:tc>
        <w:tc>
          <w:tcPr>
            <w:tcW w:w="0" w:type="auto"/>
          </w:tcPr>
          <w:p w14:paraId="7D382F30" w14:textId="488A8C04" w:rsidR="00590C8B" w:rsidRPr="00F5772C" w:rsidRDefault="00590C8B" w:rsidP="00590C8B">
            <w:pPr>
              <w:pStyle w:val="ListBullet"/>
              <w:numPr>
                <w:ilvl w:val="0"/>
                <w:numId w:val="0"/>
              </w:numPr>
              <w:spacing w:before="100" w:beforeAutospacing="1" w:after="100" w:afterAutospacing="1"/>
              <w:ind w:left="-57" w:right="-57"/>
              <w:rPr>
                <w:rFonts w:ascii="Aptos" w:hAnsi="Aptos" w:cs="Arial"/>
                <w:color w:val="000000" w:themeColor="dark1"/>
                <w:kern w:val="24"/>
                <w:sz w:val="19"/>
                <w:szCs w:val="19"/>
              </w:rPr>
            </w:pPr>
            <w:r w:rsidRPr="00F5772C">
              <w:rPr>
                <w:rFonts w:ascii="Aptos" w:hAnsi="Aptos" w:cs="Arial"/>
                <w:color w:val="000000" w:themeColor="dark1"/>
                <w:kern w:val="24"/>
                <w:sz w:val="19"/>
                <w:szCs w:val="19"/>
              </w:rPr>
              <w:t>Building Cleaning, Pest Control and Other Support Services</w:t>
            </w:r>
          </w:p>
        </w:tc>
        <w:tc>
          <w:tcPr>
            <w:tcW w:w="0" w:type="auto"/>
          </w:tcPr>
          <w:p w14:paraId="6F773F05" w14:textId="7B917A3E"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cs="Arial"/>
                <w:color w:val="000000" w:themeColor="dark1"/>
                <w:kern w:val="24"/>
                <w:sz w:val="19"/>
                <w:szCs w:val="19"/>
              </w:rPr>
              <w:t>58%</w:t>
            </w:r>
          </w:p>
        </w:tc>
        <w:tc>
          <w:tcPr>
            <w:tcW w:w="0" w:type="auto"/>
          </w:tcPr>
          <w:p w14:paraId="4CB982F3" w14:textId="22B2D840"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cs="Arial"/>
                <w:color w:val="000000" w:themeColor="dark1"/>
                <w:kern w:val="24"/>
                <w:sz w:val="19"/>
                <w:szCs w:val="19"/>
              </w:rPr>
              <w:t>22%</w:t>
            </w:r>
          </w:p>
        </w:tc>
      </w:tr>
      <w:tr w:rsidR="00590C8B" w:rsidRPr="00F5772C" w14:paraId="1BFC6E6D" w14:textId="77777777" w:rsidTr="0059180E">
        <w:trPr>
          <w:trHeight w:val="20"/>
        </w:trPr>
        <w:tc>
          <w:tcPr>
            <w:tcW w:w="0" w:type="auto"/>
          </w:tcPr>
          <w:p w14:paraId="7CF51377" w14:textId="43BE4972"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sz w:val="19"/>
                <w:szCs w:val="19"/>
              </w:rPr>
              <w:t>31</w:t>
            </w:r>
          </w:p>
        </w:tc>
        <w:tc>
          <w:tcPr>
            <w:tcW w:w="0" w:type="auto"/>
          </w:tcPr>
          <w:p w14:paraId="60F8A5CE" w14:textId="218C9246" w:rsidR="00590C8B" w:rsidRPr="00F5772C" w:rsidRDefault="00590C8B" w:rsidP="00590C8B">
            <w:pPr>
              <w:pStyle w:val="ListBullet"/>
              <w:numPr>
                <w:ilvl w:val="0"/>
                <w:numId w:val="0"/>
              </w:numPr>
              <w:spacing w:before="100" w:beforeAutospacing="1" w:after="100" w:afterAutospacing="1"/>
              <w:ind w:left="-57" w:right="-57"/>
              <w:rPr>
                <w:rFonts w:ascii="Aptos" w:hAnsi="Aptos" w:cs="Arial"/>
                <w:color w:val="000000" w:themeColor="dark1"/>
                <w:kern w:val="24"/>
                <w:sz w:val="19"/>
                <w:szCs w:val="19"/>
              </w:rPr>
            </w:pPr>
            <w:r w:rsidRPr="00F5772C">
              <w:rPr>
                <w:rFonts w:ascii="Aptos" w:hAnsi="Aptos" w:cs="Arial"/>
                <w:color w:val="000000" w:themeColor="dark1"/>
                <w:kern w:val="24"/>
                <w:sz w:val="19"/>
                <w:szCs w:val="19"/>
              </w:rPr>
              <w:t>Heavy and Civil Engineering Construction</w:t>
            </w:r>
          </w:p>
        </w:tc>
        <w:tc>
          <w:tcPr>
            <w:tcW w:w="0" w:type="auto"/>
          </w:tcPr>
          <w:p w14:paraId="3DFDA721" w14:textId="327189F0"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cs="Arial"/>
                <w:color w:val="000000" w:themeColor="dark1"/>
                <w:kern w:val="24"/>
                <w:sz w:val="19"/>
                <w:szCs w:val="19"/>
              </w:rPr>
              <w:t>59%</w:t>
            </w:r>
          </w:p>
        </w:tc>
        <w:tc>
          <w:tcPr>
            <w:tcW w:w="0" w:type="auto"/>
          </w:tcPr>
          <w:p w14:paraId="470167EB" w14:textId="39B7CDF4"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cs="Arial"/>
                <w:color w:val="000000" w:themeColor="dark1"/>
                <w:kern w:val="24"/>
                <w:sz w:val="19"/>
                <w:szCs w:val="19"/>
              </w:rPr>
              <w:t>21%</w:t>
            </w:r>
          </w:p>
        </w:tc>
      </w:tr>
      <w:tr w:rsidR="00590C8B" w:rsidRPr="00F5772C" w14:paraId="4A868436" w14:textId="77777777" w:rsidTr="0059180E">
        <w:trPr>
          <w:cnfStyle w:val="000000010000" w:firstRow="0" w:lastRow="0" w:firstColumn="0" w:lastColumn="0" w:oddVBand="0" w:evenVBand="0" w:oddHBand="0" w:evenHBand="1" w:firstRowFirstColumn="0" w:firstRowLastColumn="0" w:lastRowFirstColumn="0" w:lastRowLastColumn="0"/>
          <w:trHeight w:val="20"/>
        </w:trPr>
        <w:tc>
          <w:tcPr>
            <w:tcW w:w="0" w:type="auto"/>
          </w:tcPr>
          <w:p w14:paraId="3E250D16" w14:textId="098EB55C"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sz w:val="19"/>
                <w:szCs w:val="19"/>
              </w:rPr>
              <w:t>32</w:t>
            </w:r>
          </w:p>
        </w:tc>
        <w:tc>
          <w:tcPr>
            <w:tcW w:w="0" w:type="auto"/>
          </w:tcPr>
          <w:p w14:paraId="2E73D564" w14:textId="70D64899" w:rsidR="00590C8B" w:rsidRPr="00F5772C" w:rsidRDefault="00590C8B" w:rsidP="00590C8B">
            <w:pPr>
              <w:pStyle w:val="ListBullet"/>
              <w:numPr>
                <w:ilvl w:val="0"/>
                <w:numId w:val="0"/>
              </w:numPr>
              <w:spacing w:before="100" w:beforeAutospacing="1" w:after="100" w:afterAutospacing="1"/>
              <w:ind w:left="-57" w:right="-57"/>
              <w:rPr>
                <w:rFonts w:ascii="Aptos" w:hAnsi="Aptos" w:cs="Arial"/>
                <w:color w:val="000000" w:themeColor="dark1"/>
                <w:kern w:val="24"/>
                <w:sz w:val="19"/>
                <w:szCs w:val="19"/>
              </w:rPr>
            </w:pPr>
            <w:r w:rsidRPr="00F5772C">
              <w:rPr>
                <w:rFonts w:ascii="Aptos" w:hAnsi="Aptos" w:cs="Arial"/>
                <w:color w:val="000000" w:themeColor="dark1"/>
                <w:kern w:val="24"/>
                <w:sz w:val="19"/>
                <w:szCs w:val="19"/>
              </w:rPr>
              <w:t>Construction Services</w:t>
            </w:r>
          </w:p>
        </w:tc>
        <w:tc>
          <w:tcPr>
            <w:tcW w:w="0" w:type="auto"/>
          </w:tcPr>
          <w:p w14:paraId="2CCE3359" w14:textId="5DC90B58"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cs="Arial"/>
                <w:color w:val="000000" w:themeColor="dark1"/>
                <w:kern w:val="24"/>
                <w:sz w:val="19"/>
                <w:szCs w:val="19"/>
              </w:rPr>
              <w:t>59%</w:t>
            </w:r>
          </w:p>
        </w:tc>
        <w:tc>
          <w:tcPr>
            <w:tcW w:w="0" w:type="auto"/>
          </w:tcPr>
          <w:p w14:paraId="7D94A4E3" w14:textId="27792CAC"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cs="Arial"/>
                <w:color w:val="000000" w:themeColor="dark1"/>
                <w:kern w:val="24"/>
                <w:sz w:val="19"/>
                <w:szCs w:val="19"/>
              </w:rPr>
              <w:t>18%</w:t>
            </w:r>
          </w:p>
        </w:tc>
      </w:tr>
      <w:tr w:rsidR="00590C8B" w:rsidRPr="00F5772C" w14:paraId="3B833498" w14:textId="77777777" w:rsidTr="0059180E">
        <w:trPr>
          <w:trHeight w:val="20"/>
        </w:trPr>
        <w:tc>
          <w:tcPr>
            <w:tcW w:w="0" w:type="auto"/>
          </w:tcPr>
          <w:p w14:paraId="258AED40" w14:textId="483A055E"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sz w:val="19"/>
                <w:szCs w:val="19"/>
              </w:rPr>
              <w:t>25</w:t>
            </w:r>
          </w:p>
        </w:tc>
        <w:tc>
          <w:tcPr>
            <w:tcW w:w="0" w:type="auto"/>
          </w:tcPr>
          <w:p w14:paraId="5DBC7DB9" w14:textId="4D12111E" w:rsidR="00590C8B" w:rsidRPr="00F5772C" w:rsidRDefault="00590C8B" w:rsidP="00590C8B">
            <w:pPr>
              <w:pStyle w:val="ListBullet"/>
              <w:numPr>
                <w:ilvl w:val="0"/>
                <w:numId w:val="0"/>
              </w:numPr>
              <w:spacing w:before="100" w:beforeAutospacing="1" w:after="100" w:afterAutospacing="1"/>
              <w:ind w:left="-57" w:right="-57"/>
              <w:rPr>
                <w:rFonts w:ascii="Aptos" w:hAnsi="Aptos" w:cs="Arial"/>
                <w:color w:val="000000" w:themeColor="dark1"/>
                <w:kern w:val="24"/>
                <w:sz w:val="19"/>
                <w:szCs w:val="19"/>
              </w:rPr>
            </w:pPr>
            <w:r w:rsidRPr="00F5772C">
              <w:rPr>
                <w:rFonts w:ascii="Aptos" w:hAnsi="Aptos" w:cs="Arial"/>
                <w:color w:val="000000" w:themeColor="dark1"/>
                <w:kern w:val="24"/>
                <w:sz w:val="19"/>
                <w:szCs w:val="19"/>
              </w:rPr>
              <w:t>Furniture and Other Manufacturing</w:t>
            </w:r>
          </w:p>
        </w:tc>
        <w:tc>
          <w:tcPr>
            <w:tcW w:w="0" w:type="auto"/>
          </w:tcPr>
          <w:p w14:paraId="23301B5E" w14:textId="1922FA04"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cs="Arial"/>
                <w:color w:val="000000" w:themeColor="dark1"/>
                <w:kern w:val="24"/>
                <w:sz w:val="19"/>
                <w:szCs w:val="19"/>
              </w:rPr>
              <w:t>60%</w:t>
            </w:r>
          </w:p>
        </w:tc>
        <w:tc>
          <w:tcPr>
            <w:tcW w:w="0" w:type="auto"/>
          </w:tcPr>
          <w:p w14:paraId="0796B3FA" w14:textId="7B049919"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cs="Arial"/>
                <w:color w:val="000000" w:themeColor="dark1"/>
                <w:kern w:val="24"/>
                <w:sz w:val="19"/>
                <w:szCs w:val="19"/>
              </w:rPr>
              <w:t>22%</w:t>
            </w:r>
          </w:p>
        </w:tc>
      </w:tr>
      <w:tr w:rsidR="00590C8B" w:rsidRPr="00F5772C" w14:paraId="0D3FE840" w14:textId="77777777" w:rsidTr="0059180E">
        <w:trPr>
          <w:cnfStyle w:val="000000010000" w:firstRow="0" w:lastRow="0" w:firstColumn="0" w:lastColumn="0" w:oddVBand="0" w:evenVBand="0" w:oddHBand="0" w:evenHBand="1" w:firstRowFirstColumn="0" w:firstRowLastColumn="0" w:lastRowFirstColumn="0" w:lastRowLastColumn="0"/>
          <w:trHeight w:val="20"/>
        </w:trPr>
        <w:tc>
          <w:tcPr>
            <w:tcW w:w="0" w:type="auto"/>
          </w:tcPr>
          <w:p w14:paraId="33857C98" w14:textId="390DC315"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sz w:val="19"/>
                <w:szCs w:val="19"/>
              </w:rPr>
              <w:t>34</w:t>
            </w:r>
          </w:p>
        </w:tc>
        <w:tc>
          <w:tcPr>
            <w:tcW w:w="0" w:type="auto"/>
          </w:tcPr>
          <w:p w14:paraId="230990BD" w14:textId="0CC98F42" w:rsidR="00590C8B" w:rsidRPr="00F5772C" w:rsidRDefault="00590C8B" w:rsidP="00590C8B">
            <w:pPr>
              <w:pStyle w:val="ListBullet"/>
              <w:numPr>
                <w:ilvl w:val="0"/>
                <w:numId w:val="0"/>
              </w:numPr>
              <w:spacing w:before="100" w:beforeAutospacing="1" w:after="100" w:afterAutospacing="1"/>
              <w:ind w:left="-57" w:right="-57"/>
              <w:rPr>
                <w:rFonts w:ascii="Aptos" w:hAnsi="Aptos" w:cs="Arial"/>
                <w:color w:val="000000" w:themeColor="dark1"/>
                <w:kern w:val="24"/>
                <w:sz w:val="19"/>
                <w:szCs w:val="19"/>
              </w:rPr>
            </w:pPr>
            <w:r w:rsidRPr="00F5772C">
              <w:rPr>
                <w:rFonts w:ascii="Aptos" w:hAnsi="Aptos" w:cs="Arial"/>
                <w:color w:val="000000" w:themeColor="dark1"/>
                <w:kern w:val="24"/>
                <w:sz w:val="19"/>
                <w:szCs w:val="19"/>
              </w:rPr>
              <w:t>Machinery and Equipment Wholesaling</w:t>
            </w:r>
          </w:p>
        </w:tc>
        <w:tc>
          <w:tcPr>
            <w:tcW w:w="0" w:type="auto"/>
          </w:tcPr>
          <w:p w14:paraId="41025B02" w14:textId="7F7A696E"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cs="Arial"/>
                <w:color w:val="000000" w:themeColor="dark1"/>
                <w:kern w:val="24"/>
                <w:sz w:val="19"/>
                <w:szCs w:val="19"/>
              </w:rPr>
              <w:t>61%</w:t>
            </w:r>
          </w:p>
        </w:tc>
        <w:tc>
          <w:tcPr>
            <w:tcW w:w="0" w:type="auto"/>
          </w:tcPr>
          <w:p w14:paraId="126A25FC" w14:textId="7250709E"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cs="Arial"/>
                <w:color w:val="000000" w:themeColor="dark1"/>
                <w:kern w:val="24"/>
                <w:sz w:val="19"/>
                <w:szCs w:val="19"/>
              </w:rPr>
              <w:t>24%</w:t>
            </w:r>
          </w:p>
        </w:tc>
      </w:tr>
      <w:tr w:rsidR="00590C8B" w:rsidRPr="00F5772C" w14:paraId="2333D327" w14:textId="77777777" w:rsidTr="0059180E">
        <w:trPr>
          <w:trHeight w:val="20"/>
        </w:trPr>
        <w:tc>
          <w:tcPr>
            <w:tcW w:w="0" w:type="auto"/>
          </w:tcPr>
          <w:p w14:paraId="67BD9F76" w14:textId="42CF7CC8"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sz w:val="19"/>
                <w:szCs w:val="19"/>
              </w:rPr>
              <w:t>87</w:t>
            </w:r>
          </w:p>
        </w:tc>
        <w:tc>
          <w:tcPr>
            <w:tcW w:w="0" w:type="auto"/>
          </w:tcPr>
          <w:p w14:paraId="709B6541" w14:textId="563839D2" w:rsidR="00590C8B" w:rsidRPr="00F5772C" w:rsidRDefault="00590C8B" w:rsidP="00590C8B">
            <w:pPr>
              <w:pStyle w:val="ListBullet"/>
              <w:numPr>
                <w:ilvl w:val="0"/>
                <w:numId w:val="0"/>
              </w:numPr>
              <w:spacing w:before="100" w:beforeAutospacing="1" w:after="100" w:afterAutospacing="1"/>
              <w:ind w:left="-57" w:right="-57"/>
              <w:rPr>
                <w:rFonts w:ascii="Aptos" w:hAnsi="Aptos" w:cs="Arial"/>
                <w:color w:val="000000" w:themeColor="dark1"/>
                <w:kern w:val="24"/>
                <w:sz w:val="19"/>
                <w:szCs w:val="19"/>
              </w:rPr>
            </w:pPr>
            <w:r w:rsidRPr="00F5772C">
              <w:rPr>
                <w:rFonts w:ascii="Aptos" w:hAnsi="Aptos" w:cs="Arial"/>
                <w:color w:val="000000" w:themeColor="dark1"/>
                <w:kern w:val="24"/>
                <w:sz w:val="19"/>
                <w:szCs w:val="19"/>
              </w:rPr>
              <w:t>Social Assistance Services</w:t>
            </w:r>
          </w:p>
        </w:tc>
        <w:tc>
          <w:tcPr>
            <w:tcW w:w="0" w:type="auto"/>
          </w:tcPr>
          <w:p w14:paraId="14886454" w14:textId="1FCA7CED"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cs="Arial"/>
                <w:color w:val="000000" w:themeColor="dark1"/>
                <w:kern w:val="24"/>
                <w:sz w:val="19"/>
                <w:szCs w:val="19"/>
              </w:rPr>
              <w:t>62%</w:t>
            </w:r>
          </w:p>
        </w:tc>
        <w:tc>
          <w:tcPr>
            <w:tcW w:w="0" w:type="auto"/>
          </w:tcPr>
          <w:p w14:paraId="4F7DABC7" w14:textId="07AA5333"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cs="Arial"/>
                <w:color w:val="000000" w:themeColor="dark1"/>
                <w:kern w:val="24"/>
                <w:sz w:val="19"/>
                <w:szCs w:val="19"/>
              </w:rPr>
              <w:t>11%</w:t>
            </w:r>
          </w:p>
        </w:tc>
      </w:tr>
      <w:tr w:rsidR="00590C8B" w:rsidRPr="00F5772C" w14:paraId="7355F278" w14:textId="77777777" w:rsidTr="0059180E">
        <w:trPr>
          <w:cnfStyle w:val="000000010000" w:firstRow="0" w:lastRow="0" w:firstColumn="0" w:lastColumn="0" w:oddVBand="0" w:evenVBand="0" w:oddHBand="0" w:evenHBand="1" w:firstRowFirstColumn="0" w:firstRowLastColumn="0" w:lastRowFirstColumn="0" w:lastRowLastColumn="0"/>
          <w:trHeight w:val="20"/>
        </w:trPr>
        <w:tc>
          <w:tcPr>
            <w:tcW w:w="0" w:type="auto"/>
          </w:tcPr>
          <w:p w14:paraId="16383B30" w14:textId="7C0F42A6"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sz w:val="19"/>
                <w:szCs w:val="19"/>
              </w:rPr>
              <w:t>24</w:t>
            </w:r>
          </w:p>
        </w:tc>
        <w:tc>
          <w:tcPr>
            <w:tcW w:w="0" w:type="auto"/>
          </w:tcPr>
          <w:p w14:paraId="064366E0" w14:textId="4B65D994" w:rsidR="00590C8B" w:rsidRPr="00F5772C" w:rsidRDefault="00590C8B" w:rsidP="00590C8B">
            <w:pPr>
              <w:pStyle w:val="ListBullet"/>
              <w:numPr>
                <w:ilvl w:val="0"/>
                <w:numId w:val="0"/>
              </w:numPr>
              <w:spacing w:before="100" w:beforeAutospacing="1" w:after="100" w:afterAutospacing="1"/>
              <w:ind w:left="-57" w:right="-57"/>
              <w:rPr>
                <w:rFonts w:ascii="Aptos" w:hAnsi="Aptos" w:cs="Arial"/>
                <w:color w:val="000000" w:themeColor="dark1"/>
                <w:kern w:val="24"/>
                <w:sz w:val="19"/>
                <w:szCs w:val="19"/>
              </w:rPr>
            </w:pPr>
            <w:r w:rsidRPr="00F5772C">
              <w:rPr>
                <w:rFonts w:ascii="Aptos" w:hAnsi="Aptos" w:cs="Arial"/>
                <w:color w:val="000000" w:themeColor="dark1"/>
                <w:kern w:val="24"/>
                <w:sz w:val="19"/>
                <w:szCs w:val="19"/>
              </w:rPr>
              <w:t>Machinery and Equipment Manufacturing</w:t>
            </w:r>
          </w:p>
        </w:tc>
        <w:tc>
          <w:tcPr>
            <w:tcW w:w="0" w:type="auto"/>
          </w:tcPr>
          <w:p w14:paraId="62CE48F5" w14:textId="1C580491"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cs="Arial"/>
                <w:color w:val="000000" w:themeColor="dark1"/>
                <w:kern w:val="24"/>
                <w:sz w:val="19"/>
                <w:szCs w:val="19"/>
              </w:rPr>
              <w:t>63%</w:t>
            </w:r>
          </w:p>
        </w:tc>
        <w:tc>
          <w:tcPr>
            <w:tcW w:w="0" w:type="auto"/>
          </w:tcPr>
          <w:p w14:paraId="1ED1D7F1" w14:textId="49F3D3A7"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cs="Arial"/>
                <w:color w:val="000000" w:themeColor="dark1"/>
                <w:kern w:val="24"/>
                <w:sz w:val="19"/>
                <w:szCs w:val="19"/>
              </w:rPr>
              <w:t>29%</w:t>
            </w:r>
          </w:p>
        </w:tc>
      </w:tr>
      <w:tr w:rsidR="00590C8B" w:rsidRPr="00F5772C" w14:paraId="43591570" w14:textId="77777777" w:rsidTr="0059180E">
        <w:trPr>
          <w:trHeight w:val="20"/>
        </w:trPr>
        <w:tc>
          <w:tcPr>
            <w:tcW w:w="0" w:type="auto"/>
          </w:tcPr>
          <w:p w14:paraId="4343CF18" w14:textId="02DCE7B3"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sz w:val="19"/>
                <w:szCs w:val="19"/>
              </w:rPr>
              <w:t>20</w:t>
            </w:r>
          </w:p>
        </w:tc>
        <w:tc>
          <w:tcPr>
            <w:tcW w:w="0" w:type="auto"/>
          </w:tcPr>
          <w:p w14:paraId="1B6C9BF8" w14:textId="77D4384B" w:rsidR="00590C8B" w:rsidRPr="00F5772C" w:rsidRDefault="00590C8B" w:rsidP="00590C8B">
            <w:pPr>
              <w:pStyle w:val="ListBullet"/>
              <w:numPr>
                <w:ilvl w:val="0"/>
                <w:numId w:val="0"/>
              </w:numPr>
              <w:spacing w:before="100" w:beforeAutospacing="1" w:after="100" w:afterAutospacing="1"/>
              <w:ind w:left="-57" w:right="-57"/>
              <w:rPr>
                <w:rFonts w:ascii="Aptos" w:hAnsi="Aptos" w:cs="Arial"/>
                <w:color w:val="000000" w:themeColor="dark1"/>
                <w:kern w:val="24"/>
                <w:sz w:val="19"/>
                <w:szCs w:val="19"/>
              </w:rPr>
            </w:pPr>
            <w:r w:rsidRPr="00F5772C">
              <w:rPr>
                <w:rFonts w:ascii="Aptos" w:hAnsi="Aptos" w:cs="Arial"/>
                <w:color w:val="000000" w:themeColor="dark1"/>
                <w:kern w:val="24"/>
                <w:sz w:val="19"/>
                <w:szCs w:val="19"/>
              </w:rPr>
              <w:t>Non-Metallic Mineral Product Manufacturing</w:t>
            </w:r>
          </w:p>
        </w:tc>
        <w:tc>
          <w:tcPr>
            <w:tcW w:w="0" w:type="auto"/>
          </w:tcPr>
          <w:p w14:paraId="30A8412D" w14:textId="4D6D4784"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cs="Arial"/>
                <w:color w:val="000000" w:themeColor="dark1"/>
                <w:kern w:val="24"/>
                <w:sz w:val="19"/>
                <w:szCs w:val="19"/>
              </w:rPr>
              <w:t>64%</w:t>
            </w:r>
          </w:p>
        </w:tc>
        <w:tc>
          <w:tcPr>
            <w:tcW w:w="0" w:type="auto"/>
          </w:tcPr>
          <w:p w14:paraId="41D92B26" w14:textId="674510B7"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cs="Arial"/>
                <w:color w:val="000000" w:themeColor="dark1"/>
                <w:kern w:val="24"/>
                <w:sz w:val="19"/>
                <w:szCs w:val="19"/>
              </w:rPr>
              <w:t>13%</w:t>
            </w:r>
          </w:p>
        </w:tc>
      </w:tr>
      <w:tr w:rsidR="00590C8B" w:rsidRPr="00F5772C" w14:paraId="0A53A53D" w14:textId="77777777" w:rsidTr="0059180E">
        <w:trPr>
          <w:cnfStyle w:val="000000010000" w:firstRow="0" w:lastRow="0" w:firstColumn="0" w:lastColumn="0" w:oddVBand="0" w:evenVBand="0" w:oddHBand="0" w:evenHBand="1" w:firstRowFirstColumn="0" w:firstRowLastColumn="0" w:lastRowFirstColumn="0" w:lastRowLastColumn="0"/>
          <w:trHeight w:val="20"/>
        </w:trPr>
        <w:tc>
          <w:tcPr>
            <w:tcW w:w="0" w:type="auto"/>
          </w:tcPr>
          <w:p w14:paraId="4B985236" w14:textId="046ABE68"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sz w:val="19"/>
                <w:szCs w:val="19"/>
              </w:rPr>
              <w:t>39</w:t>
            </w:r>
          </w:p>
        </w:tc>
        <w:tc>
          <w:tcPr>
            <w:tcW w:w="0" w:type="auto"/>
          </w:tcPr>
          <w:p w14:paraId="2D96CA5E" w14:textId="150C6475" w:rsidR="00590C8B" w:rsidRPr="00F5772C" w:rsidRDefault="00590C8B" w:rsidP="00590C8B">
            <w:pPr>
              <w:pStyle w:val="ListBullet"/>
              <w:numPr>
                <w:ilvl w:val="0"/>
                <w:numId w:val="0"/>
              </w:numPr>
              <w:spacing w:before="100" w:beforeAutospacing="1" w:after="100" w:afterAutospacing="1"/>
              <w:ind w:left="-57" w:right="-57"/>
              <w:rPr>
                <w:rFonts w:ascii="Aptos" w:hAnsi="Aptos" w:cs="Arial"/>
                <w:color w:val="000000" w:themeColor="dark1"/>
                <w:kern w:val="24"/>
                <w:sz w:val="19"/>
                <w:szCs w:val="19"/>
              </w:rPr>
            </w:pPr>
            <w:r w:rsidRPr="00F5772C">
              <w:rPr>
                <w:rFonts w:ascii="Aptos" w:hAnsi="Aptos" w:cs="Arial"/>
                <w:color w:val="000000" w:themeColor="dark1"/>
                <w:kern w:val="24"/>
                <w:sz w:val="19"/>
                <w:szCs w:val="19"/>
              </w:rPr>
              <w:t>Motor Vehicle and Motor Vehicle Parts Retailing</w:t>
            </w:r>
          </w:p>
        </w:tc>
        <w:tc>
          <w:tcPr>
            <w:tcW w:w="0" w:type="auto"/>
          </w:tcPr>
          <w:p w14:paraId="0CDE4F71" w14:textId="41CF9AA3"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cs="Arial"/>
                <w:color w:val="000000" w:themeColor="dark1"/>
                <w:kern w:val="24"/>
                <w:sz w:val="19"/>
                <w:szCs w:val="19"/>
              </w:rPr>
              <w:t>64%</w:t>
            </w:r>
          </w:p>
        </w:tc>
        <w:tc>
          <w:tcPr>
            <w:tcW w:w="0" w:type="auto"/>
          </w:tcPr>
          <w:p w14:paraId="479A6CFB" w14:textId="2EBDB24D"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cs="Arial"/>
                <w:color w:val="000000" w:themeColor="dark1"/>
                <w:kern w:val="24"/>
                <w:sz w:val="19"/>
                <w:szCs w:val="19"/>
              </w:rPr>
              <w:t>18%</w:t>
            </w:r>
          </w:p>
        </w:tc>
      </w:tr>
      <w:tr w:rsidR="00590C8B" w:rsidRPr="00F5772C" w14:paraId="041980F5" w14:textId="77777777" w:rsidTr="0059180E">
        <w:trPr>
          <w:trHeight w:val="20"/>
        </w:trPr>
        <w:tc>
          <w:tcPr>
            <w:tcW w:w="0" w:type="auto"/>
          </w:tcPr>
          <w:p w14:paraId="38838901" w14:textId="2D0F4242"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sz w:val="19"/>
                <w:szCs w:val="19"/>
              </w:rPr>
              <w:t>22</w:t>
            </w:r>
          </w:p>
        </w:tc>
        <w:tc>
          <w:tcPr>
            <w:tcW w:w="0" w:type="auto"/>
          </w:tcPr>
          <w:p w14:paraId="292BC37B" w14:textId="3D66E05C" w:rsidR="00590C8B" w:rsidRPr="00F5772C" w:rsidRDefault="00590C8B" w:rsidP="00590C8B">
            <w:pPr>
              <w:pStyle w:val="ListBullet"/>
              <w:numPr>
                <w:ilvl w:val="0"/>
                <w:numId w:val="0"/>
              </w:numPr>
              <w:spacing w:before="100" w:beforeAutospacing="1" w:after="100" w:afterAutospacing="1"/>
              <w:ind w:left="-57" w:right="-57"/>
              <w:rPr>
                <w:rFonts w:ascii="Aptos" w:hAnsi="Aptos" w:cs="Arial"/>
                <w:color w:val="000000" w:themeColor="dark1"/>
                <w:kern w:val="24"/>
                <w:sz w:val="19"/>
                <w:szCs w:val="19"/>
              </w:rPr>
            </w:pPr>
            <w:r w:rsidRPr="00F5772C">
              <w:rPr>
                <w:rFonts w:ascii="Aptos" w:hAnsi="Aptos" w:cs="Arial"/>
                <w:color w:val="000000" w:themeColor="dark1"/>
                <w:kern w:val="24"/>
                <w:sz w:val="19"/>
                <w:szCs w:val="19"/>
              </w:rPr>
              <w:t>Fabricated Metal Product Manufacturing</w:t>
            </w:r>
          </w:p>
        </w:tc>
        <w:tc>
          <w:tcPr>
            <w:tcW w:w="0" w:type="auto"/>
          </w:tcPr>
          <w:p w14:paraId="0EF7108A" w14:textId="594283D2"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cs="Arial"/>
                <w:color w:val="000000" w:themeColor="dark1"/>
                <w:kern w:val="24"/>
                <w:sz w:val="19"/>
                <w:szCs w:val="19"/>
              </w:rPr>
              <w:t>65%</w:t>
            </w:r>
          </w:p>
        </w:tc>
        <w:tc>
          <w:tcPr>
            <w:tcW w:w="0" w:type="auto"/>
          </w:tcPr>
          <w:p w14:paraId="37424338" w14:textId="5804F471"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cs="Arial"/>
                <w:color w:val="000000" w:themeColor="dark1"/>
                <w:kern w:val="24"/>
                <w:sz w:val="19"/>
                <w:szCs w:val="19"/>
              </w:rPr>
              <w:t>17%</w:t>
            </w:r>
          </w:p>
        </w:tc>
      </w:tr>
      <w:tr w:rsidR="00590C8B" w:rsidRPr="00F5772C" w14:paraId="6BB104C6" w14:textId="77777777" w:rsidTr="0059180E">
        <w:trPr>
          <w:cnfStyle w:val="000000010000" w:firstRow="0" w:lastRow="0" w:firstColumn="0" w:lastColumn="0" w:oddVBand="0" w:evenVBand="0" w:oddHBand="0" w:evenHBand="1" w:firstRowFirstColumn="0" w:firstRowLastColumn="0" w:lastRowFirstColumn="0" w:lastRowLastColumn="0"/>
          <w:trHeight w:val="20"/>
        </w:trPr>
        <w:tc>
          <w:tcPr>
            <w:tcW w:w="0" w:type="auto"/>
          </w:tcPr>
          <w:p w14:paraId="6174E0AA" w14:textId="30ED4FBE"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sz w:val="19"/>
                <w:szCs w:val="19"/>
              </w:rPr>
              <w:t>46</w:t>
            </w:r>
          </w:p>
        </w:tc>
        <w:tc>
          <w:tcPr>
            <w:tcW w:w="0" w:type="auto"/>
          </w:tcPr>
          <w:p w14:paraId="5BDBB34C" w14:textId="32104805" w:rsidR="00590C8B" w:rsidRPr="00F5772C" w:rsidRDefault="00590C8B" w:rsidP="00590C8B">
            <w:pPr>
              <w:pStyle w:val="ListBullet"/>
              <w:numPr>
                <w:ilvl w:val="0"/>
                <w:numId w:val="0"/>
              </w:numPr>
              <w:spacing w:before="100" w:beforeAutospacing="1" w:after="100" w:afterAutospacing="1"/>
              <w:ind w:left="-57" w:right="-57"/>
              <w:rPr>
                <w:rFonts w:ascii="Aptos" w:hAnsi="Aptos" w:cs="Arial"/>
                <w:color w:val="000000" w:themeColor="dark1"/>
                <w:kern w:val="24"/>
                <w:sz w:val="19"/>
                <w:szCs w:val="19"/>
              </w:rPr>
            </w:pPr>
            <w:r w:rsidRPr="00F5772C">
              <w:rPr>
                <w:rFonts w:ascii="Aptos" w:hAnsi="Aptos" w:cs="Arial"/>
                <w:color w:val="000000" w:themeColor="dark1"/>
                <w:kern w:val="24"/>
                <w:sz w:val="19"/>
                <w:szCs w:val="19"/>
              </w:rPr>
              <w:t>Road Transport</w:t>
            </w:r>
          </w:p>
        </w:tc>
        <w:tc>
          <w:tcPr>
            <w:tcW w:w="0" w:type="auto"/>
          </w:tcPr>
          <w:p w14:paraId="167A46C6" w14:textId="7FCAF4AB"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cs="Arial"/>
                <w:color w:val="000000" w:themeColor="dark1"/>
                <w:kern w:val="24"/>
                <w:sz w:val="19"/>
                <w:szCs w:val="19"/>
              </w:rPr>
              <w:t>69%</w:t>
            </w:r>
          </w:p>
        </w:tc>
        <w:tc>
          <w:tcPr>
            <w:tcW w:w="0" w:type="auto"/>
          </w:tcPr>
          <w:p w14:paraId="6BF9DD70" w14:textId="120AE14F"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cs="Arial"/>
                <w:color w:val="000000" w:themeColor="dark1"/>
                <w:kern w:val="24"/>
                <w:sz w:val="19"/>
                <w:szCs w:val="19"/>
              </w:rPr>
              <w:t>15%</w:t>
            </w:r>
          </w:p>
        </w:tc>
      </w:tr>
      <w:tr w:rsidR="00590C8B" w:rsidRPr="00F5772C" w14:paraId="1368A396" w14:textId="77777777" w:rsidTr="0059180E">
        <w:trPr>
          <w:trHeight w:val="20"/>
        </w:trPr>
        <w:tc>
          <w:tcPr>
            <w:tcW w:w="0" w:type="auto"/>
          </w:tcPr>
          <w:p w14:paraId="76E79591" w14:textId="28E90DA2"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sz w:val="19"/>
                <w:szCs w:val="19"/>
              </w:rPr>
              <w:t>94</w:t>
            </w:r>
          </w:p>
        </w:tc>
        <w:tc>
          <w:tcPr>
            <w:tcW w:w="0" w:type="auto"/>
          </w:tcPr>
          <w:p w14:paraId="1D994B53" w14:textId="35A7BC30" w:rsidR="00590C8B" w:rsidRPr="00F5772C" w:rsidRDefault="00590C8B" w:rsidP="00590C8B">
            <w:pPr>
              <w:pStyle w:val="ListBullet"/>
              <w:numPr>
                <w:ilvl w:val="0"/>
                <w:numId w:val="0"/>
              </w:numPr>
              <w:spacing w:before="100" w:beforeAutospacing="1" w:after="100" w:afterAutospacing="1"/>
              <w:ind w:left="-57" w:right="-57"/>
              <w:rPr>
                <w:rFonts w:ascii="Aptos" w:hAnsi="Aptos" w:cs="Arial"/>
                <w:color w:val="000000" w:themeColor="dark1"/>
                <w:kern w:val="24"/>
                <w:sz w:val="19"/>
                <w:szCs w:val="19"/>
              </w:rPr>
            </w:pPr>
            <w:r w:rsidRPr="00F5772C">
              <w:rPr>
                <w:rFonts w:ascii="Aptos" w:hAnsi="Aptos" w:cs="Arial"/>
                <w:color w:val="000000" w:themeColor="dark1"/>
                <w:kern w:val="24"/>
                <w:sz w:val="19"/>
                <w:szCs w:val="19"/>
              </w:rPr>
              <w:t>Repair and Maintenance</w:t>
            </w:r>
          </w:p>
        </w:tc>
        <w:tc>
          <w:tcPr>
            <w:tcW w:w="0" w:type="auto"/>
          </w:tcPr>
          <w:p w14:paraId="1CEB65DA" w14:textId="6B3F82D4"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cs="Arial"/>
                <w:color w:val="000000" w:themeColor="dark1"/>
                <w:kern w:val="24"/>
                <w:sz w:val="19"/>
                <w:szCs w:val="19"/>
              </w:rPr>
              <w:t>72%</w:t>
            </w:r>
          </w:p>
        </w:tc>
        <w:tc>
          <w:tcPr>
            <w:tcW w:w="0" w:type="auto"/>
          </w:tcPr>
          <w:p w14:paraId="0DAF269A" w14:textId="2BFE5A0B"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cs="Arial"/>
                <w:color w:val="000000" w:themeColor="dark1"/>
                <w:kern w:val="24"/>
                <w:sz w:val="19"/>
                <w:szCs w:val="19"/>
              </w:rPr>
              <w:t>12%</w:t>
            </w:r>
          </w:p>
        </w:tc>
      </w:tr>
      <w:tr w:rsidR="00590C8B" w:rsidRPr="00F5772C" w14:paraId="19DF3D10" w14:textId="77777777" w:rsidTr="0059180E">
        <w:trPr>
          <w:cnfStyle w:val="000000010000" w:firstRow="0" w:lastRow="0" w:firstColumn="0" w:lastColumn="0" w:oddVBand="0" w:evenVBand="0" w:oddHBand="0" w:evenHBand="1" w:firstRowFirstColumn="0" w:firstRowLastColumn="0" w:lastRowFirstColumn="0" w:lastRowLastColumn="0"/>
          <w:trHeight w:val="20"/>
        </w:trPr>
        <w:tc>
          <w:tcPr>
            <w:tcW w:w="0" w:type="auto"/>
          </w:tcPr>
          <w:p w14:paraId="30586977" w14:textId="582F4D0B"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sz w:val="19"/>
                <w:szCs w:val="19"/>
              </w:rPr>
              <w:t>14</w:t>
            </w:r>
          </w:p>
        </w:tc>
        <w:tc>
          <w:tcPr>
            <w:tcW w:w="0" w:type="auto"/>
          </w:tcPr>
          <w:p w14:paraId="134FBD09" w14:textId="7EEB4524" w:rsidR="00590C8B" w:rsidRPr="00F5772C" w:rsidRDefault="00590C8B" w:rsidP="00590C8B">
            <w:pPr>
              <w:pStyle w:val="ListBullet"/>
              <w:numPr>
                <w:ilvl w:val="0"/>
                <w:numId w:val="0"/>
              </w:numPr>
              <w:spacing w:before="100" w:beforeAutospacing="1" w:after="100" w:afterAutospacing="1"/>
              <w:ind w:left="-57" w:right="-57"/>
              <w:rPr>
                <w:rFonts w:ascii="Aptos" w:hAnsi="Aptos" w:cs="Arial"/>
                <w:color w:val="000000" w:themeColor="dark1"/>
                <w:kern w:val="24"/>
                <w:sz w:val="19"/>
                <w:szCs w:val="19"/>
              </w:rPr>
            </w:pPr>
            <w:r w:rsidRPr="00F5772C">
              <w:rPr>
                <w:rFonts w:ascii="Aptos" w:hAnsi="Aptos" w:cs="Arial"/>
                <w:color w:val="000000" w:themeColor="dark1"/>
                <w:kern w:val="24"/>
                <w:sz w:val="19"/>
                <w:szCs w:val="19"/>
              </w:rPr>
              <w:t>Wood Product Manufacturing</w:t>
            </w:r>
          </w:p>
        </w:tc>
        <w:tc>
          <w:tcPr>
            <w:tcW w:w="0" w:type="auto"/>
          </w:tcPr>
          <w:p w14:paraId="7513C09B" w14:textId="34EC7EFC"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cs="Arial"/>
                <w:color w:val="000000" w:themeColor="dark1"/>
                <w:kern w:val="24"/>
                <w:sz w:val="19"/>
                <w:szCs w:val="19"/>
              </w:rPr>
              <w:t>75%</w:t>
            </w:r>
          </w:p>
        </w:tc>
        <w:tc>
          <w:tcPr>
            <w:tcW w:w="0" w:type="auto"/>
          </w:tcPr>
          <w:p w14:paraId="11D0FF4F" w14:textId="0D1EAB30"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cs="Arial"/>
                <w:color w:val="000000" w:themeColor="dark1"/>
                <w:kern w:val="24"/>
                <w:sz w:val="19"/>
                <w:szCs w:val="19"/>
              </w:rPr>
              <w:t>7%</w:t>
            </w:r>
          </w:p>
        </w:tc>
      </w:tr>
      <w:tr w:rsidR="00590C8B" w:rsidRPr="00F5772C" w14:paraId="48E32289" w14:textId="77777777" w:rsidTr="0059180E">
        <w:trPr>
          <w:trHeight w:val="20"/>
        </w:trPr>
        <w:tc>
          <w:tcPr>
            <w:tcW w:w="0" w:type="auto"/>
          </w:tcPr>
          <w:p w14:paraId="24364D9B" w14:textId="35E511C6"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sz w:val="19"/>
                <w:szCs w:val="19"/>
              </w:rPr>
              <w:t>23</w:t>
            </w:r>
          </w:p>
        </w:tc>
        <w:tc>
          <w:tcPr>
            <w:tcW w:w="0" w:type="auto"/>
          </w:tcPr>
          <w:p w14:paraId="461DB077" w14:textId="22C86FC4" w:rsidR="00590C8B" w:rsidRPr="00F5772C" w:rsidRDefault="00590C8B" w:rsidP="00590C8B">
            <w:pPr>
              <w:pStyle w:val="ListBullet"/>
              <w:numPr>
                <w:ilvl w:val="0"/>
                <w:numId w:val="0"/>
              </w:numPr>
              <w:spacing w:before="100" w:beforeAutospacing="1" w:after="100" w:afterAutospacing="1"/>
              <w:ind w:left="-57" w:right="-57"/>
              <w:rPr>
                <w:rFonts w:ascii="Aptos" w:hAnsi="Aptos" w:cs="Arial"/>
                <w:color w:val="000000" w:themeColor="dark1"/>
                <w:kern w:val="24"/>
                <w:sz w:val="19"/>
                <w:szCs w:val="19"/>
              </w:rPr>
            </w:pPr>
            <w:r w:rsidRPr="00F5772C">
              <w:rPr>
                <w:rFonts w:ascii="Aptos" w:hAnsi="Aptos" w:cs="Arial"/>
                <w:color w:val="000000" w:themeColor="dark1"/>
                <w:kern w:val="24"/>
                <w:sz w:val="19"/>
                <w:szCs w:val="19"/>
              </w:rPr>
              <w:t>Transport Equipment Manufacturing</w:t>
            </w:r>
          </w:p>
        </w:tc>
        <w:tc>
          <w:tcPr>
            <w:tcW w:w="0" w:type="auto"/>
          </w:tcPr>
          <w:p w14:paraId="7C07A5A9" w14:textId="29959239"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cs="Arial"/>
                <w:color w:val="000000" w:themeColor="dark1"/>
                <w:kern w:val="24"/>
                <w:sz w:val="19"/>
                <w:szCs w:val="19"/>
              </w:rPr>
              <w:t>77%</w:t>
            </w:r>
          </w:p>
        </w:tc>
        <w:tc>
          <w:tcPr>
            <w:tcW w:w="0" w:type="auto"/>
          </w:tcPr>
          <w:p w14:paraId="4C6B3BD4" w14:textId="6CDF8ACE" w:rsidR="00590C8B" w:rsidRPr="00F5772C" w:rsidRDefault="00590C8B" w:rsidP="00590C8B">
            <w:pPr>
              <w:pStyle w:val="ListBullet"/>
              <w:numPr>
                <w:ilvl w:val="0"/>
                <w:numId w:val="0"/>
              </w:numPr>
              <w:spacing w:before="100" w:beforeAutospacing="1" w:after="100" w:afterAutospacing="1"/>
              <w:ind w:left="-57" w:right="-57"/>
              <w:jc w:val="center"/>
              <w:rPr>
                <w:rFonts w:ascii="Aptos" w:hAnsi="Aptos" w:cs="Arial"/>
                <w:color w:val="000000" w:themeColor="dark1"/>
                <w:kern w:val="24"/>
                <w:sz w:val="19"/>
                <w:szCs w:val="19"/>
              </w:rPr>
            </w:pPr>
            <w:r w:rsidRPr="00F5772C">
              <w:rPr>
                <w:rFonts w:ascii="Aptos" w:hAnsi="Aptos" w:cs="Arial"/>
                <w:color w:val="000000" w:themeColor="dark1"/>
                <w:kern w:val="24"/>
                <w:sz w:val="19"/>
                <w:szCs w:val="19"/>
              </w:rPr>
              <w:t>19%</w:t>
            </w:r>
          </w:p>
        </w:tc>
      </w:tr>
    </w:tbl>
    <w:p w14:paraId="2544C275" w14:textId="13929CBB" w:rsidR="001F6273" w:rsidRDefault="00325B2E" w:rsidP="00F5772C">
      <w:pPr>
        <w:pStyle w:val="Source"/>
        <w:spacing w:after="120"/>
      </w:pPr>
      <w:r w:rsidRPr="00F5772C">
        <w:t>Source: JSA, Recruitment Experiences and Outlook Survey (REOS), 30 June 2026</w:t>
      </w:r>
    </w:p>
    <w:p w14:paraId="4F081C6B" w14:textId="5294BEC0" w:rsidR="00360A0A" w:rsidRDefault="00360A0A" w:rsidP="00360A0A">
      <w:pPr>
        <w:pStyle w:val="BodyText"/>
        <w:rPr>
          <w:lang w:eastAsia="en-GB"/>
        </w:rPr>
      </w:pPr>
    </w:p>
    <w:p w14:paraId="46CF8C64" w14:textId="77777777" w:rsidR="00617F9E" w:rsidRDefault="009831F0" w:rsidP="009831F0">
      <w:pPr>
        <w:pStyle w:val="BodyText"/>
        <w:rPr>
          <w:lang w:eastAsia="en-GB"/>
        </w:rPr>
      </w:pPr>
      <w:r w:rsidRPr="009831F0">
        <w:rPr>
          <w:lang w:eastAsia="en-GB"/>
        </w:rPr>
        <w:t xml:space="preserve">Putting the two indicators in Table 3 into a quadrant analysis, Chart 3 </w:t>
      </w:r>
      <w:r w:rsidR="00170EBB">
        <w:rPr>
          <w:lang w:eastAsia="en-GB"/>
        </w:rPr>
        <w:t xml:space="preserve">below </w:t>
      </w:r>
      <w:r w:rsidRPr="009831F0">
        <w:rPr>
          <w:lang w:eastAsia="en-GB"/>
        </w:rPr>
        <w:t xml:space="preserve">shows how 2-digit industries are distributed according to their recruitment difficulty rate and the proportion of employers receiving 20 or more applicants per vacancy. The IT industry </w:t>
      </w:r>
      <w:proofErr w:type="gramStart"/>
      <w:r w:rsidRPr="009831F0">
        <w:rPr>
          <w:lang w:eastAsia="en-GB"/>
        </w:rPr>
        <w:t>is located in</w:t>
      </w:r>
      <w:proofErr w:type="gramEnd"/>
      <w:r w:rsidRPr="009831F0">
        <w:rPr>
          <w:lang w:eastAsia="en-GB"/>
        </w:rPr>
        <w:t xml:space="preserve"> the upper left-hand quadrant, </w:t>
      </w:r>
      <w:r w:rsidR="00A8080F">
        <w:rPr>
          <w:lang w:eastAsia="en-GB"/>
        </w:rPr>
        <w:t>combining</w:t>
      </w:r>
      <w:r w:rsidR="000E33D5">
        <w:rPr>
          <w:lang w:eastAsia="en-GB"/>
        </w:rPr>
        <w:t xml:space="preserve"> a </w:t>
      </w:r>
      <w:r w:rsidRPr="009831F0">
        <w:rPr>
          <w:lang w:eastAsia="en-GB"/>
        </w:rPr>
        <w:t xml:space="preserve">below-median recruitment difficulty rate and an above-median proportion of employers receiving 20 or more applicants per vacancy. </w:t>
      </w:r>
      <w:r w:rsidR="00617F9E">
        <w:rPr>
          <w:lang w:eastAsia="en-GB"/>
        </w:rPr>
        <w:t xml:space="preserve"> </w:t>
      </w:r>
    </w:p>
    <w:p w14:paraId="51C19098" w14:textId="02362AC3" w:rsidR="009831F0" w:rsidRPr="009F4D4D" w:rsidRDefault="00617F9E" w:rsidP="00590C8B">
      <w:pPr>
        <w:pStyle w:val="BodyText"/>
        <w:rPr>
          <w:lang w:eastAsia="en-GB"/>
        </w:rPr>
      </w:pPr>
      <w:r>
        <w:rPr>
          <w:lang w:eastAsia="en-GB"/>
        </w:rPr>
        <w:t xml:space="preserve">It is also worth noting that </w:t>
      </w:r>
      <w:r w:rsidR="009D7520">
        <w:rPr>
          <w:lang w:eastAsia="en-GB"/>
        </w:rPr>
        <w:t>the</w:t>
      </w:r>
      <w:r w:rsidR="009D7520" w:rsidRPr="009D7520">
        <w:rPr>
          <w:lang w:eastAsia="en-GB"/>
        </w:rPr>
        <w:t xml:space="preserve"> IT industry is also positioned relatively far from both median lines, indicating that its recruitment difficulty rate was notably lower, and its proportion of employers receiving 20 or more applicants was notably higher, than the medians across the industries analysed</w:t>
      </w:r>
      <w:r w:rsidR="009D7520">
        <w:rPr>
          <w:lang w:eastAsia="en-GB"/>
        </w:rPr>
        <w:t>.</w:t>
      </w:r>
      <w:r w:rsidR="002669EB">
        <w:rPr>
          <w:lang w:eastAsia="en-GB"/>
        </w:rPr>
        <w:t xml:space="preserve"> </w:t>
      </w:r>
      <w:r w:rsidR="002669EB" w:rsidRPr="007F0944">
        <w:rPr>
          <w:lang w:eastAsia="en-GB"/>
        </w:rPr>
        <w:t>Together, these results suggest that recruitment conditions in the IT industry were characterised by larger applicant fields and lower recruitment difficulty than in many other industries. This may indicate a relatively strong supply of applicants for employers and greater competition for vacancies among job seekers.</w:t>
      </w:r>
    </w:p>
    <w:p w14:paraId="5B534D71" w14:textId="1313CBE3" w:rsidR="00565C5A" w:rsidRPr="00565C5A" w:rsidRDefault="00F55390" w:rsidP="00C323E9">
      <w:pPr>
        <w:pStyle w:val="ListBullet"/>
        <w:keepNext/>
        <w:keepLines/>
        <w:numPr>
          <w:ilvl w:val="0"/>
          <w:numId w:val="0"/>
        </w:numPr>
        <w:rPr>
          <w:rStyle w:val="Characterbold"/>
        </w:rPr>
      </w:pPr>
      <w:r>
        <w:rPr>
          <w:rStyle w:val="Characterbold"/>
        </w:rPr>
        <w:lastRenderedPageBreak/>
        <w:t xml:space="preserve">Chart 3: </w:t>
      </w:r>
      <w:r w:rsidR="00565C5A" w:rsidRPr="00565C5A">
        <w:rPr>
          <w:rStyle w:val="Characterbold"/>
        </w:rPr>
        <w:t>Scaled recruitment difficulty rate and scaled proportion of employers receiving 20 or more applicants per vacancy, combined data from 2020-21 to 2025-26, selected 2-digit industries</w:t>
      </w:r>
    </w:p>
    <w:p w14:paraId="77C9CF68" w14:textId="3D404A5C" w:rsidR="002113DB" w:rsidRDefault="00590C8B" w:rsidP="00C323E9">
      <w:pPr>
        <w:pStyle w:val="Source"/>
        <w:keepNext/>
        <w:keepLines/>
      </w:pPr>
      <w:r w:rsidRPr="00590C8B">
        <w:rPr>
          <w:rStyle w:val="Characterbold"/>
          <w:noProof/>
        </w:rPr>
        <w:drawing>
          <wp:inline distT="0" distB="0" distL="0" distR="0" wp14:anchorId="66718423" wp14:editId="25EC5B1E">
            <wp:extent cx="5677192" cy="4750044"/>
            <wp:effectExtent l="0" t="0" r="0" b="0"/>
            <wp:docPr id="570831691" name="Picture 1" descr="Chart expressing the information portrayed abov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831691" name="Picture 1" descr="Chart expressing the information portrayed above. "/>
                    <pic:cNvPicPr/>
                  </pic:nvPicPr>
                  <pic:blipFill>
                    <a:blip r:embed="rId11"/>
                    <a:stretch>
                      <a:fillRect/>
                    </a:stretch>
                  </pic:blipFill>
                  <pic:spPr>
                    <a:xfrm>
                      <a:off x="0" y="0"/>
                      <a:ext cx="5677192" cy="4750044"/>
                    </a:xfrm>
                    <a:prstGeom prst="rect">
                      <a:avLst/>
                    </a:prstGeom>
                  </pic:spPr>
                </pic:pic>
              </a:graphicData>
            </a:graphic>
          </wp:inline>
        </w:drawing>
      </w:r>
      <w:r w:rsidR="009A6F4D" w:rsidRPr="002212A8">
        <w:rPr>
          <w:rStyle w:val="Characterbold"/>
        </w:rPr>
        <w:t xml:space="preserve"> </w:t>
      </w:r>
      <w:r w:rsidR="00F5772C">
        <w:rPr>
          <w:rStyle w:val="Characterbold"/>
        </w:rPr>
        <w:br/>
      </w:r>
    </w:p>
    <w:p w14:paraId="41B6D606" w14:textId="2FCD5B43" w:rsidR="009A6F4D" w:rsidRDefault="00F55390" w:rsidP="00C323E9">
      <w:pPr>
        <w:pStyle w:val="Source"/>
        <w:keepNext/>
        <w:keepLines/>
      </w:pPr>
      <w:r w:rsidRPr="002212A8">
        <w:t>Source: JSA, Recruitment Experiences and Outlook Survey (REOS), 30 June 2026</w:t>
      </w:r>
      <w:r w:rsidR="002113DB">
        <w:t xml:space="preserve">. The </w:t>
      </w:r>
      <w:r w:rsidR="00890B0C">
        <w:t xml:space="preserve">numbers next to each point indicate the </w:t>
      </w:r>
      <w:r w:rsidR="00AB101E">
        <w:t xml:space="preserve">relevant </w:t>
      </w:r>
      <w:r w:rsidR="00890B0C">
        <w:t xml:space="preserve">2-digit </w:t>
      </w:r>
      <w:r w:rsidR="00CD67D7" w:rsidRPr="00CD67D7">
        <w:t>Australian and New Zealand Standard Industrial Classification (ANZSIC)</w:t>
      </w:r>
      <w:r w:rsidR="00AB101E">
        <w:t xml:space="preserve"> </w:t>
      </w:r>
      <w:r w:rsidR="00590C8B">
        <w:t xml:space="preserve">subdivision </w:t>
      </w:r>
      <w:r w:rsidR="00AB101E">
        <w:t>code.</w:t>
      </w:r>
    </w:p>
    <w:p w14:paraId="357FD2C8" w14:textId="77777777" w:rsidR="00F5772C" w:rsidRDefault="00F5772C">
      <w:pPr>
        <w:spacing w:before="0" w:after="200" w:line="276" w:lineRule="auto"/>
        <w:rPr>
          <w:rFonts w:eastAsia="Times New Roman" w:cs="Arial"/>
          <w:b/>
          <w:bCs/>
          <w:color w:val="012749"/>
          <w:sz w:val="32"/>
          <w:szCs w:val="32"/>
          <w:lang w:eastAsia="en-AU"/>
        </w:rPr>
      </w:pPr>
      <w:r>
        <w:br w:type="page"/>
      </w:r>
    </w:p>
    <w:p w14:paraId="7D42B19E" w14:textId="4EC34D78" w:rsidR="008D00CE" w:rsidRDefault="008D00CE" w:rsidP="00D15FEC">
      <w:pPr>
        <w:pStyle w:val="Heading1"/>
      </w:pPr>
      <w:r w:rsidRPr="002212A8">
        <w:lastRenderedPageBreak/>
        <w:t>I</w:t>
      </w:r>
      <w:r w:rsidR="00565C5A">
        <w:t>C</w:t>
      </w:r>
      <w:r w:rsidRPr="002212A8">
        <w:t xml:space="preserve">T </w:t>
      </w:r>
      <w:r w:rsidR="00A64A3F">
        <w:t>P</w:t>
      </w:r>
      <w:r w:rsidRPr="002212A8">
        <w:t>rofessionals</w:t>
      </w:r>
    </w:p>
    <w:p w14:paraId="69CC8A44" w14:textId="507B7536" w:rsidR="00C52F4A" w:rsidRPr="005A08DC" w:rsidRDefault="00C52F4A" w:rsidP="00763EA8">
      <w:pPr>
        <w:pStyle w:val="BodyText"/>
        <w:rPr>
          <w:lang w:eastAsia="en-AU"/>
        </w:rPr>
      </w:pPr>
      <w:r w:rsidRPr="005A08DC">
        <w:rPr>
          <w:lang w:eastAsia="en-AU"/>
        </w:rPr>
        <w:t>The following section shifts from an industry lens to an occupation lens, examining ICT Professionals regardless of the industry in which they are employed.</w:t>
      </w:r>
    </w:p>
    <w:p w14:paraId="76598F1E" w14:textId="636A4274" w:rsidR="008D00CE" w:rsidRPr="005A08DC" w:rsidRDefault="008D00CE" w:rsidP="00763EA8">
      <w:pPr>
        <w:pStyle w:val="BodyText"/>
      </w:pPr>
      <w:r w:rsidRPr="005A08DC">
        <w:t xml:space="preserve">The IT industry employs a diverse range of roles. </w:t>
      </w:r>
      <w:r w:rsidR="00BA4E25" w:rsidRPr="005A08DC">
        <w:t>Based on Australian Bureau of Statistics data</w:t>
      </w:r>
      <w:r w:rsidR="00325B2E" w:rsidRPr="005A08DC">
        <w:t xml:space="preserve">, </w:t>
      </w:r>
      <w:r w:rsidR="00565C5A" w:rsidRPr="005A08DC">
        <w:t>around 4</w:t>
      </w:r>
      <w:r w:rsidR="00BA4E25" w:rsidRPr="005A08DC">
        <w:t>8</w:t>
      </w:r>
      <w:r w:rsidR="00565C5A" w:rsidRPr="005A08DC">
        <w:t>% of employment in this industry is accounted for by ICT Professionals</w:t>
      </w:r>
      <w:r w:rsidRPr="005A08DC">
        <w:t xml:space="preserve">, followed by </w:t>
      </w:r>
      <w:r w:rsidR="00BA4E25" w:rsidRPr="005A08DC">
        <w:t>S</w:t>
      </w:r>
      <w:r w:rsidRPr="005A08DC">
        <w:t xml:space="preserve">pecialist </w:t>
      </w:r>
      <w:r w:rsidR="00BA4E25" w:rsidRPr="005A08DC">
        <w:t>M</w:t>
      </w:r>
      <w:r w:rsidRPr="005A08DC">
        <w:t>anagers (</w:t>
      </w:r>
      <w:r w:rsidR="00BA4E25" w:rsidRPr="005A08DC">
        <w:t>13</w:t>
      </w:r>
      <w:r w:rsidRPr="005A08DC">
        <w:t>%), Business, Human Resource and Marketing Professionals (</w:t>
      </w:r>
      <w:r w:rsidR="00BA4E25" w:rsidRPr="005A08DC">
        <w:t>10</w:t>
      </w:r>
      <w:r w:rsidRPr="005A08DC">
        <w:t>%) and Engineering, ICT and Science Technicians (</w:t>
      </w:r>
      <w:r w:rsidR="00BA4E25" w:rsidRPr="005A08DC">
        <w:t>9</w:t>
      </w:r>
      <w:r w:rsidRPr="005A08DC">
        <w:t>%)</w:t>
      </w:r>
      <w:r w:rsidR="00B02C7D">
        <w:t>.</w:t>
      </w:r>
      <w:r w:rsidRPr="005A08DC">
        <w:rPr>
          <w:rStyle w:val="FootnoteReference"/>
        </w:rPr>
        <w:footnoteReference w:id="12"/>
      </w:r>
      <w:r w:rsidRPr="005A08DC">
        <w:t xml:space="preserve"> Together th</w:t>
      </w:r>
      <w:r w:rsidR="00565C5A" w:rsidRPr="005A08DC">
        <w:t>ese</w:t>
      </w:r>
      <w:r w:rsidRPr="005A08DC">
        <w:t xml:space="preserve"> group</w:t>
      </w:r>
      <w:r w:rsidR="00565C5A" w:rsidRPr="005A08DC">
        <w:t>s</w:t>
      </w:r>
      <w:r w:rsidRPr="005A08DC">
        <w:t xml:space="preserve"> comprise </w:t>
      </w:r>
      <w:r w:rsidR="00BA4E25" w:rsidRPr="005A08DC">
        <w:t>81</w:t>
      </w:r>
      <w:r w:rsidRPr="005A08DC">
        <w:t>% of total employment in this industry.</w:t>
      </w:r>
    </w:p>
    <w:p w14:paraId="0515B5D3" w14:textId="37D6C0A3" w:rsidR="008D00CE" w:rsidRPr="005A08DC" w:rsidRDefault="008D00CE" w:rsidP="00763EA8">
      <w:pPr>
        <w:pStyle w:val="BodyText"/>
      </w:pPr>
      <w:r w:rsidRPr="005A08DC">
        <w:t xml:space="preserve">While most ICT </w:t>
      </w:r>
      <w:r w:rsidR="00A64A3F" w:rsidRPr="005A08DC">
        <w:t>P</w:t>
      </w:r>
      <w:r w:rsidRPr="005A08DC">
        <w:t xml:space="preserve">rofessionals are employed within the IT industry (defined for the purposes of this report to be 70 Computer System Design and Related Services), ICT </w:t>
      </w:r>
      <w:r w:rsidR="00565C5A" w:rsidRPr="005A08DC">
        <w:t>P</w:t>
      </w:r>
      <w:r w:rsidRPr="005A08DC">
        <w:t xml:space="preserve">rofessionals are also employed across other industry sectors. </w:t>
      </w:r>
    </w:p>
    <w:p w14:paraId="11A2C96D" w14:textId="77BC8E38" w:rsidR="00F3203F" w:rsidRPr="005A08DC" w:rsidRDefault="00D15FEC" w:rsidP="00763EA8">
      <w:pPr>
        <w:pStyle w:val="BodyText"/>
      </w:pPr>
      <w:r w:rsidRPr="005A08DC">
        <w:t xml:space="preserve">Looking at ICT </w:t>
      </w:r>
      <w:r w:rsidR="00A64A3F" w:rsidRPr="005A08DC">
        <w:t>P</w:t>
      </w:r>
      <w:r w:rsidRPr="005A08DC">
        <w:t xml:space="preserve">rofessionals, </w:t>
      </w:r>
      <w:r w:rsidR="00565C5A" w:rsidRPr="005A08DC">
        <w:t xml:space="preserve">the average recruitment difficulty rate for employers hiring ICT Professionals was 44% over the period 2020-21 to 2025-26, compared with 58% for all other Professionals and </w:t>
      </w:r>
      <w:r w:rsidR="00FA6343" w:rsidRPr="005A08DC">
        <w:t>54</w:t>
      </w:r>
      <w:r w:rsidR="00565C5A" w:rsidRPr="005A08DC">
        <w:t>% across all occupations</w:t>
      </w:r>
      <w:r w:rsidR="002D37DC" w:rsidRPr="005A08DC">
        <w:t>.</w:t>
      </w:r>
    </w:p>
    <w:p w14:paraId="55FD9003" w14:textId="057441DE" w:rsidR="00C3785C" w:rsidRDefault="002D37DC" w:rsidP="00763EA8">
      <w:pPr>
        <w:pStyle w:val="BodyText"/>
      </w:pPr>
      <w:r w:rsidRPr="005A08DC">
        <w:t xml:space="preserve">Employers </w:t>
      </w:r>
      <w:r w:rsidR="00C3785C" w:rsidRPr="005A08DC">
        <w:t>hiring ICT Professionals were far more likely to cite a lack of technical skills and</w:t>
      </w:r>
      <w:r w:rsidR="00AB05D5" w:rsidRPr="005A08DC">
        <w:t xml:space="preserve"> </w:t>
      </w:r>
      <w:r w:rsidR="00C3785C" w:rsidRPr="005A08DC">
        <w:t xml:space="preserve">considerably </w:t>
      </w:r>
      <w:r w:rsidR="00C3785C" w:rsidRPr="00E66A6F">
        <w:rPr>
          <w:rStyle w:val="Characteritalic"/>
          <w:i w:val="0"/>
          <w:iCs/>
        </w:rPr>
        <w:t>less</w:t>
      </w:r>
      <w:r w:rsidR="00C3785C" w:rsidRPr="00E66A6F">
        <w:rPr>
          <w:i/>
          <w:iCs/>
        </w:rPr>
        <w:t xml:space="preserve"> </w:t>
      </w:r>
      <w:r w:rsidR="00C3785C" w:rsidRPr="005A08DC">
        <w:t xml:space="preserve">likely to cite </w:t>
      </w:r>
      <w:r w:rsidR="00221A21">
        <w:t xml:space="preserve">a </w:t>
      </w:r>
      <w:r w:rsidR="00C3785C" w:rsidRPr="005A08DC">
        <w:t xml:space="preserve">lack of </w:t>
      </w:r>
      <w:r w:rsidR="00AB05D5" w:rsidRPr="005A08DC">
        <w:t>applicants</w:t>
      </w:r>
      <w:r w:rsidR="00C3785C" w:rsidRPr="005A08DC">
        <w:t xml:space="preserve"> as a reason </w:t>
      </w:r>
      <w:r w:rsidR="00826FE4" w:rsidRPr="005A08DC">
        <w:t xml:space="preserve">for </w:t>
      </w:r>
      <w:r w:rsidR="00C3785C" w:rsidRPr="005A08DC">
        <w:t xml:space="preserve">having recruitment difficulty. </w:t>
      </w:r>
      <w:r w:rsidR="002C0937" w:rsidRPr="005A08DC">
        <w:t xml:space="preserve"> They </w:t>
      </w:r>
      <w:r w:rsidR="00BD7D63">
        <w:t>were</w:t>
      </w:r>
      <w:r w:rsidR="002C0937" w:rsidRPr="005A08DC">
        <w:t xml:space="preserve"> also slightly less likely to cite </w:t>
      </w:r>
      <w:r w:rsidR="00FD1ECB">
        <w:t xml:space="preserve">a </w:t>
      </w:r>
      <w:r w:rsidR="002C0937" w:rsidRPr="005A08DC">
        <w:t>lack</w:t>
      </w:r>
      <w:r w:rsidR="00FD1ECB">
        <w:t xml:space="preserve"> of</w:t>
      </w:r>
      <w:r w:rsidR="002C0937" w:rsidRPr="005A08DC">
        <w:t xml:space="preserve"> suitable applicants and </w:t>
      </w:r>
      <w:r w:rsidR="00FA6343" w:rsidRPr="005A08DC">
        <w:t xml:space="preserve">undesirable working </w:t>
      </w:r>
      <w:r w:rsidR="002C0937" w:rsidRPr="005A08DC">
        <w:t>conditions</w:t>
      </w:r>
      <w:r w:rsidR="00AB05D5" w:rsidRPr="005A08DC">
        <w:t xml:space="preserve"> (which includes working conditions, hours and wages)</w:t>
      </w:r>
      <w:r w:rsidR="002C0937" w:rsidRPr="005A08DC">
        <w:t xml:space="preserve"> as a reason for difficulty. </w:t>
      </w:r>
      <w:r w:rsidR="00AB05D5" w:rsidRPr="005A08DC">
        <w:t>By contrast</w:t>
      </w:r>
      <w:r w:rsidR="002C0937" w:rsidRPr="005A08DC">
        <w:t xml:space="preserve">, </w:t>
      </w:r>
      <w:r w:rsidR="00FA6343" w:rsidRPr="005A08DC">
        <w:t xml:space="preserve">lack of </w:t>
      </w:r>
      <w:r w:rsidR="002C0937" w:rsidRPr="005A08DC">
        <w:t xml:space="preserve">experience </w:t>
      </w:r>
      <w:r w:rsidR="00FA6343" w:rsidRPr="005A08DC">
        <w:t>is</w:t>
      </w:r>
      <w:r w:rsidR="002C0937" w:rsidRPr="005A08DC">
        <w:t xml:space="preserve"> more likely to be cited as </w:t>
      </w:r>
      <w:r w:rsidR="00FA6343" w:rsidRPr="005A08DC">
        <w:t xml:space="preserve">a </w:t>
      </w:r>
      <w:r w:rsidR="002C0937" w:rsidRPr="005A08DC">
        <w:t>reason for difficulty.</w:t>
      </w:r>
    </w:p>
    <w:p w14:paraId="55FDDC5A" w14:textId="0AF56A1D" w:rsidR="009239DB" w:rsidRPr="009239DB" w:rsidRDefault="00A43345" w:rsidP="00D41D9F">
      <w:pPr>
        <w:pStyle w:val="BodyText"/>
      </w:pPr>
      <w:r>
        <w:t>S</w:t>
      </w:r>
      <w:r w:rsidR="00532787">
        <w:t xml:space="preserve">everal </w:t>
      </w:r>
      <w:r w:rsidR="009239DB" w:rsidRPr="009239DB">
        <w:t xml:space="preserve">ICT Professionals </w:t>
      </w:r>
      <w:r w:rsidR="00532787">
        <w:t xml:space="preserve">were </w:t>
      </w:r>
      <w:r>
        <w:t>included on the</w:t>
      </w:r>
      <w:r w:rsidR="009239DB" w:rsidRPr="009239DB">
        <w:t xml:space="preserve"> </w:t>
      </w:r>
      <w:r w:rsidR="002F6539">
        <w:t>JSA’s Occupational Shortage List</w:t>
      </w:r>
      <w:r w:rsidR="00F60BCE">
        <w:t xml:space="preserve"> (OSL)</w:t>
      </w:r>
      <w:r w:rsidR="009239DB" w:rsidRPr="009239DB">
        <w:t xml:space="preserve"> in 2023 and 2024. These were Multimedia Specialists and Web Developers, Software and Applications Programmers, and Computer Network Professionals.</w:t>
      </w:r>
      <w:r w:rsidR="00605428">
        <w:t xml:space="preserve"> </w:t>
      </w:r>
      <w:r w:rsidR="009239DB" w:rsidRPr="009239DB">
        <w:t>These occupations were not in shortage in 2025 due to labour market indicators suggesting weak demand, sufficient supply of workers, and low recruitment difficulty rates.</w:t>
      </w:r>
    </w:p>
    <w:p w14:paraId="3A588E6E" w14:textId="122AD99D" w:rsidR="009239DB" w:rsidRPr="002212A8" w:rsidRDefault="009239DB" w:rsidP="009239DB">
      <w:pPr>
        <w:pStyle w:val="BodyText"/>
      </w:pPr>
      <w:r w:rsidRPr="009239DB">
        <w:t xml:space="preserve">For </w:t>
      </w:r>
      <w:r w:rsidR="00A74E33">
        <w:t>these occupations (</w:t>
      </w:r>
      <w:r w:rsidRPr="009239DB">
        <w:t>that were previously in shortage</w:t>
      </w:r>
      <w:r w:rsidR="00A74E33">
        <w:t>)</w:t>
      </w:r>
      <w:r w:rsidRPr="009239DB">
        <w:t xml:space="preserve">, </w:t>
      </w:r>
      <w:r w:rsidR="00AC4509">
        <w:t>s</w:t>
      </w:r>
      <w:r w:rsidRPr="009239DB">
        <w:t xml:space="preserve">uitability gap was main the driver, suggesting the issue stems from a mismatch between employers’ expectations and workers’ skills and experience. </w:t>
      </w:r>
      <w:r w:rsidR="003D7AF7">
        <w:t xml:space="preserve">Data from </w:t>
      </w:r>
      <w:r w:rsidR="00AC4509">
        <w:t xml:space="preserve">JSA’s </w:t>
      </w:r>
      <w:r w:rsidRPr="009239DB">
        <w:t xml:space="preserve">Survey of Employers who have Recently Advertised </w:t>
      </w:r>
      <w:r w:rsidR="00AC4509">
        <w:t xml:space="preserve">(SERA) </w:t>
      </w:r>
      <w:r w:rsidRPr="009239DB">
        <w:t xml:space="preserve">showed the main reasons for job applicants’ unsuitability for the roles were a lack of experience and qualification and </w:t>
      </w:r>
      <w:r w:rsidR="00053B8E">
        <w:t xml:space="preserve">a </w:t>
      </w:r>
      <w:r w:rsidRPr="009239DB">
        <w:t>lack of working rights.</w:t>
      </w:r>
    </w:p>
    <w:p w14:paraId="5936D9DD" w14:textId="77777777" w:rsidR="006D6FBE" w:rsidRDefault="006D6FBE">
      <w:pPr>
        <w:spacing w:before="0" w:after="200" w:line="276" w:lineRule="auto"/>
        <w:rPr>
          <w:rStyle w:val="Characterbold"/>
          <w:rFonts w:eastAsia="Times New Roman" w:cs="Times New Roman"/>
          <w:szCs w:val="24"/>
          <w:lang w:eastAsia="en-GB"/>
        </w:rPr>
      </w:pPr>
      <w:r>
        <w:rPr>
          <w:rStyle w:val="Characterbold"/>
        </w:rPr>
        <w:br w:type="page"/>
      </w:r>
    </w:p>
    <w:p w14:paraId="07636FEB" w14:textId="7AD5053C" w:rsidR="00C3785C" w:rsidRPr="002212A8" w:rsidRDefault="00C3785C" w:rsidP="002D242C">
      <w:pPr>
        <w:pStyle w:val="ListBullet"/>
        <w:numPr>
          <w:ilvl w:val="0"/>
          <w:numId w:val="0"/>
        </w:numPr>
        <w:rPr>
          <w:rStyle w:val="Characterbold"/>
        </w:rPr>
      </w:pPr>
      <w:r w:rsidRPr="00AB05D5">
        <w:rPr>
          <w:rStyle w:val="Characterbold"/>
        </w:rPr>
        <w:lastRenderedPageBreak/>
        <w:t xml:space="preserve">Chart </w:t>
      </w:r>
      <w:r w:rsidR="00F55390">
        <w:rPr>
          <w:rStyle w:val="Characterbold"/>
        </w:rPr>
        <w:t>4</w:t>
      </w:r>
      <w:r w:rsidRPr="00AB05D5">
        <w:rPr>
          <w:rStyle w:val="Characterbold"/>
        </w:rPr>
        <w:t>: Selected reasons for recruitment difficulty, aggregated data 2020</w:t>
      </w:r>
      <w:r w:rsidR="00323ACE" w:rsidRPr="00AB05D5">
        <w:rPr>
          <w:rStyle w:val="Characterbold"/>
        </w:rPr>
        <w:t>-21</w:t>
      </w:r>
      <w:r w:rsidRPr="00AB05D5">
        <w:rPr>
          <w:rStyle w:val="Characterbold"/>
        </w:rPr>
        <w:t xml:space="preserve"> to </w:t>
      </w:r>
      <w:r w:rsidR="00323ACE" w:rsidRPr="00AB05D5">
        <w:rPr>
          <w:rStyle w:val="Characterbold"/>
        </w:rPr>
        <w:t>2025-</w:t>
      </w:r>
      <w:r w:rsidRPr="00AB05D5">
        <w:rPr>
          <w:rStyle w:val="Characterbold"/>
        </w:rPr>
        <w:t xml:space="preserve">26, ICT </w:t>
      </w:r>
      <w:r w:rsidR="00A64A3F" w:rsidRPr="00AB05D5">
        <w:rPr>
          <w:rStyle w:val="Characterbold"/>
        </w:rPr>
        <w:t>P</w:t>
      </w:r>
      <w:r w:rsidRPr="00AB05D5">
        <w:rPr>
          <w:rStyle w:val="Characterbold"/>
        </w:rPr>
        <w:t>rofessionals and selected comparisons</w:t>
      </w:r>
    </w:p>
    <w:p w14:paraId="2A4A77EE" w14:textId="06812142" w:rsidR="006D6FBE" w:rsidRPr="002212A8" w:rsidRDefault="006D6FBE" w:rsidP="002D242C">
      <w:pPr>
        <w:pStyle w:val="ListBullet"/>
        <w:numPr>
          <w:ilvl w:val="0"/>
          <w:numId w:val="0"/>
        </w:numPr>
      </w:pPr>
      <w:r>
        <w:rPr>
          <w:noProof/>
        </w:rPr>
        <w:drawing>
          <wp:inline distT="0" distB="0" distL="0" distR="0" wp14:anchorId="2210D348" wp14:editId="242B8433">
            <wp:extent cx="5730875" cy="3249295"/>
            <wp:effectExtent l="0" t="0" r="3175" b="8255"/>
            <wp:docPr id="846485333" name="Picture 4" descr="Chart expressing the information abov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485333" name="Picture 4" descr="Chart expressing the information above. "/>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0875" cy="3249295"/>
                    </a:xfrm>
                    <a:prstGeom prst="rect">
                      <a:avLst/>
                    </a:prstGeom>
                    <a:noFill/>
                  </pic:spPr>
                </pic:pic>
              </a:graphicData>
            </a:graphic>
          </wp:inline>
        </w:drawing>
      </w:r>
    </w:p>
    <w:p w14:paraId="4FAE107B" w14:textId="77777777" w:rsidR="002C0937" w:rsidRPr="002212A8" w:rsidRDefault="002C0937" w:rsidP="002C0937">
      <w:pPr>
        <w:pStyle w:val="Source"/>
      </w:pPr>
      <w:r w:rsidRPr="002212A8">
        <w:t>Source: JSA, Recruitment Experiences and Outlook Survey (REOS), 30 June 2026</w:t>
      </w:r>
    </w:p>
    <w:p w14:paraId="10B80B03" w14:textId="168A6A76" w:rsidR="002B0E09" w:rsidRPr="002212A8" w:rsidRDefault="00DB5BE6" w:rsidP="00C63424">
      <w:pPr>
        <w:pStyle w:val="Heading3"/>
      </w:pPr>
      <w:r w:rsidRPr="002212A8">
        <w:t>Applicant field</w:t>
      </w:r>
      <w:r w:rsidR="00841D41" w:rsidRPr="002212A8">
        <w:t>s</w:t>
      </w:r>
      <w:r w:rsidRPr="002212A8">
        <w:t xml:space="preserve"> for </w:t>
      </w:r>
      <w:r w:rsidR="00C63424" w:rsidRPr="002212A8">
        <w:t xml:space="preserve">ICT </w:t>
      </w:r>
      <w:r w:rsidR="00323ACE">
        <w:t>Pr</w:t>
      </w:r>
      <w:r w:rsidR="00C63424" w:rsidRPr="002212A8">
        <w:t>ofessional</w:t>
      </w:r>
      <w:r w:rsidR="00841D41" w:rsidRPr="002212A8">
        <w:t xml:space="preserve"> roles</w:t>
      </w:r>
    </w:p>
    <w:p w14:paraId="50D4AEB7" w14:textId="75273BF4" w:rsidR="00F3203F" w:rsidRPr="00763EA8" w:rsidRDefault="00F3203F" w:rsidP="00763EA8">
      <w:pPr>
        <w:pStyle w:val="BodyText"/>
        <w:rPr>
          <w:rStyle w:val="Characteritalic"/>
          <w:i w:val="0"/>
        </w:rPr>
      </w:pPr>
      <w:proofErr w:type="gramStart"/>
      <w:r w:rsidRPr="00763EA8">
        <w:rPr>
          <w:rStyle w:val="Characteritalic"/>
          <w:i w:val="0"/>
        </w:rPr>
        <w:t>Similar to</w:t>
      </w:r>
      <w:proofErr w:type="gramEnd"/>
      <w:r w:rsidRPr="00763EA8">
        <w:rPr>
          <w:rStyle w:val="Characteritalic"/>
          <w:i w:val="0"/>
        </w:rPr>
        <w:t xml:space="preserve"> the situation for the IT industry, employers tend to have larger applicant field</w:t>
      </w:r>
      <w:r w:rsidR="00EC1AD4" w:rsidRPr="00763EA8">
        <w:rPr>
          <w:rStyle w:val="Characteritalic"/>
          <w:i w:val="0"/>
        </w:rPr>
        <w:t>s</w:t>
      </w:r>
      <w:r w:rsidRPr="00763EA8">
        <w:rPr>
          <w:rStyle w:val="Characteritalic"/>
          <w:i w:val="0"/>
        </w:rPr>
        <w:t xml:space="preserve"> for ICT </w:t>
      </w:r>
      <w:r w:rsidR="00AB05D5" w:rsidRPr="00763EA8">
        <w:rPr>
          <w:rStyle w:val="Characteritalic"/>
          <w:i w:val="0"/>
        </w:rPr>
        <w:t>P</w:t>
      </w:r>
      <w:r w:rsidRPr="00763EA8">
        <w:rPr>
          <w:rStyle w:val="Characteritalic"/>
          <w:i w:val="0"/>
        </w:rPr>
        <w:t xml:space="preserve">rofessional roles relative to many other occupations. </w:t>
      </w:r>
    </w:p>
    <w:p w14:paraId="519968D1" w14:textId="1F94B692" w:rsidR="00547BCF" w:rsidRPr="00763EA8" w:rsidRDefault="00472BAC" w:rsidP="00763EA8">
      <w:pPr>
        <w:pStyle w:val="BodyText"/>
        <w:rPr>
          <w:rStyle w:val="Characteritalic"/>
          <w:i w:val="0"/>
        </w:rPr>
      </w:pPr>
      <w:r w:rsidRPr="00763EA8">
        <w:rPr>
          <w:rStyle w:val="Characteritalic"/>
          <w:i w:val="0"/>
        </w:rPr>
        <w:t xml:space="preserve">On average, around </w:t>
      </w:r>
      <w:r w:rsidR="00845238" w:rsidRPr="00763EA8">
        <w:rPr>
          <w:rStyle w:val="Characteritalic"/>
          <w:i w:val="0"/>
        </w:rPr>
        <w:t>42</w:t>
      </w:r>
      <w:r w:rsidRPr="00763EA8">
        <w:rPr>
          <w:rStyle w:val="Characteritalic"/>
          <w:i w:val="0"/>
        </w:rPr>
        <w:t xml:space="preserve">% of employers recruiting for ICT </w:t>
      </w:r>
      <w:r w:rsidR="009479C1" w:rsidRPr="00763EA8">
        <w:rPr>
          <w:rStyle w:val="Characteritalic"/>
          <w:i w:val="0"/>
        </w:rPr>
        <w:t>P</w:t>
      </w:r>
      <w:r w:rsidRPr="00763EA8">
        <w:rPr>
          <w:rStyle w:val="Characteritalic"/>
          <w:i w:val="0"/>
        </w:rPr>
        <w:t xml:space="preserve">rofessionals receive 20 </w:t>
      </w:r>
      <w:r w:rsidR="00826FE4" w:rsidRPr="00763EA8">
        <w:rPr>
          <w:rStyle w:val="Characteritalic"/>
          <w:i w:val="0"/>
        </w:rPr>
        <w:t xml:space="preserve">or more </w:t>
      </w:r>
      <w:r w:rsidRPr="00763EA8">
        <w:rPr>
          <w:rStyle w:val="Characteritalic"/>
          <w:i w:val="0"/>
        </w:rPr>
        <w:t>applicants</w:t>
      </w:r>
      <w:r w:rsidR="00826FE4" w:rsidRPr="00763EA8">
        <w:rPr>
          <w:rStyle w:val="Characteritalic"/>
          <w:i w:val="0"/>
        </w:rPr>
        <w:t xml:space="preserve"> per vacancy</w:t>
      </w:r>
      <w:r w:rsidRPr="00763EA8">
        <w:rPr>
          <w:rStyle w:val="Characteritalic"/>
          <w:i w:val="0"/>
        </w:rPr>
        <w:t xml:space="preserve"> for their advertised position. This was the </w:t>
      </w:r>
      <w:r w:rsidR="00845238" w:rsidRPr="00763EA8">
        <w:rPr>
          <w:rStyle w:val="Characteritalic"/>
          <w:i w:val="0"/>
        </w:rPr>
        <w:t>second</w:t>
      </w:r>
      <w:r w:rsidRPr="00763EA8">
        <w:rPr>
          <w:rStyle w:val="Characteritalic"/>
          <w:i w:val="0"/>
        </w:rPr>
        <w:t xml:space="preserve"> highest of the </w:t>
      </w:r>
      <w:r w:rsidR="00845238" w:rsidRPr="00763EA8">
        <w:rPr>
          <w:rStyle w:val="Characteritalic"/>
          <w:i w:val="0"/>
        </w:rPr>
        <w:t>39</w:t>
      </w:r>
      <w:r w:rsidRPr="00763EA8">
        <w:rPr>
          <w:rStyle w:val="Characteritalic"/>
          <w:i w:val="0"/>
        </w:rPr>
        <w:t xml:space="preserve"> occupations analysed. This compar</w:t>
      </w:r>
      <w:r w:rsidR="00221A21" w:rsidRPr="00763EA8">
        <w:rPr>
          <w:rStyle w:val="Characteritalic"/>
          <w:i w:val="0"/>
        </w:rPr>
        <w:t>es</w:t>
      </w:r>
      <w:r w:rsidRPr="00763EA8">
        <w:rPr>
          <w:rStyle w:val="Characteritalic"/>
          <w:i w:val="0"/>
        </w:rPr>
        <w:t xml:space="preserve"> with </w:t>
      </w:r>
      <w:r w:rsidR="00124FC4" w:rsidRPr="00763EA8">
        <w:rPr>
          <w:rStyle w:val="Characteritalic"/>
          <w:i w:val="0"/>
        </w:rPr>
        <w:t>22</w:t>
      </w:r>
      <w:r w:rsidR="009479C1" w:rsidRPr="00763EA8">
        <w:rPr>
          <w:rStyle w:val="Characteritalic"/>
          <w:i w:val="0"/>
        </w:rPr>
        <w:t>%</w:t>
      </w:r>
      <w:r w:rsidRPr="00763EA8">
        <w:rPr>
          <w:rStyle w:val="Characteritalic"/>
          <w:i w:val="0"/>
        </w:rPr>
        <w:t xml:space="preserve"> of </w:t>
      </w:r>
      <w:r w:rsidR="006C15BA" w:rsidRPr="00763EA8">
        <w:rPr>
          <w:rStyle w:val="Characteritalic"/>
          <w:i w:val="0"/>
        </w:rPr>
        <w:t xml:space="preserve">employers recruiting for </w:t>
      </w:r>
      <w:r w:rsidRPr="00763EA8">
        <w:rPr>
          <w:rStyle w:val="Characteritalic"/>
          <w:i w:val="0"/>
        </w:rPr>
        <w:t xml:space="preserve">Professional </w:t>
      </w:r>
      <w:r w:rsidR="006C15BA" w:rsidRPr="00763EA8">
        <w:rPr>
          <w:rStyle w:val="Characteritalic"/>
          <w:i w:val="0"/>
        </w:rPr>
        <w:t>occupations</w:t>
      </w:r>
      <w:r w:rsidRPr="00763EA8">
        <w:rPr>
          <w:rStyle w:val="Characteritalic"/>
          <w:i w:val="0"/>
        </w:rPr>
        <w:t xml:space="preserve"> </w:t>
      </w:r>
      <w:r w:rsidR="006C15BA" w:rsidRPr="00763EA8">
        <w:rPr>
          <w:rStyle w:val="Characteritalic"/>
          <w:i w:val="0"/>
        </w:rPr>
        <w:t xml:space="preserve">(excluding ICT Professionals) </w:t>
      </w:r>
      <w:r w:rsidRPr="00763EA8">
        <w:rPr>
          <w:rStyle w:val="Characteritalic"/>
          <w:i w:val="0"/>
        </w:rPr>
        <w:t xml:space="preserve">and </w:t>
      </w:r>
      <w:r w:rsidR="009076A0" w:rsidRPr="00763EA8">
        <w:rPr>
          <w:rStyle w:val="Characteritalic"/>
          <w:i w:val="0"/>
        </w:rPr>
        <w:t>1</w:t>
      </w:r>
      <w:r w:rsidR="006C15BA" w:rsidRPr="00763EA8">
        <w:rPr>
          <w:rStyle w:val="Characteritalic"/>
          <w:i w:val="0"/>
        </w:rPr>
        <w:t>9</w:t>
      </w:r>
      <w:r w:rsidR="009479C1" w:rsidRPr="00763EA8">
        <w:rPr>
          <w:rStyle w:val="Characteritalic"/>
          <w:i w:val="0"/>
        </w:rPr>
        <w:t>%</w:t>
      </w:r>
      <w:r w:rsidRPr="00763EA8">
        <w:rPr>
          <w:rStyle w:val="Characteritalic"/>
          <w:i w:val="0"/>
        </w:rPr>
        <w:t xml:space="preserve"> for</w:t>
      </w:r>
      <w:r w:rsidR="006C15BA" w:rsidRPr="00763EA8">
        <w:rPr>
          <w:rStyle w:val="Characteritalic"/>
          <w:i w:val="0"/>
        </w:rPr>
        <w:t xml:space="preserve"> those recruiting across all occupations</w:t>
      </w:r>
      <w:r w:rsidRPr="00763EA8">
        <w:rPr>
          <w:rStyle w:val="Characteritalic"/>
          <w:i w:val="0"/>
        </w:rPr>
        <w:t xml:space="preserve">. </w:t>
      </w:r>
    </w:p>
    <w:p w14:paraId="3F003631" w14:textId="7BA674DE" w:rsidR="007C1CC7" w:rsidRPr="00485F42" w:rsidRDefault="00485F42" w:rsidP="00485F42">
      <w:pPr>
        <w:pStyle w:val="Heading1"/>
      </w:pPr>
      <w:r>
        <w:t>What can we conclude about these finding</w:t>
      </w:r>
      <w:r w:rsidR="00273757">
        <w:t>s</w:t>
      </w:r>
      <w:r w:rsidR="007C1CC7" w:rsidRPr="00485F42">
        <w:t>?</w:t>
      </w:r>
    </w:p>
    <w:p w14:paraId="0D896569" w14:textId="6DC25E55" w:rsidR="00D67EC4" w:rsidRDefault="00717959" w:rsidP="00763EA8">
      <w:pPr>
        <w:pStyle w:val="BodyText"/>
      </w:pPr>
      <w:r w:rsidRPr="00763EA8">
        <w:t xml:space="preserve">Taken together, these findings suggest that the IT industry </w:t>
      </w:r>
      <w:r w:rsidR="00D075E3" w:rsidRPr="00763EA8">
        <w:t>continues to</w:t>
      </w:r>
      <w:r w:rsidR="002D5E25">
        <w:t xml:space="preserve"> demonstrate</w:t>
      </w:r>
      <w:r w:rsidRPr="00763EA8">
        <w:t xml:space="preserve"> strong long-term employment growth, </w:t>
      </w:r>
      <w:r w:rsidR="00FB7640">
        <w:t>while</w:t>
      </w:r>
      <w:r w:rsidRPr="00763EA8">
        <w:t xml:space="preserve"> current recruitment activity and employer staffing expectations are relatively subdued. Combined REOS data </w:t>
      </w:r>
      <w:r w:rsidR="00D71CD2">
        <w:t>from</w:t>
      </w:r>
      <w:r w:rsidRPr="00763EA8">
        <w:t xml:space="preserve"> 2020-21 to 2025-26 show that IT employers </w:t>
      </w:r>
      <w:r w:rsidR="003C27CF">
        <w:t>generally</w:t>
      </w:r>
      <w:r w:rsidRPr="00763EA8">
        <w:t xml:space="preserve"> receive</w:t>
      </w:r>
      <w:r w:rsidR="003C27CF">
        <w:t>d</w:t>
      </w:r>
      <w:r w:rsidRPr="00763EA8">
        <w:t xml:space="preserve"> large applicant fields and </w:t>
      </w:r>
      <w:r w:rsidR="00647927">
        <w:t>reported</w:t>
      </w:r>
      <w:r w:rsidR="00D075E3" w:rsidRPr="00763EA8">
        <w:t xml:space="preserve"> </w:t>
      </w:r>
      <w:r w:rsidRPr="00763EA8">
        <w:t>low</w:t>
      </w:r>
      <w:r w:rsidR="00A937B4" w:rsidRPr="00763EA8">
        <w:t>er</w:t>
      </w:r>
      <w:r w:rsidRPr="00763EA8">
        <w:t xml:space="preserve"> recruitment difficulty</w:t>
      </w:r>
      <w:r w:rsidR="008367C5" w:rsidRPr="00763EA8">
        <w:t xml:space="preserve"> </w:t>
      </w:r>
      <w:r w:rsidR="00647927">
        <w:t>than employers in</w:t>
      </w:r>
      <w:r w:rsidR="003B5DAF">
        <w:t xml:space="preserve"> other industries </w:t>
      </w:r>
      <w:r w:rsidR="008367C5" w:rsidRPr="00763EA8">
        <w:t>over this period</w:t>
      </w:r>
      <w:r w:rsidR="003B5DAF">
        <w:t>.</w:t>
      </w:r>
      <w:r w:rsidRPr="00763EA8">
        <w:t xml:space="preserve"> </w:t>
      </w:r>
      <w:r w:rsidR="003B5DAF">
        <w:t>Th</w:t>
      </w:r>
      <w:r w:rsidR="00CD3B3E">
        <w:t xml:space="preserve">is </w:t>
      </w:r>
      <w:r w:rsidRPr="00763EA8">
        <w:t>suggest</w:t>
      </w:r>
      <w:r w:rsidR="00CD3B3E">
        <w:t>s</w:t>
      </w:r>
      <w:r w:rsidRPr="00763EA8">
        <w:t xml:space="preserve"> that applicants </w:t>
      </w:r>
      <w:r w:rsidR="00BE5EF3">
        <w:t>may have</w:t>
      </w:r>
      <w:r w:rsidRPr="00763EA8">
        <w:t xml:space="preserve"> faced </w:t>
      </w:r>
      <w:r w:rsidR="00BE5EF3">
        <w:t xml:space="preserve">relatively </w:t>
      </w:r>
      <w:r w:rsidRPr="00763EA8">
        <w:t>strong competition for vacancies</w:t>
      </w:r>
      <w:r w:rsidR="00482C43">
        <w:t xml:space="preserve"> when apply</w:t>
      </w:r>
      <w:r w:rsidR="0077753F">
        <w:t>ing</w:t>
      </w:r>
      <w:r w:rsidR="00482C43">
        <w:t xml:space="preserve"> for jobs in the industry</w:t>
      </w:r>
      <w:r w:rsidRPr="00763EA8">
        <w:t xml:space="preserve">. </w:t>
      </w:r>
      <w:r w:rsidR="008367C5" w:rsidRPr="00763EA8">
        <w:t xml:space="preserve">Where employers did experience recruitment difficulty, the findings point more towards specific technical skill mismatches than a general </w:t>
      </w:r>
      <w:r w:rsidR="00D67EC4">
        <w:t>shortage</w:t>
      </w:r>
      <w:r w:rsidR="008367C5" w:rsidRPr="00763EA8">
        <w:t xml:space="preserve"> of applicants. </w:t>
      </w:r>
    </w:p>
    <w:p w14:paraId="1F1C457F" w14:textId="65ECB683" w:rsidR="00717959" w:rsidRPr="00763EA8" w:rsidRDefault="008D21BE" w:rsidP="00763EA8">
      <w:pPr>
        <w:pStyle w:val="BodyText"/>
      </w:pPr>
      <w:r>
        <w:t>A</w:t>
      </w:r>
      <w:r w:rsidR="00D075E3" w:rsidRPr="00763EA8">
        <w:t>pplicant numbers and recruitment difficulty in 2025-</w:t>
      </w:r>
      <w:r w:rsidR="00896D14" w:rsidRPr="00763EA8">
        <w:t>26</w:t>
      </w:r>
      <w:r>
        <w:t xml:space="preserve"> are more</w:t>
      </w:r>
      <w:r w:rsidR="00BC3760">
        <w:t xml:space="preserve"> </w:t>
      </w:r>
      <w:r w:rsidR="00D075E3" w:rsidRPr="00763EA8">
        <w:t>difficult to assess due to the small sample size</w:t>
      </w:r>
      <w:r w:rsidR="008F1DAE">
        <w:t>. H</w:t>
      </w:r>
      <w:r w:rsidR="00D075E3" w:rsidRPr="00763EA8">
        <w:t>owever</w:t>
      </w:r>
      <w:r w:rsidR="00541642">
        <w:t>,</w:t>
      </w:r>
      <w:r w:rsidR="00754958">
        <w:t xml:space="preserve"> results based on</w:t>
      </w:r>
      <w:r w:rsidR="00D075E3" w:rsidRPr="00763EA8">
        <w:t xml:space="preserve"> </w:t>
      </w:r>
      <w:r w:rsidR="008367C5" w:rsidRPr="00763EA8">
        <w:t xml:space="preserve">limited </w:t>
      </w:r>
      <w:r w:rsidR="00D075E3" w:rsidRPr="00763EA8">
        <w:t xml:space="preserve">available data </w:t>
      </w:r>
      <w:r w:rsidR="00616124">
        <w:t>suggest</w:t>
      </w:r>
      <w:r w:rsidR="00471E06">
        <w:t xml:space="preserve"> </w:t>
      </w:r>
      <w:r w:rsidR="00485F42" w:rsidRPr="00763EA8">
        <w:t xml:space="preserve">relatively high </w:t>
      </w:r>
      <w:r w:rsidR="00D075E3" w:rsidRPr="00763EA8">
        <w:t xml:space="preserve">applicant numbers and recruitment difficulty being slightly below the average for </w:t>
      </w:r>
      <w:r w:rsidR="008367C5" w:rsidRPr="00763EA8">
        <w:t xml:space="preserve">all </w:t>
      </w:r>
      <w:r w:rsidR="00D075E3" w:rsidRPr="00763EA8">
        <w:t>higher</w:t>
      </w:r>
      <w:r w:rsidR="00BD7D63" w:rsidRPr="00763EA8">
        <w:t>-</w:t>
      </w:r>
      <w:r w:rsidR="00D075E3" w:rsidRPr="00763EA8">
        <w:t xml:space="preserve">skilled occupations. </w:t>
      </w:r>
    </w:p>
    <w:p w14:paraId="15E3D429" w14:textId="77777777" w:rsidR="00473B12" w:rsidRDefault="00473B12">
      <w:pPr>
        <w:spacing w:before="0" w:after="200" w:line="276" w:lineRule="auto"/>
        <w:rPr>
          <w:rFonts w:eastAsia="Times New Roman" w:cs="Arial"/>
          <w:b/>
          <w:iCs/>
          <w:color w:val="4B0885"/>
          <w:sz w:val="26"/>
          <w:szCs w:val="28"/>
          <w:lang w:eastAsia="en-AU"/>
        </w:rPr>
      </w:pPr>
      <w:r>
        <w:br w:type="page"/>
      </w:r>
    </w:p>
    <w:p w14:paraId="40634F10" w14:textId="5B7796DF" w:rsidR="00CE5805" w:rsidRPr="002212A8" w:rsidRDefault="00CE5805" w:rsidP="00CE5805">
      <w:pPr>
        <w:pStyle w:val="Heading2"/>
      </w:pPr>
      <w:r w:rsidRPr="002212A8">
        <w:lastRenderedPageBreak/>
        <w:t xml:space="preserve">Background </w:t>
      </w:r>
    </w:p>
    <w:p w14:paraId="3CDCFA98" w14:textId="77777777" w:rsidR="00CE5805" w:rsidRPr="002212A8" w:rsidRDefault="00CE5805" w:rsidP="00CE5805">
      <w:pPr>
        <w:pStyle w:val="BodyText"/>
      </w:pPr>
      <w:r w:rsidRPr="002212A8">
        <w:t xml:space="preserve">The Recruitment Experiences and Outlook Survey (REOS) is an ongoing survey of employers across Australia. Approximately 1,000 employers are surveyed each month, with data published on the </w:t>
      </w:r>
      <w:hyperlink r:id="rId13" w:history="1">
        <w:r w:rsidRPr="002212A8">
          <w:rPr>
            <w:rStyle w:val="Hyperlink"/>
          </w:rPr>
          <w:t>Jobs and Skills Australia</w:t>
        </w:r>
      </w:hyperlink>
      <w:r w:rsidRPr="002212A8">
        <w:t xml:space="preserve"> website. While the data are indicative of recruitment activity, they may be subject to seasonal factors and other volatility and should therefore be used with caution. The survey is targeted towards employers with five or more employees and excludes many government organisations. Further information is available in the </w:t>
      </w:r>
      <w:hyperlink r:id="rId14" w:history="1">
        <w:r w:rsidRPr="002212A8">
          <w:rPr>
            <w:rStyle w:val="Hyperlink"/>
          </w:rPr>
          <w:t>REOS methodology</w:t>
        </w:r>
      </w:hyperlink>
      <w:r w:rsidRPr="002212A8">
        <w:t xml:space="preserve"> paper.  </w:t>
      </w:r>
    </w:p>
    <w:p w14:paraId="048674A3" w14:textId="56F6A2D4" w:rsidR="00CE5805" w:rsidRPr="002212A8" w:rsidRDefault="00CE5805" w:rsidP="00CE5805">
      <w:pPr>
        <w:pStyle w:val="BodyText"/>
      </w:pPr>
      <w:r w:rsidRPr="002212A8">
        <w:t xml:space="preserve">REOS data </w:t>
      </w:r>
      <w:r w:rsidR="00826FE4">
        <w:t>are</w:t>
      </w:r>
      <w:r w:rsidRPr="002212A8">
        <w:t xml:space="preserve"> published monthly in the Recruitment Insights Report which is generally published on the third Tuesday of the month. Spotlights are also produced in most months.  </w:t>
      </w:r>
    </w:p>
    <w:p w14:paraId="0281E643" w14:textId="77777777" w:rsidR="006C15BA" w:rsidRDefault="006C15BA" w:rsidP="006C15BA">
      <w:pPr>
        <w:pStyle w:val="Heading3"/>
      </w:pPr>
      <w:r>
        <w:t>Note on REOS applicants per vacancy data</w:t>
      </w:r>
    </w:p>
    <w:p w14:paraId="529B1D0B" w14:textId="2246DAF1" w:rsidR="006C15BA" w:rsidRDefault="006C15BA" w:rsidP="006C15BA">
      <w:pPr>
        <w:pStyle w:val="BodyText"/>
      </w:pPr>
      <w:r>
        <w:t xml:space="preserve">A REOS spotlight is expected to be released in late 2026 which analyses REOS data on applicants per vacancy at the state, industry (1-digit) and occupation level (1-digit). This spotlight will use a new measure that focuses on employers who had recruited through the internet (other methods could also have been used in conjunction) and excludes employers who had unfilled vacancies for less than a month. The methodology used for the results in this </w:t>
      </w:r>
      <w:proofErr w:type="gramStart"/>
      <w:r>
        <w:t>paper</w:t>
      </w:r>
      <w:proofErr w:type="gramEnd"/>
      <w:r>
        <w:t xml:space="preserve"> however</w:t>
      </w:r>
      <w:r w:rsidR="006237BE">
        <w:t>,</w:t>
      </w:r>
      <w:r>
        <w:t xml:space="preserve"> includes all employers (regardless of recruitment method used or the time since vacancies were advertised) to maximise the number of 2-digit industries included in the analysis of applicants per vacancy.</w:t>
      </w:r>
    </w:p>
    <w:p w14:paraId="35353568" w14:textId="17813356" w:rsidR="00CE5805" w:rsidRPr="002212A8" w:rsidRDefault="00CE5805" w:rsidP="006C15BA">
      <w:pPr>
        <w:pStyle w:val="Heading3"/>
      </w:pPr>
      <w:r w:rsidRPr="002212A8">
        <w:t xml:space="preserve">Technical notes </w:t>
      </w:r>
    </w:p>
    <w:p w14:paraId="4550C727" w14:textId="59738DCA" w:rsidR="00CE5805" w:rsidRPr="002212A8" w:rsidRDefault="00CE5805" w:rsidP="00CE5805">
      <w:pPr>
        <w:pStyle w:val="BodyText"/>
      </w:pPr>
      <w:r w:rsidRPr="002212A8">
        <w:t xml:space="preserve">The REOS is a telephone-administered survey with the business owner or other person in the business who is responsible for recruitment. All figures presented in this report have been weighted by location and workplace size, according to the Australian Bureau of Statistics </w:t>
      </w:r>
      <w:hyperlink r:id="rId15" w:history="1">
        <w:r w:rsidRPr="002212A8">
          <w:rPr>
            <w:rStyle w:val="Hyperlink"/>
          </w:rPr>
          <w:t>Counts of Australian Businesses, including Entries and Exits</w:t>
        </w:r>
      </w:hyperlink>
      <w:r w:rsidRPr="002212A8">
        <w:t xml:space="preserve"> (June 2018 to June 2022) publication. The weighted figures are intended to create nationally representative results by correcting for the oversampling of smaller regions compared with larger regions. </w:t>
      </w:r>
    </w:p>
    <w:p w14:paraId="46F4F1B1" w14:textId="77777777" w:rsidR="00CE5805" w:rsidRPr="002212A8" w:rsidRDefault="00CE5805" w:rsidP="00CE5805">
      <w:pPr>
        <w:pStyle w:val="BodyText"/>
      </w:pPr>
      <w:r w:rsidRPr="002212A8">
        <w:t xml:space="preserve">REOS survey data are coded and reported according to the following ABS classifications: </w:t>
      </w:r>
    </w:p>
    <w:p w14:paraId="3DE8FAED" w14:textId="77777777" w:rsidR="00CE5805" w:rsidRPr="002212A8" w:rsidRDefault="00CE5805" w:rsidP="00CE5805">
      <w:pPr>
        <w:pStyle w:val="ListBullet"/>
        <w:numPr>
          <w:ilvl w:val="0"/>
          <w:numId w:val="4"/>
        </w:numPr>
      </w:pPr>
      <w:r w:rsidRPr="002212A8">
        <w:t xml:space="preserve">Industry is defined by the </w:t>
      </w:r>
      <w:hyperlink r:id="rId16" w:history="1">
        <w:r w:rsidRPr="002212A8">
          <w:rPr>
            <w:rStyle w:val="Hyperlink"/>
          </w:rPr>
          <w:t>Australian and New Zealand Standard Industrial Classification (ANZSIC), 2006, Version 2.0</w:t>
        </w:r>
      </w:hyperlink>
      <w:r w:rsidRPr="002212A8">
        <w:t xml:space="preserve">. </w:t>
      </w:r>
    </w:p>
    <w:p w14:paraId="2DEF37F5" w14:textId="77777777" w:rsidR="00CE5805" w:rsidRPr="002212A8" w:rsidRDefault="00CE5805" w:rsidP="00CE5805">
      <w:pPr>
        <w:pStyle w:val="ListBullet"/>
        <w:numPr>
          <w:ilvl w:val="0"/>
          <w:numId w:val="4"/>
        </w:numPr>
      </w:pPr>
      <w:r w:rsidRPr="002212A8">
        <w:t xml:space="preserve">Occupation is defined by both: </w:t>
      </w:r>
    </w:p>
    <w:p w14:paraId="4D426E05" w14:textId="77777777" w:rsidR="00CE5805" w:rsidRPr="002212A8" w:rsidRDefault="00CE5805" w:rsidP="00CE5805">
      <w:pPr>
        <w:pStyle w:val="ListBullet2"/>
        <w:numPr>
          <w:ilvl w:val="1"/>
          <w:numId w:val="4"/>
        </w:numPr>
      </w:pPr>
      <w:r w:rsidRPr="002212A8">
        <w:t xml:space="preserve">the </w:t>
      </w:r>
      <w:hyperlink r:id="rId17" w:history="1">
        <w:r w:rsidRPr="002212A8">
          <w:rPr>
            <w:rStyle w:val="Hyperlink"/>
          </w:rPr>
          <w:t>Australian and New Zealand Standard Classification of Occupations (ANZSCO)</w:t>
        </w:r>
      </w:hyperlink>
      <w:r w:rsidRPr="002212A8">
        <w:t xml:space="preserve">, 2022, and; </w:t>
      </w:r>
    </w:p>
    <w:p w14:paraId="0883A29E" w14:textId="77777777" w:rsidR="00CE5805" w:rsidRPr="002212A8" w:rsidRDefault="00CE5805" w:rsidP="00CE5805">
      <w:pPr>
        <w:pStyle w:val="ListBullet2"/>
        <w:numPr>
          <w:ilvl w:val="1"/>
          <w:numId w:val="4"/>
        </w:numPr>
      </w:pPr>
      <w:r w:rsidRPr="002212A8">
        <w:t xml:space="preserve">the </w:t>
      </w:r>
      <w:hyperlink r:id="rId18" w:history="1">
        <w:r w:rsidRPr="002212A8">
          <w:rPr>
            <w:rStyle w:val="Hyperlink"/>
          </w:rPr>
          <w:t>Occupation Standard Classification for Australia (OSCA)</w:t>
        </w:r>
      </w:hyperlink>
      <w:r w:rsidRPr="002212A8">
        <w:t xml:space="preserve">, 2024. </w:t>
      </w:r>
    </w:p>
    <w:p w14:paraId="3D0230FC" w14:textId="77777777" w:rsidR="00CE5805" w:rsidRPr="002212A8" w:rsidRDefault="00CE5805" w:rsidP="00CE5805">
      <w:pPr>
        <w:pStyle w:val="ListBullet"/>
        <w:numPr>
          <w:ilvl w:val="0"/>
          <w:numId w:val="4"/>
        </w:numPr>
      </w:pPr>
      <w:r w:rsidRPr="002212A8">
        <w:t xml:space="preserve">Capital City and Rest of State areas are defined by the </w:t>
      </w:r>
      <w:hyperlink r:id="rId19" w:history="1">
        <w:r w:rsidRPr="002212A8">
          <w:rPr>
            <w:rStyle w:val="Hyperlink"/>
          </w:rPr>
          <w:t>Australian Statistical Geography Standard (ASGS): Volume 1 - Main Structure and Greater Capital City Statistical Areas, July 2021</w:t>
        </w:r>
      </w:hyperlink>
      <w:r w:rsidRPr="002212A8">
        <w:t xml:space="preserve">. </w:t>
      </w:r>
    </w:p>
    <w:p w14:paraId="181E061F" w14:textId="2424601D" w:rsidR="00CE5805" w:rsidRPr="002212A8" w:rsidRDefault="00CE5805" w:rsidP="00CE5805">
      <w:pPr>
        <w:pStyle w:val="BodyText"/>
      </w:pPr>
      <w:r w:rsidRPr="002212A8">
        <w:t xml:space="preserve">Data in this release should be referenced as: Jobs and Skills Australia, </w:t>
      </w:r>
      <w:r w:rsidR="00841D41" w:rsidRPr="002212A8">
        <w:t>Recruitment trends in the IT industry: Analysis of the REOS dataset</w:t>
      </w:r>
      <w:r w:rsidRPr="002212A8">
        <w:t xml:space="preserve">, September 2026. </w:t>
      </w:r>
    </w:p>
    <w:p w14:paraId="52DD8D2E" w14:textId="6F99558E" w:rsidR="002C5CE4" w:rsidRDefault="00CE5805" w:rsidP="00CE5805">
      <w:pPr>
        <w:pStyle w:val="BodyText"/>
      </w:pPr>
      <w:r w:rsidRPr="002212A8">
        <w:t xml:space="preserve">For more information, email: </w:t>
      </w:r>
      <w:hyperlink r:id="rId20" w:history="1">
        <w:r w:rsidRPr="002212A8">
          <w:rPr>
            <w:rStyle w:val="Hyperlink"/>
          </w:rPr>
          <w:t>reos@jobsandskills.gov.au</w:t>
        </w:r>
      </w:hyperlink>
    </w:p>
    <w:p w14:paraId="68742317" w14:textId="77777777" w:rsidR="002C5CE4" w:rsidRDefault="002C5CE4">
      <w:pPr>
        <w:spacing w:before="0" w:after="200" w:line="276" w:lineRule="auto"/>
      </w:pPr>
      <w:r>
        <w:br w:type="page"/>
      </w:r>
    </w:p>
    <w:p w14:paraId="1644D425" w14:textId="77777777" w:rsidR="002C5CE4" w:rsidRPr="00F849C6" w:rsidRDefault="002C5CE4" w:rsidP="00F849C6">
      <w:pPr>
        <w:pStyle w:val="Title"/>
        <w:spacing w:before="480"/>
      </w:pPr>
      <w:r w:rsidRPr="00F849C6">
        <w:lastRenderedPageBreak/>
        <w:t>Appendix</w:t>
      </w:r>
    </w:p>
    <w:p w14:paraId="6C5860F9" w14:textId="44686972" w:rsidR="002C5CE4" w:rsidRPr="00F849C6" w:rsidRDefault="002C5CE4" w:rsidP="002C5CE4">
      <w:pPr>
        <w:pStyle w:val="BodyText"/>
        <w:keepNext/>
        <w:rPr>
          <w:b/>
        </w:rPr>
      </w:pPr>
      <w:r w:rsidRPr="00837A5E">
        <w:rPr>
          <w:rStyle w:val="Characterbold"/>
        </w:rPr>
        <w:t>Chart 5: Recruitment rate in the IT industry compared with all Other Professional, Scientific and Technical Services industries, rolling two-year average, 202</w:t>
      </w:r>
      <w:r w:rsidR="00193394" w:rsidRPr="00837A5E">
        <w:rPr>
          <w:rStyle w:val="Characterbold"/>
        </w:rPr>
        <w:t>1</w:t>
      </w:r>
      <w:r w:rsidRPr="00837A5E">
        <w:rPr>
          <w:rStyle w:val="Characterbold"/>
        </w:rPr>
        <w:t>-2</w:t>
      </w:r>
      <w:r w:rsidR="00193394" w:rsidRPr="00837A5E">
        <w:rPr>
          <w:rStyle w:val="Characterbold"/>
        </w:rPr>
        <w:t>2</w:t>
      </w:r>
      <w:r w:rsidRPr="00837A5E">
        <w:rPr>
          <w:rStyle w:val="Characterbold"/>
        </w:rPr>
        <w:t xml:space="preserve"> to 2025-26</w:t>
      </w:r>
    </w:p>
    <w:p w14:paraId="1D2030BD" w14:textId="5609F76F" w:rsidR="00CE5805" w:rsidRPr="00FE2E1A" w:rsidRDefault="006D6FBE" w:rsidP="006D6FBE">
      <w:pPr>
        <w:pStyle w:val="BodyText"/>
        <w:keepNext/>
        <w:rPr>
          <w:lang w:eastAsia="en-GB"/>
        </w:rPr>
      </w:pPr>
      <w:r>
        <w:rPr>
          <w:noProof/>
          <w:lang w:eastAsia="en-GB"/>
        </w:rPr>
        <w:drawing>
          <wp:inline distT="0" distB="0" distL="0" distR="0" wp14:anchorId="6FB08961" wp14:editId="372090A6">
            <wp:extent cx="5895340" cy="3255645"/>
            <wp:effectExtent l="0" t="0" r="0" b="1905"/>
            <wp:docPr id="27474916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895340" cy="3255645"/>
                    </a:xfrm>
                    <a:prstGeom prst="rect">
                      <a:avLst/>
                    </a:prstGeom>
                    <a:noFill/>
                  </pic:spPr>
                </pic:pic>
              </a:graphicData>
            </a:graphic>
          </wp:inline>
        </w:drawing>
      </w:r>
    </w:p>
    <w:sectPr w:rsidR="00CE5805" w:rsidRPr="00FE2E1A" w:rsidSect="002212A8">
      <w:headerReference w:type="first" r:id="rId22"/>
      <w:pgSz w:w="11907" w:h="16839" w:code="9"/>
      <w:pgMar w:top="1270" w:right="1440" w:bottom="1270" w:left="1440"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659C80" w14:textId="77777777" w:rsidR="006D6854" w:rsidRDefault="006D6854" w:rsidP="00E12845">
      <w:pPr>
        <w:spacing w:before="0" w:after="0"/>
      </w:pPr>
      <w:r>
        <w:separator/>
      </w:r>
    </w:p>
  </w:endnote>
  <w:endnote w:type="continuationSeparator" w:id="0">
    <w:p w14:paraId="2167DBBB" w14:textId="77777777" w:rsidR="006D6854" w:rsidRDefault="006D6854" w:rsidP="00E1284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Script">
    <w:panose1 w:val="030B0504020000000003"/>
    <w:charset w:val="00"/>
    <w:family w:val="script"/>
    <w:pitch w:val="variable"/>
    <w:sig w:usb0="0000028F"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C30730" w14:textId="77777777" w:rsidR="006D6854" w:rsidRDefault="006D6854" w:rsidP="00E12845">
      <w:pPr>
        <w:spacing w:before="0" w:after="0"/>
      </w:pPr>
      <w:r>
        <w:separator/>
      </w:r>
    </w:p>
  </w:footnote>
  <w:footnote w:type="continuationSeparator" w:id="0">
    <w:p w14:paraId="42F0F79A" w14:textId="77777777" w:rsidR="006D6854" w:rsidRDefault="006D6854" w:rsidP="00E12845">
      <w:pPr>
        <w:spacing w:before="0" w:after="0"/>
      </w:pPr>
      <w:r>
        <w:continuationSeparator/>
      </w:r>
    </w:p>
  </w:footnote>
  <w:footnote w:id="1">
    <w:p w14:paraId="4FF45C7F" w14:textId="3F5D104E" w:rsidR="00A21EEA" w:rsidRDefault="00A21EEA">
      <w:pPr>
        <w:pStyle w:val="FootnoteText"/>
      </w:pPr>
      <w:r>
        <w:rPr>
          <w:rStyle w:val="FootnoteReference"/>
        </w:rPr>
        <w:footnoteRef/>
      </w:r>
      <w:r>
        <w:t xml:space="preserve"> </w:t>
      </w:r>
      <w:r w:rsidR="0044632D">
        <w:t xml:space="preserve">JSA, </w:t>
      </w:r>
      <w:hyperlink r:id="rId1" w:history="1">
        <w:r w:rsidR="0044632D" w:rsidRPr="00D20859">
          <w:rPr>
            <w:rStyle w:val="Hyperlink"/>
          </w:rPr>
          <w:t>Generative AI Capacity Study - Interactive Tables Data</w:t>
        </w:r>
      </w:hyperlink>
      <w:r w:rsidR="0044632D">
        <w:t xml:space="preserve">, Table 1, Occupation </w:t>
      </w:r>
      <w:r w:rsidR="0044632D" w:rsidRPr="0056366D">
        <w:t>Augmentation exposure score</w:t>
      </w:r>
      <w:r w:rsidR="0044632D">
        <w:t xml:space="preserve">, 2025. These occupations are </w:t>
      </w:r>
      <w:r w:rsidR="0044632D" w:rsidRPr="0056366D">
        <w:t>Software and Applications Programmers</w:t>
      </w:r>
      <w:r w:rsidR="0044632D">
        <w:t xml:space="preserve">; </w:t>
      </w:r>
      <w:r w:rsidR="0044632D" w:rsidRPr="0056366D">
        <w:t>ICT Business and Systems Analysts</w:t>
      </w:r>
      <w:r w:rsidR="0044632D">
        <w:t>;</w:t>
      </w:r>
    </w:p>
  </w:footnote>
  <w:footnote w:id="2">
    <w:p w14:paraId="3C9DC103" w14:textId="6EB87CDE" w:rsidR="000E1378" w:rsidRDefault="000E1378">
      <w:pPr>
        <w:pStyle w:val="FootnoteText"/>
      </w:pPr>
      <w:r>
        <w:rPr>
          <w:rStyle w:val="FootnoteReference"/>
        </w:rPr>
        <w:footnoteRef/>
      </w:r>
      <w:r>
        <w:t xml:space="preserve"> DEWR</w:t>
      </w:r>
      <w:hyperlink r:id="rId2" w:history="1">
        <w:r w:rsidRPr="00AD7943">
          <w:rPr>
            <w:rStyle w:val="Hyperlink"/>
          </w:rPr>
          <w:t>, AI and Employment in Australia: Monitoring framework and evidence to date</w:t>
        </w:r>
      </w:hyperlink>
      <w:r>
        <w:t>, July 2026</w:t>
      </w:r>
    </w:p>
  </w:footnote>
  <w:footnote w:id="3">
    <w:p w14:paraId="1FCD08A8" w14:textId="3ACBDAC3" w:rsidR="00591034" w:rsidRDefault="00591034">
      <w:pPr>
        <w:pStyle w:val="FootnoteText"/>
      </w:pPr>
      <w:r>
        <w:rPr>
          <w:rStyle w:val="FootnoteReference"/>
        </w:rPr>
        <w:footnoteRef/>
      </w:r>
      <w:r>
        <w:t xml:space="preserve"> </w:t>
      </w:r>
      <w:r w:rsidR="009164F8" w:rsidRPr="009164F8">
        <w:t>ABS, Labour Force, customised data, 2026 (2025 reference period)</w:t>
      </w:r>
      <w:r>
        <w:t xml:space="preserve">. </w:t>
      </w:r>
      <w:r w:rsidR="00B731DD">
        <w:t xml:space="preserve">At this time, </w:t>
      </w:r>
      <w:r w:rsidR="009164F8">
        <w:t>40</w:t>
      </w:r>
      <w:r w:rsidR="00B731DD">
        <w:t xml:space="preserve">% of ICT Professionals were employed in the IT industry. ICT </w:t>
      </w:r>
      <w:r w:rsidR="009479C1">
        <w:t>P</w:t>
      </w:r>
      <w:r w:rsidR="00B731DD">
        <w:t>rofessionals account for 4</w:t>
      </w:r>
      <w:r w:rsidR="00340DD4">
        <w:t>8</w:t>
      </w:r>
      <w:r w:rsidR="00B731DD">
        <w:t>% of total employment in the IT industry.</w:t>
      </w:r>
    </w:p>
  </w:footnote>
  <w:footnote w:id="4">
    <w:p w14:paraId="24FEC03B" w14:textId="77777777" w:rsidR="007C3309" w:rsidRDefault="007C3309" w:rsidP="007C3309">
      <w:pPr>
        <w:pStyle w:val="FootnoteText"/>
      </w:pPr>
      <w:r>
        <w:rPr>
          <w:rStyle w:val="FootnoteReference"/>
        </w:rPr>
        <w:footnoteRef/>
      </w:r>
      <w:r>
        <w:t xml:space="preserve"> ABS, Labour Force, Australia, Detailed, February 2026, ABS and JSA trend estimates (latest available data). Occupation estimates from the ABS Labour Force Survey are currently </w:t>
      </w:r>
      <w:hyperlink r:id="rId3" w:history="1">
        <w:r w:rsidRPr="00313C5A">
          <w:rPr>
            <w:rStyle w:val="Hyperlink"/>
          </w:rPr>
          <w:t>paused</w:t>
        </w:r>
      </w:hyperlink>
      <w:r>
        <w:t xml:space="preserve">. </w:t>
      </w:r>
      <w:r w:rsidRPr="00313C5A">
        <w:t>The ABS intends to resume producing Labour Force Survey occupation data, starting from the September 2026 reference period Labour Force Survey release.</w:t>
      </w:r>
    </w:p>
  </w:footnote>
  <w:footnote w:id="5">
    <w:p w14:paraId="077A1246" w14:textId="4E5FDE3E" w:rsidR="00DF0640" w:rsidRDefault="00DF0640" w:rsidP="00DF0640">
      <w:pPr>
        <w:pStyle w:val="FootnoteText"/>
      </w:pPr>
      <w:r>
        <w:rPr>
          <w:rStyle w:val="FootnoteReference"/>
        </w:rPr>
        <w:footnoteRef/>
      </w:r>
      <w:r>
        <w:t xml:space="preserve"> JSA, </w:t>
      </w:r>
      <w:hyperlink r:id="rId4" w:history="1">
        <w:r w:rsidRPr="00D20859">
          <w:rPr>
            <w:rStyle w:val="Hyperlink"/>
          </w:rPr>
          <w:t>Generative AI Capacity Study - Interactive Tables Data</w:t>
        </w:r>
      </w:hyperlink>
      <w:r>
        <w:t xml:space="preserve">, 2025. </w:t>
      </w:r>
      <w:r w:rsidR="00F25B7B">
        <w:t>IT Professional</w:t>
      </w:r>
      <w:r>
        <w:t xml:space="preserve"> occupations </w:t>
      </w:r>
      <w:r w:rsidR="00F25B7B">
        <w:t xml:space="preserve">with </w:t>
      </w:r>
      <w:r w:rsidR="00F25B7B" w:rsidRPr="00F25B7B">
        <w:t xml:space="preserve">high </w:t>
      </w:r>
      <w:r w:rsidR="00F25B7B">
        <w:t>AI</w:t>
      </w:r>
      <w:r w:rsidR="00F25B7B" w:rsidRPr="00F25B7B">
        <w:t xml:space="preserve"> augmentation</w:t>
      </w:r>
      <w:r w:rsidR="00F25B7B">
        <w:t xml:space="preserve"> exposure scores </w:t>
      </w:r>
      <w:proofErr w:type="gramStart"/>
      <w:r w:rsidR="00F25B7B">
        <w:t>include</w:t>
      </w:r>
      <w:r>
        <w:t>:</w:t>
      </w:r>
      <w:proofErr w:type="gramEnd"/>
      <w:r>
        <w:t xml:space="preserve"> </w:t>
      </w:r>
      <w:r w:rsidRPr="0056366D">
        <w:t>Software and Applications Programmers</w:t>
      </w:r>
      <w:r>
        <w:t xml:space="preserve">; </w:t>
      </w:r>
      <w:r w:rsidRPr="0056366D">
        <w:t>ICT Business and Systems Analysts</w:t>
      </w:r>
      <w:r w:rsidR="00F25B7B">
        <w:t>;</w:t>
      </w:r>
      <w:r>
        <w:t xml:space="preserve"> and </w:t>
      </w:r>
      <w:r w:rsidRPr="005C5ADB">
        <w:t>Multimedia Specialists and Web Developers</w:t>
      </w:r>
      <w:r>
        <w:t>.</w:t>
      </w:r>
    </w:p>
  </w:footnote>
  <w:footnote w:id="6">
    <w:p w14:paraId="711BCC5C" w14:textId="77777777" w:rsidR="00DF0640" w:rsidRDefault="00DF0640" w:rsidP="00DF0640">
      <w:pPr>
        <w:pStyle w:val="FootnoteText"/>
      </w:pPr>
      <w:r>
        <w:rPr>
          <w:rStyle w:val="FootnoteReference"/>
        </w:rPr>
        <w:footnoteRef/>
      </w:r>
      <w:r>
        <w:t xml:space="preserve"> DEWR</w:t>
      </w:r>
      <w:hyperlink r:id="rId5" w:history="1">
        <w:r w:rsidRPr="00AD7943">
          <w:rPr>
            <w:rStyle w:val="Hyperlink"/>
          </w:rPr>
          <w:t>, AI and Employment in Australia: Monitoring framework and evidence to date</w:t>
        </w:r>
      </w:hyperlink>
      <w:r>
        <w:t>, July 2026</w:t>
      </w:r>
    </w:p>
  </w:footnote>
  <w:footnote w:id="7">
    <w:p w14:paraId="719649C3" w14:textId="4716893D" w:rsidR="00DF0640" w:rsidRDefault="00DF0640">
      <w:pPr>
        <w:pStyle w:val="FootnoteText"/>
      </w:pPr>
      <w:r>
        <w:rPr>
          <w:rStyle w:val="FootnoteReference"/>
        </w:rPr>
        <w:footnoteRef/>
      </w:r>
      <w:r>
        <w:t xml:space="preserve"> JSA, Employment Projections</w:t>
      </w:r>
      <w:r w:rsidR="00651C52">
        <w:t xml:space="preserve">, </w:t>
      </w:r>
      <w:r w:rsidRPr="00DF0640">
        <w:t>May 2025</w:t>
      </w:r>
      <w:r>
        <w:t xml:space="preserve"> </w:t>
      </w:r>
    </w:p>
  </w:footnote>
  <w:footnote w:id="8">
    <w:p w14:paraId="236C91BA" w14:textId="3035BEAF" w:rsidR="00991F42" w:rsidRDefault="00991F42">
      <w:pPr>
        <w:pStyle w:val="FootnoteText"/>
      </w:pPr>
      <w:r>
        <w:rPr>
          <w:rStyle w:val="FootnoteReference"/>
        </w:rPr>
        <w:footnoteRef/>
      </w:r>
      <w:r>
        <w:t xml:space="preserve"> </w:t>
      </w:r>
      <w:r w:rsidRPr="00F849C6">
        <w:t>JSA, Internet Vacancy Index, July 2026, trend estimates</w:t>
      </w:r>
    </w:p>
  </w:footnote>
  <w:footnote w:id="9">
    <w:p w14:paraId="3555B3C4" w14:textId="6F950C86" w:rsidR="00984121" w:rsidRDefault="00984121">
      <w:pPr>
        <w:pStyle w:val="FootnoteText"/>
      </w:pPr>
      <w:r>
        <w:rPr>
          <w:rStyle w:val="FootnoteReference"/>
        </w:rPr>
        <w:footnoteRef/>
      </w:r>
      <w:r>
        <w:t xml:space="preserve"> The available data </w:t>
      </w:r>
      <w:r w:rsidR="00F93D1E">
        <w:t>do not indicate what these other concerns involved.</w:t>
      </w:r>
    </w:p>
  </w:footnote>
  <w:footnote w:id="10">
    <w:p w14:paraId="684281B0" w14:textId="77777777" w:rsidR="00C6290B" w:rsidRDefault="00C6290B" w:rsidP="00C6290B">
      <w:pPr>
        <w:pStyle w:val="FootnoteText"/>
      </w:pPr>
      <w:r>
        <w:rPr>
          <w:rStyle w:val="FootnoteReference"/>
        </w:rPr>
        <w:footnoteRef/>
      </w:r>
      <w:r>
        <w:t xml:space="preserve"> </w:t>
      </w:r>
      <w:r w:rsidRPr="00323ACE">
        <w:t xml:space="preserve">Professional, Scientific and Technical Services (Except Computer System Design and Related Services) </w:t>
      </w:r>
      <w:r>
        <w:t>is</w:t>
      </w:r>
      <w:r w:rsidRPr="00323ACE">
        <w:t xml:space="preserve"> referred to as ‘Other Professional, Scientific and Technical Services’ industries in this paper.</w:t>
      </w:r>
    </w:p>
  </w:footnote>
  <w:footnote w:id="11">
    <w:p w14:paraId="23E28BAC" w14:textId="6E866F2B" w:rsidR="003056D6" w:rsidRDefault="003056D6">
      <w:pPr>
        <w:pStyle w:val="FootnoteText"/>
      </w:pPr>
      <w:r>
        <w:rPr>
          <w:rStyle w:val="FootnoteReference"/>
        </w:rPr>
        <w:footnoteRef/>
      </w:r>
      <w:r>
        <w:t xml:space="preserve"> The recruitment rate is the </w:t>
      </w:r>
      <w:r w:rsidRPr="003056D6">
        <w:t>proportion of employers who were either currently recruiting at the time of the survey or had recruited in the month prior to being surveyed.</w:t>
      </w:r>
    </w:p>
  </w:footnote>
  <w:footnote w:id="12">
    <w:p w14:paraId="56F748A8" w14:textId="5554F197" w:rsidR="008D00CE" w:rsidRDefault="008D00CE">
      <w:pPr>
        <w:pStyle w:val="FootnoteText"/>
      </w:pPr>
      <w:r w:rsidRPr="005A08DC">
        <w:rPr>
          <w:rStyle w:val="FootnoteReference"/>
        </w:rPr>
        <w:footnoteRef/>
      </w:r>
      <w:r w:rsidRPr="005A08DC">
        <w:t xml:space="preserve"> ABS</w:t>
      </w:r>
      <w:r w:rsidR="00BA4E25" w:rsidRPr="005A08DC">
        <w:t>, Labour Force</w:t>
      </w:r>
      <w:r w:rsidR="00FA6343" w:rsidRPr="005A08DC">
        <w:t>, customise</w:t>
      </w:r>
      <w:r w:rsidR="00485F42" w:rsidRPr="005A08DC">
        <w:t>d</w:t>
      </w:r>
      <w:r w:rsidR="00FA6343" w:rsidRPr="005A08DC">
        <w:t xml:space="preserve"> data, 2026 (2025 reference period)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778EA" w14:textId="16C8A14F" w:rsidR="001F6273" w:rsidRDefault="002212A8" w:rsidP="005D6222">
    <w:pPr>
      <w:pStyle w:val="Header"/>
      <w:spacing w:before="0" w:after="0" w:line="240" w:lineRule="auto"/>
      <w:ind w:hanging="1418"/>
    </w:pPr>
    <w:r>
      <w:rPr>
        <w:noProof/>
      </w:rPr>
      <w:drawing>
        <wp:inline distT="0" distB="0" distL="0" distR="0" wp14:anchorId="29E12440" wp14:editId="2F9709A7">
          <wp:extent cx="7571034" cy="1628775"/>
          <wp:effectExtent l="0" t="0" r="0" b="0"/>
          <wp:docPr id="618201093" name="Graphic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201093" name="Graphic 3">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733917" cy="1663816"/>
                  </a:xfrm>
                  <a:prstGeom prst="rect">
                    <a:avLst/>
                  </a:prstGeom>
                </pic:spPr>
              </pic:pic>
            </a:graphicData>
          </a:graphic>
        </wp:inline>
      </w:drawing>
    </w:r>
  </w:p>
  <w:p w14:paraId="1706858C" w14:textId="77777777" w:rsidR="001F6273" w:rsidRDefault="001F62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61B3F"/>
    <w:multiLevelType w:val="hybridMultilevel"/>
    <w:tmpl w:val="11FA01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0CA0299"/>
    <w:multiLevelType w:val="multilevel"/>
    <w:tmpl w:val="0D96AACA"/>
    <w:numStyleLink w:val="AppendixHeadingmaster"/>
  </w:abstractNum>
  <w:abstractNum w:abstractNumId="2" w15:restartNumberingAfterBreak="0">
    <w:nsid w:val="045550B2"/>
    <w:multiLevelType w:val="multilevel"/>
    <w:tmpl w:val="9F703E2E"/>
    <w:numStyleLink w:val="ListBulletmaster"/>
  </w:abstractNum>
  <w:abstractNum w:abstractNumId="3" w15:restartNumberingAfterBreak="0">
    <w:nsid w:val="056C2149"/>
    <w:multiLevelType w:val="hybridMultilevel"/>
    <w:tmpl w:val="D00CD4A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 w15:restartNumberingAfterBreak="0">
    <w:nsid w:val="084F7801"/>
    <w:multiLevelType w:val="multilevel"/>
    <w:tmpl w:val="EAA2F742"/>
    <w:numStyleLink w:val="TableListNumbermaster"/>
  </w:abstractNum>
  <w:abstractNum w:abstractNumId="5" w15:restartNumberingAfterBreak="0">
    <w:nsid w:val="0F167765"/>
    <w:multiLevelType w:val="multilevel"/>
    <w:tmpl w:val="0D96AACA"/>
    <w:styleLink w:val="AppendixHeadingmaster"/>
    <w:lvl w:ilvl="0">
      <w:start w:val="1"/>
      <w:numFmt w:val="upperLetter"/>
      <w:pStyle w:val="AppendixHeading1"/>
      <w:lvlText w:val="Appendix %1"/>
      <w:lvlJc w:val="left"/>
      <w:pPr>
        <w:ind w:left="2268" w:hanging="2268"/>
      </w:pPr>
      <w:rPr>
        <w:rFonts w:ascii="Arial Bold" w:hAnsi="Arial Bold" w:hint="default"/>
        <w:b/>
        <w:i w:val="0"/>
        <w:color w:val="4B0985"/>
        <w:sz w:val="56"/>
      </w:rPr>
    </w:lvl>
    <w:lvl w:ilvl="1">
      <w:start w:val="1"/>
      <w:numFmt w:val="decimal"/>
      <w:pStyle w:val="AppendixHeading2"/>
      <w:lvlText w:val="%1.%2."/>
      <w:lvlJc w:val="left"/>
      <w:pPr>
        <w:ind w:left="1021" w:hanging="1021"/>
      </w:pPr>
      <w:rPr>
        <w:rFonts w:hint="default"/>
      </w:rPr>
    </w:lvl>
    <w:lvl w:ilvl="2">
      <w:start w:val="1"/>
      <w:numFmt w:val="none"/>
      <w:lvlText w:val="%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32E010B"/>
    <w:multiLevelType w:val="multilevel"/>
    <w:tmpl w:val="0D96AACA"/>
    <w:numStyleLink w:val="AppendixHeadingmaster"/>
  </w:abstractNum>
  <w:abstractNum w:abstractNumId="7" w15:restartNumberingAfterBreak="0">
    <w:nsid w:val="14913431"/>
    <w:multiLevelType w:val="multilevel"/>
    <w:tmpl w:val="28F46D40"/>
    <w:numStyleLink w:val="ListNumbermaster"/>
  </w:abstractNum>
  <w:abstractNum w:abstractNumId="8" w15:restartNumberingAfterBreak="0">
    <w:nsid w:val="17A434C9"/>
    <w:multiLevelType w:val="multilevel"/>
    <w:tmpl w:val="113457F2"/>
    <w:numStyleLink w:val="Headingsmaster"/>
  </w:abstractNum>
  <w:abstractNum w:abstractNumId="9" w15:restartNumberingAfterBreak="0">
    <w:nsid w:val="1A753D77"/>
    <w:multiLevelType w:val="multilevel"/>
    <w:tmpl w:val="113457F2"/>
    <w:styleLink w:val="Headingsmaster"/>
    <w:lvl w:ilvl="0">
      <w:start w:val="1"/>
      <w:numFmt w:val="decimal"/>
      <w:lvlText w:val="Chapter %1"/>
      <w:lvlJc w:val="left"/>
      <w:pPr>
        <w:ind w:left="0" w:firstLine="0"/>
      </w:pPr>
      <w:rPr>
        <w:rFonts w:hint="default"/>
      </w:rPr>
    </w:lvl>
    <w:lvl w:ilvl="1">
      <w:start w:val="1"/>
      <w:numFmt w:val="decimal"/>
      <w:lvlText w:val="%1.%2"/>
      <w:lvlJc w:val="left"/>
      <w:pPr>
        <w:ind w:left="1072" w:hanging="1072"/>
      </w:pPr>
      <w:rPr>
        <w:rFonts w:hint="default"/>
      </w:rPr>
    </w:lvl>
    <w:lvl w:ilvl="2">
      <w:start w:val="1"/>
      <w:numFmt w:val="decimal"/>
      <w:lvlText w:val="%1.%2.%3"/>
      <w:lvlJc w:val="left"/>
      <w:pPr>
        <w:ind w:left="1072" w:hanging="1072"/>
      </w:pPr>
      <w:rPr>
        <w:rFonts w:hint="default"/>
      </w:rPr>
    </w:lvl>
    <w:lvl w:ilvl="3">
      <w:start w:val="1"/>
      <w:numFmt w:val="decimal"/>
      <w:lvlText w:val="%1.%2.%3.%4"/>
      <w:lvlJc w:val="left"/>
      <w:pPr>
        <w:ind w:left="1072" w:hanging="1072"/>
      </w:pPr>
      <w:rPr>
        <w:rFonts w:hint="default"/>
      </w:rPr>
    </w:lvl>
    <w:lvl w:ilvl="4">
      <w:start w:val="1"/>
      <w:numFmt w:val="decimal"/>
      <w:lvlText w:val="%1.%2.%3.%4.%5"/>
      <w:lvlJc w:val="left"/>
      <w:pPr>
        <w:ind w:left="1072" w:hanging="107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BB76778"/>
    <w:multiLevelType w:val="multilevel"/>
    <w:tmpl w:val="56043EA4"/>
    <w:numStyleLink w:val="TableListBulletmaster"/>
  </w:abstractNum>
  <w:abstractNum w:abstractNumId="11" w15:restartNumberingAfterBreak="0">
    <w:nsid w:val="1E1304D0"/>
    <w:multiLevelType w:val="multilevel"/>
    <w:tmpl w:val="56043EA4"/>
    <w:numStyleLink w:val="TableListBulletmaster"/>
  </w:abstractNum>
  <w:abstractNum w:abstractNumId="12" w15:restartNumberingAfterBreak="0">
    <w:nsid w:val="1F082FEE"/>
    <w:multiLevelType w:val="multilevel"/>
    <w:tmpl w:val="EAA2F742"/>
    <w:styleLink w:val="TableListNumbermaster"/>
    <w:lvl w:ilvl="0">
      <w:start w:val="1"/>
      <w:numFmt w:val="decimal"/>
      <w:pStyle w:val="TableListNumber"/>
      <w:lvlText w:val="%1."/>
      <w:lvlJc w:val="left"/>
      <w:pPr>
        <w:ind w:left="284" w:hanging="284"/>
      </w:pPr>
      <w:rPr>
        <w:rFonts w:hint="default"/>
        <w:color w:val="auto"/>
      </w:rPr>
    </w:lvl>
    <w:lvl w:ilvl="1">
      <w:start w:val="1"/>
      <w:numFmt w:val="lowerLetter"/>
      <w:pStyle w:val="TableListNumber2"/>
      <w:lvlText w:val="%2."/>
      <w:lvlJc w:val="left"/>
      <w:pPr>
        <w:ind w:left="567" w:hanging="283"/>
      </w:pPr>
      <w:rPr>
        <w:rFonts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2695D78"/>
    <w:multiLevelType w:val="multilevel"/>
    <w:tmpl w:val="EAA2F742"/>
    <w:numStyleLink w:val="TableListNumbermaster"/>
  </w:abstractNum>
  <w:abstractNum w:abstractNumId="14" w15:restartNumberingAfterBreak="0">
    <w:nsid w:val="242839DB"/>
    <w:multiLevelType w:val="multilevel"/>
    <w:tmpl w:val="A1224394"/>
    <w:styleLink w:val="ListLegalmaster"/>
    <w:lvl w:ilvl="0">
      <w:start w:val="1"/>
      <w:numFmt w:val="decimal"/>
      <w:pStyle w:val="ListLegal"/>
      <w:lvlText w:val="%1."/>
      <w:lvlJc w:val="left"/>
      <w:pPr>
        <w:ind w:left="357" w:hanging="357"/>
      </w:pPr>
      <w:rPr>
        <w:rFonts w:ascii="Arial" w:hAnsi="Arial" w:hint="default"/>
        <w:b w:val="0"/>
        <w:i w:val="0"/>
        <w:color w:val="auto"/>
        <w:sz w:val="20"/>
      </w:rPr>
    </w:lvl>
    <w:lvl w:ilvl="1">
      <w:start w:val="1"/>
      <w:numFmt w:val="lowerLetter"/>
      <w:pStyle w:val="ListLegal2"/>
      <w:lvlText w:val="(%2)"/>
      <w:lvlJc w:val="left"/>
      <w:pPr>
        <w:tabs>
          <w:tab w:val="num" w:pos="720"/>
        </w:tabs>
        <w:ind w:left="714" w:hanging="357"/>
      </w:pPr>
      <w:rPr>
        <w:rFonts w:ascii="Arial" w:hAnsi="Arial" w:hint="default"/>
        <w:b w:val="0"/>
        <w:i w:val="0"/>
        <w:color w:val="auto"/>
        <w:sz w:val="20"/>
      </w:rPr>
    </w:lvl>
    <w:lvl w:ilvl="2">
      <w:start w:val="1"/>
      <w:numFmt w:val="lowerRoman"/>
      <w:pStyle w:val="ListLegal3"/>
      <w:lvlText w:val="(%3)"/>
      <w:lvlJc w:val="left"/>
      <w:pPr>
        <w:ind w:left="1435" w:hanging="721"/>
      </w:pPr>
      <w:rPr>
        <w:rFonts w:ascii="Arial" w:hAnsi="Arial" w:hint="default"/>
        <w:b w:val="0"/>
        <w:i w:val="0"/>
        <w:color w:val="auto"/>
        <w:sz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C0E4DE9"/>
    <w:multiLevelType w:val="multilevel"/>
    <w:tmpl w:val="56043EA4"/>
    <w:numStyleLink w:val="TableListBulletmaster"/>
  </w:abstractNum>
  <w:abstractNum w:abstractNumId="16" w15:restartNumberingAfterBreak="0">
    <w:nsid w:val="2D9328E2"/>
    <w:multiLevelType w:val="multilevel"/>
    <w:tmpl w:val="28F46D40"/>
    <w:styleLink w:val="ListNumbermaster"/>
    <w:lvl w:ilvl="0">
      <w:start w:val="1"/>
      <w:numFmt w:val="decimal"/>
      <w:pStyle w:val="ListNumber"/>
      <w:lvlText w:val="%1."/>
      <w:lvlJc w:val="left"/>
      <w:pPr>
        <w:ind w:left="360" w:hanging="360"/>
      </w:pPr>
      <w:rPr>
        <w:rFonts w:ascii="Arial" w:hAnsi="Arial" w:hint="default"/>
        <w:color w:val="auto"/>
        <w:sz w:val="20"/>
      </w:rPr>
    </w:lvl>
    <w:lvl w:ilvl="1">
      <w:start w:val="1"/>
      <w:numFmt w:val="lowerLetter"/>
      <w:pStyle w:val="ListNumber2"/>
      <w:lvlText w:val="%2."/>
      <w:lvlJc w:val="left"/>
      <w:pPr>
        <w:ind w:left="720" w:hanging="360"/>
      </w:pPr>
      <w:rPr>
        <w:rFonts w:ascii="Arial" w:hAnsi="Arial" w:hint="default"/>
        <w:color w:val="auto"/>
        <w:sz w:val="20"/>
      </w:rPr>
    </w:lvl>
    <w:lvl w:ilvl="2">
      <w:start w:val="1"/>
      <w:numFmt w:val="lowerRoman"/>
      <w:pStyle w:val="ListNumber3"/>
      <w:lvlText w:val="%3."/>
      <w:lvlJc w:val="left"/>
      <w:pPr>
        <w:ind w:left="1080" w:hanging="360"/>
      </w:pPr>
      <w:rPr>
        <w:rFonts w:ascii="Arial" w:hAnsi="Aria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0C415FF"/>
    <w:multiLevelType w:val="multilevel"/>
    <w:tmpl w:val="113457F2"/>
    <w:numStyleLink w:val="Headingsmaster"/>
  </w:abstractNum>
  <w:abstractNum w:abstractNumId="18" w15:restartNumberingAfterBreak="0">
    <w:nsid w:val="311066B6"/>
    <w:multiLevelType w:val="multilevel"/>
    <w:tmpl w:val="113457F2"/>
    <w:numStyleLink w:val="Headingsmaster"/>
  </w:abstractNum>
  <w:abstractNum w:abstractNumId="19" w15:restartNumberingAfterBreak="0">
    <w:nsid w:val="34666B61"/>
    <w:multiLevelType w:val="multilevel"/>
    <w:tmpl w:val="113457F2"/>
    <w:numStyleLink w:val="Headingsmaster"/>
  </w:abstractNum>
  <w:abstractNum w:abstractNumId="20" w15:restartNumberingAfterBreak="0">
    <w:nsid w:val="36B75813"/>
    <w:multiLevelType w:val="multilevel"/>
    <w:tmpl w:val="0D96AACA"/>
    <w:numStyleLink w:val="AppendixHeadingmaster"/>
  </w:abstractNum>
  <w:abstractNum w:abstractNumId="21" w15:restartNumberingAfterBreak="0">
    <w:nsid w:val="3C9723CF"/>
    <w:multiLevelType w:val="multilevel"/>
    <w:tmpl w:val="56043EA4"/>
    <w:numStyleLink w:val="TableListBulletmaster"/>
  </w:abstractNum>
  <w:abstractNum w:abstractNumId="22" w15:restartNumberingAfterBreak="0">
    <w:nsid w:val="3C9F68FB"/>
    <w:multiLevelType w:val="multilevel"/>
    <w:tmpl w:val="113457F2"/>
    <w:numStyleLink w:val="Headingsmaster"/>
  </w:abstractNum>
  <w:abstractNum w:abstractNumId="23" w15:restartNumberingAfterBreak="0">
    <w:nsid w:val="47D50479"/>
    <w:multiLevelType w:val="multilevel"/>
    <w:tmpl w:val="28E66356"/>
    <w:styleLink w:val="ListAlphanumericmaster"/>
    <w:lvl w:ilvl="0">
      <w:start w:val="1"/>
      <w:numFmt w:val="lowerLetter"/>
      <w:lvlText w:val="%1)"/>
      <w:lvlJc w:val="left"/>
      <w:pPr>
        <w:ind w:left="357" w:hanging="357"/>
      </w:pPr>
      <w:rPr>
        <w:rFonts w:hint="default"/>
      </w:rPr>
    </w:lvl>
    <w:lvl w:ilvl="1">
      <w:start w:val="1"/>
      <w:numFmt w:val="lowerRoman"/>
      <w:lvlText w:val="%2)"/>
      <w:lvlJc w:val="left"/>
      <w:pPr>
        <w:ind w:left="714" w:hanging="357"/>
      </w:pPr>
      <w:rPr>
        <w:rFonts w:hint="default"/>
      </w:rPr>
    </w:lvl>
    <w:lvl w:ilvl="2">
      <w:start w:val="1"/>
      <w:numFmt w:val="lowerRoman"/>
      <w:lvlText w:val="(%3)"/>
      <w:lvlJc w:val="left"/>
      <w:pPr>
        <w:ind w:left="1361"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484D764C"/>
    <w:multiLevelType w:val="multilevel"/>
    <w:tmpl w:val="EAA2F742"/>
    <w:numStyleLink w:val="TableListNumbermaster"/>
  </w:abstractNum>
  <w:abstractNum w:abstractNumId="25" w15:restartNumberingAfterBreak="0">
    <w:nsid w:val="51910100"/>
    <w:multiLevelType w:val="multilevel"/>
    <w:tmpl w:val="113457F2"/>
    <w:numStyleLink w:val="Headingsmaster"/>
  </w:abstractNum>
  <w:abstractNum w:abstractNumId="26" w15:restartNumberingAfterBreak="0">
    <w:nsid w:val="57A51FC2"/>
    <w:multiLevelType w:val="multilevel"/>
    <w:tmpl w:val="56043EA4"/>
    <w:styleLink w:val="TableListBulletmaster"/>
    <w:lvl w:ilvl="0">
      <w:start w:val="1"/>
      <w:numFmt w:val="bullet"/>
      <w:pStyle w:val="TableListBullet"/>
      <w:lvlText w:val=""/>
      <w:lvlJc w:val="left"/>
      <w:pPr>
        <w:ind w:left="284" w:hanging="284"/>
      </w:pPr>
      <w:rPr>
        <w:rFonts w:ascii="Symbol" w:hAnsi="Symbol" w:hint="default"/>
        <w:color w:val="auto"/>
      </w:rPr>
    </w:lvl>
    <w:lvl w:ilvl="1">
      <w:start w:val="1"/>
      <w:numFmt w:val="bullet"/>
      <w:pStyle w:val="TableListBullet2"/>
      <w:lvlText w:val="̶"/>
      <w:lvlJc w:val="left"/>
      <w:pPr>
        <w:ind w:left="567" w:hanging="283"/>
      </w:pPr>
      <w:rPr>
        <w:rFonts w:ascii="Calibri" w:hAnsi="Calibri"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617A4A9F"/>
    <w:multiLevelType w:val="hybridMultilevel"/>
    <w:tmpl w:val="08E20F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2047795"/>
    <w:multiLevelType w:val="multilevel"/>
    <w:tmpl w:val="B4C8D01E"/>
    <w:lvl w:ilvl="0">
      <w:start w:val="1"/>
      <w:numFmt w:val="decimal"/>
      <w:lvlText w:val="%1"/>
      <w:lvlJc w:val="left"/>
      <w:pPr>
        <w:tabs>
          <w:tab w:val="num" w:pos="1021"/>
        </w:tabs>
        <w:ind w:left="1021" w:hanging="1021"/>
      </w:pPr>
      <w:rPr>
        <w:rFonts w:hint="default"/>
      </w:rPr>
    </w:lvl>
    <w:lvl w:ilvl="1">
      <w:start w:val="1"/>
      <w:numFmt w:val="decimal"/>
      <w:lvlText w:val="%1.%2"/>
      <w:lvlJc w:val="left"/>
      <w:pPr>
        <w:tabs>
          <w:tab w:val="num" w:pos="1021"/>
        </w:tabs>
        <w:ind w:left="1021" w:hanging="1021"/>
      </w:pPr>
      <w:rPr>
        <w:rFonts w:hint="default"/>
      </w:rPr>
    </w:lvl>
    <w:lvl w:ilvl="2">
      <w:start w:val="1"/>
      <w:numFmt w:val="decimal"/>
      <w:lvlText w:val="%1.%2.%3"/>
      <w:lvlJc w:val="left"/>
      <w:pPr>
        <w:tabs>
          <w:tab w:val="num" w:pos="1021"/>
        </w:tabs>
        <w:ind w:left="1021" w:hanging="1021"/>
      </w:pPr>
      <w:rPr>
        <w:rFonts w:hint="default"/>
      </w:rPr>
    </w:lvl>
    <w:lvl w:ilvl="3">
      <w:start w:val="1"/>
      <w:numFmt w:val="decimal"/>
      <w:lvlText w:val="%1.%2.%3.%4"/>
      <w:lvlJc w:val="left"/>
      <w:pPr>
        <w:tabs>
          <w:tab w:val="num" w:pos="1021"/>
        </w:tabs>
        <w:ind w:left="1021" w:hanging="1021"/>
      </w:pPr>
      <w:rPr>
        <w:rFonts w:hint="default"/>
      </w:rPr>
    </w:lvl>
    <w:lvl w:ilvl="4">
      <w:start w:val="1"/>
      <w:numFmt w:val="none"/>
      <w:lvlText w:val=""/>
      <w:lvlJc w:val="left"/>
      <w:pPr>
        <w:tabs>
          <w:tab w:val="num" w:pos="0"/>
        </w:tabs>
        <w:ind w:left="0" w:firstLine="0"/>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15:restartNumberingAfterBreak="0">
    <w:nsid w:val="632D74CC"/>
    <w:multiLevelType w:val="multilevel"/>
    <w:tmpl w:val="0D96AACA"/>
    <w:numStyleLink w:val="AppendixHeadingmaster"/>
  </w:abstractNum>
  <w:abstractNum w:abstractNumId="30" w15:restartNumberingAfterBreak="0">
    <w:nsid w:val="648E6CBA"/>
    <w:multiLevelType w:val="multilevel"/>
    <w:tmpl w:val="9F703E2E"/>
    <w:styleLink w:val="ListBulletmaster"/>
    <w:lvl w:ilvl="0">
      <w:start w:val="1"/>
      <w:numFmt w:val="bullet"/>
      <w:pStyle w:val="ListBullet"/>
      <w:lvlText w:val=""/>
      <w:lvlJc w:val="left"/>
      <w:pPr>
        <w:tabs>
          <w:tab w:val="num" w:pos="360"/>
        </w:tabs>
        <w:ind w:left="360" w:hanging="360"/>
      </w:pPr>
      <w:rPr>
        <w:rFonts w:ascii="Symbol" w:hAnsi="Symbol" w:hint="default"/>
        <w:color w:val="auto"/>
      </w:rPr>
    </w:lvl>
    <w:lvl w:ilvl="1">
      <w:start w:val="1"/>
      <w:numFmt w:val="bullet"/>
      <w:pStyle w:val="ListBullet2"/>
      <w:lvlText w:val=""/>
      <w:lvlJc w:val="left"/>
      <w:pPr>
        <w:ind w:left="714" w:hanging="357"/>
      </w:pPr>
      <w:rPr>
        <w:rFonts w:ascii="Symbol" w:hAnsi="Symbol" w:hint="default"/>
        <w:color w:val="auto"/>
      </w:rPr>
    </w:lvl>
    <w:lvl w:ilvl="2">
      <w:start w:val="1"/>
      <w:numFmt w:val="bullet"/>
      <w:pStyle w:val="ListBullet3"/>
      <w:lvlText w:val="■"/>
      <w:lvlJc w:val="left"/>
      <w:pPr>
        <w:ind w:left="1072" w:hanging="358"/>
      </w:pPr>
      <w:rPr>
        <w:rFonts w:ascii="Arial" w:hAnsi="Arial" w:hint="default"/>
        <w:color w:val="auto"/>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69E659CA"/>
    <w:multiLevelType w:val="multilevel"/>
    <w:tmpl w:val="9F703E2E"/>
    <w:numStyleLink w:val="ListBulletmaster"/>
  </w:abstractNum>
  <w:abstractNum w:abstractNumId="32" w15:restartNumberingAfterBreak="0">
    <w:nsid w:val="6B4C12B8"/>
    <w:multiLevelType w:val="multilevel"/>
    <w:tmpl w:val="113457F2"/>
    <w:numStyleLink w:val="Headingsmaster"/>
  </w:abstractNum>
  <w:abstractNum w:abstractNumId="33" w15:restartNumberingAfterBreak="0">
    <w:nsid w:val="6C3F031A"/>
    <w:multiLevelType w:val="multilevel"/>
    <w:tmpl w:val="A1224394"/>
    <w:numStyleLink w:val="ListLegalmaster"/>
  </w:abstractNum>
  <w:abstractNum w:abstractNumId="34" w15:restartNumberingAfterBreak="0">
    <w:nsid w:val="6D534A7F"/>
    <w:multiLevelType w:val="hybridMultilevel"/>
    <w:tmpl w:val="747C526C"/>
    <w:lvl w:ilvl="0" w:tplc="4EE2A802">
      <w:start w:val="1"/>
      <w:numFmt w:val="bullet"/>
      <w:lvlText w:val=""/>
      <w:lvlJc w:val="left"/>
      <w:pPr>
        <w:ind w:left="1060" w:hanging="360"/>
      </w:pPr>
      <w:rPr>
        <w:rFonts w:ascii="Symbol" w:hAnsi="Symbol"/>
      </w:rPr>
    </w:lvl>
    <w:lvl w:ilvl="1" w:tplc="D0200AF0">
      <w:start w:val="1"/>
      <w:numFmt w:val="bullet"/>
      <w:lvlText w:val=""/>
      <w:lvlJc w:val="left"/>
      <w:pPr>
        <w:ind w:left="1060" w:hanging="360"/>
      </w:pPr>
      <w:rPr>
        <w:rFonts w:ascii="Symbol" w:hAnsi="Symbol"/>
      </w:rPr>
    </w:lvl>
    <w:lvl w:ilvl="2" w:tplc="E6E2332C">
      <w:start w:val="1"/>
      <w:numFmt w:val="bullet"/>
      <w:lvlText w:val=""/>
      <w:lvlJc w:val="left"/>
      <w:pPr>
        <w:ind w:left="1060" w:hanging="360"/>
      </w:pPr>
      <w:rPr>
        <w:rFonts w:ascii="Symbol" w:hAnsi="Symbol"/>
      </w:rPr>
    </w:lvl>
    <w:lvl w:ilvl="3" w:tplc="82CA202A">
      <w:start w:val="1"/>
      <w:numFmt w:val="bullet"/>
      <w:lvlText w:val=""/>
      <w:lvlJc w:val="left"/>
      <w:pPr>
        <w:ind w:left="1060" w:hanging="360"/>
      </w:pPr>
      <w:rPr>
        <w:rFonts w:ascii="Symbol" w:hAnsi="Symbol"/>
      </w:rPr>
    </w:lvl>
    <w:lvl w:ilvl="4" w:tplc="527CEEA4">
      <w:start w:val="1"/>
      <w:numFmt w:val="bullet"/>
      <w:lvlText w:val=""/>
      <w:lvlJc w:val="left"/>
      <w:pPr>
        <w:ind w:left="1060" w:hanging="360"/>
      </w:pPr>
      <w:rPr>
        <w:rFonts w:ascii="Symbol" w:hAnsi="Symbol"/>
      </w:rPr>
    </w:lvl>
    <w:lvl w:ilvl="5" w:tplc="C9149056">
      <w:start w:val="1"/>
      <w:numFmt w:val="bullet"/>
      <w:lvlText w:val=""/>
      <w:lvlJc w:val="left"/>
      <w:pPr>
        <w:ind w:left="1060" w:hanging="360"/>
      </w:pPr>
      <w:rPr>
        <w:rFonts w:ascii="Symbol" w:hAnsi="Symbol"/>
      </w:rPr>
    </w:lvl>
    <w:lvl w:ilvl="6" w:tplc="97565260">
      <w:start w:val="1"/>
      <w:numFmt w:val="bullet"/>
      <w:lvlText w:val=""/>
      <w:lvlJc w:val="left"/>
      <w:pPr>
        <w:ind w:left="1060" w:hanging="360"/>
      </w:pPr>
      <w:rPr>
        <w:rFonts w:ascii="Symbol" w:hAnsi="Symbol"/>
      </w:rPr>
    </w:lvl>
    <w:lvl w:ilvl="7" w:tplc="97C49E00">
      <w:start w:val="1"/>
      <w:numFmt w:val="bullet"/>
      <w:lvlText w:val=""/>
      <w:lvlJc w:val="left"/>
      <w:pPr>
        <w:ind w:left="1060" w:hanging="360"/>
      </w:pPr>
      <w:rPr>
        <w:rFonts w:ascii="Symbol" w:hAnsi="Symbol"/>
      </w:rPr>
    </w:lvl>
    <w:lvl w:ilvl="8" w:tplc="E1DEB9EA">
      <w:start w:val="1"/>
      <w:numFmt w:val="bullet"/>
      <w:lvlText w:val=""/>
      <w:lvlJc w:val="left"/>
      <w:pPr>
        <w:ind w:left="1060" w:hanging="360"/>
      </w:pPr>
      <w:rPr>
        <w:rFonts w:ascii="Symbol" w:hAnsi="Symbol"/>
      </w:rPr>
    </w:lvl>
  </w:abstractNum>
  <w:abstractNum w:abstractNumId="35" w15:restartNumberingAfterBreak="0">
    <w:nsid w:val="79F8707D"/>
    <w:multiLevelType w:val="multilevel"/>
    <w:tmpl w:val="A1224394"/>
    <w:numStyleLink w:val="ListLegalmaster"/>
  </w:abstractNum>
  <w:abstractNum w:abstractNumId="36" w15:restartNumberingAfterBreak="0">
    <w:nsid w:val="7D6D1012"/>
    <w:multiLevelType w:val="multilevel"/>
    <w:tmpl w:val="EAA2F742"/>
    <w:numStyleLink w:val="TableListNumbermaster"/>
  </w:abstractNum>
  <w:abstractNum w:abstractNumId="37" w15:restartNumberingAfterBreak="0">
    <w:nsid w:val="7D881735"/>
    <w:multiLevelType w:val="multilevel"/>
    <w:tmpl w:val="113457F2"/>
    <w:numStyleLink w:val="Headingsmaster"/>
  </w:abstractNum>
  <w:num w:numId="1" w16cid:durableId="328336156">
    <w:abstractNumId w:val="5"/>
  </w:num>
  <w:num w:numId="2" w16cid:durableId="1950045772">
    <w:abstractNumId w:val="28"/>
  </w:num>
  <w:num w:numId="3" w16cid:durableId="290287643">
    <w:abstractNumId w:val="9"/>
  </w:num>
  <w:num w:numId="4" w16cid:durableId="1869679674">
    <w:abstractNumId w:val="30"/>
  </w:num>
  <w:num w:numId="5" w16cid:durableId="2032871560">
    <w:abstractNumId w:val="16"/>
  </w:num>
  <w:num w:numId="6" w16cid:durableId="310910324">
    <w:abstractNumId w:val="26"/>
  </w:num>
  <w:num w:numId="7" w16cid:durableId="753476416">
    <w:abstractNumId w:val="12"/>
  </w:num>
  <w:num w:numId="8" w16cid:durableId="1722048815">
    <w:abstractNumId w:val="4"/>
  </w:num>
  <w:num w:numId="9" w16cid:durableId="1790736337">
    <w:abstractNumId w:val="23"/>
  </w:num>
  <w:num w:numId="10" w16cid:durableId="1926304350">
    <w:abstractNumId w:val="7"/>
  </w:num>
  <w:num w:numId="11" w16cid:durableId="874537139">
    <w:abstractNumId w:val="31"/>
  </w:num>
  <w:num w:numId="12" w16cid:durableId="759377971">
    <w:abstractNumId w:val="10"/>
  </w:num>
  <w:num w:numId="13" w16cid:durableId="107823657">
    <w:abstractNumId w:val="14"/>
  </w:num>
  <w:num w:numId="14" w16cid:durableId="1930505832">
    <w:abstractNumId w:val="35"/>
  </w:num>
  <w:num w:numId="15" w16cid:durableId="1858039008">
    <w:abstractNumId w:val="32"/>
  </w:num>
  <w:num w:numId="16" w16cid:durableId="1409770210">
    <w:abstractNumId w:val="29"/>
  </w:num>
  <w:num w:numId="17" w16cid:durableId="95685893">
    <w:abstractNumId w:val="33"/>
  </w:num>
  <w:num w:numId="18" w16cid:durableId="770515265">
    <w:abstractNumId w:val="14"/>
  </w:num>
  <w:num w:numId="19" w16cid:durableId="713041904">
    <w:abstractNumId w:val="33"/>
  </w:num>
  <w:num w:numId="20" w16cid:durableId="2057582421">
    <w:abstractNumId w:val="33"/>
  </w:num>
  <w:num w:numId="21" w16cid:durableId="2062821214">
    <w:abstractNumId w:val="25"/>
  </w:num>
  <w:num w:numId="22" w16cid:durableId="618410884">
    <w:abstractNumId w:val="37"/>
  </w:num>
  <w:num w:numId="23" w16cid:durableId="1320232845">
    <w:abstractNumId w:val="2"/>
  </w:num>
  <w:num w:numId="24" w16cid:durableId="1249077048">
    <w:abstractNumId w:val="11"/>
  </w:num>
  <w:num w:numId="25" w16cid:durableId="1552837590">
    <w:abstractNumId w:val="21"/>
  </w:num>
  <w:num w:numId="26" w16cid:durableId="734856478">
    <w:abstractNumId w:val="36"/>
  </w:num>
  <w:num w:numId="27" w16cid:durableId="1136530311">
    <w:abstractNumId w:val="24"/>
  </w:num>
  <w:num w:numId="28" w16cid:durableId="1221482542">
    <w:abstractNumId w:val="15"/>
  </w:num>
  <w:num w:numId="29" w16cid:durableId="2087678997">
    <w:abstractNumId w:val="13"/>
  </w:num>
  <w:num w:numId="30" w16cid:durableId="963854149">
    <w:abstractNumId w:val="1"/>
  </w:num>
  <w:num w:numId="31" w16cid:durableId="2035225280">
    <w:abstractNumId w:val="6"/>
  </w:num>
  <w:num w:numId="32" w16cid:durableId="1742405919">
    <w:abstractNumId w:val="20"/>
    <w:lvlOverride w:ilvl="0">
      <w:lvl w:ilvl="0">
        <w:start w:val="1"/>
        <w:numFmt w:val="upperLetter"/>
        <w:pStyle w:val="AppendixHeading1"/>
        <w:lvlText w:val="Appendix %1"/>
        <w:lvlJc w:val="left"/>
        <w:pPr>
          <w:ind w:left="2268" w:hanging="2268"/>
        </w:pPr>
      </w:lvl>
    </w:lvlOverride>
  </w:num>
  <w:num w:numId="33" w16cid:durableId="411391810">
    <w:abstractNumId w:val="22"/>
  </w:num>
  <w:num w:numId="34" w16cid:durableId="1442914095">
    <w:abstractNumId w:val="8"/>
  </w:num>
  <w:num w:numId="35" w16cid:durableId="691956747">
    <w:abstractNumId w:val="19"/>
  </w:num>
  <w:num w:numId="36" w16cid:durableId="1156337329">
    <w:abstractNumId w:val="17"/>
  </w:num>
  <w:num w:numId="37" w16cid:durableId="1349261214">
    <w:abstractNumId w:val="18"/>
  </w:num>
  <w:num w:numId="38" w16cid:durableId="634800952">
    <w:abstractNumId w:val="2"/>
  </w:num>
  <w:num w:numId="39" w16cid:durableId="1483303388">
    <w:abstractNumId w:val="27"/>
  </w:num>
  <w:num w:numId="40" w16cid:durableId="1814328053">
    <w:abstractNumId w:val="0"/>
  </w:num>
  <w:num w:numId="41" w16cid:durableId="1794982344">
    <w:abstractNumId w:val="34"/>
  </w:num>
  <w:num w:numId="42" w16cid:durableId="834994393">
    <w:abstractNumId w:val="2"/>
  </w:num>
  <w:num w:numId="43" w16cid:durableId="1700086267">
    <w:abstractNumId w:val="2"/>
  </w:num>
  <w:num w:numId="44" w16cid:durableId="1236477961">
    <w:abstractNumId w:val="2"/>
  </w:num>
  <w:num w:numId="45" w16cid:durableId="1638533275">
    <w:abstractNumId w:val="2"/>
  </w:num>
  <w:num w:numId="46" w16cid:durableId="1436561107">
    <w:abstractNumId w:val="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59"/>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wNzE3sTSzMDEyMjCyMDZU0lEKTi0uzszPAykwrgUA5MdhVywAAAA="/>
  </w:docVars>
  <w:rsids>
    <w:rsidRoot w:val="00BB762E"/>
    <w:rsid w:val="00004687"/>
    <w:rsid w:val="00005899"/>
    <w:rsid w:val="00005ECE"/>
    <w:rsid w:val="000108B0"/>
    <w:rsid w:val="00010AA1"/>
    <w:rsid w:val="00010BC1"/>
    <w:rsid w:val="00011665"/>
    <w:rsid w:val="00013350"/>
    <w:rsid w:val="0001365E"/>
    <w:rsid w:val="00016B20"/>
    <w:rsid w:val="000172B0"/>
    <w:rsid w:val="00017CD3"/>
    <w:rsid w:val="0002295E"/>
    <w:rsid w:val="000246A1"/>
    <w:rsid w:val="000269D9"/>
    <w:rsid w:val="0002738A"/>
    <w:rsid w:val="0003135A"/>
    <w:rsid w:val="00031BAB"/>
    <w:rsid w:val="00033382"/>
    <w:rsid w:val="000362A7"/>
    <w:rsid w:val="000367E2"/>
    <w:rsid w:val="000419F4"/>
    <w:rsid w:val="00041B44"/>
    <w:rsid w:val="0004335E"/>
    <w:rsid w:val="0004497B"/>
    <w:rsid w:val="00050657"/>
    <w:rsid w:val="00051941"/>
    <w:rsid w:val="00053B8E"/>
    <w:rsid w:val="0005454B"/>
    <w:rsid w:val="000617DA"/>
    <w:rsid w:val="000634FE"/>
    <w:rsid w:val="00063B52"/>
    <w:rsid w:val="0006460D"/>
    <w:rsid w:val="0006494A"/>
    <w:rsid w:val="000656AD"/>
    <w:rsid w:val="00066673"/>
    <w:rsid w:val="00066B58"/>
    <w:rsid w:val="00070846"/>
    <w:rsid w:val="00073131"/>
    <w:rsid w:val="000758B0"/>
    <w:rsid w:val="0007652A"/>
    <w:rsid w:val="00076D7C"/>
    <w:rsid w:val="000803B6"/>
    <w:rsid w:val="0008202E"/>
    <w:rsid w:val="000828E6"/>
    <w:rsid w:val="00085E12"/>
    <w:rsid w:val="00086F82"/>
    <w:rsid w:val="00091D87"/>
    <w:rsid w:val="00093021"/>
    <w:rsid w:val="00094A3C"/>
    <w:rsid w:val="0009644B"/>
    <w:rsid w:val="00096521"/>
    <w:rsid w:val="000A105F"/>
    <w:rsid w:val="000A3694"/>
    <w:rsid w:val="000A4753"/>
    <w:rsid w:val="000A4D2F"/>
    <w:rsid w:val="000A53F7"/>
    <w:rsid w:val="000A6D67"/>
    <w:rsid w:val="000B47EA"/>
    <w:rsid w:val="000B4AFA"/>
    <w:rsid w:val="000B554D"/>
    <w:rsid w:val="000B6495"/>
    <w:rsid w:val="000C0F01"/>
    <w:rsid w:val="000C37E2"/>
    <w:rsid w:val="000C3E1F"/>
    <w:rsid w:val="000C5B6B"/>
    <w:rsid w:val="000C629D"/>
    <w:rsid w:val="000C6BD9"/>
    <w:rsid w:val="000C7386"/>
    <w:rsid w:val="000D02FA"/>
    <w:rsid w:val="000D1865"/>
    <w:rsid w:val="000D3BC2"/>
    <w:rsid w:val="000D3CFB"/>
    <w:rsid w:val="000D481C"/>
    <w:rsid w:val="000D4909"/>
    <w:rsid w:val="000E10CE"/>
    <w:rsid w:val="000E1378"/>
    <w:rsid w:val="000E1E8C"/>
    <w:rsid w:val="000E33D5"/>
    <w:rsid w:val="000E59CA"/>
    <w:rsid w:val="000F1DF4"/>
    <w:rsid w:val="000F2E86"/>
    <w:rsid w:val="000F5CD2"/>
    <w:rsid w:val="000F5F7D"/>
    <w:rsid w:val="000F655F"/>
    <w:rsid w:val="0010141E"/>
    <w:rsid w:val="00104750"/>
    <w:rsid w:val="001053E3"/>
    <w:rsid w:val="001057A3"/>
    <w:rsid w:val="00107088"/>
    <w:rsid w:val="0010717E"/>
    <w:rsid w:val="00111935"/>
    <w:rsid w:val="00111F9F"/>
    <w:rsid w:val="001134AC"/>
    <w:rsid w:val="0011423D"/>
    <w:rsid w:val="00114589"/>
    <w:rsid w:val="00121277"/>
    <w:rsid w:val="00121950"/>
    <w:rsid w:val="001237DF"/>
    <w:rsid w:val="00124FC4"/>
    <w:rsid w:val="00126B5A"/>
    <w:rsid w:val="00127F9F"/>
    <w:rsid w:val="00131C8E"/>
    <w:rsid w:val="001336B4"/>
    <w:rsid w:val="00134271"/>
    <w:rsid w:val="001346AE"/>
    <w:rsid w:val="00135951"/>
    <w:rsid w:val="00136AFA"/>
    <w:rsid w:val="001377F0"/>
    <w:rsid w:val="00137E20"/>
    <w:rsid w:val="00140A84"/>
    <w:rsid w:val="00142E40"/>
    <w:rsid w:val="001444B2"/>
    <w:rsid w:val="00147C74"/>
    <w:rsid w:val="00150679"/>
    <w:rsid w:val="0015257E"/>
    <w:rsid w:val="00152D50"/>
    <w:rsid w:val="00161C9D"/>
    <w:rsid w:val="00163452"/>
    <w:rsid w:val="001646CD"/>
    <w:rsid w:val="0016527D"/>
    <w:rsid w:val="00170EBB"/>
    <w:rsid w:val="00172538"/>
    <w:rsid w:val="00173EE2"/>
    <w:rsid w:val="00175934"/>
    <w:rsid w:val="00177D97"/>
    <w:rsid w:val="00181546"/>
    <w:rsid w:val="00183567"/>
    <w:rsid w:val="00184B11"/>
    <w:rsid w:val="00185565"/>
    <w:rsid w:val="00186429"/>
    <w:rsid w:val="001873F9"/>
    <w:rsid w:val="001905B4"/>
    <w:rsid w:val="00190986"/>
    <w:rsid w:val="001915B7"/>
    <w:rsid w:val="001922F6"/>
    <w:rsid w:val="00193394"/>
    <w:rsid w:val="00197E7F"/>
    <w:rsid w:val="001A2E81"/>
    <w:rsid w:val="001A7E36"/>
    <w:rsid w:val="001B1F22"/>
    <w:rsid w:val="001B24FF"/>
    <w:rsid w:val="001B285F"/>
    <w:rsid w:val="001B584C"/>
    <w:rsid w:val="001C0A35"/>
    <w:rsid w:val="001C1CF7"/>
    <w:rsid w:val="001C4183"/>
    <w:rsid w:val="001C570B"/>
    <w:rsid w:val="001C59D8"/>
    <w:rsid w:val="001C5EAF"/>
    <w:rsid w:val="001C6FB4"/>
    <w:rsid w:val="001D17E0"/>
    <w:rsid w:val="001D1E20"/>
    <w:rsid w:val="001D2149"/>
    <w:rsid w:val="001D450D"/>
    <w:rsid w:val="001D519D"/>
    <w:rsid w:val="001D7CD5"/>
    <w:rsid w:val="001E31EC"/>
    <w:rsid w:val="001E4042"/>
    <w:rsid w:val="001E6449"/>
    <w:rsid w:val="001F00AA"/>
    <w:rsid w:val="001F0785"/>
    <w:rsid w:val="001F60C9"/>
    <w:rsid w:val="001F6273"/>
    <w:rsid w:val="001F627D"/>
    <w:rsid w:val="001F6ACD"/>
    <w:rsid w:val="00200827"/>
    <w:rsid w:val="00200E7E"/>
    <w:rsid w:val="0020139C"/>
    <w:rsid w:val="00201E94"/>
    <w:rsid w:val="00202285"/>
    <w:rsid w:val="00203BC1"/>
    <w:rsid w:val="00204ADD"/>
    <w:rsid w:val="002058EC"/>
    <w:rsid w:val="00210B75"/>
    <w:rsid w:val="002113DB"/>
    <w:rsid w:val="00212D1F"/>
    <w:rsid w:val="0021326E"/>
    <w:rsid w:val="002148F8"/>
    <w:rsid w:val="0021548A"/>
    <w:rsid w:val="002212A8"/>
    <w:rsid w:val="00221A21"/>
    <w:rsid w:val="00222A8C"/>
    <w:rsid w:val="00232431"/>
    <w:rsid w:val="002328EA"/>
    <w:rsid w:val="00232D75"/>
    <w:rsid w:val="002351E0"/>
    <w:rsid w:val="0023754A"/>
    <w:rsid w:val="002375BF"/>
    <w:rsid w:val="00240518"/>
    <w:rsid w:val="00241524"/>
    <w:rsid w:val="00246E52"/>
    <w:rsid w:val="0025012A"/>
    <w:rsid w:val="00250530"/>
    <w:rsid w:val="002509B7"/>
    <w:rsid w:val="00250A92"/>
    <w:rsid w:val="00251DF3"/>
    <w:rsid w:val="00255C68"/>
    <w:rsid w:val="00256B62"/>
    <w:rsid w:val="002577E1"/>
    <w:rsid w:val="002669EB"/>
    <w:rsid w:val="00266A98"/>
    <w:rsid w:val="00273757"/>
    <w:rsid w:val="002739A1"/>
    <w:rsid w:val="002770A4"/>
    <w:rsid w:val="00281D65"/>
    <w:rsid w:val="0028539D"/>
    <w:rsid w:val="00290940"/>
    <w:rsid w:val="0029121E"/>
    <w:rsid w:val="00291313"/>
    <w:rsid w:val="002920BA"/>
    <w:rsid w:val="00294225"/>
    <w:rsid w:val="00296883"/>
    <w:rsid w:val="002A0D74"/>
    <w:rsid w:val="002A13A9"/>
    <w:rsid w:val="002A1456"/>
    <w:rsid w:val="002A350B"/>
    <w:rsid w:val="002A4554"/>
    <w:rsid w:val="002A50F4"/>
    <w:rsid w:val="002A51E7"/>
    <w:rsid w:val="002A74FC"/>
    <w:rsid w:val="002A7587"/>
    <w:rsid w:val="002B0E09"/>
    <w:rsid w:val="002B13CE"/>
    <w:rsid w:val="002B3BCD"/>
    <w:rsid w:val="002B447D"/>
    <w:rsid w:val="002B588D"/>
    <w:rsid w:val="002C0937"/>
    <w:rsid w:val="002C5CE4"/>
    <w:rsid w:val="002D0E66"/>
    <w:rsid w:val="002D242C"/>
    <w:rsid w:val="002D37DC"/>
    <w:rsid w:val="002D4ED8"/>
    <w:rsid w:val="002D5E25"/>
    <w:rsid w:val="002E366E"/>
    <w:rsid w:val="002E3943"/>
    <w:rsid w:val="002E5BAA"/>
    <w:rsid w:val="002F1DC5"/>
    <w:rsid w:val="002F2605"/>
    <w:rsid w:val="002F48F5"/>
    <w:rsid w:val="002F4E72"/>
    <w:rsid w:val="002F6539"/>
    <w:rsid w:val="002F70AA"/>
    <w:rsid w:val="0030050F"/>
    <w:rsid w:val="00300713"/>
    <w:rsid w:val="00301BA5"/>
    <w:rsid w:val="003028D0"/>
    <w:rsid w:val="003056D6"/>
    <w:rsid w:val="0030592C"/>
    <w:rsid w:val="00307477"/>
    <w:rsid w:val="0030776B"/>
    <w:rsid w:val="00310C3E"/>
    <w:rsid w:val="00313C5A"/>
    <w:rsid w:val="00316BA0"/>
    <w:rsid w:val="00322DA9"/>
    <w:rsid w:val="00323254"/>
    <w:rsid w:val="00323771"/>
    <w:rsid w:val="00323ACE"/>
    <w:rsid w:val="00323B67"/>
    <w:rsid w:val="00325452"/>
    <w:rsid w:val="003254F1"/>
    <w:rsid w:val="00325B2E"/>
    <w:rsid w:val="00326E84"/>
    <w:rsid w:val="00336EA0"/>
    <w:rsid w:val="00340DD4"/>
    <w:rsid w:val="00342F4E"/>
    <w:rsid w:val="00350645"/>
    <w:rsid w:val="00352FA8"/>
    <w:rsid w:val="003531B8"/>
    <w:rsid w:val="00353CF9"/>
    <w:rsid w:val="00355334"/>
    <w:rsid w:val="0035695F"/>
    <w:rsid w:val="00357970"/>
    <w:rsid w:val="00360A0A"/>
    <w:rsid w:val="00360F02"/>
    <w:rsid w:val="00364A3A"/>
    <w:rsid w:val="00364F62"/>
    <w:rsid w:val="003661C1"/>
    <w:rsid w:val="00366AD5"/>
    <w:rsid w:val="00367538"/>
    <w:rsid w:val="00372314"/>
    <w:rsid w:val="00372AA9"/>
    <w:rsid w:val="00374EE8"/>
    <w:rsid w:val="0037589F"/>
    <w:rsid w:val="00376759"/>
    <w:rsid w:val="0038054A"/>
    <w:rsid w:val="00382C28"/>
    <w:rsid w:val="00384297"/>
    <w:rsid w:val="003842D7"/>
    <w:rsid w:val="00384DA2"/>
    <w:rsid w:val="003858B4"/>
    <w:rsid w:val="00385E18"/>
    <w:rsid w:val="00386E62"/>
    <w:rsid w:val="003911CA"/>
    <w:rsid w:val="003918A1"/>
    <w:rsid w:val="00391980"/>
    <w:rsid w:val="00392E0D"/>
    <w:rsid w:val="003950FD"/>
    <w:rsid w:val="003952C4"/>
    <w:rsid w:val="00396898"/>
    <w:rsid w:val="003A237A"/>
    <w:rsid w:val="003A6601"/>
    <w:rsid w:val="003A78C0"/>
    <w:rsid w:val="003A7FC3"/>
    <w:rsid w:val="003B322C"/>
    <w:rsid w:val="003B46F7"/>
    <w:rsid w:val="003B4E58"/>
    <w:rsid w:val="003B5DAF"/>
    <w:rsid w:val="003C1A5A"/>
    <w:rsid w:val="003C27CF"/>
    <w:rsid w:val="003C2BAB"/>
    <w:rsid w:val="003C59F3"/>
    <w:rsid w:val="003C655D"/>
    <w:rsid w:val="003C7246"/>
    <w:rsid w:val="003D153D"/>
    <w:rsid w:val="003D2741"/>
    <w:rsid w:val="003D2B56"/>
    <w:rsid w:val="003D2E4E"/>
    <w:rsid w:val="003D3864"/>
    <w:rsid w:val="003D4153"/>
    <w:rsid w:val="003D5739"/>
    <w:rsid w:val="003D6336"/>
    <w:rsid w:val="003D6B5E"/>
    <w:rsid w:val="003D6FD6"/>
    <w:rsid w:val="003D75B9"/>
    <w:rsid w:val="003D7AF7"/>
    <w:rsid w:val="003E047F"/>
    <w:rsid w:val="003E0E8E"/>
    <w:rsid w:val="003E347F"/>
    <w:rsid w:val="003E6856"/>
    <w:rsid w:val="003F092E"/>
    <w:rsid w:val="003F0B9B"/>
    <w:rsid w:val="003F212D"/>
    <w:rsid w:val="003F3496"/>
    <w:rsid w:val="003F41E2"/>
    <w:rsid w:val="003F5423"/>
    <w:rsid w:val="003F56F4"/>
    <w:rsid w:val="00402E7E"/>
    <w:rsid w:val="00404324"/>
    <w:rsid w:val="004066CB"/>
    <w:rsid w:val="00410477"/>
    <w:rsid w:val="00412357"/>
    <w:rsid w:val="00414537"/>
    <w:rsid w:val="00416BAC"/>
    <w:rsid w:val="00417A45"/>
    <w:rsid w:val="0042272C"/>
    <w:rsid w:val="0042298E"/>
    <w:rsid w:val="00422B8C"/>
    <w:rsid w:val="0042376F"/>
    <w:rsid w:val="004241B7"/>
    <w:rsid w:val="00424D92"/>
    <w:rsid w:val="00427508"/>
    <w:rsid w:val="00434ACE"/>
    <w:rsid w:val="00436179"/>
    <w:rsid w:val="004452C4"/>
    <w:rsid w:val="0044632D"/>
    <w:rsid w:val="00447FC7"/>
    <w:rsid w:val="0045019F"/>
    <w:rsid w:val="004522DA"/>
    <w:rsid w:val="00452A9D"/>
    <w:rsid w:val="00452F11"/>
    <w:rsid w:val="00454B02"/>
    <w:rsid w:val="00455AF6"/>
    <w:rsid w:val="00457724"/>
    <w:rsid w:val="004612A0"/>
    <w:rsid w:val="00465CC8"/>
    <w:rsid w:val="0046752A"/>
    <w:rsid w:val="00470C78"/>
    <w:rsid w:val="004714FB"/>
    <w:rsid w:val="00471E06"/>
    <w:rsid w:val="00472BAC"/>
    <w:rsid w:val="00473B12"/>
    <w:rsid w:val="00473C98"/>
    <w:rsid w:val="00475689"/>
    <w:rsid w:val="004819B0"/>
    <w:rsid w:val="00482C43"/>
    <w:rsid w:val="0048330C"/>
    <w:rsid w:val="00485F42"/>
    <w:rsid w:val="00486277"/>
    <w:rsid w:val="0049342C"/>
    <w:rsid w:val="004940B0"/>
    <w:rsid w:val="00494F45"/>
    <w:rsid w:val="0049648E"/>
    <w:rsid w:val="004A0926"/>
    <w:rsid w:val="004A37CA"/>
    <w:rsid w:val="004A5C0C"/>
    <w:rsid w:val="004A69CF"/>
    <w:rsid w:val="004A7045"/>
    <w:rsid w:val="004A7B1B"/>
    <w:rsid w:val="004B04AD"/>
    <w:rsid w:val="004B078C"/>
    <w:rsid w:val="004B2435"/>
    <w:rsid w:val="004B2608"/>
    <w:rsid w:val="004B6784"/>
    <w:rsid w:val="004B6F97"/>
    <w:rsid w:val="004C0798"/>
    <w:rsid w:val="004C196E"/>
    <w:rsid w:val="004C2519"/>
    <w:rsid w:val="004C2A3C"/>
    <w:rsid w:val="004C2D7F"/>
    <w:rsid w:val="004C3AC1"/>
    <w:rsid w:val="004C48C5"/>
    <w:rsid w:val="004C670F"/>
    <w:rsid w:val="004C7276"/>
    <w:rsid w:val="004D2961"/>
    <w:rsid w:val="004D3CB9"/>
    <w:rsid w:val="004D3D79"/>
    <w:rsid w:val="004D7802"/>
    <w:rsid w:val="004E0D0F"/>
    <w:rsid w:val="004E15F8"/>
    <w:rsid w:val="004E32D5"/>
    <w:rsid w:val="004E3CEA"/>
    <w:rsid w:val="004E3EBE"/>
    <w:rsid w:val="004E4083"/>
    <w:rsid w:val="004E464C"/>
    <w:rsid w:val="004E551C"/>
    <w:rsid w:val="004E5A05"/>
    <w:rsid w:val="004E6508"/>
    <w:rsid w:val="004E75B4"/>
    <w:rsid w:val="004E7B8D"/>
    <w:rsid w:val="004F015D"/>
    <w:rsid w:val="004F2A8D"/>
    <w:rsid w:val="004F742C"/>
    <w:rsid w:val="005002B4"/>
    <w:rsid w:val="005012B2"/>
    <w:rsid w:val="00506B40"/>
    <w:rsid w:val="00510338"/>
    <w:rsid w:val="005126C6"/>
    <w:rsid w:val="00517725"/>
    <w:rsid w:val="00517B67"/>
    <w:rsid w:val="00522E1E"/>
    <w:rsid w:val="00523ADF"/>
    <w:rsid w:val="00526E94"/>
    <w:rsid w:val="00531BFC"/>
    <w:rsid w:val="00532787"/>
    <w:rsid w:val="0053389A"/>
    <w:rsid w:val="00541642"/>
    <w:rsid w:val="0054188B"/>
    <w:rsid w:val="0054297B"/>
    <w:rsid w:val="0054397C"/>
    <w:rsid w:val="00543E32"/>
    <w:rsid w:val="0054454E"/>
    <w:rsid w:val="00544654"/>
    <w:rsid w:val="00544EC5"/>
    <w:rsid w:val="005451BA"/>
    <w:rsid w:val="00545745"/>
    <w:rsid w:val="00547911"/>
    <w:rsid w:val="00547BCF"/>
    <w:rsid w:val="00547FFC"/>
    <w:rsid w:val="00553049"/>
    <w:rsid w:val="0055752D"/>
    <w:rsid w:val="00560A78"/>
    <w:rsid w:val="00561238"/>
    <w:rsid w:val="0056366D"/>
    <w:rsid w:val="00563F36"/>
    <w:rsid w:val="0056457A"/>
    <w:rsid w:val="00564BA0"/>
    <w:rsid w:val="00565188"/>
    <w:rsid w:val="00565C5A"/>
    <w:rsid w:val="005705D3"/>
    <w:rsid w:val="00570FCB"/>
    <w:rsid w:val="00575DC6"/>
    <w:rsid w:val="00576BAF"/>
    <w:rsid w:val="00584C0F"/>
    <w:rsid w:val="00584FD4"/>
    <w:rsid w:val="00587737"/>
    <w:rsid w:val="00590C8B"/>
    <w:rsid w:val="00591034"/>
    <w:rsid w:val="0059180E"/>
    <w:rsid w:val="00592C0C"/>
    <w:rsid w:val="00592D4D"/>
    <w:rsid w:val="00595B60"/>
    <w:rsid w:val="00595D48"/>
    <w:rsid w:val="005A08DC"/>
    <w:rsid w:val="005A6A09"/>
    <w:rsid w:val="005A6EB7"/>
    <w:rsid w:val="005B058C"/>
    <w:rsid w:val="005B5469"/>
    <w:rsid w:val="005B6A04"/>
    <w:rsid w:val="005B6BDF"/>
    <w:rsid w:val="005B7E85"/>
    <w:rsid w:val="005C04E7"/>
    <w:rsid w:val="005C221B"/>
    <w:rsid w:val="005C23ED"/>
    <w:rsid w:val="005C4157"/>
    <w:rsid w:val="005C5A54"/>
    <w:rsid w:val="005C5ADB"/>
    <w:rsid w:val="005C5E87"/>
    <w:rsid w:val="005C6791"/>
    <w:rsid w:val="005D16C0"/>
    <w:rsid w:val="005D31B2"/>
    <w:rsid w:val="005D4220"/>
    <w:rsid w:val="005D4D1F"/>
    <w:rsid w:val="005D6222"/>
    <w:rsid w:val="005D6E83"/>
    <w:rsid w:val="005D70A0"/>
    <w:rsid w:val="005E075B"/>
    <w:rsid w:val="005E0DBF"/>
    <w:rsid w:val="005E26EF"/>
    <w:rsid w:val="005E2B42"/>
    <w:rsid w:val="005E4939"/>
    <w:rsid w:val="005E5076"/>
    <w:rsid w:val="005F232D"/>
    <w:rsid w:val="005F62A9"/>
    <w:rsid w:val="00600004"/>
    <w:rsid w:val="0060186B"/>
    <w:rsid w:val="00602C7D"/>
    <w:rsid w:val="00605428"/>
    <w:rsid w:val="00605E58"/>
    <w:rsid w:val="0060736D"/>
    <w:rsid w:val="00610683"/>
    <w:rsid w:val="0061343E"/>
    <w:rsid w:val="00613721"/>
    <w:rsid w:val="00614487"/>
    <w:rsid w:val="00616124"/>
    <w:rsid w:val="00617EE4"/>
    <w:rsid w:val="00617F9E"/>
    <w:rsid w:val="0062048F"/>
    <w:rsid w:val="00620804"/>
    <w:rsid w:val="00620D9F"/>
    <w:rsid w:val="00622B90"/>
    <w:rsid w:val="006237BE"/>
    <w:rsid w:val="00625CD5"/>
    <w:rsid w:val="00627DEB"/>
    <w:rsid w:val="00631A6E"/>
    <w:rsid w:val="006328AE"/>
    <w:rsid w:val="00634AEE"/>
    <w:rsid w:val="00634B41"/>
    <w:rsid w:val="00640F8F"/>
    <w:rsid w:val="00641AD9"/>
    <w:rsid w:val="006437E9"/>
    <w:rsid w:val="00645A2C"/>
    <w:rsid w:val="00647927"/>
    <w:rsid w:val="00651C52"/>
    <w:rsid w:val="00653AAE"/>
    <w:rsid w:val="0065564D"/>
    <w:rsid w:val="00656B8E"/>
    <w:rsid w:val="0066116D"/>
    <w:rsid w:val="00661984"/>
    <w:rsid w:val="00661F2D"/>
    <w:rsid w:val="0066546D"/>
    <w:rsid w:val="00666CDC"/>
    <w:rsid w:val="00670134"/>
    <w:rsid w:val="006707B6"/>
    <w:rsid w:val="00670999"/>
    <w:rsid w:val="00670B6D"/>
    <w:rsid w:val="006722C0"/>
    <w:rsid w:val="00673519"/>
    <w:rsid w:val="0067607F"/>
    <w:rsid w:val="00676DE0"/>
    <w:rsid w:val="006819D3"/>
    <w:rsid w:val="00681D29"/>
    <w:rsid w:val="006845DD"/>
    <w:rsid w:val="00686262"/>
    <w:rsid w:val="0068651B"/>
    <w:rsid w:val="0069066D"/>
    <w:rsid w:val="00690B2A"/>
    <w:rsid w:val="00693222"/>
    <w:rsid w:val="006973FB"/>
    <w:rsid w:val="006A0F55"/>
    <w:rsid w:val="006A31DF"/>
    <w:rsid w:val="006A338E"/>
    <w:rsid w:val="006A6F83"/>
    <w:rsid w:val="006A708E"/>
    <w:rsid w:val="006A75F3"/>
    <w:rsid w:val="006A78A2"/>
    <w:rsid w:val="006A791D"/>
    <w:rsid w:val="006A7EE1"/>
    <w:rsid w:val="006B088F"/>
    <w:rsid w:val="006B14CF"/>
    <w:rsid w:val="006B176E"/>
    <w:rsid w:val="006C15BA"/>
    <w:rsid w:val="006C2FA7"/>
    <w:rsid w:val="006C3F12"/>
    <w:rsid w:val="006C538B"/>
    <w:rsid w:val="006C554D"/>
    <w:rsid w:val="006C6B53"/>
    <w:rsid w:val="006D26D8"/>
    <w:rsid w:val="006D2DCB"/>
    <w:rsid w:val="006D2EB5"/>
    <w:rsid w:val="006D35C4"/>
    <w:rsid w:val="006D4D79"/>
    <w:rsid w:val="006D6854"/>
    <w:rsid w:val="006D6FBE"/>
    <w:rsid w:val="006E4F12"/>
    <w:rsid w:val="006F0209"/>
    <w:rsid w:val="006F3370"/>
    <w:rsid w:val="006F51BD"/>
    <w:rsid w:val="006F5613"/>
    <w:rsid w:val="00702575"/>
    <w:rsid w:val="007060D3"/>
    <w:rsid w:val="00706A82"/>
    <w:rsid w:val="00706D2D"/>
    <w:rsid w:val="00710212"/>
    <w:rsid w:val="00712D45"/>
    <w:rsid w:val="00713506"/>
    <w:rsid w:val="00713574"/>
    <w:rsid w:val="00717959"/>
    <w:rsid w:val="007247AF"/>
    <w:rsid w:val="00732448"/>
    <w:rsid w:val="007324C4"/>
    <w:rsid w:val="00732D0C"/>
    <w:rsid w:val="00732D66"/>
    <w:rsid w:val="00735B41"/>
    <w:rsid w:val="007410A8"/>
    <w:rsid w:val="00741FFC"/>
    <w:rsid w:val="007433EF"/>
    <w:rsid w:val="00745E35"/>
    <w:rsid w:val="00746BD2"/>
    <w:rsid w:val="0074709E"/>
    <w:rsid w:val="00750F61"/>
    <w:rsid w:val="0075216C"/>
    <w:rsid w:val="0075253C"/>
    <w:rsid w:val="00754958"/>
    <w:rsid w:val="0076068C"/>
    <w:rsid w:val="00761089"/>
    <w:rsid w:val="00761A0E"/>
    <w:rsid w:val="00762A95"/>
    <w:rsid w:val="00763EA8"/>
    <w:rsid w:val="007660A5"/>
    <w:rsid w:val="00771276"/>
    <w:rsid w:val="00773F08"/>
    <w:rsid w:val="00775D92"/>
    <w:rsid w:val="0077753F"/>
    <w:rsid w:val="00781855"/>
    <w:rsid w:val="00783BA9"/>
    <w:rsid w:val="00785AB3"/>
    <w:rsid w:val="007860EA"/>
    <w:rsid w:val="007906CB"/>
    <w:rsid w:val="007921B4"/>
    <w:rsid w:val="007937D8"/>
    <w:rsid w:val="00794B98"/>
    <w:rsid w:val="007961E3"/>
    <w:rsid w:val="007A11E9"/>
    <w:rsid w:val="007A16BC"/>
    <w:rsid w:val="007A171C"/>
    <w:rsid w:val="007A2D36"/>
    <w:rsid w:val="007A4F44"/>
    <w:rsid w:val="007A7A55"/>
    <w:rsid w:val="007B1D87"/>
    <w:rsid w:val="007B5F58"/>
    <w:rsid w:val="007B6028"/>
    <w:rsid w:val="007B7F9E"/>
    <w:rsid w:val="007C1A44"/>
    <w:rsid w:val="007C1CC7"/>
    <w:rsid w:val="007C3309"/>
    <w:rsid w:val="007C7033"/>
    <w:rsid w:val="007C7814"/>
    <w:rsid w:val="007D0200"/>
    <w:rsid w:val="007D0601"/>
    <w:rsid w:val="007D31D3"/>
    <w:rsid w:val="007D40B7"/>
    <w:rsid w:val="007D4877"/>
    <w:rsid w:val="007D4BE7"/>
    <w:rsid w:val="007E2315"/>
    <w:rsid w:val="007E24AE"/>
    <w:rsid w:val="007E4C68"/>
    <w:rsid w:val="007F0662"/>
    <w:rsid w:val="007F0944"/>
    <w:rsid w:val="007F23A5"/>
    <w:rsid w:val="007F2B51"/>
    <w:rsid w:val="007F4F26"/>
    <w:rsid w:val="007F73A2"/>
    <w:rsid w:val="00801470"/>
    <w:rsid w:val="00804F2C"/>
    <w:rsid w:val="008053EC"/>
    <w:rsid w:val="00810D23"/>
    <w:rsid w:val="00813600"/>
    <w:rsid w:val="00813B23"/>
    <w:rsid w:val="00814E45"/>
    <w:rsid w:val="008206D8"/>
    <w:rsid w:val="0082152E"/>
    <w:rsid w:val="00824556"/>
    <w:rsid w:val="00826050"/>
    <w:rsid w:val="00826FE4"/>
    <w:rsid w:val="00831108"/>
    <w:rsid w:val="00832652"/>
    <w:rsid w:val="008331A3"/>
    <w:rsid w:val="00835A0D"/>
    <w:rsid w:val="008364A9"/>
    <w:rsid w:val="008367C5"/>
    <w:rsid w:val="00836A09"/>
    <w:rsid w:val="00837A5E"/>
    <w:rsid w:val="00837D8E"/>
    <w:rsid w:val="00841D41"/>
    <w:rsid w:val="00845238"/>
    <w:rsid w:val="00845C1B"/>
    <w:rsid w:val="00851C39"/>
    <w:rsid w:val="00855FBE"/>
    <w:rsid w:val="008639BF"/>
    <w:rsid w:val="00863F03"/>
    <w:rsid w:val="0086719B"/>
    <w:rsid w:val="0087022C"/>
    <w:rsid w:val="008707A9"/>
    <w:rsid w:val="0087353C"/>
    <w:rsid w:val="008740B5"/>
    <w:rsid w:val="00874F38"/>
    <w:rsid w:val="0088190B"/>
    <w:rsid w:val="00882150"/>
    <w:rsid w:val="00886916"/>
    <w:rsid w:val="00886A97"/>
    <w:rsid w:val="0089027C"/>
    <w:rsid w:val="00890B0C"/>
    <w:rsid w:val="00890DE2"/>
    <w:rsid w:val="00891E50"/>
    <w:rsid w:val="00896D14"/>
    <w:rsid w:val="008A19E4"/>
    <w:rsid w:val="008A22BF"/>
    <w:rsid w:val="008A3CD4"/>
    <w:rsid w:val="008A70BE"/>
    <w:rsid w:val="008B244B"/>
    <w:rsid w:val="008B3D48"/>
    <w:rsid w:val="008B45BE"/>
    <w:rsid w:val="008B593D"/>
    <w:rsid w:val="008C33B8"/>
    <w:rsid w:val="008C40EF"/>
    <w:rsid w:val="008C5ADE"/>
    <w:rsid w:val="008C6863"/>
    <w:rsid w:val="008C7008"/>
    <w:rsid w:val="008D00CE"/>
    <w:rsid w:val="008D0BD1"/>
    <w:rsid w:val="008D21BE"/>
    <w:rsid w:val="008D2815"/>
    <w:rsid w:val="008D2BCC"/>
    <w:rsid w:val="008D51D3"/>
    <w:rsid w:val="008D57D3"/>
    <w:rsid w:val="008D5EE8"/>
    <w:rsid w:val="008D7069"/>
    <w:rsid w:val="008E0351"/>
    <w:rsid w:val="008E138E"/>
    <w:rsid w:val="008E275C"/>
    <w:rsid w:val="008E43FC"/>
    <w:rsid w:val="008E67C3"/>
    <w:rsid w:val="008E73AE"/>
    <w:rsid w:val="008F1DAE"/>
    <w:rsid w:val="008F39AB"/>
    <w:rsid w:val="008F4D0B"/>
    <w:rsid w:val="00900CB9"/>
    <w:rsid w:val="009017A6"/>
    <w:rsid w:val="00902D27"/>
    <w:rsid w:val="00902D53"/>
    <w:rsid w:val="009039EF"/>
    <w:rsid w:val="00903BFB"/>
    <w:rsid w:val="0090402D"/>
    <w:rsid w:val="009043B4"/>
    <w:rsid w:val="009066DA"/>
    <w:rsid w:val="00906797"/>
    <w:rsid w:val="00906B40"/>
    <w:rsid w:val="009076A0"/>
    <w:rsid w:val="009076EA"/>
    <w:rsid w:val="009100C4"/>
    <w:rsid w:val="00913E7A"/>
    <w:rsid w:val="009144E2"/>
    <w:rsid w:val="009164F8"/>
    <w:rsid w:val="00920C7F"/>
    <w:rsid w:val="00921215"/>
    <w:rsid w:val="009232C3"/>
    <w:rsid w:val="009239DB"/>
    <w:rsid w:val="00924A82"/>
    <w:rsid w:val="00924AE1"/>
    <w:rsid w:val="00925D48"/>
    <w:rsid w:val="00926351"/>
    <w:rsid w:val="009279DF"/>
    <w:rsid w:val="00933166"/>
    <w:rsid w:val="00933E10"/>
    <w:rsid w:val="00933F2E"/>
    <w:rsid w:val="00936AE6"/>
    <w:rsid w:val="00936D7F"/>
    <w:rsid w:val="009408EE"/>
    <w:rsid w:val="00940DBD"/>
    <w:rsid w:val="009411A7"/>
    <w:rsid w:val="00942DCF"/>
    <w:rsid w:val="00943508"/>
    <w:rsid w:val="00944085"/>
    <w:rsid w:val="00945A4F"/>
    <w:rsid w:val="009479C1"/>
    <w:rsid w:val="009506DC"/>
    <w:rsid w:val="009508E1"/>
    <w:rsid w:val="009517DD"/>
    <w:rsid w:val="009574A1"/>
    <w:rsid w:val="00961EB4"/>
    <w:rsid w:val="009623D1"/>
    <w:rsid w:val="0096427B"/>
    <w:rsid w:val="00965547"/>
    <w:rsid w:val="009669CA"/>
    <w:rsid w:val="009705E6"/>
    <w:rsid w:val="00970D7D"/>
    <w:rsid w:val="009747EA"/>
    <w:rsid w:val="0097563C"/>
    <w:rsid w:val="00977BEB"/>
    <w:rsid w:val="00981C19"/>
    <w:rsid w:val="009831F0"/>
    <w:rsid w:val="009839F6"/>
    <w:rsid w:val="00984121"/>
    <w:rsid w:val="0098508D"/>
    <w:rsid w:val="009850CC"/>
    <w:rsid w:val="00986689"/>
    <w:rsid w:val="00991F42"/>
    <w:rsid w:val="009922EA"/>
    <w:rsid w:val="0099297A"/>
    <w:rsid w:val="009951BA"/>
    <w:rsid w:val="0099676B"/>
    <w:rsid w:val="009A2DF7"/>
    <w:rsid w:val="009A2F9A"/>
    <w:rsid w:val="009A4CDD"/>
    <w:rsid w:val="009A60CA"/>
    <w:rsid w:val="009A6F4D"/>
    <w:rsid w:val="009A755C"/>
    <w:rsid w:val="009B3208"/>
    <w:rsid w:val="009B3DB4"/>
    <w:rsid w:val="009B56AF"/>
    <w:rsid w:val="009B7ED1"/>
    <w:rsid w:val="009C0B81"/>
    <w:rsid w:val="009C13DE"/>
    <w:rsid w:val="009C2EC4"/>
    <w:rsid w:val="009C3CE4"/>
    <w:rsid w:val="009D0209"/>
    <w:rsid w:val="009D3B92"/>
    <w:rsid w:val="009D44A5"/>
    <w:rsid w:val="009D7520"/>
    <w:rsid w:val="009D7CB5"/>
    <w:rsid w:val="009E2314"/>
    <w:rsid w:val="009E264F"/>
    <w:rsid w:val="009E319D"/>
    <w:rsid w:val="009E3A2C"/>
    <w:rsid w:val="009E61A1"/>
    <w:rsid w:val="009F0467"/>
    <w:rsid w:val="009F2FAF"/>
    <w:rsid w:val="009F3A62"/>
    <w:rsid w:val="009F3FC5"/>
    <w:rsid w:val="009F4D4D"/>
    <w:rsid w:val="009F5340"/>
    <w:rsid w:val="009F53CE"/>
    <w:rsid w:val="009F6BB7"/>
    <w:rsid w:val="009F6F10"/>
    <w:rsid w:val="00A10DDF"/>
    <w:rsid w:val="00A1107A"/>
    <w:rsid w:val="00A1478F"/>
    <w:rsid w:val="00A20281"/>
    <w:rsid w:val="00A21A10"/>
    <w:rsid w:val="00A21EEA"/>
    <w:rsid w:val="00A23E03"/>
    <w:rsid w:val="00A41C19"/>
    <w:rsid w:val="00A428D0"/>
    <w:rsid w:val="00A43345"/>
    <w:rsid w:val="00A45D77"/>
    <w:rsid w:val="00A4746A"/>
    <w:rsid w:val="00A478B1"/>
    <w:rsid w:val="00A504F5"/>
    <w:rsid w:val="00A50DD0"/>
    <w:rsid w:val="00A52BBE"/>
    <w:rsid w:val="00A540C3"/>
    <w:rsid w:val="00A543BA"/>
    <w:rsid w:val="00A60563"/>
    <w:rsid w:val="00A60E10"/>
    <w:rsid w:val="00A60F6B"/>
    <w:rsid w:val="00A6175B"/>
    <w:rsid w:val="00A62250"/>
    <w:rsid w:val="00A627C2"/>
    <w:rsid w:val="00A64A3F"/>
    <w:rsid w:val="00A662FE"/>
    <w:rsid w:val="00A67B12"/>
    <w:rsid w:val="00A70B32"/>
    <w:rsid w:val="00A729B1"/>
    <w:rsid w:val="00A74E33"/>
    <w:rsid w:val="00A77AEB"/>
    <w:rsid w:val="00A8080F"/>
    <w:rsid w:val="00A82296"/>
    <w:rsid w:val="00A856B8"/>
    <w:rsid w:val="00A8620A"/>
    <w:rsid w:val="00A9056D"/>
    <w:rsid w:val="00A91282"/>
    <w:rsid w:val="00A92171"/>
    <w:rsid w:val="00A937B4"/>
    <w:rsid w:val="00A93CD0"/>
    <w:rsid w:val="00A947D2"/>
    <w:rsid w:val="00A96924"/>
    <w:rsid w:val="00AA1D6B"/>
    <w:rsid w:val="00AA389D"/>
    <w:rsid w:val="00AA498A"/>
    <w:rsid w:val="00AA49AA"/>
    <w:rsid w:val="00AA53FD"/>
    <w:rsid w:val="00AA620F"/>
    <w:rsid w:val="00AA6CDE"/>
    <w:rsid w:val="00AB05D5"/>
    <w:rsid w:val="00AB0C08"/>
    <w:rsid w:val="00AB101E"/>
    <w:rsid w:val="00AB2AE4"/>
    <w:rsid w:val="00AB3F47"/>
    <w:rsid w:val="00AB696D"/>
    <w:rsid w:val="00AB72F5"/>
    <w:rsid w:val="00AC0C77"/>
    <w:rsid w:val="00AC33C3"/>
    <w:rsid w:val="00AC4509"/>
    <w:rsid w:val="00AD1385"/>
    <w:rsid w:val="00AD41E2"/>
    <w:rsid w:val="00AD4325"/>
    <w:rsid w:val="00AD51A0"/>
    <w:rsid w:val="00AD61DA"/>
    <w:rsid w:val="00AD7068"/>
    <w:rsid w:val="00AD78FD"/>
    <w:rsid w:val="00AD7943"/>
    <w:rsid w:val="00AE0185"/>
    <w:rsid w:val="00AE375D"/>
    <w:rsid w:val="00AE7063"/>
    <w:rsid w:val="00AE79AF"/>
    <w:rsid w:val="00AF0EA6"/>
    <w:rsid w:val="00AF5D73"/>
    <w:rsid w:val="00AF6B1D"/>
    <w:rsid w:val="00AF6EBC"/>
    <w:rsid w:val="00AF7F28"/>
    <w:rsid w:val="00B00EAC"/>
    <w:rsid w:val="00B011E1"/>
    <w:rsid w:val="00B02C7D"/>
    <w:rsid w:val="00B04A4D"/>
    <w:rsid w:val="00B07B07"/>
    <w:rsid w:val="00B11DB6"/>
    <w:rsid w:val="00B13B23"/>
    <w:rsid w:val="00B151F9"/>
    <w:rsid w:val="00B16A82"/>
    <w:rsid w:val="00B17BCA"/>
    <w:rsid w:val="00B214CA"/>
    <w:rsid w:val="00B22E89"/>
    <w:rsid w:val="00B23167"/>
    <w:rsid w:val="00B25644"/>
    <w:rsid w:val="00B3038D"/>
    <w:rsid w:val="00B3181D"/>
    <w:rsid w:val="00B347AC"/>
    <w:rsid w:val="00B37A1B"/>
    <w:rsid w:val="00B418A8"/>
    <w:rsid w:val="00B41CEB"/>
    <w:rsid w:val="00B42B34"/>
    <w:rsid w:val="00B436FC"/>
    <w:rsid w:val="00B4491F"/>
    <w:rsid w:val="00B46FCD"/>
    <w:rsid w:val="00B53908"/>
    <w:rsid w:val="00B53F8B"/>
    <w:rsid w:val="00B64E63"/>
    <w:rsid w:val="00B65AEA"/>
    <w:rsid w:val="00B66BD8"/>
    <w:rsid w:val="00B708B8"/>
    <w:rsid w:val="00B731DD"/>
    <w:rsid w:val="00B73525"/>
    <w:rsid w:val="00B74938"/>
    <w:rsid w:val="00B76792"/>
    <w:rsid w:val="00B837AC"/>
    <w:rsid w:val="00B84020"/>
    <w:rsid w:val="00B85E05"/>
    <w:rsid w:val="00B860C2"/>
    <w:rsid w:val="00B872DF"/>
    <w:rsid w:val="00B94BA6"/>
    <w:rsid w:val="00BA0DF8"/>
    <w:rsid w:val="00BA0E0B"/>
    <w:rsid w:val="00BA169B"/>
    <w:rsid w:val="00BA2116"/>
    <w:rsid w:val="00BA3934"/>
    <w:rsid w:val="00BA3C9B"/>
    <w:rsid w:val="00BA4D1C"/>
    <w:rsid w:val="00BA4E25"/>
    <w:rsid w:val="00BA5A68"/>
    <w:rsid w:val="00BA65E5"/>
    <w:rsid w:val="00BB1A6A"/>
    <w:rsid w:val="00BB23E1"/>
    <w:rsid w:val="00BB3A57"/>
    <w:rsid w:val="00BB4265"/>
    <w:rsid w:val="00BB71FF"/>
    <w:rsid w:val="00BB762E"/>
    <w:rsid w:val="00BC1110"/>
    <w:rsid w:val="00BC1B34"/>
    <w:rsid w:val="00BC2D2C"/>
    <w:rsid w:val="00BC2DCE"/>
    <w:rsid w:val="00BC3760"/>
    <w:rsid w:val="00BC52A3"/>
    <w:rsid w:val="00BD006F"/>
    <w:rsid w:val="00BD5754"/>
    <w:rsid w:val="00BD591F"/>
    <w:rsid w:val="00BD62E4"/>
    <w:rsid w:val="00BD697F"/>
    <w:rsid w:val="00BD7D63"/>
    <w:rsid w:val="00BE1C8B"/>
    <w:rsid w:val="00BE3B7E"/>
    <w:rsid w:val="00BE5EF3"/>
    <w:rsid w:val="00BF0E94"/>
    <w:rsid w:val="00BF1721"/>
    <w:rsid w:val="00BF466C"/>
    <w:rsid w:val="00C01E80"/>
    <w:rsid w:val="00C04227"/>
    <w:rsid w:val="00C06D06"/>
    <w:rsid w:val="00C06FD8"/>
    <w:rsid w:val="00C0785E"/>
    <w:rsid w:val="00C10933"/>
    <w:rsid w:val="00C109DF"/>
    <w:rsid w:val="00C11BC8"/>
    <w:rsid w:val="00C12CE8"/>
    <w:rsid w:val="00C13974"/>
    <w:rsid w:val="00C14E56"/>
    <w:rsid w:val="00C15269"/>
    <w:rsid w:val="00C15C7D"/>
    <w:rsid w:val="00C15D5E"/>
    <w:rsid w:val="00C172DF"/>
    <w:rsid w:val="00C17ABA"/>
    <w:rsid w:val="00C22B98"/>
    <w:rsid w:val="00C22F2A"/>
    <w:rsid w:val="00C323E9"/>
    <w:rsid w:val="00C33499"/>
    <w:rsid w:val="00C3785C"/>
    <w:rsid w:val="00C41409"/>
    <w:rsid w:val="00C4441F"/>
    <w:rsid w:val="00C44863"/>
    <w:rsid w:val="00C4621D"/>
    <w:rsid w:val="00C46968"/>
    <w:rsid w:val="00C52F4A"/>
    <w:rsid w:val="00C531E2"/>
    <w:rsid w:val="00C569B5"/>
    <w:rsid w:val="00C57B63"/>
    <w:rsid w:val="00C61CCE"/>
    <w:rsid w:val="00C6290B"/>
    <w:rsid w:val="00C63424"/>
    <w:rsid w:val="00C637AE"/>
    <w:rsid w:val="00C67460"/>
    <w:rsid w:val="00C703EE"/>
    <w:rsid w:val="00C7129E"/>
    <w:rsid w:val="00C71ADE"/>
    <w:rsid w:val="00C73A95"/>
    <w:rsid w:val="00C73F6A"/>
    <w:rsid w:val="00C74752"/>
    <w:rsid w:val="00C75961"/>
    <w:rsid w:val="00C76581"/>
    <w:rsid w:val="00C80B6D"/>
    <w:rsid w:val="00C850C5"/>
    <w:rsid w:val="00C87F6B"/>
    <w:rsid w:val="00C92A65"/>
    <w:rsid w:val="00C93617"/>
    <w:rsid w:val="00C94312"/>
    <w:rsid w:val="00C948E5"/>
    <w:rsid w:val="00C95714"/>
    <w:rsid w:val="00C96A73"/>
    <w:rsid w:val="00CA2EAA"/>
    <w:rsid w:val="00CA539A"/>
    <w:rsid w:val="00CA609A"/>
    <w:rsid w:val="00CA65C4"/>
    <w:rsid w:val="00CA684A"/>
    <w:rsid w:val="00CA7879"/>
    <w:rsid w:val="00CB1682"/>
    <w:rsid w:val="00CB1CA3"/>
    <w:rsid w:val="00CB21B0"/>
    <w:rsid w:val="00CB22A4"/>
    <w:rsid w:val="00CB2DEA"/>
    <w:rsid w:val="00CB3858"/>
    <w:rsid w:val="00CB5479"/>
    <w:rsid w:val="00CB577E"/>
    <w:rsid w:val="00CB764A"/>
    <w:rsid w:val="00CC0067"/>
    <w:rsid w:val="00CC02A9"/>
    <w:rsid w:val="00CC5000"/>
    <w:rsid w:val="00CC559C"/>
    <w:rsid w:val="00CC6102"/>
    <w:rsid w:val="00CC6CBC"/>
    <w:rsid w:val="00CD0570"/>
    <w:rsid w:val="00CD1780"/>
    <w:rsid w:val="00CD3B3E"/>
    <w:rsid w:val="00CD59BA"/>
    <w:rsid w:val="00CD67D7"/>
    <w:rsid w:val="00CE146C"/>
    <w:rsid w:val="00CE45B1"/>
    <w:rsid w:val="00CE49B6"/>
    <w:rsid w:val="00CE5805"/>
    <w:rsid w:val="00CF07AC"/>
    <w:rsid w:val="00CF1A90"/>
    <w:rsid w:val="00CF2438"/>
    <w:rsid w:val="00CF6974"/>
    <w:rsid w:val="00CF7AFE"/>
    <w:rsid w:val="00D01FC0"/>
    <w:rsid w:val="00D061BF"/>
    <w:rsid w:val="00D064E2"/>
    <w:rsid w:val="00D075E3"/>
    <w:rsid w:val="00D079E7"/>
    <w:rsid w:val="00D106A9"/>
    <w:rsid w:val="00D146BC"/>
    <w:rsid w:val="00D15C16"/>
    <w:rsid w:val="00D15FEC"/>
    <w:rsid w:val="00D20174"/>
    <w:rsid w:val="00D204F1"/>
    <w:rsid w:val="00D20859"/>
    <w:rsid w:val="00D217B8"/>
    <w:rsid w:val="00D220D1"/>
    <w:rsid w:val="00D221DE"/>
    <w:rsid w:val="00D268E8"/>
    <w:rsid w:val="00D270D7"/>
    <w:rsid w:val="00D27C0C"/>
    <w:rsid w:val="00D30491"/>
    <w:rsid w:val="00D32F3C"/>
    <w:rsid w:val="00D33BDF"/>
    <w:rsid w:val="00D35CC8"/>
    <w:rsid w:val="00D362DD"/>
    <w:rsid w:val="00D37869"/>
    <w:rsid w:val="00D41D9F"/>
    <w:rsid w:val="00D444BB"/>
    <w:rsid w:val="00D44BC4"/>
    <w:rsid w:val="00D45E2F"/>
    <w:rsid w:val="00D45F1D"/>
    <w:rsid w:val="00D5005C"/>
    <w:rsid w:val="00D518A5"/>
    <w:rsid w:val="00D523CD"/>
    <w:rsid w:val="00D5322A"/>
    <w:rsid w:val="00D53C67"/>
    <w:rsid w:val="00D56466"/>
    <w:rsid w:val="00D6372D"/>
    <w:rsid w:val="00D63BF7"/>
    <w:rsid w:val="00D64B60"/>
    <w:rsid w:val="00D66B78"/>
    <w:rsid w:val="00D67EC4"/>
    <w:rsid w:val="00D71CD2"/>
    <w:rsid w:val="00D7358E"/>
    <w:rsid w:val="00D813BD"/>
    <w:rsid w:val="00D819BE"/>
    <w:rsid w:val="00D9037A"/>
    <w:rsid w:val="00D92686"/>
    <w:rsid w:val="00D967D0"/>
    <w:rsid w:val="00D9787C"/>
    <w:rsid w:val="00DA0EEA"/>
    <w:rsid w:val="00DA1D83"/>
    <w:rsid w:val="00DA41AA"/>
    <w:rsid w:val="00DB0915"/>
    <w:rsid w:val="00DB587F"/>
    <w:rsid w:val="00DB5BE6"/>
    <w:rsid w:val="00DB64D9"/>
    <w:rsid w:val="00DC12AD"/>
    <w:rsid w:val="00DC136B"/>
    <w:rsid w:val="00DC4255"/>
    <w:rsid w:val="00DC6D89"/>
    <w:rsid w:val="00DC7418"/>
    <w:rsid w:val="00DD0378"/>
    <w:rsid w:val="00DD19DB"/>
    <w:rsid w:val="00DD34CE"/>
    <w:rsid w:val="00DD35E1"/>
    <w:rsid w:val="00DD478D"/>
    <w:rsid w:val="00DD4AC1"/>
    <w:rsid w:val="00DF0640"/>
    <w:rsid w:val="00DF140A"/>
    <w:rsid w:val="00DF1D80"/>
    <w:rsid w:val="00DF30FF"/>
    <w:rsid w:val="00DF465E"/>
    <w:rsid w:val="00E01222"/>
    <w:rsid w:val="00E03B0F"/>
    <w:rsid w:val="00E11DA9"/>
    <w:rsid w:val="00E12845"/>
    <w:rsid w:val="00E12C01"/>
    <w:rsid w:val="00E13693"/>
    <w:rsid w:val="00E1428C"/>
    <w:rsid w:val="00E16C87"/>
    <w:rsid w:val="00E236EE"/>
    <w:rsid w:val="00E23C2C"/>
    <w:rsid w:val="00E2606C"/>
    <w:rsid w:val="00E26406"/>
    <w:rsid w:val="00E306A7"/>
    <w:rsid w:val="00E357CE"/>
    <w:rsid w:val="00E41C54"/>
    <w:rsid w:val="00E41E09"/>
    <w:rsid w:val="00E443F7"/>
    <w:rsid w:val="00E45514"/>
    <w:rsid w:val="00E46B59"/>
    <w:rsid w:val="00E5010B"/>
    <w:rsid w:val="00E510DE"/>
    <w:rsid w:val="00E51475"/>
    <w:rsid w:val="00E57245"/>
    <w:rsid w:val="00E60832"/>
    <w:rsid w:val="00E60C9B"/>
    <w:rsid w:val="00E64F16"/>
    <w:rsid w:val="00E65BED"/>
    <w:rsid w:val="00E66A6F"/>
    <w:rsid w:val="00E67B80"/>
    <w:rsid w:val="00E70FCA"/>
    <w:rsid w:val="00E74731"/>
    <w:rsid w:val="00E74956"/>
    <w:rsid w:val="00E77B5D"/>
    <w:rsid w:val="00E80AFF"/>
    <w:rsid w:val="00E8176A"/>
    <w:rsid w:val="00E8306B"/>
    <w:rsid w:val="00E83196"/>
    <w:rsid w:val="00E8471E"/>
    <w:rsid w:val="00E85CF8"/>
    <w:rsid w:val="00E865EA"/>
    <w:rsid w:val="00E92BBE"/>
    <w:rsid w:val="00E94987"/>
    <w:rsid w:val="00EA1AE7"/>
    <w:rsid w:val="00EA24EA"/>
    <w:rsid w:val="00EA523E"/>
    <w:rsid w:val="00EB0BFA"/>
    <w:rsid w:val="00EB12AC"/>
    <w:rsid w:val="00EB175B"/>
    <w:rsid w:val="00EB2373"/>
    <w:rsid w:val="00EB33D5"/>
    <w:rsid w:val="00EB55E2"/>
    <w:rsid w:val="00EB5759"/>
    <w:rsid w:val="00EC1AD4"/>
    <w:rsid w:val="00EC20B4"/>
    <w:rsid w:val="00EC54AE"/>
    <w:rsid w:val="00EC643F"/>
    <w:rsid w:val="00EC7FF5"/>
    <w:rsid w:val="00ED2C01"/>
    <w:rsid w:val="00ED4911"/>
    <w:rsid w:val="00EE0363"/>
    <w:rsid w:val="00EE125D"/>
    <w:rsid w:val="00EE2558"/>
    <w:rsid w:val="00EE4E62"/>
    <w:rsid w:val="00EE5029"/>
    <w:rsid w:val="00EE5B4E"/>
    <w:rsid w:val="00EF03FA"/>
    <w:rsid w:val="00EF1DA2"/>
    <w:rsid w:val="00EF49E6"/>
    <w:rsid w:val="00EF6935"/>
    <w:rsid w:val="00EF6E9F"/>
    <w:rsid w:val="00F01BAE"/>
    <w:rsid w:val="00F023CA"/>
    <w:rsid w:val="00F02F78"/>
    <w:rsid w:val="00F062E1"/>
    <w:rsid w:val="00F07460"/>
    <w:rsid w:val="00F10E22"/>
    <w:rsid w:val="00F14DB4"/>
    <w:rsid w:val="00F15017"/>
    <w:rsid w:val="00F15253"/>
    <w:rsid w:val="00F153DF"/>
    <w:rsid w:val="00F1629A"/>
    <w:rsid w:val="00F17C43"/>
    <w:rsid w:val="00F212FA"/>
    <w:rsid w:val="00F21FA6"/>
    <w:rsid w:val="00F23400"/>
    <w:rsid w:val="00F23E37"/>
    <w:rsid w:val="00F25B7B"/>
    <w:rsid w:val="00F2689D"/>
    <w:rsid w:val="00F26B4A"/>
    <w:rsid w:val="00F27354"/>
    <w:rsid w:val="00F27640"/>
    <w:rsid w:val="00F30422"/>
    <w:rsid w:val="00F3203F"/>
    <w:rsid w:val="00F32810"/>
    <w:rsid w:val="00F372B2"/>
    <w:rsid w:val="00F4121F"/>
    <w:rsid w:val="00F45D3D"/>
    <w:rsid w:val="00F51436"/>
    <w:rsid w:val="00F52309"/>
    <w:rsid w:val="00F53107"/>
    <w:rsid w:val="00F55390"/>
    <w:rsid w:val="00F55EA1"/>
    <w:rsid w:val="00F5772C"/>
    <w:rsid w:val="00F60BCE"/>
    <w:rsid w:val="00F613D4"/>
    <w:rsid w:val="00F630BB"/>
    <w:rsid w:val="00F72022"/>
    <w:rsid w:val="00F73FEB"/>
    <w:rsid w:val="00F83750"/>
    <w:rsid w:val="00F849C6"/>
    <w:rsid w:val="00F91B20"/>
    <w:rsid w:val="00F93306"/>
    <w:rsid w:val="00F93D1E"/>
    <w:rsid w:val="00FA1DEB"/>
    <w:rsid w:val="00FA216D"/>
    <w:rsid w:val="00FA366D"/>
    <w:rsid w:val="00FA6343"/>
    <w:rsid w:val="00FB015F"/>
    <w:rsid w:val="00FB20BC"/>
    <w:rsid w:val="00FB30F4"/>
    <w:rsid w:val="00FB4E9E"/>
    <w:rsid w:val="00FB50E6"/>
    <w:rsid w:val="00FB6136"/>
    <w:rsid w:val="00FB6200"/>
    <w:rsid w:val="00FB66D6"/>
    <w:rsid w:val="00FB6A12"/>
    <w:rsid w:val="00FB7640"/>
    <w:rsid w:val="00FC0B94"/>
    <w:rsid w:val="00FC3957"/>
    <w:rsid w:val="00FC4611"/>
    <w:rsid w:val="00FC4E57"/>
    <w:rsid w:val="00FC556D"/>
    <w:rsid w:val="00FC5BE4"/>
    <w:rsid w:val="00FC728C"/>
    <w:rsid w:val="00FD17E2"/>
    <w:rsid w:val="00FD1ECB"/>
    <w:rsid w:val="00FD38FF"/>
    <w:rsid w:val="00FD3EE1"/>
    <w:rsid w:val="00FD6818"/>
    <w:rsid w:val="00FE11A4"/>
    <w:rsid w:val="00FE2E1A"/>
    <w:rsid w:val="00FE3DFF"/>
    <w:rsid w:val="00FE476A"/>
    <w:rsid w:val="00FE480C"/>
    <w:rsid w:val="00FE5E7F"/>
    <w:rsid w:val="00FF3F97"/>
    <w:rsid w:val="00FF559C"/>
    <w:rsid w:val="00FF7D7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8BD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4" w:qFormat="1"/>
    <w:lsdException w:name="heading 2" w:locked="0" w:uiPriority="4" w:qFormat="1"/>
    <w:lsdException w:name="heading 3" w:locked="0" w:uiPriority="4" w:qFormat="1"/>
    <w:lsdException w:name="heading 4" w:locked="0" w:uiPriority="4" w:qFormat="1"/>
    <w:lsdException w:name="heading 5" w:locked="0" w:uiPriority="4" w:qFormat="1"/>
    <w:lsdException w:name="heading 6" w:locked="0" w:uiPriority="9" w:qFormat="1"/>
    <w:lsdException w:name="heading 7" w:locked="0" w:semiHidden="1" w:uiPriority="9" w:qFormat="1"/>
    <w:lsdException w:name="heading 8" w:locked="0" w:semiHidden="1" w:uiPriority="9" w:qFormat="1"/>
    <w:lsdException w:name="heading 9" w:locked="0" w:semiHidden="1" w:uiPriority="9"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uiPriority="39" w:unhideWhenUsed="1"/>
    <w:lsdException w:name="toc 2" w:locked="0" w:uiPriority="39" w:unhideWhenUsed="1"/>
    <w:lsdException w:name="toc 3" w:locked="0" w:uiPriority="39" w:unhideWhenUsed="1"/>
    <w:lsdException w:name="toc 4" w:locked="0" w:semiHidden="1" w:uiPriority="39"/>
    <w:lsdException w:name="toc 5" w:locked="0" w:semiHidden="1" w:uiPriority="39"/>
    <w:lsdException w:name="toc 6" w:locked="0" w:semiHidden="1" w:uiPriority="39"/>
    <w:lsdException w:name="toc 7" w:locked="0" w:semiHidden="1" w:uiPriority="39"/>
    <w:lsdException w:name="toc 8" w:locked="0" w:semiHidden="1" w:uiPriority="39"/>
    <w:lsdException w:name="toc 9" w:locked="0" w:semiHidden="1" w:uiPriority="39"/>
    <w:lsdException w:name="Normal Indent" w:locked="0" w:semiHidden="1"/>
    <w:lsdException w:name="footnote text" w:locked="0" w:semiHidden="1"/>
    <w:lsdException w:name="annotation text" w:locked="0" w:semiHidden="1"/>
    <w:lsdException w:name="header" w:locked="0" w:uiPriority="29" w:unhideWhenUsed="1"/>
    <w:lsdException w:name="footer" w:locked="0" w:unhideWhenUsed="1"/>
    <w:lsdException w:name="index heading" w:locked="0" w:semiHidden="1"/>
    <w:lsdException w:name="caption" w:locked="0" w:uiPriority="22" w:unhideWhenUsed="1"/>
    <w:lsdException w:name="table of figures" w:locked="0" w:unhideWhenUsed="1"/>
    <w:lsdException w:name="envelope address" w:locked="0" w:semiHidden="1"/>
    <w:lsdException w:name="envelope return" w:locked="0" w:semiHidden="1"/>
    <w:lsdException w:name="footnote reference" w:locked="0" w:semiHidden="1"/>
    <w:lsdException w:name="annotation reference" w:locked="0" w:semiHidden="1"/>
    <w:lsdException w:name="line number" w:locked="0" w:semiHidden="1"/>
    <w:lsdException w:name="page number" w:locked="0" w:unhideWhenUsed="1"/>
    <w:lsdException w:name="endnote reference" w:locked="0" w:semiHidden="1"/>
    <w:lsdException w:name="endnote text" w:locked="0" w:semiHidden="1"/>
    <w:lsdException w:name="table of authorities" w:semiHidden="1"/>
    <w:lsdException w:name="macro" w:locked="0" w:semiHidden="1"/>
    <w:lsdException w:name="toa heading" w:locked="0" w:semiHidden="1"/>
    <w:lsdException w:name="List" w:locked="0" w:semiHidden="1"/>
    <w:lsdException w:name="List Bullet" w:locked="0" w:semiHidden="1" w:uiPriority="4" w:unhideWhenUsed="1" w:qFormat="1"/>
    <w:lsdException w:name="List Number" w:locked="0" w:semiHidden="1" w:uiPriority="5" w:unhideWhenUsed="1" w:qFormat="1"/>
    <w:lsdException w:name="List 2" w:locked="0" w:semiHidden="1"/>
    <w:lsdException w:name="List 3" w:locked="0" w:semiHidden="1"/>
    <w:lsdException w:name="List 4" w:locked="0" w:semiHidden="1"/>
    <w:lsdException w:name="List 5" w:locked="0" w:semiHidden="1"/>
    <w:lsdException w:name="List Bullet 2" w:locked="0" w:semiHidden="1" w:uiPriority="4" w:unhideWhenUsed="1" w:qFormat="1"/>
    <w:lsdException w:name="List Bullet 3" w:locked="0" w:semiHidden="1" w:uiPriority="4" w:unhideWhenUsed="1" w:qFormat="1"/>
    <w:lsdException w:name="List Bullet 4" w:locked="0" w:semiHidden="1"/>
    <w:lsdException w:name="List Bullet 5" w:locked="0" w:semiHidden="1"/>
    <w:lsdException w:name="List Number 2" w:locked="0" w:semiHidden="1" w:uiPriority="5" w:unhideWhenUsed="1" w:qFormat="1"/>
    <w:lsdException w:name="List Number 3" w:locked="0" w:semiHidden="1" w:uiPriority="5" w:unhideWhenUsed="1" w:qFormat="1"/>
    <w:lsdException w:name="List Number 4" w:locked="0" w:semiHidden="1"/>
    <w:lsdException w:name="List Number 5" w:locked="0" w:semiHidden="1"/>
    <w:lsdException w:name="Title" w:locked="0" w:uiPriority="24"/>
    <w:lsdException w:name="Closing" w:locked="0" w:semiHidden="1"/>
    <w:lsdException w:name="Signature" w:locked="0" w:semiHidden="1" w:uiPriority="23"/>
    <w:lsdException w:name="Default Paragraph Font" w:locked="0" w:semiHidden="1" w:uiPriority="1" w:unhideWhenUsed="1"/>
    <w:lsdException w:name="Body Text" w:locked="0" w:unhideWhenUsed="1" w:qFormat="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uiPriority="24"/>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unhideWhenUsed="1" w:qFormat="1"/>
    <w:lsdException w:name="FollowedHyperlink" w:locked="0" w:semiHidden="1"/>
    <w:lsdException w:name="Strong" w:locked="0" w:semiHidden="1" w:qFormat="1"/>
    <w:lsdException w:name="Emphasis" w:locked="0" w:semiHidden="1" w:qFormat="1"/>
    <w:lsdException w:name="Document Map" w:locked="0" w:semiHidden="1"/>
    <w:lsdException w:name="Plain Text" w:locked="0" w:semiHidden="1"/>
    <w:lsdException w:name="E-mail Signature" w:locked="0" w:semiHidden="1"/>
    <w:lsdException w:name="HTML Top of Form" w:locked="0" w:semiHidden="1" w:unhideWhenUsed="1"/>
    <w:lsdException w:name="HTML Bottom of Form" w:locked="0" w:semiHidden="1" w:unhideWhenUsed="1"/>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semiHidden="1" w:unhideWhenUsed="1"/>
    <w:lsdException w:name="annotation subject" w:locked="0" w:semiHidden="1"/>
    <w:lsdException w:name="No List" w:locked="0" w:semiHidden="1" w:unhideWhenUsed="1"/>
    <w:lsdException w:name="Outline List 1" w:locked="0" w:semiHidden="1" w:unhideWhenUsed="1"/>
    <w:lsdException w:name="Outline List 2" w:locked="0" w:semiHidden="1" w:unhideWhenUsed="1"/>
    <w:lsdException w:name="Outline List 3" w:locked="0"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uiPriority="5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19" w:qFormat="1"/>
    <w:lsdException w:name="Intense Quote" w:locked="0"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qFormat="1"/>
    <w:lsdException w:name="Intense Emphasis" w:locked="0" w:semiHidden="1" w:qFormat="1"/>
    <w:lsdException w:name="Subtle Reference" w:locked="0" w:semiHidden="1" w:qFormat="1"/>
    <w:lsdException w:name="Intense Reference" w:locked="0" w:semiHidden="1" w:qFormat="1"/>
    <w:lsdException w:name="Book Title" w:locked="0" w:semiHidden="1" w:qFormat="1"/>
    <w:lsdException w:name="Bibliography" w:locked="0" w:semiHidden="1"/>
    <w:lsdException w:name="TOC Heading" w:locked="0" w:semiHidden="1" w:uiPriority="2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lsdException w:name="Smart Hyperlink" w:locked="0" w:semiHidden="1"/>
    <w:lsdException w:name="Hashtag" w:locked="0" w:semiHidden="1"/>
    <w:lsdException w:name="Unresolved Mention" w:locked="0" w:semiHidden="1" w:unhideWhenUsed="1"/>
    <w:lsdException w:name="Smart Link" w:locked="0" w:semiHidden="1"/>
  </w:latentStyles>
  <w:style w:type="paragraph" w:default="1" w:styleId="Normal">
    <w:name w:val="Normal"/>
    <w:semiHidden/>
    <w:qFormat/>
    <w:rsid w:val="007937D8"/>
    <w:pPr>
      <w:spacing w:before="40" w:after="40" w:line="240" w:lineRule="auto"/>
    </w:pPr>
    <w:rPr>
      <w:rFonts w:ascii="Arial" w:hAnsi="Arial"/>
      <w:sz w:val="22"/>
      <w:lang w:val="en-AU"/>
    </w:rPr>
  </w:style>
  <w:style w:type="paragraph" w:styleId="Heading1">
    <w:name w:val="heading 1"/>
    <w:basedOn w:val="BodyText"/>
    <w:next w:val="BodyText"/>
    <w:link w:val="Heading1Char"/>
    <w:uiPriority w:val="9"/>
    <w:qFormat/>
    <w:rsid w:val="00364F62"/>
    <w:pPr>
      <w:keepNext/>
      <w:spacing w:before="240" w:after="0"/>
      <w:outlineLvl w:val="0"/>
    </w:pPr>
    <w:rPr>
      <w:rFonts w:eastAsia="Times New Roman" w:cs="Arial"/>
      <w:b/>
      <w:bCs/>
      <w:color w:val="012749"/>
      <w:sz w:val="32"/>
      <w:szCs w:val="32"/>
      <w:lang w:eastAsia="en-AU"/>
    </w:rPr>
  </w:style>
  <w:style w:type="paragraph" w:styleId="Heading2">
    <w:name w:val="heading 2"/>
    <w:basedOn w:val="Heading1"/>
    <w:next w:val="BodyText"/>
    <w:link w:val="Heading2Char"/>
    <w:uiPriority w:val="9"/>
    <w:qFormat/>
    <w:rsid w:val="00364F62"/>
    <w:pPr>
      <w:numPr>
        <w:ilvl w:val="1"/>
      </w:numPr>
      <w:tabs>
        <w:tab w:val="clear" w:pos="357"/>
        <w:tab w:val="clear" w:pos="714"/>
        <w:tab w:val="clear" w:pos="1429"/>
      </w:tabs>
      <w:outlineLvl w:val="1"/>
    </w:pPr>
    <w:rPr>
      <w:bCs w:val="0"/>
      <w:iCs/>
      <w:color w:val="4B0885"/>
      <w:sz w:val="26"/>
      <w:szCs w:val="28"/>
    </w:rPr>
  </w:style>
  <w:style w:type="paragraph" w:styleId="Heading3">
    <w:name w:val="heading 3"/>
    <w:basedOn w:val="Heading1"/>
    <w:next w:val="BodyText"/>
    <w:link w:val="Heading3Char"/>
    <w:uiPriority w:val="9"/>
    <w:qFormat/>
    <w:rsid w:val="00364F62"/>
    <w:pPr>
      <w:numPr>
        <w:ilvl w:val="2"/>
      </w:numPr>
      <w:tabs>
        <w:tab w:val="clear" w:pos="357"/>
        <w:tab w:val="clear" w:pos="714"/>
        <w:tab w:val="clear" w:pos="1429"/>
      </w:tabs>
      <w:outlineLvl w:val="2"/>
    </w:pPr>
    <w:rPr>
      <w:bCs w:val="0"/>
      <w:sz w:val="22"/>
      <w:szCs w:val="26"/>
    </w:rPr>
  </w:style>
  <w:style w:type="paragraph" w:styleId="Heading4">
    <w:name w:val="heading 4"/>
    <w:basedOn w:val="Heading1"/>
    <w:next w:val="BodyText"/>
    <w:link w:val="Heading4Char"/>
    <w:uiPriority w:val="9"/>
    <w:qFormat/>
    <w:rsid w:val="00364F62"/>
    <w:pPr>
      <w:numPr>
        <w:ilvl w:val="3"/>
      </w:numPr>
      <w:tabs>
        <w:tab w:val="clear" w:pos="357"/>
        <w:tab w:val="clear" w:pos="714"/>
        <w:tab w:val="clear" w:pos="1429"/>
      </w:tabs>
      <w:outlineLvl w:val="3"/>
    </w:pPr>
    <w:rPr>
      <w:b w:val="0"/>
      <w:bCs w:val="0"/>
      <w:color w:val="4B0885"/>
      <w:sz w:val="22"/>
      <w:szCs w:val="21"/>
    </w:rPr>
  </w:style>
  <w:style w:type="paragraph" w:styleId="Heading5">
    <w:name w:val="heading 5"/>
    <w:basedOn w:val="Normal"/>
    <w:next w:val="Normal"/>
    <w:link w:val="Heading5Char"/>
    <w:uiPriority w:val="9"/>
    <w:qFormat/>
    <w:rsid w:val="00925D48"/>
    <w:pPr>
      <w:tabs>
        <w:tab w:val="left" w:pos="1072"/>
      </w:tabs>
      <w:spacing w:before="240" w:after="0" w:line="276" w:lineRule="auto"/>
      <w:outlineLvl w:val="4"/>
    </w:pPr>
    <w:rPr>
      <w:rFonts w:eastAsia="Times New Roman" w:cs="Times New Roman"/>
      <w:bCs/>
      <w:iCs/>
      <w:color w:val="4B0885"/>
      <w:lang w:val="en-GB" w:eastAsia="en-AU"/>
    </w:rPr>
  </w:style>
  <w:style w:type="paragraph" w:styleId="Heading6">
    <w:name w:val="heading 6"/>
    <w:basedOn w:val="Normal"/>
    <w:next w:val="Normal"/>
    <w:link w:val="Heading6Char"/>
    <w:uiPriority w:val="9"/>
    <w:semiHidden/>
    <w:qFormat/>
    <w:rsid w:val="003C7246"/>
    <w:pPr>
      <w:keepNext/>
      <w:keepLines/>
      <w:spacing w:before="240" w:after="0" w:line="276" w:lineRule="auto"/>
      <w:outlineLvl w:val="5"/>
    </w:pPr>
    <w:rPr>
      <w:rFonts w:eastAsiaTheme="majorEastAsia" w:cstheme="majorBidi"/>
      <w:color w:val="4B0885"/>
      <w:sz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D26D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3E03"/>
    <w:rPr>
      <w:rFonts w:ascii="Tahoma" w:hAnsi="Tahoma" w:cs="Tahoma"/>
      <w:sz w:val="16"/>
      <w:szCs w:val="16"/>
      <w:lang w:val="en-AU"/>
    </w:rPr>
  </w:style>
  <w:style w:type="paragraph" w:styleId="ListBullet">
    <w:name w:val="List Bullet"/>
    <w:basedOn w:val="Normal"/>
    <w:uiPriority w:val="4"/>
    <w:qFormat/>
    <w:rsid w:val="005002B4"/>
    <w:pPr>
      <w:numPr>
        <w:numId w:val="23"/>
      </w:numPr>
      <w:spacing w:before="120" w:after="120" w:line="276" w:lineRule="auto"/>
    </w:pPr>
    <w:rPr>
      <w:rFonts w:eastAsia="Times New Roman" w:cs="Times New Roman"/>
      <w:szCs w:val="24"/>
      <w:lang w:eastAsia="en-GB"/>
    </w:rPr>
  </w:style>
  <w:style w:type="numbering" w:customStyle="1" w:styleId="ListBulletmaster">
    <w:name w:val="List Bullet (master)"/>
    <w:rsid w:val="006E4F12"/>
    <w:pPr>
      <w:numPr>
        <w:numId w:val="4"/>
      </w:numPr>
    </w:pPr>
  </w:style>
  <w:style w:type="paragraph" w:styleId="ListBullet2">
    <w:name w:val="List Bullet 2"/>
    <w:basedOn w:val="Normal"/>
    <w:uiPriority w:val="4"/>
    <w:qFormat/>
    <w:rsid w:val="005002B4"/>
    <w:pPr>
      <w:numPr>
        <w:ilvl w:val="1"/>
        <w:numId w:val="23"/>
      </w:numPr>
      <w:spacing w:before="120" w:after="120" w:line="276" w:lineRule="auto"/>
    </w:pPr>
    <w:rPr>
      <w:rFonts w:eastAsia="Times New Roman" w:cs="Times New Roman"/>
      <w:szCs w:val="24"/>
      <w:lang w:eastAsia="en-GB"/>
    </w:rPr>
  </w:style>
  <w:style w:type="paragraph" w:styleId="ListBullet3">
    <w:name w:val="List Bullet 3"/>
    <w:basedOn w:val="Normal"/>
    <w:uiPriority w:val="4"/>
    <w:qFormat/>
    <w:rsid w:val="005002B4"/>
    <w:pPr>
      <w:numPr>
        <w:ilvl w:val="2"/>
        <w:numId w:val="23"/>
      </w:numPr>
      <w:spacing w:before="120" w:after="120" w:line="276" w:lineRule="auto"/>
      <w:ind w:left="1071" w:hanging="357"/>
    </w:pPr>
    <w:rPr>
      <w:rFonts w:eastAsia="Times New Roman" w:cs="Times New Roman"/>
      <w:szCs w:val="24"/>
      <w:lang w:eastAsia="en-GB"/>
    </w:rPr>
  </w:style>
  <w:style w:type="numbering" w:customStyle="1" w:styleId="ListNumbermaster">
    <w:name w:val="List Number (master)"/>
    <w:rsid w:val="000419F4"/>
    <w:pPr>
      <w:numPr>
        <w:numId w:val="5"/>
      </w:numPr>
    </w:pPr>
  </w:style>
  <w:style w:type="paragraph" w:styleId="ListNumber2">
    <w:name w:val="List Number 2"/>
    <w:basedOn w:val="Normal"/>
    <w:uiPriority w:val="5"/>
    <w:qFormat/>
    <w:rsid w:val="005002B4"/>
    <w:pPr>
      <w:numPr>
        <w:ilvl w:val="1"/>
        <w:numId w:val="10"/>
      </w:numPr>
      <w:spacing w:before="120" w:after="120" w:line="276" w:lineRule="auto"/>
      <w:ind w:left="714" w:hanging="357"/>
    </w:pPr>
    <w:rPr>
      <w:rFonts w:eastAsia="Times New Roman" w:cs="Times New Roman"/>
      <w:szCs w:val="24"/>
      <w:lang w:eastAsia="en-GB"/>
    </w:rPr>
  </w:style>
  <w:style w:type="paragraph" w:styleId="ListNumber3">
    <w:name w:val="List Number 3"/>
    <w:basedOn w:val="Normal"/>
    <w:uiPriority w:val="5"/>
    <w:qFormat/>
    <w:rsid w:val="005002B4"/>
    <w:pPr>
      <w:numPr>
        <w:ilvl w:val="2"/>
        <w:numId w:val="10"/>
      </w:numPr>
      <w:spacing w:before="120" w:after="120" w:line="276" w:lineRule="auto"/>
      <w:ind w:left="1077" w:hanging="357"/>
    </w:pPr>
    <w:rPr>
      <w:rFonts w:eastAsia="Times New Roman" w:cs="Times New Roman"/>
      <w:szCs w:val="24"/>
      <w:lang w:eastAsia="en-GB"/>
    </w:rPr>
  </w:style>
  <w:style w:type="paragraph" w:styleId="ListNumber">
    <w:name w:val="List Number"/>
    <w:basedOn w:val="Normal"/>
    <w:uiPriority w:val="5"/>
    <w:qFormat/>
    <w:rsid w:val="005002B4"/>
    <w:pPr>
      <w:numPr>
        <w:numId w:val="10"/>
      </w:numPr>
      <w:spacing w:before="120" w:after="120" w:line="276" w:lineRule="auto"/>
      <w:ind w:left="357" w:hanging="357"/>
    </w:pPr>
    <w:rPr>
      <w:rFonts w:eastAsia="Times New Roman" w:cs="Times New Roman"/>
      <w:szCs w:val="24"/>
      <w:lang w:eastAsia="en-GB"/>
    </w:rPr>
  </w:style>
  <w:style w:type="paragraph" w:styleId="NoSpacing">
    <w:name w:val="No Spacing"/>
    <w:link w:val="NoSpacingChar"/>
    <w:uiPriority w:val="1"/>
    <w:semiHidden/>
    <w:qFormat/>
    <w:rsid w:val="006722C0"/>
    <w:pPr>
      <w:spacing w:after="0" w:line="240" w:lineRule="auto"/>
    </w:pPr>
    <w:rPr>
      <w:rFonts w:ascii="Arial" w:eastAsia="Times New Roman" w:hAnsi="Arial" w:cs="Times New Roman"/>
      <w:sz w:val="2"/>
      <w:szCs w:val="24"/>
      <w:lang w:val="en-AU" w:eastAsia="en-GB"/>
    </w:rPr>
  </w:style>
  <w:style w:type="paragraph" w:customStyle="1" w:styleId="TableHeading1">
    <w:name w:val="Table Heading 1"/>
    <w:basedOn w:val="Normal"/>
    <w:uiPriority w:val="13"/>
    <w:qFormat/>
    <w:rsid w:val="0082152E"/>
    <w:pPr>
      <w:spacing w:before="80" w:after="80"/>
    </w:pPr>
    <w:rPr>
      <w:rFonts w:eastAsia="Times New Roman" w:cs="Times New Roman"/>
      <w:bCs/>
      <w:sz w:val="20"/>
      <w:szCs w:val="24"/>
      <w:lang w:eastAsia="en-GB"/>
    </w:rPr>
  </w:style>
  <w:style w:type="paragraph" w:customStyle="1" w:styleId="TableListBullet">
    <w:name w:val="Table List Bullet"/>
    <w:basedOn w:val="Normal"/>
    <w:uiPriority w:val="15"/>
    <w:qFormat/>
    <w:rsid w:val="0082152E"/>
    <w:pPr>
      <w:numPr>
        <w:numId w:val="28"/>
      </w:numPr>
      <w:spacing w:before="80" w:after="80"/>
    </w:pPr>
    <w:rPr>
      <w:rFonts w:eastAsia="Times New Roman" w:cs="Times New Roman"/>
      <w:bCs/>
      <w:sz w:val="20"/>
      <w:szCs w:val="24"/>
      <w:lang w:eastAsia="en-GB"/>
    </w:rPr>
  </w:style>
  <w:style w:type="numbering" w:customStyle="1" w:styleId="TableListBulletmaster">
    <w:name w:val="Table List Bullet (master)"/>
    <w:rsid w:val="00CF6974"/>
    <w:pPr>
      <w:numPr>
        <w:numId w:val="6"/>
      </w:numPr>
    </w:pPr>
  </w:style>
  <w:style w:type="paragraph" w:customStyle="1" w:styleId="TableListBullet2">
    <w:name w:val="Table List Bullet 2"/>
    <w:basedOn w:val="TableListBullet"/>
    <w:uiPriority w:val="15"/>
    <w:qFormat/>
    <w:rsid w:val="00544654"/>
    <w:pPr>
      <w:numPr>
        <w:ilvl w:val="1"/>
      </w:numPr>
      <w:ind w:left="568" w:hanging="284"/>
    </w:pPr>
  </w:style>
  <w:style w:type="paragraph" w:customStyle="1" w:styleId="TableListNumber">
    <w:name w:val="Table List Number"/>
    <w:basedOn w:val="Normal"/>
    <w:uiPriority w:val="15"/>
    <w:qFormat/>
    <w:rsid w:val="0082152E"/>
    <w:pPr>
      <w:numPr>
        <w:numId w:val="29"/>
      </w:numPr>
      <w:spacing w:before="80" w:after="80"/>
    </w:pPr>
    <w:rPr>
      <w:rFonts w:eastAsia="Times New Roman" w:cs="Times New Roman"/>
      <w:bCs/>
      <w:sz w:val="20"/>
      <w:szCs w:val="24"/>
      <w:lang w:eastAsia="en-GB"/>
    </w:rPr>
  </w:style>
  <w:style w:type="numbering" w:customStyle="1" w:styleId="TableListNumbermaster">
    <w:name w:val="Table List Number (master)"/>
    <w:rsid w:val="00CF6974"/>
    <w:pPr>
      <w:numPr>
        <w:numId w:val="7"/>
      </w:numPr>
    </w:pPr>
  </w:style>
  <w:style w:type="paragraph" w:customStyle="1" w:styleId="TableListNumber2">
    <w:name w:val="Table List Number 2"/>
    <w:basedOn w:val="TableListNumber"/>
    <w:uiPriority w:val="15"/>
    <w:qFormat/>
    <w:rsid w:val="0082152E"/>
    <w:pPr>
      <w:numPr>
        <w:ilvl w:val="1"/>
      </w:numPr>
      <w:ind w:left="568" w:hanging="284"/>
    </w:pPr>
  </w:style>
  <w:style w:type="paragraph" w:customStyle="1" w:styleId="TableBodyText">
    <w:name w:val="Table Body Text"/>
    <w:basedOn w:val="Normal"/>
    <w:uiPriority w:val="14"/>
    <w:qFormat/>
    <w:rsid w:val="0082152E"/>
    <w:pPr>
      <w:spacing w:before="80" w:after="80"/>
    </w:pPr>
    <w:rPr>
      <w:rFonts w:eastAsia="Times New Roman" w:cs="Times New Roman"/>
      <w:bCs/>
      <w:sz w:val="20"/>
      <w:szCs w:val="24"/>
      <w:lang w:eastAsia="en-GB"/>
    </w:rPr>
  </w:style>
  <w:style w:type="paragraph" w:customStyle="1" w:styleId="TableBodyTextsmall">
    <w:name w:val="Table Body Text (small)"/>
    <w:basedOn w:val="TableBodyText"/>
    <w:uiPriority w:val="16"/>
    <w:semiHidden/>
    <w:qFormat/>
    <w:rsid w:val="00544654"/>
    <w:pPr>
      <w:spacing w:before="20" w:after="20"/>
    </w:pPr>
    <w:rPr>
      <w:sz w:val="15"/>
    </w:rPr>
  </w:style>
  <w:style w:type="character" w:customStyle="1" w:styleId="Characterbold">
    <w:name w:val="Character (bold)"/>
    <w:basedOn w:val="DefaultParagraphFont"/>
    <w:uiPriority w:val="2"/>
    <w:qFormat/>
    <w:rsid w:val="005012B2"/>
    <w:rPr>
      <w:b/>
      <w:lang w:val="en-AU"/>
    </w:rPr>
  </w:style>
  <w:style w:type="character" w:customStyle="1" w:styleId="Characteritalic">
    <w:name w:val="Character (italic)"/>
    <w:basedOn w:val="DefaultParagraphFont"/>
    <w:uiPriority w:val="2"/>
    <w:qFormat/>
    <w:rsid w:val="005012B2"/>
    <w:rPr>
      <w:i/>
      <w:lang w:val="en-AU"/>
    </w:rPr>
  </w:style>
  <w:style w:type="character" w:customStyle="1" w:styleId="Charactersubscript">
    <w:name w:val="Character (subscript)"/>
    <w:basedOn w:val="DefaultParagraphFont"/>
    <w:uiPriority w:val="3"/>
    <w:qFormat/>
    <w:rsid w:val="005012B2"/>
    <w:rPr>
      <w:vertAlign w:val="subscript"/>
      <w:lang w:val="en-AU"/>
    </w:rPr>
  </w:style>
  <w:style w:type="character" w:customStyle="1" w:styleId="Charactersuperscript">
    <w:name w:val="Character (superscript)"/>
    <w:basedOn w:val="DefaultParagraphFont"/>
    <w:uiPriority w:val="3"/>
    <w:qFormat/>
    <w:rsid w:val="005012B2"/>
    <w:rPr>
      <w:vertAlign w:val="superscript"/>
      <w:lang w:val="en-AU"/>
    </w:rPr>
  </w:style>
  <w:style w:type="paragraph" w:styleId="ListParagraph">
    <w:name w:val="List Paragraph"/>
    <w:basedOn w:val="Normal"/>
    <w:uiPriority w:val="99"/>
    <w:semiHidden/>
    <w:qFormat/>
    <w:rsid w:val="0023754A"/>
    <w:pPr>
      <w:ind w:left="720"/>
      <w:contextualSpacing/>
    </w:pPr>
  </w:style>
  <w:style w:type="character" w:customStyle="1" w:styleId="Heading1Char">
    <w:name w:val="Heading 1 Char"/>
    <w:basedOn w:val="DefaultParagraphFont"/>
    <w:link w:val="Heading1"/>
    <w:uiPriority w:val="9"/>
    <w:rsid w:val="00364F62"/>
    <w:rPr>
      <w:rFonts w:ascii="Arial" w:eastAsia="Times New Roman" w:hAnsi="Arial" w:cs="Arial"/>
      <w:b/>
      <w:bCs/>
      <w:color w:val="012749"/>
      <w:sz w:val="32"/>
      <w:szCs w:val="32"/>
      <w:lang w:val="en-AU" w:eastAsia="en-AU"/>
    </w:rPr>
  </w:style>
  <w:style w:type="character" w:customStyle="1" w:styleId="Heading2Char">
    <w:name w:val="Heading 2 Char"/>
    <w:basedOn w:val="DefaultParagraphFont"/>
    <w:link w:val="Heading2"/>
    <w:uiPriority w:val="9"/>
    <w:rsid w:val="00364F62"/>
    <w:rPr>
      <w:rFonts w:ascii="Arial" w:eastAsia="Times New Roman" w:hAnsi="Arial" w:cs="Arial"/>
      <w:b/>
      <w:iCs/>
      <w:color w:val="4B0885"/>
      <w:sz w:val="26"/>
      <w:szCs w:val="28"/>
      <w:lang w:val="en-AU" w:eastAsia="en-AU"/>
    </w:rPr>
  </w:style>
  <w:style w:type="character" w:customStyle="1" w:styleId="Heading3Char">
    <w:name w:val="Heading 3 Char"/>
    <w:basedOn w:val="DefaultParagraphFont"/>
    <w:link w:val="Heading3"/>
    <w:uiPriority w:val="9"/>
    <w:rsid w:val="00364F62"/>
    <w:rPr>
      <w:rFonts w:ascii="Arial" w:eastAsia="Times New Roman" w:hAnsi="Arial" w:cs="Arial"/>
      <w:b/>
      <w:color w:val="012749"/>
      <w:sz w:val="22"/>
      <w:szCs w:val="26"/>
      <w:lang w:val="en-AU" w:eastAsia="en-AU"/>
    </w:rPr>
  </w:style>
  <w:style w:type="character" w:customStyle="1" w:styleId="Heading4Char">
    <w:name w:val="Heading 4 Char"/>
    <w:basedOn w:val="DefaultParagraphFont"/>
    <w:link w:val="Heading4"/>
    <w:uiPriority w:val="9"/>
    <w:rsid w:val="00364F62"/>
    <w:rPr>
      <w:rFonts w:ascii="Arial" w:eastAsia="Times New Roman" w:hAnsi="Arial" w:cs="Arial"/>
      <w:color w:val="4B0885"/>
      <w:sz w:val="22"/>
      <w:szCs w:val="21"/>
      <w:lang w:val="en-AU" w:eastAsia="en-AU"/>
    </w:rPr>
  </w:style>
  <w:style w:type="character" w:customStyle="1" w:styleId="Heading5Char">
    <w:name w:val="Heading 5 Char"/>
    <w:basedOn w:val="DefaultParagraphFont"/>
    <w:link w:val="Heading5"/>
    <w:uiPriority w:val="9"/>
    <w:semiHidden/>
    <w:rsid w:val="00A23E03"/>
    <w:rPr>
      <w:rFonts w:ascii="Arial" w:eastAsia="Times New Roman" w:hAnsi="Arial" w:cs="Times New Roman"/>
      <w:bCs/>
      <w:iCs/>
      <w:color w:val="4B0885"/>
      <w:sz w:val="22"/>
      <w:lang w:val="en-GB" w:eastAsia="en-AU"/>
    </w:rPr>
  </w:style>
  <w:style w:type="paragraph" w:customStyle="1" w:styleId="AppendixHeading1">
    <w:name w:val="Appendix Heading 1"/>
    <w:basedOn w:val="Heading1"/>
    <w:next w:val="BodyText"/>
    <w:uiPriority w:val="11"/>
    <w:semiHidden/>
    <w:qFormat/>
    <w:rsid w:val="009279DF"/>
    <w:pPr>
      <w:keepNext w:val="0"/>
      <w:numPr>
        <w:numId w:val="32"/>
      </w:numPr>
      <w:tabs>
        <w:tab w:val="left" w:pos="2268"/>
      </w:tabs>
      <w:suppressAutoHyphens/>
      <w:spacing w:after="800"/>
      <w:ind w:left="3402" w:hanging="3402"/>
    </w:pPr>
    <w:rPr>
      <w:szCs w:val="30"/>
    </w:rPr>
  </w:style>
  <w:style w:type="numbering" w:customStyle="1" w:styleId="AppendixHeadingmaster">
    <w:name w:val="Appendix Heading (master)"/>
    <w:uiPriority w:val="99"/>
    <w:rsid w:val="004A69CF"/>
    <w:pPr>
      <w:numPr>
        <w:numId w:val="1"/>
      </w:numPr>
    </w:pPr>
  </w:style>
  <w:style w:type="paragraph" w:styleId="BodyText">
    <w:name w:val="Body Text"/>
    <w:basedOn w:val="Normal"/>
    <w:link w:val="BodyTextChar"/>
    <w:uiPriority w:val="99"/>
    <w:qFormat/>
    <w:rsid w:val="00E77B5D"/>
    <w:pPr>
      <w:tabs>
        <w:tab w:val="left" w:pos="357"/>
        <w:tab w:val="left" w:pos="714"/>
        <w:tab w:val="left" w:pos="1072"/>
        <w:tab w:val="left" w:pos="1429"/>
      </w:tabs>
      <w:spacing w:before="120" w:after="120" w:line="276" w:lineRule="auto"/>
    </w:pPr>
  </w:style>
  <w:style w:type="character" w:customStyle="1" w:styleId="BodyTextChar">
    <w:name w:val="Body Text Char"/>
    <w:basedOn w:val="DefaultParagraphFont"/>
    <w:link w:val="BodyText"/>
    <w:uiPriority w:val="99"/>
    <w:rsid w:val="00E77B5D"/>
    <w:rPr>
      <w:rFonts w:ascii="Arial" w:hAnsi="Arial"/>
      <w:sz w:val="22"/>
      <w:lang w:val="en-AU"/>
    </w:rPr>
  </w:style>
  <w:style w:type="paragraph" w:customStyle="1" w:styleId="AppendixHeading2">
    <w:name w:val="Appendix Heading 2"/>
    <w:basedOn w:val="AppendixHeading1"/>
    <w:next w:val="BodyText"/>
    <w:uiPriority w:val="11"/>
    <w:semiHidden/>
    <w:qFormat/>
    <w:rsid w:val="00281D65"/>
    <w:pPr>
      <w:keepNext/>
      <w:numPr>
        <w:ilvl w:val="1"/>
      </w:numPr>
      <w:spacing w:after="120"/>
    </w:pPr>
    <w:rPr>
      <w:sz w:val="28"/>
    </w:rPr>
  </w:style>
  <w:style w:type="paragraph" w:customStyle="1" w:styleId="AppendixHeading3">
    <w:name w:val="Appendix Heading 3"/>
    <w:basedOn w:val="Heading1"/>
    <w:next w:val="BodyText"/>
    <w:uiPriority w:val="11"/>
    <w:semiHidden/>
    <w:rsid w:val="000419F4"/>
    <w:pPr>
      <w:suppressAutoHyphens/>
      <w:spacing w:after="120" w:line="312" w:lineRule="auto"/>
    </w:pPr>
    <w:rPr>
      <w:b w:val="0"/>
      <w:color w:val="0C9FCD"/>
      <w:sz w:val="26"/>
      <w:szCs w:val="30"/>
    </w:rPr>
  </w:style>
  <w:style w:type="paragraph" w:customStyle="1" w:styleId="Heading1unnumbered">
    <w:name w:val="Heading 1 (unnumbered)"/>
    <w:basedOn w:val="Heading1"/>
    <w:next w:val="BodyText"/>
    <w:uiPriority w:val="10"/>
    <w:semiHidden/>
    <w:rsid w:val="00127F9F"/>
  </w:style>
  <w:style w:type="numbering" w:customStyle="1" w:styleId="Headingsmaster">
    <w:name w:val="Headings (master)"/>
    <w:uiPriority w:val="99"/>
    <w:rsid w:val="00E26406"/>
    <w:pPr>
      <w:numPr>
        <w:numId w:val="3"/>
      </w:numPr>
    </w:pPr>
  </w:style>
  <w:style w:type="paragraph" w:customStyle="1" w:styleId="Image">
    <w:name w:val="Image"/>
    <w:basedOn w:val="Normal"/>
    <w:next w:val="BodyText"/>
    <w:uiPriority w:val="19"/>
    <w:qFormat/>
    <w:rsid w:val="00891E50"/>
    <w:pPr>
      <w:spacing w:before="120" w:after="120" w:line="276" w:lineRule="auto"/>
    </w:pPr>
    <w:rPr>
      <w:rFonts w:eastAsia="Times New Roman" w:cs="Times New Roman"/>
      <w:szCs w:val="24"/>
      <w:lang w:eastAsia="en-AU"/>
    </w:rPr>
  </w:style>
  <w:style w:type="paragraph" w:customStyle="1" w:styleId="InstructionalText">
    <w:name w:val="Instructional Text"/>
    <w:basedOn w:val="Normal"/>
    <w:uiPriority w:val="40"/>
    <w:semiHidden/>
    <w:rsid w:val="000419F4"/>
    <w:pPr>
      <w:spacing w:after="80" w:line="288" w:lineRule="auto"/>
    </w:pPr>
    <w:rPr>
      <w:rFonts w:eastAsia="Times New Roman" w:cs="Times New Roman"/>
      <w:vanish/>
      <w:color w:val="FF0000"/>
      <w:sz w:val="16"/>
      <w:szCs w:val="24"/>
      <w:lang w:eastAsia="en-GB"/>
    </w:rPr>
  </w:style>
  <w:style w:type="paragraph" w:customStyle="1" w:styleId="Source">
    <w:name w:val="Source"/>
    <w:basedOn w:val="TableBodyText"/>
    <w:next w:val="BodyText"/>
    <w:uiPriority w:val="17"/>
    <w:qFormat/>
    <w:rsid w:val="002B3BCD"/>
    <w:pPr>
      <w:spacing w:line="200" w:lineRule="atLeast"/>
    </w:pPr>
    <w:rPr>
      <w:sz w:val="17"/>
    </w:rPr>
  </w:style>
  <w:style w:type="paragraph" w:customStyle="1" w:styleId="TableBodyTextright">
    <w:name w:val="Table Body Text (right)"/>
    <w:basedOn w:val="TableBodyText"/>
    <w:uiPriority w:val="14"/>
    <w:qFormat/>
    <w:rsid w:val="0082152E"/>
    <w:pPr>
      <w:jc w:val="right"/>
    </w:pPr>
  </w:style>
  <w:style w:type="table" w:styleId="TableGrid">
    <w:name w:val="Table Grid"/>
    <w:basedOn w:val="TableNormal"/>
    <w:uiPriority w:val="59"/>
    <w:locked/>
    <w:rsid w:val="00D32F3C"/>
    <w:pPr>
      <w:spacing w:after="0" w:line="240" w:lineRule="auto"/>
    </w:pPr>
    <w:rPr>
      <w:rFonts w:ascii="Arial" w:hAnsi="Arial"/>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rFonts w:ascii="Arial" w:hAnsi="Arial"/>
        <w:b w:val="0"/>
        <w:sz w:val="18"/>
      </w:rPr>
      <w:tblPr/>
      <w:trPr>
        <w:tblHeader/>
      </w:trPr>
      <w:tcPr>
        <w:shd w:val="clear" w:color="auto" w:fill="F2F2F2" w:themeFill="background1" w:themeFillShade="F2"/>
      </w:tcPr>
    </w:tblStylePr>
  </w:style>
  <w:style w:type="paragraph" w:styleId="Quote">
    <w:name w:val="Quote"/>
    <w:basedOn w:val="Normal"/>
    <w:link w:val="QuoteChar"/>
    <w:uiPriority w:val="18"/>
    <w:qFormat/>
    <w:rsid w:val="001D2149"/>
    <w:pPr>
      <w:spacing w:before="120" w:after="120" w:line="23" w:lineRule="atLeast"/>
      <w:ind w:left="714" w:right="714"/>
      <w:jc w:val="center"/>
    </w:pPr>
    <w:rPr>
      <w:i/>
      <w:iCs/>
      <w:color w:val="0F2532"/>
    </w:rPr>
  </w:style>
  <w:style w:type="character" w:customStyle="1" w:styleId="QuoteChar">
    <w:name w:val="Quote Char"/>
    <w:basedOn w:val="DefaultParagraphFont"/>
    <w:link w:val="Quote"/>
    <w:uiPriority w:val="18"/>
    <w:rsid w:val="001D2149"/>
    <w:rPr>
      <w:rFonts w:ascii="Arial" w:hAnsi="Arial"/>
      <w:i/>
      <w:iCs/>
      <w:color w:val="0F2532"/>
      <w:sz w:val="22"/>
      <w:lang w:val="en-AU"/>
    </w:rPr>
  </w:style>
  <w:style w:type="paragraph" w:styleId="Header">
    <w:name w:val="header"/>
    <w:basedOn w:val="Normal"/>
    <w:link w:val="HeaderChar"/>
    <w:uiPriority w:val="24"/>
    <w:rsid w:val="004714FB"/>
    <w:pPr>
      <w:tabs>
        <w:tab w:val="right" w:pos="0"/>
        <w:tab w:val="center" w:pos="4680"/>
        <w:tab w:val="right" w:pos="9360"/>
      </w:tabs>
      <w:spacing w:line="276" w:lineRule="auto"/>
    </w:pPr>
    <w:rPr>
      <w:sz w:val="16"/>
    </w:rPr>
  </w:style>
  <w:style w:type="character" w:customStyle="1" w:styleId="HeaderChar">
    <w:name w:val="Header Char"/>
    <w:basedOn w:val="DefaultParagraphFont"/>
    <w:link w:val="Header"/>
    <w:uiPriority w:val="24"/>
    <w:semiHidden/>
    <w:rsid w:val="003F3496"/>
    <w:rPr>
      <w:rFonts w:ascii="Arial" w:hAnsi="Arial"/>
      <w:sz w:val="16"/>
      <w:lang w:val="en-AU"/>
    </w:rPr>
  </w:style>
  <w:style w:type="paragraph" w:styleId="Footer">
    <w:name w:val="footer"/>
    <w:basedOn w:val="Normal"/>
    <w:link w:val="FooterChar"/>
    <w:uiPriority w:val="24"/>
    <w:semiHidden/>
    <w:rsid w:val="004714FB"/>
    <w:pPr>
      <w:tabs>
        <w:tab w:val="right" w:pos="14629"/>
      </w:tabs>
      <w:spacing w:line="276" w:lineRule="auto"/>
    </w:pPr>
    <w:rPr>
      <w:sz w:val="16"/>
    </w:rPr>
  </w:style>
  <w:style w:type="character" w:customStyle="1" w:styleId="FooterChar">
    <w:name w:val="Footer Char"/>
    <w:basedOn w:val="DefaultParagraphFont"/>
    <w:link w:val="Footer"/>
    <w:uiPriority w:val="24"/>
    <w:semiHidden/>
    <w:rsid w:val="003F3496"/>
    <w:rPr>
      <w:rFonts w:ascii="Arial" w:hAnsi="Arial"/>
      <w:sz w:val="16"/>
      <w:lang w:val="en-AU"/>
    </w:rPr>
  </w:style>
  <w:style w:type="character" w:styleId="PageNumber">
    <w:name w:val="page number"/>
    <w:basedOn w:val="DefaultParagraphFont"/>
    <w:uiPriority w:val="24"/>
    <w:semiHidden/>
    <w:rsid w:val="005012B2"/>
    <w:rPr>
      <w:lang w:val="en-AU"/>
    </w:rPr>
  </w:style>
  <w:style w:type="table" w:styleId="LightShading">
    <w:name w:val="Light Shading"/>
    <w:basedOn w:val="TableNormal"/>
    <w:uiPriority w:val="60"/>
    <w:locked/>
    <w:rsid w:val="009076EA"/>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locked/>
    <w:rsid w:val="009076EA"/>
    <w:pPr>
      <w:spacing w:after="0" w:line="240" w:lineRule="auto"/>
    </w:pPr>
    <w:rPr>
      <w:color w:val="4E1E92" w:themeColor="accent1" w:themeShade="BF"/>
    </w:rPr>
    <w:tblPr>
      <w:tblStyleRowBandSize w:val="1"/>
      <w:tblStyleColBandSize w:val="1"/>
      <w:tblBorders>
        <w:top w:val="single" w:sz="8" w:space="0" w:color="6929C4" w:themeColor="accent1"/>
        <w:bottom w:val="single" w:sz="8" w:space="0" w:color="6929C4" w:themeColor="accent1"/>
      </w:tblBorders>
    </w:tblPr>
    <w:tblStylePr w:type="firstRow">
      <w:pPr>
        <w:spacing w:before="0" w:after="0" w:line="240" w:lineRule="auto"/>
      </w:pPr>
      <w:rPr>
        <w:b/>
        <w:bCs/>
      </w:rPr>
      <w:tblPr/>
      <w:tcPr>
        <w:tcBorders>
          <w:top w:val="single" w:sz="8" w:space="0" w:color="6929C4" w:themeColor="accent1"/>
          <w:left w:val="nil"/>
          <w:bottom w:val="single" w:sz="8" w:space="0" w:color="6929C4" w:themeColor="accent1"/>
          <w:right w:val="nil"/>
          <w:insideH w:val="nil"/>
          <w:insideV w:val="nil"/>
        </w:tcBorders>
      </w:tcPr>
    </w:tblStylePr>
    <w:tblStylePr w:type="lastRow">
      <w:pPr>
        <w:spacing w:before="0" w:after="0" w:line="240" w:lineRule="auto"/>
      </w:pPr>
      <w:rPr>
        <w:b/>
        <w:bCs/>
      </w:rPr>
      <w:tblPr/>
      <w:tcPr>
        <w:tcBorders>
          <w:top w:val="single" w:sz="8" w:space="0" w:color="6929C4" w:themeColor="accent1"/>
          <w:left w:val="nil"/>
          <w:bottom w:val="single" w:sz="8" w:space="0" w:color="6929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C7F3" w:themeFill="accent1" w:themeFillTint="3F"/>
      </w:tcPr>
    </w:tblStylePr>
    <w:tblStylePr w:type="band1Horz">
      <w:tblPr/>
      <w:tcPr>
        <w:tcBorders>
          <w:left w:val="nil"/>
          <w:right w:val="nil"/>
          <w:insideH w:val="nil"/>
          <w:insideV w:val="nil"/>
        </w:tcBorders>
        <w:shd w:val="clear" w:color="auto" w:fill="D9C7F3" w:themeFill="accent1" w:themeFillTint="3F"/>
      </w:tcPr>
    </w:tblStylePr>
  </w:style>
  <w:style w:type="paragraph" w:styleId="Title">
    <w:name w:val="Title"/>
    <w:basedOn w:val="Normal"/>
    <w:next w:val="BodyText"/>
    <w:link w:val="TitleChar"/>
    <w:uiPriority w:val="24"/>
    <w:rsid w:val="00E70FCA"/>
    <w:pPr>
      <w:spacing w:before="1280" w:after="240" w:line="276" w:lineRule="auto"/>
    </w:pPr>
    <w:rPr>
      <w:rFonts w:eastAsiaTheme="majorEastAsia" w:cs="Arial"/>
      <w:b/>
      <w:color w:val="4B0885"/>
      <w:kern w:val="28"/>
      <w:sz w:val="56"/>
      <w:szCs w:val="52"/>
    </w:rPr>
  </w:style>
  <w:style w:type="character" w:customStyle="1" w:styleId="TitleChar">
    <w:name w:val="Title Char"/>
    <w:basedOn w:val="DefaultParagraphFont"/>
    <w:link w:val="Title"/>
    <w:uiPriority w:val="24"/>
    <w:rsid w:val="00E70FCA"/>
    <w:rPr>
      <w:rFonts w:ascii="Arial" w:eastAsiaTheme="majorEastAsia" w:hAnsi="Arial" w:cs="Arial"/>
      <w:b/>
      <w:color w:val="4B0885"/>
      <w:kern w:val="28"/>
      <w:sz w:val="56"/>
      <w:szCs w:val="52"/>
      <w:lang w:val="en-AU"/>
    </w:rPr>
  </w:style>
  <w:style w:type="paragraph" w:styleId="Subtitle">
    <w:name w:val="Subtitle"/>
    <w:basedOn w:val="Normal"/>
    <w:next w:val="BodyText"/>
    <w:link w:val="SubtitleChar"/>
    <w:uiPriority w:val="24"/>
    <w:rsid w:val="00C850C5"/>
    <w:pPr>
      <w:numPr>
        <w:ilvl w:val="1"/>
      </w:numPr>
      <w:spacing w:before="480" w:after="240" w:line="276" w:lineRule="auto"/>
    </w:pPr>
    <w:rPr>
      <w:rFonts w:eastAsiaTheme="majorEastAsia" w:cstheme="majorBidi"/>
      <w:b/>
      <w:iCs/>
      <w:color w:val="000000" w:themeColor="text1"/>
      <w:sz w:val="40"/>
      <w:szCs w:val="24"/>
    </w:rPr>
  </w:style>
  <w:style w:type="character" w:customStyle="1" w:styleId="SubtitleChar">
    <w:name w:val="Subtitle Char"/>
    <w:basedOn w:val="DefaultParagraphFont"/>
    <w:link w:val="Subtitle"/>
    <w:uiPriority w:val="24"/>
    <w:rsid w:val="00C850C5"/>
    <w:rPr>
      <w:rFonts w:ascii="Arial" w:eastAsiaTheme="majorEastAsia" w:hAnsi="Arial" w:cstheme="majorBidi"/>
      <w:b/>
      <w:iCs/>
      <w:color w:val="000000" w:themeColor="text1"/>
      <w:sz w:val="40"/>
      <w:szCs w:val="24"/>
      <w:lang w:val="en-AU"/>
    </w:rPr>
  </w:style>
  <w:style w:type="numbering" w:customStyle="1" w:styleId="ListAlphanumericmaster">
    <w:name w:val="List Alphanumeric (master)"/>
    <w:uiPriority w:val="99"/>
    <w:rsid w:val="003D2B56"/>
    <w:pPr>
      <w:numPr>
        <w:numId w:val="9"/>
      </w:numPr>
    </w:pPr>
  </w:style>
  <w:style w:type="paragraph" w:styleId="TOCHeading">
    <w:name w:val="TOC Heading"/>
    <w:basedOn w:val="Heading1"/>
    <w:next w:val="Normal"/>
    <w:uiPriority w:val="24"/>
    <w:semiHidden/>
    <w:rsid w:val="00F55EA1"/>
    <w:pPr>
      <w:keepLines/>
      <w:outlineLvl w:val="9"/>
    </w:pPr>
    <w:rPr>
      <w:rFonts w:eastAsiaTheme="majorEastAsia" w:cstheme="majorBidi"/>
      <w:szCs w:val="28"/>
      <w:lang w:eastAsia="en-US"/>
    </w:rPr>
  </w:style>
  <w:style w:type="paragraph" w:styleId="TOC1">
    <w:name w:val="toc 1"/>
    <w:basedOn w:val="Normal"/>
    <w:next w:val="Normal"/>
    <w:autoRedefine/>
    <w:uiPriority w:val="39"/>
    <w:semiHidden/>
    <w:rsid w:val="000F5CD2"/>
    <w:pPr>
      <w:tabs>
        <w:tab w:val="left" w:pos="440"/>
        <w:tab w:val="right" w:leader="dot" w:pos="9017"/>
      </w:tabs>
      <w:spacing w:after="100" w:line="276" w:lineRule="auto"/>
      <w:ind w:right="851"/>
    </w:pPr>
    <w:rPr>
      <w:b/>
      <w:color w:val="4B0985"/>
    </w:rPr>
  </w:style>
  <w:style w:type="paragraph" w:styleId="TOC2">
    <w:name w:val="toc 2"/>
    <w:basedOn w:val="Normal"/>
    <w:next w:val="Normal"/>
    <w:autoRedefine/>
    <w:uiPriority w:val="39"/>
    <w:semiHidden/>
    <w:rsid w:val="008364A9"/>
    <w:pPr>
      <w:tabs>
        <w:tab w:val="right" w:leader="dot" w:pos="9017"/>
      </w:tabs>
      <w:spacing w:after="100" w:line="276" w:lineRule="auto"/>
      <w:ind w:left="357" w:right="851"/>
    </w:pPr>
    <w:rPr>
      <w:b/>
    </w:rPr>
  </w:style>
  <w:style w:type="character" w:styleId="Hyperlink">
    <w:name w:val="Hyperlink"/>
    <w:basedOn w:val="DefaultParagraphFont"/>
    <w:uiPriority w:val="99"/>
    <w:semiHidden/>
    <w:qFormat/>
    <w:rsid w:val="003E6856"/>
    <w:rPr>
      <w:color w:val="215E9E"/>
      <w:u w:val="single"/>
    </w:rPr>
  </w:style>
  <w:style w:type="paragraph" w:styleId="TOC3">
    <w:name w:val="toc 3"/>
    <w:basedOn w:val="Normal"/>
    <w:next w:val="Normal"/>
    <w:autoRedefine/>
    <w:uiPriority w:val="39"/>
    <w:semiHidden/>
    <w:rsid w:val="008364A9"/>
    <w:pPr>
      <w:tabs>
        <w:tab w:val="right" w:leader="dot" w:pos="9017"/>
      </w:tabs>
      <w:spacing w:after="100" w:line="276" w:lineRule="auto"/>
      <w:ind w:left="714" w:right="851"/>
    </w:pPr>
  </w:style>
  <w:style w:type="paragraph" w:styleId="Caption">
    <w:name w:val="caption"/>
    <w:basedOn w:val="Normal"/>
    <w:next w:val="BodyText"/>
    <w:uiPriority w:val="22"/>
    <w:rsid w:val="00783BA9"/>
    <w:pPr>
      <w:spacing w:before="120" w:line="276" w:lineRule="auto"/>
    </w:pPr>
    <w:rPr>
      <w:b/>
      <w:bCs/>
      <w:color w:val="012749"/>
      <w:sz w:val="18"/>
      <w:szCs w:val="18"/>
    </w:rPr>
  </w:style>
  <w:style w:type="paragraph" w:customStyle="1" w:styleId="Footerlandscape">
    <w:name w:val="Footer (landscape)"/>
    <w:basedOn w:val="Footer"/>
    <w:uiPriority w:val="24"/>
    <w:semiHidden/>
    <w:rsid w:val="008331A3"/>
    <w:pPr>
      <w:tabs>
        <w:tab w:val="right" w:pos="13608"/>
      </w:tabs>
    </w:pPr>
  </w:style>
  <w:style w:type="paragraph" w:customStyle="1" w:styleId="Headerlandscape">
    <w:name w:val="Header (landscape)"/>
    <w:basedOn w:val="Header"/>
    <w:uiPriority w:val="24"/>
    <w:semiHidden/>
    <w:rsid w:val="005012B2"/>
    <w:pPr>
      <w:tabs>
        <w:tab w:val="clear" w:pos="9360"/>
        <w:tab w:val="right" w:pos="13608"/>
      </w:tabs>
    </w:pPr>
  </w:style>
  <w:style w:type="paragraph" w:customStyle="1" w:styleId="ListLegal">
    <w:name w:val="List Legal"/>
    <w:basedOn w:val="ListNumber"/>
    <w:uiPriority w:val="8"/>
    <w:semiHidden/>
    <w:qFormat/>
    <w:rsid w:val="00291313"/>
    <w:pPr>
      <w:numPr>
        <w:numId w:val="20"/>
      </w:numPr>
    </w:pPr>
  </w:style>
  <w:style w:type="numbering" w:customStyle="1" w:styleId="ListLegalmaster">
    <w:name w:val="List Legal (master)"/>
    <w:uiPriority w:val="99"/>
    <w:rsid w:val="00291313"/>
    <w:pPr>
      <w:numPr>
        <w:numId w:val="13"/>
      </w:numPr>
    </w:pPr>
  </w:style>
  <w:style w:type="paragraph" w:customStyle="1" w:styleId="ListLegal2">
    <w:name w:val="List Legal 2"/>
    <w:basedOn w:val="ListNumber2"/>
    <w:uiPriority w:val="8"/>
    <w:semiHidden/>
    <w:qFormat/>
    <w:rsid w:val="00291313"/>
    <w:pPr>
      <w:numPr>
        <w:numId w:val="20"/>
      </w:numPr>
      <w:tabs>
        <w:tab w:val="left" w:pos="1077"/>
      </w:tabs>
    </w:pPr>
  </w:style>
  <w:style w:type="paragraph" w:customStyle="1" w:styleId="ListLegal3">
    <w:name w:val="List Legal 3"/>
    <w:basedOn w:val="ListLegal2"/>
    <w:uiPriority w:val="8"/>
    <w:semiHidden/>
    <w:qFormat/>
    <w:rsid w:val="00291313"/>
    <w:pPr>
      <w:numPr>
        <w:ilvl w:val="2"/>
      </w:numPr>
      <w:tabs>
        <w:tab w:val="clear" w:pos="1077"/>
        <w:tab w:val="left" w:pos="1435"/>
      </w:tabs>
    </w:pPr>
  </w:style>
  <w:style w:type="paragraph" w:customStyle="1" w:styleId="DocumentDetails">
    <w:name w:val="Document Details"/>
    <w:basedOn w:val="Normal"/>
    <w:next w:val="BodyText"/>
    <w:uiPriority w:val="24"/>
    <w:semiHidden/>
    <w:rsid w:val="005E26EF"/>
    <w:pPr>
      <w:spacing w:before="480" w:after="240" w:line="276" w:lineRule="auto"/>
    </w:pPr>
    <w:rPr>
      <w:rFonts w:ascii="Arial Bold" w:hAnsi="Arial Bold"/>
      <w:b/>
      <w:color w:val="FFFFFF" w:themeColor="background1"/>
      <w:spacing w:val="-10"/>
      <w:sz w:val="28"/>
    </w:rPr>
  </w:style>
  <w:style w:type="paragraph" w:customStyle="1" w:styleId="SingleSpace">
    <w:name w:val="Single Space"/>
    <w:basedOn w:val="BodyText"/>
    <w:uiPriority w:val="21"/>
    <w:semiHidden/>
    <w:rsid w:val="00891E50"/>
    <w:pPr>
      <w:spacing w:before="0" w:after="0" w:line="240" w:lineRule="auto"/>
    </w:pPr>
    <w:rPr>
      <w:sz w:val="2"/>
    </w:rPr>
  </w:style>
  <w:style w:type="character" w:customStyle="1" w:styleId="Characteryellowhighlight">
    <w:name w:val="Character (yellow highlight)"/>
    <w:basedOn w:val="DefaultParagraphFont"/>
    <w:uiPriority w:val="2"/>
    <w:semiHidden/>
    <w:qFormat/>
    <w:rsid w:val="005012B2"/>
    <w:rPr>
      <w:bdr w:val="none" w:sz="0" w:space="0" w:color="auto"/>
      <w:shd w:val="clear" w:color="auto" w:fill="FFFF00"/>
      <w:lang w:val="en-AU"/>
    </w:rPr>
  </w:style>
  <w:style w:type="paragraph" w:styleId="TableofFigures">
    <w:name w:val="table of figures"/>
    <w:basedOn w:val="Normal"/>
    <w:next w:val="Normal"/>
    <w:uiPriority w:val="39"/>
    <w:semiHidden/>
    <w:rsid w:val="00891E50"/>
    <w:pPr>
      <w:spacing w:after="100" w:line="276" w:lineRule="auto"/>
      <w:ind w:right="851"/>
    </w:pPr>
  </w:style>
  <w:style w:type="paragraph" w:customStyle="1" w:styleId="BodyTextindent">
    <w:name w:val="Body Text (indent)"/>
    <w:basedOn w:val="BodyText"/>
    <w:semiHidden/>
    <w:qFormat/>
    <w:rsid w:val="00010BC1"/>
    <w:pPr>
      <w:ind w:left="357"/>
    </w:pPr>
  </w:style>
  <w:style w:type="paragraph" w:customStyle="1" w:styleId="BodyTextindent2">
    <w:name w:val="Body Text (indent 2)"/>
    <w:basedOn w:val="BodyText"/>
    <w:uiPriority w:val="1"/>
    <w:semiHidden/>
    <w:qFormat/>
    <w:rsid w:val="001C4183"/>
    <w:pPr>
      <w:ind w:left="714"/>
    </w:pPr>
  </w:style>
  <w:style w:type="paragraph" w:customStyle="1" w:styleId="BodyTextindent3">
    <w:name w:val="Body Text (indent 3)"/>
    <w:basedOn w:val="BodyText"/>
    <w:uiPriority w:val="1"/>
    <w:semiHidden/>
    <w:qFormat/>
    <w:rsid w:val="001C4183"/>
    <w:pPr>
      <w:ind w:left="1077"/>
    </w:pPr>
  </w:style>
  <w:style w:type="character" w:customStyle="1" w:styleId="Charactersourcecode">
    <w:name w:val="Character (source code)"/>
    <w:basedOn w:val="DefaultParagraphFont"/>
    <w:uiPriority w:val="3"/>
    <w:semiHidden/>
    <w:qFormat/>
    <w:rsid w:val="00CA539A"/>
    <w:rPr>
      <w:rFonts w:ascii="Courier New" w:hAnsi="Courier New"/>
    </w:rPr>
  </w:style>
  <w:style w:type="paragraph" w:customStyle="1" w:styleId="EndNoteBibliography">
    <w:name w:val="EndNote Bibliography"/>
    <w:basedOn w:val="BodyText"/>
    <w:link w:val="EndNoteBibliographyChar"/>
    <w:uiPriority w:val="23"/>
    <w:semiHidden/>
    <w:rsid w:val="00402E7E"/>
    <w:pPr>
      <w:ind w:left="720" w:hanging="720"/>
    </w:pPr>
    <w:rPr>
      <w:rFonts w:cs="Calibri"/>
      <w:noProof/>
      <w:szCs w:val="22"/>
    </w:rPr>
  </w:style>
  <w:style w:type="character" w:customStyle="1" w:styleId="EndNoteBibliographyChar">
    <w:name w:val="EndNote Bibliography Char"/>
    <w:basedOn w:val="BodyTextChar"/>
    <w:link w:val="EndNoteBibliography"/>
    <w:uiPriority w:val="23"/>
    <w:semiHidden/>
    <w:rsid w:val="009E61A1"/>
    <w:rPr>
      <w:rFonts w:ascii="Arial" w:hAnsi="Arial" w:cs="Calibri"/>
      <w:noProof/>
      <w:sz w:val="22"/>
      <w:szCs w:val="22"/>
      <w:lang w:val="en-AU"/>
    </w:rPr>
  </w:style>
  <w:style w:type="paragraph" w:customStyle="1" w:styleId="EndNoteBibliographyTitle">
    <w:name w:val="EndNote Bibliography Title"/>
    <w:basedOn w:val="Heading1"/>
    <w:next w:val="EndNoteBibliography"/>
    <w:link w:val="EndNoteBibliographyTitleChar4"/>
    <w:uiPriority w:val="23"/>
    <w:semiHidden/>
    <w:rsid w:val="00402E7E"/>
    <w:pPr>
      <w:spacing w:before="120" w:after="120"/>
    </w:pPr>
    <w:rPr>
      <w:rFonts w:cs="Calibri"/>
      <w:i/>
      <w:noProof/>
      <w:sz w:val="20"/>
    </w:rPr>
  </w:style>
  <w:style w:type="character" w:customStyle="1" w:styleId="EndNoteBibliographyTitleChar4">
    <w:name w:val="EndNote Bibliography Title Char4"/>
    <w:basedOn w:val="BodyTextChar"/>
    <w:link w:val="EndNoteBibliographyTitle"/>
    <w:uiPriority w:val="23"/>
    <w:semiHidden/>
    <w:rsid w:val="009E61A1"/>
    <w:rPr>
      <w:rFonts w:ascii="Arial" w:eastAsia="Times New Roman" w:hAnsi="Arial" w:cs="Calibri"/>
      <w:bCs/>
      <w:i/>
      <w:noProof/>
      <w:sz w:val="22"/>
      <w:szCs w:val="32"/>
      <w:lang w:val="en-AU" w:eastAsia="en-AU"/>
    </w:rPr>
  </w:style>
  <w:style w:type="character" w:styleId="PlaceholderText">
    <w:name w:val="Placeholder Text"/>
    <w:basedOn w:val="DefaultParagraphFont"/>
    <w:uiPriority w:val="99"/>
    <w:rsid w:val="00706D2D"/>
    <w:rPr>
      <w:color w:val="C00000"/>
    </w:rPr>
  </w:style>
  <w:style w:type="paragraph" w:styleId="TOC4">
    <w:name w:val="toc 4"/>
    <w:basedOn w:val="TOC1"/>
    <w:next w:val="Normal"/>
    <w:autoRedefine/>
    <w:uiPriority w:val="39"/>
    <w:semiHidden/>
    <w:rsid w:val="00D92686"/>
    <w:pPr>
      <w:tabs>
        <w:tab w:val="left" w:pos="1418"/>
      </w:tabs>
    </w:pPr>
    <w:rPr>
      <w:noProof/>
    </w:rPr>
  </w:style>
  <w:style w:type="paragraph" w:customStyle="1" w:styleId="BodyTextindent4">
    <w:name w:val="Body Text (indent 4)"/>
    <w:basedOn w:val="BodyText"/>
    <w:uiPriority w:val="1"/>
    <w:semiHidden/>
    <w:qFormat/>
    <w:rsid w:val="00291313"/>
    <w:pPr>
      <w:ind w:left="1435"/>
    </w:pPr>
  </w:style>
  <w:style w:type="paragraph" w:styleId="FootnoteText">
    <w:name w:val="footnote text"/>
    <w:basedOn w:val="Normal"/>
    <w:link w:val="FootnoteTextChar"/>
    <w:uiPriority w:val="99"/>
    <w:semiHidden/>
    <w:rsid w:val="00E23C2C"/>
    <w:pPr>
      <w:spacing w:before="0" w:after="80"/>
      <w:ind w:left="113" w:hanging="113"/>
    </w:pPr>
    <w:rPr>
      <w:sz w:val="18"/>
    </w:rPr>
  </w:style>
  <w:style w:type="character" w:customStyle="1" w:styleId="FootnoteTextChar">
    <w:name w:val="Footnote Text Char"/>
    <w:basedOn w:val="DefaultParagraphFont"/>
    <w:link w:val="FootnoteText"/>
    <w:uiPriority w:val="99"/>
    <w:semiHidden/>
    <w:rsid w:val="00A23E03"/>
    <w:rPr>
      <w:rFonts w:ascii="Arial" w:hAnsi="Arial"/>
      <w:sz w:val="18"/>
      <w:lang w:val="en-AU"/>
    </w:rPr>
  </w:style>
  <w:style w:type="character" w:styleId="FootnoteReference">
    <w:name w:val="footnote reference"/>
    <w:basedOn w:val="DefaultParagraphFont"/>
    <w:uiPriority w:val="99"/>
    <w:semiHidden/>
    <w:rsid w:val="00600004"/>
    <w:rPr>
      <w:vertAlign w:val="superscript"/>
    </w:rPr>
  </w:style>
  <w:style w:type="table" w:customStyle="1" w:styleId="CustomTableoption1">
    <w:name w:val="Custom Table (option 1)"/>
    <w:basedOn w:val="TableNormal"/>
    <w:uiPriority w:val="99"/>
    <w:rsid w:val="001646CD"/>
    <w:pPr>
      <w:spacing w:after="0" w:line="240" w:lineRule="auto"/>
    </w:pPr>
    <w:rPr>
      <w:rFonts w:ascii="Arial" w:hAnsi="Arial"/>
      <w:sz w:val="22"/>
    </w:rPr>
    <w:tblPr>
      <w:tblStyleRowBandSize w:val="1"/>
      <w:tblStyleColBandSize w:val="1"/>
      <w:tblBorders>
        <w:bottom w:val="single" w:sz="4" w:space="0" w:color="2F005F"/>
      </w:tblBorders>
    </w:tblPr>
    <w:trPr>
      <w:cantSplit/>
    </w:trPr>
    <w:tblStylePr w:type="firstRow">
      <w:rPr>
        <w:b w:val="0"/>
        <w:color w:val="FFFFFF" w:themeColor="background1"/>
      </w:rPr>
      <w:tblPr/>
      <w:tcPr>
        <w:shd w:val="clear" w:color="auto" w:fill="2F005F"/>
      </w:tcPr>
    </w:tblStylePr>
    <w:tblStylePr w:type="lastRow">
      <w:rPr>
        <w:b/>
      </w:rPr>
      <w:tblPr/>
      <w:tcPr>
        <w:shd w:val="clear" w:color="auto" w:fill="4B0985"/>
      </w:tcPr>
    </w:tblStylePr>
    <w:tblStylePr w:type="firstCol">
      <w:rPr>
        <w:b w:val="0"/>
        <w:color w:val="FFFFFF" w:themeColor="background1"/>
      </w:rPr>
      <w:tblPr/>
      <w:tcPr>
        <w:shd w:val="clear" w:color="auto" w:fill="2F005F"/>
      </w:tcPr>
    </w:tblStylePr>
    <w:tblStylePr w:type="band2Vert">
      <w:tblPr/>
      <w:tcPr>
        <w:shd w:val="clear" w:color="auto" w:fill="F2F2F2" w:themeFill="background1" w:themeFillShade="F2"/>
      </w:tcPr>
    </w:tblStylePr>
    <w:tblStylePr w:type="band2Horz">
      <w:tblPr/>
      <w:tcPr>
        <w:shd w:val="clear" w:color="auto" w:fill="F2F2F2" w:themeFill="background1" w:themeFillShade="F2"/>
      </w:tcPr>
    </w:tblStylePr>
  </w:style>
  <w:style w:type="table" w:customStyle="1" w:styleId="CustomTableoption2">
    <w:name w:val="Custom Table (option 2)"/>
    <w:basedOn w:val="TableNormal"/>
    <w:uiPriority w:val="99"/>
    <w:rsid w:val="001646CD"/>
    <w:pPr>
      <w:spacing w:after="0" w:line="240" w:lineRule="auto"/>
    </w:pPr>
    <w:rPr>
      <w:rFonts w:ascii="Arial" w:hAnsi="Arial"/>
      <w:sz w:val="22"/>
    </w:rPr>
    <w:tblPr>
      <w:tblStyleRowBandSize w:val="1"/>
      <w:tblStyleColBandSize w:val="1"/>
      <w:tblBorders>
        <w:bottom w:val="single" w:sz="4" w:space="0" w:color="012749"/>
      </w:tblBorders>
    </w:tblPr>
    <w:trPr>
      <w:cantSplit/>
    </w:trPr>
    <w:tblStylePr w:type="firstRow">
      <w:rPr>
        <w:b w:val="0"/>
        <w:color w:val="FFFFFF" w:themeColor="background1"/>
      </w:rPr>
      <w:tblPr/>
      <w:tcPr>
        <w:shd w:val="clear" w:color="auto" w:fill="012749"/>
      </w:tcPr>
    </w:tblStylePr>
    <w:tblStylePr w:type="lastRow">
      <w:rPr>
        <w:b/>
      </w:rPr>
      <w:tblPr/>
      <w:tcPr>
        <w:shd w:val="clear" w:color="auto" w:fill="4B0985"/>
      </w:tcPr>
    </w:tblStylePr>
    <w:tblStylePr w:type="firstCol">
      <w:rPr>
        <w:b w:val="0"/>
        <w:color w:val="auto"/>
      </w:rPr>
      <w:tblPr/>
      <w:tcPr>
        <w:shd w:val="clear" w:color="auto" w:fill="012749"/>
      </w:tcPr>
    </w:tblStylePr>
    <w:tblStylePr w:type="band2Vert">
      <w:tblPr/>
      <w:tcPr>
        <w:shd w:val="clear" w:color="auto" w:fill="F2F2F2" w:themeFill="background1" w:themeFillShade="F2"/>
      </w:tcPr>
    </w:tblStylePr>
    <w:tblStylePr w:type="band2Horz">
      <w:tblPr/>
      <w:tcPr>
        <w:shd w:val="clear" w:color="auto" w:fill="F2F2F2" w:themeFill="background1" w:themeFillShade="F2"/>
      </w:tcPr>
    </w:tblStylePr>
  </w:style>
  <w:style w:type="paragraph" w:customStyle="1" w:styleId="LargeSpace">
    <w:name w:val="Large Space"/>
    <w:basedOn w:val="SingleSpace"/>
    <w:uiPriority w:val="21"/>
    <w:semiHidden/>
    <w:rsid w:val="00A1478F"/>
    <w:pPr>
      <w:spacing w:after="6000"/>
    </w:pPr>
    <w:rPr>
      <w:sz w:val="96"/>
    </w:rPr>
  </w:style>
  <w:style w:type="table" w:customStyle="1" w:styleId="CustomTableplaceholder">
    <w:name w:val="Custom Table (placeholder)"/>
    <w:basedOn w:val="TableNormal"/>
    <w:uiPriority w:val="99"/>
    <w:rsid w:val="007C1A44"/>
    <w:pPr>
      <w:spacing w:after="0" w:line="240" w:lineRule="auto"/>
    </w:pPr>
    <w:rPr>
      <w:rFonts w:ascii="Arial" w:hAnsi="Arial"/>
    </w:rPr>
    <w:tblPr/>
  </w:style>
  <w:style w:type="paragraph" w:styleId="Signature">
    <w:name w:val="Signature"/>
    <w:basedOn w:val="Normal"/>
    <w:link w:val="SignatureChar"/>
    <w:uiPriority w:val="23"/>
    <w:semiHidden/>
    <w:rsid w:val="009E61A1"/>
    <w:pPr>
      <w:spacing w:before="360" w:after="360"/>
    </w:pPr>
    <w:rPr>
      <w:rFonts w:ascii="Segoe Script" w:hAnsi="Segoe Script"/>
      <w:color w:val="9630F1" w:themeColor="text2" w:themeTint="99"/>
      <w:sz w:val="24"/>
    </w:rPr>
  </w:style>
  <w:style w:type="character" w:customStyle="1" w:styleId="SignatureChar">
    <w:name w:val="Signature Char"/>
    <w:basedOn w:val="DefaultParagraphFont"/>
    <w:link w:val="Signature"/>
    <w:uiPriority w:val="23"/>
    <w:semiHidden/>
    <w:rsid w:val="009E61A1"/>
    <w:rPr>
      <w:rFonts w:ascii="Segoe Script" w:hAnsi="Segoe Script"/>
      <w:color w:val="9630F1" w:themeColor="text2" w:themeTint="99"/>
      <w:sz w:val="24"/>
      <w:lang w:val="en-AU"/>
    </w:rPr>
  </w:style>
  <w:style w:type="character" w:customStyle="1" w:styleId="NoSpacingChar">
    <w:name w:val="No Spacing Char"/>
    <w:basedOn w:val="DefaultParagraphFont"/>
    <w:link w:val="NoSpacing"/>
    <w:uiPriority w:val="1"/>
    <w:semiHidden/>
    <w:rsid w:val="00544EC5"/>
    <w:rPr>
      <w:rFonts w:ascii="Arial" w:eastAsia="Times New Roman" w:hAnsi="Arial" w:cs="Times New Roman"/>
      <w:sz w:val="2"/>
      <w:szCs w:val="24"/>
      <w:lang w:val="en-AU" w:eastAsia="en-GB"/>
    </w:rPr>
  </w:style>
  <w:style w:type="character" w:customStyle="1" w:styleId="Characterbolditalic">
    <w:name w:val="Character (bold italic)"/>
    <w:basedOn w:val="DefaultParagraphFont"/>
    <w:uiPriority w:val="2"/>
    <w:qFormat/>
    <w:rsid w:val="00137E20"/>
    <w:rPr>
      <w:b/>
      <w:i/>
    </w:rPr>
  </w:style>
  <w:style w:type="table" w:styleId="PlainTable4">
    <w:name w:val="Plain Table 4"/>
    <w:basedOn w:val="TableNormal"/>
    <w:uiPriority w:val="44"/>
    <w:locked/>
    <w:rsid w:val="00F23E37"/>
    <w:pPr>
      <w:spacing w:after="0" w:line="240" w:lineRule="auto"/>
    </w:pPr>
    <w:rPr>
      <w:rFonts w:ascii="Arial" w:hAnsi="Arial"/>
      <w:sz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UnresolvedMention">
    <w:name w:val="Unresolved Mention"/>
    <w:basedOn w:val="DefaultParagraphFont"/>
    <w:uiPriority w:val="99"/>
    <w:semiHidden/>
    <w:rsid w:val="00E41E09"/>
    <w:rPr>
      <w:color w:val="605E5C"/>
      <w:shd w:val="clear" w:color="auto" w:fill="E1DFDD"/>
    </w:rPr>
  </w:style>
  <w:style w:type="table" w:customStyle="1" w:styleId="CustomTablestandard">
    <w:name w:val="Custom Table (standard)"/>
    <w:basedOn w:val="TableNormal"/>
    <w:uiPriority w:val="99"/>
    <w:locked/>
    <w:rsid w:val="00DD34CE"/>
    <w:pPr>
      <w:spacing w:after="0" w:line="240" w:lineRule="auto"/>
    </w:pPr>
    <w:rPr>
      <w:rFonts w:ascii="Arial" w:hAnsi="Arial"/>
      <w:sz w:val="18"/>
    </w:rPr>
    <w:tblP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
    <w:trPr>
      <w:cantSplit/>
    </w:trPr>
    <w:tblStylePr w:type="firstRow">
      <w:rPr>
        <w:rFonts w:ascii="Arial" w:hAnsi="Arial"/>
        <w:b w:val="0"/>
        <w:color w:val="FFFFFF" w:themeColor="background1"/>
      </w:rPr>
      <w:tblPr/>
      <w:tcPr>
        <w:shd w:val="clear" w:color="auto" w:fill="404040" w:themeFill="text1" w:themeFillTint="BF"/>
      </w:tcPr>
    </w:tblStylePr>
  </w:style>
  <w:style w:type="table" w:customStyle="1" w:styleId="CustomTablebasic">
    <w:name w:val="Custom Table (basic)"/>
    <w:basedOn w:val="TableNormal"/>
    <w:uiPriority w:val="99"/>
    <w:rsid w:val="007A171C"/>
    <w:pPr>
      <w:spacing w:after="0" w:line="240" w:lineRule="auto"/>
    </w:pPr>
    <w:rPr>
      <w:rFonts w:ascii="Arial" w:hAnsi="Arial"/>
      <w:sz w:val="22"/>
    </w:rPr>
    <w:tblPr>
      <w:tblStyleRowBandSize w:val="1"/>
      <w:tblBorders>
        <w:bottom w:val="single" w:sz="4" w:space="0" w:color="2F005F"/>
      </w:tblBorders>
    </w:tblPr>
    <w:tblStylePr w:type="firstRow">
      <w:tblPr/>
      <w:tcPr>
        <w:tcBorders>
          <w:bottom w:val="nil"/>
        </w:tcBorders>
        <w:shd w:val="clear" w:color="auto" w:fill="2F005F"/>
      </w:tcPr>
    </w:tblStylePr>
    <w:tblStylePr w:type="band2Horz">
      <w:tblPr/>
      <w:tcPr>
        <w:shd w:val="clear" w:color="auto" w:fill="F2F2F2" w:themeFill="background1" w:themeFillShade="F2"/>
      </w:tcPr>
    </w:tblStylePr>
  </w:style>
  <w:style w:type="table" w:customStyle="1" w:styleId="CustomTablepulloutbox">
    <w:name w:val="Custom Table (pullout box)"/>
    <w:basedOn w:val="TableNormal"/>
    <w:uiPriority w:val="99"/>
    <w:rsid w:val="00AC33C3"/>
    <w:pPr>
      <w:spacing w:after="0" w:line="240" w:lineRule="auto"/>
    </w:pPr>
    <w:tblPr>
      <w:tblBorders>
        <w:left w:val="single" w:sz="24" w:space="0" w:color="4B0885"/>
      </w:tblBorders>
    </w:tblPr>
    <w:tcPr>
      <w:shd w:val="clear" w:color="auto" w:fill="F2F2F2" w:themeFill="background1" w:themeFillShade="F2"/>
      <w:tcMar>
        <w:top w:w="227" w:type="dxa"/>
        <w:left w:w="227" w:type="dxa"/>
        <w:bottom w:w="227" w:type="dxa"/>
        <w:right w:w="227" w:type="dxa"/>
      </w:tcMar>
    </w:tcPr>
  </w:style>
  <w:style w:type="table" w:customStyle="1" w:styleId="CustomTablekeythemes">
    <w:name w:val="Custom Table (key themes)"/>
    <w:basedOn w:val="TableNormal"/>
    <w:uiPriority w:val="99"/>
    <w:rsid w:val="006819D3"/>
    <w:pPr>
      <w:spacing w:after="0" w:line="240" w:lineRule="auto"/>
    </w:pPr>
    <w:tblPr>
      <w:tblBorders>
        <w:top w:val="double" w:sz="12" w:space="0" w:color="D9D9D9" w:themeColor="background1" w:themeShade="D9"/>
        <w:bottom w:val="double" w:sz="12" w:space="0" w:color="D9D9D9" w:themeColor="background1" w:themeShade="D9"/>
      </w:tblBorders>
    </w:tblPr>
    <w:tcPr>
      <w:shd w:val="clear" w:color="auto" w:fill="D9D9D9" w:themeFill="background1" w:themeFillShade="D9"/>
      <w:tcMar>
        <w:top w:w="227" w:type="dxa"/>
        <w:left w:w="227" w:type="dxa"/>
        <w:bottom w:w="227" w:type="dxa"/>
        <w:right w:w="227" w:type="dxa"/>
      </w:tcMar>
    </w:tcPr>
  </w:style>
  <w:style w:type="paragraph" w:customStyle="1" w:styleId="TableHeading1centre">
    <w:name w:val="Table Heading 1 (centre)"/>
    <w:basedOn w:val="TableHeading1"/>
    <w:uiPriority w:val="13"/>
    <w:qFormat/>
    <w:rsid w:val="005D70A0"/>
    <w:pPr>
      <w:jc w:val="center"/>
    </w:pPr>
    <w:rPr>
      <w:color w:val="FFFFFF" w:themeColor="background1"/>
    </w:rPr>
  </w:style>
  <w:style w:type="paragraph" w:customStyle="1" w:styleId="TableHeading1right">
    <w:name w:val="Table Heading 1 (right)"/>
    <w:basedOn w:val="TableHeading1"/>
    <w:uiPriority w:val="13"/>
    <w:qFormat/>
    <w:rsid w:val="005D70A0"/>
    <w:pPr>
      <w:jc w:val="right"/>
    </w:pPr>
    <w:rPr>
      <w:color w:val="FFFFFF" w:themeColor="background1"/>
    </w:rPr>
  </w:style>
  <w:style w:type="paragraph" w:customStyle="1" w:styleId="TableBodyTextcentre">
    <w:name w:val="Table Body Text (centre)"/>
    <w:basedOn w:val="TableBodyText"/>
    <w:uiPriority w:val="14"/>
    <w:qFormat/>
    <w:rsid w:val="005D70A0"/>
    <w:pPr>
      <w:jc w:val="center"/>
    </w:pPr>
  </w:style>
  <w:style w:type="character" w:customStyle="1" w:styleId="Heading6Char">
    <w:name w:val="Heading 6 Char"/>
    <w:basedOn w:val="DefaultParagraphFont"/>
    <w:link w:val="Heading6"/>
    <w:uiPriority w:val="9"/>
    <w:semiHidden/>
    <w:rsid w:val="0082152E"/>
    <w:rPr>
      <w:rFonts w:ascii="Arial" w:eastAsiaTheme="majorEastAsia" w:hAnsi="Arial" w:cstheme="majorBidi"/>
      <w:color w:val="4B0885"/>
      <w:sz w:val="19"/>
      <w:lang w:val="en-AU"/>
    </w:rPr>
  </w:style>
  <w:style w:type="paragraph" w:customStyle="1" w:styleId="Quotelarge">
    <w:name w:val="Quote (large)"/>
    <w:basedOn w:val="Quote"/>
    <w:uiPriority w:val="18"/>
    <w:qFormat/>
    <w:rsid w:val="00B74938"/>
    <w:rPr>
      <w:color w:val="4B0885"/>
      <w:sz w:val="28"/>
    </w:rPr>
  </w:style>
  <w:style w:type="paragraph" w:customStyle="1" w:styleId="BoxHeading">
    <w:name w:val="Box Heading"/>
    <w:basedOn w:val="BodyText"/>
    <w:uiPriority w:val="16"/>
    <w:qFormat/>
    <w:rsid w:val="00F4121F"/>
    <w:pPr>
      <w:keepNext/>
    </w:pPr>
    <w:rPr>
      <w:color w:val="012749"/>
      <w:sz w:val="23"/>
      <w:lang w:eastAsia="en-GB"/>
    </w:rPr>
  </w:style>
  <w:style w:type="table" w:customStyle="1" w:styleId="CustomTablepulloutbox2">
    <w:name w:val="Custom Table (pullout box 2)"/>
    <w:basedOn w:val="CustomTablepulloutbox"/>
    <w:uiPriority w:val="99"/>
    <w:rsid w:val="00F4121F"/>
    <w:tblPr/>
    <w:tcPr>
      <w:shd w:val="clear" w:color="auto" w:fill="E0D1F5"/>
    </w:tcPr>
  </w:style>
  <w:style w:type="character" w:styleId="CommentReference">
    <w:name w:val="annotation reference"/>
    <w:basedOn w:val="DefaultParagraphFont"/>
    <w:uiPriority w:val="99"/>
    <w:semiHidden/>
    <w:rsid w:val="005D16C0"/>
    <w:rPr>
      <w:sz w:val="16"/>
      <w:szCs w:val="16"/>
    </w:rPr>
  </w:style>
  <w:style w:type="paragraph" w:styleId="CommentText">
    <w:name w:val="annotation text"/>
    <w:basedOn w:val="Normal"/>
    <w:link w:val="CommentTextChar"/>
    <w:uiPriority w:val="99"/>
    <w:semiHidden/>
    <w:rsid w:val="005D16C0"/>
    <w:rPr>
      <w:sz w:val="20"/>
    </w:rPr>
  </w:style>
  <w:style w:type="character" w:customStyle="1" w:styleId="CommentTextChar">
    <w:name w:val="Comment Text Char"/>
    <w:basedOn w:val="DefaultParagraphFont"/>
    <w:link w:val="CommentText"/>
    <w:uiPriority w:val="99"/>
    <w:semiHidden/>
    <w:rsid w:val="005D16C0"/>
    <w:rPr>
      <w:rFonts w:ascii="Arial" w:hAnsi="Arial"/>
      <w:lang w:val="en-AU"/>
    </w:rPr>
  </w:style>
  <w:style w:type="paragraph" w:styleId="CommentSubject">
    <w:name w:val="annotation subject"/>
    <w:basedOn w:val="CommentText"/>
    <w:next w:val="CommentText"/>
    <w:link w:val="CommentSubjectChar"/>
    <w:uiPriority w:val="99"/>
    <w:semiHidden/>
    <w:rsid w:val="005D16C0"/>
    <w:rPr>
      <w:b/>
      <w:bCs/>
    </w:rPr>
  </w:style>
  <w:style w:type="character" w:customStyle="1" w:styleId="CommentSubjectChar">
    <w:name w:val="Comment Subject Char"/>
    <w:basedOn w:val="CommentTextChar"/>
    <w:link w:val="CommentSubject"/>
    <w:uiPriority w:val="99"/>
    <w:semiHidden/>
    <w:rsid w:val="005D16C0"/>
    <w:rPr>
      <w:rFonts w:ascii="Arial" w:hAnsi="Arial"/>
      <w:b/>
      <w:bCs/>
      <w:lang w:val="en-AU"/>
    </w:rPr>
  </w:style>
  <w:style w:type="paragraph" w:styleId="Revision">
    <w:name w:val="Revision"/>
    <w:hidden/>
    <w:uiPriority w:val="99"/>
    <w:semiHidden/>
    <w:rsid w:val="009D3B92"/>
    <w:pPr>
      <w:spacing w:after="0" w:line="240" w:lineRule="auto"/>
    </w:pPr>
    <w:rPr>
      <w:rFonts w:ascii="Arial" w:hAnsi="Arial"/>
      <w:sz w:val="22"/>
      <w:lang w:val="en-AU"/>
    </w:rPr>
  </w:style>
  <w:style w:type="character" w:styleId="FollowedHyperlink">
    <w:name w:val="FollowedHyperlink"/>
    <w:basedOn w:val="DefaultParagraphFont"/>
    <w:uiPriority w:val="99"/>
    <w:semiHidden/>
    <w:rsid w:val="00F25B7B"/>
    <w:rPr>
      <w:color w:val="800080" w:themeColor="followedHyperlink"/>
      <w:u w:val="single"/>
    </w:rPr>
  </w:style>
  <w:style w:type="character" w:styleId="Mention">
    <w:name w:val="Mention"/>
    <w:basedOn w:val="DefaultParagraphFont"/>
    <w:uiPriority w:val="99"/>
    <w:semiHidden/>
    <w:rsid w:val="00C87F6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846916">
      <w:bodyDiv w:val="1"/>
      <w:marLeft w:val="0"/>
      <w:marRight w:val="0"/>
      <w:marTop w:val="0"/>
      <w:marBottom w:val="0"/>
      <w:divBdr>
        <w:top w:val="none" w:sz="0" w:space="0" w:color="auto"/>
        <w:left w:val="none" w:sz="0" w:space="0" w:color="auto"/>
        <w:bottom w:val="none" w:sz="0" w:space="0" w:color="auto"/>
        <w:right w:val="none" w:sz="0" w:space="0" w:color="auto"/>
      </w:divBdr>
    </w:div>
    <w:div w:id="522591990">
      <w:bodyDiv w:val="1"/>
      <w:marLeft w:val="0"/>
      <w:marRight w:val="0"/>
      <w:marTop w:val="0"/>
      <w:marBottom w:val="0"/>
      <w:divBdr>
        <w:top w:val="none" w:sz="0" w:space="0" w:color="auto"/>
        <w:left w:val="none" w:sz="0" w:space="0" w:color="auto"/>
        <w:bottom w:val="none" w:sz="0" w:space="0" w:color="auto"/>
        <w:right w:val="none" w:sz="0" w:space="0" w:color="auto"/>
      </w:divBdr>
    </w:div>
    <w:div w:id="562252493">
      <w:bodyDiv w:val="1"/>
      <w:marLeft w:val="0"/>
      <w:marRight w:val="0"/>
      <w:marTop w:val="0"/>
      <w:marBottom w:val="0"/>
      <w:divBdr>
        <w:top w:val="none" w:sz="0" w:space="0" w:color="auto"/>
        <w:left w:val="none" w:sz="0" w:space="0" w:color="auto"/>
        <w:bottom w:val="none" w:sz="0" w:space="0" w:color="auto"/>
        <w:right w:val="none" w:sz="0" w:space="0" w:color="auto"/>
      </w:divBdr>
    </w:div>
    <w:div w:id="714623433">
      <w:bodyDiv w:val="1"/>
      <w:marLeft w:val="0"/>
      <w:marRight w:val="0"/>
      <w:marTop w:val="0"/>
      <w:marBottom w:val="0"/>
      <w:divBdr>
        <w:top w:val="none" w:sz="0" w:space="0" w:color="auto"/>
        <w:left w:val="none" w:sz="0" w:space="0" w:color="auto"/>
        <w:bottom w:val="none" w:sz="0" w:space="0" w:color="auto"/>
        <w:right w:val="none" w:sz="0" w:space="0" w:color="auto"/>
      </w:divBdr>
    </w:div>
    <w:div w:id="891425776">
      <w:bodyDiv w:val="1"/>
      <w:marLeft w:val="0"/>
      <w:marRight w:val="0"/>
      <w:marTop w:val="0"/>
      <w:marBottom w:val="0"/>
      <w:divBdr>
        <w:top w:val="none" w:sz="0" w:space="0" w:color="auto"/>
        <w:left w:val="none" w:sz="0" w:space="0" w:color="auto"/>
        <w:bottom w:val="none" w:sz="0" w:space="0" w:color="auto"/>
        <w:right w:val="none" w:sz="0" w:space="0" w:color="auto"/>
      </w:divBdr>
    </w:div>
    <w:div w:id="1118375189">
      <w:bodyDiv w:val="1"/>
      <w:marLeft w:val="0"/>
      <w:marRight w:val="0"/>
      <w:marTop w:val="0"/>
      <w:marBottom w:val="0"/>
      <w:divBdr>
        <w:top w:val="none" w:sz="0" w:space="0" w:color="auto"/>
        <w:left w:val="none" w:sz="0" w:space="0" w:color="auto"/>
        <w:bottom w:val="none" w:sz="0" w:space="0" w:color="auto"/>
        <w:right w:val="none" w:sz="0" w:space="0" w:color="auto"/>
      </w:divBdr>
    </w:div>
    <w:div w:id="1285455281">
      <w:bodyDiv w:val="1"/>
      <w:marLeft w:val="0"/>
      <w:marRight w:val="0"/>
      <w:marTop w:val="0"/>
      <w:marBottom w:val="0"/>
      <w:divBdr>
        <w:top w:val="none" w:sz="0" w:space="0" w:color="auto"/>
        <w:left w:val="none" w:sz="0" w:space="0" w:color="auto"/>
        <w:bottom w:val="none" w:sz="0" w:space="0" w:color="auto"/>
        <w:right w:val="none" w:sz="0" w:space="0" w:color="auto"/>
      </w:divBdr>
    </w:div>
    <w:div w:id="1470174321">
      <w:bodyDiv w:val="1"/>
      <w:marLeft w:val="0"/>
      <w:marRight w:val="0"/>
      <w:marTop w:val="0"/>
      <w:marBottom w:val="0"/>
      <w:divBdr>
        <w:top w:val="none" w:sz="0" w:space="0" w:color="auto"/>
        <w:left w:val="none" w:sz="0" w:space="0" w:color="auto"/>
        <w:bottom w:val="none" w:sz="0" w:space="0" w:color="auto"/>
        <w:right w:val="none" w:sz="0" w:space="0" w:color="auto"/>
      </w:divBdr>
    </w:div>
    <w:div w:id="1671299587">
      <w:bodyDiv w:val="1"/>
      <w:marLeft w:val="0"/>
      <w:marRight w:val="0"/>
      <w:marTop w:val="0"/>
      <w:marBottom w:val="0"/>
      <w:divBdr>
        <w:top w:val="none" w:sz="0" w:space="0" w:color="auto"/>
        <w:left w:val="none" w:sz="0" w:space="0" w:color="auto"/>
        <w:bottom w:val="none" w:sz="0" w:space="0" w:color="auto"/>
        <w:right w:val="none" w:sz="0" w:space="0" w:color="auto"/>
      </w:divBdr>
    </w:div>
    <w:div w:id="1731272798">
      <w:bodyDiv w:val="1"/>
      <w:marLeft w:val="0"/>
      <w:marRight w:val="0"/>
      <w:marTop w:val="0"/>
      <w:marBottom w:val="0"/>
      <w:divBdr>
        <w:top w:val="none" w:sz="0" w:space="0" w:color="auto"/>
        <w:left w:val="none" w:sz="0" w:space="0" w:color="auto"/>
        <w:bottom w:val="none" w:sz="0" w:space="0" w:color="auto"/>
        <w:right w:val="none" w:sz="0" w:space="0" w:color="auto"/>
      </w:divBdr>
    </w:div>
    <w:div w:id="1955357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utureskillsorganisation.com.au/wp-content/uploads/2026/07/Workforce-Plan-2026-Mixed-Signals-Future-Opportunities-24072026.pdf" TargetMode="External"/><Relationship Id="rId13" Type="http://schemas.openxmlformats.org/officeDocument/2006/relationships/hyperlink" Target="https://www.jobsandskills.gov.au/data/recruitment-experiences-and-outlook-survey/reos-survey-methodology" TargetMode="External"/><Relationship Id="rId18" Type="http://schemas.openxmlformats.org/officeDocument/2006/relationships/hyperlink" Target="https://www.abs.gov.au/statistics/classifications/osca-occupation-standard-classification-australia/latest-release" TargetMode="External"/><Relationship Id="rId3" Type="http://schemas.openxmlformats.org/officeDocument/2006/relationships/styles" Target="styles.xml"/><Relationship Id="rId21" Type="http://schemas.openxmlformats.org/officeDocument/2006/relationships/image" Target="media/image5.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s://www.abs.gov.au/statistics/classifications/anzsco-australian-and-new-zealand-standard-classification-occupations/2022" TargetMode="External"/><Relationship Id="rId2" Type="http://schemas.openxmlformats.org/officeDocument/2006/relationships/numbering" Target="numbering.xml"/><Relationship Id="rId16" Type="http://schemas.openxmlformats.org/officeDocument/2006/relationships/hyperlink" Target="https://www.abs.gov.au/statistics/classifications/australian-and-new-zealand-standard-industrial-classification-anzsic/latest-release" TargetMode="External"/><Relationship Id="rId20" Type="http://schemas.openxmlformats.org/officeDocument/2006/relationships/hyperlink" Target="mailto:reos@jobsandskills.gov.a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abs.gov.au/statistics/economy/business-indicators/counts-australian-businesses-including-entries-and-exits/latest-release" TargetMode="Externa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s://www.abs.gov.au/statistics/standards/australian-statistical-geography-standard-asgs/edition-3-july-2021-june-2026/main-structure-and-greater-capital-city-statistical-areas"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www.jobsandskills.gov.au/data/recruitment-experiences-and-outlook-survey/reos-survey-methodology" TargetMode="External"/><Relationship Id="rId22"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abs.gov.au/statistics/detailed-mettahodology-information/information-papers/upcoming-changes-labour-force-survey-outputs" TargetMode="External"/><Relationship Id="rId2" Type="http://schemas.openxmlformats.org/officeDocument/2006/relationships/hyperlink" Target="https://www.dewr.gov.au/workplace-relations/resources/ai-and-employment-australia" TargetMode="External"/><Relationship Id="rId1" Type="http://schemas.openxmlformats.org/officeDocument/2006/relationships/hyperlink" Target="https://www.jobsandskills.gov.au/sites/default/files/2025-09/jsa_gen_ai_interactive_table_data_pack_20250903.xlsx" TargetMode="External"/><Relationship Id="rId5" Type="http://schemas.openxmlformats.org/officeDocument/2006/relationships/hyperlink" Target="https://www.dewr.gov.au/workplace-relations/resources/ai-and-employment-australia" TargetMode="External"/><Relationship Id="rId4" Type="http://schemas.openxmlformats.org/officeDocument/2006/relationships/hyperlink" Target="https://www.jobsandskills.gov.au/sites/default/files/2025-09/jsa_gen_ai_interactive_table_data_pack_20250903.xlsx"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7.svg"/><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JSA">
      <a:dk1>
        <a:sysClr val="windowText" lastClr="000000"/>
      </a:dk1>
      <a:lt1>
        <a:sysClr val="window" lastClr="FFFFFF"/>
      </a:lt1>
      <a:dk2>
        <a:srgbClr val="4B0985"/>
      </a:dk2>
      <a:lt2>
        <a:srgbClr val="D5A3F9"/>
      </a:lt2>
      <a:accent1>
        <a:srgbClr val="6929C4"/>
      </a:accent1>
      <a:accent2>
        <a:srgbClr val="009D9A"/>
      </a:accent2>
      <a:accent3>
        <a:srgbClr val="012749"/>
      </a:accent3>
      <a:accent4>
        <a:srgbClr val="EE538B"/>
      </a:accent4>
      <a:accent5>
        <a:srgbClr val="1192E8"/>
      </a:accent5>
      <a:accent6>
        <a:srgbClr val="9F1853"/>
      </a:accent6>
      <a:hlink>
        <a:srgbClr val="215E9E"/>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144F5A-3C7F-42D8-939D-C2DE9E746D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4408</Words>
  <Characters>25127</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29477</CharactersWithSpaces>
  <SharedDoc>false</SharedDoc>
  <HLinks>
    <vt:vector size="78" baseType="variant">
      <vt:variant>
        <vt:i4>2162773</vt:i4>
      </vt:variant>
      <vt:variant>
        <vt:i4>21</vt:i4>
      </vt:variant>
      <vt:variant>
        <vt:i4>0</vt:i4>
      </vt:variant>
      <vt:variant>
        <vt:i4>5</vt:i4>
      </vt:variant>
      <vt:variant>
        <vt:lpwstr>mailto:reos@jobsandskills.gov.au</vt:lpwstr>
      </vt:variant>
      <vt:variant>
        <vt:lpwstr/>
      </vt:variant>
      <vt:variant>
        <vt:i4>8061052</vt:i4>
      </vt:variant>
      <vt:variant>
        <vt:i4>18</vt:i4>
      </vt:variant>
      <vt:variant>
        <vt:i4>0</vt:i4>
      </vt:variant>
      <vt:variant>
        <vt:i4>5</vt:i4>
      </vt:variant>
      <vt:variant>
        <vt:lpwstr>https://www.abs.gov.au/statistics/standards/australian-statistical-geography-standard-asgs/edition-3-july-2021-june-2026/main-structure-and-greater-capital-city-statistical-areas</vt:lpwstr>
      </vt:variant>
      <vt:variant>
        <vt:lpwstr/>
      </vt:variant>
      <vt:variant>
        <vt:i4>7077921</vt:i4>
      </vt:variant>
      <vt:variant>
        <vt:i4>15</vt:i4>
      </vt:variant>
      <vt:variant>
        <vt:i4>0</vt:i4>
      </vt:variant>
      <vt:variant>
        <vt:i4>5</vt:i4>
      </vt:variant>
      <vt:variant>
        <vt:lpwstr>https://www.abs.gov.au/statistics/classifications/osca-occupation-standard-classification-australia/latest-release</vt:lpwstr>
      </vt:variant>
      <vt:variant>
        <vt:lpwstr/>
      </vt:variant>
      <vt:variant>
        <vt:i4>5636108</vt:i4>
      </vt:variant>
      <vt:variant>
        <vt:i4>12</vt:i4>
      </vt:variant>
      <vt:variant>
        <vt:i4>0</vt:i4>
      </vt:variant>
      <vt:variant>
        <vt:i4>5</vt:i4>
      </vt:variant>
      <vt:variant>
        <vt:lpwstr>https://www.abs.gov.au/statistics/classifications/anzsco-australian-and-new-zealand-standard-classification-occupations/2022</vt:lpwstr>
      </vt:variant>
      <vt:variant>
        <vt:lpwstr/>
      </vt:variant>
      <vt:variant>
        <vt:i4>655373</vt:i4>
      </vt:variant>
      <vt:variant>
        <vt:i4>9</vt:i4>
      </vt:variant>
      <vt:variant>
        <vt:i4>0</vt:i4>
      </vt:variant>
      <vt:variant>
        <vt:i4>5</vt:i4>
      </vt:variant>
      <vt:variant>
        <vt:lpwstr>https://www.abs.gov.au/statistics/classifications/australian-and-new-zealand-standard-industrial-classification-anzsic/latest-release</vt:lpwstr>
      </vt:variant>
      <vt:variant>
        <vt:lpwstr/>
      </vt:variant>
      <vt:variant>
        <vt:i4>983121</vt:i4>
      </vt:variant>
      <vt:variant>
        <vt:i4>6</vt:i4>
      </vt:variant>
      <vt:variant>
        <vt:i4>0</vt:i4>
      </vt:variant>
      <vt:variant>
        <vt:i4>5</vt:i4>
      </vt:variant>
      <vt:variant>
        <vt:lpwstr>https://www.abs.gov.au/statistics/economy/business-indicators/counts-australian-businesses-including-entries-and-exits/latest-release</vt:lpwstr>
      </vt:variant>
      <vt:variant>
        <vt:lpwstr/>
      </vt:variant>
      <vt:variant>
        <vt:i4>4980761</vt:i4>
      </vt:variant>
      <vt:variant>
        <vt:i4>3</vt:i4>
      </vt:variant>
      <vt:variant>
        <vt:i4>0</vt:i4>
      </vt:variant>
      <vt:variant>
        <vt:i4>5</vt:i4>
      </vt:variant>
      <vt:variant>
        <vt:lpwstr>https://www.jobsandskills.gov.au/data/recruitment-experiences-and-outlook-survey/reos-survey-methodology</vt:lpwstr>
      </vt:variant>
      <vt:variant>
        <vt:lpwstr/>
      </vt:variant>
      <vt:variant>
        <vt:i4>4980761</vt:i4>
      </vt:variant>
      <vt:variant>
        <vt:i4>0</vt:i4>
      </vt:variant>
      <vt:variant>
        <vt:i4>0</vt:i4>
      </vt:variant>
      <vt:variant>
        <vt:i4>5</vt:i4>
      </vt:variant>
      <vt:variant>
        <vt:lpwstr>https://www.jobsandskills.gov.au/data/recruitment-experiences-and-outlook-survey/reos-survey-methodology</vt:lpwstr>
      </vt:variant>
      <vt:variant>
        <vt:lpwstr/>
      </vt:variant>
      <vt:variant>
        <vt:i4>589888</vt:i4>
      </vt:variant>
      <vt:variant>
        <vt:i4>12</vt:i4>
      </vt:variant>
      <vt:variant>
        <vt:i4>0</vt:i4>
      </vt:variant>
      <vt:variant>
        <vt:i4>5</vt:i4>
      </vt:variant>
      <vt:variant>
        <vt:lpwstr>https://www.dewr.gov.au/workplace-relations/resources/ai-and-employment-australia</vt:lpwstr>
      </vt:variant>
      <vt:variant>
        <vt:lpwstr/>
      </vt:variant>
      <vt:variant>
        <vt:i4>6094896</vt:i4>
      </vt:variant>
      <vt:variant>
        <vt:i4>9</vt:i4>
      </vt:variant>
      <vt:variant>
        <vt:i4>0</vt:i4>
      </vt:variant>
      <vt:variant>
        <vt:i4>5</vt:i4>
      </vt:variant>
      <vt:variant>
        <vt:lpwstr>https://www.jobsandskills.gov.au/sites/default/files/2025-09/jsa_gen_ai_interactive_table_data_pack_20250903.xlsx</vt:lpwstr>
      </vt:variant>
      <vt:variant>
        <vt:lpwstr/>
      </vt:variant>
      <vt:variant>
        <vt:i4>5963864</vt:i4>
      </vt:variant>
      <vt:variant>
        <vt:i4>6</vt:i4>
      </vt:variant>
      <vt:variant>
        <vt:i4>0</vt:i4>
      </vt:variant>
      <vt:variant>
        <vt:i4>5</vt:i4>
      </vt:variant>
      <vt:variant>
        <vt:lpwstr>https://www.abs.gov.au/statistics/detailed-mettahodology-information/information-papers/upcoming-changes-labour-force-survey-outputs</vt:lpwstr>
      </vt:variant>
      <vt:variant>
        <vt:lpwstr/>
      </vt:variant>
      <vt:variant>
        <vt:i4>589888</vt:i4>
      </vt:variant>
      <vt:variant>
        <vt:i4>3</vt:i4>
      </vt:variant>
      <vt:variant>
        <vt:i4>0</vt:i4>
      </vt:variant>
      <vt:variant>
        <vt:i4>5</vt:i4>
      </vt:variant>
      <vt:variant>
        <vt:lpwstr>https://www.dewr.gov.au/workplace-relations/resources/ai-and-employment-australia</vt:lpwstr>
      </vt:variant>
      <vt:variant>
        <vt:lpwstr/>
      </vt:variant>
      <vt:variant>
        <vt:i4>6094896</vt:i4>
      </vt:variant>
      <vt:variant>
        <vt:i4>0</vt:i4>
      </vt:variant>
      <vt:variant>
        <vt:i4>0</vt:i4>
      </vt:variant>
      <vt:variant>
        <vt:i4>5</vt:i4>
      </vt:variant>
      <vt:variant>
        <vt:lpwstr>https://www.jobsandskills.gov.au/sites/default/files/2025-09/jsa_gen_ai_interactive_table_data_pack_20250903.xlsx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2026-09-24T00:10:00Z</dcterms:created>
  <dcterms:modified xsi:type="dcterms:W3CDTF">2026-09-24T00:23:00Z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2026-09-24T00:11:04Z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c2dda753-a5f7-430c-8f34-288fa0439e19</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