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2593B" w14:textId="77777777" w:rsidR="00AA5442" w:rsidRDefault="00AA5442" w:rsidP="00AA5442">
      <w:pPr>
        <w:pStyle w:val="BodyText"/>
        <w:sectPr w:rsidR="00AA5442" w:rsidSect="00AA5442">
          <w:footerReference w:type="even" r:id="rId11"/>
          <w:footerReference w:type="default" r:id="rId12"/>
          <w:headerReference w:type="first" r:id="rId13"/>
          <w:type w:val="evenPage"/>
          <w:pgSz w:w="11907" w:h="16839" w:code="9"/>
          <w:pgMar w:top="992" w:right="1270" w:bottom="1440" w:left="1270" w:header="720" w:footer="720" w:gutter="0"/>
          <w:cols w:space="720"/>
          <w:titlePg/>
          <w:docGrid w:linePitch="360"/>
        </w:sectPr>
      </w:pPr>
      <w:r w:rsidRPr="00270126">
        <w:rPr>
          <w:noProof/>
        </w:rPr>
        <w:drawing>
          <wp:inline distT="0" distB="0" distL="0" distR="0" wp14:anchorId="507B9546" wp14:editId="3CA4E3B9">
            <wp:extent cx="3240000" cy="701298"/>
            <wp:effectExtent l="0" t="0" r="0" b="3810"/>
            <wp:docPr id="348354591" name="Picture 34835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pic:cNvPicPr/>
                  </pic:nvPicPr>
                  <pic:blipFill>
                    <a:blip r:embed="rId14">
                      <a:extLst>
                        <a:ext uri="{96DAC541-7B7A-43D3-8B79-37D633B846F1}">
                          <asvg:svgBlip xmlns:asvg="http://schemas.microsoft.com/office/drawing/2016/SVG/main" r:embed="rId15"/>
                        </a:ext>
                      </a:extLst>
                    </a:blip>
                    <a:stretch>
                      <a:fillRect/>
                    </a:stretch>
                  </pic:blipFill>
                  <pic:spPr>
                    <a:xfrm>
                      <a:off x="0" y="0"/>
                      <a:ext cx="3240000" cy="701298"/>
                    </a:xfrm>
                    <a:prstGeom prst="rect">
                      <a:avLst/>
                    </a:prstGeom>
                  </pic:spPr>
                </pic:pic>
              </a:graphicData>
            </a:graphic>
          </wp:inline>
        </w:drawing>
      </w:r>
      <w:r>
        <w:rPr>
          <w:noProof/>
        </w:rPr>
        <w:drawing>
          <wp:anchor distT="0" distB="0" distL="114300" distR="114300" simplePos="0" relativeHeight="251659264" behindDoc="1" locked="1" layoutInCell="1" allowOverlap="1" wp14:anchorId="019BEB38" wp14:editId="559B6AE8">
            <wp:simplePos x="0" y="0"/>
            <wp:positionH relativeFrom="page">
              <wp:align>left</wp:align>
            </wp:positionH>
            <wp:positionV relativeFrom="page">
              <wp:align>top</wp:align>
            </wp:positionV>
            <wp:extent cx="7560000" cy="10692000"/>
            <wp:effectExtent l="0" t="0" r="3175" b="0"/>
            <wp:wrapNone/>
            <wp:docPr id="1343635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5861" name="Picture 1">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pic:spPr>
                </pic:pic>
              </a:graphicData>
            </a:graphic>
            <wp14:sizeRelH relativeFrom="page">
              <wp14:pctWidth>0</wp14:pctWidth>
            </wp14:sizeRelH>
            <wp14:sizeRelV relativeFrom="page">
              <wp14:pctHeight>0</wp14:pctHeight>
            </wp14:sizeRelV>
          </wp:anchor>
        </w:drawing>
      </w:r>
    </w:p>
    <w:p w14:paraId="79661C4C" w14:textId="77777777" w:rsidR="00AA5442" w:rsidRDefault="00AA5442" w:rsidP="00AA5442">
      <w:pPr>
        <w:pStyle w:val="BodyText"/>
      </w:pPr>
    </w:p>
    <w:sdt>
      <w:sdtPr>
        <w:alias w:val="&lt; Title &gt;"/>
        <w:tag w:val=""/>
        <w:id w:val="162979263"/>
        <w:placeholder>
          <w:docPart w:val="8BDD1E727BF5457F9DBBDA31FDF8FA0C"/>
        </w:placeholder>
        <w:dataBinding w:prefixMappings="xmlns:ns0='http://purl.org/dc/elements/1.1/' xmlns:ns1='http://schemas.openxmlformats.org/package/2006/metadata/core-properties' " w:xpath="/ns1:coreProperties[1]/ns0:title[1]" w:storeItemID="{6C3C8BC8-F283-45AE-878A-BAB7291924A1}"/>
        <w:text/>
      </w:sdtPr>
      <w:sdtEndPr/>
      <w:sdtContent>
        <w:p w14:paraId="5D589714" w14:textId="613D0C1F" w:rsidR="00AA5442" w:rsidRPr="00E60832" w:rsidRDefault="002A76C4" w:rsidP="00AA5442">
          <w:pPr>
            <w:pStyle w:val="Title"/>
          </w:pPr>
          <w:r>
            <w:t>Regional Labour Market Indicator (RLMI)</w:t>
          </w:r>
        </w:p>
      </w:sdtContent>
    </w:sdt>
    <w:p w14:paraId="2AA8C3B1" w14:textId="2D1B1AA1" w:rsidR="00AA5442" w:rsidRDefault="00C62E5E" w:rsidP="00AA5442">
      <w:pPr>
        <w:pStyle w:val="Subtitle"/>
      </w:pPr>
      <w:r>
        <w:t>Quarterly Report</w:t>
      </w:r>
    </w:p>
    <w:p w14:paraId="27682695" w14:textId="5E52811F" w:rsidR="00AA5442" w:rsidRPr="00934D95" w:rsidRDefault="002A76C4" w:rsidP="00AA5442">
      <w:pPr>
        <w:pStyle w:val="DocumentDetails"/>
      </w:pPr>
      <w:r>
        <w:t>June 2026</w:t>
      </w:r>
    </w:p>
    <w:p w14:paraId="619CEE54" w14:textId="77777777" w:rsidR="00A67B12" w:rsidRPr="00A67B12" w:rsidRDefault="00A67B12"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p w14:paraId="5C70024D" w14:textId="77777777" w:rsidR="00452A9D" w:rsidRDefault="00452A9D" w:rsidP="00104750">
      <w:pPr>
        <w:pStyle w:val="TOCHeading"/>
      </w:pPr>
      <w:r>
        <w:lastRenderedPageBreak/>
        <w:t>Contents</w:t>
      </w:r>
    </w:p>
    <w:p w14:paraId="0E1C35B7" w14:textId="13758D8A" w:rsidR="009E73AD" w:rsidRDefault="009E73AD">
      <w:pPr>
        <w:pStyle w:val="TOC1"/>
        <w:rPr>
          <w:rFonts w:asciiTheme="minorHAnsi" w:eastAsiaTheme="minorEastAsia" w:hAnsiTheme="minorHAnsi"/>
          <w:b w:val="0"/>
          <w:noProof/>
          <w:color w:val="auto"/>
          <w:kern w:val="2"/>
          <w:sz w:val="24"/>
          <w:szCs w:val="24"/>
          <w:lang w:eastAsia="en-AU"/>
          <w14:ligatures w14:val="standardContextual"/>
        </w:rPr>
      </w:pPr>
      <w:r>
        <w:rPr>
          <w:b w:val="0"/>
          <w:color w:val="6929C4"/>
        </w:rPr>
        <w:fldChar w:fldCharType="begin"/>
      </w:r>
      <w:r>
        <w:rPr>
          <w:b w:val="0"/>
          <w:color w:val="6929C4"/>
        </w:rPr>
        <w:instrText xml:space="preserve"> TOC \o "2-2" \h \z \t "Heading 1,1,Appendix Heading 1,1,Appendix Heading 2,2,Heading 1 (unnumbered),1,EndNote Bibliography Title,1" </w:instrText>
      </w:r>
      <w:r>
        <w:rPr>
          <w:b w:val="0"/>
          <w:color w:val="6929C4"/>
        </w:rPr>
        <w:fldChar w:fldCharType="separate"/>
      </w:r>
      <w:hyperlink w:anchor="_Toc238204697" w:history="1">
        <w:r w:rsidRPr="006401F5">
          <w:rPr>
            <w:rStyle w:val="Hyperlink"/>
            <w:rFonts w:eastAsiaTheme="majorEastAsia"/>
            <w:noProof/>
          </w:rPr>
          <w:t>Introduction</w:t>
        </w:r>
        <w:r>
          <w:rPr>
            <w:noProof/>
            <w:webHidden/>
          </w:rPr>
          <w:tab/>
        </w:r>
        <w:r>
          <w:rPr>
            <w:noProof/>
            <w:webHidden/>
          </w:rPr>
          <w:fldChar w:fldCharType="begin"/>
        </w:r>
        <w:r>
          <w:rPr>
            <w:noProof/>
            <w:webHidden/>
          </w:rPr>
          <w:instrText xml:space="preserve"> PAGEREF _Toc238204697 \h </w:instrText>
        </w:r>
        <w:r>
          <w:rPr>
            <w:noProof/>
            <w:webHidden/>
          </w:rPr>
        </w:r>
        <w:r>
          <w:rPr>
            <w:noProof/>
            <w:webHidden/>
          </w:rPr>
          <w:fldChar w:fldCharType="separate"/>
        </w:r>
        <w:r>
          <w:rPr>
            <w:noProof/>
            <w:webHidden/>
          </w:rPr>
          <w:t>2</w:t>
        </w:r>
        <w:r>
          <w:rPr>
            <w:noProof/>
            <w:webHidden/>
          </w:rPr>
          <w:fldChar w:fldCharType="end"/>
        </w:r>
      </w:hyperlink>
    </w:p>
    <w:p w14:paraId="6B456AC5" w14:textId="2E935E65" w:rsidR="009E73AD" w:rsidRDefault="009E73AD">
      <w:pPr>
        <w:pStyle w:val="TOC1"/>
        <w:rPr>
          <w:rFonts w:asciiTheme="minorHAnsi" w:eastAsiaTheme="minorEastAsia" w:hAnsiTheme="minorHAnsi"/>
          <w:b w:val="0"/>
          <w:noProof/>
          <w:color w:val="auto"/>
          <w:kern w:val="2"/>
          <w:sz w:val="24"/>
          <w:szCs w:val="24"/>
          <w:lang w:eastAsia="en-AU"/>
          <w14:ligatures w14:val="standardContextual"/>
        </w:rPr>
      </w:pPr>
      <w:hyperlink w:anchor="_Toc238204698" w:history="1">
        <w:r w:rsidRPr="006401F5">
          <w:rPr>
            <w:rStyle w:val="Hyperlink"/>
            <w:rFonts w:eastAsiaTheme="majorEastAsia"/>
            <w:noProof/>
          </w:rPr>
          <w:t>Labour market conditions are stronger on average in major cities</w:t>
        </w:r>
        <w:r>
          <w:rPr>
            <w:noProof/>
            <w:webHidden/>
          </w:rPr>
          <w:tab/>
        </w:r>
        <w:r>
          <w:rPr>
            <w:noProof/>
            <w:webHidden/>
          </w:rPr>
          <w:fldChar w:fldCharType="begin"/>
        </w:r>
        <w:r>
          <w:rPr>
            <w:noProof/>
            <w:webHidden/>
          </w:rPr>
          <w:instrText xml:space="preserve"> PAGEREF _Toc238204698 \h </w:instrText>
        </w:r>
        <w:r>
          <w:rPr>
            <w:noProof/>
            <w:webHidden/>
          </w:rPr>
        </w:r>
        <w:r>
          <w:rPr>
            <w:noProof/>
            <w:webHidden/>
          </w:rPr>
          <w:fldChar w:fldCharType="separate"/>
        </w:r>
        <w:r>
          <w:rPr>
            <w:noProof/>
            <w:webHidden/>
          </w:rPr>
          <w:t>3</w:t>
        </w:r>
        <w:r>
          <w:rPr>
            <w:noProof/>
            <w:webHidden/>
          </w:rPr>
          <w:fldChar w:fldCharType="end"/>
        </w:r>
      </w:hyperlink>
    </w:p>
    <w:p w14:paraId="611DF7BB" w14:textId="1C1389FA" w:rsidR="009E73AD" w:rsidRDefault="009E73AD">
      <w:pPr>
        <w:pStyle w:val="TOC1"/>
        <w:rPr>
          <w:rFonts w:asciiTheme="minorHAnsi" w:eastAsiaTheme="minorEastAsia" w:hAnsiTheme="minorHAnsi"/>
          <w:b w:val="0"/>
          <w:noProof/>
          <w:color w:val="auto"/>
          <w:kern w:val="2"/>
          <w:sz w:val="24"/>
          <w:szCs w:val="24"/>
          <w:lang w:eastAsia="en-AU"/>
          <w14:ligatures w14:val="standardContextual"/>
        </w:rPr>
      </w:pPr>
      <w:hyperlink w:anchor="_Toc238204699" w:history="1">
        <w:r w:rsidRPr="006401F5">
          <w:rPr>
            <w:rStyle w:val="Hyperlink"/>
            <w:noProof/>
          </w:rPr>
          <w:t>The major city-regional gap has narrowed</w:t>
        </w:r>
        <w:r>
          <w:rPr>
            <w:noProof/>
            <w:webHidden/>
          </w:rPr>
          <w:tab/>
        </w:r>
        <w:r>
          <w:rPr>
            <w:noProof/>
            <w:webHidden/>
          </w:rPr>
          <w:fldChar w:fldCharType="begin"/>
        </w:r>
        <w:r>
          <w:rPr>
            <w:noProof/>
            <w:webHidden/>
          </w:rPr>
          <w:instrText xml:space="preserve"> PAGEREF _Toc238204699 \h </w:instrText>
        </w:r>
        <w:r>
          <w:rPr>
            <w:noProof/>
            <w:webHidden/>
          </w:rPr>
        </w:r>
        <w:r>
          <w:rPr>
            <w:noProof/>
            <w:webHidden/>
          </w:rPr>
          <w:fldChar w:fldCharType="separate"/>
        </w:r>
        <w:r>
          <w:rPr>
            <w:noProof/>
            <w:webHidden/>
          </w:rPr>
          <w:t>4</w:t>
        </w:r>
        <w:r>
          <w:rPr>
            <w:noProof/>
            <w:webHidden/>
          </w:rPr>
          <w:fldChar w:fldCharType="end"/>
        </w:r>
      </w:hyperlink>
    </w:p>
    <w:p w14:paraId="55B5BDFD" w14:textId="1F64AD20" w:rsidR="009E73AD" w:rsidRDefault="009E73AD">
      <w:pPr>
        <w:pStyle w:val="TOC2"/>
        <w:rPr>
          <w:rFonts w:asciiTheme="minorHAnsi" w:eastAsiaTheme="minorEastAsia" w:hAnsiTheme="minorHAnsi"/>
          <w:b w:val="0"/>
          <w:noProof/>
          <w:kern w:val="2"/>
          <w:sz w:val="24"/>
          <w:szCs w:val="24"/>
          <w:lang w:eastAsia="en-AU"/>
          <w14:ligatures w14:val="standardContextual"/>
        </w:rPr>
      </w:pPr>
      <w:hyperlink w:anchor="_Toc238204700" w:history="1">
        <w:r w:rsidRPr="006401F5">
          <w:rPr>
            <w:rStyle w:val="Hyperlink"/>
            <w:noProof/>
          </w:rPr>
          <w:t>Softening labour market conditions in Greater Melbourne</w:t>
        </w:r>
        <w:r>
          <w:rPr>
            <w:noProof/>
            <w:webHidden/>
          </w:rPr>
          <w:tab/>
        </w:r>
        <w:r>
          <w:rPr>
            <w:noProof/>
            <w:webHidden/>
          </w:rPr>
          <w:fldChar w:fldCharType="begin"/>
        </w:r>
        <w:r>
          <w:rPr>
            <w:noProof/>
            <w:webHidden/>
          </w:rPr>
          <w:instrText xml:space="preserve"> PAGEREF _Toc238204700 \h </w:instrText>
        </w:r>
        <w:r>
          <w:rPr>
            <w:noProof/>
            <w:webHidden/>
          </w:rPr>
        </w:r>
        <w:r>
          <w:rPr>
            <w:noProof/>
            <w:webHidden/>
          </w:rPr>
          <w:fldChar w:fldCharType="separate"/>
        </w:r>
        <w:r>
          <w:rPr>
            <w:noProof/>
            <w:webHidden/>
          </w:rPr>
          <w:t>6</w:t>
        </w:r>
        <w:r>
          <w:rPr>
            <w:noProof/>
            <w:webHidden/>
          </w:rPr>
          <w:fldChar w:fldCharType="end"/>
        </w:r>
      </w:hyperlink>
    </w:p>
    <w:p w14:paraId="384672D2" w14:textId="188312AB" w:rsidR="009E73AD" w:rsidRDefault="009E73AD">
      <w:pPr>
        <w:pStyle w:val="TOC2"/>
        <w:rPr>
          <w:rFonts w:asciiTheme="minorHAnsi" w:eastAsiaTheme="minorEastAsia" w:hAnsiTheme="minorHAnsi"/>
          <w:b w:val="0"/>
          <w:noProof/>
          <w:kern w:val="2"/>
          <w:sz w:val="24"/>
          <w:szCs w:val="24"/>
          <w:lang w:eastAsia="en-AU"/>
          <w14:ligatures w14:val="standardContextual"/>
        </w:rPr>
      </w:pPr>
      <w:hyperlink w:anchor="_Toc238204701" w:history="1">
        <w:r w:rsidRPr="006401F5">
          <w:rPr>
            <w:rStyle w:val="Hyperlink"/>
            <w:noProof/>
          </w:rPr>
          <w:t>Improving labour market conditions in North-eastern New South Wales</w:t>
        </w:r>
        <w:r>
          <w:rPr>
            <w:noProof/>
            <w:webHidden/>
          </w:rPr>
          <w:tab/>
        </w:r>
        <w:r>
          <w:rPr>
            <w:noProof/>
            <w:webHidden/>
          </w:rPr>
          <w:fldChar w:fldCharType="begin"/>
        </w:r>
        <w:r>
          <w:rPr>
            <w:noProof/>
            <w:webHidden/>
          </w:rPr>
          <w:instrText xml:space="preserve"> PAGEREF _Toc238204701 \h </w:instrText>
        </w:r>
        <w:r>
          <w:rPr>
            <w:noProof/>
            <w:webHidden/>
          </w:rPr>
        </w:r>
        <w:r>
          <w:rPr>
            <w:noProof/>
            <w:webHidden/>
          </w:rPr>
          <w:fldChar w:fldCharType="separate"/>
        </w:r>
        <w:r>
          <w:rPr>
            <w:noProof/>
            <w:webHidden/>
          </w:rPr>
          <w:t>7</w:t>
        </w:r>
        <w:r>
          <w:rPr>
            <w:noProof/>
            <w:webHidden/>
          </w:rPr>
          <w:fldChar w:fldCharType="end"/>
        </w:r>
      </w:hyperlink>
    </w:p>
    <w:p w14:paraId="01AFA8F3" w14:textId="1BA5F076" w:rsidR="009E73AD" w:rsidRDefault="009E73AD">
      <w:pPr>
        <w:pStyle w:val="TOC2"/>
        <w:rPr>
          <w:rFonts w:asciiTheme="minorHAnsi" w:eastAsiaTheme="minorEastAsia" w:hAnsiTheme="minorHAnsi"/>
          <w:b w:val="0"/>
          <w:noProof/>
          <w:kern w:val="2"/>
          <w:sz w:val="24"/>
          <w:szCs w:val="24"/>
          <w:lang w:eastAsia="en-AU"/>
          <w14:ligatures w14:val="standardContextual"/>
        </w:rPr>
      </w:pPr>
      <w:hyperlink w:anchor="_Toc238204702" w:history="1">
        <w:r w:rsidRPr="006401F5">
          <w:rPr>
            <w:rStyle w:val="Hyperlink"/>
            <w:noProof/>
          </w:rPr>
          <w:t>Challenging labour market conditions persist in Remote Australia</w:t>
        </w:r>
        <w:r>
          <w:rPr>
            <w:noProof/>
            <w:webHidden/>
          </w:rPr>
          <w:tab/>
        </w:r>
        <w:r>
          <w:rPr>
            <w:noProof/>
            <w:webHidden/>
          </w:rPr>
          <w:fldChar w:fldCharType="begin"/>
        </w:r>
        <w:r>
          <w:rPr>
            <w:noProof/>
            <w:webHidden/>
          </w:rPr>
          <w:instrText xml:space="preserve"> PAGEREF _Toc238204702 \h </w:instrText>
        </w:r>
        <w:r>
          <w:rPr>
            <w:noProof/>
            <w:webHidden/>
          </w:rPr>
        </w:r>
        <w:r>
          <w:rPr>
            <w:noProof/>
            <w:webHidden/>
          </w:rPr>
          <w:fldChar w:fldCharType="separate"/>
        </w:r>
        <w:r>
          <w:rPr>
            <w:noProof/>
            <w:webHidden/>
          </w:rPr>
          <w:t>8</w:t>
        </w:r>
        <w:r>
          <w:rPr>
            <w:noProof/>
            <w:webHidden/>
          </w:rPr>
          <w:fldChar w:fldCharType="end"/>
        </w:r>
      </w:hyperlink>
    </w:p>
    <w:p w14:paraId="4AF130C4" w14:textId="40767CA4" w:rsidR="009E73AD" w:rsidRDefault="009E73AD">
      <w:pPr>
        <w:pStyle w:val="TOC1"/>
        <w:rPr>
          <w:rFonts w:asciiTheme="minorHAnsi" w:eastAsiaTheme="minorEastAsia" w:hAnsiTheme="minorHAnsi"/>
          <w:b w:val="0"/>
          <w:noProof/>
          <w:color w:val="auto"/>
          <w:kern w:val="2"/>
          <w:sz w:val="24"/>
          <w:szCs w:val="24"/>
          <w:lang w:eastAsia="en-AU"/>
          <w14:ligatures w14:val="standardContextual"/>
        </w:rPr>
      </w:pPr>
      <w:hyperlink w:anchor="_Toc238204703" w:history="1">
        <w:r w:rsidRPr="006401F5">
          <w:rPr>
            <w:rStyle w:val="Hyperlink"/>
            <w:noProof/>
          </w:rPr>
          <w:t>Appendices</w:t>
        </w:r>
        <w:r>
          <w:rPr>
            <w:noProof/>
            <w:webHidden/>
          </w:rPr>
          <w:tab/>
        </w:r>
        <w:r>
          <w:rPr>
            <w:noProof/>
            <w:webHidden/>
          </w:rPr>
          <w:fldChar w:fldCharType="begin"/>
        </w:r>
        <w:r>
          <w:rPr>
            <w:noProof/>
            <w:webHidden/>
          </w:rPr>
          <w:instrText xml:space="preserve"> PAGEREF _Toc238204703 \h </w:instrText>
        </w:r>
        <w:r>
          <w:rPr>
            <w:noProof/>
            <w:webHidden/>
          </w:rPr>
        </w:r>
        <w:r>
          <w:rPr>
            <w:noProof/>
            <w:webHidden/>
          </w:rPr>
          <w:fldChar w:fldCharType="separate"/>
        </w:r>
        <w:r>
          <w:rPr>
            <w:noProof/>
            <w:webHidden/>
          </w:rPr>
          <w:t>11</w:t>
        </w:r>
        <w:r>
          <w:rPr>
            <w:noProof/>
            <w:webHidden/>
          </w:rPr>
          <w:fldChar w:fldCharType="end"/>
        </w:r>
      </w:hyperlink>
    </w:p>
    <w:p w14:paraId="21E8BBC7" w14:textId="1DBF2ED8" w:rsidR="009E73AD" w:rsidRDefault="009E73AD">
      <w:pPr>
        <w:pStyle w:val="TOC2"/>
        <w:rPr>
          <w:rFonts w:asciiTheme="minorHAnsi" w:eastAsiaTheme="minorEastAsia" w:hAnsiTheme="minorHAnsi"/>
          <w:b w:val="0"/>
          <w:noProof/>
          <w:kern w:val="2"/>
          <w:sz w:val="24"/>
          <w:szCs w:val="24"/>
          <w:lang w:eastAsia="en-AU"/>
          <w14:ligatures w14:val="standardContextual"/>
        </w:rPr>
      </w:pPr>
      <w:hyperlink w:anchor="_Toc238204704" w:history="1">
        <w:r w:rsidRPr="006401F5">
          <w:rPr>
            <w:rStyle w:val="Hyperlink"/>
            <w:noProof/>
          </w:rPr>
          <w:t>Appendix 1: Labour Market Rating by SA4, June 2026</w:t>
        </w:r>
        <w:r>
          <w:rPr>
            <w:noProof/>
            <w:webHidden/>
          </w:rPr>
          <w:tab/>
        </w:r>
        <w:r>
          <w:rPr>
            <w:noProof/>
            <w:webHidden/>
          </w:rPr>
          <w:fldChar w:fldCharType="begin"/>
        </w:r>
        <w:r>
          <w:rPr>
            <w:noProof/>
            <w:webHidden/>
          </w:rPr>
          <w:instrText xml:space="preserve"> PAGEREF _Toc238204704 \h </w:instrText>
        </w:r>
        <w:r>
          <w:rPr>
            <w:noProof/>
            <w:webHidden/>
          </w:rPr>
        </w:r>
        <w:r>
          <w:rPr>
            <w:noProof/>
            <w:webHidden/>
          </w:rPr>
          <w:fldChar w:fldCharType="separate"/>
        </w:r>
        <w:r>
          <w:rPr>
            <w:noProof/>
            <w:webHidden/>
          </w:rPr>
          <w:t>11</w:t>
        </w:r>
        <w:r>
          <w:rPr>
            <w:noProof/>
            <w:webHidden/>
          </w:rPr>
          <w:fldChar w:fldCharType="end"/>
        </w:r>
      </w:hyperlink>
    </w:p>
    <w:p w14:paraId="78789356" w14:textId="7D10619E" w:rsidR="009E73AD" w:rsidRDefault="009E73AD">
      <w:pPr>
        <w:pStyle w:val="TOC2"/>
        <w:rPr>
          <w:rFonts w:asciiTheme="minorHAnsi" w:eastAsiaTheme="minorEastAsia" w:hAnsiTheme="minorHAnsi"/>
          <w:b w:val="0"/>
          <w:noProof/>
          <w:kern w:val="2"/>
          <w:sz w:val="24"/>
          <w:szCs w:val="24"/>
          <w:lang w:eastAsia="en-AU"/>
          <w14:ligatures w14:val="standardContextual"/>
        </w:rPr>
      </w:pPr>
      <w:hyperlink w:anchor="_Toc238204705" w:history="1">
        <w:r w:rsidRPr="006401F5">
          <w:rPr>
            <w:rStyle w:val="Hyperlink"/>
            <w:noProof/>
          </w:rPr>
          <w:t>Appendix 2: RLMI Explanatory Notes</w:t>
        </w:r>
        <w:r>
          <w:rPr>
            <w:noProof/>
            <w:webHidden/>
          </w:rPr>
          <w:tab/>
        </w:r>
        <w:r>
          <w:rPr>
            <w:noProof/>
            <w:webHidden/>
          </w:rPr>
          <w:fldChar w:fldCharType="begin"/>
        </w:r>
        <w:r>
          <w:rPr>
            <w:noProof/>
            <w:webHidden/>
          </w:rPr>
          <w:instrText xml:space="preserve"> PAGEREF _Toc238204705 \h </w:instrText>
        </w:r>
        <w:r>
          <w:rPr>
            <w:noProof/>
            <w:webHidden/>
          </w:rPr>
        </w:r>
        <w:r>
          <w:rPr>
            <w:noProof/>
            <w:webHidden/>
          </w:rPr>
          <w:fldChar w:fldCharType="separate"/>
        </w:r>
        <w:r>
          <w:rPr>
            <w:noProof/>
            <w:webHidden/>
          </w:rPr>
          <w:t>14</w:t>
        </w:r>
        <w:r>
          <w:rPr>
            <w:noProof/>
            <w:webHidden/>
          </w:rPr>
          <w:fldChar w:fldCharType="end"/>
        </w:r>
      </w:hyperlink>
    </w:p>
    <w:p w14:paraId="583EE28A" w14:textId="44B94679" w:rsidR="00AE0185" w:rsidRDefault="009E73AD" w:rsidP="00E03B0F">
      <w:pPr>
        <w:sectPr w:rsidR="00AE0185" w:rsidSect="00106E26">
          <w:headerReference w:type="first" r:id="rId17"/>
          <w:footerReference w:type="first" r:id="rId18"/>
          <w:pgSz w:w="11907" w:h="16839" w:code="9"/>
          <w:pgMar w:top="1440" w:right="1440" w:bottom="1440" w:left="1440" w:header="720" w:footer="720" w:gutter="0"/>
          <w:pgNumType w:start="1"/>
          <w:cols w:space="720"/>
          <w:titlePg/>
          <w:docGrid w:linePitch="360"/>
        </w:sectPr>
      </w:pPr>
      <w:r>
        <w:rPr>
          <w:b/>
          <w:color w:val="6929C4"/>
        </w:rPr>
        <w:fldChar w:fldCharType="end"/>
      </w:r>
    </w:p>
    <w:p w14:paraId="10338203" w14:textId="3EBC22F2" w:rsidR="00D50DF2" w:rsidRDefault="00D50DF2" w:rsidP="004A5416">
      <w:pPr>
        <w:pStyle w:val="Heading1"/>
        <w:rPr>
          <w:rFonts w:eastAsiaTheme="majorEastAsia"/>
        </w:rPr>
      </w:pPr>
      <w:bookmarkStart w:id="0" w:name="_Toc238204697"/>
      <w:r>
        <w:rPr>
          <w:rFonts w:eastAsiaTheme="majorEastAsia"/>
        </w:rPr>
        <w:lastRenderedPageBreak/>
        <w:t>Introduction</w:t>
      </w:r>
      <w:bookmarkEnd w:id="0"/>
      <w:r>
        <w:rPr>
          <w:rFonts w:eastAsiaTheme="majorEastAsia"/>
        </w:rPr>
        <w:t xml:space="preserve"> </w:t>
      </w:r>
    </w:p>
    <w:p w14:paraId="509B8C84" w14:textId="77777777" w:rsidR="00D50DF2" w:rsidRDefault="00D50DF2" w:rsidP="00D50DF2">
      <w:pPr>
        <w:pStyle w:val="BodyText"/>
      </w:pPr>
      <w:r w:rsidRPr="0084154D">
        <w:t xml:space="preserve">The RLMI combines key measures of labour supply and demand, including </w:t>
      </w:r>
      <w:r>
        <w:t>factors</w:t>
      </w:r>
      <w:r w:rsidRPr="0084154D">
        <w:t xml:space="preserve"> that capture how these interact, into a single, easy</w:t>
      </w:r>
      <w:r w:rsidRPr="0084154D">
        <w:rPr>
          <w:rFonts w:ascii="Cambria Math" w:hAnsi="Cambria Math" w:cs="Cambria Math"/>
        </w:rPr>
        <w:t>‑</w:t>
      </w:r>
      <w:r w:rsidRPr="0084154D">
        <w:t>to</w:t>
      </w:r>
      <w:r w:rsidRPr="0084154D">
        <w:rPr>
          <w:rFonts w:ascii="Cambria Math" w:hAnsi="Cambria Math" w:cs="Cambria Math"/>
        </w:rPr>
        <w:t>‑</w:t>
      </w:r>
      <w:r w:rsidRPr="0084154D">
        <w:t>interpret summary measure.</w:t>
      </w:r>
    </w:p>
    <w:p w14:paraId="7A6A90E5" w14:textId="77777777" w:rsidR="00D50DF2" w:rsidRDefault="00D50DF2" w:rsidP="00D50DF2">
      <w:pPr>
        <w:pStyle w:val="BodyText"/>
      </w:pPr>
      <w:r>
        <w:t>R</w:t>
      </w:r>
      <w:r w:rsidRPr="00C877C1">
        <w:t xml:space="preserve">egions </w:t>
      </w:r>
      <w:r>
        <w:t xml:space="preserve">are </w:t>
      </w:r>
      <w:r w:rsidRPr="00C877C1">
        <w:t xml:space="preserve">grouped into distinct categories of </w:t>
      </w:r>
      <w:r>
        <w:t xml:space="preserve">relative </w:t>
      </w:r>
      <w:r w:rsidRPr="00C877C1">
        <w:t>overall labour market performance, ranging from ‘poor’ to ‘strong’</w:t>
      </w:r>
      <w:r>
        <w:t>,</w:t>
      </w:r>
      <w:r w:rsidRPr="00C877C1">
        <w:t xml:space="preserve"> which provides an accurate and reliable view of labour market performance</w:t>
      </w:r>
      <w:r>
        <w:t>, relative to the national average</w:t>
      </w:r>
      <w:r w:rsidRPr="00C877C1">
        <w:t xml:space="preserve">. </w:t>
      </w:r>
    </w:p>
    <w:tbl>
      <w:tblPr>
        <w:tblStyle w:val="CustomTablepulloutbox"/>
        <w:tblW w:w="0" w:type="auto"/>
        <w:tblLook w:val="04A0" w:firstRow="1" w:lastRow="0" w:firstColumn="1" w:lastColumn="0" w:noHBand="0" w:noVBand="1"/>
      </w:tblPr>
      <w:tblGrid>
        <w:gridCol w:w="8997"/>
      </w:tblGrid>
      <w:tr w:rsidR="00D50DF2" w14:paraId="5B3D0F7C" w14:textId="77777777" w:rsidTr="000B4A22">
        <w:trPr>
          <w:trHeight w:val="3141"/>
        </w:trPr>
        <w:tc>
          <w:tcPr>
            <w:tcW w:w="8997" w:type="dxa"/>
          </w:tcPr>
          <w:p w14:paraId="13651ACD" w14:textId="77777777" w:rsidR="00D50DF2" w:rsidRPr="007106F3" w:rsidRDefault="00D50DF2" w:rsidP="00B07B74">
            <w:pPr>
              <w:pStyle w:val="BoxHeading"/>
              <w:rPr>
                <w:sz w:val="24"/>
              </w:rPr>
            </w:pPr>
            <w:r>
              <w:rPr>
                <w:sz w:val="24"/>
              </w:rPr>
              <w:t>This Report:</w:t>
            </w:r>
          </w:p>
          <w:p w14:paraId="28C1F1F5" w14:textId="022AEB98" w:rsidR="00D50DF2" w:rsidRPr="00405679" w:rsidRDefault="00D50DF2" w:rsidP="00D50DF2">
            <w:pPr>
              <w:pStyle w:val="ListParagraph"/>
              <w:numPr>
                <w:ilvl w:val="0"/>
                <w:numId w:val="45"/>
              </w:numPr>
              <w:spacing w:before="0" w:after="100" w:line="264" w:lineRule="auto"/>
              <w:ind w:left="714" w:hanging="357"/>
              <w:contextualSpacing w:val="0"/>
              <w:rPr>
                <w:szCs w:val="22"/>
              </w:rPr>
            </w:pPr>
            <w:r w:rsidRPr="00405679">
              <w:rPr>
                <w:szCs w:val="22"/>
              </w:rPr>
              <w:t xml:space="preserve">Labour market conditions </w:t>
            </w:r>
            <w:r w:rsidR="003C66E3">
              <w:rPr>
                <w:szCs w:val="22"/>
              </w:rPr>
              <w:t>continue to be</w:t>
            </w:r>
            <w:r w:rsidR="003C66E3" w:rsidRPr="00405679">
              <w:rPr>
                <w:szCs w:val="22"/>
              </w:rPr>
              <w:t xml:space="preserve"> </w:t>
            </w:r>
            <w:r w:rsidRPr="00405679">
              <w:rPr>
                <w:szCs w:val="22"/>
              </w:rPr>
              <w:t>stronger on average in major cities compared to outcomes across regional Australia</w:t>
            </w:r>
            <w:r w:rsidR="003C66E3">
              <w:rPr>
                <w:szCs w:val="22"/>
              </w:rPr>
              <w:t>,</w:t>
            </w:r>
            <w:r w:rsidRPr="00405679">
              <w:rPr>
                <w:szCs w:val="22"/>
              </w:rPr>
              <w:t xml:space="preserve"> which are more mixed. </w:t>
            </w:r>
          </w:p>
          <w:p w14:paraId="201F03EF" w14:textId="42377D99" w:rsidR="00F217E4" w:rsidRPr="00F217E4" w:rsidRDefault="00F217E4" w:rsidP="00F217E4">
            <w:pPr>
              <w:pStyle w:val="BodyText"/>
              <w:numPr>
                <w:ilvl w:val="0"/>
                <w:numId w:val="45"/>
              </w:numPr>
            </w:pPr>
            <w:r w:rsidRPr="00F217E4">
              <w:t xml:space="preserve">The gap between major city and regional labour market performance has narrowed over the </w:t>
            </w:r>
            <w:r>
              <w:t xml:space="preserve">3 </w:t>
            </w:r>
            <w:r w:rsidRPr="00F217E4">
              <w:t xml:space="preserve">years to June 2026. This reflects improving conditions in several regional labour markets, including parts of north-eastern New South Wales, alongside softer labour market conditions </w:t>
            </w:r>
            <w:r w:rsidR="003C66E3">
              <w:t>in some m</w:t>
            </w:r>
            <w:r w:rsidR="00AC3694">
              <w:t>ajor city</w:t>
            </w:r>
            <w:r w:rsidR="003C66E3">
              <w:t xml:space="preserve"> areas</w:t>
            </w:r>
            <w:r>
              <w:t>, including in</w:t>
            </w:r>
            <w:r w:rsidRPr="00F217E4">
              <w:t xml:space="preserve"> Melbourne.</w:t>
            </w:r>
          </w:p>
          <w:p w14:paraId="51A5A879" w14:textId="3C241439" w:rsidR="00D50DF2" w:rsidRPr="00F217E4" w:rsidRDefault="00F217E4" w:rsidP="00F217E4">
            <w:pPr>
              <w:pStyle w:val="ListParagraph"/>
              <w:numPr>
                <w:ilvl w:val="0"/>
                <w:numId w:val="45"/>
              </w:numPr>
              <w:spacing w:after="100" w:line="264" w:lineRule="auto"/>
              <w:ind w:left="714" w:hanging="357"/>
              <w:rPr>
                <w:szCs w:val="22"/>
              </w:rPr>
            </w:pPr>
            <w:r w:rsidRPr="00F217E4">
              <w:rPr>
                <w:szCs w:val="22"/>
              </w:rPr>
              <w:t>Remote Australia continues to face persistently challenging labour market conditions.</w:t>
            </w:r>
            <w:r>
              <w:rPr>
                <w:szCs w:val="22"/>
              </w:rPr>
              <w:t xml:space="preserve"> </w:t>
            </w:r>
            <w:r w:rsidRPr="00F217E4">
              <w:rPr>
                <w:szCs w:val="22"/>
              </w:rPr>
              <w:t>While employment opportunities remain available, persistent recruitment difficulties, lower job matching efficiency, and elevated levels of long-term JobSeeker Income Support continue to constrain labour market performance.</w:t>
            </w:r>
          </w:p>
        </w:tc>
      </w:tr>
    </w:tbl>
    <w:p w14:paraId="34F0FAEA" w14:textId="77777777" w:rsidR="00D50DF2" w:rsidRDefault="00D50DF2" w:rsidP="0030712F">
      <w:pPr>
        <w:pStyle w:val="Heading2"/>
        <w:rPr>
          <w:rFonts w:eastAsiaTheme="majorEastAsia"/>
        </w:rPr>
        <w:sectPr w:rsidR="00D50DF2" w:rsidSect="000F5CD2">
          <w:footerReference w:type="first" r:id="rId19"/>
          <w:pgSz w:w="11907" w:h="16839" w:code="9"/>
          <w:pgMar w:top="1270" w:right="1440" w:bottom="1270" w:left="1440" w:header="720" w:footer="720" w:gutter="0"/>
          <w:cols w:space="720"/>
          <w:docGrid w:linePitch="360"/>
        </w:sectPr>
      </w:pPr>
    </w:p>
    <w:p w14:paraId="7582D872" w14:textId="2E23B442" w:rsidR="00C42154" w:rsidRDefault="00C42154" w:rsidP="004A5416">
      <w:pPr>
        <w:pStyle w:val="Heading1"/>
        <w:rPr>
          <w:rFonts w:eastAsiaTheme="majorEastAsia"/>
        </w:rPr>
      </w:pPr>
      <w:bookmarkStart w:id="1" w:name="_Toc238204698"/>
      <w:r w:rsidRPr="006E0696">
        <w:rPr>
          <w:rFonts w:eastAsiaTheme="majorEastAsia"/>
        </w:rPr>
        <w:lastRenderedPageBreak/>
        <w:t>Labour market conditions are stronger on average in major cities</w:t>
      </w:r>
      <w:bookmarkEnd w:id="1"/>
    </w:p>
    <w:p w14:paraId="5A681734" w14:textId="52BCCAD2" w:rsidR="00C42154" w:rsidRPr="0030712F" w:rsidRDefault="00C42154" w:rsidP="0030712F">
      <w:pPr>
        <w:pStyle w:val="Caption"/>
        <w:spacing w:before="0" w:after="0"/>
        <w:rPr>
          <w:sz w:val="20"/>
          <w:szCs w:val="20"/>
        </w:rPr>
      </w:pPr>
      <w:r w:rsidRPr="008167DD">
        <w:rPr>
          <w:sz w:val="20"/>
          <w:szCs w:val="20"/>
        </w:rPr>
        <w:t xml:space="preserve">Chart </w:t>
      </w:r>
      <w:r>
        <w:rPr>
          <w:sz w:val="20"/>
          <w:szCs w:val="20"/>
        </w:rPr>
        <w:t>1</w:t>
      </w:r>
      <w:r w:rsidRPr="008167DD">
        <w:rPr>
          <w:sz w:val="20"/>
          <w:szCs w:val="20"/>
        </w:rPr>
        <w:t xml:space="preserve">: RLMI ratings of relative labour market performance, </w:t>
      </w:r>
      <w:r>
        <w:rPr>
          <w:sz w:val="20"/>
          <w:szCs w:val="20"/>
        </w:rPr>
        <w:t>June</w:t>
      </w:r>
      <w:r w:rsidRPr="008167DD">
        <w:rPr>
          <w:sz w:val="20"/>
          <w:szCs w:val="20"/>
        </w:rPr>
        <w:t xml:space="preserve"> 2026</w:t>
      </w:r>
    </w:p>
    <w:p w14:paraId="5D6FEBB5" w14:textId="1A722F10" w:rsidR="00C42154" w:rsidRPr="00324789" w:rsidRDefault="00513762" w:rsidP="00C42154">
      <w:pPr>
        <w:keepNext/>
        <w:spacing w:after="0"/>
        <w:jc w:val="center"/>
      </w:pPr>
      <w:r w:rsidRPr="00513762">
        <w:rPr>
          <w:noProof/>
        </w:rPr>
        <w:drawing>
          <wp:inline distT="0" distB="0" distL="0" distR="0" wp14:anchorId="29842BEA" wp14:editId="73D32F3A">
            <wp:extent cx="5039360" cy="4795283"/>
            <wp:effectExtent l="0" t="0" r="8890" b="5715"/>
            <wp:docPr id="264467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67178" name=""/>
                    <pic:cNvPicPr/>
                  </pic:nvPicPr>
                  <pic:blipFill rotWithShape="1">
                    <a:blip r:embed="rId20"/>
                    <a:srcRect b="2456"/>
                    <a:stretch>
                      <a:fillRect/>
                    </a:stretch>
                  </pic:blipFill>
                  <pic:spPr bwMode="auto">
                    <a:xfrm>
                      <a:off x="0" y="0"/>
                      <a:ext cx="5048286" cy="4803777"/>
                    </a:xfrm>
                    <a:prstGeom prst="rect">
                      <a:avLst/>
                    </a:prstGeom>
                    <a:ln>
                      <a:noFill/>
                    </a:ln>
                    <a:extLst>
                      <a:ext uri="{53640926-AAD7-44D8-BBD7-CCE9431645EC}">
                        <a14:shadowObscured xmlns:a14="http://schemas.microsoft.com/office/drawing/2010/main"/>
                      </a:ext>
                    </a:extLst>
                  </pic:spPr>
                </pic:pic>
              </a:graphicData>
            </a:graphic>
          </wp:inline>
        </w:drawing>
      </w:r>
    </w:p>
    <w:p w14:paraId="29B2706C" w14:textId="6866E253" w:rsidR="00C42154" w:rsidRDefault="00C42154" w:rsidP="00C42154">
      <w:pPr>
        <w:pStyle w:val="Source"/>
        <w:keepNext/>
        <w:spacing w:before="0" w:after="0"/>
      </w:pPr>
    </w:p>
    <w:p w14:paraId="3D8FA7C4" w14:textId="4E056B7C" w:rsidR="00C42154" w:rsidRDefault="0030712F" w:rsidP="00C42154">
      <w:pPr>
        <w:pStyle w:val="Source"/>
        <w:keepNext/>
        <w:spacing w:before="0" w:after="0"/>
      </w:pPr>
      <w:r w:rsidRPr="008167DD">
        <w:rPr>
          <w:noProof/>
        </w:rPr>
        <w:drawing>
          <wp:anchor distT="0" distB="0" distL="114300" distR="114300" simplePos="0" relativeHeight="251661312" behindDoc="1" locked="0" layoutInCell="1" allowOverlap="1" wp14:anchorId="3061276C" wp14:editId="76BBB2D8">
            <wp:simplePos x="0" y="0"/>
            <wp:positionH relativeFrom="page">
              <wp:posOffset>857250</wp:posOffset>
            </wp:positionH>
            <wp:positionV relativeFrom="paragraph">
              <wp:posOffset>50800</wp:posOffset>
            </wp:positionV>
            <wp:extent cx="4791075" cy="286385"/>
            <wp:effectExtent l="0" t="0" r="9525" b="0"/>
            <wp:wrapTight wrapText="bothSides">
              <wp:wrapPolygon edited="0">
                <wp:start x="0" y="0"/>
                <wp:lineTo x="0" y="20115"/>
                <wp:lineTo x="21557" y="20115"/>
                <wp:lineTo x="21557" y="0"/>
                <wp:lineTo x="0" y="0"/>
              </wp:wrapPolygon>
            </wp:wrapTight>
            <wp:docPr id="26" name="Picture 25" descr="A legend of the RLMI rating categories (Strong, Above average, Average, Below average, Poor). ">
              <a:extLst xmlns:a="http://schemas.openxmlformats.org/drawingml/2006/main">
                <a:ext uri="{FF2B5EF4-FFF2-40B4-BE49-F238E27FC236}">
                  <a16:creationId xmlns:a16="http://schemas.microsoft.com/office/drawing/2014/main" id="{8972A19C-AEF7-962E-C41F-2939D71DDA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legend of the RLMI rating categories (Strong, Above average, Average, Below average, Poor). ">
                      <a:extLst>
                        <a:ext uri="{FF2B5EF4-FFF2-40B4-BE49-F238E27FC236}">
                          <a16:creationId xmlns:a16="http://schemas.microsoft.com/office/drawing/2014/main" id="{8972A19C-AEF7-962E-C41F-2939D71DDA5D}"/>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791075" cy="286385"/>
                    </a:xfrm>
                    <a:prstGeom prst="rect">
                      <a:avLst/>
                    </a:prstGeom>
                    <a:ln>
                      <a:noFill/>
                    </a:ln>
                  </pic:spPr>
                </pic:pic>
              </a:graphicData>
            </a:graphic>
            <wp14:sizeRelH relativeFrom="margin">
              <wp14:pctWidth>0</wp14:pctWidth>
            </wp14:sizeRelH>
            <wp14:sizeRelV relativeFrom="margin">
              <wp14:pctHeight>0</wp14:pctHeight>
            </wp14:sizeRelV>
          </wp:anchor>
        </w:drawing>
      </w:r>
    </w:p>
    <w:p w14:paraId="4B23DD73" w14:textId="77777777" w:rsidR="00C42154" w:rsidRDefault="00C42154" w:rsidP="00C42154">
      <w:pPr>
        <w:pStyle w:val="Source"/>
        <w:keepNext/>
        <w:spacing w:before="0" w:after="0"/>
      </w:pPr>
    </w:p>
    <w:p w14:paraId="39F3570D" w14:textId="77777777" w:rsidR="00C42154" w:rsidRDefault="00C42154" w:rsidP="00C42154">
      <w:pPr>
        <w:pStyle w:val="Source"/>
        <w:keepNext/>
        <w:spacing w:before="0" w:after="0"/>
      </w:pPr>
    </w:p>
    <w:p w14:paraId="475F5222" w14:textId="77777777" w:rsidR="00C42154" w:rsidRDefault="00C42154" w:rsidP="00C42154">
      <w:pPr>
        <w:pStyle w:val="Source"/>
        <w:keepNext/>
        <w:spacing w:before="0" w:after="0"/>
      </w:pPr>
      <w:r>
        <w:t xml:space="preserve">Source: JSA, </w:t>
      </w:r>
      <w:r w:rsidRPr="007D069F">
        <w:rPr>
          <w:i/>
          <w:iCs/>
        </w:rPr>
        <w:t>Regional Labour Market Indicator (RLMI)</w:t>
      </w:r>
      <w:r>
        <w:t>, June 2026</w:t>
      </w:r>
    </w:p>
    <w:p w14:paraId="7240AD1C" w14:textId="77777777" w:rsidR="0030712F" w:rsidRDefault="0030712F" w:rsidP="00C42154">
      <w:pPr>
        <w:pStyle w:val="Bodycopy"/>
      </w:pPr>
    </w:p>
    <w:p w14:paraId="6C6FCF3F" w14:textId="7F7F7EE7" w:rsidR="00C42154" w:rsidRDefault="0030712F" w:rsidP="00C42154">
      <w:pPr>
        <w:pStyle w:val="Bodycopy"/>
      </w:pPr>
      <w:r w:rsidRPr="000527BA">
        <w:t xml:space="preserve">The </w:t>
      </w:r>
      <w:r>
        <w:t>June</w:t>
      </w:r>
      <w:r w:rsidRPr="000527BA">
        <w:t xml:space="preserve"> 2026 RLMI results show that regional and remote areas </w:t>
      </w:r>
      <w:r>
        <w:t>are more</w:t>
      </w:r>
      <w:r w:rsidRPr="000527BA">
        <w:t xml:space="preserve"> likely than major cities to experience relatively weaker labour market conditions, while also reflecting a diverse range of outcomes across regional Australia (see Chart </w:t>
      </w:r>
      <w:r>
        <w:t>1</w:t>
      </w:r>
      <w:r w:rsidRPr="000527BA">
        <w:t xml:space="preserve">, </w:t>
      </w:r>
      <w:r>
        <w:t>above</w:t>
      </w:r>
      <w:r w:rsidRPr="000527BA">
        <w:t>).</w:t>
      </w:r>
    </w:p>
    <w:p w14:paraId="6F8C4D5A" w14:textId="77777777" w:rsidR="00C42154" w:rsidRPr="000527BA" w:rsidRDefault="00C42154" w:rsidP="00C42154">
      <w:pPr>
        <w:pStyle w:val="Bodycopy"/>
        <w:numPr>
          <w:ilvl w:val="0"/>
          <w:numId w:val="44"/>
        </w:numPr>
      </w:pPr>
      <w:r>
        <w:t>More than half (55%)</w:t>
      </w:r>
      <w:r w:rsidRPr="002C646E">
        <w:t xml:space="preserve"> of SA4s located in major city areas were rated either ‘strong’ or ‘above average’ in </w:t>
      </w:r>
      <w:r>
        <w:t>June</w:t>
      </w:r>
      <w:r w:rsidRPr="002C646E">
        <w:t xml:space="preserve"> 2026. Strong labour market conditions are evident across most major city labour markets, particularly in Sydney, Brisbane</w:t>
      </w:r>
      <w:r>
        <w:t xml:space="preserve"> </w:t>
      </w:r>
      <w:r w:rsidRPr="002C646E">
        <w:t xml:space="preserve">and </w:t>
      </w:r>
      <w:r>
        <w:t>Adelaide</w:t>
      </w:r>
      <w:r w:rsidRPr="002C646E">
        <w:t>.</w:t>
      </w:r>
      <w:r w:rsidRPr="000527BA">
        <w:t xml:space="preserve"> </w:t>
      </w:r>
    </w:p>
    <w:p w14:paraId="74806DBA" w14:textId="77777777" w:rsidR="00C42154" w:rsidRDefault="00C42154" w:rsidP="00C42154">
      <w:pPr>
        <w:pStyle w:val="Bodycopy"/>
        <w:numPr>
          <w:ilvl w:val="0"/>
          <w:numId w:val="44"/>
        </w:numPr>
      </w:pPr>
      <w:r w:rsidRPr="002C646E">
        <w:t>Strong labour market conditions are also evident in a number of regional areas. This includes region</w:t>
      </w:r>
      <w:r>
        <w:t>al area</w:t>
      </w:r>
      <w:r w:rsidRPr="002C646E">
        <w:t>s surrounding Greater Brisbane, such as the Gold Coast and Sunshine Coast, as well as parts of south west Western Australia, the Surf Coast region of Victoria, and across parts of the Southern Murray–Darling Basin.</w:t>
      </w:r>
    </w:p>
    <w:p w14:paraId="7DFE7878" w14:textId="77777777" w:rsidR="00C42154" w:rsidRDefault="00C42154" w:rsidP="00C42154">
      <w:pPr>
        <w:pStyle w:val="Bodycopy"/>
        <w:numPr>
          <w:ilvl w:val="0"/>
          <w:numId w:val="44"/>
        </w:numPr>
      </w:pPr>
      <w:r>
        <w:lastRenderedPageBreak/>
        <w:t>With that said</w:t>
      </w:r>
      <w:r w:rsidRPr="002C646E">
        <w:t>, outcomes vary across regional labour markets, with 3</w:t>
      </w:r>
      <w:r>
        <w:t>5</w:t>
      </w:r>
      <w:r w:rsidRPr="002C646E">
        <w:t>% rated ‘below average’ or ‘poor’, including in parts of Northern Australia, regional and coastal New South Wales (such as the Mid North Coast and Coffs Harbour–Grafton), the Spencer Gulf region and surrounds of South Australia, and across Tasmania, including Hobart.</w:t>
      </w:r>
    </w:p>
    <w:p w14:paraId="26609632" w14:textId="364F5489" w:rsidR="00C42154" w:rsidRDefault="00C42154" w:rsidP="00C42154">
      <w:pPr>
        <w:pStyle w:val="Bodycopy"/>
        <w:numPr>
          <w:ilvl w:val="0"/>
          <w:numId w:val="44"/>
        </w:numPr>
      </w:pPr>
      <w:r w:rsidRPr="002C646E">
        <w:t xml:space="preserve">All </w:t>
      </w:r>
      <w:r>
        <w:t>6</w:t>
      </w:r>
      <w:r w:rsidRPr="002C646E">
        <w:t xml:space="preserve"> remote SA4s (100%) were rated ‘poor’ in </w:t>
      </w:r>
      <w:r>
        <w:t>June</w:t>
      </w:r>
      <w:r w:rsidRPr="002C646E">
        <w:t xml:space="preserve"> 2026, highlighting </w:t>
      </w:r>
      <w:r>
        <w:t>the particularly challenging labour market conditions</w:t>
      </w:r>
      <w:r w:rsidRPr="002C646E">
        <w:t xml:space="preserve"> in </w:t>
      </w:r>
      <w:r>
        <w:t xml:space="preserve">the </w:t>
      </w:r>
      <w:r w:rsidRPr="002C646E">
        <w:t xml:space="preserve">remote areas of Australia. </w:t>
      </w:r>
    </w:p>
    <w:p w14:paraId="04FFD49B" w14:textId="14DE5296" w:rsidR="00C42154" w:rsidRPr="00B277DD" w:rsidRDefault="00C42154" w:rsidP="00C42154">
      <w:pPr>
        <w:pStyle w:val="Caption"/>
        <w:rPr>
          <w:sz w:val="20"/>
          <w:szCs w:val="20"/>
        </w:rPr>
      </w:pPr>
      <w:r w:rsidRPr="008B4A61">
        <w:rPr>
          <w:sz w:val="20"/>
          <w:szCs w:val="20"/>
        </w:rPr>
        <w:t xml:space="preserve">Chart </w:t>
      </w:r>
      <w:r>
        <w:rPr>
          <w:sz w:val="20"/>
          <w:szCs w:val="20"/>
        </w:rPr>
        <w:t>2</w:t>
      </w:r>
      <w:r w:rsidRPr="008B4A61">
        <w:rPr>
          <w:sz w:val="20"/>
          <w:szCs w:val="20"/>
        </w:rPr>
        <w:t xml:space="preserve">: RLMI ratings of relative labour market performance, </w:t>
      </w:r>
      <w:r>
        <w:rPr>
          <w:sz w:val="20"/>
          <w:szCs w:val="20"/>
        </w:rPr>
        <w:t xml:space="preserve">June </w:t>
      </w:r>
      <w:r w:rsidRPr="008B4A61">
        <w:rPr>
          <w:sz w:val="20"/>
          <w:szCs w:val="20"/>
        </w:rPr>
        <w:t>2026</w:t>
      </w:r>
    </w:p>
    <w:p w14:paraId="658BF0F5" w14:textId="13E06628" w:rsidR="00C42154" w:rsidRDefault="00513762" w:rsidP="00C42154">
      <w:pPr>
        <w:jc w:val="center"/>
      </w:pPr>
      <w:r w:rsidRPr="00513762">
        <w:rPr>
          <w:noProof/>
        </w:rPr>
        <w:drawing>
          <wp:inline distT="0" distB="0" distL="0" distR="0" wp14:anchorId="22BBBF43" wp14:editId="158B91CB">
            <wp:extent cx="5732145" cy="5568315"/>
            <wp:effectExtent l="0" t="0" r="1905" b="0"/>
            <wp:docPr id="1867240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40530" name=""/>
                    <pic:cNvPicPr/>
                  </pic:nvPicPr>
                  <pic:blipFill>
                    <a:blip r:embed="rId22"/>
                    <a:stretch>
                      <a:fillRect/>
                    </a:stretch>
                  </pic:blipFill>
                  <pic:spPr>
                    <a:xfrm>
                      <a:off x="0" y="0"/>
                      <a:ext cx="5732145" cy="5568315"/>
                    </a:xfrm>
                    <a:prstGeom prst="rect">
                      <a:avLst/>
                    </a:prstGeom>
                  </pic:spPr>
                </pic:pic>
              </a:graphicData>
            </a:graphic>
          </wp:inline>
        </w:drawing>
      </w:r>
    </w:p>
    <w:p w14:paraId="44A7DF1D" w14:textId="01E2BF78" w:rsidR="009E73AD" w:rsidRDefault="00C42154" w:rsidP="00C42154">
      <w:pPr>
        <w:pStyle w:val="Source"/>
        <w:spacing w:before="0" w:after="0"/>
      </w:pPr>
      <w:r>
        <w:t xml:space="preserve">Source: JSA, </w:t>
      </w:r>
      <w:r w:rsidRPr="007D069F">
        <w:rPr>
          <w:i/>
          <w:iCs/>
        </w:rPr>
        <w:t>Regional Labour Market Indicator (RLMI)</w:t>
      </w:r>
      <w:r>
        <w:t>, June 2026</w:t>
      </w:r>
    </w:p>
    <w:p w14:paraId="72D81E48" w14:textId="77777777" w:rsidR="009E73AD" w:rsidRDefault="009E73AD">
      <w:pPr>
        <w:spacing w:before="0" w:after="200" w:line="276" w:lineRule="auto"/>
        <w:rPr>
          <w:rFonts w:eastAsia="Times New Roman" w:cs="Times New Roman"/>
          <w:bCs/>
          <w:sz w:val="17"/>
          <w:szCs w:val="24"/>
          <w:lang w:eastAsia="en-GB"/>
        </w:rPr>
      </w:pPr>
      <w:r>
        <w:br w:type="page"/>
      </w:r>
    </w:p>
    <w:p w14:paraId="57E54DA1" w14:textId="03F616C9" w:rsidR="002A76C4" w:rsidRDefault="002A76C4" w:rsidP="004A5416">
      <w:pPr>
        <w:pStyle w:val="Heading1"/>
      </w:pPr>
      <w:bookmarkStart w:id="2" w:name="_Toc238204699"/>
      <w:r w:rsidRPr="002A76C4">
        <w:lastRenderedPageBreak/>
        <w:t>The major city-regional gap has narrowed</w:t>
      </w:r>
      <w:bookmarkEnd w:id="2"/>
    </w:p>
    <w:p w14:paraId="4ACE852F" w14:textId="11110410" w:rsidR="001E452A" w:rsidRPr="001E452A" w:rsidRDefault="001E452A" w:rsidP="004A5416">
      <w:pPr>
        <w:pStyle w:val="BodyText"/>
      </w:pPr>
      <w:r w:rsidRPr="001E452A">
        <w:t xml:space="preserve">While major city labour markets continue to perform somewhat better on average than regional labour markets, the gap has narrowed </w:t>
      </w:r>
      <w:r w:rsidR="00C5596E">
        <w:t>in recent years</w:t>
      </w:r>
      <w:r w:rsidRPr="001E452A">
        <w:t>. This reflects a relative improvement in a number of regional labour markets, alongside some softening in labour market conditions across parts of the major cities.</w:t>
      </w:r>
    </w:p>
    <w:p w14:paraId="6FD83529" w14:textId="1AE84326" w:rsidR="001E452A" w:rsidRPr="001E452A" w:rsidRDefault="001E452A" w:rsidP="004A5416">
      <w:pPr>
        <w:pStyle w:val="BodyText"/>
      </w:pPr>
      <w:r w:rsidRPr="001E452A">
        <w:t xml:space="preserve">Chart 3 presents the change in RLMI ratings over the past </w:t>
      </w:r>
      <w:r w:rsidR="00C5596E">
        <w:t xml:space="preserve">3 </w:t>
      </w:r>
      <w:r w:rsidRPr="001E452A">
        <w:t>year</w:t>
      </w:r>
      <w:r w:rsidR="00C5596E">
        <w:t>s</w:t>
      </w:r>
      <w:r w:rsidRPr="001E452A">
        <w:t>. While most regions recorded no change in their relative labour market rating, the results indicate a narrowing in the difference between major city and regional labour market performance.</w:t>
      </w:r>
    </w:p>
    <w:p w14:paraId="5D8C0BB4" w14:textId="29F88F2F" w:rsidR="002A76C4" w:rsidRPr="002A76C4" w:rsidRDefault="002A76C4" w:rsidP="004A5416">
      <w:pPr>
        <w:pStyle w:val="Caption"/>
        <w:keepNext/>
      </w:pPr>
      <w:r w:rsidRPr="002A76C4">
        <w:t xml:space="preserve">Chart 3: </w:t>
      </w:r>
      <w:r w:rsidR="00B95A8C">
        <w:t>3</w:t>
      </w:r>
      <w:r w:rsidRPr="002A76C4">
        <w:t>-year change in RLMI ratings of relative labour market performance, June 2026</w:t>
      </w:r>
    </w:p>
    <w:p w14:paraId="60A9ED21" w14:textId="170154CB" w:rsidR="002A76C4" w:rsidRPr="002A76C4" w:rsidRDefault="00B95A8C" w:rsidP="004A5416">
      <w:pPr>
        <w:keepNext/>
      </w:pPr>
      <w:r w:rsidRPr="00B95A8C">
        <w:rPr>
          <w:noProof/>
        </w:rPr>
        <w:drawing>
          <wp:inline distT="0" distB="0" distL="0" distR="0" wp14:anchorId="291EB7AE" wp14:editId="652EAB49">
            <wp:extent cx="5732145" cy="3226435"/>
            <wp:effectExtent l="0" t="0" r="1905" b="0"/>
            <wp:docPr id="1031972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72722" name=""/>
                    <pic:cNvPicPr/>
                  </pic:nvPicPr>
                  <pic:blipFill>
                    <a:blip r:embed="rId23"/>
                    <a:stretch>
                      <a:fillRect/>
                    </a:stretch>
                  </pic:blipFill>
                  <pic:spPr>
                    <a:xfrm>
                      <a:off x="0" y="0"/>
                      <a:ext cx="5732145" cy="3226435"/>
                    </a:xfrm>
                    <a:prstGeom prst="rect">
                      <a:avLst/>
                    </a:prstGeom>
                  </pic:spPr>
                </pic:pic>
              </a:graphicData>
            </a:graphic>
          </wp:inline>
        </w:drawing>
      </w:r>
    </w:p>
    <w:p w14:paraId="4123AAF2" w14:textId="08946B6C" w:rsidR="002A76C4" w:rsidRPr="002A76C4" w:rsidRDefault="002A76C4" w:rsidP="004A5416">
      <w:pPr>
        <w:pStyle w:val="Source"/>
        <w:keepNext/>
      </w:pPr>
      <w:r w:rsidRPr="002A76C4">
        <w:rPr>
          <w:noProof/>
        </w:rPr>
        <w:drawing>
          <wp:inline distT="0" distB="0" distL="0" distR="0" wp14:anchorId="1608FCE5" wp14:editId="71DAAABD">
            <wp:extent cx="5731510" cy="215265"/>
            <wp:effectExtent l="0" t="0" r="2540" b="0"/>
            <wp:docPr id="557387757" name="Picture 1" descr="A legend of the change in RLMI rating categories over the last year (Major Decline, Minor Decline, No Change, Minor Improvement, Major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87757" name="Picture 1" descr="A legend of the change in RLMI rating categories over the last year (Major Decline, Minor Decline, No Change, Minor Improvement, Major Improvement)."/>
                    <pic:cNvPicPr/>
                  </pic:nvPicPr>
                  <pic:blipFill>
                    <a:blip r:embed="rId24"/>
                    <a:stretch>
                      <a:fillRect/>
                    </a:stretch>
                  </pic:blipFill>
                  <pic:spPr>
                    <a:xfrm>
                      <a:off x="0" y="0"/>
                      <a:ext cx="5731510" cy="215265"/>
                    </a:xfrm>
                    <a:prstGeom prst="rect">
                      <a:avLst/>
                    </a:prstGeom>
                  </pic:spPr>
                </pic:pic>
              </a:graphicData>
            </a:graphic>
          </wp:inline>
        </w:drawing>
      </w:r>
    </w:p>
    <w:p w14:paraId="1061E78D" w14:textId="77777777" w:rsidR="002A76C4" w:rsidRPr="00C42154" w:rsidRDefault="002A76C4" w:rsidP="004A5416">
      <w:pPr>
        <w:pStyle w:val="Source"/>
        <w:keepNext/>
        <w:rPr>
          <w:rStyle w:val="Characteritalic"/>
          <w:i w:val="0"/>
        </w:rPr>
      </w:pPr>
      <w:r w:rsidRPr="00C42154">
        <w:rPr>
          <w:rStyle w:val="Characteritalic"/>
          <w:i w:val="0"/>
        </w:rPr>
        <w:t>Source: JSA, Regional Labour Market Indicator (RLMI), June 2026</w:t>
      </w:r>
    </w:p>
    <w:p w14:paraId="15706134" w14:textId="145F0583" w:rsidR="002A76C4" w:rsidRPr="001E452A" w:rsidRDefault="002A76C4" w:rsidP="004A5416">
      <w:pPr>
        <w:pStyle w:val="BodyText"/>
      </w:pPr>
      <w:r w:rsidRPr="001E452A">
        <w:t xml:space="preserve">Table 1 </w:t>
      </w:r>
      <w:r w:rsidR="0030754A" w:rsidRPr="001E452A">
        <w:t>below</w:t>
      </w:r>
      <w:r w:rsidRPr="001E452A">
        <w:t xml:space="preserve"> shows the change in the share of regions rated either </w:t>
      </w:r>
      <w:r w:rsidR="00B95A8C">
        <w:t>‘</w:t>
      </w:r>
      <w:r w:rsidR="001E452A">
        <w:t>s</w:t>
      </w:r>
      <w:r w:rsidRPr="001E452A">
        <w:t>trong</w:t>
      </w:r>
      <w:r w:rsidR="00B95A8C">
        <w:t>’</w:t>
      </w:r>
      <w:r w:rsidRPr="001E452A">
        <w:t xml:space="preserve"> or </w:t>
      </w:r>
      <w:r w:rsidR="00B95A8C">
        <w:t>‘</w:t>
      </w:r>
      <w:r w:rsidR="001E452A">
        <w:t>a</w:t>
      </w:r>
      <w:r w:rsidRPr="001E452A">
        <w:t>bove average</w:t>
      </w:r>
      <w:r w:rsidR="00B95A8C">
        <w:t>’</w:t>
      </w:r>
      <w:r w:rsidRPr="001E452A">
        <w:t xml:space="preserve"> and </w:t>
      </w:r>
      <w:r w:rsidR="00B95A8C">
        <w:t>‘</w:t>
      </w:r>
      <w:r w:rsidR="001E452A">
        <w:t>b</w:t>
      </w:r>
      <w:r w:rsidRPr="001E452A">
        <w:t>elow average</w:t>
      </w:r>
      <w:r w:rsidR="00B95A8C">
        <w:t>’</w:t>
      </w:r>
      <w:r w:rsidRPr="001E452A">
        <w:t xml:space="preserve"> or </w:t>
      </w:r>
      <w:r w:rsidR="00B95A8C">
        <w:t>‘</w:t>
      </w:r>
      <w:r w:rsidRPr="001E452A">
        <w:t>Poor</w:t>
      </w:r>
      <w:r w:rsidR="00B95A8C">
        <w:t>’</w:t>
      </w:r>
      <w:r w:rsidRPr="001E452A">
        <w:t xml:space="preserve"> between June 202</w:t>
      </w:r>
      <w:r w:rsidR="00C5596E">
        <w:t>3</w:t>
      </w:r>
      <w:r w:rsidRPr="001E452A">
        <w:t xml:space="preserve"> and June 2026 by remoteness category. </w:t>
      </w:r>
    </w:p>
    <w:p w14:paraId="134DD00D" w14:textId="420CF804" w:rsidR="002A76C4" w:rsidRPr="001E452A" w:rsidRDefault="002A76C4" w:rsidP="004A5416">
      <w:pPr>
        <w:pStyle w:val="BodyText"/>
        <w:numPr>
          <w:ilvl w:val="0"/>
          <w:numId w:val="43"/>
        </w:numPr>
      </w:pPr>
      <w:r w:rsidRPr="001E452A">
        <w:t xml:space="preserve">The results indicate that the share of regional labour markets rated </w:t>
      </w:r>
      <w:r w:rsidR="00B95A8C">
        <w:t>‘</w:t>
      </w:r>
      <w:r w:rsidR="001E452A">
        <w:t>s</w:t>
      </w:r>
      <w:r w:rsidRPr="001E452A">
        <w:t>trong</w:t>
      </w:r>
      <w:r w:rsidR="00B95A8C">
        <w:t>’</w:t>
      </w:r>
      <w:r w:rsidRPr="001E452A">
        <w:t xml:space="preserve"> or </w:t>
      </w:r>
      <w:r w:rsidR="00B95A8C">
        <w:t>‘</w:t>
      </w:r>
      <w:r w:rsidR="001E452A">
        <w:t>a</w:t>
      </w:r>
      <w:r w:rsidRPr="001E452A">
        <w:t>bove average</w:t>
      </w:r>
      <w:r w:rsidR="00B95A8C">
        <w:t>’</w:t>
      </w:r>
      <w:r w:rsidRPr="001E452A">
        <w:t xml:space="preserve"> increased by </w:t>
      </w:r>
      <w:r w:rsidR="00C5596E">
        <w:t>5</w:t>
      </w:r>
      <w:r w:rsidRPr="001E452A">
        <w:t xml:space="preserve"> percentage points over the </w:t>
      </w:r>
      <w:r w:rsidR="00C5596E">
        <w:t>last 3 years</w:t>
      </w:r>
      <w:r w:rsidRPr="001E452A">
        <w:t xml:space="preserve">, while the share rated </w:t>
      </w:r>
      <w:r w:rsidR="00B95A8C">
        <w:t>‘</w:t>
      </w:r>
      <w:r w:rsidR="001E452A">
        <w:t>b</w:t>
      </w:r>
      <w:r w:rsidRPr="001E452A">
        <w:t>elow average</w:t>
      </w:r>
      <w:r w:rsidR="00B95A8C">
        <w:t>’</w:t>
      </w:r>
      <w:r w:rsidRPr="001E452A">
        <w:t xml:space="preserve"> or </w:t>
      </w:r>
      <w:r w:rsidR="00B95A8C">
        <w:t>‘</w:t>
      </w:r>
      <w:r w:rsidR="00A22A7D">
        <w:t>p</w:t>
      </w:r>
      <w:r w:rsidRPr="001E452A">
        <w:t>oor</w:t>
      </w:r>
      <w:r w:rsidR="00B95A8C">
        <w:t>’</w:t>
      </w:r>
      <w:r w:rsidRPr="001E452A">
        <w:t xml:space="preserve"> fell by </w:t>
      </w:r>
      <w:r w:rsidR="00C5596E">
        <w:t>8</w:t>
      </w:r>
      <w:r w:rsidRPr="001E452A">
        <w:t xml:space="preserve"> percentage points. </w:t>
      </w:r>
    </w:p>
    <w:p w14:paraId="2B333321" w14:textId="061D823D" w:rsidR="002A76C4" w:rsidRPr="001E452A" w:rsidRDefault="002A76C4" w:rsidP="004A5416">
      <w:pPr>
        <w:pStyle w:val="BodyText"/>
        <w:numPr>
          <w:ilvl w:val="0"/>
          <w:numId w:val="43"/>
        </w:numPr>
      </w:pPr>
      <w:r w:rsidRPr="001E452A">
        <w:t xml:space="preserve">Over the same period, the share of major city labour markets rated </w:t>
      </w:r>
      <w:r w:rsidR="00B95A8C">
        <w:t>‘</w:t>
      </w:r>
      <w:r w:rsidR="001E452A">
        <w:t>s</w:t>
      </w:r>
      <w:r w:rsidRPr="001E452A">
        <w:t>trong</w:t>
      </w:r>
      <w:r w:rsidR="00B95A8C">
        <w:t>’</w:t>
      </w:r>
      <w:r w:rsidRPr="001E452A">
        <w:t xml:space="preserve"> or </w:t>
      </w:r>
      <w:r w:rsidR="00B95A8C">
        <w:t>‘</w:t>
      </w:r>
      <w:r w:rsidR="001E452A">
        <w:t>a</w:t>
      </w:r>
      <w:r w:rsidRPr="001E452A">
        <w:t>bove average</w:t>
      </w:r>
      <w:r w:rsidR="00B95A8C">
        <w:t>’</w:t>
      </w:r>
      <w:r w:rsidRPr="001E452A">
        <w:t xml:space="preserve"> declined by </w:t>
      </w:r>
      <w:r w:rsidR="00C5596E">
        <w:t>5</w:t>
      </w:r>
      <w:r w:rsidRPr="001E452A">
        <w:t xml:space="preserve"> percentage points, while the share rated </w:t>
      </w:r>
      <w:r w:rsidR="00B95A8C">
        <w:t>‘</w:t>
      </w:r>
      <w:r w:rsidRPr="001E452A">
        <w:t>Below average</w:t>
      </w:r>
      <w:r w:rsidR="00B95A8C">
        <w:t>’</w:t>
      </w:r>
      <w:r w:rsidRPr="001E452A">
        <w:t xml:space="preserve"> or </w:t>
      </w:r>
      <w:r w:rsidR="00B95A8C">
        <w:t>‘</w:t>
      </w:r>
      <w:r w:rsidR="001E452A">
        <w:t>p</w:t>
      </w:r>
      <w:r w:rsidRPr="001E452A">
        <w:t>oor</w:t>
      </w:r>
      <w:r w:rsidR="00B95A8C">
        <w:t>’</w:t>
      </w:r>
      <w:r w:rsidRPr="001E452A">
        <w:t xml:space="preserve"> increased </w:t>
      </w:r>
      <w:r w:rsidR="00C5596E">
        <w:t>by 7 percentage points</w:t>
      </w:r>
      <w:r w:rsidRPr="001E452A">
        <w:t>.</w:t>
      </w:r>
    </w:p>
    <w:p w14:paraId="4256CA48" w14:textId="066B6446" w:rsidR="0030754A" w:rsidRPr="002A76C4" w:rsidRDefault="0030754A" w:rsidP="004A5416">
      <w:pPr>
        <w:pStyle w:val="BodyText"/>
        <w:numPr>
          <w:ilvl w:val="0"/>
          <w:numId w:val="43"/>
        </w:numPr>
      </w:pPr>
      <w:r w:rsidRPr="001E452A">
        <w:t>Labour market ratings in Remote Australia remain unchanged, with all remote regions continuing to be rated ‘</w:t>
      </w:r>
      <w:r w:rsidR="00A22A7D">
        <w:t>p</w:t>
      </w:r>
      <w:r w:rsidRPr="001E452A">
        <w:t>oor’.</w:t>
      </w:r>
    </w:p>
    <w:p w14:paraId="5AC37558" w14:textId="0C742058" w:rsidR="002A76C4" w:rsidRPr="002A76C4" w:rsidRDefault="002A76C4" w:rsidP="004A5416">
      <w:pPr>
        <w:pStyle w:val="Caption"/>
        <w:keepNext/>
      </w:pPr>
      <w:r w:rsidRPr="002A76C4">
        <w:lastRenderedPageBreak/>
        <w:t xml:space="preserve">Table 1: Change in the share (%) of regions by rating category over the </w:t>
      </w:r>
      <w:r w:rsidR="00B95A8C">
        <w:t>3-years</w:t>
      </w:r>
      <w:r w:rsidRPr="002A76C4">
        <w:t xml:space="preserve"> to June 2026 </w:t>
      </w:r>
    </w:p>
    <w:tbl>
      <w:tblPr>
        <w:tblW w:w="5000" w:type="pct"/>
        <w:tblLook w:val="04A0" w:firstRow="1" w:lastRow="0" w:firstColumn="1" w:lastColumn="0" w:noHBand="0" w:noVBand="1"/>
      </w:tblPr>
      <w:tblGrid>
        <w:gridCol w:w="4030"/>
        <w:gridCol w:w="1888"/>
        <w:gridCol w:w="1564"/>
        <w:gridCol w:w="1535"/>
      </w:tblGrid>
      <w:tr w:rsidR="00B95A8C" w:rsidRPr="00B95A8C" w14:paraId="169F1EF4" w14:textId="77777777" w:rsidTr="00B95A8C">
        <w:trPr>
          <w:trHeight w:val="300"/>
        </w:trPr>
        <w:tc>
          <w:tcPr>
            <w:tcW w:w="2235" w:type="pct"/>
            <w:tcBorders>
              <w:top w:val="single" w:sz="4" w:space="0" w:color="auto"/>
              <w:left w:val="single" w:sz="4" w:space="0" w:color="auto"/>
              <w:bottom w:val="single" w:sz="4" w:space="0" w:color="auto"/>
              <w:right w:val="nil"/>
            </w:tcBorders>
            <w:shd w:val="clear" w:color="000000" w:fill="4B0885"/>
            <w:noWrap/>
            <w:vAlign w:val="bottom"/>
            <w:hideMark/>
          </w:tcPr>
          <w:p w14:paraId="41036AFE" w14:textId="77777777" w:rsidR="00B95A8C" w:rsidRPr="00B95A8C" w:rsidRDefault="00B95A8C" w:rsidP="004A5416">
            <w:pPr>
              <w:spacing w:before="0" w:after="0"/>
              <w:rPr>
                <w:rFonts w:ascii="Aptos Narrow" w:eastAsia="Times New Roman" w:hAnsi="Aptos Narrow" w:cs="Times New Roman"/>
                <w:color w:val="FFFFFF"/>
                <w:szCs w:val="22"/>
                <w:lang w:eastAsia="en-AU"/>
              </w:rPr>
            </w:pPr>
            <w:r w:rsidRPr="00B95A8C">
              <w:rPr>
                <w:rFonts w:ascii="Aptos Narrow" w:eastAsia="Times New Roman" w:hAnsi="Aptos Narrow" w:cs="Times New Roman"/>
                <w:color w:val="FFFFFF"/>
                <w:szCs w:val="22"/>
                <w:lang w:eastAsia="en-AU"/>
              </w:rPr>
              <w:t> </w:t>
            </w:r>
          </w:p>
        </w:tc>
        <w:tc>
          <w:tcPr>
            <w:tcW w:w="1047" w:type="pct"/>
            <w:tcBorders>
              <w:top w:val="single" w:sz="4" w:space="0" w:color="auto"/>
              <w:left w:val="single" w:sz="4" w:space="0" w:color="auto"/>
              <w:bottom w:val="single" w:sz="4" w:space="0" w:color="auto"/>
              <w:right w:val="single" w:sz="4" w:space="0" w:color="auto"/>
            </w:tcBorders>
            <w:shd w:val="clear" w:color="000000" w:fill="4B0885"/>
            <w:noWrap/>
            <w:vAlign w:val="bottom"/>
            <w:hideMark/>
          </w:tcPr>
          <w:p w14:paraId="3B2C6BAA" w14:textId="77777777" w:rsidR="00B95A8C" w:rsidRPr="00B95A8C" w:rsidRDefault="00B95A8C" w:rsidP="004A5416">
            <w:pPr>
              <w:spacing w:before="0" w:after="0"/>
              <w:jc w:val="center"/>
              <w:rPr>
                <w:rFonts w:ascii="Aptos Narrow" w:eastAsia="Times New Roman" w:hAnsi="Aptos Narrow" w:cs="Times New Roman"/>
                <w:color w:val="FFFFFF"/>
                <w:szCs w:val="22"/>
                <w:lang w:eastAsia="en-AU"/>
              </w:rPr>
            </w:pPr>
            <w:r w:rsidRPr="00B95A8C">
              <w:rPr>
                <w:rFonts w:ascii="Aptos Narrow" w:eastAsia="Times New Roman" w:hAnsi="Aptos Narrow" w:cs="Times New Roman"/>
                <w:color w:val="FFFFFF"/>
                <w:szCs w:val="22"/>
                <w:lang w:eastAsia="en-AU"/>
              </w:rPr>
              <w:t>Major City</w:t>
            </w:r>
          </w:p>
        </w:tc>
        <w:tc>
          <w:tcPr>
            <w:tcW w:w="867" w:type="pct"/>
            <w:tcBorders>
              <w:top w:val="single" w:sz="4" w:space="0" w:color="auto"/>
              <w:left w:val="nil"/>
              <w:bottom w:val="single" w:sz="4" w:space="0" w:color="auto"/>
              <w:right w:val="single" w:sz="4" w:space="0" w:color="auto"/>
            </w:tcBorders>
            <w:shd w:val="clear" w:color="000000" w:fill="4B0885"/>
            <w:noWrap/>
            <w:vAlign w:val="bottom"/>
            <w:hideMark/>
          </w:tcPr>
          <w:p w14:paraId="322B26FC" w14:textId="77777777" w:rsidR="00B95A8C" w:rsidRPr="00B95A8C" w:rsidRDefault="00B95A8C" w:rsidP="004A5416">
            <w:pPr>
              <w:spacing w:before="0" w:after="0"/>
              <w:jc w:val="center"/>
              <w:rPr>
                <w:rFonts w:ascii="Aptos Narrow" w:eastAsia="Times New Roman" w:hAnsi="Aptos Narrow" w:cs="Times New Roman"/>
                <w:color w:val="FFFFFF"/>
                <w:szCs w:val="22"/>
                <w:lang w:eastAsia="en-AU"/>
              </w:rPr>
            </w:pPr>
            <w:r w:rsidRPr="00B95A8C">
              <w:rPr>
                <w:rFonts w:ascii="Aptos Narrow" w:eastAsia="Times New Roman" w:hAnsi="Aptos Narrow" w:cs="Times New Roman"/>
                <w:color w:val="FFFFFF"/>
                <w:szCs w:val="22"/>
                <w:lang w:eastAsia="en-AU"/>
              </w:rPr>
              <w:t>Regional</w:t>
            </w:r>
          </w:p>
        </w:tc>
        <w:tc>
          <w:tcPr>
            <w:tcW w:w="852" w:type="pct"/>
            <w:tcBorders>
              <w:top w:val="single" w:sz="4" w:space="0" w:color="auto"/>
              <w:left w:val="nil"/>
              <w:bottom w:val="single" w:sz="4" w:space="0" w:color="auto"/>
              <w:right w:val="single" w:sz="4" w:space="0" w:color="auto"/>
            </w:tcBorders>
            <w:shd w:val="clear" w:color="000000" w:fill="4B0885"/>
            <w:noWrap/>
            <w:vAlign w:val="bottom"/>
            <w:hideMark/>
          </w:tcPr>
          <w:p w14:paraId="3C835D4D" w14:textId="77777777" w:rsidR="00B95A8C" w:rsidRPr="00B95A8C" w:rsidRDefault="00B95A8C" w:rsidP="004A5416">
            <w:pPr>
              <w:spacing w:before="0" w:after="0"/>
              <w:jc w:val="center"/>
              <w:rPr>
                <w:rFonts w:ascii="Aptos Narrow" w:eastAsia="Times New Roman" w:hAnsi="Aptos Narrow" w:cs="Times New Roman"/>
                <w:color w:val="FFFFFF"/>
                <w:szCs w:val="22"/>
                <w:lang w:eastAsia="en-AU"/>
              </w:rPr>
            </w:pPr>
            <w:r w:rsidRPr="00B95A8C">
              <w:rPr>
                <w:rFonts w:ascii="Aptos Narrow" w:eastAsia="Times New Roman" w:hAnsi="Aptos Narrow" w:cs="Times New Roman"/>
                <w:color w:val="FFFFFF"/>
                <w:szCs w:val="22"/>
                <w:lang w:eastAsia="en-AU"/>
              </w:rPr>
              <w:t>Remote</w:t>
            </w:r>
          </w:p>
        </w:tc>
      </w:tr>
      <w:tr w:rsidR="00B95A8C" w:rsidRPr="00B95A8C" w14:paraId="271DB7D3" w14:textId="77777777" w:rsidTr="00B95A8C">
        <w:trPr>
          <w:trHeight w:val="300"/>
        </w:trPr>
        <w:tc>
          <w:tcPr>
            <w:tcW w:w="2235" w:type="pct"/>
            <w:tcBorders>
              <w:top w:val="nil"/>
              <w:left w:val="single" w:sz="4" w:space="0" w:color="auto"/>
              <w:bottom w:val="nil"/>
              <w:right w:val="nil"/>
            </w:tcBorders>
            <w:shd w:val="clear" w:color="000000" w:fill="FFFFFF"/>
            <w:noWrap/>
            <w:vAlign w:val="bottom"/>
            <w:hideMark/>
          </w:tcPr>
          <w:p w14:paraId="71733128" w14:textId="77777777" w:rsidR="00B95A8C" w:rsidRPr="00B95A8C" w:rsidRDefault="00B95A8C" w:rsidP="004A5416">
            <w:pPr>
              <w:spacing w:before="0" w:after="0"/>
              <w:rPr>
                <w:rFonts w:ascii="Aptos Narrow" w:eastAsia="Times New Roman" w:hAnsi="Aptos Narrow" w:cs="Times New Roman"/>
                <w:color w:val="000000"/>
                <w:szCs w:val="22"/>
                <w:lang w:eastAsia="en-AU"/>
              </w:rPr>
            </w:pPr>
            <w:r w:rsidRPr="00B95A8C">
              <w:rPr>
                <w:rFonts w:ascii="Aptos Narrow" w:eastAsia="Times New Roman" w:hAnsi="Aptos Narrow" w:cs="Times New Roman"/>
                <w:color w:val="000000"/>
                <w:szCs w:val="22"/>
                <w:lang w:eastAsia="en-AU"/>
              </w:rPr>
              <w:t>'Strong' or 'Above average'</w:t>
            </w:r>
          </w:p>
        </w:tc>
        <w:tc>
          <w:tcPr>
            <w:tcW w:w="1047" w:type="pct"/>
            <w:tcBorders>
              <w:top w:val="nil"/>
              <w:left w:val="single" w:sz="4" w:space="0" w:color="auto"/>
              <w:bottom w:val="nil"/>
              <w:right w:val="single" w:sz="4" w:space="0" w:color="auto"/>
            </w:tcBorders>
            <w:shd w:val="clear" w:color="000000" w:fill="E9B487"/>
            <w:noWrap/>
            <w:vAlign w:val="bottom"/>
            <w:hideMark/>
          </w:tcPr>
          <w:p w14:paraId="6B31C669" w14:textId="77777777" w:rsidR="00B95A8C" w:rsidRPr="00B95A8C" w:rsidRDefault="00B95A8C" w:rsidP="004A5416">
            <w:pPr>
              <w:spacing w:before="0" w:after="0"/>
              <w:jc w:val="center"/>
              <w:rPr>
                <w:rFonts w:ascii="Aptos Narrow" w:eastAsia="Times New Roman" w:hAnsi="Aptos Narrow" w:cs="Times New Roman"/>
                <w:color w:val="000000"/>
                <w:szCs w:val="22"/>
                <w:lang w:eastAsia="en-AU"/>
              </w:rPr>
            </w:pPr>
            <w:r w:rsidRPr="00B95A8C">
              <w:rPr>
                <w:rFonts w:ascii="Aptos Narrow" w:eastAsia="Times New Roman" w:hAnsi="Aptos Narrow" w:cs="Times New Roman"/>
                <w:color w:val="000000"/>
                <w:szCs w:val="22"/>
                <w:lang w:eastAsia="en-AU"/>
              </w:rPr>
              <w:t>-5% pts</w:t>
            </w:r>
          </w:p>
        </w:tc>
        <w:tc>
          <w:tcPr>
            <w:tcW w:w="867" w:type="pct"/>
            <w:tcBorders>
              <w:top w:val="nil"/>
              <w:left w:val="nil"/>
              <w:bottom w:val="nil"/>
              <w:right w:val="single" w:sz="4" w:space="0" w:color="auto"/>
            </w:tcBorders>
            <w:shd w:val="clear" w:color="000000" w:fill="A3D1AA"/>
            <w:noWrap/>
            <w:vAlign w:val="bottom"/>
            <w:hideMark/>
          </w:tcPr>
          <w:p w14:paraId="6F95A626" w14:textId="77777777" w:rsidR="00B95A8C" w:rsidRPr="00B95A8C" w:rsidRDefault="00B95A8C" w:rsidP="004A5416">
            <w:pPr>
              <w:spacing w:before="0" w:after="0"/>
              <w:jc w:val="center"/>
              <w:rPr>
                <w:rFonts w:ascii="Aptos Narrow" w:eastAsia="Times New Roman" w:hAnsi="Aptos Narrow" w:cs="Times New Roman"/>
                <w:color w:val="000000"/>
                <w:szCs w:val="22"/>
                <w:lang w:eastAsia="en-AU"/>
              </w:rPr>
            </w:pPr>
            <w:r w:rsidRPr="00B95A8C">
              <w:rPr>
                <w:rFonts w:ascii="Aptos Narrow" w:eastAsia="Times New Roman" w:hAnsi="Aptos Narrow" w:cs="Times New Roman"/>
                <w:color w:val="000000"/>
                <w:szCs w:val="22"/>
                <w:lang w:eastAsia="en-AU"/>
              </w:rPr>
              <w:t>+5% pts</w:t>
            </w:r>
          </w:p>
        </w:tc>
        <w:tc>
          <w:tcPr>
            <w:tcW w:w="852" w:type="pct"/>
            <w:tcBorders>
              <w:top w:val="nil"/>
              <w:left w:val="nil"/>
              <w:bottom w:val="nil"/>
              <w:right w:val="single" w:sz="4" w:space="0" w:color="auto"/>
            </w:tcBorders>
            <w:shd w:val="clear" w:color="000000" w:fill="FFFFFF"/>
            <w:noWrap/>
            <w:vAlign w:val="bottom"/>
            <w:hideMark/>
          </w:tcPr>
          <w:p w14:paraId="5B13F152" w14:textId="77777777" w:rsidR="00B95A8C" w:rsidRPr="00B95A8C" w:rsidRDefault="00B95A8C" w:rsidP="004A5416">
            <w:pPr>
              <w:spacing w:before="0" w:after="0"/>
              <w:jc w:val="center"/>
              <w:rPr>
                <w:rFonts w:ascii="Aptos Narrow" w:eastAsia="Times New Roman" w:hAnsi="Aptos Narrow" w:cs="Times New Roman"/>
                <w:color w:val="000000"/>
                <w:szCs w:val="22"/>
                <w:lang w:eastAsia="en-AU"/>
              </w:rPr>
            </w:pPr>
            <w:r w:rsidRPr="00B95A8C">
              <w:rPr>
                <w:rFonts w:ascii="Aptos Narrow" w:eastAsia="Times New Roman" w:hAnsi="Aptos Narrow" w:cs="Times New Roman"/>
                <w:color w:val="000000"/>
                <w:szCs w:val="22"/>
                <w:lang w:eastAsia="en-AU"/>
              </w:rPr>
              <w:t>0% pts</w:t>
            </w:r>
          </w:p>
        </w:tc>
      </w:tr>
      <w:tr w:rsidR="00B95A8C" w:rsidRPr="00B95A8C" w14:paraId="7655CD12" w14:textId="77777777" w:rsidTr="00B95A8C">
        <w:trPr>
          <w:trHeight w:val="300"/>
        </w:trPr>
        <w:tc>
          <w:tcPr>
            <w:tcW w:w="2235" w:type="pct"/>
            <w:tcBorders>
              <w:top w:val="nil"/>
              <w:left w:val="single" w:sz="4" w:space="0" w:color="auto"/>
              <w:bottom w:val="single" w:sz="4" w:space="0" w:color="auto"/>
              <w:right w:val="nil"/>
            </w:tcBorders>
            <w:shd w:val="clear" w:color="000000" w:fill="FFFFFF"/>
            <w:noWrap/>
            <w:vAlign w:val="bottom"/>
            <w:hideMark/>
          </w:tcPr>
          <w:p w14:paraId="3A21D5BF" w14:textId="77777777" w:rsidR="00B95A8C" w:rsidRPr="00B95A8C" w:rsidRDefault="00B95A8C" w:rsidP="004A5416">
            <w:pPr>
              <w:spacing w:before="0" w:after="0"/>
              <w:rPr>
                <w:rFonts w:ascii="Aptos Narrow" w:eastAsia="Times New Roman" w:hAnsi="Aptos Narrow" w:cs="Times New Roman"/>
                <w:color w:val="000000"/>
                <w:szCs w:val="22"/>
                <w:lang w:eastAsia="en-AU"/>
              </w:rPr>
            </w:pPr>
            <w:r w:rsidRPr="00B95A8C">
              <w:rPr>
                <w:rFonts w:ascii="Aptos Narrow" w:eastAsia="Times New Roman" w:hAnsi="Aptos Narrow" w:cs="Times New Roman"/>
                <w:color w:val="000000"/>
                <w:szCs w:val="22"/>
                <w:lang w:eastAsia="en-AU"/>
              </w:rPr>
              <w:t>'Below average' or 'Poor'</w:t>
            </w:r>
          </w:p>
        </w:tc>
        <w:tc>
          <w:tcPr>
            <w:tcW w:w="1047" w:type="pct"/>
            <w:tcBorders>
              <w:top w:val="nil"/>
              <w:left w:val="single" w:sz="4" w:space="0" w:color="auto"/>
              <w:bottom w:val="single" w:sz="4" w:space="0" w:color="auto"/>
              <w:right w:val="single" w:sz="4" w:space="0" w:color="auto"/>
            </w:tcBorders>
            <w:shd w:val="clear" w:color="000000" w:fill="E9B487"/>
            <w:noWrap/>
            <w:vAlign w:val="bottom"/>
            <w:hideMark/>
          </w:tcPr>
          <w:p w14:paraId="3F11CDCA" w14:textId="77777777" w:rsidR="00B95A8C" w:rsidRPr="00B95A8C" w:rsidRDefault="00B95A8C" w:rsidP="004A5416">
            <w:pPr>
              <w:spacing w:before="0" w:after="0"/>
              <w:jc w:val="center"/>
              <w:rPr>
                <w:rFonts w:ascii="Aptos Narrow" w:eastAsia="Times New Roman" w:hAnsi="Aptos Narrow" w:cs="Times New Roman"/>
                <w:color w:val="000000"/>
                <w:szCs w:val="22"/>
                <w:lang w:eastAsia="en-AU"/>
              </w:rPr>
            </w:pPr>
            <w:r w:rsidRPr="00B95A8C">
              <w:rPr>
                <w:rFonts w:ascii="Aptos Narrow" w:eastAsia="Times New Roman" w:hAnsi="Aptos Narrow" w:cs="Times New Roman"/>
                <w:color w:val="000000"/>
                <w:szCs w:val="22"/>
                <w:lang w:eastAsia="en-AU"/>
              </w:rPr>
              <w:t>+7% pts</w:t>
            </w:r>
          </w:p>
        </w:tc>
        <w:tc>
          <w:tcPr>
            <w:tcW w:w="867" w:type="pct"/>
            <w:tcBorders>
              <w:top w:val="nil"/>
              <w:left w:val="nil"/>
              <w:bottom w:val="single" w:sz="4" w:space="0" w:color="auto"/>
              <w:right w:val="single" w:sz="4" w:space="0" w:color="auto"/>
            </w:tcBorders>
            <w:shd w:val="clear" w:color="000000" w:fill="A3D1AA"/>
            <w:noWrap/>
            <w:vAlign w:val="bottom"/>
            <w:hideMark/>
          </w:tcPr>
          <w:p w14:paraId="29108A36" w14:textId="77777777" w:rsidR="00B95A8C" w:rsidRPr="00B95A8C" w:rsidRDefault="00B95A8C" w:rsidP="004A5416">
            <w:pPr>
              <w:spacing w:before="0" w:after="0"/>
              <w:jc w:val="center"/>
              <w:rPr>
                <w:rFonts w:ascii="Aptos Narrow" w:eastAsia="Times New Roman" w:hAnsi="Aptos Narrow" w:cs="Times New Roman"/>
                <w:color w:val="000000"/>
                <w:szCs w:val="22"/>
                <w:lang w:eastAsia="en-AU"/>
              </w:rPr>
            </w:pPr>
            <w:r w:rsidRPr="00B95A8C">
              <w:rPr>
                <w:rFonts w:ascii="Aptos Narrow" w:eastAsia="Times New Roman" w:hAnsi="Aptos Narrow" w:cs="Times New Roman"/>
                <w:color w:val="000000"/>
                <w:szCs w:val="22"/>
                <w:lang w:eastAsia="en-AU"/>
              </w:rPr>
              <w:t>-8% pts</w:t>
            </w:r>
          </w:p>
        </w:tc>
        <w:tc>
          <w:tcPr>
            <w:tcW w:w="852" w:type="pct"/>
            <w:tcBorders>
              <w:top w:val="nil"/>
              <w:left w:val="nil"/>
              <w:bottom w:val="single" w:sz="4" w:space="0" w:color="auto"/>
              <w:right w:val="single" w:sz="4" w:space="0" w:color="auto"/>
            </w:tcBorders>
            <w:shd w:val="clear" w:color="000000" w:fill="FFFFFF"/>
            <w:noWrap/>
            <w:vAlign w:val="bottom"/>
            <w:hideMark/>
          </w:tcPr>
          <w:p w14:paraId="7A930C8F" w14:textId="77777777" w:rsidR="00B95A8C" w:rsidRPr="00B95A8C" w:rsidRDefault="00B95A8C" w:rsidP="004A5416">
            <w:pPr>
              <w:spacing w:before="0" w:after="0"/>
              <w:jc w:val="center"/>
              <w:rPr>
                <w:rFonts w:ascii="Aptos Narrow" w:eastAsia="Times New Roman" w:hAnsi="Aptos Narrow" w:cs="Times New Roman"/>
                <w:color w:val="000000"/>
                <w:szCs w:val="22"/>
                <w:lang w:eastAsia="en-AU"/>
              </w:rPr>
            </w:pPr>
            <w:r w:rsidRPr="00B95A8C">
              <w:rPr>
                <w:rFonts w:ascii="Aptos Narrow" w:eastAsia="Times New Roman" w:hAnsi="Aptos Narrow" w:cs="Times New Roman"/>
                <w:color w:val="000000"/>
                <w:szCs w:val="22"/>
                <w:lang w:eastAsia="en-AU"/>
              </w:rPr>
              <w:t>0% pts</w:t>
            </w:r>
          </w:p>
        </w:tc>
      </w:tr>
    </w:tbl>
    <w:p w14:paraId="67C5C4B3" w14:textId="7550968E" w:rsidR="0030754A" w:rsidRPr="00C42154" w:rsidRDefault="0030754A" w:rsidP="004A5416">
      <w:pPr>
        <w:pStyle w:val="Source"/>
        <w:rPr>
          <w:rStyle w:val="Characteritalic"/>
          <w:i w:val="0"/>
        </w:rPr>
      </w:pPr>
      <w:r w:rsidRPr="00C42154">
        <w:rPr>
          <w:rStyle w:val="Characteritalic"/>
          <w:i w:val="0"/>
        </w:rPr>
        <w:t>Source: JSA, Regional Labour Market Indicator (RLMI), June 2026</w:t>
      </w:r>
    </w:p>
    <w:p w14:paraId="407356C5" w14:textId="34C29099" w:rsidR="005C1160" w:rsidRDefault="005C1160" w:rsidP="004A5416">
      <w:pPr>
        <w:pStyle w:val="BodyText"/>
      </w:pPr>
      <w:r w:rsidRPr="005C1160">
        <w:t xml:space="preserve">The narrowing in the gap between major city and regional labour markets largely reflects changes in a relatively small number of labour markets rather than a broad-based shift in labour market conditions. </w:t>
      </w:r>
      <w:r w:rsidR="00223371" w:rsidRPr="00223371">
        <w:t>As illustrated by the working-age employment and unemployment rates shown in Charts 4 and 5, the overall relationship between major city and regional labour markets remains broadly unchanged</w:t>
      </w:r>
      <w:r w:rsidR="00223371">
        <w:t xml:space="preserve">. </w:t>
      </w:r>
    </w:p>
    <w:p w14:paraId="4CE122AC" w14:textId="28B02B7F" w:rsidR="005C1160" w:rsidRPr="005C1160" w:rsidRDefault="005C1160" w:rsidP="004A5416">
      <w:pPr>
        <w:pStyle w:val="BodyText"/>
      </w:pPr>
      <w:r>
        <w:t>Rather</w:t>
      </w:r>
      <w:r w:rsidRPr="005C1160">
        <w:t xml:space="preserve">, several metropolitan regions, </w:t>
      </w:r>
      <w:r>
        <w:t xml:space="preserve">including </w:t>
      </w:r>
      <w:r w:rsidRPr="005C1160">
        <w:t xml:space="preserve">across Melbourne, recorded weaker RLMI ratings </w:t>
      </w:r>
      <w:r w:rsidR="003C66E3">
        <w:t>in recent years</w:t>
      </w:r>
      <w:r w:rsidRPr="005C1160">
        <w:t>, while a number of regional labour markets strengthened, including parts of north-eastern New South Wales. Together, these movements contributed to a narrowing in the gap between major city and regional labour market performance.</w:t>
      </w:r>
    </w:p>
    <w:tbl>
      <w:tblPr>
        <w:tblStyle w:val="CustomTablebasic"/>
        <w:tblW w:w="9821" w:type="dxa"/>
        <w:tblBorders>
          <w:bottom w:val="none" w:sz="0" w:space="0" w:color="auto"/>
        </w:tblBorders>
        <w:tblLook w:val="04A0" w:firstRow="1" w:lastRow="0" w:firstColumn="1" w:lastColumn="0" w:noHBand="0" w:noVBand="1"/>
      </w:tblPr>
      <w:tblGrid>
        <w:gridCol w:w="4866"/>
        <w:gridCol w:w="5016"/>
      </w:tblGrid>
      <w:tr w:rsidR="008959B9" w14:paraId="79D9D09A" w14:textId="77777777" w:rsidTr="00173086">
        <w:trPr>
          <w:cnfStyle w:val="100000000000" w:firstRow="1" w:lastRow="0" w:firstColumn="0" w:lastColumn="0" w:oddVBand="0" w:evenVBand="0" w:oddHBand="0" w:evenHBand="0" w:firstRowFirstColumn="0" w:firstRowLastColumn="0" w:lastRowFirstColumn="0" w:lastRowLastColumn="0"/>
          <w:trHeight w:val="3790"/>
        </w:trPr>
        <w:tc>
          <w:tcPr>
            <w:tcW w:w="4836" w:type="dxa"/>
            <w:tcBorders>
              <w:bottom w:val="none" w:sz="0" w:space="0" w:color="auto"/>
            </w:tcBorders>
            <w:shd w:val="clear" w:color="auto" w:fill="auto"/>
          </w:tcPr>
          <w:p w14:paraId="31AEF7E3" w14:textId="1542CBCD" w:rsidR="008959B9" w:rsidRDefault="008959B9" w:rsidP="004A5416">
            <w:pPr>
              <w:pStyle w:val="Caption"/>
            </w:pPr>
            <w:r>
              <w:t xml:space="preserve">Chart </w:t>
            </w:r>
            <w:r w:rsidR="00C5596E">
              <w:t>4</w:t>
            </w:r>
            <w:r>
              <w:t>: Employment rate (15-64 years), June 2016 to 2026</w:t>
            </w:r>
          </w:p>
          <w:p w14:paraId="0B414107" w14:textId="7E425247" w:rsidR="008959B9" w:rsidRPr="008959B9" w:rsidRDefault="008959B9" w:rsidP="004A5416">
            <w:pPr>
              <w:pStyle w:val="BodyText"/>
            </w:pPr>
            <w:r>
              <w:rPr>
                <w:noProof/>
              </w:rPr>
              <w:drawing>
                <wp:inline distT="0" distB="0" distL="0" distR="0" wp14:anchorId="0EAC337C" wp14:editId="28BF63F8">
                  <wp:extent cx="2953160" cy="1771650"/>
                  <wp:effectExtent l="0" t="0" r="0" b="0"/>
                  <wp:docPr id="504719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87752" cy="1792402"/>
                          </a:xfrm>
                          <a:prstGeom prst="rect">
                            <a:avLst/>
                          </a:prstGeom>
                          <a:noFill/>
                        </pic:spPr>
                      </pic:pic>
                    </a:graphicData>
                  </a:graphic>
                </wp:inline>
              </w:drawing>
            </w:r>
          </w:p>
        </w:tc>
        <w:tc>
          <w:tcPr>
            <w:tcW w:w="4985" w:type="dxa"/>
            <w:tcBorders>
              <w:bottom w:val="none" w:sz="0" w:space="0" w:color="auto"/>
            </w:tcBorders>
            <w:shd w:val="clear" w:color="auto" w:fill="auto"/>
          </w:tcPr>
          <w:p w14:paraId="7F4E20BA" w14:textId="5240963F" w:rsidR="008959B9" w:rsidRDefault="008959B9" w:rsidP="004A5416">
            <w:pPr>
              <w:pStyle w:val="Caption"/>
            </w:pPr>
            <w:r>
              <w:t xml:space="preserve">Chart </w:t>
            </w:r>
            <w:r w:rsidR="00C5596E">
              <w:t>5</w:t>
            </w:r>
            <w:r>
              <w:t>: Unemployment rate, June 2016 to 2026</w:t>
            </w:r>
          </w:p>
          <w:p w14:paraId="61685034" w14:textId="2CA81BC4" w:rsidR="008959B9" w:rsidRPr="008959B9" w:rsidRDefault="008959B9" w:rsidP="004A5416">
            <w:pPr>
              <w:pStyle w:val="BodyText"/>
            </w:pPr>
            <w:r>
              <w:rPr>
                <w:noProof/>
              </w:rPr>
              <w:drawing>
                <wp:inline distT="0" distB="0" distL="0" distR="0" wp14:anchorId="0D4C4FE6" wp14:editId="48EC3523">
                  <wp:extent cx="3048422" cy="1828800"/>
                  <wp:effectExtent l="0" t="0" r="0" b="0"/>
                  <wp:docPr id="18690667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77912" cy="1846492"/>
                          </a:xfrm>
                          <a:prstGeom prst="rect">
                            <a:avLst/>
                          </a:prstGeom>
                          <a:noFill/>
                        </pic:spPr>
                      </pic:pic>
                    </a:graphicData>
                  </a:graphic>
                </wp:inline>
              </w:drawing>
            </w:r>
          </w:p>
        </w:tc>
      </w:tr>
    </w:tbl>
    <w:p w14:paraId="2011A90A" w14:textId="59A412D0" w:rsidR="008959B9" w:rsidRPr="00C42154" w:rsidRDefault="008959B9" w:rsidP="004A5416">
      <w:pPr>
        <w:pStyle w:val="Source"/>
        <w:keepNext/>
        <w:rPr>
          <w:rStyle w:val="Characteritalic"/>
          <w:i w:val="0"/>
        </w:rPr>
      </w:pPr>
      <w:r w:rsidRPr="00C42154">
        <w:rPr>
          <w:rStyle w:val="Characteritalic"/>
          <w:i w:val="0"/>
        </w:rPr>
        <w:t xml:space="preserve">Source: </w:t>
      </w:r>
      <w:r>
        <w:rPr>
          <w:rStyle w:val="Characteritalic"/>
          <w:i w:val="0"/>
        </w:rPr>
        <w:t>ABS</w:t>
      </w:r>
      <w:r w:rsidRPr="00C42154">
        <w:rPr>
          <w:rStyle w:val="Characteritalic"/>
          <w:i w:val="0"/>
        </w:rPr>
        <w:t xml:space="preserve">, </w:t>
      </w:r>
      <w:r w:rsidR="003D32D8">
        <w:rPr>
          <w:rStyle w:val="Characteritalic"/>
          <w:i w:val="0"/>
        </w:rPr>
        <w:t>Labour Force, June 2026, 3-month averages of original estimates</w:t>
      </w:r>
    </w:p>
    <w:p w14:paraId="617A8E9D" w14:textId="14B2DAEE" w:rsidR="001E452A" w:rsidRDefault="00737BFF" w:rsidP="004A5416">
      <w:pPr>
        <w:pStyle w:val="Heading2"/>
      </w:pPr>
      <w:bookmarkStart w:id="3" w:name="_Toc238204700"/>
      <w:r>
        <w:t xml:space="preserve">Softening labour market conditions in </w:t>
      </w:r>
      <w:r w:rsidR="00680744">
        <w:t>Greater Melbourne</w:t>
      </w:r>
      <w:bookmarkEnd w:id="3"/>
    </w:p>
    <w:tbl>
      <w:tblPr>
        <w:tblStyle w:val="CustomTablebasic"/>
        <w:tblW w:w="9821" w:type="dxa"/>
        <w:tblBorders>
          <w:bottom w:val="none" w:sz="0" w:space="0" w:color="auto"/>
        </w:tblBorders>
        <w:tblLook w:val="04A0" w:firstRow="1" w:lastRow="0" w:firstColumn="1" w:lastColumn="0" w:noHBand="0" w:noVBand="1"/>
      </w:tblPr>
      <w:tblGrid>
        <w:gridCol w:w="5245"/>
        <w:gridCol w:w="4576"/>
      </w:tblGrid>
      <w:tr w:rsidR="00C0782D" w14:paraId="4DF58E30" w14:textId="77777777" w:rsidTr="009E73AD">
        <w:trPr>
          <w:cnfStyle w:val="100000000000" w:firstRow="1" w:lastRow="0" w:firstColumn="0" w:lastColumn="0" w:oddVBand="0" w:evenVBand="0" w:oddHBand="0" w:evenHBand="0" w:firstRowFirstColumn="0" w:firstRowLastColumn="0" w:lastRowFirstColumn="0" w:lastRowLastColumn="0"/>
          <w:trHeight w:val="3790"/>
        </w:trPr>
        <w:tc>
          <w:tcPr>
            <w:tcW w:w="5245" w:type="dxa"/>
            <w:tcBorders>
              <w:bottom w:val="none" w:sz="0" w:space="0" w:color="auto"/>
            </w:tcBorders>
            <w:shd w:val="clear" w:color="auto" w:fill="auto"/>
          </w:tcPr>
          <w:p w14:paraId="2CD86C23" w14:textId="062C8A3E" w:rsidR="00930C3A" w:rsidRPr="00930C3A" w:rsidRDefault="00930C3A" w:rsidP="004A5416">
            <w:pPr>
              <w:pStyle w:val="BodyText"/>
            </w:pPr>
            <w:r w:rsidRPr="00930C3A">
              <w:t xml:space="preserve">Several </w:t>
            </w:r>
            <w:r>
              <w:t>regions</w:t>
            </w:r>
            <w:r w:rsidRPr="00930C3A">
              <w:t xml:space="preserve"> across Greater Melbourne recorded weaker RLMI ratings between June 2023 and June 2026. As shown in Chart 6, relative labour market performance weakened across much of Greater Melbourne over the </w:t>
            </w:r>
            <w:r>
              <w:t>3</w:t>
            </w:r>
            <w:r w:rsidRPr="00930C3A">
              <w:t>-year period.</w:t>
            </w:r>
          </w:p>
          <w:p w14:paraId="1094600F" w14:textId="54382A74" w:rsidR="009E1D8B" w:rsidRPr="008959B9" w:rsidRDefault="00FB6B71" w:rsidP="004A5416">
            <w:pPr>
              <w:pStyle w:val="BodyText"/>
            </w:pPr>
            <w:r w:rsidRPr="00FB6B71">
              <w:t xml:space="preserve">Contributing to </w:t>
            </w:r>
            <w:r>
              <w:t xml:space="preserve">softening labour market conditions in Greater Melbourne is </w:t>
            </w:r>
            <w:r w:rsidRPr="00FB6B71">
              <w:t xml:space="preserve">a decline in the working-age employment rate, an increase in unemployment, and a rise in the proportion of the working-age population receiving JobSeeker Income Support. Over the same period, job vacancy rates declined, indicating fewer employment opportunities were available. Together, these trends contributed to lower job matching efficiency, indicating greater difficulty </w:t>
            </w:r>
            <w:r w:rsidRPr="00FB6B71">
              <w:lastRenderedPageBreak/>
              <w:t>matching jobseekers to available employment opportunities, and weaker productivity growth.</w:t>
            </w:r>
          </w:p>
        </w:tc>
        <w:tc>
          <w:tcPr>
            <w:tcW w:w="4576" w:type="dxa"/>
            <w:tcBorders>
              <w:bottom w:val="none" w:sz="0" w:space="0" w:color="auto"/>
            </w:tcBorders>
            <w:shd w:val="clear" w:color="auto" w:fill="auto"/>
          </w:tcPr>
          <w:p w14:paraId="2735CEA8" w14:textId="7D26D793" w:rsidR="00C0782D" w:rsidRDefault="00C0782D" w:rsidP="004A5416">
            <w:pPr>
              <w:pStyle w:val="Caption"/>
            </w:pPr>
            <w:r>
              <w:lastRenderedPageBreak/>
              <w:t xml:space="preserve">Chart </w:t>
            </w:r>
            <w:r w:rsidR="00CE5773">
              <w:t>6</w:t>
            </w:r>
            <w:r>
              <w:t xml:space="preserve">: </w:t>
            </w:r>
            <w:r w:rsidR="00404CC5">
              <w:t>3</w:t>
            </w:r>
            <w:r w:rsidRPr="002A76C4">
              <w:t>-year change in RLMI ratings of relative labour market performance, June 2026</w:t>
            </w:r>
          </w:p>
          <w:p w14:paraId="5645C724" w14:textId="5F23D547" w:rsidR="00E67130" w:rsidRPr="008959B9" w:rsidRDefault="00404CC5" w:rsidP="004A5416">
            <w:pPr>
              <w:pStyle w:val="BodyText"/>
            </w:pPr>
            <w:r w:rsidRPr="00404CC5">
              <w:rPr>
                <w:noProof/>
              </w:rPr>
              <w:lastRenderedPageBreak/>
              <w:drawing>
                <wp:inline distT="0" distB="0" distL="0" distR="0" wp14:anchorId="7CB9F329" wp14:editId="17783621">
                  <wp:extent cx="2657475" cy="2922134"/>
                  <wp:effectExtent l="0" t="0" r="0" b="0"/>
                  <wp:docPr id="1779195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95036" name=""/>
                          <pic:cNvPicPr/>
                        </pic:nvPicPr>
                        <pic:blipFill>
                          <a:blip r:embed="rId27"/>
                          <a:stretch>
                            <a:fillRect/>
                          </a:stretch>
                        </pic:blipFill>
                        <pic:spPr>
                          <a:xfrm>
                            <a:off x="0" y="0"/>
                            <a:ext cx="2679234" cy="2946060"/>
                          </a:xfrm>
                          <a:prstGeom prst="rect">
                            <a:avLst/>
                          </a:prstGeom>
                        </pic:spPr>
                      </pic:pic>
                    </a:graphicData>
                  </a:graphic>
                </wp:inline>
              </w:drawing>
            </w:r>
          </w:p>
        </w:tc>
      </w:tr>
    </w:tbl>
    <w:p w14:paraId="0216C594" w14:textId="73BFB3F9" w:rsidR="00C414CD" w:rsidRDefault="00E67130" w:rsidP="004A5416">
      <w:pPr>
        <w:pStyle w:val="Caption"/>
      </w:pPr>
      <w:r w:rsidRPr="002A76C4">
        <w:rPr>
          <w:noProof/>
        </w:rPr>
        <w:lastRenderedPageBreak/>
        <w:drawing>
          <wp:inline distT="0" distB="0" distL="0" distR="0" wp14:anchorId="3537537E" wp14:editId="268AE1CA">
            <wp:extent cx="5731510" cy="215265"/>
            <wp:effectExtent l="0" t="0" r="2540" b="0"/>
            <wp:docPr id="303484869" name="Picture 1" descr="A legend of the change in RLMI rating categories over the last year (Major Decline, Minor Decline, No Change, Minor Improvement, Major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87757" name="Picture 1" descr="A legend of the change in RLMI rating categories over the last year (Major Decline, Minor Decline, No Change, Minor Improvement, Major Improvement)."/>
                    <pic:cNvPicPr/>
                  </pic:nvPicPr>
                  <pic:blipFill>
                    <a:blip r:embed="rId24"/>
                    <a:stretch>
                      <a:fillRect/>
                    </a:stretch>
                  </pic:blipFill>
                  <pic:spPr>
                    <a:xfrm>
                      <a:off x="0" y="0"/>
                      <a:ext cx="5731510" cy="215265"/>
                    </a:xfrm>
                    <a:prstGeom prst="rect">
                      <a:avLst/>
                    </a:prstGeom>
                  </pic:spPr>
                </pic:pic>
              </a:graphicData>
            </a:graphic>
          </wp:inline>
        </w:drawing>
      </w:r>
      <w:r w:rsidR="00C414CD">
        <w:t xml:space="preserve">Table </w:t>
      </w:r>
      <w:r w:rsidR="00CE5773">
        <w:t>2</w:t>
      </w:r>
      <w:r w:rsidR="00C414CD">
        <w:t xml:space="preserve">: Change in key factors used to assess labour market performance (RLMI) over the last </w:t>
      </w:r>
      <w:r w:rsidR="00F3575D">
        <w:t>year</w:t>
      </w:r>
    </w:p>
    <w:tbl>
      <w:tblPr>
        <w:tblW w:w="0" w:type="auto"/>
        <w:tblLook w:val="04A0" w:firstRow="1" w:lastRow="0" w:firstColumn="1" w:lastColumn="0" w:noHBand="0" w:noVBand="1"/>
      </w:tblPr>
      <w:tblGrid>
        <w:gridCol w:w="1864"/>
        <w:gridCol w:w="1229"/>
        <w:gridCol w:w="1309"/>
        <w:gridCol w:w="1164"/>
        <w:gridCol w:w="1127"/>
        <w:gridCol w:w="1171"/>
        <w:gridCol w:w="1153"/>
      </w:tblGrid>
      <w:tr w:rsidR="00D771EF" w:rsidRPr="00D771EF" w14:paraId="339EA618" w14:textId="77777777" w:rsidTr="00D771EF">
        <w:trPr>
          <w:trHeight w:val="675"/>
        </w:trPr>
        <w:tc>
          <w:tcPr>
            <w:tcW w:w="0" w:type="auto"/>
            <w:tcBorders>
              <w:top w:val="single" w:sz="4" w:space="0" w:color="auto"/>
              <w:left w:val="single" w:sz="4" w:space="0" w:color="auto"/>
              <w:bottom w:val="nil"/>
              <w:right w:val="single" w:sz="4" w:space="0" w:color="auto"/>
            </w:tcBorders>
            <w:shd w:val="clear" w:color="000000" w:fill="4B0885"/>
            <w:noWrap/>
            <w:vAlign w:val="bottom"/>
            <w:hideMark/>
          </w:tcPr>
          <w:p w14:paraId="09EA9162" w14:textId="77777777" w:rsidR="00D771EF" w:rsidRPr="00D771EF" w:rsidRDefault="00D771EF" w:rsidP="004A5416">
            <w:pPr>
              <w:keepLines/>
              <w:spacing w:before="0" w:after="0"/>
              <w:rPr>
                <w:rFonts w:ascii="Aptos Narrow" w:eastAsia="Times New Roman" w:hAnsi="Aptos Narrow" w:cs="Times New Roman"/>
                <w:color w:val="FFFFFF"/>
                <w:szCs w:val="22"/>
                <w:lang w:eastAsia="en-AU"/>
              </w:rPr>
            </w:pPr>
            <w:r w:rsidRPr="00D771EF">
              <w:rPr>
                <w:rFonts w:ascii="Aptos Narrow" w:eastAsia="Times New Roman" w:hAnsi="Aptos Narrow" w:cs="Times New Roman"/>
                <w:color w:val="FFFFFF"/>
                <w:szCs w:val="22"/>
                <w:lang w:eastAsia="en-AU"/>
              </w:rPr>
              <w:t> </w:t>
            </w:r>
          </w:p>
        </w:tc>
        <w:tc>
          <w:tcPr>
            <w:tcW w:w="0" w:type="auto"/>
            <w:tcBorders>
              <w:top w:val="single" w:sz="4" w:space="0" w:color="auto"/>
              <w:left w:val="nil"/>
              <w:bottom w:val="nil"/>
              <w:right w:val="single" w:sz="4" w:space="0" w:color="auto"/>
            </w:tcBorders>
            <w:shd w:val="clear" w:color="000000" w:fill="4B0885"/>
            <w:vAlign w:val="center"/>
            <w:hideMark/>
          </w:tcPr>
          <w:p w14:paraId="06D815DA" w14:textId="77777777" w:rsidR="00D771EF" w:rsidRPr="00D771EF" w:rsidRDefault="00D771EF" w:rsidP="004A5416">
            <w:pPr>
              <w:keepLines/>
              <w:spacing w:before="0" w:after="0"/>
              <w:jc w:val="center"/>
              <w:rPr>
                <w:rFonts w:ascii="Aptos Display" w:eastAsia="Times New Roman" w:hAnsi="Aptos Display" w:cs="Times New Roman"/>
                <w:b/>
                <w:bCs/>
                <w:color w:val="FFFFFF"/>
                <w:sz w:val="16"/>
                <w:szCs w:val="16"/>
                <w:lang w:eastAsia="en-AU"/>
              </w:rPr>
            </w:pPr>
            <w:r w:rsidRPr="00D771EF">
              <w:rPr>
                <w:rFonts w:ascii="Aptos Display" w:eastAsia="Times New Roman" w:hAnsi="Aptos Display" w:cs="Times New Roman"/>
                <w:b/>
                <w:bCs/>
                <w:color w:val="FFFFFF"/>
                <w:sz w:val="16"/>
                <w:szCs w:val="16"/>
                <w:lang w:eastAsia="en-AU"/>
              </w:rPr>
              <w:t>Working Age (15-64 years) Employment Rate (%)</w:t>
            </w:r>
          </w:p>
        </w:tc>
        <w:tc>
          <w:tcPr>
            <w:tcW w:w="0" w:type="auto"/>
            <w:tcBorders>
              <w:top w:val="single" w:sz="4" w:space="0" w:color="auto"/>
              <w:left w:val="nil"/>
              <w:bottom w:val="nil"/>
              <w:right w:val="single" w:sz="4" w:space="0" w:color="auto"/>
            </w:tcBorders>
            <w:shd w:val="clear" w:color="000000" w:fill="4B0885"/>
            <w:vAlign w:val="center"/>
            <w:hideMark/>
          </w:tcPr>
          <w:p w14:paraId="2ACAF6FB" w14:textId="77777777" w:rsidR="00D771EF" w:rsidRPr="00D771EF" w:rsidRDefault="00D771EF" w:rsidP="004A5416">
            <w:pPr>
              <w:keepLines/>
              <w:spacing w:before="0" w:after="0"/>
              <w:jc w:val="center"/>
              <w:rPr>
                <w:rFonts w:ascii="Aptos Display" w:eastAsia="Times New Roman" w:hAnsi="Aptos Display" w:cs="Times New Roman"/>
                <w:b/>
                <w:bCs/>
                <w:color w:val="FFFFFF"/>
                <w:sz w:val="16"/>
                <w:szCs w:val="16"/>
                <w:lang w:eastAsia="en-AU"/>
              </w:rPr>
            </w:pPr>
            <w:r w:rsidRPr="00D771EF">
              <w:rPr>
                <w:rFonts w:ascii="Aptos Display" w:eastAsia="Times New Roman" w:hAnsi="Aptos Display" w:cs="Times New Roman"/>
                <w:b/>
                <w:bCs/>
                <w:color w:val="FFFFFF"/>
                <w:sz w:val="16"/>
                <w:szCs w:val="16"/>
                <w:lang w:eastAsia="en-AU"/>
              </w:rPr>
              <w:t>Unemployment Rate (%)</w:t>
            </w:r>
          </w:p>
        </w:tc>
        <w:tc>
          <w:tcPr>
            <w:tcW w:w="0" w:type="auto"/>
            <w:tcBorders>
              <w:top w:val="single" w:sz="4" w:space="0" w:color="auto"/>
              <w:left w:val="nil"/>
              <w:bottom w:val="nil"/>
              <w:right w:val="nil"/>
            </w:tcBorders>
            <w:shd w:val="clear" w:color="000000" w:fill="4B0885"/>
            <w:vAlign w:val="center"/>
            <w:hideMark/>
          </w:tcPr>
          <w:p w14:paraId="4771CA28" w14:textId="3567F1B3" w:rsidR="00D771EF" w:rsidRPr="00D771EF" w:rsidRDefault="00D771EF" w:rsidP="004A5416">
            <w:pPr>
              <w:keepLines/>
              <w:spacing w:before="0" w:after="0"/>
              <w:jc w:val="center"/>
              <w:rPr>
                <w:rFonts w:ascii="Aptos Display" w:eastAsia="Times New Roman" w:hAnsi="Aptos Display" w:cs="Times New Roman"/>
                <w:b/>
                <w:bCs/>
                <w:color w:val="FFFFFF"/>
                <w:sz w:val="16"/>
                <w:szCs w:val="16"/>
                <w:lang w:eastAsia="en-AU"/>
              </w:rPr>
            </w:pPr>
            <w:r w:rsidRPr="00D771EF">
              <w:rPr>
                <w:rFonts w:ascii="Aptos Display" w:eastAsia="Times New Roman" w:hAnsi="Aptos Display" w:cs="Times New Roman"/>
                <w:b/>
                <w:bCs/>
                <w:color w:val="FFFFFF"/>
                <w:sz w:val="16"/>
                <w:szCs w:val="16"/>
                <w:lang w:eastAsia="en-AU"/>
              </w:rPr>
              <w:t xml:space="preserve">JobSeeker Income Support (%) </w:t>
            </w:r>
          </w:p>
        </w:tc>
        <w:tc>
          <w:tcPr>
            <w:tcW w:w="0" w:type="auto"/>
            <w:tcBorders>
              <w:top w:val="single" w:sz="4" w:space="0" w:color="auto"/>
              <w:left w:val="single" w:sz="4" w:space="0" w:color="auto"/>
              <w:bottom w:val="nil"/>
              <w:right w:val="single" w:sz="4" w:space="0" w:color="auto"/>
            </w:tcBorders>
            <w:shd w:val="clear" w:color="000000" w:fill="4B0885"/>
            <w:vAlign w:val="center"/>
            <w:hideMark/>
          </w:tcPr>
          <w:p w14:paraId="73654B9A" w14:textId="77777777" w:rsidR="00D771EF" w:rsidRPr="00D771EF" w:rsidRDefault="00D771EF" w:rsidP="004A5416">
            <w:pPr>
              <w:keepLines/>
              <w:spacing w:before="0" w:after="0"/>
              <w:jc w:val="center"/>
              <w:rPr>
                <w:rFonts w:ascii="Aptos Display" w:eastAsia="Times New Roman" w:hAnsi="Aptos Display" w:cs="Times New Roman"/>
                <w:b/>
                <w:bCs/>
                <w:color w:val="FFFFFF"/>
                <w:sz w:val="16"/>
                <w:szCs w:val="16"/>
                <w:lang w:eastAsia="en-AU"/>
              </w:rPr>
            </w:pPr>
            <w:r w:rsidRPr="00D771EF">
              <w:rPr>
                <w:rFonts w:ascii="Aptos Display" w:eastAsia="Times New Roman" w:hAnsi="Aptos Display" w:cs="Times New Roman"/>
                <w:b/>
                <w:bCs/>
                <w:color w:val="FFFFFF"/>
                <w:sz w:val="16"/>
                <w:szCs w:val="16"/>
                <w:lang w:eastAsia="en-AU"/>
              </w:rPr>
              <w:t>Job Vacancy Rate (%)</w:t>
            </w:r>
          </w:p>
        </w:tc>
        <w:tc>
          <w:tcPr>
            <w:tcW w:w="0" w:type="auto"/>
            <w:tcBorders>
              <w:top w:val="single" w:sz="4" w:space="0" w:color="auto"/>
              <w:left w:val="nil"/>
              <w:bottom w:val="nil"/>
              <w:right w:val="single" w:sz="4" w:space="0" w:color="auto"/>
            </w:tcBorders>
            <w:shd w:val="clear" w:color="000000" w:fill="4B0885"/>
            <w:vAlign w:val="center"/>
            <w:hideMark/>
          </w:tcPr>
          <w:p w14:paraId="10124271" w14:textId="77777777" w:rsidR="00D771EF" w:rsidRPr="00D771EF" w:rsidRDefault="00D771EF" w:rsidP="004A5416">
            <w:pPr>
              <w:keepLines/>
              <w:spacing w:before="0" w:after="0"/>
              <w:jc w:val="center"/>
              <w:rPr>
                <w:rFonts w:ascii="Aptos Display" w:eastAsia="Times New Roman" w:hAnsi="Aptos Display" w:cs="Times New Roman"/>
                <w:b/>
                <w:bCs/>
                <w:color w:val="FFFFFF"/>
                <w:sz w:val="16"/>
                <w:szCs w:val="16"/>
                <w:lang w:eastAsia="en-AU"/>
              </w:rPr>
            </w:pPr>
            <w:r w:rsidRPr="00D771EF">
              <w:rPr>
                <w:rFonts w:ascii="Aptos Display" w:eastAsia="Times New Roman" w:hAnsi="Aptos Display" w:cs="Times New Roman"/>
                <w:b/>
                <w:bCs/>
                <w:color w:val="FFFFFF"/>
                <w:sz w:val="16"/>
                <w:szCs w:val="16"/>
                <w:lang w:eastAsia="en-AU"/>
              </w:rPr>
              <w:t>Job Matching Efficiency Rate (%)</w:t>
            </w:r>
          </w:p>
        </w:tc>
        <w:tc>
          <w:tcPr>
            <w:tcW w:w="0" w:type="auto"/>
            <w:tcBorders>
              <w:top w:val="single" w:sz="4" w:space="0" w:color="auto"/>
              <w:left w:val="nil"/>
              <w:bottom w:val="nil"/>
              <w:right w:val="single" w:sz="4" w:space="0" w:color="auto"/>
            </w:tcBorders>
            <w:shd w:val="clear" w:color="000000" w:fill="4B0885"/>
            <w:vAlign w:val="center"/>
            <w:hideMark/>
          </w:tcPr>
          <w:p w14:paraId="278BA751" w14:textId="3338D31B" w:rsidR="00D771EF" w:rsidRPr="00D771EF" w:rsidRDefault="00D771EF" w:rsidP="004A5416">
            <w:pPr>
              <w:keepLines/>
              <w:spacing w:before="0" w:after="0"/>
              <w:jc w:val="center"/>
              <w:rPr>
                <w:rFonts w:ascii="Aptos Display" w:eastAsia="Times New Roman" w:hAnsi="Aptos Display" w:cs="Times New Roman"/>
                <w:b/>
                <w:bCs/>
                <w:color w:val="FFFFFF"/>
                <w:sz w:val="16"/>
                <w:szCs w:val="16"/>
                <w:lang w:eastAsia="en-AU"/>
              </w:rPr>
            </w:pPr>
            <w:r w:rsidRPr="00D771EF">
              <w:rPr>
                <w:rFonts w:ascii="Aptos Display" w:eastAsia="Times New Roman" w:hAnsi="Aptos Display" w:cs="Times New Roman"/>
                <w:b/>
                <w:bCs/>
                <w:color w:val="FFFFFF"/>
                <w:sz w:val="16"/>
                <w:szCs w:val="16"/>
                <w:lang w:eastAsia="en-AU"/>
              </w:rPr>
              <w:t>Productivity growth rate</w:t>
            </w:r>
            <w:r w:rsidR="003C66E3">
              <w:rPr>
                <w:rFonts w:ascii="Aptos Display" w:eastAsia="Times New Roman" w:hAnsi="Aptos Display" w:cs="Times New Roman"/>
                <w:b/>
                <w:bCs/>
                <w:color w:val="FFFFFF"/>
                <w:sz w:val="16"/>
                <w:szCs w:val="16"/>
                <w:lang w:eastAsia="en-AU"/>
              </w:rPr>
              <w:t xml:space="preserve"> </w:t>
            </w:r>
            <w:r w:rsidRPr="00D771EF">
              <w:rPr>
                <w:rFonts w:ascii="Aptos Display" w:eastAsia="Times New Roman" w:hAnsi="Aptos Display" w:cs="Times New Roman"/>
                <w:b/>
                <w:bCs/>
                <w:color w:val="FFFFFF"/>
                <w:sz w:val="16"/>
                <w:szCs w:val="16"/>
                <w:lang w:eastAsia="en-AU"/>
              </w:rPr>
              <w:t>(%)</w:t>
            </w:r>
          </w:p>
        </w:tc>
      </w:tr>
      <w:tr w:rsidR="00D771EF" w:rsidRPr="00D771EF" w14:paraId="3BE9EF0E" w14:textId="77777777" w:rsidTr="00D771EF">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56AE20" w14:textId="77777777" w:rsidR="00D771EF" w:rsidRPr="00D771EF" w:rsidRDefault="00D771EF" w:rsidP="004A5416">
            <w:pPr>
              <w:keepLines/>
              <w:spacing w:before="0" w:after="0"/>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Greater Melbourne</w:t>
            </w:r>
          </w:p>
        </w:tc>
        <w:tc>
          <w:tcPr>
            <w:tcW w:w="0" w:type="auto"/>
            <w:tcBorders>
              <w:top w:val="single" w:sz="4" w:space="0" w:color="auto"/>
              <w:left w:val="nil"/>
              <w:bottom w:val="single" w:sz="4" w:space="0" w:color="auto"/>
              <w:right w:val="nil"/>
            </w:tcBorders>
            <w:shd w:val="clear" w:color="000000" w:fill="FBB9B7"/>
            <w:noWrap/>
            <w:vAlign w:val="bottom"/>
            <w:hideMark/>
          </w:tcPr>
          <w:p w14:paraId="6062DF6F"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-0.9% pts</w:t>
            </w:r>
          </w:p>
        </w:tc>
        <w:tc>
          <w:tcPr>
            <w:tcW w:w="0" w:type="auto"/>
            <w:tcBorders>
              <w:top w:val="single" w:sz="4" w:space="0" w:color="auto"/>
              <w:left w:val="single" w:sz="4" w:space="0" w:color="auto"/>
              <w:bottom w:val="single" w:sz="4" w:space="0" w:color="auto"/>
              <w:right w:val="single" w:sz="4" w:space="0" w:color="auto"/>
            </w:tcBorders>
            <w:shd w:val="clear" w:color="000000" w:fill="FBB9B7"/>
            <w:noWrap/>
            <w:vAlign w:val="bottom"/>
            <w:hideMark/>
          </w:tcPr>
          <w:p w14:paraId="4C228F0C"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+1.2% pts</w:t>
            </w:r>
          </w:p>
        </w:tc>
        <w:tc>
          <w:tcPr>
            <w:tcW w:w="0" w:type="auto"/>
            <w:tcBorders>
              <w:top w:val="single" w:sz="4" w:space="0" w:color="auto"/>
              <w:left w:val="nil"/>
              <w:bottom w:val="single" w:sz="4" w:space="0" w:color="auto"/>
              <w:right w:val="nil"/>
            </w:tcBorders>
            <w:shd w:val="clear" w:color="000000" w:fill="FBB9B7"/>
            <w:noWrap/>
            <w:vAlign w:val="bottom"/>
            <w:hideMark/>
          </w:tcPr>
          <w:p w14:paraId="64D6A483"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+1.0% pts</w:t>
            </w:r>
          </w:p>
        </w:tc>
        <w:tc>
          <w:tcPr>
            <w:tcW w:w="0" w:type="auto"/>
            <w:tcBorders>
              <w:top w:val="single" w:sz="4" w:space="0" w:color="auto"/>
              <w:left w:val="single" w:sz="4" w:space="0" w:color="auto"/>
              <w:bottom w:val="single" w:sz="4" w:space="0" w:color="auto"/>
              <w:right w:val="single" w:sz="4" w:space="0" w:color="auto"/>
            </w:tcBorders>
            <w:shd w:val="clear" w:color="000000" w:fill="FBB9B7"/>
            <w:noWrap/>
            <w:vAlign w:val="bottom"/>
            <w:hideMark/>
          </w:tcPr>
          <w:p w14:paraId="197217AC"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-1.3% pts</w:t>
            </w:r>
          </w:p>
        </w:tc>
        <w:tc>
          <w:tcPr>
            <w:tcW w:w="0" w:type="auto"/>
            <w:tcBorders>
              <w:top w:val="single" w:sz="4" w:space="0" w:color="auto"/>
              <w:left w:val="nil"/>
              <w:bottom w:val="single" w:sz="4" w:space="0" w:color="auto"/>
              <w:right w:val="single" w:sz="4" w:space="0" w:color="auto"/>
            </w:tcBorders>
            <w:shd w:val="clear" w:color="000000" w:fill="FBB9B7"/>
            <w:noWrap/>
            <w:vAlign w:val="bottom"/>
            <w:hideMark/>
          </w:tcPr>
          <w:p w14:paraId="4902F268"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-4.3% pts</w:t>
            </w:r>
          </w:p>
        </w:tc>
        <w:tc>
          <w:tcPr>
            <w:tcW w:w="0" w:type="auto"/>
            <w:tcBorders>
              <w:top w:val="single" w:sz="4" w:space="0" w:color="auto"/>
              <w:left w:val="nil"/>
              <w:bottom w:val="single" w:sz="4" w:space="0" w:color="auto"/>
              <w:right w:val="single" w:sz="4" w:space="0" w:color="auto"/>
            </w:tcBorders>
            <w:shd w:val="clear" w:color="000000" w:fill="FBB9B7"/>
            <w:noWrap/>
            <w:vAlign w:val="bottom"/>
            <w:hideMark/>
          </w:tcPr>
          <w:p w14:paraId="111A6038"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-1.1% pts</w:t>
            </w:r>
          </w:p>
        </w:tc>
      </w:tr>
      <w:tr w:rsidR="00D771EF" w:rsidRPr="00D771EF" w14:paraId="78D5C938" w14:textId="77777777" w:rsidTr="00D771EF">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1884B418" w14:textId="77777777" w:rsidR="00D771EF" w:rsidRPr="00D771EF" w:rsidRDefault="00D771EF" w:rsidP="004A5416">
            <w:pPr>
              <w:keepLines/>
              <w:spacing w:before="0" w:after="0"/>
              <w:rPr>
                <w:rFonts w:ascii="Aptos Narrow" w:eastAsia="Times New Roman" w:hAnsi="Aptos Narrow" w:cs="Times New Roman"/>
                <w:i/>
                <w:iCs/>
                <w:color w:val="000000"/>
                <w:szCs w:val="22"/>
                <w:lang w:eastAsia="en-AU"/>
              </w:rPr>
            </w:pPr>
            <w:r w:rsidRPr="00D771EF">
              <w:rPr>
                <w:rFonts w:ascii="Aptos Narrow" w:eastAsia="Times New Roman" w:hAnsi="Aptos Narrow" w:cs="Times New Roman"/>
                <w:i/>
                <w:iCs/>
                <w:color w:val="000000"/>
                <w:szCs w:val="22"/>
                <w:lang w:eastAsia="en-AU"/>
              </w:rPr>
              <w:t>National average</w:t>
            </w:r>
          </w:p>
        </w:tc>
        <w:tc>
          <w:tcPr>
            <w:tcW w:w="0" w:type="auto"/>
            <w:tcBorders>
              <w:top w:val="nil"/>
              <w:left w:val="nil"/>
              <w:bottom w:val="single" w:sz="4" w:space="0" w:color="auto"/>
              <w:right w:val="nil"/>
            </w:tcBorders>
            <w:shd w:val="clear" w:color="000000" w:fill="FFFFFF"/>
            <w:noWrap/>
            <w:vAlign w:val="bottom"/>
            <w:hideMark/>
          </w:tcPr>
          <w:p w14:paraId="35FDC58D"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0.0%</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63907AFA"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+0.7% pts</w:t>
            </w:r>
          </w:p>
        </w:tc>
        <w:tc>
          <w:tcPr>
            <w:tcW w:w="0" w:type="auto"/>
            <w:tcBorders>
              <w:top w:val="nil"/>
              <w:left w:val="nil"/>
              <w:bottom w:val="single" w:sz="4" w:space="0" w:color="auto"/>
              <w:right w:val="nil"/>
            </w:tcBorders>
            <w:shd w:val="clear" w:color="000000" w:fill="FFFFFF"/>
            <w:noWrap/>
            <w:vAlign w:val="bottom"/>
            <w:hideMark/>
          </w:tcPr>
          <w:p w14:paraId="38CAB0F9"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+0.7% pts</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52F4065D"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+1.1% pts</w:t>
            </w:r>
          </w:p>
        </w:tc>
        <w:tc>
          <w:tcPr>
            <w:tcW w:w="0" w:type="auto"/>
            <w:tcBorders>
              <w:top w:val="nil"/>
              <w:left w:val="nil"/>
              <w:bottom w:val="single" w:sz="4" w:space="0" w:color="auto"/>
              <w:right w:val="single" w:sz="4" w:space="0" w:color="auto"/>
            </w:tcBorders>
            <w:shd w:val="clear" w:color="000000" w:fill="FFFFFF"/>
            <w:noWrap/>
            <w:vAlign w:val="bottom"/>
            <w:hideMark/>
          </w:tcPr>
          <w:p w14:paraId="76A509AE"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+0.4% pts</w:t>
            </w:r>
          </w:p>
        </w:tc>
        <w:tc>
          <w:tcPr>
            <w:tcW w:w="0" w:type="auto"/>
            <w:tcBorders>
              <w:top w:val="nil"/>
              <w:left w:val="nil"/>
              <w:bottom w:val="single" w:sz="4" w:space="0" w:color="auto"/>
              <w:right w:val="single" w:sz="4" w:space="0" w:color="auto"/>
            </w:tcBorders>
            <w:shd w:val="clear" w:color="000000" w:fill="FFFFFF"/>
            <w:noWrap/>
            <w:vAlign w:val="bottom"/>
            <w:hideMark/>
          </w:tcPr>
          <w:p w14:paraId="347147A1" w14:textId="77777777" w:rsidR="00D771EF" w:rsidRPr="00D771EF" w:rsidRDefault="00D771EF" w:rsidP="004A5416">
            <w:pPr>
              <w:keepLines/>
              <w:spacing w:before="0" w:after="0"/>
              <w:jc w:val="center"/>
              <w:rPr>
                <w:rFonts w:ascii="Aptos Narrow" w:eastAsia="Times New Roman" w:hAnsi="Aptos Narrow" w:cs="Times New Roman"/>
                <w:color w:val="000000"/>
                <w:szCs w:val="22"/>
                <w:lang w:eastAsia="en-AU"/>
              </w:rPr>
            </w:pPr>
            <w:r w:rsidRPr="00D771EF">
              <w:rPr>
                <w:rFonts w:ascii="Aptos Narrow" w:eastAsia="Times New Roman" w:hAnsi="Aptos Narrow" w:cs="Times New Roman"/>
                <w:color w:val="000000"/>
                <w:szCs w:val="22"/>
                <w:lang w:eastAsia="en-AU"/>
              </w:rPr>
              <w:t>+0.1% pts</w:t>
            </w:r>
          </w:p>
        </w:tc>
      </w:tr>
    </w:tbl>
    <w:p w14:paraId="097D5C8A" w14:textId="1352FA18" w:rsidR="00C414CD" w:rsidRPr="006D0D97" w:rsidRDefault="00C414CD" w:rsidP="004A5416">
      <w:pPr>
        <w:pStyle w:val="Source"/>
        <w:keepLines/>
      </w:pPr>
      <w:r>
        <w:t xml:space="preserve">Note: </w:t>
      </w:r>
      <w:r w:rsidRPr="00D771EF">
        <w:rPr>
          <w:b/>
          <w:bCs w:val="0"/>
        </w:rPr>
        <w:t>JobSeeker Income Support</w:t>
      </w:r>
      <w:r>
        <w:t xml:space="preserve"> refers to the proportion of the working age population (15-64 years) on the JobSeeker payment and Youth Allowance (other) payment</w:t>
      </w:r>
      <w:r w:rsidRPr="00D771EF">
        <w:rPr>
          <w:b/>
          <w:bCs w:val="0"/>
        </w:rPr>
        <w:t xml:space="preserve">. </w:t>
      </w:r>
      <w:r w:rsidR="00D771EF" w:rsidRPr="00D771EF">
        <w:rPr>
          <w:b/>
          <w:bCs w:val="0"/>
        </w:rPr>
        <w:t>Productivity growth</w:t>
      </w:r>
      <w:r w:rsidR="00D771EF">
        <w:rPr>
          <w:b/>
          <w:bCs w:val="0"/>
        </w:rPr>
        <w:t xml:space="preserve"> rate</w:t>
      </w:r>
      <w:r w:rsidR="00D771EF">
        <w:t xml:space="preserve"> </w:t>
      </w:r>
      <w:r w:rsidR="00FB3EC9">
        <w:t xml:space="preserve">refers to the </w:t>
      </w:r>
      <w:r w:rsidR="00D771EF">
        <w:t xml:space="preserve">5-year annual average growth rate of labour productivity. </w:t>
      </w:r>
    </w:p>
    <w:p w14:paraId="2BA4ED27" w14:textId="1D333CBF" w:rsidR="00680744" w:rsidRDefault="00505840" w:rsidP="004A5416">
      <w:pPr>
        <w:pStyle w:val="Heading2"/>
      </w:pPr>
      <w:bookmarkStart w:id="4" w:name="_Toc238204701"/>
      <w:r>
        <w:t xml:space="preserve">Improving labour market conditions in </w:t>
      </w:r>
      <w:r w:rsidR="00680744">
        <w:t>North-eastern New South Wales</w:t>
      </w:r>
      <w:bookmarkEnd w:id="4"/>
    </w:p>
    <w:tbl>
      <w:tblPr>
        <w:tblStyle w:val="CustomTablebasic"/>
        <w:tblW w:w="9821" w:type="dxa"/>
        <w:tblBorders>
          <w:bottom w:val="none" w:sz="0" w:space="0" w:color="auto"/>
        </w:tblBorders>
        <w:tblLook w:val="04A0" w:firstRow="1" w:lastRow="0" w:firstColumn="1" w:lastColumn="0" w:noHBand="0" w:noVBand="1"/>
      </w:tblPr>
      <w:tblGrid>
        <w:gridCol w:w="5525"/>
        <w:gridCol w:w="4296"/>
      </w:tblGrid>
      <w:tr w:rsidR="002B3E9D" w14:paraId="706497A3" w14:textId="77777777" w:rsidTr="009E73AD">
        <w:trPr>
          <w:cnfStyle w:val="100000000000" w:firstRow="1" w:lastRow="0" w:firstColumn="0" w:lastColumn="0" w:oddVBand="0" w:evenVBand="0" w:oddHBand="0" w:evenHBand="0" w:firstRowFirstColumn="0" w:firstRowLastColumn="0" w:lastRowFirstColumn="0" w:lastRowLastColumn="0"/>
          <w:trHeight w:val="853"/>
        </w:trPr>
        <w:tc>
          <w:tcPr>
            <w:tcW w:w="5529" w:type="dxa"/>
            <w:tcBorders>
              <w:bottom w:val="none" w:sz="0" w:space="0" w:color="auto"/>
            </w:tcBorders>
            <w:shd w:val="clear" w:color="auto" w:fill="auto"/>
          </w:tcPr>
          <w:p w14:paraId="35C2BD0F" w14:textId="77777777" w:rsidR="00505840" w:rsidRPr="00505840" w:rsidRDefault="00505840" w:rsidP="00505840">
            <w:pPr>
              <w:pStyle w:val="BodyText"/>
            </w:pPr>
            <w:r w:rsidRPr="00505840">
              <w:t>Several regions across North-eastern New South Wales recorded stronger RLMI ratings between June 2023 and June 2026. As shown in Chart 7, relative labour market performance improved across the region over the 3-year period.</w:t>
            </w:r>
          </w:p>
          <w:p w14:paraId="0ADBA6A5" w14:textId="6F510551" w:rsidR="00505840" w:rsidRDefault="00505840" w:rsidP="00505840">
            <w:pPr>
              <w:pStyle w:val="BodyText"/>
            </w:pPr>
            <w:r w:rsidRPr="00505840">
              <w:t xml:space="preserve">Contributing to improving labour market conditions in North-eastern New South Wales was an increase in the working-age employment rate. Over the same period, vacancy fill rates increased and job matching efficiency improved, indicating labour markets were becoming more effective at connecting jobseekers with available employment opportunities. </w:t>
            </w:r>
            <w:r w:rsidR="00716C1D" w:rsidRPr="00716C1D">
              <w:t>These improvements were accompanied by a decline in the proportion of the working-age population receiving long-term JobSeeker Income Support</w:t>
            </w:r>
            <w:r w:rsidR="00716C1D">
              <w:t xml:space="preserve">. </w:t>
            </w:r>
          </w:p>
          <w:p w14:paraId="0FE0F678" w14:textId="00DD8D8F" w:rsidR="002B3E9D" w:rsidRPr="008959B9" w:rsidRDefault="00505840" w:rsidP="009B64B7">
            <w:pPr>
              <w:pStyle w:val="BodyText"/>
            </w:pPr>
            <w:r>
              <w:t>It is important to note that w</w:t>
            </w:r>
            <w:r w:rsidRPr="00505840">
              <w:t xml:space="preserve">hile labour market conditions have improved, Coffs Harbour Grafton and </w:t>
            </w:r>
            <w:r w:rsidRPr="00505840">
              <w:lastRenderedPageBreak/>
              <w:t xml:space="preserve">Mid North Coast </w:t>
            </w:r>
            <w:r>
              <w:t xml:space="preserve">were </w:t>
            </w:r>
            <w:r w:rsidR="003C66E3">
              <w:t xml:space="preserve">still </w:t>
            </w:r>
            <w:r>
              <w:t>rated</w:t>
            </w:r>
            <w:r w:rsidRPr="00505840">
              <w:t xml:space="preserve"> </w:t>
            </w:r>
            <w:r>
              <w:t>‘</w:t>
            </w:r>
            <w:r w:rsidRPr="00505840">
              <w:t>below average</w:t>
            </w:r>
            <w:r>
              <w:t>’</w:t>
            </w:r>
            <w:r w:rsidRPr="00505840">
              <w:t xml:space="preserve"> in June 2026, </w:t>
            </w:r>
            <w:r w:rsidR="000A267D" w:rsidRPr="000A267D">
              <w:t>indicating ongoing labour market challenges for both jobseekers and employers.</w:t>
            </w:r>
          </w:p>
        </w:tc>
        <w:tc>
          <w:tcPr>
            <w:tcW w:w="4292" w:type="dxa"/>
            <w:tcBorders>
              <w:bottom w:val="none" w:sz="0" w:space="0" w:color="auto"/>
            </w:tcBorders>
            <w:shd w:val="clear" w:color="auto" w:fill="auto"/>
          </w:tcPr>
          <w:p w14:paraId="445C19A8" w14:textId="697CDACC" w:rsidR="002B3E9D" w:rsidRDefault="002B3E9D" w:rsidP="009B64B7">
            <w:pPr>
              <w:pStyle w:val="Caption"/>
            </w:pPr>
            <w:r>
              <w:lastRenderedPageBreak/>
              <w:t xml:space="preserve">Chart </w:t>
            </w:r>
            <w:r w:rsidR="00CE5773">
              <w:t>7</w:t>
            </w:r>
            <w:r>
              <w:t xml:space="preserve">: </w:t>
            </w:r>
            <w:r w:rsidR="006D4E4B">
              <w:t>3</w:t>
            </w:r>
            <w:r w:rsidRPr="002A76C4">
              <w:t>-year change in RLMI ratings of relative labour market performance, June 2026</w:t>
            </w:r>
          </w:p>
          <w:p w14:paraId="1C51277D" w14:textId="566A7662" w:rsidR="002B3E9D" w:rsidRPr="008959B9" w:rsidRDefault="006D4E4B" w:rsidP="009B64B7">
            <w:pPr>
              <w:pStyle w:val="BodyText"/>
            </w:pPr>
            <w:r w:rsidRPr="006D4E4B">
              <w:rPr>
                <w:noProof/>
              </w:rPr>
              <w:drawing>
                <wp:inline distT="0" distB="0" distL="0" distR="0" wp14:anchorId="4D4C7501" wp14:editId="5F2C4DF0">
                  <wp:extent cx="2590800" cy="2836058"/>
                  <wp:effectExtent l="0" t="0" r="0" b="2540"/>
                  <wp:docPr id="1409896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96847" name=""/>
                          <pic:cNvPicPr/>
                        </pic:nvPicPr>
                        <pic:blipFill>
                          <a:blip r:embed="rId28"/>
                          <a:stretch>
                            <a:fillRect/>
                          </a:stretch>
                        </pic:blipFill>
                        <pic:spPr>
                          <a:xfrm>
                            <a:off x="0" y="0"/>
                            <a:ext cx="2618794" cy="2866702"/>
                          </a:xfrm>
                          <a:prstGeom prst="rect">
                            <a:avLst/>
                          </a:prstGeom>
                        </pic:spPr>
                      </pic:pic>
                    </a:graphicData>
                  </a:graphic>
                </wp:inline>
              </w:drawing>
            </w:r>
          </w:p>
        </w:tc>
      </w:tr>
    </w:tbl>
    <w:p w14:paraId="0962F9AE" w14:textId="7037965A" w:rsidR="00C14E14" w:rsidRDefault="002B3E9D" w:rsidP="00C14E14">
      <w:pPr>
        <w:pStyle w:val="BodyText"/>
        <w:rPr>
          <w:lang w:eastAsia="en-AU"/>
        </w:rPr>
      </w:pPr>
      <w:r w:rsidRPr="002A76C4">
        <w:rPr>
          <w:noProof/>
        </w:rPr>
        <w:drawing>
          <wp:inline distT="0" distB="0" distL="0" distR="0" wp14:anchorId="1F8FE41F" wp14:editId="6E2F429D">
            <wp:extent cx="5731510" cy="215265"/>
            <wp:effectExtent l="0" t="0" r="2540" b="0"/>
            <wp:docPr id="1714378804" name="Picture 1" descr="A legend of the change in RLMI rating categories over the last year (Major Decline, Minor Decline, No Change, Minor Improvement, Major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87757" name="Picture 1" descr="A legend of the change in RLMI rating categories over the last year (Major Decline, Minor Decline, No Change, Minor Improvement, Major Improvement)."/>
                    <pic:cNvPicPr/>
                  </pic:nvPicPr>
                  <pic:blipFill>
                    <a:blip r:embed="rId24"/>
                    <a:stretch>
                      <a:fillRect/>
                    </a:stretch>
                  </pic:blipFill>
                  <pic:spPr>
                    <a:xfrm>
                      <a:off x="0" y="0"/>
                      <a:ext cx="5731510" cy="215265"/>
                    </a:xfrm>
                    <a:prstGeom prst="rect">
                      <a:avLst/>
                    </a:prstGeom>
                  </pic:spPr>
                </pic:pic>
              </a:graphicData>
            </a:graphic>
          </wp:inline>
        </w:drawing>
      </w:r>
    </w:p>
    <w:p w14:paraId="4DA6C820" w14:textId="1E8EF639" w:rsidR="00F3575D" w:rsidRDefault="00F3575D" w:rsidP="00F3575D">
      <w:pPr>
        <w:pStyle w:val="Caption"/>
        <w:keepNext/>
        <w:rPr>
          <w:lang w:eastAsia="en-AU"/>
        </w:rPr>
      </w:pPr>
      <w:r>
        <w:t xml:space="preserve">Table </w:t>
      </w:r>
      <w:r w:rsidR="00CE5773">
        <w:t>3</w:t>
      </w:r>
      <w:r>
        <w:t xml:space="preserve">: Change in key factors used to assess labour market performance (RLMI) over the last 3-years </w:t>
      </w:r>
    </w:p>
    <w:tbl>
      <w:tblPr>
        <w:tblW w:w="0" w:type="auto"/>
        <w:tblLook w:val="04A0" w:firstRow="1" w:lastRow="0" w:firstColumn="1" w:lastColumn="0" w:noHBand="0" w:noVBand="1"/>
      </w:tblPr>
      <w:tblGrid>
        <w:gridCol w:w="2557"/>
        <w:gridCol w:w="1933"/>
        <w:gridCol w:w="1554"/>
        <w:gridCol w:w="1204"/>
        <w:gridCol w:w="1769"/>
      </w:tblGrid>
      <w:tr w:rsidR="00F3575D" w:rsidRPr="00F3575D" w14:paraId="6059F51F" w14:textId="77777777" w:rsidTr="00F3575D">
        <w:trPr>
          <w:trHeight w:val="930"/>
        </w:trPr>
        <w:tc>
          <w:tcPr>
            <w:tcW w:w="0" w:type="auto"/>
            <w:tcBorders>
              <w:top w:val="single" w:sz="4" w:space="0" w:color="auto"/>
              <w:left w:val="single" w:sz="4" w:space="0" w:color="auto"/>
              <w:bottom w:val="nil"/>
              <w:right w:val="single" w:sz="4" w:space="0" w:color="auto"/>
            </w:tcBorders>
            <w:shd w:val="clear" w:color="000000" w:fill="4B0885"/>
            <w:noWrap/>
            <w:vAlign w:val="bottom"/>
            <w:hideMark/>
          </w:tcPr>
          <w:p w14:paraId="33D874BD" w14:textId="77777777" w:rsidR="00F3575D" w:rsidRPr="00F3575D" w:rsidRDefault="00F3575D" w:rsidP="00F3575D">
            <w:pPr>
              <w:spacing w:before="0" w:after="0"/>
              <w:rPr>
                <w:rFonts w:ascii="Aptos Narrow" w:eastAsia="Times New Roman" w:hAnsi="Aptos Narrow" w:cs="Times New Roman"/>
                <w:color w:val="FFFFFF"/>
                <w:szCs w:val="22"/>
                <w:lang w:eastAsia="en-AU"/>
              </w:rPr>
            </w:pPr>
            <w:r w:rsidRPr="00F3575D">
              <w:rPr>
                <w:rFonts w:ascii="Aptos Narrow" w:eastAsia="Times New Roman" w:hAnsi="Aptos Narrow" w:cs="Times New Roman"/>
                <w:color w:val="FFFFFF"/>
                <w:szCs w:val="22"/>
                <w:lang w:eastAsia="en-AU"/>
              </w:rPr>
              <w:t> </w:t>
            </w:r>
          </w:p>
        </w:tc>
        <w:tc>
          <w:tcPr>
            <w:tcW w:w="1933" w:type="dxa"/>
            <w:tcBorders>
              <w:top w:val="single" w:sz="4" w:space="0" w:color="auto"/>
              <w:left w:val="nil"/>
              <w:bottom w:val="nil"/>
              <w:right w:val="single" w:sz="4" w:space="0" w:color="auto"/>
            </w:tcBorders>
            <w:shd w:val="clear" w:color="000000" w:fill="4B0885"/>
            <w:vAlign w:val="center"/>
            <w:hideMark/>
          </w:tcPr>
          <w:p w14:paraId="1203548C" w14:textId="77777777" w:rsidR="00F3575D" w:rsidRPr="00F3575D" w:rsidRDefault="00F3575D" w:rsidP="00F3575D">
            <w:pPr>
              <w:spacing w:before="0" w:after="0"/>
              <w:jc w:val="center"/>
              <w:rPr>
                <w:rFonts w:ascii="Aptos Display" w:eastAsia="Times New Roman" w:hAnsi="Aptos Display" w:cs="Times New Roman"/>
                <w:b/>
                <w:bCs/>
                <w:color w:val="FFFFFF"/>
                <w:sz w:val="16"/>
                <w:szCs w:val="16"/>
                <w:lang w:eastAsia="en-AU"/>
              </w:rPr>
            </w:pPr>
            <w:r w:rsidRPr="00F3575D">
              <w:rPr>
                <w:rFonts w:ascii="Aptos Display" w:eastAsia="Times New Roman" w:hAnsi="Aptos Display" w:cs="Times New Roman"/>
                <w:b/>
                <w:bCs/>
                <w:color w:val="FFFFFF"/>
                <w:sz w:val="16"/>
                <w:szCs w:val="16"/>
                <w:lang w:eastAsia="en-AU"/>
              </w:rPr>
              <w:t>Working Age (15-64 years) Employment Rate (%)</w:t>
            </w:r>
          </w:p>
        </w:tc>
        <w:tc>
          <w:tcPr>
            <w:tcW w:w="1554" w:type="dxa"/>
            <w:tcBorders>
              <w:top w:val="single" w:sz="4" w:space="0" w:color="auto"/>
              <w:left w:val="nil"/>
              <w:bottom w:val="nil"/>
              <w:right w:val="single" w:sz="4" w:space="0" w:color="auto"/>
            </w:tcBorders>
            <w:shd w:val="clear" w:color="000000" w:fill="4B0885"/>
            <w:vAlign w:val="center"/>
            <w:hideMark/>
          </w:tcPr>
          <w:p w14:paraId="24CF4931" w14:textId="77777777" w:rsidR="00F3575D" w:rsidRPr="00F3575D" w:rsidRDefault="00F3575D" w:rsidP="00F3575D">
            <w:pPr>
              <w:spacing w:before="0" w:after="0"/>
              <w:jc w:val="center"/>
              <w:rPr>
                <w:rFonts w:ascii="Aptos Display" w:eastAsia="Times New Roman" w:hAnsi="Aptos Display" w:cs="Times New Roman"/>
                <w:b/>
                <w:bCs/>
                <w:color w:val="FFFFFF"/>
                <w:sz w:val="16"/>
                <w:szCs w:val="16"/>
                <w:lang w:eastAsia="en-AU"/>
              </w:rPr>
            </w:pPr>
            <w:r w:rsidRPr="00F3575D">
              <w:rPr>
                <w:rFonts w:ascii="Aptos Display" w:eastAsia="Times New Roman" w:hAnsi="Aptos Display" w:cs="Times New Roman"/>
                <w:b/>
                <w:bCs/>
                <w:color w:val="FFFFFF"/>
                <w:sz w:val="16"/>
                <w:szCs w:val="16"/>
                <w:lang w:eastAsia="en-AU"/>
              </w:rPr>
              <w:t>Job Matching Efficiency Rate (%)</w:t>
            </w:r>
          </w:p>
        </w:tc>
        <w:tc>
          <w:tcPr>
            <w:tcW w:w="0" w:type="auto"/>
            <w:tcBorders>
              <w:top w:val="single" w:sz="4" w:space="0" w:color="auto"/>
              <w:left w:val="nil"/>
              <w:bottom w:val="nil"/>
              <w:right w:val="nil"/>
            </w:tcBorders>
            <w:shd w:val="clear" w:color="000000" w:fill="4B0885"/>
            <w:vAlign w:val="center"/>
            <w:hideMark/>
          </w:tcPr>
          <w:p w14:paraId="3F379778" w14:textId="0AF87151" w:rsidR="00F3575D" w:rsidRPr="00F3575D" w:rsidRDefault="00F3575D" w:rsidP="00F3575D">
            <w:pPr>
              <w:spacing w:before="0" w:after="0"/>
              <w:jc w:val="center"/>
              <w:rPr>
                <w:rFonts w:ascii="Aptos Display" w:eastAsia="Times New Roman" w:hAnsi="Aptos Display" w:cs="Times New Roman"/>
                <w:b/>
                <w:bCs/>
                <w:color w:val="FFFFFF"/>
                <w:sz w:val="16"/>
                <w:szCs w:val="16"/>
                <w:lang w:eastAsia="en-AU"/>
              </w:rPr>
            </w:pPr>
            <w:r w:rsidRPr="00F3575D">
              <w:rPr>
                <w:rFonts w:ascii="Aptos Display" w:eastAsia="Times New Roman" w:hAnsi="Aptos Display" w:cs="Times New Roman"/>
                <w:b/>
                <w:bCs/>
                <w:color w:val="FFFFFF"/>
                <w:sz w:val="16"/>
                <w:szCs w:val="16"/>
                <w:lang w:eastAsia="en-AU"/>
              </w:rPr>
              <w:t>Fill Rate (%)</w:t>
            </w:r>
            <w:r w:rsidR="00AC3694">
              <w:rPr>
                <w:rStyle w:val="FootnoteReference"/>
              </w:rPr>
              <w:footnoteReference w:id="1"/>
            </w:r>
          </w:p>
        </w:tc>
        <w:tc>
          <w:tcPr>
            <w:tcW w:w="0" w:type="auto"/>
            <w:tcBorders>
              <w:top w:val="single" w:sz="4" w:space="0" w:color="auto"/>
              <w:left w:val="single" w:sz="4" w:space="0" w:color="auto"/>
              <w:bottom w:val="nil"/>
              <w:right w:val="single" w:sz="4" w:space="0" w:color="auto"/>
            </w:tcBorders>
            <w:shd w:val="clear" w:color="000000" w:fill="4B0885"/>
            <w:vAlign w:val="center"/>
            <w:hideMark/>
          </w:tcPr>
          <w:p w14:paraId="52BAB90C" w14:textId="77777777" w:rsidR="00F3575D" w:rsidRPr="00F3575D" w:rsidRDefault="00F3575D" w:rsidP="00F3575D">
            <w:pPr>
              <w:spacing w:before="0" w:after="0"/>
              <w:jc w:val="center"/>
              <w:rPr>
                <w:rFonts w:ascii="Aptos Display" w:eastAsia="Times New Roman" w:hAnsi="Aptos Display" w:cs="Times New Roman"/>
                <w:b/>
                <w:bCs/>
                <w:color w:val="FFFFFF"/>
                <w:sz w:val="16"/>
                <w:szCs w:val="16"/>
                <w:lang w:eastAsia="en-AU"/>
              </w:rPr>
            </w:pPr>
            <w:r w:rsidRPr="00F3575D">
              <w:rPr>
                <w:rFonts w:ascii="Aptos Display" w:eastAsia="Times New Roman" w:hAnsi="Aptos Display" w:cs="Times New Roman"/>
                <w:b/>
                <w:bCs/>
                <w:color w:val="FFFFFF"/>
                <w:sz w:val="16"/>
                <w:szCs w:val="16"/>
                <w:lang w:eastAsia="en-AU"/>
              </w:rPr>
              <w:t>Long-term JobSeeker Income Support (%)</w:t>
            </w:r>
          </w:p>
        </w:tc>
      </w:tr>
      <w:tr w:rsidR="00F3575D" w:rsidRPr="00F3575D" w14:paraId="798FA59C" w14:textId="77777777" w:rsidTr="00F3575D">
        <w:trPr>
          <w:trHeight w:val="29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1D9873" w14:textId="77777777" w:rsidR="00F3575D" w:rsidRPr="00F3575D" w:rsidRDefault="00F3575D" w:rsidP="00F3575D">
            <w:pPr>
              <w:spacing w:before="0" w:after="0"/>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New England &amp; North West</w:t>
            </w:r>
          </w:p>
        </w:tc>
        <w:tc>
          <w:tcPr>
            <w:tcW w:w="1933" w:type="dxa"/>
            <w:tcBorders>
              <w:top w:val="single" w:sz="4" w:space="0" w:color="auto"/>
              <w:left w:val="nil"/>
              <w:bottom w:val="single" w:sz="4" w:space="0" w:color="auto"/>
              <w:right w:val="single" w:sz="4" w:space="0" w:color="auto"/>
            </w:tcBorders>
            <w:shd w:val="clear" w:color="000000" w:fill="DAF2D0"/>
            <w:noWrap/>
            <w:vAlign w:val="bottom"/>
            <w:hideMark/>
          </w:tcPr>
          <w:p w14:paraId="686E6D16"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0.0% pts</w:t>
            </w:r>
          </w:p>
        </w:tc>
        <w:tc>
          <w:tcPr>
            <w:tcW w:w="1554" w:type="dxa"/>
            <w:tcBorders>
              <w:top w:val="single" w:sz="4" w:space="0" w:color="auto"/>
              <w:left w:val="nil"/>
              <w:bottom w:val="single" w:sz="4" w:space="0" w:color="auto"/>
              <w:right w:val="single" w:sz="4" w:space="0" w:color="auto"/>
            </w:tcBorders>
            <w:shd w:val="clear" w:color="000000" w:fill="DAF2D0"/>
            <w:noWrap/>
            <w:vAlign w:val="bottom"/>
            <w:hideMark/>
          </w:tcPr>
          <w:p w14:paraId="6F5BC1D3"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+9.3% pts</w:t>
            </w:r>
          </w:p>
        </w:tc>
        <w:tc>
          <w:tcPr>
            <w:tcW w:w="0" w:type="auto"/>
            <w:tcBorders>
              <w:top w:val="single" w:sz="4" w:space="0" w:color="auto"/>
              <w:left w:val="nil"/>
              <w:bottom w:val="single" w:sz="4" w:space="0" w:color="auto"/>
              <w:right w:val="single" w:sz="4" w:space="0" w:color="auto"/>
            </w:tcBorders>
            <w:shd w:val="clear" w:color="000000" w:fill="DAF2D0"/>
            <w:noWrap/>
            <w:vAlign w:val="bottom"/>
            <w:hideMark/>
          </w:tcPr>
          <w:p w14:paraId="2E27BDE1"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+16.5% pts</w:t>
            </w:r>
          </w:p>
        </w:tc>
        <w:tc>
          <w:tcPr>
            <w:tcW w:w="0" w:type="auto"/>
            <w:tcBorders>
              <w:top w:val="single" w:sz="4" w:space="0" w:color="auto"/>
              <w:left w:val="nil"/>
              <w:bottom w:val="single" w:sz="4" w:space="0" w:color="auto"/>
              <w:right w:val="single" w:sz="4" w:space="0" w:color="auto"/>
            </w:tcBorders>
            <w:shd w:val="clear" w:color="000000" w:fill="DAF2D0"/>
            <w:noWrap/>
            <w:vAlign w:val="bottom"/>
            <w:hideMark/>
          </w:tcPr>
          <w:p w14:paraId="45AC2EE3"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-0.2% pts</w:t>
            </w:r>
          </w:p>
        </w:tc>
      </w:tr>
      <w:tr w:rsidR="00F3575D" w:rsidRPr="00F3575D" w14:paraId="7E381EE8" w14:textId="77777777" w:rsidTr="00F3575D">
        <w:trPr>
          <w:trHeight w:val="29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16D14823" w14:textId="77777777" w:rsidR="00F3575D" w:rsidRPr="00F3575D" w:rsidRDefault="00F3575D" w:rsidP="00F3575D">
            <w:pPr>
              <w:spacing w:before="0" w:after="0"/>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Coffs Harbour Grafton</w:t>
            </w:r>
          </w:p>
        </w:tc>
        <w:tc>
          <w:tcPr>
            <w:tcW w:w="1933" w:type="dxa"/>
            <w:tcBorders>
              <w:top w:val="nil"/>
              <w:left w:val="nil"/>
              <w:bottom w:val="single" w:sz="4" w:space="0" w:color="auto"/>
              <w:right w:val="single" w:sz="4" w:space="0" w:color="auto"/>
            </w:tcBorders>
            <w:shd w:val="clear" w:color="000000" w:fill="DAF2D0"/>
            <w:noWrap/>
            <w:vAlign w:val="bottom"/>
            <w:hideMark/>
          </w:tcPr>
          <w:p w14:paraId="75C920EE"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1.0% pts</w:t>
            </w:r>
          </w:p>
        </w:tc>
        <w:tc>
          <w:tcPr>
            <w:tcW w:w="1554" w:type="dxa"/>
            <w:tcBorders>
              <w:top w:val="nil"/>
              <w:left w:val="nil"/>
              <w:bottom w:val="single" w:sz="4" w:space="0" w:color="auto"/>
              <w:right w:val="single" w:sz="4" w:space="0" w:color="auto"/>
            </w:tcBorders>
            <w:shd w:val="clear" w:color="000000" w:fill="DAF2D0"/>
            <w:noWrap/>
            <w:vAlign w:val="bottom"/>
            <w:hideMark/>
          </w:tcPr>
          <w:p w14:paraId="40014FD5"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+2.6% pts</w:t>
            </w:r>
          </w:p>
        </w:tc>
        <w:tc>
          <w:tcPr>
            <w:tcW w:w="0" w:type="auto"/>
            <w:tcBorders>
              <w:top w:val="nil"/>
              <w:left w:val="nil"/>
              <w:bottom w:val="single" w:sz="4" w:space="0" w:color="auto"/>
              <w:right w:val="single" w:sz="4" w:space="0" w:color="auto"/>
            </w:tcBorders>
            <w:shd w:val="clear" w:color="000000" w:fill="DAF2D0"/>
            <w:noWrap/>
            <w:vAlign w:val="bottom"/>
            <w:hideMark/>
          </w:tcPr>
          <w:p w14:paraId="0D608482"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+16.5% pts</w:t>
            </w:r>
          </w:p>
        </w:tc>
        <w:tc>
          <w:tcPr>
            <w:tcW w:w="0" w:type="auto"/>
            <w:tcBorders>
              <w:top w:val="nil"/>
              <w:left w:val="nil"/>
              <w:bottom w:val="single" w:sz="4" w:space="0" w:color="auto"/>
              <w:right w:val="single" w:sz="4" w:space="0" w:color="auto"/>
            </w:tcBorders>
            <w:shd w:val="clear" w:color="000000" w:fill="DAF2D0"/>
            <w:noWrap/>
            <w:vAlign w:val="bottom"/>
            <w:hideMark/>
          </w:tcPr>
          <w:p w14:paraId="4AC838CE"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-0.9% pts</w:t>
            </w:r>
          </w:p>
        </w:tc>
      </w:tr>
      <w:tr w:rsidR="00F3575D" w:rsidRPr="00F3575D" w14:paraId="48ADAA45" w14:textId="77777777" w:rsidTr="00F3575D">
        <w:trPr>
          <w:trHeight w:val="29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4A06B5F3" w14:textId="77777777" w:rsidR="00F3575D" w:rsidRPr="00F3575D" w:rsidRDefault="00F3575D" w:rsidP="00F3575D">
            <w:pPr>
              <w:spacing w:before="0" w:after="0"/>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Mid North Coast</w:t>
            </w:r>
          </w:p>
        </w:tc>
        <w:tc>
          <w:tcPr>
            <w:tcW w:w="1933" w:type="dxa"/>
            <w:tcBorders>
              <w:top w:val="nil"/>
              <w:left w:val="nil"/>
              <w:bottom w:val="single" w:sz="4" w:space="0" w:color="auto"/>
              <w:right w:val="single" w:sz="4" w:space="0" w:color="auto"/>
            </w:tcBorders>
            <w:shd w:val="clear" w:color="000000" w:fill="DAF2D0"/>
            <w:noWrap/>
            <w:vAlign w:val="bottom"/>
            <w:hideMark/>
          </w:tcPr>
          <w:p w14:paraId="7E7EF4EE"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1.2% pts</w:t>
            </w:r>
          </w:p>
        </w:tc>
        <w:tc>
          <w:tcPr>
            <w:tcW w:w="1554" w:type="dxa"/>
            <w:tcBorders>
              <w:top w:val="nil"/>
              <w:left w:val="nil"/>
              <w:bottom w:val="single" w:sz="4" w:space="0" w:color="auto"/>
              <w:right w:val="single" w:sz="4" w:space="0" w:color="auto"/>
            </w:tcBorders>
            <w:shd w:val="clear" w:color="000000" w:fill="DAF2D0"/>
            <w:noWrap/>
            <w:vAlign w:val="bottom"/>
            <w:hideMark/>
          </w:tcPr>
          <w:p w14:paraId="67873D81"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+7.3% pts</w:t>
            </w:r>
          </w:p>
        </w:tc>
        <w:tc>
          <w:tcPr>
            <w:tcW w:w="0" w:type="auto"/>
            <w:tcBorders>
              <w:top w:val="nil"/>
              <w:left w:val="nil"/>
              <w:bottom w:val="single" w:sz="4" w:space="0" w:color="auto"/>
              <w:right w:val="single" w:sz="4" w:space="0" w:color="auto"/>
            </w:tcBorders>
            <w:shd w:val="clear" w:color="000000" w:fill="DAF2D0"/>
            <w:noWrap/>
            <w:vAlign w:val="bottom"/>
            <w:hideMark/>
          </w:tcPr>
          <w:p w14:paraId="4A4F5F32"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+16.5% pts</w:t>
            </w:r>
          </w:p>
        </w:tc>
        <w:tc>
          <w:tcPr>
            <w:tcW w:w="0" w:type="auto"/>
            <w:tcBorders>
              <w:top w:val="nil"/>
              <w:left w:val="nil"/>
              <w:bottom w:val="single" w:sz="4" w:space="0" w:color="auto"/>
              <w:right w:val="single" w:sz="4" w:space="0" w:color="auto"/>
            </w:tcBorders>
            <w:shd w:val="clear" w:color="000000" w:fill="DAF2D0"/>
            <w:noWrap/>
            <w:vAlign w:val="bottom"/>
            <w:hideMark/>
          </w:tcPr>
          <w:p w14:paraId="6203D921"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-0.8% pts</w:t>
            </w:r>
          </w:p>
        </w:tc>
      </w:tr>
      <w:tr w:rsidR="00F3575D" w:rsidRPr="00F3575D" w14:paraId="465B6457" w14:textId="77777777" w:rsidTr="00F3575D">
        <w:trPr>
          <w:trHeight w:val="29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4969E664" w14:textId="77777777" w:rsidR="00F3575D" w:rsidRPr="00F3575D" w:rsidRDefault="00F3575D" w:rsidP="00F3575D">
            <w:pPr>
              <w:spacing w:before="0" w:after="0"/>
              <w:rPr>
                <w:rFonts w:ascii="Aptos Narrow" w:eastAsia="Times New Roman" w:hAnsi="Aptos Narrow" w:cs="Times New Roman"/>
                <w:i/>
                <w:iCs/>
                <w:color w:val="000000"/>
                <w:szCs w:val="22"/>
                <w:lang w:eastAsia="en-AU"/>
              </w:rPr>
            </w:pPr>
            <w:r w:rsidRPr="00F3575D">
              <w:rPr>
                <w:rFonts w:ascii="Aptos Narrow" w:eastAsia="Times New Roman" w:hAnsi="Aptos Narrow" w:cs="Times New Roman"/>
                <w:i/>
                <w:iCs/>
                <w:color w:val="000000"/>
                <w:szCs w:val="22"/>
                <w:lang w:eastAsia="en-AU"/>
              </w:rPr>
              <w:t>National average</w:t>
            </w:r>
          </w:p>
        </w:tc>
        <w:tc>
          <w:tcPr>
            <w:tcW w:w="1933" w:type="dxa"/>
            <w:tcBorders>
              <w:top w:val="nil"/>
              <w:left w:val="nil"/>
              <w:bottom w:val="single" w:sz="4" w:space="0" w:color="auto"/>
              <w:right w:val="single" w:sz="4" w:space="0" w:color="auto"/>
            </w:tcBorders>
            <w:shd w:val="clear" w:color="000000" w:fill="FFFFFF"/>
            <w:noWrap/>
            <w:vAlign w:val="bottom"/>
            <w:hideMark/>
          </w:tcPr>
          <w:p w14:paraId="7EB8758C"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0.0%</w:t>
            </w:r>
          </w:p>
        </w:tc>
        <w:tc>
          <w:tcPr>
            <w:tcW w:w="1554" w:type="dxa"/>
            <w:tcBorders>
              <w:top w:val="nil"/>
              <w:left w:val="nil"/>
              <w:bottom w:val="single" w:sz="4" w:space="0" w:color="auto"/>
              <w:right w:val="single" w:sz="4" w:space="0" w:color="auto"/>
            </w:tcBorders>
            <w:shd w:val="clear" w:color="000000" w:fill="FFFFFF"/>
            <w:noWrap/>
            <w:vAlign w:val="bottom"/>
            <w:hideMark/>
          </w:tcPr>
          <w:p w14:paraId="0582794B"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-0.3% pts</w:t>
            </w:r>
          </w:p>
        </w:tc>
        <w:tc>
          <w:tcPr>
            <w:tcW w:w="0" w:type="auto"/>
            <w:tcBorders>
              <w:top w:val="nil"/>
              <w:left w:val="nil"/>
              <w:bottom w:val="single" w:sz="4" w:space="0" w:color="auto"/>
              <w:right w:val="single" w:sz="4" w:space="0" w:color="auto"/>
            </w:tcBorders>
            <w:shd w:val="clear" w:color="000000" w:fill="FFFFFF"/>
            <w:noWrap/>
            <w:vAlign w:val="bottom"/>
            <w:hideMark/>
          </w:tcPr>
          <w:p w14:paraId="7973E86B"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-0.2% pts</w:t>
            </w:r>
          </w:p>
        </w:tc>
        <w:tc>
          <w:tcPr>
            <w:tcW w:w="0" w:type="auto"/>
            <w:tcBorders>
              <w:top w:val="nil"/>
              <w:left w:val="nil"/>
              <w:bottom w:val="single" w:sz="4" w:space="0" w:color="auto"/>
              <w:right w:val="single" w:sz="4" w:space="0" w:color="auto"/>
            </w:tcBorders>
            <w:shd w:val="clear" w:color="000000" w:fill="FFFFFF"/>
            <w:noWrap/>
            <w:vAlign w:val="bottom"/>
            <w:hideMark/>
          </w:tcPr>
          <w:p w14:paraId="6EA83738" w14:textId="77777777" w:rsidR="00F3575D" w:rsidRPr="00F3575D" w:rsidRDefault="00F3575D" w:rsidP="00F3575D">
            <w:pPr>
              <w:spacing w:before="0" w:after="0"/>
              <w:jc w:val="center"/>
              <w:rPr>
                <w:rFonts w:ascii="Aptos Narrow" w:eastAsia="Times New Roman" w:hAnsi="Aptos Narrow" w:cs="Times New Roman"/>
                <w:color w:val="000000"/>
                <w:szCs w:val="22"/>
                <w:lang w:eastAsia="en-AU"/>
              </w:rPr>
            </w:pPr>
            <w:r w:rsidRPr="00F3575D">
              <w:rPr>
                <w:rFonts w:ascii="Aptos Narrow" w:eastAsia="Times New Roman" w:hAnsi="Aptos Narrow" w:cs="Times New Roman"/>
                <w:color w:val="000000"/>
                <w:szCs w:val="22"/>
                <w:lang w:eastAsia="en-AU"/>
              </w:rPr>
              <w:t>+0.2% pts</w:t>
            </w:r>
          </w:p>
        </w:tc>
      </w:tr>
    </w:tbl>
    <w:p w14:paraId="7CC2D6F9" w14:textId="5914DB9E" w:rsidR="00F3575D" w:rsidRDefault="00F3575D" w:rsidP="00F3575D">
      <w:pPr>
        <w:pStyle w:val="Source"/>
      </w:pPr>
      <w:r>
        <w:t>Note</w:t>
      </w:r>
      <w:r w:rsidRPr="00517EEB">
        <w:rPr>
          <w:b/>
          <w:bCs w:val="0"/>
        </w:rPr>
        <w:t>: Long-term</w:t>
      </w:r>
      <w:r>
        <w:t xml:space="preserve"> </w:t>
      </w:r>
      <w:r w:rsidRPr="00D771EF">
        <w:rPr>
          <w:b/>
          <w:bCs w:val="0"/>
        </w:rPr>
        <w:t>JobSeeker Income Support</w:t>
      </w:r>
      <w:r>
        <w:t xml:space="preserve"> refers to the proportion of the working age population (15-64 years) on the JobSeeker payment and Youth Allowance (other) payment for 2 or more years</w:t>
      </w:r>
      <w:r w:rsidR="00AC3694">
        <w:t xml:space="preserve">. </w:t>
      </w:r>
    </w:p>
    <w:p w14:paraId="4A5F89E6" w14:textId="44CF41BC" w:rsidR="00C14E14" w:rsidRDefault="00C14E14" w:rsidP="00C14E14">
      <w:pPr>
        <w:pStyle w:val="Heading2"/>
        <w:rPr>
          <w:b w:val="0"/>
          <w:bCs/>
        </w:rPr>
      </w:pPr>
      <w:bookmarkStart w:id="5" w:name="_Toc238204702"/>
      <w:r>
        <w:t xml:space="preserve">Challenging labour market conditions </w:t>
      </w:r>
      <w:r w:rsidR="003C66E3">
        <w:t xml:space="preserve">persist </w:t>
      </w:r>
      <w:r>
        <w:t>in Remote</w:t>
      </w:r>
      <w:r w:rsidR="00DD04FE">
        <w:rPr>
          <w:rStyle w:val="FootnoteReference"/>
        </w:rPr>
        <w:footnoteReference w:id="2"/>
      </w:r>
      <w:r>
        <w:t xml:space="preserve"> Australia</w:t>
      </w:r>
      <w:bookmarkEnd w:id="5"/>
    </w:p>
    <w:p w14:paraId="0B8EC36A" w14:textId="261B4149" w:rsidR="00C62E5E" w:rsidRPr="00C62E5E" w:rsidRDefault="00C62E5E" w:rsidP="00C62E5E">
      <w:pPr>
        <w:pStyle w:val="BodyText"/>
        <w:rPr>
          <w:lang w:eastAsia="en-AU"/>
        </w:rPr>
      </w:pPr>
      <w:r w:rsidRPr="00C62E5E">
        <w:rPr>
          <w:lang w:eastAsia="en-AU"/>
        </w:rPr>
        <w:t xml:space="preserve">Remote Australia continues to experience the most challenging labour market conditions in the country. All six remote SA4 regions were rated 'poor' in June 2026, reflecting a longstanding pattern of relatively weaker labour market </w:t>
      </w:r>
      <w:r>
        <w:rPr>
          <w:lang w:eastAsia="en-AU"/>
        </w:rPr>
        <w:t>conditions</w:t>
      </w:r>
      <w:r w:rsidRPr="00C62E5E">
        <w:rPr>
          <w:lang w:eastAsia="en-AU"/>
        </w:rPr>
        <w:t xml:space="preserve">. </w:t>
      </w:r>
    </w:p>
    <w:p w14:paraId="48ED6DBE" w14:textId="781E883C" w:rsidR="00C62E5E" w:rsidRPr="00C62E5E" w:rsidRDefault="00C62E5E" w:rsidP="00C62E5E">
      <w:pPr>
        <w:pStyle w:val="BodyText"/>
        <w:rPr>
          <w:lang w:eastAsia="en-AU"/>
        </w:rPr>
      </w:pPr>
      <w:r w:rsidRPr="00C62E5E">
        <w:rPr>
          <w:lang w:eastAsia="en-AU"/>
        </w:rPr>
        <w:t xml:space="preserve">Table </w:t>
      </w:r>
      <w:r w:rsidR="009A2C95">
        <w:rPr>
          <w:lang w:eastAsia="en-AU"/>
        </w:rPr>
        <w:t>4</w:t>
      </w:r>
      <w:r w:rsidRPr="00C62E5E">
        <w:rPr>
          <w:lang w:eastAsia="en-AU"/>
        </w:rPr>
        <w:t xml:space="preserve"> shows a selection of key indicators contributing to the RLMI assessment for Remote Australia. Compared with the national average, Remote Australia recorded a lower working-age employment rate, a higher unemployment rate and, most notably, a substantially higher proportion of the working-age population receiving JobSeeker Income Support for </w:t>
      </w:r>
      <w:r>
        <w:rPr>
          <w:lang w:eastAsia="en-AU"/>
        </w:rPr>
        <w:t>2</w:t>
      </w:r>
      <w:r w:rsidRPr="00C62E5E">
        <w:rPr>
          <w:lang w:eastAsia="en-AU"/>
        </w:rPr>
        <w:t xml:space="preserve"> or more years. The elevated prevalence of long-term income support receipt points to entrenched labour market disadvantage and reflects the persistence of barriers to employment experienced in many remote labour markets.</w:t>
      </w:r>
    </w:p>
    <w:p w14:paraId="1CC33EC5" w14:textId="5CEFF63A" w:rsidR="00C62E5E" w:rsidRDefault="00C62E5E" w:rsidP="00C62E5E">
      <w:pPr>
        <w:pStyle w:val="Caption"/>
        <w:keepNext/>
        <w:rPr>
          <w:lang w:eastAsia="en-AU"/>
        </w:rPr>
      </w:pPr>
      <w:r>
        <w:t xml:space="preserve">Table </w:t>
      </w:r>
      <w:r w:rsidR="00CE5773">
        <w:t>4</w:t>
      </w:r>
      <w:r>
        <w:t>: Key factors used to assess labour market performance (RLMI)</w:t>
      </w:r>
    </w:p>
    <w:tbl>
      <w:tblPr>
        <w:tblW w:w="0" w:type="auto"/>
        <w:tblLook w:val="04A0" w:firstRow="1" w:lastRow="0" w:firstColumn="1" w:lastColumn="0" w:noHBand="0" w:noVBand="1"/>
      </w:tblPr>
      <w:tblGrid>
        <w:gridCol w:w="1720"/>
        <w:gridCol w:w="1836"/>
        <w:gridCol w:w="1463"/>
        <w:gridCol w:w="1570"/>
        <w:gridCol w:w="1068"/>
        <w:gridCol w:w="1360"/>
      </w:tblGrid>
      <w:tr w:rsidR="00C62E5E" w:rsidRPr="00572D2A" w14:paraId="16E81902" w14:textId="77777777" w:rsidTr="00517EEB">
        <w:trPr>
          <w:trHeight w:val="572"/>
        </w:trPr>
        <w:tc>
          <w:tcPr>
            <w:tcW w:w="0" w:type="auto"/>
            <w:tcBorders>
              <w:top w:val="single" w:sz="4" w:space="0" w:color="auto"/>
              <w:left w:val="single" w:sz="4" w:space="0" w:color="auto"/>
              <w:right w:val="single" w:sz="4" w:space="0" w:color="auto"/>
            </w:tcBorders>
            <w:shd w:val="clear" w:color="000000" w:fill="4B0885"/>
            <w:noWrap/>
            <w:vAlign w:val="bottom"/>
            <w:hideMark/>
          </w:tcPr>
          <w:p w14:paraId="094BDA8B" w14:textId="77777777" w:rsidR="00C62E5E" w:rsidRPr="00572D2A" w:rsidRDefault="00C62E5E" w:rsidP="009B64B7">
            <w:pPr>
              <w:spacing w:before="0" w:after="0"/>
              <w:rPr>
                <w:rFonts w:ascii="Aptos Narrow" w:eastAsia="Times New Roman" w:hAnsi="Aptos Narrow" w:cs="Times New Roman"/>
                <w:color w:val="FFFFFF"/>
                <w:szCs w:val="22"/>
                <w:lang w:eastAsia="en-AU"/>
              </w:rPr>
            </w:pPr>
            <w:r w:rsidRPr="00572D2A">
              <w:rPr>
                <w:rFonts w:ascii="Aptos Narrow" w:eastAsia="Times New Roman" w:hAnsi="Aptos Narrow" w:cs="Times New Roman"/>
                <w:color w:val="FFFFFF"/>
                <w:szCs w:val="22"/>
                <w:lang w:eastAsia="en-AU"/>
              </w:rPr>
              <w:t> </w:t>
            </w:r>
          </w:p>
        </w:tc>
        <w:tc>
          <w:tcPr>
            <w:tcW w:w="0" w:type="auto"/>
            <w:tcBorders>
              <w:top w:val="single" w:sz="4" w:space="0" w:color="auto"/>
              <w:left w:val="nil"/>
              <w:bottom w:val="nil"/>
              <w:right w:val="single" w:sz="4" w:space="0" w:color="auto"/>
            </w:tcBorders>
            <w:shd w:val="clear" w:color="000000" w:fill="4B0885"/>
            <w:vAlign w:val="center"/>
            <w:hideMark/>
          </w:tcPr>
          <w:p w14:paraId="3E0BCB35" w14:textId="77777777" w:rsidR="00C62E5E" w:rsidRPr="00572D2A" w:rsidRDefault="00C62E5E" w:rsidP="009B64B7">
            <w:pPr>
              <w:spacing w:before="0" w:after="0"/>
              <w:jc w:val="center"/>
              <w:rPr>
                <w:rFonts w:ascii="Aptos Display" w:eastAsia="Times New Roman" w:hAnsi="Aptos Display" w:cs="Times New Roman"/>
                <w:b/>
                <w:bCs/>
                <w:color w:val="FFFFFF"/>
                <w:sz w:val="16"/>
                <w:szCs w:val="16"/>
                <w:lang w:eastAsia="en-AU"/>
              </w:rPr>
            </w:pPr>
            <w:r w:rsidRPr="00572D2A">
              <w:rPr>
                <w:rFonts w:ascii="Aptos Display" w:eastAsia="Times New Roman" w:hAnsi="Aptos Display" w:cs="Times New Roman"/>
                <w:b/>
                <w:bCs/>
                <w:color w:val="FFFFFF"/>
                <w:sz w:val="16"/>
                <w:szCs w:val="16"/>
                <w:lang w:eastAsia="en-AU"/>
              </w:rPr>
              <w:t>Working Age (15-64 years) Employment Rate (%)</w:t>
            </w:r>
          </w:p>
        </w:tc>
        <w:tc>
          <w:tcPr>
            <w:tcW w:w="0" w:type="auto"/>
            <w:tcBorders>
              <w:top w:val="single" w:sz="4" w:space="0" w:color="auto"/>
              <w:left w:val="nil"/>
              <w:bottom w:val="nil"/>
              <w:right w:val="single" w:sz="4" w:space="0" w:color="auto"/>
            </w:tcBorders>
            <w:shd w:val="clear" w:color="000000" w:fill="4B0885"/>
            <w:vAlign w:val="center"/>
            <w:hideMark/>
          </w:tcPr>
          <w:p w14:paraId="657F7962" w14:textId="77777777" w:rsidR="00C62E5E" w:rsidRPr="00572D2A" w:rsidRDefault="00C62E5E" w:rsidP="009B64B7">
            <w:pPr>
              <w:spacing w:before="0" w:after="0"/>
              <w:jc w:val="center"/>
              <w:rPr>
                <w:rFonts w:ascii="Aptos Display" w:eastAsia="Times New Roman" w:hAnsi="Aptos Display" w:cs="Times New Roman"/>
                <w:b/>
                <w:bCs/>
                <w:color w:val="FFFFFF"/>
                <w:sz w:val="16"/>
                <w:szCs w:val="16"/>
                <w:lang w:eastAsia="en-AU"/>
              </w:rPr>
            </w:pPr>
            <w:r w:rsidRPr="00572D2A">
              <w:rPr>
                <w:rFonts w:ascii="Aptos Display" w:eastAsia="Times New Roman" w:hAnsi="Aptos Display" w:cs="Times New Roman"/>
                <w:b/>
                <w:bCs/>
                <w:color w:val="FFFFFF"/>
                <w:sz w:val="16"/>
                <w:szCs w:val="16"/>
                <w:lang w:eastAsia="en-AU"/>
              </w:rPr>
              <w:t>Unemployment Rate (%)</w:t>
            </w:r>
          </w:p>
        </w:tc>
        <w:tc>
          <w:tcPr>
            <w:tcW w:w="0" w:type="auto"/>
            <w:tcBorders>
              <w:top w:val="single" w:sz="4" w:space="0" w:color="auto"/>
              <w:left w:val="nil"/>
              <w:bottom w:val="nil"/>
              <w:right w:val="single" w:sz="4" w:space="0" w:color="auto"/>
            </w:tcBorders>
            <w:shd w:val="clear" w:color="000000" w:fill="4B0885"/>
            <w:vAlign w:val="center"/>
            <w:hideMark/>
          </w:tcPr>
          <w:p w14:paraId="6660893A" w14:textId="5F07D0C9" w:rsidR="00C62E5E" w:rsidRPr="00572D2A" w:rsidRDefault="00517EEB" w:rsidP="009B64B7">
            <w:pPr>
              <w:spacing w:before="0" w:after="0"/>
              <w:jc w:val="center"/>
              <w:rPr>
                <w:rFonts w:ascii="Aptos Display" w:eastAsia="Times New Roman" w:hAnsi="Aptos Display" w:cs="Times New Roman"/>
                <w:b/>
                <w:bCs/>
                <w:color w:val="FFFFFF"/>
                <w:sz w:val="16"/>
                <w:szCs w:val="16"/>
                <w:lang w:eastAsia="en-AU"/>
              </w:rPr>
            </w:pPr>
            <w:r>
              <w:rPr>
                <w:rFonts w:ascii="Aptos Display" w:eastAsia="Times New Roman" w:hAnsi="Aptos Display" w:cs="Times New Roman"/>
                <w:b/>
                <w:bCs/>
                <w:color w:val="FFFFFF"/>
                <w:sz w:val="16"/>
                <w:szCs w:val="16"/>
                <w:lang w:eastAsia="en-AU"/>
              </w:rPr>
              <w:t xml:space="preserve">Long-term </w:t>
            </w:r>
            <w:r w:rsidRPr="00D771EF">
              <w:rPr>
                <w:rFonts w:ascii="Aptos Display" w:eastAsia="Times New Roman" w:hAnsi="Aptos Display" w:cs="Times New Roman"/>
                <w:b/>
                <w:bCs/>
                <w:color w:val="FFFFFF"/>
                <w:sz w:val="16"/>
                <w:szCs w:val="16"/>
                <w:lang w:eastAsia="en-AU"/>
              </w:rPr>
              <w:t>JobSeeker Income Support (%)</w:t>
            </w:r>
          </w:p>
        </w:tc>
        <w:tc>
          <w:tcPr>
            <w:tcW w:w="0" w:type="auto"/>
            <w:tcBorders>
              <w:top w:val="single" w:sz="4" w:space="0" w:color="auto"/>
              <w:left w:val="nil"/>
              <w:bottom w:val="nil"/>
              <w:right w:val="single" w:sz="4" w:space="0" w:color="auto"/>
            </w:tcBorders>
            <w:shd w:val="clear" w:color="000000" w:fill="4B0885"/>
            <w:vAlign w:val="center"/>
            <w:hideMark/>
          </w:tcPr>
          <w:p w14:paraId="207D741A" w14:textId="77777777" w:rsidR="00C62E5E" w:rsidRPr="00572D2A" w:rsidRDefault="00C62E5E" w:rsidP="009B64B7">
            <w:pPr>
              <w:spacing w:before="0" w:after="0"/>
              <w:jc w:val="center"/>
              <w:rPr>
                <w:rFonts w:ascii="Aptos Display" w:eastAsia="Times New Roman" w:hAnsi="Aptos Display" w:cs="Times New Roman"/>
                <w:b/>
                <w:bCs/>
                <w:color w:val="FFFFFF"/>
                <w:sz w:val="16"/>
                <w:szCs w:val="16"/>
                <w:lang w:eastAsia="en-AU"/>
              </w:rPr>
            </w:pPr>
            <w:r w:rsidRPr="00572D2A">
              <w:rPr>
                <w:rFonts w:ascii="Aptos Display" w:eastAsia="Times New Roman" w:hAnsi="Aptos Display" w:cs="Times New Roman"/>
                <w:b/>
                <w:bCs/>
                <w:color w:val="FFFFFF"/>
                <w:sz w:val="16"/>
                <w:szCs w:val="16"/>
                <w:lang w:eastAsia="en-AU"/>
              </w:rPr>
              <w:t>Job Vacancy Rate (%)</w:t>
            </w:r>
          </w:p>
        </w:tc>
        <w:tc>
          <w:tcPr>
            <w:tcW w:w="0" w:type="auto"/>
            <w:tcBorders>
              <w:top w:val="single" w:sz="4" w:space="0" w:color="auto"/>
              <w:left w:val="nil"/>
              <w:bottom w:val="nil"/>
              <w:right w:val="single" w:sz="4" w:space="0" w:color="auto"/>
            </w:tcBorders>
            <w:shd w:val="clear" w:color="000000" w:fill="4B0885"/>
            <w:vAlign w:val="center"/>
            <w:hideMark/>
          </w:tcPr>
          <w:p w14:paraId="07DBD0DB" w14:textId="77777777" w:rsidR="00C62E5E" w:rsidRPr="00572D2A" w:rsidRDefault="00C62E5E" w:rsidP="009B64B7">
            <w:pPr>
              <w:spacing w:before="0" w:after="0"/>
              <w:jc w:val="center"/>
              <w:rPr>
                <w:rFonts w:ascii="Aptos Display" w:eastAsia="Times New Roman" w:hAnsi="Aptos Display" w:cs="Times New Roman"/>
                <w:b/>
                <w:bCs/>
                <w:color w:val="FFFFFF"/>
                <w:sz w:val="16"/>
                <w:szCs w:val="16"/>
                <w:lang w:eastAsia="en-AU"/>
              </w:rPr>
            </w:pPr>
            <w:r w:rsidRPr="00572D2A">
              <w:rPr>
                <w:rFonts w:ascii="Aptos Display" w:eastAsia="Times New Roman" w:hAnsi="Aptos Display" w:cs="Times New Roman"/>
                <w:b/>
                <w:bCs/>
                <w:color w:val="FFFFFF"/>
                <w:sz w:val="16"/>
                <w:szCs w:val="16"/>
                <w:lang w:eastAsia="en-AU"/>
              </w:rPr>
              <w:t>Job Matching Efficiency Rate (%)</w:t>
            </w:r>
          </w:p>
        </w:tc>
      </w:tr>
      <w:tr w:rsidR="00C62E5E" w:rsidRPr="00572D2A" w14:paraId="59367B11" w14:textId="77777777" w:rsidTr="00D60E16">
        <w:trPr>
          <w:trHeight w:val="300"/>
        </w:trPr>
        <w:tc>
          <w:tcPr>
            <w:tcW w:w="0" w:type="auto"/>
            <w:tcBorders>
              <w:top w:val="nil"/>
              <w:left w:val="single" w:sz="4" w:space="0" w:color="auto"/>
              <w:bottom w:val="single" w:sz="4" w:space="0" w:color="auto"/>
              <w:right w:val="single" w:sz="4" w:space="0" w:color="auto"/>
            </w:tcBorders>
            <w:shd w:val="clear" w:color="000000" w:fill="4B0885"/>
            <w:noWrap/>
            <w:vAlign w:val="bottom"/>
            <w:hideMark/>
          </w:tcPr>
          <w:p w14:paraId="61142516" w14:textId="77777777" w:rsidR="00C62E5E" w:rsidRPr="00572D2A" w:rsidRDefault="00C62E5E" w:rsidP="009B64B7">
            <w:pPr>
              <w:spacing w:before="0" w:after="0"/>
              <w:rPr>
                <w:rFonts w:ascii="Aptos Narrow" w:eastAsia="Times New Roman" w:hAnsi="Aptos Narrow" w:cs="Times New Roman"/>
                <w:color w:val="FFFFFF"/>
                <w:szCs w:val="22"/>
                <w:lang w:eastAsia="en-AU"/>
              </w:rPr>
            </w:pPr>
            <w:r w:rsidRPr="00572D2A">
              <w:rPr>
                <w:rFonts w:ascii="Aptos Narrow" w:eastAsia="Times New Roman" w:hAnsi="Aptos Narrow" w:cs="Times New Roman"/>
                <w:color w:val="FFFFFF"/>
                <w:szCs w:val="22"/>
                <w:lang w:eastAsia="en-AU"/>
              </w:rPr>
              <w:t> </w:t>
            </w:r>
          </w:p>
        </w:tc>
        <w:tc>
          <w:tcPr>
            <w:tcW w:w="0" w:type="auto"/>
            <w:tcBorders>
              <w:top w:val="nil"/>
              <w:left w:val="nil"/>
              <w:bottom w:val="nil"/>
              <w:right w:val="nil"/>
            </w:tcBorders>
            <w:shd w:val="clear" w:color="000000" w:fill="4B0885"/>
            <w:vAlign w:val="center"/>
            <w:hideMark/>
          </w:tcPr>
          <w:p w14:paraId="5CDFA225" w14:textId="77777777" w:rsidR="00C62E5E" w:rsidRPr="00572D2A" w:rsidRDefault="00C62E5E" w:rsidP="009B64B7">
            <w:pPr>
              <w:spacing w:before="0" w:after="0"/>
              <w:jc w:val="center"/>
              <w:rPr>
                <w:rFonts w:ascii="Aptos Display" w:eastAsia="Times New Roman" w:hAnsi="Aptos Display" w:cs="Times New Roman"/>
                <w:b/>
                <w:bCs/>
                <w:color w:val="FFFFFF"/>
                <w:sz w:val="16"/>
                <w:szCs w:val="16"/>
                <w:lang w:eastAsia="en-AU"/>
              </w:rPr>
            </w:pPr>
            <w:r w:rsidRPr="00572D2A">
              <w:rPr>
                <w:rFonts w:ascii="Aptos Display" w:eastAsia="Times New Roman" w:hAnsi="Aptos Display" w:cs="Times New Roman"/>
                <w:b/>
                <w:bCs/>
                <w:color w:val="FFFFFF"/>
                <w:sz w:val="16"/>
                <w:szCs w:val="16"/>
                <w:lang w:eastAsia="en-AU"/>
              </w:rPr>
              <w:t>Jun-26</w:t>
            </w:r>
          </w:p>
        </w:tc>
        <w:tc>
          <w:tcPr>
            <w:tcW w:w="0" w:type="auto"/>
            <w:tcBorders>
              <w:top w:val="nil"/>
              <w:left w:val="single" w:sz="4" w:space="0" w:color="auto"/>
              <w:bottom w:val="nil"/>
              <w:right w:val="single" w:sz="4" w:space="0" w:color="auto"/>
            </w:tcBorders>
            <w:shd w:val="clear" w:color="000000" w:fill="4B0885"/>
            <w:vAlign w:val="center"/>
            <w:hideMark/>
          </w:tcPr>
          <w:p w14:paraId="0A5C4787" w14:textId="77777777" w:rsidR="00C62E5E" w:rsidRPr="00572D2A" w:rsidRDefault="00C62E5E" w:rsidP="009B64B7">
            <w:pPr>
              <w:spacing w:before="0" w:after="0"/>
              <w:jc w:val="center"/>
              <w:rPr>
                <w:rFonts w:ascii="Aptos Display" w:eastAsia="Times New Roman" w:hAnsi="Aptos Display" w:cs="Times New Roman"/>
                <w:b/>
                <w:bCs/>
                <w:color w:val="FFFFFF"/>
                <w:sz w:val="16"/>
                <w:szCs w:val="16"/>
                <w:lang w:eastAsia="en-AU"/>
              </w:rPr>
            </w:pPr>
            <w:r w:rsidRPr="00572D2A">
              <w:rPr>
                <w:rFonts w:ascii="Aptos Display" w:eastAsia="Times New Roman" w:hAnsi="Aptos Display" w:cs="Times New Roman"/>
                <w:b/>
                <w:bCs/>
                <w:color w:val="FFFFFF"/>
                <w:sz w:val="16"/>
                <w:szCs w:val="16"/>
                <w:lang w:eastAsia="en-AU"/>
              </w:rPr>
              <w:t>Jun-26</w:t>
            </w:r>
          </w:p>
        </w:tc>
        <w:tc>
          <w:tcPr>
            <w:tcW w:w="0" w:type="auto"/>
            <w:tcBorders>
              <w:top w:val="nil"/>
              <w:left w:val="nil"/>
              <w:bottom w:val="nil"/>
              <w:right w:val="single" w:sz="4" w:space="0" w:color="auto"/>
            </w:tcBorders>
            <w:shd w:val="clear" w:color="000000" w:fill="4B0885"/>
            <w:vAlign w:val="center"/>
            <w:hideMark/>
          </w:tcPr>
          <w:p w14:paraId="1130B09B" w14:textId="77777777" w:rsidR="00C62E5E" w:rsidRPr="00572D2A" w:rsidRDefault="00C62E5E" w:rsidP="009B64B7">
            <w:pPr>
              <w:spacing w:before="0" w:after="0"/>
              <w:jc w:val="center"/>
              <w:rPr>
                <w:rFonts w:ascii="Aptos Display" w:eastAsia="Times New Roman" w:hAnsi="Aptos Display" w:cs="Times New Roman"/>
                <w:b/>
                <w:bCs/>
                <w:color w:val="FFFFFF"/>
                <w:sz w:val="16"/>
                <w:szCs w:val="16"/>
                <w:lang w:eastAsia="en-AU"/>
              </w:rPr>
            </w:pPr>
            <w:r w:rsidRPr="00572D2A">
              <w:rPr>
                <w:rFonts w:ascii="Aptos Display" w:eastAsia="Times New Roman" w:hAnsi="Aptos Display" w:cs="Times New Roman"/>
                <w:b/>
                <w:bCs/>
                <w:color w:val="FFFFFF"/>
                <w:sz w:val="16"/>
                <w:szCs w:val="16"/>
                <w:lang w:eastAsia="en-AU"/>
              </w:rPr>
              <w:t>Jun-26</w:t>
            </w:r>
          </w:p>
        </w:tc>
        <w:tc>
          <w:tcPr>
            <w:tcW w:w="0" w:type="auto"/>
            <w:tcBorders>
              <w:top w:val="nil"/>
              <w:left w:val="nil"/>
              <w:bottom w:val="nil"/>
              <w:right w:val="single" w:sz="4" w:space="0" w:color="auto"/>
            </w:tcBorders>
            <w:shd w:val="clear" w:color="000000" w:fill="4B0885"/>
            <w:vAlign w:val="center"/>
            <w:hideMark/>
          </w:tcPr>
          <w:p w14:paraId="13F3E462" w14:textId="77777777" w:rsidR="00C62E5E" w:rsidRPr="00572D2A" w:rsidRDefault="00C62E5E" w:rsidP="009B64B7">
            <w:pPr>
              <w:spacing w:before="0" w:after="0"/>
              <w:jc w:val="center"/>
              <w:rPr>
                <w:rFonts w:ascii="Aptos Display" w:eastAsia="Times New Roman" w:hAnsi="Aptos Display" w:cs="Times New Roman"/>
                <w:b/>
                <w:bCs/>
                <w:color w:val="FFFFFF"/>
                <w:sz w:val="16"/>
                <w:szCs w:val="16"/>
                <w:lang w:eastAsia="en-AU"/>
              </w:rPr>
            </w:pPr>
            <w:r w:rsidRPr="00572D2A">
              <w:rPr>
                <w:rFonts w:ascii="Aptos Display" w:eastAsia="Times New Roman" w:hAnsi="Aptos Display" w:cs="Times New Roman"/>
                <w:b/>
                <w:bCs/>
                <w:color w:val="FFFFFF"/>
                <w:sz w:val="16"/>
                <w:szCs w:val="16"/>
                <w:lang w:eastAsia="en-AU"/>
              </w:rPr>
              <w:t>Feb-26</w:t>
            </w:r>
          </w:p>
        </w:tc>
        <w:tc>
          <w:tcPr>
            <w:tcW w:w="0" w:type="auto"/>
            <w:tcBorders>
              <w:top w:val="nil"/>
              <w:left w:val="nil"/>
              <w:bottom w:val="nil"/>
              <w:right w:val="single" w:sz="4" w:space="0" w:color="auto"/>
            </w:tcBorders>
            <w:shd w:val="clear" w:color="000000" w:fill="4B0885"/>
            <w:vAlign w:val="center"/>
            <w:hideMark/>
          </w:tcPr>
          <w:p w14:paraId="0E8D2E50" w14:textId="77777777" w:rsidR="00C62E5E" w:rsidRPr="00572D2A" w:rsidRDefault="00C62E5E" w:rsidP="009B64B7">
            <w:pPr>
              <w:spacing w:before="0" w:after="0"/>
              <w:jc w:val="center"/>
              <w:rPr>
                <w:rFonts w:ascii="Aptos Display" w:eastAsia="Times New Roman" w:hAnsi="Aptos Display" w:cs="Times New Roman"/>
                <w:b/>
                <w:bCs/>
                <w:color w:val="FFFFFF"/>
                <w:sz w:val="16"/>
                <w:szCs w:val="16"/>
                <w:lang w:eastAsia="en-AU"/>
              </w:rPr>
            </w:pPr>
            <w:r w:rsidRPr="00572D2A">
              <w:rPr>
                <w:rFonts w:ascii="Aptos Display" w:eastAsia="Times New Roman" w:hAnsi="Aptos Display" w:cs="Times New Roman"/>
                <w:b/>
                <w:bCs/>
                <w:color w:val="FFFFFF"/>
                <w:sz w:val="16"/>
                <w:szCs w:val="16"/>
                <w:lang w:eastAsia="en-AU"/>
              </w:rPr>
              <w:t>Nov-25</w:t>
            </w:r>
          </w:p>
        </w:tc>
      </w:tr>
      <w:tr w:rsidR="00C62E5E" w:rsidRPr="00572D2A" w14:paraId="2AD241A8" w14:textId="77777777" w:rsidTr="00D60E16">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1C2A5F" w14:textId="77777777" w:rsidR="00C62E5E" w:rsidRPr="00572D2A" w:rsidRDefault="00C62E5E" w:rsidP="009B64B7">
            <w:pPr>
              <w:spacing w:before="0" w:after="0"/>
              <w:rPr>
                <w:rFonts w:ascii="Aptos Narrow" w:eastAsia="Times New Roman" w:hAnsi="Aptos Narrow" w:cs="Times New Roman"/>
                <w:color w:val="000000"/>
                <w:szCs w:val="22"/>
                <w:lang w:eastAsia="en-AU"/>
              </w:rPr>
            </w:pPr>
            <w:r w:rsidRPr="00572D2A">
              <w:rPr>
                <w:rFonts w:ascii="Aptos Narrow" w:eastAsia="Times New Roman" w:hAnsi="Aptos Narrow" w:cs="Times New Roman"/>
                <w:color w:val="000000"/>
                <w:szCs w:val="22"/>
                <w:lang w:eastAsia="en-AU"/>
              </w:rPr>
              <w:t>Remote Australia</w:t>
            </w:r>
          </w:p>
        </w:tc>
        <w:tc>
          <w:tcPr>
            <w:tcW w:w="0" w:type="auto"/>
            <w:tcBorders>
              <w:top w:val="single" w:sz="4" w:space="0" w:color="auto"/>
              <w:left w:val="nil"/>
              <w:bottom w:val="single" w:sz="4" w:space="0" w:color="auto"/>
              <w:right w:val="nil"/>
            </w:tcBorders>
            <w:shd w:val="clear" w:color="000000" w:fill="FFFFFF"/>
            <w:noWrap/>
            <w:vAlign w:val="bottom"/>
            <w:hideMark/>
          </w:tcPr>
          <w:p w14:paraId="45924744" w14:textId="77777777" w:rsidR="00C62E5E" w:rsidRPr="00572D2A" w:rsidRDefault="00C62E5E" w:rsidP="009B64B7">
            <w:pPr>
              <w:spacing w:before="0" w:after="0"/>
              <w:jc w:val="center"/>
              <w:rPr>
                <w:rFonts w:ascii="Aptos Narrow" w:eastAsia="Times New Roman" w:hAnsi="Aptos Narrow" w:cs="Times New Roman"/>
                <w:color w:val="000000"/>
                <w:szCs w:val="22"/>
                <w:lang w:eastAsia="en-AU"/>
              </w:rPr>
            </w:pPr>
            <w:r w:rsidRPr="00572D2A">
              <w:rPr>
                <w:rFonts w:ascii="Aptos Narrow" w:eastAsia="Times New Roman" w:hAnsi="Aptos Narrow" w:cs="Times New Roman"/>
                <w:color w:val="000000"/>
                <w:szCs w:val="22"/>
                <w:lang w:eastAsia="en-AU"/>
              </w:rPr>
              <w:t>73.5%</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C4E3DB" w14:textId="77777777" w:rsidR="00C62E5E" w:rsidRPr="00572D2A" w:rsidRDefault="00C62E5E" w:rsidP="009B64B7">
            <w:pPr>
              <w:spacing w:before="0" w:after="0"/>
              <w:jc w:val="center"/>
              <w:rPr>
                <w:rFonts w:ascii="Aptos Narrow" w:eastAsia="Times New Roman" w:hAnsi="Aptos Narrow" w:cs="Times New Roman"/>
                <w:color w:val="000000"/>
                <w:szCs w:val="22"/>
                <w:lang w:eastAsia="en-AU"/>
              </w:rPr>
            </w:pPr>
            <w:r w:rsidRPr="00572D2A">
              <w:rPr>
                <w:rFonts w:ascii="Aptos Narrow" w:eastAsia="Times New Roman" w:hAnsi="Aptos Narrow" w:cs="Times New Roman"/>
                <w:color w:val="000000"/>
                <w:szCs w:val="22"/>
                <w:lang w:eastAsia="en-AU"/>
              </w:rPr>
              <w:t>5.4%</w:t>
            </w:r>
          </w:p>
        </w:tc>
        <w:tc>
          <w:tcPr>
            <w:tcW w:w="0" w:type="auto"/>
            <w:tcBorders>
              <w:top w:val="single" w:sz="4" w:space="0" w:color="auto"/>
              <w:left w:val="nil"/>
              <w:bottom w:val="single" w:sz="4" w:space="0" w:color="auto"/>
              <w:right w:val="nil"/>
            </w:tcBorders>
            <w:shd w:val="clear" w:color="000000" w:fill="FFFFFF"/>
            <w:noWrap/>
            <w:vAlign w:val="bottom"/>
            <w:hideMark/>
          </w:tcPr>
          <w:p w14:paraId="77660E77" w14:textId="77777777" w:rsidR="00C62E5E" w:rsidRPr="00572D2A" w:rsidRDefault="00C62E5E" w:rsidP="009B64B7">
            <w:pPr>
              <w:spacing w:before="0" w:after="0"/>
              <w:jc w:val="center"/>
              <w:rPr>
                <w:rFonts w:ascii="Aptos Narrow" w:eastAsia="Times New Roman" w:hAnsi="Aptos Narrow" w:cs="Times New Roman"/>
                <w:color w:val="000000"/>
                <w:szCs w:val="22"/>
                <w:lang w:eastAsia="en-AU"/>
              </w:rPr>
            </w:pPr>
            <w:r w:rsidRPr="00572D2A">
              <w:rPr>
                <w:rFonts w:ascii="Aptos Narrow" w:eastAsia="Times New Roman" w:hAnsi="Aptos Narrow" w:cs="Times New Roman"/>
                <w:color w:val="000000"/>
                <w:szCs w:val="22"/>
                <w:lang w:eastAsia="en-AU"/>
              </w:rPr>
              <w:t>5.5%</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45D721" w14:textId="77777777" w:rsidR="00C62E5E" w:rsidRPr="00572D2A" w:rsidRDefault="00C62E5E" w:rsidP="009B64B7">
            <w:pPr>
              <w:spacing w:before="0" w:after="0"/>
              <w:jc w:val="center"/>
              <w:rPr>
                <w:rFonts w:ascii="Aptos Narrow" w:eastAsia="Times New Roman" w:hAnsi="Aptos Narrow" w:cs="Times New Roman"/>
                <w:color w:val="000000"/>
                <w:szCs w:val="22"/>
                <w:lang w:eastAsia="en-AU"/>
              </w:rPr>
            </w:pPr>
            <w:r w:rsidRPr="00572D2A">
              <w:rPr>
                <w:rFonts w:ascii="Aptos Narrow" w:eastAsia="Times New Roman" w:hAnsi="Aptos Narrow" w:cs="Times New Roman"/>
                <w:color w:val="000000"/>
                <w:szCs w:val="22"/>
                <w:lang w:eastAsia="en-AU"/>
              </w:rPr>
              <w:t>6.0%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0F5AD60C" w14:textId="77777777" w:rsidR="00C62E5E" w:rsidRPr="00572D2A" w:rsidRDefault="00C62E5E" w:rsidP="009B64B7">
            <w:pPr>
              <w:spacing w:before="0" w:after="0"/>
              <w:jc w:val="center"/>
              <w:rPr>
                <w:rFonts w:ascii="Aptos Narrow" w:eastAsia="Times New Roman" w:hAnsi="Aptos Narrow" w:cs="Times New Roman"/>
                <w:color w:val="000000"/>
                <w:szCs w:val="22"/>
                <w:lang w:eastAsia="en-AU"/>
              </w:rPr>
            </w:pPr>
            <w:r w:rsidRPr="00572D2A">
              <w:rPr>
                <w:rFonts w:ascii="Aptos Narrow" w:eastAsia="Times New Roman" w:hAnsi="Aptos Narrow" w:cs="Times New Roman"/>
                <w:color w:val="000000"/>
                <w:szCs w:val="22"/>
                <w:lang w:eastAsia="en-AU"/>
              </w:rPr>
              <w:t>60.9%</w:t>
            </w:r>
          </w:p>
        </w:tc>
      </w:tr>
      <w:tr w:rsidR="00C62E5E" w:rsidRPr="00572D2A" w14:paraId="66B00D3D" w14:textId="77777777" w:rsidTr="009B64B7">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5F2DA5D1" w14:textId="77777777" w:rsidR="00C62E5E" w:rsidRPr="00572D2A" w:rsidRDefault="00C62E5E" w:rsidP="009B64B7">
            <w:pPr>
              <w:spacing w:before="0" w:after="0"/>
              <w:rPr>
                <w:rFonts w:ascii="Aptos Narrow" w:eastAsia="Times New Roman" w:hAnsi="Aptos Narrow" w:cs="Times New Roman"/>
                <w:i/>
                <w:iCs/>
                <w:color w:val="000000"/>
                <w:szCs w:val="22"/>
                <w:lang w:eastAsia="en-AU"/>
              </w:rPr>
            </w:pPr>
            <w:r w:rsidRPr="00572D2A">
              <w:rPr>
                <w:rFonts w:ascii="Aptos Narrow" w:eastAsia="Times New Roman" w:hAnsi="Aptos Narrow" w:cs="Times New Roman"/>
                <w:i/>
                <w:iCs/>
                <w:color w:val="000000"/>
                <w:szCs w:val="22"/>
                <w:lang w:eastAsia="en-AU"/>
              </w:rPr>
              <w:t>National average</w:t>
            </w:r>
          </w:p>
        </w:tc>
        <w:tc>
          <w:tcPr>
            <w:tcW w:w="0" w:type="auto"/>
            <w:tcBorders>
              <w:top w:val="nil"/>
              <w:left w:val="nil"/>
              <w:bottom w:val="single" w:sz="4" w:space="0" w:color="auto"/>
              <w:right w:val="nil"/>
            </w:tcBorders>
            <w:shd w:val="clear" w:color="000000" w:fill="FFFFFF"/>
            <w:noWrap/>
            <w:vAlign w:val="bottom"/>
            <w:hideMark/>
          </w:tcPr>
          <w:p w14:paraId="753F3051" w14:textId="77777777" w:rsidR="00C62E5E" w:rsidRPr="00572D2A" w:rsidRDefault="00C62E5E" w:rsidP="009B64B7">
            <w:pPr>
              <w:spacing w:before="0" w:after="0"/>
              <w:jc w:val="center"/>
              <w:rPr>
                <w:rFonts w:ascii="Aptos Narrow" w:eastAsia="Times New Roman" w:hAnsi="Aptos Narrow" w:cs="Times New Roman"/>
                <w:i/>
                <w:iCs/>
                <w:color w:val="000000"/>
                <w:szCs w:val="22"/>
                <w:lang w:eastAsia="en-AU"/>
              </w:rPr>
            </w:pPr>
            <w:r w:rsidRPr="00572D2A">
              <w:rPr>
                <w:rFonts w:ascii="Aptos Narrow" w:eastAsia="Times New Roman" w:hAnsi="Aptos Narrow" w:cs="Times New Roman"/>
                <w:i/>
                <w:iCs/>
                <w:color w:val="000000"/>
                <w:szCs w:val="22"/>
                <w:lang w:eastAsia="en-AU"/>
              </w:rPr>
              <w:t>77.2%</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142D9B20" w14:textId="77777777" w:rsidR="00C62E5E" w:rsidRPr="00572D2A" w:rsidRDefault="00C62E5E" w:rsidP="009B64B7">
            <w:pPr>
              <w:spacing w:before="0" w:after="0"/>
              <w:jc w:val="center"/>
              <w:rPr>
                <w:rFonts w:ascii="Aptos Narrow" w:eastAsia="Times New Roman" w:hAnsi="Aptos Narrow" w:cs="Times New Roman"/>
                <w:i/>
                <w:iCs/>
                <w:color w:val="000000"/>
                <w:szCs w:val="22"/>
                <w:lang w:eastAsia="en-AU"/>
              </w:rPr>
            </w:pPr>
            <w:r w:rsidRPr="00572D2A">
              <w:rPr>
                <w:rFonts w:ascii="Aptos Narrow" w:eastAsia="Times New Roman" w:hAnsi="Aptos Narrow" w:cs="Times New Roman"/>
                <w:i/>
                <w:iCs/>
                <w:color w:val="000000"/>
                <w:szCs w:val="22"/>
                <w:lang w:eastAsia="en-AU"/>
              </w:rPr>
              <w:t>4.2%</w:t>
            </w:r>
          </w:p>
        </w:tc>
        <w:tc>
          <w:tcPr>
            <w:tcW w:w="0" w:type="auto"/>
            <w:tcBorders>
              <w:top w:val="nil"/>
              <w:left w:val="nil"/>
              <w:bottom w:val="single" w:sz="4" w:space="0" w:color="auto"/>
              <w:right w:val="nil"/>
            </w:tcBorders>
            <w:shd w:val="clear" w:color="000000" w:fill="FFFFFF"/>
            <w:noWrap/>
            <w:vAlign w:val="bottom"/>
            <w:hideMark/>
          </w:tcPr>
          <w:p w14:paraId="34A4CC4E" w14:textId="77777777" w:rsidR="00C62E5E" w:rsidRPr="00572D2A" w:rsidRDefault="00C62E5E" w:rsidP="009B64B7">
            <w:pPr>
              <w:spacing w:before="0" w:after="0"/>
              <w:jc w:val="center"/>
              <w:rPr>
                <w:rFonts w:ascii="Aptos Narrow" w:eastAsia="Times New Roman" w:hAnsi="Aptos Narrow" w:cs="Times New Roman"/>
                <w:i/>
                <w:iCs/>
                <w:color w:val="000000"/>
                <w:szCs w:val="22"/>
                <w:lang w:eastAsia="en-AU"/>
              </w:rPr>
            </w:pPr>
            <w:r w:rsidRPr="00572D2A">
              <w:rPr>
                <w:rFonts w:ascii="Aptos Narrow" w:eastAsia="Times New Roman" w:hAnsi="Aptos Narrow" w:cs="Times New Roman"/>
                <w:i/>
                <w:iCs/>
                <w:color w:val="000000"/>
                <w:szCs w:val="22"/>
                <w:lang w:eastAsia="en-AU"/>
              </w:rPr>
              <w:t>2.5%</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313E9039" w14:textId="77777777" w:rsidR="00C62E5E" w:rsidRPr="00572D2A" w:rsidRDefault="00C62E5E" w:rsidP="009B64B7">
            <w:pPr>
              <w:spacing w:before="0" w:after="0"/>
              <w:jc w:val="center"/>
              <w:rPr>
                <w:rFonts w:ascii="Aptos Narrow" w:eastAsia="Times New Roman" w:hAnsi="Aptos Narrow" w:cs="Times New Roman"/>
                <w:i/>
                <w:iCs/>
                <w:color w:val="000000"/>
                <w:szCs w:val="22"/>
                <w:lang w:eastAsia="en-AU"/>
              </w:rPr>
            </w:pPr>
            <w:r w:rsidRPr="00572D2A">
              <w:rPr>
                <w:rFonts w:ascii="Aptos Narrow" w:eastAsia="Times New Roman" w:hAnsi="Aptos Narrow" w:cs="Times New Roman"/>
                <w:i/>
                <w:iCs/>
                <w:color w:val="000000"/>
                <w:szCs w:val="22"/>
                <w:lang w:eastAsia="en-AU"/>
              </w:rPr>
              <w:t>3.6%</w:t>
            </w:r>
          </w:p>
        </w:tc>
        <w:tc>
          <w:tcPr>
            <w:tcW w:w="0" w:type="auto"/>
            <w:tcBorders>
              <w:top w:val="nil"/>
              <w:left w:val="nil"/>
              <w:bottom w:val="single" w:sz="4" w:space="0" w:color="auto"/>
              <w:right w:val="single" w:sz="4" w:space="0" w:color="auto"/>
            </w:tcBorders>
            <w:shd w:val="clear" w:color="000000" w:fill="FFFFFF"/>
            <w:noWrap/>
            <w:vAlign w:val="bottom"/>
            <w:hideMark/>
          </w:tcPr>
          <w:p w14:paraId="482FA3E9" w14:textId="77777777" w:rsidR="00C62E5E" w:rsidRPr="00572D2A" w:rsidRDefault="00C62E5E" w:rsidP="009B64B7">
            <w:pPr>
              <w:spacing w:before="0" w:after="0"/>
              <w:jc w:val="center"/>
              <w:rPr>
                <w:rFonts w:ascii="Aptos Narrow" w:eastAsia="Times New Roman" w:hAnsi="Aptos Narrow" w:cs="Times New Roman"/>
                <w:i/>
                <w:iCs/>
                <w:color w:val="000000"/>
                <w:szCs w:val="22"/>
                <w:lang w:eastAsia="en-AU"/>
              </w:rPr>
            </w:pPr>
            <w:r w:rsidRPr="00572D2A">
              <w:rPr>
                <w:rFonts w:ascii="Aptos Narrow" w:eastAsia="Times New Roman" w:hAnsi="Aptos Narrow" w:cs="Times New Roman"/>
                <w:i/>
                <w:iCs/>
                <w:color w:val="000000"/>
                <w:szCs w:val="22"/>
                <w:lang w:eastAsia="en-AU"/>
              </w:rPr>
              <w:t>82.2%</w:t>
            </w:r>
          </w:p>
        </w:tc>
      </w:tr>
    </w:tbl>
    <w:p w14:paraId="54F028B9" w14:textId="2D2BD6DD" w:rsidR="00517EEB" w:rsidRPr="006D0D97" w:rsidRDefault="00517EEB" w:rsidP="00517EEB">
      <w:pPr>
        <w:pStyle w:val="Source"/>
      </w:pPr>
      <w:r>
        <w:t>Note</w:t>
      </w:r>
      <w:r w:rsidRPr="00517EEB">
        <w:rPr>
          <w:b/>
          <w:bCs w:val="0"/>
        </w:rPr>
        <w:t>: Long-term</w:t>
      </w:r>
      <w:r>
        <w:t xml:space="preserve"> </w:t>
      </w:r>
      <w:r w:rsidRPr="00D771EF">
        <w:rPr>
          <w:b/>
          <w:bCs w:val="0"/>
        </w:rPr>
        <w:t>JobSeeker Income Support</w:t>
      </w:r>
      <w:r>
        <w:t xml:space="preserve"> refers to the proportion of the working age population (15-64 years) on the JobSeeker payment and Youth Allowance (other) payment for 2 or more years</w:t>
      </w:r>
      <w:r w:rsidRPr="00D771EF">
        <w:rPr>
          <w:b/>
          <w:bCs w:val="0"/>
        </w:rPr>
        <w:t xml:space="preserve">. </w:t>
      </w:r>
    </w:p>
    <w:p w14:paraId="6F2BF45A" w14:textId="673EE352" w:rsidR="001D7E00" w:rsidRPr="001D7E00" w:rsidRDefault="001D7E00" w:rsidP="00517EEB">
      <w:pPr>
        <w:pStyle w:val="BodyText"/>
        <w:rPr>
          <w:lang w:eastAsia="en-AU"/>
        </w:rPr>
      </w:pPr>
      <w:r w:rsidRPr="001D7E00">
        <w:rPr>
          <w:lang w:eastAsia="en-AU"/>
        </w:rPr>
        <w:t xml:space="preserve">At the same time, the data indicate that labour demand in Remote Australia remains relatively strong. As shown in Chart </w:t>
      </w:r>
      <w:r w:rsidR="009A2C95">
        <w:rPr>
          <w:lang w:eastAsia="en-AU"/>
        </w:rPr>
        <w:t>8</w:t>
      </w:r>
      <w:r w:rsidRPr="001D7E00">
        <w:rPr>
          <w:lang w:eastAsia="en-AU"/>
        </w:rPr>
        <w:t>, the job vacancy rate</w:t>
      </w:r>
      <w:r w:rsidR="003B6F4A">
        <w:rPr>
          <w:lang w:eastAsia="en-AU"/>
        </w:rPr>
        <w:t xml:space="preserve"> (measured using JSA’s </w:t>
      </w:r>
      <w:hyperlink r:id="rId29" w:history="1">
        <w:r w:rsidR="003B6F4A" w:rsidRPr="003B6F4A">
          <w:rPr>
            <w:rStyle w:val="Hyperlink"/>
            <w:i/>
            <w:iCs/>
            <w:lang w:eastAsia="en-AU"/>
          </w:rPr>
          <w:t>Total New Vacancies</w:t>
        </w:r>
      </w:hyperlink>
      <w:r w:rsidR="003B6F4A">
        <w:rPr>
          <w:lang w:eastAsia="en-AU"/>
        </w:rPr>
        <w:t>)</w:t>
      </w:r>
      <w:r w:rsidRPr="001D7E00">
        <w:rPr>
          <w:lang w:eastAsia="en-AU"/>
        </w:rPr>
        <w:t xml:space="preserve"> has consistently remained well above that observed in major city and regional labour markets. The job vacancy rate measures the number of new job vacancies as a proportion of the labour force and provides an indication of the availability of employment opportunities. The persistently elevated vacancy rate suggests that, despite </w:t>
      </w:r>
      <w:r w:rsidRPr="001D7E00">
        <w:rPr>
          <w:lang w:eastAsia="en-AU"/>
        </w:rPr>
        <w:lastRenderedPageBreak/>
        <w:t>generally weaker labour market conditions, there continues to be a significant number of job opportunities available across Remote Australia.</w:t>
      </w:r>
    </w:p>
    <w:p w14:paraId="33FCED8C" w14:textId="4A8C1DA5" w:rsidR="00C62E5E" w:rsidRDefault="00C62E5E" w:rsidP="00C62E5E">
      <w:pPr>
        <w:pStyle w:val="Caption"/>
        <w:keepNext/>
        <w:rPr>
          <w:lang w:eastAsia="en-AU"/>
        </w:rPr>
      </w:pPr>
      <w:r>
        <w:t xml:space="preserve">Chart </w:t>
      </w:r>
      <w:r w:rsidR="00CE5773">
        <w:t>8</w:t>
      </w:r>
      <w:r>
        <w:t>: Job vacancy rate</w:t>
      </w:r>
      <w:r>
        <w:rPr>
          <w:rStyle w:val="FootnoteReference"/>
        </w:rPr>
        <w:footnoteReference w:id="3"/>
      </w:r>
      <w:r>
        <w:t>, February 2026</w:t>
      </w:r>
    </w:p>
    <w:p w14:paraId="0931D1FB" w14:textId="77777777" w:rsidR="00C62E5E" w:rsidRDefault="00C62E5E" w:rsidP="00C62E5E">
      <w:pPr>
        <w:pStyle w:val="BodyText"/>
        <w:keepNext/>
        <w:rPr>
          <w:lang w:eastAsia="en-AU"/>
        </w:rPr>
      </w:pPr>
      <w:r>
        <w:rPr>
          <w:noProof/>
          <w:lang w:eastAsia="en-AU"/>
        </w:rPr>
        <w:drawing>
          <wp:inline distT="0" distB="0" distL="0" distR="0" wp14:anchorId="604D49DF" wp14:editId="1017CD13">
            <wp:extent cx="5730875" cy="2847340"/>
            <wp:effectExtent l="0" t="0" r="3175" b="0"/>
            <wp:docPr id="17845215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0875" cy="2847340"/>
                    </a:xfrm>
                    <a:prstGeom prst="rect">
                      <a:avLst/>
                    </a:prstGeom>
                    <a:noFill/>
                  </pic:spPr>
                </pic:pic>
              </a:graphicData>
            </a:graphic>
          </wp:inline>
        </w:drawing>
      </w:r>
    </w:p>
    <w:p w14:paraId="57512D8C" w14:textId="77777777" w:rsidR="00C62E5E" w:rsidRPr="006D0D97" w:rsidRDefault="00C62E5E" w:rsidP="00C62E5E">
      <w:pPr>
        <w:pStyle w:val="Source"/>
        <w:keepNext/>
      </w:pPr>
      <w:r>
        <w:t>Source: JSA, Total New Vacancies, February 2026 (latest available data)</w:t>
      </w:r>
    </w:p>
    <w:p w14:paraId="05C839A4" w14:textId="76E5AC73" w:rsidR="001D7E00" w:rsidRPr="001D7E00" w:rsidRDefault="001D7E00" w:rsidP="001D7E00">
      <w:pPr>
        <w:pStyle w:val="BodyText"/>
        <w:rPr>
          <w:lang w:eastAsia="en-AU"/>
        </w:rPr>
      </w:pPr>
      <w:r w:rsidRPr="001D7E00">
        <w:rPr>
          <w:lang w:eastAsia="en-AU"/>
        </w:rPr>
        <w:t xml:space="preserve">While the relatively high vacancy rate is encouraging, its persistence may also indicate difficulty filling available positions. Further evidence of recruitment challenges is provided by JSA's </w:t>
      </w:r>
      <w:hyperlink r:id="rId31" w:history="1">
        <w:r w:rsidRPr="003B6F4A">
          <w:rPr>
            <w:rStyle w:val="Hyperlink"/>
            <w:i/>
            <w:iCs/>
            <w:lang w:eastAsia="en-AU"/>
          </w:rPr>
          <w:t>Survey of Employers who have Recently Advertised</w:t>
        </w:r>
      </w:hyperlink>
      <w:r w:rsidRPr="001D7E00">
        <w:rPr>
          <w:lang w:eastAsia="en-AU"/>
        </w:rPr>
        <w:t xml:space="preserve"> (SERA)</w:t>
      </w:r>
      <w:r>
        <w:rPr>
          <w:lang w:eastAsia="en-AU"/>
        </w:rPr>
        <w:t>.</w:t>
      </w:r>
      <w:r w:rsidR="003F6ED1">
        <w:rPr>
          <w:lang w:eastAsia="en-AU"/>
        </w:rPr>
        <w:t xml:space="preserve"> </w:t>
      </w:r>
      <w:r w:rsidRPr="001D7E00">
        <w:rPr>
          <w:lang w:eastAsia="en-AU"/>
        </w:rPr>
        <w:t xml:space="preserve">As shown in Chart </w:t>
      </w:r>
      <w:r w:rsidR="009A2C95">
        <w:rPr>
          <w:lang w:eastAsia="en-AU"/>
        </w:rPr>
        <w:t>9</w:t>
      </w:r>
      <w:r w:rsidRPr="001D7E00">
        <w:rPr>
          <w:lang w:eastAsia="en-AU"/>
        </w:rPr>
        <w:t>, employers in Remote Australia receive substantially fewer applicants per vacancy than employers in major city and regional labour markets.</w:t>
      </w:r>
    </w:p>
    <w:p w14:paraId="5A0D5B74" w14:textId="77777777" w:rsidR="001D7E00" w:rsidRPr="001D7E00" w:rsidRDefault="001D7E00" w:rsidP="001D7E00">
      <w:pPr>
        <w:pStyle w:val="BodyText"/>
        <w:numPr>
          <w:ilvl w:val="0"/>
          <w:numId w:val="48"/>
        </w:numPr>
        <w:rPr>
          <w:lang w:eastAsia="en-AU"/>
        </w:rPr>
      </w:pPr>
      <w:r w:rsidRPr="001D7E00">
        <w:rPr>
          <w:lang w:eastAsia="en-AU"/>
        </w:rPr>
        <w:t>On average, skilled vacancies in Remote Australia attracted 7.6 applicants, of whom 2.3 were qualified and 1.8 were considered suitable.</w:t>
      </w:r>
    </w:p>
    <w:p w14:paraId="0592F00A" w14:textId="77777777" w:rsidR="001D7E00" w:rsidRPr="001D7E00" w:rsidRDefault="001D7E00" w:rsidP="001D7E00">
      <w:pPr>
        <w:pStyle w:val="BodyText"/>
        <w:numPr>
          <w:ilvl w:val="0"/>
          <w:numId w:val="48"/>
        </w:numPr>
        <w:rPr>
          <w:lang w:eastAsia="en-AU"/>
        </w:rPr>
      </w:pPr>
      <w:r w:rsidRPr="001D7E00">
        <w:rPr>
          <w:lang w:eastAsia="en-AU"/>
        </w:rPr>
        <w:t>This compares with 24.5 applicants, 8.5 qualified applicants and 5.3 suitable applicants per vacancy in major cities.</w:t>
      </w:r>
    </w:p>
    <w:p w14:paraId="62A8BAF7" w14:textId="77777777" w:rsidR="001D7E00" w:rsidRPr="001D7E00" w:rsidRDefault="001D7E00" w:rsidP="001D7E00">
      <w:pPr>
        <w:pStyle w:val="BodyText"/>
        <w:numPr>
          <w:ilvl w:val="0"/>
          <w:numId w:val="48"/>
        </w:numPr>
        <w:rPr>
          <w:lang w:eastAsia="en-AU"/>
        </w:rPr>
      </w:pPr>
      <w:r w:rsidRPr="001D7E00">
        <w:rPr>
          <w:lang w:eastAsia="en-AU"/>
        </w:rPr>
        <w:t xml:space="preserve">Remote Australia also recorded the lowest vacancy fill rate (42.5%), compared with 68.7% in major cities and 66.8% in regional areas. </w:t>
      </w:r>
    </w:p>
    <w:p w14:paraId="7F143D72" w14:textId="77777777" w:rsidR="001D7E00" w:rsidRPr="001D7E00" w:rsidRDefault="001D7E00" w:rsidP="001D7E00">
      <w:pPr>
        <w:pStyle w:val="BodyText"/>
        <w:rPr>
          <w:lang w:eastAsia="en-AU"/>
        </w:rPr>
      </w:pPr>
      <w:r w:rsidRPr="001D7E00">
        <w:rPr>
          <w:lang w:eastAsia="en-AU"/>
        </w:rPr>
        <w:t>These results highlight the significant recruitment challenges faced by employers across remote labour markets.</w:t>
      </w:r>
    </w:p>
    <w:p w14:paraId="1699DF35" w14:textId="3A3E0F8F" w:rsidR="00C62E5E" w:rsidRDefault="00C62E5E" w:rsidP="001D7E00">
      <w:pPr>
        <w:pStyle w:val="Caption"/>
        <w:keepNext/>
      </w:pPr>
      <w:r>
        <w:lastRenderedPageBreak/>
        <w:t xml:space="preserve">Chart </w:t>
      </w:r>
      <w:r w:rsidR="00CE5773">
        <w:t>9</w:t>
      </w:r>
      <w:r>
        <w:t>: Fill rate (%) and total, qualified, and suitable applicants per vacancy (no.), March 2026</w:t>
      </w:r>
    </w:p>
    <w:p w14:paraId="2814C03C" w14:textId="77777777" w:rsidR="00C62E5E" w:rsidRDefault="00C62E5E" w:rsidP="001D7E00">
      <w:pPr>
        <w:pStyle w:val="BodyText"/>
        <w:keepNext/>
        <w:jc w:val="center"/>
        <w:rPr>
          <w:lang w:eastAsia="en-AU"/>
        </w:rPr>
      </w:pPr>
      <w:r>
        <w:rPr>
          <w:noProof/>
          <w:lang w:eastAsia="en-AU"/>
        </w:rPr>
        <w:drawing>
          <wp:inline distT="0" distB="0" distL="0" distR="0" wp14:anchorId="35578FF2" wp14:editId="7B3A0C8E">
            <wp:extent cx="5038725" cy="3084597"/>
            <wp:effectExtent l="0" t="0" r="0" b="1905"/>
            <wp:docPr id="1042370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52484" cy="3093020"/>
                    </a:xfrm>
                    <a:prstGeom prst="rect">
                      <a:avLst/>
                    </a:prstGeom>
                    <a:noFill/>
                  </pic:spPr>
                </pic:pic>
              </a:graphicData>
            </a:graphic>
          </wp:inline>
        </w:drawing>
      </w:r>
    </w:p>
    <w:p w14:paraId="3F1F7851" w14:textId="77777777" w:rsidR="00C62E5E" w:rsidRPr="006D0D97" w:rsidRDefault="00C62E5E" w:rsidP="001D7E00">
      <w:pPr>
        <w:pStyle w:val="Source"/>
        <w:keepNext/>
      </w:pPr>
      <w:r>
        <w:t>Source: JSA, SERA, 12-months to March 2026 (latest available data)</w:t>
      </w:r>
    </w:p>
    <w:p w14:paraId="5D409FB9" w14:textId="77777777" w:rsidR="001D7E00" w:rsidRDefault="001D7E00" w:rsidP="001D7E00">
      <w:pPr>
        <w:pStyle w:val="BodyText"/>
      </w:pPr>
      <w:r w:rsidRPr="001D7E00">
        <w:t xml:space="preserve">The coexistence of plentiful job opportunities and ongoing recruitment difficulty suggests that the challenge in many remote labour markets is not solely the availability of jobs. Rather, it reflects difficulties matching available workers with available employment opportunities. </w:t>
      </w:r>
    </w:p>
    <w:p w14:paraId="788E85A7" w14:textId="5F52AA66" w:rsidR="001D7E00" w:rsidRPr="001D7E00" w:rsidRDefault="001D7E00" w:rsidP="001D7E00">
      <w:pPr>
        <w:pStyle w:val="BodyText"/>
        <w:numPr>
          <w:ilvl w:val="0"/>
          <w:numId w:val="49"/>
        </w:numPr>
      </w:pPr>
      <w:r w:rsidRPr="001D7E00">
        <w:t>Consistent with this, Remote Australia recorded a job matching efficiency rate</w:t>
      </w:r>
      <w:r>
        <w:rPr>
          <w:rStyle w:val="FootnoteReference"/>
        </w:rPr>
        <w:footnoteReference w:id="4"/>
      </w:r>
      <w:r w:rsidRPr="001D7E00">
        <w:t xml:space="preserve"> of 60.9%, substantially below the national average of 82.2% (Table </w:t>
      </w:r>
      <w:r w:rsidR="009A2C95">
        <w:t>4</w:t>
      </w:r>
      <w:r w:rsidRPr="001D7E00">
        <w:t xml:space="preserve">). </w:t>
      </w:r>
    </w:p>
    <w:p w14:paraId="73485298" w14:textId="77777777" w:rsidR="000D3729" w:rsidRDefault="001D7E00" w:rsidP="001D7E00">
      <w:pPr>
        <w:pStyle w:val="BodyText"/>
        <w:sectPr w:rsidR="000D3729" w:rsidSect="000F5CD2">
          <w:pgSz w:w="11907" w:h="16839" w:code="9"/>
          <w:pgMar w:top="1270" w:right="1440" w:bottom="1270" w:left="1440" w:header="720" w:footer="720" w:gutter="0"/>
          <w:cols w:space="720"/>
          <w:docGrid w:linePitch="360"/>
        </w:sectPr>
      </w:pPr>
      <w:r w:rsidRPr="001D7E00">
        <w:t>Taken together, these indicators suggest that labour market challenges in Remote Australia reflect both weaker labour market conditions and difficulty connecting available workers with available jobs. While employment opportunities remain available, a combination of structural barriers, recruitment difficulties and lower matching efficiency continues to constrain labour market performance across Remote Australia.</w:t>
      </w:r>
    </w:p>
    <w:p w14:paraId="0EAA4F42" w14:textId="3412C2BE" w:rsidR="001D7E00" w:rsidRDefault="000D3729" w:rsidP="004A5416">
      <w:pPr>
        <w:pStyle w:val="Heading1"/>
      </w:pPr>
      <w:bookmarkStart w:id="6" w:name="_Toc238204703"/>
      <w:r>
        <w:lastRenderedPageBreak/>
        <w:t>Appendices</w:t>
      </w:r>
      <w:bookmarkEnd w:id="6"/>
    </w:p>
    <w:p w14:paraId="6AB96147" w14:textId="71A1BA5D" w:rsidR="000D3729" w:rsidRPr="000D3729" w:rsidRDefault="00437E90" w:rsidP="004A5416">
      <w:pPr>
        <w:pStyle w:val="Heading2"/>
      </w:pPr>
      <w:bookmarkStart w:id="7" w:name="_Toc238204704"/>
      <w:r>
        <w:t xml:space="preserve">Appendix 1: </w:t>
      </w:r>
      <w:r w:rsidR="000D3729">
        <w:t>Labour Market Rating by SA4, June 2026</w:t>
      </w:r>
      <w:bookmarkEnd w:id="7"/>
    </w:p>
    <w:tbl>
      <w:tblPr>
        <w:tblW w:w="9600" w:type="dxa"/>
        <w:tblLook w:val="04A0" w:firstRow="1" w:lastRow="0" w:firstColumn="1" w:lastColumn="0" w:noHBand="0" w:noVBand="1"/>
      </w:tblPr>
      <w:tblGrid>
        <w:gridCol w:w="3320"/>
        <w:gridCol w:w="2200"/>
        <w:gridCol w:w="1460"/>
        <w:gridCol w:w="1460"/>
        <w:gridCol w:w="1160"/>
      </w:tblGrid>
      <w:tr w:rsidR="00BC1741" w:rsidRPr="00BC1741" w14:paraId="5E1B4F0D" w14:textId="77777777" w:rsidTr="00BC1741">
        <w:trPr>
          <w:trHeight w:val="255"/>
        </w:trPr>
        <w:tc>
          <w:tcPr>
            <w:tcW w:w="3320" w:type="dxa"/>
            <w:tcBorders>
              <w:top w:val="single" w:sz="4" w:space="0" w:color="auto"/>
              <w:left w:val="single" w:sz="4" w:space="0" w:color="auto"/>
              <w:bottom w:val="nil"/>
              <w:right w:val="single" w:sz="4" w:space="0" w:color="auto"/>
            </w:tcBorders>
            <w:shd w:val="clear" w:color="000000" w:fill="4B0985"/>
            <w:vAlign w:val="center"/>
            <w:hideMark/>
          </w:tcPr>
          <w:p w14:paraId="135AD3D7" w14:textId="77777777" w:rsidR="00BC1741" w:rsidRPr="00BC1741" w:rsidRDefault="00BC1741" w:rsidP="004A5416">
            <w:pPr>
              <w:spacing w:before="0" w:after="0"/>
              <w:jc w:val="center"/>
              <w:rPr>
                <w:rFonts w:eastAsia="Times New Roman" w:cs="Arial"/>
                <w:b/>
                <w:bCs/>
                <w:color w:val="FFFFFF"/>
                <w:sz w:val="18"/>
                <w:szCs w:val="18"/>
                <w:lang w:eastAsia="en-AU"/>
              </w:rPr>
            </w:pPr>
            <w:r w:rsidRPr="00BC1741">
              <w:rPr>
                <w:rFonts w:eastAsia="Times New Roman" w:cs="Arial"/>
                <w:b/>
                <w:bCs/>
                <w:color w:val="FFFFFF"/>
                <w:sz w:val="18"/>
                <w:szCs w:val="18"/>
                <w:lang w:eastAsia="en-AU"/>
              </w:rPr>
              <w:t>Statistical Area Level 4 (SA4)</w:t>
            </w:r>
          </w:p>
        </w:tc>
        <w:tc>
          <w:tcPr>
            <w:tcW w:w="2200" w:type="dxa"/>
            <w:tcBorders>
              <w:top w:val="single" w:sz="4" w:space="0" w:color="auto"/>
              <w:left w:val="nil"/>
              <w:bottom w:val="nil"/>
              <w:right w:val="nil"/>
            </w:tcBorders>
            <w:shd w:val="clear" w:color="000000" w:fill="4B0985"/>
            <w:vAlign w:val="center"/>
            <w:hideMark/>
          </w:tcPr>
          <w:p w14:paraId="1E7D962E" w14:textId="12191731" w:rsidR="00BC1741" w:rsidRPr="00BC1741" w:rsidRDefault="00BC1741" w:rsidP="004A5416">
            <w:pPr>
              <w:spacing w:before="0" w:after="0"/>
              <w:jc w:val="center"/>
              <w:rPr>
                <w:rFonts w:eastAsia="Times New Roman" w:cs="Arial"/>
                <w:b/>
                <w:bCs/>
                <w:color w:val="FFFFFF"/>
                <w:sz w:val="18"/>
                <w:szCs w:val="18"/>
                <w:lang w:eastAsia="en-AU"/>
              </w:rPr>
            </w:pPr>
            <w:r w:rsidRPr="00BC1741">
              <w:rPr>
                <w:rFonts w:eastAsia="Times New Roman" w:cs="Arial"/>
                <w:b/>
                <w:bCs/>
                <w:color w:val="FFFFFF"/>
                <w:sz w:val="18"/>
                <w:szCs w:val="18"/>
                <w:lang w:eastAsia="en-AU"/>
              </w:rPr>
              <w:t>Remoteness</w:t>
            </w:r>
          </w:p>
        </w:tc>
        <w:tc>
          <w:tcPr>
            <w:tcW w:w="1460" w:type="dxa"/>
            <w:tcBorders>
              <w:top w:val="single" w:sz="4" w:space="0" w:color="auto"/>
              <w:left w:val="single" w:sz="4" w:space="0" w:color="auto"/>
              <w:bottom w:val="single" w:sz="4" w:space="0" w:color="auto"/>
              <w:right w:val="single" w:sz="4" w:space="0" w:color="auto"/>
            </w:tcBorders>
            <w:shd w:val="clear" w:color="000000" w:fill="4B0985"/>
            <w:noWrap/>
            <w:vAlign w:val="center"/>
            <w:hideMark/>
          </w:tcPr>
          <w:p w14:paraId="52F72998" w14:textId="77777777" w:rsidR="00BC1741" w:rsidRPr="00BC1741" w:rsidRDefault="00BC1741" w:rsidP="004A5416">
            <w:pPr>
              <w:spacing w:before="0" w:after="0"/>
              <w:jc w:val="center"/>
              <w:rPr>
                <w:rFonts w:eastAsia="Times New Roman" w:cs="Arial"/>
                <w:b/>
                <w:bCs/>
                <w:color w:val="FFFFFF"/>
                <w:sz w:val="18"/>
                <w:szCs w:val="18"/>
                <w:lang w:eastAsia="en-AU"/>
              </w:rPr>
            </w:pPr>
            <w:r w:rsidRPr="00BC1741">
              <w:rPr>
                <w:rFonts w:eastAsia="Times New Roman" w:cs="Arial"/>
                <w:b/>
                <w:bCs/>
                <w:color w:val="FFFFFF"/>
                <w:sz w:val="18"/>
                <w:szCs w:val="18"/>
                <w:lang w:eastAsia="en-AU"/>
              </w:rPr>
              <w:t>Jun-25</w:t>
            </w:r>
          </w:p>
        </w:tc>
        <w:tc>
          <w:tcPr>
            <w:tcW w:w="1460" w:type="dxa"/>
            <w:tcBorders>
              <w:top w:val="single" w:sz="4" w:space="0" w:color="auto"/>
              <w:left w:val="nil"/>
              <w:bottom w:val="single" w:sz="4" w:space="0" w:color="auto"/>
              <w:right w:val="single" w:sz="4" w:space="0" w:color="auto"/>
            </w:tcBorders>
            <w:shd w:val="clear" w:color="000000" w:fill="4B0985"/>
            <w:noWrap/>
            <w:vAlign w:val="center"/>
            <w:hideMark/>
          </w:tcPr>
          <w:p w14:paraId="6F037F9D" w14:textId="77777777" w:rsidR="00BC1741" w:rsidRPr="00BC1741" w:rsidRDefault="00BC1741" w:rsidP="004A5416">
            <w:pPr>
              <w:spacing w:before="0" w:after="0"/>
              <w:jc w:val="center"/>
              <w:rPr>
                <w:rFonts w:eastAsia="Times New Roman" w:cs="Arial"/>
                <w:b/>
                <w:bCs/>
                <w:color w:val="FFFFFF"/>
                <w:sz w:val="18"/>
                <w:szCs w:val="18"/>
                <w:lang w:eastAsia="en-AU"/>
              </w:rPr>
            </w:pPr>
            <w:r w:rsidRPr="00BC1741">
              <w:rPr>
                <w:rFonts w:eastAsia="Times New Roman" w:cs="Arial"/>
                <w:b/>
                <w:bCs/>
                <w:color w:val="FFFFFF"/>
                <w:sz w:val="18"/>
                <w:szCs w:val="18"/>
                <w:lang w:eastAsia="en-AU"/>
              </w:rPr>
              <w:t>Jun-26</w:t>
            </w:r>
          </w:p>
        </w:tc>
        <w:tc>
          <w:tcPr>
            <w:tcW w:w="1160" w:type="dxa"/>
            <w:tcBorders>
              <w:top w:val="single" w:sz="4" w:space="0" w:color="auto"/>
              <w:left w:val="nil"/>
              <w:bottom w:val="single" w:sz="4" w:space="0" w:color="auto"/>
              <w:right w:val="single" w:sz="4" w:space="0" w:color="auto"/>
            </w:tcBorders>
            <w:shd w:val="clear" w:color="000000" w:fill="4B0985"/>
            <w:noWrap/>
            <w:vAlign w:val="center"/>
            <w:hideMark/>
          </w:tcPr>
          <w:p w14:paraId="74438A3D" w14:textId="2590218D" w:rsidR="00BC1741" w:rsidRPr="00BC1741" w:rsidRDefault="007B1035" w:rsidP="004A5416">
            <w:pPr>
              <w:spacing w:before="0" w:after="0"/>
              <w:jc w:val="center"/>
              <w:rPr>
                <w:rFonts w:eastAsia="Times New Roman" w:cs="Arial"/>
                <w:b/>
                <w:bCs/>
                <w:color w:val="FFFFFF"/>
                <w:sz w:val="18"/>
                <w:szCs w:val="18"/>
                <w:lang w:eastAsia="en-AU"/>
              </w:rPr>
            </w:pPr>
            <w:r>
              <w:rPr>
                <w:rFonts w:eastAsia="Times New Roman" w:cs="Arial"/>
                <w:b/>
                <w:bCs/>
                <w:color w:val="FFFFFF"/>
                <w:sz w:val="18"/>
                <w:szCs w:val="18"/>
                <w:lang w:eastAsia="en-AU"/>
              </w:rPr>
              <w:t>1-year change</w:t>
            </w:r>
          </w:p>
        </w:tc>
      </w:tr>
      <w:tr w:rsidR="00BC1741" w:rsidRPr="00BC1741" w14:paraId="3DC6CC27" w14:textId="77777777" w:rsidTr="00BC1741">
        <w:trPr>
          <w:trHeight w:val="255"/>
        </w:trPr>
        <w:tc>
          <w:tcPr>
            <w:tcW w:w="3320" w:type="dxa"/>
            <w:tcBorders>
              <w:top w:val="single" w:sz="4" w:space="0" w:color="auto"/>
              <w:left w:val="single" w:sz="4" w:space="0" w:color="auto"/>
              <w:bottom w:val="nil"/>
              <w:right w:val="single" w:sz="4" w:space="0" w:color="auto"/>
            </w:tcBorders>
            <w:noWrap/>
            <w:vAlign w:val="bottom"/>
            <w:hideMark/>
          </w:tcPr>
          <w:p w14:paraId="58B4A087"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Central Coast</w:t>
            </w:r>
          </w:p>
        </w:tc>
        <w:tc>
          <w:tcPr>
            <w:tcW w:w="2200" w:type="dxa"/>
            <w:tcBorders>
              <w:top w:val="single" w:sz="4" w:space="0" w:color="auto"/>
              <w:left w:val="nil"/>
              <w:bottom w:val="nil"/>
              <w:right w:val="nil"/>
            </w:tcBorders>
            <w:noWrap/>
            <w:vAlign w:val="bottom"/>
            <w:hideMark/>
          </w:tcPr>
          <w:p w14:paraId="247F5015"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433004D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243612A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49758D9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1E01B6C4"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0E92C146"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Baulkham Hills and Hawkesbury</w:t>
            </w:r>
          </w:p>
        </w:tc>
        <w:tc>
          <w:tcPr>
            <w:tcW w:w="2200" w:type="dxa"/>
            <w:tcBorders>
              <w:top w:val="nil"/>
              <w:left w:val="nil"/>
              <w:bottom w:val="nil"/>
              <w:right w:val="nil"/>
            </w:tcBorders>
            <w:noWrap/>
            <w:vAlign w:val="bottom"/>
            <w:hideMark/>
          </w:tcPr>
          <w:p w14:paraId="2F0D4A63"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2BEB750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02F58F2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2182479B"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04005BFC"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42CD433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Blacktown</w:t>
            </w:r>
          </w:p>
        </w:tc>
        <w:tc>
          <w:tcPr>
            <w:tcW w:w="2200" w:type="dxa"/>
            <w:tcBorders>
              <w:top w:val="nil"/>
              <w:left w:val="nil"/>
              <w:bottom w:val="nil"/>
              <w:right w:val="nil"/>
            </w:tcBorders>
            <w:noWrap/>
            <w:vAlign w:val="bottom"/>
            <w:hideMark/>
          </w:tcPr>
          <w:p w14:paraId="579754F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63A2667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6842811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nil"/>
              <w:bottom w:val="nil"/>
              <w:right w:val="single" w:sz="4" w:space="0" w:color="auto"/>
            </w:tcBorders>
            <w:noWrap/>
            <w:vAlign w:val="bottom"/>
            <w:hideMark/>
          </w:tcPr>
          <w:p w14:paraId="5A5EDAE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55781BDD"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1CD58F64"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City and Inner South</w:t>
            </w:r>
          </w:p>
        </w:tc>
        <w:tc>
          <w:tcPr>
            <w:tcW w:w="2200" w:type="dxa"/>
            <w:tcBorders>
              <w:top w:val="nil"/>
              <w:left w:val="nil"/>
              <w:bottom w:val="nil"/>
              <w:right w:val="nil"/>
            </w:tcBorders>
            <w:noWrap/>
            <w:vAlign w:val="bottom"/>
            <w:hideMark/>
          </w:tcPr>
          <w:p w14:paraId="47EAB5B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1248E9E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1242B31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23DC4CB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1A918915"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7BD1D223"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Eastern Suburbs</w:t>
            </w:r>
          </w:p>
        </w:tc>
        <w:tc>
          <w:tcPr>
            <w:tcW w:w="2200" w:type="dxa"/>
            <w:tcBorders>
              <w:top w:val="nil"/>
              <w:left w:val="nil"/>
              <w:bottom w:val="nil"/>
              <w:right w:val="nil"/>
            </w:tcBorders>
            <w:noWrap/>
            <w:vAlign w:val="bottom"/>
            <w:hideMark/>
          </w:tcPr>
          <w:p w14:paraId="3B777549"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70DB530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290C0CE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4E57D4F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05783918"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5C44A871"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Inner South West</w:t>
            </w:r>
          </w:p>
        </w:tc>
        <w:tc>
          <w:tcPr>
            <w:tcW w:w="2200" w:type="dxa"/>
            <w:tcBorders>
              <w:top w:val="nil"/>
              <w:left w:val="nil"/>
              <w:bottom w:val="nil"/>
              <w:right w:val="nil"/>
            </w:tcBorders>
            <w:noWrap/>
            <w:vAlign w:val="bottom"/>
            <w:hideMark/>
          </w:tcPr>
          <w:p w14:paraId="50FEF1A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5F88B3F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1A6DA61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7B8A58A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58555E55"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7032FE3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Inner West</w:t>
            </w:r>
          </w:p>
        </w:tc>
        <w:tc>
          <w:tcPr>
            <w:tcW w:w="2200" w:type="dxa"/>
            <w:tcBorders>
              <w:top w:val="nil"/>
              <w:left w:val="nil"/>
              <w:bottom w:val="nil"/>
              <w:right w:val="nil"/>
            </w:tcBorders>
            <w:noWrap/>
            <w:vAlign w:val="bottom"/>
            <w:hideMark/>
          </w:tcPr>
          <w:p w14:paraId="6F4EB20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390FDBA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306A894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single" w:sz="4" w:space="0" w:color="auto"/>
              <w:bottom w:val="nil"/>
              <w:right w:val="single" w:sz="4" w:space="0" w:color="auto"/>
            </w:tcBorders>
            <w:shd w:val="clear" w:color="000000" w:fill="047817"/>
            <w:noWrap/>
            <w:vAlign w:val="bottom"/>
            <w:hideMark/>
          </w:tcPr>
          <w:p w14:paraId="0221736A"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60F9A5EA"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5E10BEE4"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North Sydney and Hornsby</w:t>
            </w:r>
          </w:p>
        </w:tc>
        <w:tc>
          <w:tcPr>
            <w:tcW w:w="2200" w:type="dxa"/>
            <w:tcBorders>
              <w:top w:val="nil"/>
              <w:left w:val="nil"/>
              <w:bottom w:val="nil"/>
              <w:right w:val="nil"/>
            </w:tcBorders>
            <w:noWrap/>
            <w:vAlign w:val="bottom"/>
            <w:hideMark/>
          </w:tcPr>
          <w:p w14:paraId="437823C5"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7301087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09AEBD8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0FA8FCD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59B9751B"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645EF6F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Northern Beaches</w:t>
            </w:r>
          </w:p>
        </w:tc>
        <w:tc>
          <w:tcPr>
            <w:tcW w:w="2200" w:type="dxa"/>
            <w:tcBorders>
              <w:top w:val="nil"/>
              <w:left w:val="nil"/>
              <w:bottom w:val="nil"/>
              <w:right w:val="nil"/>
            </w:tcBorders>
            <w:noWrap/>
            <w:vAlign w:val="bottom"/>
            <w:hideMark/>
          </w:tcPr>
          <w:p w14:paraId="2A3576B1"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60171BA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718D783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5B4AA56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D0A61B8"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3ACE6839"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Outer South West</w:t>
            </w:r>
          </w:p>
        </w:tc>
        <w:tc>
          <w:tcPr>
            <w:tcW w:w="2200" w:type="dxa"/>
            <w:tcBorders>
              <w:top w:val="nil"/>
              <w:left w:val="nil"/>
              <w:bottom w:val="nil"/>
              <w:right w:val="nil"/>
            </w:tcBorders>
            <w:noWrap/>
            <w:vAlign w:val="bottom"/>
            <w:hideMark/>
          </w:tcPr>
          <w:p w14:paraId="1B811D43"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434C62E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647B811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711490F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42C933CE"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5253B1C6"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Outer West and Blue Mountains</w:t>
            </w:r>
          </w:p>
        </w:tc>
        <w:tc>
          <w:tcPr>
            <w:tcW w:w="2200" w:type="dxa"/>
            <w:tcBorders>
              <w:top w:val="nil"/>
              <w:left w:val="nil"/>
              <w:bottom w:val="nil"/>
              <w:right w:val="nil"/>
            </w:tcBorders>
            <w:noWrap/>
            <w:vAlign w:val="bottom"/>
            <w:hideMark/>
          </w:tcPr>
          <w:p w14:paraId="6FD7E247"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4810A67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41CF19F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4124FB4B"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5C139AB5"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3BD52B3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Parramatta</w:t>
            </w:r>
          </w:p>
        </w:tc>
        <w:tc>
          <w:tcPr>
            <w:tcW w:w="2200" w:type="dxa"/>
            <w:tcBorders>
              <w:top w:val="nil"/>
              <w:left w:val="nil"/>
              <w:bottom w:val="nil"/>
              <w:right w:val="nil"/>
            </w:tcBorders>
            <w:noWrap/>
            <w:vAlign w:val="bottom"/>
            <w:hideMark/>
          </w:tcPr>
          <w:p w14:paraId="7BE7E4D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0A42588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2E4C1AA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nil"/>
              <w:bottom w:val="nil"/>
              <w:right w:val="single" w:sz="4" w:space="0" w:color="auto"/>
            </w:tcBorders>
            <w:noWrap/>
            <w:vAlign w:val="bottom"/>
            <w:hideMark/>
          </w:tcPr>
          <w:p w14:paraId="38A63A3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545A66F1"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7722E5F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Ryde</w:t>
            </w:r>
          </w:p>
        </w:tc>
        <w:tc>
          <w:tcPr>
            <w:tcW w:w="2200" w:type="dxa"/>
            <w:tcBorders>
              <w:top w:val="nil"/>
              <w:left w:val="nil"/>
              <w:bottom w:val="nil"/>
              <w:right w:val="nil"/>
            </w:tcBorders>
            <w:noWrap/>
            <w:vAlign w:val="bottom"/>
            <w:hideMark/>
          </w:tcPr>
          <w:p w14:paraId="10DD619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17F5B97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48D9F63B"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6CC81F0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EEBE1FF"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2B2C15E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South West</w:t>
            </w:r>
          </w:p>
        </w:tc>
        <w:tc>
          <w:tcPr>
            <w:tcW w:w="2200" w:type="dxa"/>
            <w:tcBorders>
              <w:top w:val="nil"/>
              <w:left w:val="nil"/>
              <w:bottom w:val="nil"/>
              <w:right w:val="nil"/>
            </w:tcBorders>
            <w:noWrap/>
            <w:vAlign w:val="bottom"/>
            <w:hideMark/>
          </w:tcPr>
          <w:p w14:paraId="5550028C"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797E9C5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0940632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0629068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2D797FF9"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6A49F0F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Sydney - Sutherland</w:t>
            </w:r>
          </w:p>
        </w:tc>
        <w:tc>
          <w:tcPr>
            <w:tcW w:w="2200" w:type="dxa"/>
            <w:tcBorders>
              <w:top w:val="nil"/>
              <w:left w:val="nil"/>
              <w:bottom w:val="nil"/>
              <w:right w:val="nil"/>
            </w:tcBorders>
            <w:noWrap/>
            <w:vAlign w:val="bottom"/>
            <w:hideMark/>
          </w:tcPr>
          <w:p w14:paraId="31AF15C5"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24E2E3B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2F4678F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3D9C3A6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4DD45D60"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292F454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Capital Region</w:t>
            </w:r>
          </w:p>
        </w:tc>
        <w:tc>
          <w:tcPr>
            <w:tcW w:w="2200" w:type="dxa"/>
            <w:tcBorders>
              <w:top w:val="nil"/>
              <w:left w:val="nil"/>
              <w:bottom w:val="nil"/>
              <w:right w:val="nil"/>
            </w:tcBorders>
            <w:noWrap/>
            <w:vAlign w:val="bottom"/>
            <w:hideMark/>
          </w:tcPr>
          <w:p w14:paraId="15819C1F"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284F173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7D3B986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7251F94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7FDB694A"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670F0437"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New South Wales - Central West</w:t>
            </w:r>
          </w:p>
        </w:tc>
        <w:tc>
          <w:tcPr>
            <w:tcW w:w="2200" w:type="dxa"/>
            <w:tcBorders>
              <w:top w:val="nil"/>
              <w:left w:val="nil"/>
              <w:bottom w:val="nil"/>
              <w:right w:val="nil"/>
            </w:tcBorders>
            <w:noWrap/>
            <w:vAlign w:val="bottom"/>
            <w:hideMark/>
          </w:tcPr>
          <w:p w14:paraId="462191B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10E0DEB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1DCE0C1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04B3C6B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A4748D3"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1F63440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Coffs Harbour - Grafton</w:t>
            </w:r>
          </w:p>
        </w:tc>
        <w:tc>
          <w:tcPr>
            <w:tcW w:w="2200" w:type="dxa"/>
            <w:tcBorders>
              <w:top w:val="nil"/>
              <w:left w:val="nil"/>
              <w:bottom w:val="nil"/>
              <w:right w:val="nil"/>
            </w:tcBorders>
            <w:noWrap/>
            <w:vAlign w:val="bottom"/>
            <w:hideMark/>
          </w:tcPr>
          <w:p w14:paraId="3E359C0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29AFB06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5410376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single" w:sz="4" w:space="0" w:color="auto"/>
              <w:bottom w:val="nil"/>
              <w:right w:val="single" w:sz="4" w:space="0" w:color="auto"/>
            </w:tcBorders>
            <w:shd w:val="clear" w:color="000000" w:fill="047817"/>
            <w:noWrap/>
            <w:vAlign w:val="bottom"/>
            <w:hideMark/>
          </w:tcPr>
          <w:p w14:paraId="0D2AB3FA"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58C4492A"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5BC199AC"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Far West and Orana</w:t>
            </w:r>
          </w:p>
        </w:tc>
        <w:tc>
          <w:tcPr>
            <w:tcW w:w="2200" w:type="dxa"/>
            <w:tcBorders>
              <w:top w:val="nil"/>
              <w:left w:val="nil"/>
              <w:bottom w:val="nil"/>
              <w:right w:val="nil"/>
            </w:tcBorders>
            <w:noWrap/>
            <w:vAlign w:val="bottom"/>
            <w:hideMark/>
          </w:tcPr>
          <w:p w14:paraId="2D313F37"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Remote</w:t>
            </w:r>
          </w:p>
        </w:tc>
        <w:tc>
          <w:tcPr>
            <w:tcW w:w="1460" w:type="dxa"/>
            <w:tcBorders>
              <w:top w:val="nil"/>
              <w:left w:val="single" w:sz="4" w:space="0" w:color="auto"/>
              <w:bottom w:val="nil"/>
              <w:right w:val="single" w:sz="4" w:space="0" w:color="auto"/>
            </w:tcBorders>
            <w:noWrap/>
            <w:vAlign w:val="bottom"/>
            <w:hideMark/>
          </w:tcPr>
          <w:p w14:paraId="5552F1C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6A114B9B"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348E78F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537E27E4"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7D37C67E"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Hunter Valley exc Newcastle</w:t>
            </w:r>
          </w:p>
        </w:tc>
        <w:tc>
          <w:tcPr>
            <w:tcW w:w="2200" w:type="dxa"/>
            <w:tcBorders>
              <w:top w:val="nil"/>
              <w:left w:val="nil"/>
              <w:bottom w:val="nil"/>
              <w:right w:val="nil"/>
            </w:tcBorders>
            <w:noWrap/>
            <w:vAlign w:val="bottom"/>
            <w:hideMark/>
          </w:tcPr>
          <w:p w14:paraId="5FC6C1B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6703542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05BFB2D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single" w:sz="4" w:space="0" w:color="auto"/>
              <w:bottom w:val="nil"/>
              <w:right w:val="single" w:sz="4" w:space="0" w:color="auto"/>
            </w:tcBorders>
            <w:shd w:val="clear" w:color="000000" w:fill="047817"/>
            <w:noWrap/>
            <w:vAlign w:val="bottom"/>
            <w:hideMark/>
          </w:tcPr>
          <w:p w14:paraId="263B7EDA"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1AC8A3B0"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29CD4699"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Illawarra</w:t>
            </w:r>
          </w:p>
        </w:tc>
        <w:tc>
          <w:tcPr>
            <w:tcW w:w="2200" w:type="dxa"/>
            <w:tcBorders>
              <w:top w:val="nil"/>
              <w:left w:val="nil"/>
              <w:bottom w:val="nil"/>
              <w:right w:val="nil"/>
            </w:tcBorders>
            <w:noWrap/>
            <w:vAlign w:val="bottom"/>
            <w:hideMark/>
          </w:tcPr>
          <w:p w14:paraId="431A1D3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Cities of Regional Australia</w:t>
            </w:r>
          </w:p>
        </w:tc>
        <w:tc>
          <w:tcPr>
            <w:tcW w:w="1460" w:type="dxa"/>
            <w:tcBorders>
              <w:top w:val="nil"/>
              <w:left w:val="single" w:sz="4" w:space="0" w:color="auto"/>
              <w:bottom w:val="nil"/>
              <w:right w:val="single" w:sz="4" w:space="0" w:color="auto"/>
            </w:tcBorders>
            <w:noWrap/>
            <w:vAlign w:val="bottom"/>
            <w:hideMark/>
          </w:tcPr>
          <w:p w14:paraId="5BDFCBA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33959FF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single" w:sz="4" w:space="0" w:color="auto"/>
              <w:bottom w:val="nil"/>
              <w:right w:val="single" w:sz="4" w:space="0" w:color="auto"/>
            </w:tcBorders>
            <w:shd w:val="clear" w:color="000000" w:fill="047817"/>
            <w:noWrap/>
            <w:vAlign w:val="bottom"/>
            <w:hideMark/>
          </w:tcPr>
          <w:p w14:paraId="0E277538"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396F6B26"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1E3C4F36"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Mid North Coast</w:t>
            </w:r>
          </w:p>
        </w:tc>
        <w:tc>
          <w:tcPr>
            <w:tcW w:w="2200" w:type="dxa"/>
            <w:tcBorders>
              <w:top w:val="nil"/>
              <w:left w:val="nil"/>
              <w:bottom w:val="nil"/>
              <w:right w:val="nil"/>
            </w:tcBorders>
            <w:noWrap/>
            <w:vAlign w:val="bottom"/>
            <w:hideMark/>
          </w:tcPr>
          <w:p w14:paraId="0AB78DE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3ECBB51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27EF8CA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single" w:sz="4" w:space="0" w:color="auto"/>
              <w:bottom w:val="nil"/>
              <w:right w:val="single" w:sz="4" w:space="0" w:color="auto"/>
            </w:tcBorders>
            <w:shd w:val="clear" w:color="000000" w:fill="047817"/>
            <w:noWrap/>
            <w:vAlign w:val="bottom"/>
            <w:hideMark/>
          </w:tcPr>
          <w:p w14:paraId="2BF38CDB"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029A236A"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026E767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Murray</w:t>
            </w:r>
          </w:p>
        </w:tc>
        <w:tc>
          <w:tcPr>
            <w:tcW w:w="2200" w:type="dxa"/>
            <w:tcBorders>
              <w:top w:val="nil"/>
              <w:left w:val="nil"/>
              <w:bottom w:val="nil"/>
              <w:right w:val="nil"/>
            </w:tcBorders>
            <w:noWrap/>
            <w:vAlign w:val="bottom"/>
            <w:hideMark/>
          </w:tcPr>
          <w:p w14:paraId="62C4392E"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1CD2742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50BECFD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single" w:sz="4" w:space="0" w:color="auto"/>
              <w:bottom w:val="nil"/>
              <w:right w:val="single" w:sz="4" w:space="0" w:color="auto"/>
            </w:tcBorders>
            <w:shd w:val="clear" w:color="000000" w:fill="047817"/>
            <w:noWrap/>
            <w:vAlign w:val="bottom"/>
            <w:hideMark/>
          </w:tcPr>
          <w:p w14:paraId="43392701"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06159E97"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6E4D4903"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New England and North West</w:t>
            </w:r>
          </w:p>
        </w:tc>
        <w:tc>
          <w:tcPr>
            <w:tcW w:w="2200" w:type="dxa"/>
            <w:tcBorders>
              <w:top w:val="nil"/>
              <w:left w:val="nil"/>
              <w:bottom w:val="nil"/>
              <w:right w:val="nil"/>
            </w:tcBorders>
            <w:noWrap/>
            <w:vAlign w:val="bottom"/>
            <w:hideMark/>
          </w:tcPr>
          <w:p w14:paraId="25F6D814"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09CC358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7A2E7A1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single" w:sz="4" w:space="0" w:color="auto"/>
              <w:bottom w:val="nil"/>
              <w:right w:val="single" w:sz="4" w:space="0" w:color="auto"/>
            </w:tcBorders>
            <w:shd w:val="clear" w:color="000000" w:fill="047817"/>
            <w:noWrap/>
            <w:vAlign w:val="bottom"/>
            <w:hideMark/>
          </w:tcPr>
          <w:p w14:paraId="640DF24F"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0991C811"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0671AAD3"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Newcastle and Lake Macquarie</w:t>
            </w:r>
          </w:p>
        </w:tc>
        <w:tc>
          <w:tcPr>
            <w:tcW w:w="2200" w:type="dxa"/>
            <w:tcBorders>
              <w:top w:val="nil"/>
              <w:left w:val="nil"/>
              <w:bottom w:val="nil"/>
              <w:right w:val="nil"/>
            </w:tcBorders>
            <w:noWrap/>
            <w:vAlign w:val="bottom"/>
            <w:hideMark/>
          </w:tcPr>
          <w:p w14:paraId="51B31B5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Cities of Regional Australia</w:t>
            </w:r>
          </w:p>
        </w:tc>
        <w:tc>
          <w:tcPr>
            <w:tcW w:w="1460" w:type="dxa"/>
            <w:tcBorders>
              <w:top w:val="nil"/>
              <w:left w:val="single" w:sz="4" w:space="0" w:color="auto"/>
              <w:bottom w:val="nil"/>
              <w:right w:val="single" w:sz="4" w:space="0" w:color="auto"/>
            </w:tcBorders>
            <w:noWrap/>
            <w:vAlign w:val="bottom"/>
            <w:hideMark/>
          </w:tcPr>
          <w:p w14:paraId="5F2BFB3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35526D4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single" w:sz="4" w:space="0" w:color="auto"/>
              <w:bottom w:val="nil"/>
              <w:right w:val="single" w:sz="4" w:space="0" w:color="auto"/>
            </w:tcBorders>
            <w:shd w:val="clear" w:color="000000" w:fill="047817"/>
            <w:noWrap/>
            <w:vAlign w:val="bottom"/>
            <w:hideMark/>
          </w:tcPr>
          <w:p w14:paraId="36377BB6"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190B3FF7"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38B4EA93"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Richmond - Tweed</w:t>
            </w:r>
          </w:p>
        </w:tc>
        <w:tc>
          <w:tcPr>
            <w:tcW w:w="2200" w:type="dxa"/>
            <w:tcBorders>
              <w:top w:val="nil"/>
              <w:left w:val="nil"/>
              <w:bottom w:val="nil"/>
              <w:right w:val="nil"/>
            </w:tcBorders>
            <w:noWrap/>
            <w:vAlign w:val="bottom"/>
            <w:hideMark/>
          </w:tcPr>
          <w:p w14:paraId="0F97DE4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5037DBBB"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09F571C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281A6E6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123666DD"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5FA19D94"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Riverina</w:t>
            </w:r>
          </w:p>
        </w:tc>
        <w:tc>
          <w:tcPr>
            <w:tcW w:w="2200" w:type="dxa"/>
            <w:tcBorders>
              <w:top w:val="nil"/>
              <w:left w:val="nil"/>
              <w:bottom w:val="nil"/>
              <w:right w:val="nil"/>
            </w:tcBorders>
            <w:noWrap/>
            <w:vAlign w:val="bottom"/>
            <w:hideMark/>
          </w:tcPr>
          <w:p w14:paraId="56270F1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337B5E9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1EE7BFC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3BB4629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0714749" w14:textId="77777777" w:rsidTr="00BC1741">
        <w:trPr>
          <w:trHeight w:val="255"/>
        </w:trPr>
        <w:tc>
          <w:tcPr>
            <w:tcW w:w="3320" w:type="dxa"/>
            <w:tcBorders>
              <w:top w:val="nil"/>
              <w:left w:val="single" w:sz="4" w:space="0" w:color="auto"/>
              <w:bottom w:val="single" w:sz="4" w:space="0" w:color="auto"/>
              <w:right w:val="single" w:sz="4" w:space="0" w:color="auto"/>
            </w:tcBorders>
            <w:noWrap/>
            <w:vAlign w:val="bottom"/>
            <w:hideMark/>
          </w:tcPr>
          <w:p w14:paraId="4C14EE5F"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Southern Highlands and Shoalhaven</w:t>
            </w:r>
          </w:p>
        </w:tc>
        <w:tc>
          <w:tcPr>
            <w:tcW w:w="2200" w:type="dxa"/>
            <w:tcBorders>
              <w:top w:val="nil"/>
              <w:left w:val="nil"/>
              <w:bottom w:val="single" w:sz="4" w:space="0" w:color="auto"/>
              <w:right w:val="nil"/>
            </w:tcBorders>
            <w:noWrap/>
            <w:vAlign w:val="bottom"/>
            <w:hideMark/>
          </w:tcPr>
          <w:p w14:paraId="5A09944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single" w:sz="4" w:space="0" w:color="auto"/>
              <w:right w:val="single" w:sz="4" w:space="0" w:color="auto"/>
            </w:tcBorders>
            <w:noWrap/>
            <w:vAlign w:val="bottom"/>
            <w:hideMark/>
          </w:tcPr>
          <w:p w14:paraId="3C8ADCA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single" w:sz="4" w:space="0" w:color="auto"/>
              <w:right w:val="single" w:sz="4" w:space="0" w:color="auto"/>
            </w:tcBorders>
            <w:noWrap/>
            <w:vAlign w:val="bottom"/>
            <w:hideMark/>
          </w:tcPr>
          <w:p w14:paraId="364009F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single" w:sz="4" w:space="0" w:color="auto"/>
              <w:bottom w:val="single" w:sz="4" w:space="0" w:color="auto"/>
              <w:right w:val="single" w:sz="4" w:space="0" w:color="auto"/>
            </w:tcBorders>
            <w:shd w:val="clear" w:color="000000" w:fill="047817"/>
            <w:noWrap/>
            <w:vAlign w:val="bottom"/>
            <w:hideMark/>
          </w:tcPr>
          <w:p w14:paraId="51CA7EDA"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44C6749B"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74C8B06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Melbourne - Inner</w:t>
            </w:r>
          </w:p>
        </w:tc>
        <w:tc>
          <w:tcPr>
            <w:tcW w:w="2200" w:type="dxa"/>
            <w:tcBorders>
              <w:top w:val="nil"/>
              <w:left w:val="nil"/>
              <w:bottom w:val="nil"/>
              <w:right w:val="nil"/>
            </w:tcBorders>
            <w:noWrap/>
            <w:vAlign w:val="bottom"/>
            <w:hideMark/>
          </w:tcPr>
          <w:p w14:paraId="52246D6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5A8610B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643BFF7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single" w:sz="4" w:space="0" w:color="auto"/>
              <w:bottom w:val="nil"/>
              <w:right w:val="single" w:sz="4" w:space="0" w:color="auto"/>
            </w:tcBorders>
            <w:shd w:val="clear" w:color="000000" w:fill="B91C1C"/>
            <w:noWrap/>
            <w:vAlign w:val="bottom"/>
            <w:hideMark/>
          </w:tcPr>
          <w:p w14:paraId="6CC460E7"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Declined</w:t>
            </w:r>
          </w:p>
        </w:tc>
      </w:tr>
      <w:tr w:rsidR="00BC1741" w:rsidRPr="00BC1741" w14:paraId="547E35A8"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0C742D5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Melbourne - Inner East</w:t>
            </w:r>
          </w:p>
        </w:tc>
        <w:tc>
          <w:tcPr>
            <w:tcW w:w="2200" w:type="dxa"/>
            <w:tcBorders>
              <w:top w:val="nil"/>
              <w:left w:val="nil"/>
              <w:bottom w:val="nil"/>
              <w:right w:val="nil"/>
            </w:tcBorders>
            <w:noWrap/>
            <w:vAlign w:val="bottom"/>
            <w:hideMark/>
          </w:tcPr>
          <w:p w14:paraId="5FFCEE19"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0547207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14B4E72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7B144A9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2B862AF8"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08DD4DDE"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Melbourne - Inner South</w:t>
            </w:r>
          </w:p>
        </w:tc>
        <w:tc>
          <w:tcPr>
            <w:tcW w:w="2200" w:type="dxa"/>
            <w:tcBorders>
              <w:top w:val="nil"/>
              <w:left w:val="nil"/>
              <w:bottom w:val="nil"/>
              <w:right w:val="nil"/>
            </w:tcBorders>
            <w:noWrap/>
            <w:vAlign w:val="bottom"/>
            <w:hideMark/>
          </w:tcPr>
          <w:p w14:paraId="2D00FD57"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1A03B53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1B4BEB2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4A8A024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25DFA6DB"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552B4961"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Melbourne - North East</w:t>
            </w:r>
          </w:p>
        </w:tc>
        <w:tc>
          <w:tcPr>
            <w:tcW w:w="2200" w:type="dxa"/>
            <w:tcBorders>
              <w:top w:val="nil"/>
              <w:left w:val="nil"/>
              <w:bottom w:val="nil"/>
              <w:right w:val="nil"/>
            </w:tcBorders>
            <w:noWrap/>
            <w:vAlign w:val="bottom"/>
            <w:hideMark/>
          </w:tcPr>
          <w:p w14:paraId="78AAED8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5067EF7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3E5BBAA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601522A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4F7871F0"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1010E3E5"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Melbourne - North West</w:t>
            </w:r>
          </w:p>
        </w:tc>
        <w:tc>
          <w:tcPr>
            <w:tcW w:w="2200" w:type="dxa"/>
            <w:tcBorders>
              <w:top w:val="nil"/>
              <w:left w:val="nil"/>
              <w:bottom w:val="nil"/>
              <w:right w:val="nil"/>
            </w:tcBorders>
            <w:noWrap/>
            <w:vAlign w:val="bottom"/>
            <w:hideMark/>
          </w:tcPr>
          <w:p w14:paraId="730394D7"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6B71F55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0DDDE08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13FC41E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712A9F8E"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5AB7E12C"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Melbourne - Outer East</w:t>
            </w:r>
          </w:p>
        </w:tc>
        <w:tc>
          <w:tcPr>
            <w:tcW w:w="2200" w:type="dxa"/>
            <w:tcBorders>
              <w:top w:val="nil"/>
              <w:left w:val="nil"/>
              <w:bottom w:val="nil"/>
              <w:right w:val="nil"/>
            </w:tcBorders>
            <w:noWrap/>
            <w:vAlign w:val="bottom"/>
            <w:hideMark/>
          </w:tcPr>
          <w:p w14:paraId="5B463EC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30E36AC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1F84324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2D88B8E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0E0D81D7"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0B37ED6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Melbourne - South East</w:t>
            </w:r>
          </w:p>
        </w:tc>
        <w:tc>
          <w:tcPr>
            <w:tcW w:w="2200" w:type="dxa"/>
            <w:tcBorders>
              <w:top w:val="nil"/>
              <w:left w:val="nil"/>
              <w:bottom w:val="nil"/>
              <w:right w:val="nil"/>
            </w:tcBorders>
            <w:noWrap/>
            <w:vAlign w:val="bottom"/>
            <w:hideMark/>
          </w:tcPr>
          <w:p w14:paraId="7B9BEBD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27B2E23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149CDC1B"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nil"/>
              <w:bottom w:val="nil"/>
              <w:right w:val="single" w:sz="4" w:space="0" w:color="auto"/>
            </w:tcBorders>
            <w:noWrap/>
            <w:vAlign w:val="bottom"/>
            <w:hideMark/>
          </w:tcPr>
          <w:p w14:paraId="60B4AAE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7CF60C7"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373ADCB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Melbourne - West</w:t>
            </w:r>
          </w:p>
        </w:tc>
        <w:tc>
          <w:tcPr>
            <w:tcW w:w="2200" w:type="dxa"/>
            <w:tcBorders>
              <w:top w:val="nil"/>
              <w:left w:val="nil"/>
              <w:bottom w:val="nil"/>
              <w:right w:val="nil"/>
            </w:tcBorders>
            <w:noWrap/>
            <w:vAlign w:val="bottom"/>
            <w:hideMark/>
          </w:tcPr>
          <w:p w14:paraId="68330B03"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093A4F7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1D06D50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nil"/>
              <w:bottom w:val="nil"/>
              <w:right w:val="single" w:sz="4" w:space="0" w:color="auto"/>
            </w:tcBorders>
            <w:noWrap/>
            <w:vAlign w:val="bottom"/>
            <w:hideMark/>
          </w:tcPr>
          <w:p w14:paraId="2A28519B"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15BF4262"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19C09859"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Mornington Peninsula</w:t>
            </w:r>
          </w:p>
        </w:tc>
        <w:tc>
          <w:tcPr>
            <w:tcW w:w="2200" w:type="dxa"/>
            <w:tcBorders>
              <w:top w:val="nil"/>
              <w:left w:val="nil"/>
              <w:bottom w:val="nil"/>
              <w:right w:val="nil"/>
            </w:tcBorders>
            <w:noWrap/>
            <w:vAlign w:val="bottom"/>
            <w:hideMark/>
          </w:tcPr>
          <w:p w14:paraId="0CA150F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23AB19C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7607995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1C91859B"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0CD7612A"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6562707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Ballarat</w:t>
            </w:r>
          </w:p>
        </w:tc>
        <w:tc>
          <w:tcPr>
            <w:tcW w:w="2200" w:type="dxa"/>
            <w:tcBorders>
              <w:top w:val="nil"/>
              <w:left w:val="nil"/>
              <w:bottom w:val="nil"/>
              <w:right w:val="nil"/>
            </w:tcBorders>
            <w:noWrap/>
            <w:vAlign w:val="bottom"/>
            <w:hideMark/>
          </w:tcPr>
          <w:p w14:paraId="0C82187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75F0874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2781D18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3A4F3CA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CEB3556"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3DB7311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Bendigo</w:t>
            </w:r>
          </w:p>
        </w:tc>
        <w:tc>
          <w:tcPr>
            <w:tcW w:w="2200" w:type="dxa"/>
            <w:tcBorders>
              <w:top w:val="nil"/>
              <w:left w:val="nil"/>
              <w:bottom w:val="nil"/>
              <w:right w:val="nil"/>
            </w:tcBorders>
            <w:noWrap/>
            <w:vAlign w:val="bottom"/>
            <w:hideMark/>
          </w:tcPr>
          <w:p w14:paraId="37E33F55"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2401830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690BC97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043D40C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7E7B0E8B"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266A07A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Geelong</w:t>
            </w:r>
          </w:p>
        </w:tc>
        <w:tc>
          <w:tcPr>
            <w:tcW w:w="2200" w:type="dxa"/>
            <w:tcBorders>
              <w:top w:val="nil"/>
              <w:left w:val="nil"/>
              <w:bottom w:val="nil"/>
              <w:right w:val="nil"/>
            </w:tcBorders>
            <w:noWrap/>
            <w:vAlign w:val="bottom"/>
            <w:hideMark/>
          </w:tcPr>
          <w:p w14:paraId="4CB52CBF"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Cities of Regional Australia</w:t>
            </w:r>
          </w:p>
        </w:tc>
        <w:tc>
          <w:tcPr>
            <w:tcW w:w="1460" w:type="dxa"/>
            <w:tcBorders>
              <w:top w:val="nil"/>
              <w:left w:val="single" w:sz="4" w:space="0" w:color="auto"/>
              <w:bottom w:val="nil"/>
              <w:right w:val="single" w:sz="4" w:space="0" w:color="auto"/>
            </w:tcBorders>
            <w:noWrap/>
            <w:vAlign w:val="bottom"/>
            <w:hideMark/>
          </w:tcPr>
          <w:p w14:paraId="5D827E5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7236B3F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37A2E01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4A7FE2E3"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51E9DBF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Hume</w:t>
            </w:r>
          </w:p>
        </w:tc>
        <w:tc>
          <w:tcPr>
            <w:tcW w:w="2200" w:type="dxa"/>
            <w:tcBorders>
              <w:top w:val="nil"/>
              <w:left w:val="nil"/>
              <w:bottom w:val="nil"/>
              <w:right w:val="nil"/>
            </w:tcBorders>
            <w:noWrap/>
            <w:vAlign w:val="bottom"/>
            <w:hideMark/>
          </w:tcPr>
          <w:p w14:paraId="13A76054"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17273DB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5776C4E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026DD48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4F9146C6"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27300B1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Latrobe - Gippsland</w:t>
            </w:r>
          </w:p>
        </w:tc>
        <w:tc>
          <w:tcPr>
            <w:tcW w:w="2200" w:type="dxa"/>
            <w:tcBorders>
              <w:top w:val="nil"/>
              <w:left w:val="nil"/>
              <w:bottom w:val="nil"/>
              <w:right w:val="nil"/>
            </w:tcBorders>
            <w:noWrap/>
            <w:vAlign w:val="bottom"/>
            <w:hideMark/>
          </w:tcPr>
          <w:p w14:paraId="7927308C"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6F7E62F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5EA7A48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nil"/>
              <w:bottom w:val="nil"/>
              <w:right w:val="single" w:sz="4" w:space="0" w:color="auto"/>
            </w:tcBorders>
            <w:noWrap/>
            <w:vAlign w:val="bottom"/>
            <w:hideMark/>
          </w:tcPr>
          <w:p w14:paraId="605FA03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6CC6ADD"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13550501"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Victoria - North West</w:t>
            </w:r>
          </w:p>
        </w:tc>
        <w:tc>
          <w:tcPr>
            <w:tcW w:w="2200" w:type="dxa"/>
            <w:tcBorders>
              <w:top w:val="nil"/>
              <w:left w:val="nil"/>
              <w:bottom w:val="nil"/>
              <w:right w:val="nil"/>
            </w:tcBorders>
            <w:noWrap/>
            <w:vAlign w:val="bottom"/>
            <w:hideMark/>
          </w:tcPr>
          <w:p w14:paraId="3FADC07E"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07BE866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3336F51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5E65146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5A7ECDF" w14:textId="77777777" w:rsidTr="00BC1741">
        <w:trPr>
          <w:trHeight w:val="255"/>
        </w:trPr>
        <w:tc>
          <w:tcPr>
            <w:tcW w:w="3320" w:type="dxa"/>
            <w:tcBorders>
              <w:top w:val="nil"/>
              <w:left w:val="single" w:sz="4" w:space="0" w:color="auto"/>
              <w:bottom w:val="nil"/>
              <w:right w:val="single" w:sz="4" w:space="0" w:color="auto"/>
            </w:tcBorders>
            <w:noWrap/>
            <w:vAlign w:val="bottom"/>
            <w:hideMark/>
          </w:tcPr>
          <w:p w14:paraId="4B2C8A0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Shepparton</w:t>
            </w:r>
          </w:p>
        </w:tc>
        <w:tc>
          <w:tcPr>
            <w:tcW w:w="2200" w:type="dxa"/>
            <w:tcBorders>
              <w:top w:val="nil"/>
              <w:left w:val="nil"/>
              <w:bottom w:val="nil"/>
              <w:right w:val="nil"/>
            </w:tcBorders>
            <w:noWrap/>
            <w:vAlign w:val="bottom"/>
            <w:hideMark/>
          </w:tcPr>
          <w:p w14:paraId="06B753E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4219C0D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7107093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35F93D0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F27F18A" w14:textId="77777777" w:rsidTr="00BC1741">
        <w:trPr>
          <w:trHeight w:val="255"/>
        </w:trPr>
        <w:tc>
          <w:tcPr>
            <w:tcW w:w="3320" w:type="dxa"/>
            <w:tcBorders>
              <w:top w:val="nil"/>
              <w:left w:val="single" w:sz="4" w:space="0" w:color="auto"/>
              <w:bottom w:val="single" w:sz="4" w:space="0" w:color="auto"/>
              <w:right w:val="single" w:sz="4" w:space="0" w:color="auto"/>
            </w:tcBorders>
            <w:noWrap/>
            <w:vAlign w:val="bottom"/>
            <w:hideMark/>
          </w:tcPr>
          <w:p w14:paraId="0636F5F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Warrnambool and South West</w:t>
            </w:r>
          </w:p>
        </w:tc>
        <w:tc>
          <w:tcPr>
            <w:tcW w:w="2200" w:type="dxa"/>
            <w:tcBorders>
              <w:top w:val="nil"/>
              <w:left w:val="nil"/>
              <w:bottom w:val="single" w:sz="4" w:space="0" w:color="auto"/>
              <w:right w:val="nil"/>
            </w:tcBorders>
            <w:noWrap/>
            <w:vAlign w:val="bottom"/>
            <w:hideMark/>
          </w:tcPr>
          <w:p w14:paraId="0587AFA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single" w:sz="4" w:space="0" w:color="auto"/>
              <w:right w:val="single" w:sz="4" w:space="0" w:color="auto"/>
            </w:tcBorders>
            <w:noWrap/>
            <w:vAlign w:val="bottom"/>
            <w:hideMark/>
          </w:tcPr>
          <w:p w14:paraId="41692FE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single" w:sz="4" w:space="0" w:color="auto"/>
              <w:right w:val="single" w:sz="4" w:space="0" w:color="auto"/>
            </w:tcBorders>
            <w:noWrap/>
            <w:vAlign w:val="bottom"/>
            <w:hideMark/>
          </w:tcPr>
          <w:p w14:paraId="7B5F227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single" w:sz="4" w:space="0" w:color="auto"/>
              <w:right w:val="single" w:sz="4" w:space="0" w:color="auto"/>
            </w:tcBorders>
            <w:noWrap/>
            <w:vAlign w:val="bottom"/>
            <w:hideMark/>
          </w:tcPr>
          <w:p w14:paraId="0BB9BA2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bl>
    <w:p w14:paraId="0066E4BD" w14:textId="58E4DAC9" w:rsidR="000D3729" w:rsidRDefault="000D3729" w:rsidP="004A5416">
      <w:pPr>
        <w:rPr>
          <w:i/>
          <w:iCs/>
          <w:sz w:val="18"/>
          <w:szCs w:val="18"/>
        </w:rPr>
      </w:pPr>
      <w:r w:rsidRPr="005B548E">
        <w:rPr>
          <w:i/>
          <w:iCs/>
          <w:sz w:val="18"/>
          <w:szCs w:val="18"/>
        </w:rPr>
        <w:t xml:space="preserve">Source: JSA, Regional Labour Market Indicator (RLMI), </w:t>
      </w:r>
      <w:r w:rsidR="00437E90">
        <w:rPr>
          <w:i/>
          <w:iCs/>
          <w:sz w:val="18"/>
          <w:szCs w:val="18"/>
        </w:rPr>
        <w:t>June</w:t>
      </w:r>
      <w:r>
        <w:rPr>
          <w:i/>
          <w:iCs/>
          <w:sz w:val="18"/>
          <w:szCs w:val="18"/>
        </w:rPr>
        <w:t xml:space="preserve"> 2026</w:t>
      </w:r>
    </w:p>
    <w:p w14:paraId="785C5D57" w14:textId="77777777" w:rsidR="00437E90" w:rsidRDefault="00437E90" w:rsidP="004A5416">
      <w:pPr>
        <w:rPr>
          <w:i/>
          <w:iCs/>
          <w:sz w:val="18"/>
          <w:szCs w:val="18"/>
        </w:rPr>
      </w:pPr>
    </w:p>
    <w:p w14:paraId="0661CE3A" w14:textId="220A188B" w:rsidR="000D3729" w:rsidRPr="000E05A6" w:rsidRDefault="000D3729" w:rsidP="004A5416">
      <w:pPr>
        <w:rPr>
          <w:i/>
          <w:iCs/>
          <w:sz w:val="18"/>
          <w:szCs w:val="18"/>
        </w:rPr>
      </w:pPr>
      <w:r>
        <w:rPr>
          <w:i/>
          <w:iCs/>
          <w:sz w:val="18"/>
          <w:szCs w:val="18"/>
        </w:rPr>
        <w:lastRenderedPageBreak/>
        <w:t>Note: T</w:t>
      </w:r>
      <w:r w:rsidRPr="000E05A6">
        <w:rPr>
          <w:i/>
          <w:iCs/>
          <w:sz w:val="18"/>
          <w:szCs w:val="18"/>
        </w:rPr>
        <w:t xml:space="preserve">he remoteness classification is a bespoke, Statistical Area 4 (SA4) level typology </w:t>
      </w:r>
      <w:r>
        <w:rPr>
          <w:i/>
          <w:iCs/>
          <w:sz w:val="18"/>
          <w:szCs w:val="18"/>
        </w:rPr>
        <w:t>that draws</w:t>
      </w:r>
      <w:r w:rsidRPr="000E05A6">
        <w:rPr>
          <w:i/>
          <w:iCs/>
          <w:sz w:val="18"/>
          <w:szCs w:val="18"/>
        </w:rPr>
        <w:t xml:space="preserve"> on elements of the ASGS main and remoteness structures and</w:t>
      </w:r>
      <w:r>
        <w:rPr>
          <w:i/>
          <w:iCs/>
          <w:sz w:val="18"/>
          <w:szCs w:val="18"/>
        </w:rPr>
        <w:t xml:space="preserve"> is </w:t>
      </w:r>
      <w:r w:rsidRPr="000E05A6">
        <w:rPr>
          <w:i/>
          <w:iCs/>
          <w:sz w:val="18"/>
          <w:szCs w:val="18"/>
        </w:rPr>
        <w:t>supported by factors such as population size and density, and proximity to major centres</w:t>
      </w:r>
      <w:r>
        <w:rPr>
          <w:i/>
          <w:iCs/>
          <w:sz w:val="18"/>
          <w:szCs w:val="18"/>
        </w:rPr>
        <w:t xml:space="preserve">. The classification is not </w:t>
      </w:r>
      <w:r w:rsidRPr="000E05A6">
        <w:rPr>
          <w:i/>
          <w:iCs/>
          <w:sz w:val="18"/>
          <w:szCs w:val="18"/>
        </w:rPr>
        <w:t>directly concordant with standard ABS classifications.</w:t>
      </w:r>
    </w:p>
    <w:p w14:paraId="4611907D" w14:textId="77777777" w:rsidR="00437E90" w:rsidRDefault="00437E90" w:rsidP="004A5416">
      <w:pPr>
        <w:pStyle w:val="Heading2"/>
        <w:sectPr w:rsidR="00437E90" w:rsidSect="000F5CD2">
          <w:pgSz w:w="11907" w:h="16839" w:code="9"/>
          <w:pgMar w:top="1270" w:right="1440" w:bottom="1270" w:left="1440" w:header="720" w:footer="720" w:gutter="0"/>
          <w:cols w:space="720"/>
          <w:docGrid w:linePitch="360"/>
        </w:sectPr>
      </w:pPr>
    </w:p>
    <w:tbl>
      <w:tblPr>
        <w:tblW w:w="9600" w:type="dxa"/>
        <w:tblLook w:val="04A0" w:firstRow="1" w:lastRow="0" w:firstColumn="1" w:lastColumn="0" w:noHBand="0" w:noVBand="1"/>
      </w:tblPr>
      <w:tblGrid>
        <w:gridCol w:w="3347"/>
        <w:gridCol w:w="2173"/>
        <w:gridCol w:w="1460"/>
        <w:gridCol w:w="1460"/>
        <w:gridCol w:w="1160"/>
      </w:tblGrid>
      <w:tr w:rsidR="00BC1741" w:rsidRPr="00BC1741" w14:paraId="2BB8F84A" w14:textId="77777777" w:rsidTr="00BC1741">
        <w:trPr>
          <w:trHeight w:val="255"/>
        </w:trPr>
        <w:tc>
          <w:tcPr>
            <w:tcW w:w="3347" w:type="dxa"/>
            <w:tcBorders>
              <w:top w:val="nil"/>
              <w:left w:val="single" w:sz="4" w:space="0" w:color="auto"/>
              <w:bottom w:val="nil"/>
              <w:right w:val="single" w:sz="4" w:space="0" w:color="auto"/>
            </w:tcBorders>
            <w:shd w:val="clear" w:color="000000" w:fill="4B0985"/>
            <w:vAlign w:val="center"/>
            <w:hideMark/>
          </w:tcPr>
          <w:p w14:paraId="5A707AB0" w14:textId="77777777" w:rsidR="00BC1741" w:rsidRPr="00BC1741" w:rsidRDefault="00BC1741" w:rsidP="004A5416">
            <w:pPr>
              <w:spacing w:before="0" w:after="0"/>
              <w:jc w:val="center"/>
              <w:rPr>
                <w:rFonts w:eastAsia="Times New Roman" w:cs="Arial"/>
                <w:b/>
                <w:bCs/>
                <w:color w:val="FFFFFF"/>
                <w:sz w:val="18"/>
                <w:szCs w:val="18"/>
                <w:lang w:eastAsia="en-AU"/>
              </w:rPr>
            </w:pPr>
            <w:r w:rsidRPr="00BC1741">
              <w:rPr>
                <w:rFonts w:eastAsia="Times New Roman" w:cs="Arial"/>
                <w:b/>
                <w:bCs/>
                <w:color w:val="FFFFFF"/>
                <w:sz w:val="18"/>
                <w:szCs w:val="18"/>
                <w:lang w:eastAsia="en-AU"/>
              </w:rPr>
              <w:lastRenderedPageBreak/>
              <w:t>Statistical Area Level 4 (SA4)</w:t>
            </w:r>
          </w:p>
        </w:tc>
        <w:tc>
          <w:tcPr>
            <w:tcW w:w="2173" w:type="dxa"/>
            <w:tcBorders>
              <w:top w:val="single" w:sz="4" w:space="0" w:color="auto"/>
              <w:left w:val="nil"/>
              <w:bottom w:val="nil"/>
              <w:right w:val="nil"/>
            </w:tcBorders>
            <w:shd w:val="clear" w:color="000000" w:fill="4B0985"/>
            <w:vAlign w:val="center"/>
            <w:hideMark/>
          </w:tcPr>
          <w:p w14:paraId="281FA328" w14:textId="123B58E2" w:rsidR="00BC1741" w:rsidRPr="00BC1741" w:rsidRDefault="00BC1741" w:rsidP="004A5416">
            <w:pPr>
              <w:spacing w:before="0" w:after="0"/>
              <w:jc w:val="center"/>
              <w:rPr>
                <w:rFonts w:eastAsia="Times New Roman" w:cs="Arial"/>
                <w:b/>
                <w:bCs/>
                <w:color w:val="FFFFFF"/>
                <w:sz w:val="18"/>
                <w:szCs w:val="18"/>
                <w:lang w:eastAsia="en-AU"/>
              </w:rPr>
            </w:pPr>
            <w:r w:rsidRPr="00BC1741">
              <w:rPr>
                <w:rFonts w:eastAsia="Times New Roman" w:cs="Arial"/>
                <w:b/>
                <w:bCs/>
                <w:color w:val="FFFFFF"/>
                <w:sz w:val="18"/>
                <w:szCs w:val="18"/>
                <w:lang w:eastAsia="en-AU"/>
              </w:rPr>
              <w:t>Remoteness</w:t>
            </w:r>
          </w:p>
        </w:tc>
        <w:tc>
          <w:tcPr>
            <w:tcW w:w="1460" w:type="dxa"/>
            <w:tcBorders>
              <w:top w:val="nil"/>
              <w:left w:val="nil"/>
              <w:bottom w:val="single" w:sz="4" w:space="0" w:color="auto"/>
              <w:right w:val="nil"/>
            </w:tcBorders>
            <w:shd w:val="clear" w:color="000000" w:fill="4B0985"/>
            <w:noWrap/>
            <w:vAlign w:val="center"/>
            <w:hideMark/>
          </w:tcPr>
          <w:p w14:paraId="60C2FA9D" w14:textId="77777777" w:rsidR="00BC1741" w:rsidRPr="00BC1741" w:rsidRDefault="00BC1741" w:rsidP="004A5416">
            <w:pPr>
              <w:spacing w:before="0" w:after="0"/>
              <w:jc w:val="center"/>
              <w:rPr>
                <w:rFonts w:eastAsia="Times New Roman" w:cs="Arial"/>
                <w:b/>
                <w:bCs/>
                <w:color w:val="FFFFFF"/>
                <w:sz w:val="18"/>
                <w:szCs w:val="18"/>
                <w:lang w:eastAsia="en-AU"/>
              </w:rPr>
            </w:pPr>
            <w:r w:rsidRPr="00BC1741">
              <w:rPr>
                <w:rFonts w:eastAsia="Times New Roman" w:cs="Arial"/>
                <w:b/>
                <w:bCs/>
                <w:color w:val="FFFFFF"/>
                <w:sz w:val="18"/>
                <w:szCs w:val="18"/>
                <w:lang w:eastAsia="en-AU"/>
              </w:rPr>
              <w:t>Jun-25</w:t>
            </w:r>
          </w:p>
        </w:tc>
        <w:tc>
          <w:tcPr>
            <w:tcW w:w="1460" w:type="dxa"/>
            <w:tcBorders>
              <w:top w:val="nil"/>
              <w:left w:val="nil"/>
              <w:bottom w:val="single" w:sz="4" w:space="0" w:color="auto"/>
              <w:right w:val="nil"/>
            </w:tcBorders>
            <w:shd w:val="clear" w:color="000000" w:fill="4B0985"/>
            <w:noWrap/>
            <w:vAlign w:val="center"/>
            <w:hideMark/>
          </w:tcPr>
          <w:p w14:paraId="33154502" w14:textId="77777777" w:rsidR="00BC1741" w:rsidRPr="00BC1741" w:rsidRDefault="00BC1741" w:rsidP="004A5416">
            <w:pPr>
              <w:spacing w:before="0" w:after="0"/>
              <w:jc w:val="center"/>
              <w:rPr>
                <w:rFonts w:eastAsia="Times New Roman" w:cs="Arial"/>
                <w:b/>
                <w:bCs/>
                <w:color w:val="FFFFFF"/>
                <w:sz w:val="18"/>
                <w:szCs w:val="18"/>
                <w:lang w:eastAsia="en-AU"/>
              </w:rPr>
            </w:pPr>
            <w:r w:rsidRPr="00BC1741">
              <w:rPr>
                <w:rFonts w:eastAsia="Times New Roman" w:cs="Arial"/>
                <w:b/>
                <w:bCs/>
                <w:color w:val="FFFFFF"/>
                <w:sz w:val="18"/>
                <w:szCs w:val="18"/>
                <w:lang w:eastAsia="en-AU"/>
              </w:rPr>
              <w:t>Jun-26</w:t>
            </w:r>
          </w:p>
        </w:tc>
        <w:tc>
          <w:tcPr>
            <w:tcW w:w="1160" w:type="dxa"/>
            <w:tcBorders>
              <w:top w:val="nil"/>
              <w:left w:val="single" w:sz="4" w:space="0" w:color="auto"/>
              <w:bottom w:val="single" w:sz="4" w:space="0" w:color="auto"/>
              <w:right w:val="single" w:sz="4" w:space="0" w:color="auto"/>
            </w:tcBorders>
            <w:shd w:val="clear" w:color="000000" w:fill="4B0985"/>
            <w:noWrap/>
            <w:vAlign w:val="center"/>
            <w:hideMark/>
          </w:tcPr>
          <w:p w14:paraId="52052DC0" w14:textId="61FF1CB4" w:rsidR="00BC1741" w:rsidRPr="00BC1741" w:rsidRDefault="007B1035" w:rsidP="004A5416">
            <w:pPr>
              <w:spacing w:before="0" w:after="0"/>
              <w:jc w:val="center"/>
              <w:rPr>
                <w:rFonts w:eastAsia="Times New Roman" w:cs="Arial"/>
                <w:b/>
                <w:bCs/>
                <w:color w:val="FFFFFF"/>
                <w:sz w:val="18"/>
                <w:szCs w:val="18"/>
                <w:lang w:eastAsia="en-AU"/>
              </w:rPr>
            </w:pPr>
            <w:r>
              <w:rPr>
                <w:rFonts w:eastAsia="Times New Roman" w:cs="Arial"/>
                <w:b/>
                <w:bCs/>
                <w:color w:val="FFFFFF"/>
                <w:sz w:val="18"/>
                <w:szCs w:val="18"/>
                <w:lang w:eastAsia="en-AU"/>
              </w:rPr>
              <w:t>1-year change</w:t>
            </w:r>
          </w:p>
        </w:tc>
      </w:tr>
      <w:tr w:rsidR="00BC1741" w:rsidRPr="00BC1741" w14:paraId="3A90B878"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721A0B0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Brisbane - East</w:t>
            </w:r>
          </w:p>
        </w:tc>
        <w:tc>
          <w:tcPr>
            <w:tcW w:w="2173" w:type="dxa"/>
            <w:tcBorders>
              <w:top w:val="nil"/>
              <w:left w:val="nil"/>
              <w:bottom w:val="nil"/>
              <w:right w:val="nil"/>
            </w:tcBorders>
            <w:noWrap/>
            <w:vAlign w:val="bottom"/>
            <w:hideMark/>
          </w:tcPr>
          <w:p w14:paraId="6C268EDE"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1E43CDD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2A3B857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487B3AE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0D078C33"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5D019EAC"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Brisbane - North</w:t>
            </w:r>
          </w:p>
        </w:tc>
        <w:tc>
          <w:tcPr>
            <w:tcW w:w="2173" w:type="dxa"/>
            <w:tcBorders>
              <w:top w:val="nil"/>
              <w:left w:val="nil"/>
              <w:bottom w:val="nil"/>
              <w:right w:val="nil"/>
            </w:tcBorders>
            <w:noWrap/>
            <w:vAlign w:val="bottom"/>
            <w:hideMark/>
          </w:tcPr>
          <w:p w14:paraId="2231067A"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4DD22F9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13779ED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6F14D3A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18D4A0CD"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759A49B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Brisbane - South</w:t>
            </w:r>
          </w:p>
        </w:tc>
        <w:tc>
          <w:tcPr>
            <w:tcW w:w="2173" w:type="dxa"/>
            <w:tcBorders>
              <w:top w:val="nil"/>
              <w:left w:val="nil"/>
              <w:bottom w:val="nil"/>
              <w:right w:val="nil"/>
            </w:tcBorders>
            <w:noWrap/>
            <w:vAlign w:val="bottom"/>
            <w:hideMark/>
          </w:tcPr>
          <w:p w14:paraId="3B0B768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41CF12F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4016E26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48F9238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0F10F882"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30299923"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Brisbane - West</w:t>
            </w:r>
          </w:p>
        </w:tc>
        <w:tc>
          <w:tcPr>
            <w:tcW w:w="2173" w:type="dxa"/>
            <w:tcBorders>
              <w:top w:val="nil"/>
              <w:left w:val="nil"/>
              <w:bottom w:val="nil"/>
              <w:right w:val="nil"/>
            </w:tcBorders>
            <w:noWrap/>
            <w:vAlign w:val="bottom"/>
            <w:hideMark/>
          </w:tcPr>
          <w:p w14:paraId="46E4A43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4C7BA26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3E12F30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single" w:sz="4" w:space="0" w:color="auto"/>
              <w:bottom w:val="nil"/>
              <w:right w:val="single" w:sz="4" w:space="0" w:color="auto"/>
            </w:tcBorders>
            <w:shd w:val="clear" w:color="000000" w:fill="B91C1C"/>
            <w:noWrap/>
            <w:vAlign w:val="bottom"/>
            <w:hideMark/>
          </w:tcPr>
          <w:p w14:paraId="78026606"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Declined</w:t>
            </w:r>
          </w:p>
        </w:tc>
      </w:tr>
      <w:tr w:rsidR="00BC1741" w:rsidRPr="00BC1741" w14:paraId="7C36541F"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191A3E5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Brisbane Inner City</w:t>
            </w:r>
          </w:p>
        </w:tc>
        <w:tc>
          <w:tcPr>
            <w:tcW w:w="2173" w:type="dxa"/>
            <w:tcBorders>
              <w:top w:val="nil"/>
              <w:left w:val="nil"/>
              <w:bottom w:val="nil"/>
              <w:right w:val="nil"/>
            </w:tcBorders>
            <w:noWrap/>
            <w:vAlign w:val="bottom"/>
            <w:hideMark/>
          </w:tcPr>
          <w:p w14:paraId="1ED5478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7726A07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1FE6266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5B5C3A5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5F46B5A"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4B461E86"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Ipswich</w:t>
            </w:r>
          </w:p>
        </w:tc>
        <w:tc>
          <w:tcPr>
            <w:tcW w:w="2173" w:type="dxa"/>
            <w:tcBorders>
              <w:top w:val="nil"/>
              <w:left w:val="nil"/>
              <w:bottom w:val="nil"/>
              <w:right w:val="nil"/>
            </w:tcBorders>
            <w:noWrap/>
            <w:vAlign w:val="bottom"/>
            <w:hideMark/>
          </w:tcPr>
          <w:p w14:paraId="5C0DDEDC"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1B2B722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6CC6AF3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single" w:sz="4" w:space="0" w:color="auto"/>
              <w:bottom w:val="nil"/>
              <w:right w:val="single" w:sz="4" w:space="0" w:color="auto"/>
            </w:tcBorders>
            <w:shd w:val="clear" w:color="000000" w:fill="B91C1C"/>
            <w:noWrap/>
            <w:vAlign w:val="bottom"/>
            <w:hideMark/>
          </w:tcPr>
          <w:p w14:paraId="1D3C862F"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Declined</w:t>
            </w:r>
          </w:p>
        </w:tc>
      </w:tr>
      <w:tr w:rsidR="00BC1741" w:rsidRPr="00BC1741" w14:paraId="1DDD4BF6"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7CC730F6"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Logan - Beaudesert</w:t>
            </w:r>
          </w:p>
        </w:tc>
        <w:tc>
          <w:tcPr>
            <w:tcW w:w="2173" w:type="dxa"/>
            <w:tcBorders>
              <w:top w:val="nil"/>
              <w:left w:val="nil"/>
              <w:bottom w:val="nil"/>
              <w:right w:val="nil"/>
            </w:tcBorders>
            <w:noWrap/>
            <w:vAlign w:val="bottom"/>
            <w:hideMark/>
          </w:tcPr>
          <w:p w14:paraId="00AE4256"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38337F2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2AA312C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4D14466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0C96B083"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4DB7E9D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Moreton Bay - North</w:t>
            </w:r>
          </w:p>
        </w:tc>
        <w:tc>
          <w:tcPr>
            <w:tcW w:w="2173" w:type="dxa"/>
            <w:tcBorders>
              <w:top w:val="nil"/>
              <w:left w:val="nil"/>
              <w:bottom w:val="nil"/>
              <w:right w:val="nil"/>
            </w:tcBorders>
            <w:noWrap/>
            <w:vAlign w:val="bottom"/>
            <w:hideMark/>
          </w:tcPr>
          <w:p w14:paraId="2392D644"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5332BD8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5C9DC12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2B08D31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56FF5EA9"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0BFE49F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Moreton Bay - South</w:t>
            </w:r>
          </w:p>
        </w:tc>
        <w:tc>
          <w:tcPr>
            <w:tcW w:w="2173" w:type="dxa"/>
            <w:tcBorders>
              <w:top w:val="nil"/>
              <w:left w:val="nil"/>
              <w:bottom w:val="nil"/>
              <w:right w:val="nil"/>
            </w:tcBorders>
            <w:noWrap/>
            <w:vAlign w:val="bottom"/>
            <w:hideMark/>
          </w:tcPr>
          <w:p w14:paraId="35674671"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5606371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477D3A1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2A2B379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161DE76F"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1DDF60F3"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Cairns</w:t>
            </w:r>
          </w:p>
        </w:tc>
        <w:tc>
          <w:tcPr>
            <w:tcW w:w="2173" w:type="dxa"/>
            <w:tcBorders>
              <w:top w:val="nil"/>
              <w:left w:val="nil"/>
              <w:bottom w:val="nil"/>
              <w:right w:val="nil"/>
            </w:tcBorders>
            <w:noWrap/>
            <w:vAlign w:val="bottom"/>
            <w:hideMark/>
          </w:tcPr>
          <w:p w14:paraId="1D96FECE"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Cities of Regional Australia</w:t>
            </w:r>
          </w:p>
        </w:tc>
        <w:tc>
          <w:tcPr>
            <w:tcW w:w="1460" w:type="dxa"/>
            <w:tcBorders>
              <w:top w:val="nil"/>
              <w:left w:val="single" w:sz="4" w:space="0" w:color="auto"/>
              <w:bottom w:val="nil"/>
              <w:right w:val="single" w:sz="4" w:space="0" w:color="auto"/>
            </w:tcBorders>
            <w:noWrap/>
            <w:vAlign w:val="bottom"/>
            <w:hideMark/>
          </w:tcPr>
          <w:p w14:paraId="44B9E4F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2A9210E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nil"/>
              <w:bottom w:val="nil"/>
              <w:right w:val="single" w:sz="4" w:space="0" w:color="auto"/>
            </w:tcBorders>
            <w:noWrap/>
            <w:vAlign w:val="bottom"/>
            <w:hideMark/>
          </w:tcPr>
          <w:p w14:paraId="409E5B3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18D67016"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1444456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Darling Downs - Maranoa</w:t>
            </w:r>
          </w:p>
        </w:tc>
        <w:tc>
          <w:tcPr>
            <w:tcW w:w="2173" w:type="dxa"/>
            <w:tcBorders>
              <w:top w:val="nil"/>
              <w:left w:val="nil"/>
              <w:bottom w:val="nil"/>
              <w:right w:val="nil"/>
            </w:tcBorders>
            <w:noWrap/>
            <w:vAlign w:val="bottom"/>
            <w:hideMark/>
          </w:tcPr>
          <w:p w14:paraId="1A26224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43FD022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5C48C3F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6E93029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66F1BA5"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7596B5C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Central Queensland</w:t>
            </w:r>
          </w:p>
        </w:tc>
        <w:tc>
          <w:tcPr>
            <w:tcW w:w="2173" w:type="dxa"/>
            <w:tcBorders>
              <w:top w:val="nil"/>
              <w:left w:val="nil"/>
              <w:bottom w:val="nil"/>
              <w:right w:val="nil"/>
            </w:tcBorders>
            <w:noWrap/>
            <w:vAlign w:val="bottom"/>
            <w:hideMark/>
          </w:tcPr>
          <w:p w14:paraId="31C7D567"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5A52A90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302C79B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3546567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542BF64C"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4F8466A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Gold Coast</w:t>
            </w:r>
          </w:p>
        </w:tc>
        <w:tc>
          <w:tcPr>
            <w:tcW w:w="2173" w:type="dxa"/>
            <w:tcBorders>
              <w:top w:val="nil"/>
              <w:left w:val="nil"/>
              <w:bottom w:val="nil"/>
              <w:right w:val="nil"/>
            </w:tcBorders>
            <w:noWrap/>
            <w:vAlign w:val="bottom"/>
            <w:hideMark/>
          </w:tcPr>
          <w:p w14:paraId="2563DD9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Cities of Regional Australia</w:t>
            </w:r>
          </w:p>
        </w:tc>
        <w:tc>
          <w:tcPr>
            <w:tcW w:w="1460" w:type="dxa"/>
            <w:tcBorders>
              <w:top w:val="nil"/>
              <w:left w:val="single" w:sz="4" w:space="0" w:color="auto"/>
              <w:bottom w:val="nil"/>
              <w:right w:val="single" w:sz="4" w:space="0" w:color="auto"/>
            </w:tcBorders>
            <w:noWrap/>
            <w:vAlign w:val="bottom"/>
            <w:hideMark/>
          </w:tcPr>
          <w:p w14:paraId="0339463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4747B40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24D32B2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0B9662C"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3594AE1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Mackay - Isaac - Whitsunday</w:t>
            </w:r>
          </w:p>
        </w:tc>
        <w:tc>
          <w:tcPr>
            <w:tcW w:w="2173" w:type="dxa"/>
            <w:tcBorders>
              <w:top w:val="nil"/>
              <w:left w:val="nil"/>
              <w:bottom w:val="nil"/>
              <w:right w:val="nil"/>
            </w:tcBorders>
            <w:noWrap/>
            <w:vAlign w:val="bottom"/>
            <w:hideMark/>
          </w:tcPr>
          <w:p w14:paraId="23E81C4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1A907FF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34891F5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0B83F77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73FFBF9"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43918CF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Queensland - Outback</w:t>
            </w:r>
          </w:p>
        </w:tc>
        <w:tc>
          <w:tcPr>
            <w:tcW w:w="2173" w:type="dxa"/>
            <w:tcBorders>
              <w:top w:val="nil"/>
              <w:left w:val="nil"/>
              <w:bottom w:val="nil"/>
              <w:right w:val="nil"/>
            </w:tcBorders>
            <w:noWrap/>
            <w:vAlign w:val="bottom"/>
            <w:hideMark/>
          </w:tcPr>
          <w:p w14:paraId="41D89CB1"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Remote</w:t>
            </w:r>
          </w:p>
        </w:tc>
        <w:tc>
          <w:tcPr>
            <w:tcW w:w="1460" w:type="dxa"/>
            <w:tcBorders>
              <w:top w:val="nil"/>
              <w:left w:val="single" w:sz="4" w:space="0" w:color="auto"/>
              <w:bottom w:val="nil"/>
              <w:right w:val="single" w:sz="4" w:space="0" w:color="auto"/>
            </w:tcBorders>
            <w:noWrap/>
            <w:vAlign w:val="bottom"/>
            <w:hideMark/>
          </w:tcPr>
          <w:p w14:paraId="2E00136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53F5663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085EC88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62E1C5E"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2CB24EE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Sunshine Coast</w:t>
            </w:r>
          </w:p>
        </w:tc>
        <w:tc>
          <w:tcPr>
            <w:tcW w:w="2173" w:type="dxa"/>
            <w:tcBorders>
              <w:top w:val="nil"/>
              <w:left w:val="nil"/>
              <w:bottom w:val="nil"/>
              <w:right w:val="nil"/>
            </w:tcBorders>
            <w:noWrap/>
            <w:vAlign w:val="bottom"/>
            <w:hideMark/>
          </w:tcPr>
          <w:p w14:paraId="4F88FC4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Cities of Regional Australia</w:t>
            </w:r>
          </w:p>
        </w:tc>
        <w:tc>
          <w:tcPr>
            <w:tcW w:w="1460" w:type="dxa"/>
            <w:tcBorders>
              <w:top w:val="nil"/>
              <w:left w:val="single" w:sz="4" w:space="0" w:color="auto"/>
              <w:bottom w:val="nil"/>
              <w:right w:val="single" w:sz="4" w:space="0" w:color="auto"/>
            </w:tcBorders>
            <w:noWrap/>
            <w:vAlign w:val="bottom"/>
            <w:hideMark/>
          </w:tcPr>
          <w:p w14:paraId="554246B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6AA0CDE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single" w:sz="4" w:space="0" w:color="auto"/>
              <w:bottom w:val="nil"/>
              <w:right w:val="single" w:sz="4" w:space="0" w:color="auto"/>
            </w:tcBorders>
            <w:shd w:val="clear" w:color="000000" w:fill="047817"/>
            <w:noWrap/>
            <w:vAlign w:val="bottom"/>
            <w:hideMark/>
          </w:tcPr>
          <w:p w14:paraId="3607D975"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7ED7B83B"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12032B33"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Toowoomba</w:t>
            </w:r>
          </w:p>
        </w:tc>
        <w:tc>
          <w:tcPr>
            <w:tcW w:w="2173" w:type="dxa"/>
            <w:tcBorders>
              <w:top w:val="nil"/>
              <w:left w:val="nil"/>
              <w:bottom w:val="nil"/>
              <w:right w:val="nil"/>
            </w:tcBorders>
            <w:noWrap/>
            <w:vAlign w:val="bottom"/>
            <w:hideMark/>
          </w:tcPr>
          <w:p w14:paraId="1E9D1055"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Cities of Regional Australia</w:t>
            </w:r>
          </w:p>
        </w:tc>
        <w:tc>
          <w:tcPr>
            <w:tcW w:w="1460" w:type="dxa"/>
            <w:tcBorders>
              <w:top w:val="nil"/>
              <w:left w:val="single" w:sz="4" w:space="0" w:color="auto"/>
              <w:bottom w:val="nil"/>
              <w:right w:val="single" w:sz="4" w:space="0" w:color="auto"/>
            </w:tcBorders>
            <w:noWrap/>
            <w:vAlign w:val="bottom"/>
            <w:hideMark/>
          </w:tcPr>
          <w:p w14:paraId="0A88475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292508B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0CCBBB2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0ADE1153"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34C3B34F"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Townsville</w:t>
            </w:r>
          </w:p>
        </w:tc>
        <w:tc>
          <w:tcPr>
            <w:tcW w:w="2173" w:type="dxa"/>
            <w:tcBorders>
              <w:top w:val="nil"/>
              <w:left w:val="nil"/>
              <w:bottom w:val="nil"/>
              <w:right w:val="nil"/>
            </w:tcBorders>
            <w:noWrap/>
            <w:vAlign w:val="bottom"/>
            <w:hideMark/>
          </w:tcPr>
          <w:p w14:paraId="52C2AB8D"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Cities of Regional Australia</w:t>
            </w:r>
          </w:p>
        </w:tc>
        <w:tc>
          <w:tcPr>
            <w:tcW w:w="1460" w:type="dxa"/>
            <w:tcBorders>
              <w:top w:val="nil"/>
              <w:left w:val="single" w:sz="4" w:space="0" w:color="auto"/>
              <w:bottom w:val="nil"/>
              <w:right w:val="single" w:sz="4" w:space="0" w:color="auto"/>
            </w:tcBorders>
            <w:noWrap/>
            <w:vAlign w:val="bottom"/>
            <w:hideMark/>
          </w:tcPr>
          <w:p w14:paraId="113C0F8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482B5BB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nil"/>
              <w:bottom w:val="nil"/>
              <w:right w:val="single" w:sz="4" w:space="0" w:color="auto"/>
            </w:tcBorders>
            <w:noWrap/>
            <w:vAlign w:val="bottom"/>
            <w:hideMark/>
          </w:tcPr>
          <w:p w14:paraId="426A80D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4290EF75" w14:textId="77777777" w:rsidTr="00BC1741">
        <w:trPr>
          <w:trHeight w:val="255"/>
        </w:trPr>
        <w:tc>
          <w:tcPr>
            <w:tcW w:w="3347" w:type="dxa"/>
            <w:tcBorders>
              <w:top w:val="nil"/>
              <w:left w:val="single" w:sz="4" w:space="0" w:color="auto"/>
              <w:bottom w:val="single" w:sz="4" w:space="0" w:color="auto"/>
              <w:right w:val="single" w:sz="4" w:space="0" w:color="auto"/>
            </w:tcBorders>
            <w:noWrap/>
            <w:vAlign w:val="bottom"/>
            <w:hideMark/>
          </w:tcPr>
          <w:p w14:paraId="044B66BC"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Wide Bay</w:t>
            </w:r>
          </w:p>
        </w:tc>
        <w:tc>
          <w:tcPr>
            <w:tcW w:w="2173" w:type="dxa"/>
            <w:tcBorders>
              <w:top w:val="nil"/>
              <w:left w:val="nil"/>
              <w:bottom w:val="single" w:sz="4" w:space="0" w:color="auto"/>
              <w:right w:val="nil"/>
            </w:tcBorders>
            <w:noWrap/>
            <w:vAlign w:val="bottom"/>
            <w:hideMark/>
          </w:tcPr>
          <w:p w14:paraId="5BB0FC0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single" w:sz="4" w:space="0" w:color="auto"/>
              <w:right w:val="single" w:sz="4" w:space="0" w:color="auto"/>
            </w:tcBorders>
            <w:noWrap/>
            <w:vAlign w:val="bottom"/>
            <w:hideMark/>
          </w:tcPr>
          <w:p w14:paraId="2FC0BE0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single" w:sz="4" w:space="0" w:color="auto"/>
              <w:right w:val="single" w:sz="4" w:space="0" w:color="auto"/>
            </w:tcBorders>
            <w:noWrap/>
            <w:vAlign w:val="bottom"/>
            <w:hideMark/>
          </w:tcPr>
          <w:p w14:paraId="1047029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single" w:sz="4" w:space="0" w:color="auto"/>
              <w:right w:val="single" w:sz="4" w:space="0" w:color="auto"/>
            </w:tcBorders>
            <w:noWrap/>
            <w:vAlign w:val="bottom"/>
            <w:hideMark/>
          </w:tcPr>
          <w:p w14:paraId="0F3A16F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993D237"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4D3F258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Adelaide - Central and Hills</w:t>
            </w:r>
          </w:p>
        </w:tc>
        <w:tc>
          <w:tcPr>
            <w:tcW w:w="2173" w:type="dxa"/>
            <w:tcBorders>
              <w:top w:val="nil"/>
              <w:left w:val="nil"/>
              <w:bottom w:val="nil"/>
              <w:right w:val="nil"/>
            </w:tcBorders>
            <w:noWrap/>
            <w:vAlign w:val="bottom"/>
            <w:hideMark/>
          </w:tcPr>
          <w:p w14:paraId="0A8FBDEF"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4776200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19B7EB8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single" w:sz="4" w:space="0" w:color="auto"/>
              <w:bottom w:val="nil"/>
              <w:right w:val="single" w:sz="4" w:space="0" w:color="auto"/>
            </w:tcBorders>
            <w:shd w:val="clear" w:color="000000" w:fill="047817"/>
            <w:noWrap/>
            <w:vAlign w:val="bottom"/>
            <w:hideMark/>
          </w:tcPr>
          <w:p w14:paraId="3FD3C0AF"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071B1B55"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76F45D3F"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Adelaide - North</w:t>
            </w:r>
          </w:p>
        </w:tc>
        <w:tc>
          <w:tcPr>
            <w:tcW w:w="2173" w:type="dxa"/>
            <w:tcBorders>
              <w:top w:val="nil"/>
              <w:left w:val="nil"/>
              <w:bottom w:val="nil"/>
              <w:right w:val="nil"/>
            </w:tcBorders>
            <w:noWrap/>
            <w:vAlign w:val="bottom"/>
            <w:hideMark/>
          </w:tcPr>
          <w:p w14:paraId="17AA2EDA"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76D42980"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4448F83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3E66C18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2F4D02DE"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35F443B4"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Adelaide - South</w:t>
            </w:r>
          </w:p>
        </w:tc>
        <w:tc>
          <w:tcPr>
            <w:tcW w:w="2173" w:type="dxa"/>
            <w:tcBorders>
              <w:top w:val="nil"/>
              <w:left w:val="nil"/>
              <w:bottom w:val="nil"/>
              <w:right w:val="nil"/>
            </w:tcBorders>
            <w:noWrap/>
            <w:vAlign w:val="bottom"/>
            <w:hideMark/>
          </w:tcPr>
          <w:p w14:paraId="76D6103A"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0D3977F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70BCBC3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138D504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10855F04"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3873C109"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Adelaide - West</w:t>
            </w:r>
          </w:p>
        </w:tc>
        <w:tc>
          <w:tcPr>
            <w:tcW w:w="2173" w:type="dxa"/>
            <w:tcBorders>
              <w:top w:val="nil"/>
              <w:left w:val="nil"/>
              <w:bottom w:val="nil"/>
              <w:right w:val="nil"/>
            </w:tcBorders>
            <w:noWrap/>
            <w:vAlign w:val="bottom"/>
            <w:hideMark/>
          </w:tcPr>
          <w:p w14:paraId="4BC14D9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51C9583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344B0E9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single" w:sz="4" w:space="0" w:color="auto"/>
              <w:bottom w:val="nil"/>
              <w:right w:val="single" w:sz="4" w:space="0" w:color="auto"/>
            </w:tcBorders>
            <w:shd w:val="clear" w:color="000000" w:fill="047817"/>
            <w:noWrap/>
            <w:vAlign w:val="bottom"/>
            <w:hideMark/>
          </w:tcPr>
          <w:p w14:paraId="3E7B0541"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Improved</w:t>
            </w:r>
          </w:p>
        </w:tc>
      </w:tr>
      <w:tr w:rsidR="00BC1741" w:rsidRPr="00BC1741" w14:paraId="4DC5E81D"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679ACC1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Barossa - Yorke - Mid North</w:t>
            </w:r>
          </w:p>
        </w:tc>
        <w:tc>
          <w:tcPr>
            <w:tcW w:w="2173" w:type="dxa"/>
            <w:tcBorders>
              <w:top w:val="nil"/>
              <w:left w:val="nil"/>
              <w:bottom w:val="nil"/>
              <w:right w:val="nil"/>
            </w:tcBorders>
            <w:noWrap/>
            <w:vAlign w:val="bottom"/>
            <w:hideMark/>
          </w:tcPr>
          <w:p w14:paraId="389515B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4A6F6C5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2F9B40E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7215EA2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7908FA8C"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3C666EB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South Australia - Outback</w:t>
            </w:r>
          </w:p>
        </w:tc>
        <w:tc>
          <w:tcPr>
            <w:tcW w:w="2173" w:type="dxa"/>
            <w:tcBorders>
              <w:top w:val="nil"/>
              <w:left w:val="nil"/>
              <w:bottom w:val="nil"/>
              <w:right w:val="nil"/>
            </w:tcBorders>
            <w:noWrap/>
            <w:vAlign w:val="bottom"/>
            <w:hideMark/>
          </w:tcPr>
          <w:p w14:paraId="40B11AB9"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Remote</w:t>
            </w:r>
          </w:p>
        </w:tc>
        <w:tc>
          <w:tcPr>
            <w:tcW w:w="1460" w:type="dxa"/>
            <w:tcBorders>
              <w:top w:val="nil"/>
              <w:left w:val="single" w:sz="4" w:space="0" w:color="auto"/>
              <w:bottom w:val="nil"/>
              <w:right w:val="single" w:sz="4" w:space="0" w:color="auto"/>
            </w:tcBorders>
            <w:noWrap/>
            <w:vAlign w:val="bottom"/>
            <w:hideMark/>
          </w:tcPr>
          <w:p w14:paraId="655AFB4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6E67BFD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1D37998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5CB84A0" w14:textId="77777777" w:rsidTr="00BC1741">
        <w:trPr>
          <w:trHeight w:val="255"/>
        </w:trPr>
        <w:tc>
          <w:tcPr>
            <w:tcW w:w="3347" w:type="dxa"/>
            <w:tcBorders>
              <w:top w:val="nil"/>
              <w:left w:val="single" w:sz="4" w:space="0" w:color="auto"/>
              <w:bottom w:val="single" w:sz="4" w:space="0" w:color="auto"/>
              <w:right w:val="single" w:sz="4" w:space="0" w:color="auto"/>
            </w:tcBorders>
            <w:noWrap/>
            <w:vAlign w:val="bottom"/>
            <w:hideMark/>
          </w:tcPr>
          <w:p w14:paraId="6880C365"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South Australia - South East</w:t>
            </w:r>
          </w:p>
        </w:tc>
        <w:tc>
          <w:tcPr>
            <w:tcW w:w="2173" w:type="dxa"/>
            <w:tcBorders>
              <w:top w:val="nil"/>
              <w:left w:val="nil"/>
              <w:bottom w:val="single" w:sz="4" w:space="0" w:color="auto"/>
              <w:right w:val="nil"/>
            </w:tcBorders>
            <w:noWrap/>
            <w:vAlign w:val="bottom"/>
            <w:hideMark/>
          </w:tcPr>
          <w:p w14:paraId="2ED4E15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single" w:sz="4" w:space="0" w:color="auto"/>
              <w:right w:val="single" w:sz="4" w:space="0" w:color="auto"/>
            </w:tcBorders>
            <w:noWrap/>
            <w:vAlign w:val="bottom"/>
            <w:hideMark/>
          </w:tcPr>
          <w:p w14:paraId="37D4C24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single" w:sz="4" w:space="0" w:color="auto"/>
              <w:right w:val="single" w:sz="4" w:space="0" w:color="auto"/>
            </w:tcBorders>
            <w:noWrap/>
            <w:vAlign w:val="bottom"/>
            <w:hideMark/>
          </w:tcPr>
          <w:p w14:paraId="782E268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single" w:sz="4" w:space="0" w:color="auto"/>
              <w:right w:val="single" w:sz="4" w:space="0" w:color="auto"/>
            </w:tcBorders>
            <w:noWrap/>
            <w:vAlign w:val="bottom"/>
            <w:hideMark/>
          </w:tcPr>
          <w:p w14:paraId="1D89429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14601EE7"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5BABC0B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Mandurah</w:t>
            </w:r>
          </w:p>
        </w:tc>
        <w:tc>
          <w:tcPr>
            <w:tcW w:w="2173" w:type="dxa"/>
            <w:tcBorders>
              <w:top w:val="nil"/>
              <w:left w:val="nil"/>
              <w:bottom w:val="nil"/>
              <w:right w:val="nil"/>
            </w:tcBorders>
            <w:noWrap/>
            <w:vAlign w:val="bottom"/>
            <w:hideMark/>
          </w:tcPr>
          <w:p w14:paraId="670C4CF2"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5DF0C96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796BB7C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3475558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7C9A0FBB"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468E302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Perth - Inner</w:t>
            </w:r>
          </w:p>
        </w:tc>
        <w:tc>
          <w:tcPr>
            <w:tcW w:w="2173" w:type="dxa"/>
            <w:tcBorders>
              <w:top w:val="nil"/>
              <w:left w:val="nil"/>
              <w:bottom w:val="nil"/>
              <w:right w:val="nil"/>
            </w:tcBorders>
            <w:noWrap/>
            <w:vAlign w:val="bottom"/>
            <w:hideMark/>
          </w:tcPr>
          <w:p w14:paraId="57D91BE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3F107CC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768FD4E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06E7905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72602338"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3D5A71DE"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Perth - North East</w:t>
            </w:r>
          </w:p>
        </w:tc>
        <w:tc>
          <w:tcPr>
            <w:tcW w:w="2173" w:type="dxa"/>
            <w:tcBorders>
              <w:top w:val="nil"/>
              <w:left w:val="nil"/>
              <w:bottom w:val="nil"/>
              <w:right w:val="nil"/>
            </w:tcBorders>
            <w:noWrap/>
            <w:vAlign w:val="bottom"/>
            <w:hideMark/>
          </w:tcPr>
          <w:p w14:paraId="51CF3215"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14C120B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50106165"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1F754EE3"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696C97B"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6D34037E"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Perth - North West</w:t>
            </w:r>
          </w:p>
        </w:tc>
        <w:tc>
          <w:tcPr>
            <w:tcW w:w="2173" w:type="dxa"/>
            <w:tcBorders>
              <w:top w:val="nil"/>
              <w:left w:val="nil"/>
              <w:bottom w:val="nil"/>
              <w:right w:val="nil"/>
            </w:tcBorders>
            <w:noWrap/>
            <w:vAlign w:val="bottom"/>
            <w:hideMark/>
          </w:tcPr>
          <w:p w14:paraId="7F76E531"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0F4382B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2BFA47F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3BA7FCB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C79A006"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51BC34B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Perth - South East</w:t>
            </w:r>
          </w:p>
        </w:tc>
        <w:tc>
          <w:tcPr>
            <w:tcW w:w="2173" w:type="dxa"/>
            <w:tcBorders>
              <w:top w:val="nil"/>
              <w:left w:val="nil"/>
              <w:bottom w:val="nil"/>
              <w:right w:val="nil"/>
            </w:tcBorders>
            <w:noWrap/>
            <w:vAlign w:val="bottom"/>
            <w:hideMark/>
          </w:tcPr>
          <w:p w14:paraId="3C3F6A29"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67D86F4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460" w:type="dxa"/>
            <w:tcBorders>
              <w:top w:val="nil"/>
              <w:left w:val="nil"/>
              <w:bottom w:val="nil"/>
              <w:right w:val="single" w:sz="4" w:space="0" w:color="auto"/>
            </w:tcBorders>
            <w:noWrap/>
            <w:vAlign w:val="bottom"/>
            <w:hideMark/>
          </w:tcPr>
          <w:p w14:paraId="7531BC1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nil"/>
              <w:bottom w:val="nil"/>
              <w:right w:val="single" w:sz="4" w:space="0" w:color="auto"/>
            </w:tcBorders>
            <w:noWrap/>
            <w:vAlign w:val="bottom"/>
            <w:hideMark/>
          </w:tcPr>
          <w:p w14:paraId="100A0BF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4A8D6471"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10FD0736"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Perth - South West</w:t>
            </w:r>
          </w:p>
        </w:tc>
        <w:tc>
          <w:tcPr>
            <w:tcW w:w="2173" w:type="dxa"/>
            <w:tcBorders>
              <w:top w:val="nil"/>
              <w:left w:val="nil"/>
              <w:bottom w:val="nil"/>
              <w:right w:val="nil"/>
            </w:tcBorders>
            <w:noWrap/>
            <w:vAlign w:val="bottom"/>
            <w:hideMark/>
          </w:tcPr>
          <w:p w14:paraId="560A4E0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nil"/>
              <w:right w:val="single" w:sz="4" w:space="0" w:color="auto"/>
            </w:tcBorders>
            <w:noWrap/>
            <w:vAlign w:val="bottom"/>
            <w:hideMark/>
          </w:tcPr>
          <w:p w14:paraId="645F365B"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33B5318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Average</w:t>
            </w:r>
          </w:p>
        </w:tc>
        <w:tc>
          <w:tcPr>
            <w:tcW w:w="1160" w:type="dxa"/>
            <w:tcBorders>
              <w:top w:val="nil"/>
              <w:left w:val="single" w:sz="4" w:space="0" w:color="auto"/>
              <w:bottom w:val="nil"/>
              <w:right w:val="single" w:sz="4" w:space="0" w:color="auto"/>
            </w:tcBorders>
            <w:shd w:val="clear" w:color="000000" w:fill="B91C1C"/>
            <w:noWrap/>
            <w:vAlign w:val="bottom"/>
            <w:hideMark/>
          </w:tcPr>
          <w:p w14:paraId="4939D42B"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Declined</w:t>
            </w:r>
          </w:p>
        </w:tc>
      </w:tr>
      <w:tr w:rsidR="00BC1741" w:rsidRPr="00BC1741" w14:paraId="332FD605"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2D530F54"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Bunbury</w:t>
            </w:r>
          </w:p>
        </w:tc>
        <w:tc>
          <w:tcPr>
            <w:tcW w:w="2173" w:type="dxa"/>
            <w:tcBorders>
              <w:top w:val="nil"/>
              <w:left w:val="nil"/>
              <w:bottom w:val="nil"/>
              <w:right w:val="nil"/>
            </w:tcBorders>
            <w:noWrap/>
            <w:vAlign w:val="bottom"/>
            <w:hideMark/>
          </w:tcPr>
          <w:p w14:paraId="667FDFE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52BDB1A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nil"/>
              <w:right w:val="single" w:sz="4" w:space="0" w:color="auto"/>
            </w:tcBorders>
            <w:noWrap/>
            <w:vAlign w:val="bottom"/>
            <w:hideMark/>
          </w:tcPr>
          <w:p w14:paraId="5256375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nil"/>
              <w:right w:val="single" w:sz="4" w:space="0" w:color="auto"/>
            </w:tcBorders>
            <w:noWrap/>
            <w:vAlign w:val="bottom"/>
            <w:hideMark/>
          </w:tcPr>
          <w:p w14:paraId="50965B0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4BB7CDD3"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4D323E8E"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Western Australia - Outback (North and South)</w:t>
            </w:r>
          </w:p>
        </w:tc>
        <w:tc>
          <w:tcPr>
            <w:tcW w:w="2173" w:type="dxa"/>
            <w:tcBorders>
              <w:top w:val="nil"/>
              <w:left w:val="nil"/>
              <w:bottom w:val="nil"/>
              <w:right w:val="nil"/>
            </w:tcBorders>
            <w:noWrap/>
            <w:vAlign w:val="bottom"/>
            <w:hideMark/>
          </w:tcPr>
          <w:p w14:paraId="1B96A50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Remote</w:t>
            </w:r>
          </w:p>
        </w:tc>
        <w:tc>
          <w:tcPr>
            <w:tcW w:w="1460" w:type="dxa"/>
            <w:tcBorders>
              <w:top w:val="nil"/>
              <w:left w:val="single" w:sz="4" w:space="0" w:color="auto"/>
              <w:bottom w:val="nil"/>
              <w:right w:val="single" w:sz="4" w:space="0" w:color="auto"/>
            </w:tcBorders>
            <w:noWrap/>
            <w:vAlign w:val="bottom"/>
            <w:hideMark/>
          </w:tcPr>
          <w:p w14:paraId="7D45D66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7B3F3DF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single" w:sz="4" w:space="0" w:color="auto"/>
              <w:bottom w:val="nil"/>
              <w:right w:val="single" w:sz="4" w:space="0" w:color="auto"/>
            </w:tcBorders>
            <w:shd w:val="clear" w:color="000000" w:fill="B91C1C"/>
            <w:noWrap/>
            <w:vAlign w:val="bottom"/>
            <w:hideMark/>
          </w:tcPr>
          <w:p w14:paraId="4438A251" w14:textId="77777777" w:rsidR="00BC1741" w:rsidRPr="00BC1741" w:rsidRDefault="00BC1741" w:rsidP="004A5416">
            <w:pPr>
              <w:spacing w:before="0" w:after="0"/>
              <w:jc w:val="center"/>
              <w:rPr>
                <w:rFonts w:eastAsia="Times New Roman" w:cs="Arial"/>
                <w:color w:val="FFFFFF"/>
                <w:sz w:val="16"/>
                <w:szCs w:val="16"/>
                <w:lang w:eastAsia="en-AU"/>
              </w:rPr>
            </w:pPr>
            <w:r w:rsidRPr="00BC1741">
              <w:rPr>
                <w:rFonts w:eastAsia="Times New Roman" w:cs="Arial"/>
                <w:color w:val="FFFFFF"/>
                <w:sz w:val="16"/>
                <w:szCs w:val="16"/>
                <w:lang w:eastAsia="en-AU"/>
              </w:rPr>
              <w:t>Declined</w:t>
            </w:r>
          </w:p>
        </w:tc>
      </w:tr>
      <w:tr w:rsidR="00BC1741" w:rsidRPr="00BC1741" w14:paraId="61CE9A4B" w14:textId="77777777" w:rsidTr="00BC1741">
        <w:trPr>
          <w:trHeight w:val="255"/>
        </w:trPr>
        <w:tc>
          <w:tcPr>
            <w:tcW w:w="3347" w:type="dxa"/>
            <w:tcBorders>
              <w:top w:val="nil"/>
              <w:left w:val="single" w:sz="4" w:space="0" w:color="auto"/>
              <w:bottom w:val="single" w:sz="4" w:space="0" w:color="auto"/>
              <w:right w:val="single" w:sz="4" w:space="0" w:color="auto"/>
            </w:tcBorders>
            <w:noWrap/>
            <w:vAlign w:val="bottom"/>
            <w:hideMark/>
          </w:tcPr>
          <w:p w14:paraId="655FEDA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Western Australia - Wheat Belt</w:t>
            </w:r>
          </w:p>
        </w:tc>
        <w:tc>
          <w:tcPr>
            <w:tcW w:w="2173" w:type="dxa"/>
            <w:tcBorders>
              <w:top w:val="nil"/>
              <w:left w:val="nil"/>
              <w:bottom w:val="single" w:sz="4" w:space="0" w:color="auto"/>
              <w:right w:val="nil"/>
            </w:tcBorders>
            <w:noWrap/>
            <w:vAlign w:val="bottom"/>
            <w:hideMark/>
          </w:tcPr>
          <w:p w14:paraId="2C2DA70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single" w:sz="4" w:space="0" w:color="auto"/>
              <w:right w:val="single" w:sz="4" w:space="0" w:color="auto"/>
            </w:tcBorders>
            <w:noWrap/>
            <w:vAlign w:val="bottom"/>
            <w:hideMark/>
          </w:tcPr>
          <w:p w14:paraId="6E6E166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460" w:type="dxa"/>
            <w:tcBorders>
              <w:top w:val="nil"/>
              <w:left w:val="nil"/>
              <w:bottom w:val="single" w:sz="4" w:space="0" w:color="auto"/>
              <w:right w:val="single" w:sz="4" w:space="0" w:color="auto"/>
            </w:tcBorders>
            <w:noWrap/>
            <w:vAlign w:val="bottom"/>
            <w:hideMark/>
          </w:tcPr>
          <w:p w14:paraId="105D68B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Above average</w:t>
            </w:r>
          </w:p>
        </w:tc>
        <w:tc>
          <w:tcPr>
            <w:tcW w:w="1160" w:type="dxa"/>
            <w:tcBorders>
              <w:top w:val="nil"/>
              <w:left w:val="nil"/>
              <w:bottom w:val="single" w:sz="4" w:space="0" w:color="auto"/>
              <w:right w:val="single" w:sz="4" w:space="0" w:color="auto"/>
            </w:tcBorders>
            <w:noWrap/>
            <w:vAlign w:val="bottom"/>
            <w:hideMark/>
          </w:tcPr>
          <w:p w14:paraId="6A8740D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2EB4EE4E"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4E021F90"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Hobart</w:t>
            </w:r>
          </w:p>
        </w:tc>
        <w:tc>
          <w:tcPr>
            <w:tcW w:w="2173" w:type="dxa"/>
            <w:tcBorders>
              <w:top w:val="nil"/>
              <w:left w:val="nil"/>
              <w:bottom w:val="nil"/>
              <w:right w:val="nil"/>
            </w:tcBorders>
            <w:noWrap/>
            <w:vAlign w:val="bottom"/>
            <w:hideMark/>
          </w:tcPr>
          <w:p w14:paraId="4281BBDE"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Cities of Regional Australia</w:t>
            </w:r>
          </w:p>
        </w:tc>
        <w:tc>
          <w:tcPr>
            <w:tcW w:w="1460" w:type="dxa"/>
            <w:tcBorders>
              <w:top w:val="nil"/>
              <w:left w:val="single" w:sz="4" w:space="0" w:color="auto"/>
              <w:bottom w:val="nil"/>
              <w:right w:val="single" w:sz="4" w:space="0" w:color="auto"/>
            </w:tcBorders>
            <w:noWrap/>
            <w:vAlign w:val="bottom"/>
            <w:hideMark/>
          </w:tcPr>
          <w:p w14:paraId="0611045A"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460" w:type="dxa"/>
            <w:tcBorders>
              <w:top w:val="nil"/>
              <w:left w:val="nil"/>
              <w:bottom w:val="nil"/>
              <w:right w:val="single" w:sz="4" w:space="0" w:color="auto"/>
            </w:tcBorders>
            <w:noWrap/>
            <w:vAlign w:val="bottom"/>
            <w:hideMark/>
          </w:tcPr>
          <w:p w14:paraId="55E095D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Below average</w:t>
            </w:r>
          </w:p>
        </w:tc>
        <w:tc>
          <w:tcPr>
            <w:tcW w:w="1160" w:type="dxa"/>
            <w:tcBorders>
              <w:top w:val="nil"/>
              <w:left w:val="nil"/>
              <w:bottom w:val="nil"/>
              <w:right w:val="single" w:sz="4" w:space="0" w:color="auto"/>
            </w:tcBorders>
            <w:noWrap/>
            <w:vAlign w:val="bottom"/>
            <w:hideMark/>
          </w:tcPr>
          <w:p w14:paraId="23E1F65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4D3B0B6"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6E26F9B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Launceston and North East</w:t>
            </w:r>
          </w:p>
        </w:tc>
        <w:tc>
          <w:tcPr>
            <w:tcW w:w="2173" w:type="dxa"/>
            <w:tcBorders>
              <w:top w:val="nil"/>
              <w:left w:val="nil"/>
              <w:bottom w:val="nil"/>
              <w:right w:val="nil"/>
            </w:tcBorders>
            <w:noWrap/>
            <w:vAlign w:val="bottom"/>
            <w:hideMark/>
          </w:tcPr>
          <w:p w14:paraId="68475B24"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1480569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1A87730B"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595534B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CB43BA7"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382F0F5C"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Tasmania - South East</w:t>
            </w:r>
          </w:p>
        </w:tc>
        <w:tc>
          <w:tcPr>
            <w:tcW w:w="2173" w:type="dxa"/>
            <w:tcBorders>
              <w:top w:val="nil"/>
              <w:left w:val="nil"/>
              <w:bottom w:val="nil"/>
              <w:right w:val="nil"/>
            </w:tcBorders>
            <w:noWrap/>
            <w:vAlign w:val="bottom"/>
            <w:hideMark/>
          </w:tcPr>
          <w:p w14:paraId="006CFCB7"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Regional</w:t>
            </w:r>
          </w:p>
        </w:tc>
        <w:tc>
          <w:tcPr>
            <w:tcW w:w="1460" w:type="dxa"/>
            <w:tcBorders>
              <w:top w:val="nil"/>
              <w:left w:val="single" w:sz="4" w:space="0" w:color="auto"/>
              <w:bottom w:val="nil"/>
              <w:right w:val="single" w:sz="4" w:space="0" w:color="auto"/>
            </w:tcBorders>
            <w:noWrap/>
            <w:vAlign w:val="bottom"/>
            <w:hideMark/>
          </w:tcPr>
          <w:p w14:paraId="7027A61C"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nil"/>
              <w:right w:val="single" w:sz="4" w:space="0" w:color="auto"/>
            </w:tcBorders>
            <w:noWrap/>
            <w:vAlign w:val="bottom"/>
            <w:hideMark/>
          </w:tcPr>
          <w:p w14:paraId="3C1C71C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nil"/>
              <w:right w:val="single" w:sz="4" w:space="0" w:color="auto"/>
            </w:tcBorders>
            <w:noWrap/>
            <w:vAlign w:val="bottom"/>
            <w:hideMark/>
          </w:tcPr>
          <w:p w14:paraId="2A45394E"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22537C62" w14:textId="77777777" w:rsidTr="00BC1741">
        <w:trPr>
          <w:trHeight w:val="255"/>
        </w:trPr>
        <w:tc>
          <w:tcPr>
            <w:tcW w:w="3347" w:type="dxa"/>
            <w:tcBorders>
              <w:top w:val="nil"/>
              <w:left w:val="single" w:sz="4" w:space="0" w:color="auto"/>
              <w:bottom w:val="single" w:sz="4" w:space="0" w:color="auto"/>
              <w:right w:val="single" w:sz="4" w:space="0" w:color="auto"/>
            </w:tcBorders>
            <w:noWrap/>
            <w:vAlign w:val="bottom"/>
            <w:hideMark/>
          </w:tcPr>
          <w:p w14:paraId="6961591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Tasmania - West and North West</w:t>
            </w:r>
          </w:p>
        </w:tc>
        <w:tc>
          <w:tcPr>
            <w:tcW w:w="2173" w:type="dxa"/>
            <w:tcBorders>
              <w:top w:val="nil"/>
              <w:left w:val="nil"/>
              <w:bottom w:val="single" w:sz="4" w:space="0" w:color="auto"/>
              <w:right w:val="nil"/>
            </w:tcBorders>
            <w:noWrap/>
            <w:vAlign w:val="bottom"/>
            <w:hideMark/>
          </w:tcPr>
          <w:p w14:paraId="56A3EF58"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Remote</w:t>
            </w:r>
          </w:p>
        </w:tc>
        <w:tc>
          <w:tcPr>
            <w:tcW w:w="1460" w:type="dxa"/>
            <w:tcBorders>
              <w:top w:val="nil"/>
              <w:left w:val="single" w:sz="4" w:space="0" w:color="auto"/>
              <w:bottom w:val="single" w:sz="4" w:space="0" w:color="auto"/>
              <w:right w:val="single" w:sz="4" w:space="0" w:color="auto"/>
            </w:tcBorders>
            <w:noWrap/>
            <w:vAlign w:val="bottom"/>
            <w:hideMark/>
          </w:tcPr>
          <w:p w14:paraId="6A21E5F2"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single" w:sz="4" w:space="0" w:color="auto"/>
              <w:right w:val="single" w:sz="4" w:space="0" w:color="auto"/>
            </w:tcBorders>
            <w:noWrap/>
            <w:vAlign w:val="bottom"/>
            <w:hideMark/>
          </w:tcPr>
          <w:p w14:paraId="317F731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single" w:sz="4" w:space="0" w:color="auto"/>
              <w:right w:val="single" w:sz="4" w:space="0" w:color="auto"/>
            </w:tcBorders>
            <w:noWrap/>
            <w:vAlign w:val="bottom"/>
            <w:hideMark/>
          </w:tcPr>
          <w:p w14:paraId="016F3511"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1CBDCB12" w14:textId="77777777" w:rsidTr="00BC1741">
        <w:trPr>
          <w:trHeight w:val="255"/>
        </w:trPr>
        <w:tc>
          <w:tcPr>
            <w:tcW w:w="3347" w:type="dxa"/>
            <w:tcBorders>
              <w:top w:val="nil"/>
              <w:left w:val="single" w:sz="4" w:space="0" w:color="auto"/>
              <w:bottom w:val="nil"/>
              <w:right w:val="single" w:sz="4" w:space="0" w:color="auto"/>
            </w:tcBorders>
            <w:noWrap/>
            <w:vAlign w:val="bottom"/>
            <w:hideMark/>
          </w:tcPr>
          <w:p w14:paraId="77D77FB6"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Darwin</w:t>
            </w:r>
          </w:p>
        </w:tc>
        <w:tc>
          <w:tcPr>
            <w:tcW w:w="2173" w:type="dxa"/>
            <w:tcBorders>
              <w:top w:val="nil"/>
              <w:left w:val="nil"/>
              <w:bottom w:val="nil"/>
              <w:right w:val="nil"/>
            </w:tcBorders>
            <w:noWrap/>
            <w:vAlign w:val="bottom"/>
            <w:hideMark/>
          </w:tcPr>
          <w:p w14:paraId="214B52BB"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Cities of Regional Australia</w:t>
            </w:r>
          </w:p>
        </w:tc>
        <w:tc>
          <w:tcPr>
            <w:tcW w:w="1460" w:type="dxa"/>
            <w:tcBorders>
              <w:top w:val="nil"/>
              <w:left w:val="single" w:sz="4" w:space="0" w:color="auto"/>
              <w:bottom w:val="nil"/>
              <w:right w:val="single" w:sz="4" w:space="0" w:color="auto"/>
            </w:tcBorders>
            <w:noWrap/>
            <w:vAlign w:val="bottom"/>
            <w:hideMark/>
          </w:tcPr>
          <w:p w14:paraId="61B1977D"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nil"/>
              <w:right w:val="single" w:sz="4" w:space="0" w:color="auto"/>
            </w:tcBorders>
            <w:noWrap/>
            <w:vAlign w:val="bottom"/>
            <w:hideMark/>
          </w:tcPr>
          <w:p w14:paraId="750D8227"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nil"/>
              <w:right w:val="single" w:sz="4" w:space="0" w:color="auto"/>
            </w:tcBorders>
            <w:noWrap/>
            <w:vAlign w:val="bottom"/>
            <w:hideMark/>
          </w:tcPr>
          <w:p w14:paraId="22471A0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243A682" w14:textId="77777777" w:rsidTr="00BC1741">
        <w:trPr>
          <w:trHeight w:val="255"/>
        </w:trPr>
        <w:tc>
          <w:tcPr>
            <w:tcW w:w="3347" w:type="dxa"/>
            <w:tcBorders>
              <w:top w:val="nil"/>
              <w:left w:val="single" w:sz="4" w:space="0" w:color="auto"/>
              <w:bottom w:val="single" w:sz="4" w:space="0" w:color="auto"/>
              <w:right w:val="single" w:sz="4" w:space="0" w:color="auto"/>
            </w:tcBorders>
            <w:noWrap/>
            <w:vAlign w:val="bottom"/>
            <w:hideMark/>
          </w:tcPr>
          <w:p w14:paraId="38242D2F"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Northern Territory - Outback</w:t>
            </w:r>
          </w:p>
        </w:tc>
        <w:tc>
          <w:tcPr>
            <w:tcW w:w="2173" w:type="dxa"/>
            <w:tcBorders>
              <w:top w:val="nil"/>
              <w:left w:val="nil"/>
              <w:bottom w:val="single" w:sz="4" w:space="0" w:color="auto"/>
              <w:right w:val="nil"/>
            </w:tcBorders>
            <w:noWrap/>
            <w:vAlign w:val="bottom"/>
            <w:hideMark/>
          </w:tcPr>
          <w:p w14:paraId="5EE62E07"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Remote</w:t>
            </w:r>
          </w:p>
        </w:tc>
        <w:tc>
          <w:tcPr>
            <w:tcW w:w="1460" w:type="dxa"/>
            <w:tcBorders>
              <w:top w:val="nil"/>
              <w:left w:val="single" w:sz="4" w:space="0" w:color="auto"/>
              <w:bottom w:val="single" w:sz="4" w:space="0" w:color="auto"/>
              <w:right w:val="single" w:sz="4" w:space="0" w:color="auto"/>
            </w:tcBorders>
            <w:noWrap/>
            <w:vAlign w:val="bottom"/>
            <w:hideMark/>
          </w:tcPr>
          <w:p w14:paraId="3F80A71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460" w:type="dxa"/>
            <w:tcBorders>
              <w:top w:val="nil"/>
              <w:left w:val="nil"/>
              <w:bottom w:val="single" w:sz="4" w:space="0" w:color="auto"/>
              <w:right w:val="single" w:sz="4" w:space="0" w:color="auto"/>
            </w:tcBorders>
            <w:noWrap/>
            <w:vAlign w:val="bottom"/>
            <w:hideMark/>
          </w:tcPr>
          <w:p w14:paraId="45973AC8"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Poor</w:t>
            </w:r>
          </w:p>
        </w:tc>
        <w:tc>
          <w:tcPr>
            <w:tcW w:w="1160" w:type="dxa"/>
            <w:tcBorders>
              <w:top w:val="nil"/>
              <w:left w:val="nil"/>
              <w:bottom w:val="single" w:sz="4" w:space="0" w:color="auto"/>
              <w:right w:val="single" w:sz="4" w:space="0" w:color="auto"/>
            </w:tcBorders>
            <w:noWrap/>
            <w:vAlign w:val="bottom"/>
            <w:hideMark/>
          </w:tcPr>
          <w:p w14:paraId="55B6D62F"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6844F861" w14:textId="77777777" w:rsidTr="00BC1741">
        <w:trPr>
          <w:trHeight w:val="255"/>
        </w:trPr>
        <w:tc>
          <w:tcPr>
            <w:tcW w:w="3347" w:type="dxa"/>
            <w:tcBorders>
              <w:top w:val="nil"/>
              <w:left w:val="single" w:sz="4" w:space="0" w:color="auto"/>
              <w:bottom w:val="single" w:sz="4" w:space="0" w:color="auto"/>
              <w:right w:val="single" w:sz="4" w:space="0" w:color="auto"/>
            </w:tcBorders>
            <w:noWrap/>
            <w:vAlign w:val="bottom"/>
            <w:hideMark/>
          </w:tcPr>
          <w:p w14:paraId="5857B679"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Australian Capital Territory</w:t>
            </w:r>
          </w:p>
        </w:tc>
        <w:tc>
          <w:tcPr>
            <w:tcW w:w="2173" w:type="dxa"/>
            <w:tcBorders>
              <w:top w:val="nil"/>
              <w:left w:val="nil"/>
              <w:bottom w:val="single" w:sz="4" w:space="0" w:color="auto"/>
              <w:right w:val="nil"/>
            </w:tcBorders>
            <w:noWrap/>
            <w:vAlign w:val="bottom"/>
            <w:hideMark/>
          </w:tcPr>
          <w:p w14:paraId="3800135A" w14:textId="77777777" w:rsidR="00BC1741" w:rsidRPr="00BC1741" w:rsidRDefault="00BC1741" w:rsidP="004A5416">
            <w:pPr>
              <w:spacing w:before="0" w:after="0"/>
              <w:rPr>
                <w:rFonts w:eastAsia="Times New Roman" w:cs="Arial"/>
                <w:color w:val="000000"/>
                <w:sz w:val="16"/>
                <w:szCs w:val="16"/>
                <w:lang w:eastAsia="en-AU"/>
              </w:rPr>
            </w:pPr>
            <w:r w:rsidRPr="00BC1741">
              <w:rPr>
                <w:rFonts w:eastAsia="Times New Roman" w:cs="Arial"/>
                <w:color w:val="000000"/>
                <w:sz w:val="16"/>
                <w:szCs w:val="16"/>
                <w:lang w:eastAsia="en-AU"/>
              </w:rPr>
              <w:t>Major City</w:t>
            </w:r>
          </w:p>
        </w:tc>
        <w:tc>
          <w:tcPr>
            <w:tcW w:w="1460" w:type="dxa"/>
            <w:tcBorders>
              <w:top w:val="nil"/>
              <w:left w:val="single" w:sz="4" w:space="0" w:color="auto"/>
              <w:bottom w:val="single" w:sz="4" w:space="0" w:color="auto"/>
              <w:right w:val="single" w:sz="4" w:space="0" w:color="auto"/>
            </w:tcBorders>
            <w:noWrap/>
            <w:vAlign w:val="bottom"/>
            <w:hideMark/>
          </w:tcPr>
          <w:p w14:paraId="75F343E6"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460" w:type="dxa"/>
            <w:tcBorders>
              <w:top w:val="nil"/>
              <w:left w:val="nil"/>
              <w:bottom w:val="single" w:sz="4" w:space="0" w:color="auto"/>
              <w:right w:val="single" w:sz="4" w:space="0" w:color="auto"/>
            </w:tcBorders>
            <w:noWrap/>
            <w:vAlign w:val="bottom"/>
            <w:hideMark/>
          </w:tcPr>
          <w:p w14:paraId="1080D774"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Strong</w:t>
            </w:r>
          </w:p>
        </w:tc>
        <w:tc>
          <w:tcPr>
            <w:tcW w:w="1160" w:type="dxa"/>
            <w:tcBorders>
              <w:top w:val="nil"/>
              <w:left w:val="nil"/>
              <w:bottom w:val="single" w:sz="4" w:space="0" w:color="auto"/>
              <w:right w:val="single" w:sz="4" w:space="0" w:color="auto"/>
            </w:tcBorders>
            <w:noWrap/>
            <w:vAlign w:val="bottom"/>
            <w:hideMark/>
          </w:tcPr>
          <w:p w14:paraId="39D62B39" w14:textId="77777777" w:rsidR="00BC1741" w:rsidRPr="00BC1741" w:rsidRDefault="00BC1741" w:rsidP="004A5416">
            <w:pPr>
              <w:spacing w:before="0" w:after="0"/>
              <w:jc w:val="center"/>
              <w:rPr>
                <w:rFonts w:eastAsia="Times New Roman" w:cs="Arial"/>
                <w:color w:val="000000"/>
                <w:sz w:val="16"/>
                <w:szCs w:val="16"/>
                <w:lang w:eastAsia="en-AU"/>
              </w:rPr>
            </w:pPr>
            <w:r w:rsidRPr="00BC1741">
              <w:rPr>
                <w:rFonts w:eastAsia="Times New Roman" w:cs="Arial"/>
                <w:color w:val="000000"/>
                <w:sz w:val="16"/>
                <w:szCs w:val="16"/>
                <w:lang w:eastAsia="en-AU"/>
              </w:rPr>
              <w:t>Stable</w:t>
            </w:r>
          </w:p>
        </w:tc>
      </w:tr>
      <w:tr w:rsidR="00BC1741" w:rsidRPr="00BC1741" w14:paraId="321A49E8" w14:textId="77777777" w:rsidTr="00BC1741">
        <w:trPr>
          <w:trHeight w:val="255"/>
        </w:trPr>
        <w:tc>
          <w:tcPr>
            <w:tcW w:w="3347" w:type="dxa"/>
            <w:tcBorders>
              <w:top w:val="nil"/>
              <w:left w:val="single" w:sz="4" w:space="0" w:color="auto"/>
              <w:bottom w:val="single" w:sz="4" w:space="0" w:color="auto"/>
              <w:right w:val="single" w:sz="4" w:space="0" w:color="auto"/>
            </w:tcBorders>
            <w:noWrap/>
            <w:vAlign w:val="bottom"/>
            <w:hideMark/>
          </w:tcPr>
          <w:p w14:paraId="38F996CD" w14:textId="77777777" w:rsidR="00BC1741" w:rsidRPr="00BC1741" w:rsidRDefault="00BC1741" w:rsidP="004A5416">
            <w:pPr>
              <w:spacing w:before="0" w:after="0"/>
              <w:rPr>
                <w:rFonts w:eastAsia="Times New Roman" w:cs="Arial"/>
                <w:i/>
                <w:iCs/>
                <w:color w:val="000000"/>
                <w:sz w:val="16"/>
                <w:szCs w:val="16"/>
                <w:lang w:eastAsia="en-AU"/>
              </w:rPr>
            </w:pPr>
            <w:r w:rsidRPr="00BC1741">
              <w:rPr>
                <w:rFonts w:eastAsia="Times New Roman" w:cs="Arial"/>
                <w:i/>
                <w:iCs/>
                <w:color w:val="000000"/>
                <w:sz w:val="16"/>
                <w:szCs w:val="16"/>
                <w:lang w:eastAsia="en-AU"/>
              </w:rPr>
              <w:t>Northern Australia</w:t>
            </w:r>
          </w:p>
        </w:tc>
        <w:tc>
          <w:tcPr>
            <w:tcW w:w="2173" w:type="dxa"/>
            <w:tcBorders>
              <w:top w:val="nil"/>
              <w:left w:val="nil"/>
              <w:bottom w:val="single" w:sz="4" w:space="0" w:color="auto"/>
              <w:right w:val="single" w:sz="4" w:space="0" w:color="auto"/>
            </w:tcBorders>
            <w:noWrap/>
            <w:vAlign w:val="bottom"/>
            <w:hideMark/>
          </w:tcPr>
          <w:p w14:paraId="5A1B1016" w14:textId="77777777" w:rsidR="00BC1741" w:rsidRPr="00BC1741" w:rsidRDefault="00BC1741" w:rsidP="004A5416">
            <w:pPr>
              <w:spacing w:before="0" w:after="0"/>
              <w:rPr>
                <w:rFonts w:eastAsia="Times New Roman" w:cs="Arial"/>
                <w:i/>
                <w:iCs/>
                <w:color w:val="000000"/>
                <w:sz w:val="16"/>
                <w:szCs w:val="16"/>
                <w:lang w:eastAsia="en-AU"/>
              </w:rPr>
            </w:pPr>
            <w:r w:rsidRPr="00BC1741">
              <w:rPr>
                <w:rFonts w:eastAsia="Times New Roman" w:cs="Arial"/>
                <w:i/>
                <w:iCs/>
                <w:color w:val="000000"/>
                <w:sz w:val="16"/>
                <w:szCs w:val="16"/>
                <w:lang w:eastAsia="en-AU"/>
              </w:rPr>
              <w:t> </w:t>
            </w:r>
          </w:p>
        </w:tc>
        <w:tc>
          <w:tcPr>
            <w:tcW w:w="1460" w:type="dxa"/>
            <w:tcBorders>
              <w:top w:val="nil"/>
              <w:left w:val="nil"/>
              <w:bottom w:val="single" w:sz="4" w:space="0" w:color="auto"/>
              <w:right w:val="single" w:sz="4" w:space="0" w:color="auto"/>
            </w:tcBorders>
            <w:noWrap/>
            <w:vAlign w:val="bottom"/>
            <w:hideMark/>
          </w:tcPr>
          <w:p w14:paraId="5B44FF1F" w14:textId="77777777" w:rsidR="00BC1741" w:rsidRPr="00BC1741" w:rsidRDefault="00BC1741" w:rsidP="004A5416">
            <w:pPr>
              <w:spacing w:before="0" w:after="0"/>
              <w:jc w:val="center"/>
              <w:rPr>
                <w:rFonts w:eastAsia="Times New Roman" w:cs="Arial"/>
                <w:i/>
                <w:iCs/>
                <w:color w:val="000000"/>
                <w:sz w:val="16"/>
                <w:szCs w:val="16"/>
                <w:lang w:eastAsia="en-AU"/>
              </w:rPr>
            </w:pPr>
            <w:r w:rsidRPr="00BC1741">
              <w:rPr>
                <w:rFonts w:eastAsia="Times New Roman" w:cs="Arial"/>
                <w:i/>
                <w:iCs/>
                <w:color w:val="000000"/>
                <w:sz w:val="16"/>
                <w:szCs w:val="16"/>
                <w:lang w:eastAsia="en-AU"/>
              </w:rPr>
              <w:t>Below average</w:t>
            </w:r>
          </w:p>
        </w:tc>
        <w:tc>
          <w:tcPr>
            <w:tcW w:w="1460" w:type="dxa"/>
            <w:tcBorders>
              <w:top w:val="nil"/>
              <w:left w:val="nil"/>
              <w:bottom w:val="single" w:sz="4" w:space="0" w:color="auto"/>
              <w:right w:val="single" w:sz="4" w:space="0" w:color="auto"/>
            </w:tcBorders>
            <w:noWrap/>
            <w:vAlign w:val="bottom"/>
            <w:hideMark/>
          </w:tcPr>
          <w:p w14:paraId="00FC2E05" w14:textId="77777777" w:rsidR="00BC1741" w:rsidRPr="00BC1741" w:rsidRDefault="00BC1741" w:rsidP="004A5416">
            <w:pPr>
              <w:spacing w:before="0" w:after="0"/>
              <w:jc w:val="center"/>
              <w:rPr>
                <w:rFonts w:eastAsia="Times New Roman" w:cs="Arial"/>
                <w:i/>
                <w:iCs/>
                <w:color w:val="000000"/>
                <w:sz w:val="16"/>
                <w:szCs w:val="16"/>
                <w:lang w:eastAsia="en-AU"/>
              </w:rPr>
            </w:pPr>
            <w:r w:rsidRPr="00BC1741">
              <w:rPr>
                <w:rFonts w:eastAsia="Times New Roman" w:cs="Arial"/>
                <w:i/>
                <w:iCs/>
                <w:color w:val="000000"/>
                <w:sz w:val="16"/>
                <w:szCs w:val="16"/>
                <w:lang w:eastAsia="en-AU"/>
              </w:rPr>
              <w:t>Below average</w:t>
            </w:r>
          </w:p>
        </w:tc>
        <w:tc>
          <w:tcPr>
            <w:tcW w:w="1160" w:type="dxa"/>
            <w:tcBorders>
              <w:top w:val="nil"/>
              <w:left w:val="nil"/>
              <w:bottom w:val="single" w:sz="4" w:space="0" w:color="auto"/>
              <w:right w:val="single" w:sz="4" w:space="0" w:color="auto"/>
            </w:tcBorders>
            <w:noWrap/>
            <w:vAlign w:val="bottom"/>
            <w:hideMark/>
          </w:tcPr>
          <w:p w14:paraId="657E1C8D" w14:textId="77777777" w:rsidR="00BC1741" w:rsidRPr="00BC1741" w:rsidRDefault="00BC1741" w:rsidP="004A5416">
            <w:pPr>
              <w:spacing w:before="0" w:after="0"/>
              <w:jc w:val="center"/>
              <w:rPr>
                <w:rFonts w:eastAsia="Times New Roman" w:cs="Arial"/>
                <w:i/>
                <w:iCs/>
                <w:color w:val="000000"/>
                <w:sz w:val="16"/>
                <w:szCs w:val="16"/>
                <w:lang w:eastAsia="en-AU"/>
              </w:rPr>
            </w:pPr>
            <w:r w:rsidRPr="00BC1741">
              <w:rPr>
                <w:rFonts w:eastAsia="Times New Roman" w:cs="Arial"/>
                <w:i/>
                <w:iCs/>
                <w:color w:val="000000"/>
                <w:sz w:val="16"/>
                <w:szCs w:val="16"/>
                <w:lang w:eastAsia="en-AU"/>
              </w:rPr>
              <w:t>Stable</w:t>
            </w:r>
          </w:p>
        </w:tc>
      </w:tr>
      <w:tr w:rsidR="00BC1741" w:rsidRPr="00BC1741" w14:paraId="313CDD51" w14:textId="77777777" w:rsidTr="00BC1741">
        <w:trPr>
          <w:trHeight w:val="255"/>
        </w:trPr>
        <w:tc>
          <w:tcPr>
            <w:tcW w:w="3347" w:type="dxa"/>
            <w:tcBorders>
              <w:top w:val="nil"/>
              <w:left w:val="single" w:sz="4" w:space="0" w:color="auto"/>
              <w:bottom w:val="single" w:sz="4" w:space="0" w:color="auto"/>
              <w:right w:val="single" w:sz="4" w:space="0" w:color="auto"/>
            </w:tcBorders>
            <w:noWrap/>
            <w:vAlign w:val="bottom"/>
            <w:hideMark/>
          </w:tcPr>
          <w:p w14:paraId="359211D0" w14:textId="77777777" w:rsidR="00BC1741" w:rsidRPr="00BC1741" w:rsidRDefault="00BC1741" w:rsidP="004A5416">
            <w:pPr>
              <w:spacing w:before="0" w:after="0"/>
              <w:rPr>
                <w:rFonts w:eastAsia="Times New Roman" w:cs="Arial"/>
                <w:i/>
                <w:iCs/>
                <w:color w:val="000000"/>
                <w:sz w:val="16"/>
                <w:szCs w:val="16"/>
                <w:lang w:eastAsia="en-AU"/>
              </w:rPr>
            </w:pPr>
            <w:r w:rsidRPr="00BC1741">
              <w:rPr>
                <w:rFonts w:eastAsia="Times New Roman" w:cs="Arial"/>
                <w:i/>
                <w:iCs/>
                <w:color w:val="000000"/>
                <w:sz w:val="16"/>
                <w:szCs w:val="16"/>
                <w:lang w:eastAsia="en-AU"/>
              </w:rPr>
              <w:t>Remote Australia</w:t>
            </w:r>
          </w:p>
        </w:tc>
        <w:tc>
          <w:tcPr>
            <w:tcW w:w="2173" w:type="dxa"/>
            <w:tcBorders>
              <w:top w:val="nil"/>
              <w:left w:val="nil"/>
              <w:bottom w:val="single" w:sz="4" w:space="0" w:color="auto"/>
              <w:right w:val="single" w:sz="4" w:space="0" w:color="auto"/>
            </w:tcBorders>
            <w:noWrap/>
            <w:vAlign w:val="bottom"/>
            <w:hideMark/>
          </w:tcPr>
          <w:p w14:paraId="3FC22BCF" w14:textId="77777777" w:rsidR="00BC1741" w:rsidRPr="00BC1741" w:rsidRDefault="00BC1741" w:rsidP="004A5416">
            <w:pPr>
              <w:spacing w:before="0" w:after="0"/>
              <w:rPr>
                <w:rFonts w:eastAsia="Times New Roman" w:cs="Arial"/>
                <w:i/>
                <w:iCs/>
                <w:color w:val="000000"/>
                <w:sz w:val="16"/>
                <w:szCs w:val="16"/>
                <w:lang w:eastAsia="en-AU"/>
              </w:rPr>
            </w:pPr>
            <w:r w:rsidRPr="00BC1741">
              <w:rPr>
                <w:rFonts w:eastAsia="Times New Roman" w:cs="Arial"/>
                <w:i/>
                <w:iCs/>
                <w:color w:val="000000"/>
                <w:sz w:val="16"/>
                <w:szCs w:val="16"/>
                <w:lang w:eastAsia="en-AU"/>
              </w:rPr>
              <w:t>Remote</w:t>
            </w:r>
          </w:p>
        </w:tc>
        <w:tc>
          <w:tcPr>
            <w:tcW w:w="1460" w:type="dxa"/>
            <w:tcBorders>
              <w:top w:val="nil"/>
              <w:left w:val="nil"/>
              <w:bottom w:val="single" w:sz="4" w:space="0" w:color="auto"/>
              <w:right w:val="single" w:sz="4" w:space="0" w:color="auto"/>
            </w:tcBorders>
            <w:noWrap/>
            <w:vAlign w:val="bottom"/>
            <w:hideMark/>
          </w:tcPr>
          <w:p w14:paraId="17177679" w14:textId="77777777" w:rsidR="00BC1741" w:rsidRPr="00BC1741" w:rsidRDefault="00BC1741" w:rsidP="004A5416">
            <w:pPr>
              <w:spacing w:before="0" w:after="0"/>
              <w:jc w:val="center"/>
              <w:rPr>
                <w:rFonts w:eastAsia="Times New Roman" w:cs="Arial"/>
                <w:i/>
                <w:iCs/>
                <w:color w:val="000000"/>
                <w:sz w:val="16"/>
                <w:szCs w:val="16"/>
                <w:lang w:eastAsia="en-AU"/>
              </w:rPr>
            </w:pPr>
            <w:r w:rsidRPr="00BC1741">
              <w:rPr>
                <w:rFonts w:eastAsia="Times New Roman" w:cs="Arial"/>
                <w:i/>
                <w:iCs/>
                <w:color w:val="000000"/>
                <w:sz w:val="16"/>
                <w:szCs w:val="16"/>
                <w:lang w:eastAsia="en-AU"/>
              </w:rPr>
              <w:t>Poor</w:t>
            </w:r>
          </w:p>
        </w:tc>
        <w:tc>
          <w:tcPr>
            <w:tcW w:w="1460" w:type="dxa"/>
            <w:tcBorders>
              <w:top w:val="nil"/>
              <w:left w:val="nil"/>
              <w:bottom w:val="single" w:sz="4" w:space="0" w:color="auto"/>
              <w:right w:val="single" w:sz="4" w:space="0" w:color="auto"/>
            </w:tcBorders>
            <w:noWrap/>
            <w:vAlign w:val="bottom"/>
            <w:hideMark/>
          </w:tcPr>
          <w:p w14:paraId="7A28C45D" w14:textId="77777777" w:rsidR="00BC1741" w:rsidRPr="00BC1741" w:rsidRDefault="00BC1741" w:rsidP="004A5416">
            <w:pPr>
              <w:spacing w:before="0" w:after="0"/>
              <w:jc w:val="center"/>
              <w:rPr>
                <w:rFonts w:eastAsia="Times New Roman" w:cs="Arial"/>
                <w:i/>
                <w:iCs/>
                <w:color w:val="000000"/>
                <w:sz w:val="16"/>
                <w:szCs w:val="16"/>
                <w:lang w:eastAsia="en-AU"/>
              </w:rPr>
            </w:pPr>
            <w:r w:rsidRPr="00BC1741">
              <w:rPr>
                <w:rFonts w:eastAsia="Times New Roman" w:cs="Arial"/>
                <w:i/>
                <w:iCs/>
                <w:color w:val="000000"/>
                <w:sz w:val="16"/>
                <w:szCs w:val="16"/>
                <w:lang w:eastAsia="en-AU"/>
              </w:rPr>
              <w:t>Poor</w:t>
            </w:r>
          </w:p>
        </w:tc>
        <w:tc>
          <w:tcPr>
            <w:tcW w:w="1160" w:type="dxa"/>
            <w:tcBorders>
              <w:top w:val="nil"/>
              <w:left w:val="nil"/>
              <w:bottom w:val="single" w:sz="4" w:space="0" w:color="auto"/>
              <w:right w:val="single" w:sz="4" w:space="0" w:color="auto"/>
            </w:tcBorders>
            <w:noWrap/>
            <w:vAlign w:val="bottom"/>
            <w:hideMark/>
          </w:tcPr>
          <w:p w14:paraId="09021DC6" w14:textId="77777777" w:rsidR="00BC1741" w:rsidRPr="00BC1741" w:rsidRDefault="00BC1741" w:rsidP="004A5416">
            <w:pPr>
              <w:spacing w:before="0" w:after="0"/>
              <w:jc w:val="center"/>
              <w:rPr>
                <w:rFonts w:eastAsia="Times New Roman" w:cs="Arial"/>
                <w:i/>
                <w:iCs/>
                <w:color w:val="000000"/>
                <w:sz w:val="16"/>
                <w:szCs w:val="16"/>
                <w:lang w:eastAsia="en-AU"/>
              </w:rPr>
            </w:pPr>
            <w:r w:rsidRPr="00BC1741">
              <w:rPr>
                <w:rFonts w:eastAsia="Times New Roman" w:cs="Arial"/>
                <w:i/>
                <w:iCs/>
                <w:color w:val="000000"/>
                <w:sz w:val="16"/>
                <w:szCs w:val="16"/>
                <w:lang w:eastAsia="en-AU"/>
              </w:rPr>
              <w:t>Stable</w:t>
            </w:r>
          </w:p>
        </w:tc>
      </w:tr>
    </w:tbl>
    <w:p w14:paraId="49214F6E" w14:textId="77777777" w:rsidR="00BC1741" w:rsidRDefault="00BC1741" w:rsidP="004A5416">
      <w:pPr>
        <w:rPr>
          <w:i/>
          <w:iCs/>
          <w:sz w:val="18"/>
          <w:szCs w:val="18"/>
        </w:rPr>
      </w:pPr>
      <w:r w:rsidRPr="005B548E">
        <w:rPr>
          <w:i/>
          <w:iCs/>
          <w:sz w:val="18"/>
          <w:szCs w:val="18"/>
        </w:rPr>
        <w:t xml:space="preserve">Source: JSA, Regional Labour Market Indicator (RLMI), </w:t>
      </w:r>
      <w:r>
        <w:rPr>
          <w:i/>
          <w:iCs/>
          <w:sz w:val="18"/>
          <w:szCs w:val="18"/>
        </w:rPr>
        <w:t>June 2026</w:t>
      </w:r>
    </w:p>
    <w:p w14:paraId="1DF11757" w14:textId="77777777" w:rsidR="00BC1741" w:rsidRDefault="00BC1741" w:rsidP="004A5416">
      <w:pPr>
        <w:rPr>
          <w:i/>
          <w:iCs/>
          <w:sz w:val="18"/>
          <w:szCs w:val="18"/>
        </w:rPr>
      </w:pPr>
    </w:p>
    <w:p w14:paraId="4519190E" w14:textId="77777777" w:rsidR="00BC1741" w:rsidRPr="000E05A6" w:rsidRDefault="00BC1741" w:rsidP="004A5416">
      <w:pPr>
        <w:rPr>
          <w:i/>
          <w:iCs/>
          <w:sz w:val="18"/>
          <w:szCs w:val="18"/>
        </w:rPr>
      </w:pPr>
      <w:r>
        <w:rPr>
          <w:i/>
          <w:iCs/>
          <w:sz w:val="18"/>
          <w:szCs w:val="18"/>
        </w:rPr>
        <w:t>Note: T</w:t>
      </w:r>
      <w:r w:rsidRPr="000E05A6">
        <w:rPr>
          <w:i/>
          <w:iCs/>
          <w:sz w:val="18"/>
          <w:szCs w:val="18"/>
        </w:rPr>
        <w:t xml:space="preserve">he remoteness classification is a bespoke, Statistical Area 4 (SA4) level typology </w:t>
      </w:r>
      <w:r>
        <w:rPr>
          <w:i/>
          <w:iCs/>
          <w:sz w:val="18"/>
          <w:szCs w:val="18"/>
        </w:rPr>
        <w:t>that draws</w:t>
      </w:r>
      <w:r w:rsidRPr="000E05A6">
        <w:rPr>
          <w:i/>
          <w:iCs/>
          <w:sz w:val="18"/>
          <w:szCs w:val="18"/>
        </w:rPr>
        <w:t xml:space="preserve"> on elements of the ASGS main and remoteness structures and</w:t>
      </w:r>
      <w:r>
        <w:rPr>
          <w:i/>
          <w:iCs/>
          <w:sz w:val="18"/>
          <w:szCs w:val="18"/>
        </w:rPr>
        <w:t xml:space="preserve"> is </w:t>
      </w:r>
      <w:r w:rsidRPr="000E05A6">
        <w:rPr>
          <w:i/>
          <w:iCs/>
          <w:sz w:val="18"/>
          <w:szCs w:val="18"/>
        </w:rPr>
        <w:t>supported by factors such as population size and density, and proximity to major centres</w:t>
      </w:r>
      <w:r>
        <w:rPr>
          <w:i/>
          <w:iCs/>
          <w:sz w:val="18"/>
          <w:szCs w:val="18"/>
        </w:rPr>
        <w:t xml:space="preserve">. The classification is not </w:t>
      </w:r>
      <w:r w:rsidRPr="000E05A6">
        <w:rPr>
          <w:i/>
          <w:iCs/>
          <w:sz w:val="18"/>
          <w:szCs w:val="18"/>
        </w:rPr>
        <w:t>directly concordant with standard ABS classifications.</w:t>
      </w:r>
    </w:p>
    <w:p w14:paraId="46F29609" w14:textId="2AB06933" w:rsidR="00DD04FE" w:rsidRDefault="00437E90" w:rsidP="004A5416">
      <w:pPr>
        <w:pStyle w:val="Heading2"/>
      </w:pPr>
      <w:bookmarkStart w:id="8" w:name="_Toc238204705"/>
      <w:r>
        <w:lastRenderedPageBreak/>
        <w:t>Appendix 2: RLMI Explanatory Notes</w:t>
      </w:r>
      <w:bookmarkEnd w:id="8"/>
    </w:p>
    <w:p w14:paraId="60D7189F" w14:textId="77777777" w:rsidR="00437E90" w:rsidRPr="00A070B7" w:rsidRDefault="00437E90" w:rsidP="004A5416">
      <w:pPr>
        <w:pStyle w:val="Heading3"/>
      </w:pPr>
      <w:r>
        <w:t>Overview</w:t>
      </w:r>
    </w:p>
    <w:p w14:paraId="36D86B72" w14:textId="77777777" w:rsidR="00437E90" w:rsidRDefault="00437E90" w:rsidP="004A5416">
      <w:pPr>
        <w:pStyle w:val="BodyText"/>
      </w:pPr>
      <w:r w:rsidRPr="0084154D">
        <w:t xml:space="preserve">The RLMI combines key measures of labour supply and demand, including </w:t>
      </w:r>
      <w:r>
        <w:t>factors</w:t>
      </w:r>
      <w:r w:rsidRPr="0084154D">
        <w:t xml:space="preserve"> that capture how these interact, into a single, easy</w:t>
      </w:r>
      <w:r w:rsidRPr="0084154D">
        <w:rPr>
          <w:rFonts w:ascii="Cambria Math" w:hAnsi="Cambria Math" w:cs="Cambria Math"/>
        </w:rPr>
        <w:t>‑</w:t>
      </w:r>
      <w:r w:rsidRPr="0084154D">
        <w:t>to</w:t>
      </w:r>
      <w:r w:rsidRPr="0084154D">
        <w:rPr>
          <w:rFonts w:ascii="Cambria Math" w:hAnsi="Cambria Math" w:cs="Cambria Math"/>
        </w:rPr>
        <w:t>‑</w:t>
      </w:r>
      <w:r w:rsidRPr="0084154D">
        <w:t>interpret summary measure.</w:t>
      </w:r>
    </w:p>
    <w:p w14:paraId="279ECC88" w14:textId="68B524F5" w:rsidR="00437E90" w:rsidRDefault="00437E90" w:rsidP="004A5416">
      <w:pPr>
        <w:pStyle w:val="BodyText"/>
      </w:pPr>
      <w:r>
        <w:t>R</w:t>
      </w:r>
      <w:r w:rsidRPr="00C877C1">
        <w:t xml:space="preserve">egions </w:t>
      </w:r>
      <w:r>
        <w:t xml:space="preserve">are </w:t>
      </w:r>
      <w:r w:rsidRPr="00C877C1">
        <w:t xml:space="preserve">grouped into distinct categories of </w:t>
      </w:r>
      <w:r>
        <w:t xml:space="preserve">relative </w:t>
      </w:r>
      <w:r w:rsidRPr="00C877C1">
        <w:t>overall labour market performance, ranging from ‘poor’ to ‘strong’</w:t>
      </w:r>
      <w:r>
        <w:t>,</w:t>
      </w:r>
      <w:r w:rsidRPr="00C877C1">
        <w:t xml:space="preserve"> which provides an accurate and reliable view of labour market performance</w:t>
      </w:r>
      <w:r>
        <w:t>, relative to the national average</w:t>
      </w:r>
      <w:r w:rsidRPr="00C877C1">
        <w:t xml:space="preserve">. </w:t>
      </w:r>
    </w:p>
    <w:p w14:paraId="12194843" w14:textId="77777777" w:rsidR="00437E90" w:rsidRDefault="00437E90" w:rsidP="004A5416">
      <w:pPr>
        <w:spacing w:before="120" w:after="120" w:line="276" w:lineRule="auto"/>
        <w:rPr>
          <w:bCs/>
          <w:iCs/>
        </w:rPr>
      </w:pPr>
      <w:r>
        <w:rPr>
          <w:bCs/>
          <w:iCs/>
        </w:rPr>
        <w:t xml:space="preserve">A strong labour market, that is characterised by a high rate of employment, where employers can attract, develop and retain sufficient suitable labour to meet current skills needs, and where employment opportunities are broadly accessible and secure, help drive a more productive economy that is central to building a prosperous and inclusive society. </w:t>
      </w:r>
    </w:p>
    <w:p w14:paraId="6EF5F76C" w14:textId="77777777" w:rsidR="00437E90" w:rsidRDefault="00437E90" w:rsidP="004A5416">
      <w:pPr>
        <w:pStyle w:val="Heading3"/>
      </w:pPr>
      <w:r>
        <w:t>Factors used to assess labour market performance</w:t>
      </w:r>
    </w:p>
    <w:p w14:paraId="6D21D634" w14:textId="77777777" w:rsidR="00437E90" w:rsidRPr="00C14228" w:rsidRDefault="00437E90" w:rsidP="004A5416">
      <w:pPr>
        <w:spacing w:before="120" w:after="120" w:line="276" w:lineRule="auto"/>
      </w:pPr>
      <w:r>
        <w:t xml:space="preserve">The 11 input factors currently included in the RLMI are listed below. The factors can be grouped into broader measures of labour supply, demand, with several indicators capturing dynamics at the intersection of these dimensions. </w:t>
      </w:r>
    </w:p>
    <w:tbl>
      <w:tblPr>
        <w:tblStyle w:val="PlainTable41"/>
        <w:tblW w:w="4866" w:type="pct"/>
        <w:tblLayout w:type="fixed"/>
        <w:tblLook w:val="0480" w:firstRow="0" w:lastRow="0" w:firstColumn="1" w:lastColumn="0" w:noHBand="0" w:noVBand="1"/>
      </w:tblPr>
      <w:tblGrid>
        <w:gridCol w:w="1704"/>
        <w:gridCol w:w="2409"/>
        <w:gridCol w:w="1133"/>
        <w:gridCol w:w="285"/>
        <w:gridCol w:w="1133"/>
        <w:gridCol w:w="1223"/>
        <w:gridCol w:w="898"/>
      </w:tblGrid>
      <w:tr w:rsidR="00437E90" w:rsidRPr="00DC2212" w14:paraId="5347C486" w14:textId="77777777" w:rsidTr="009B64B7">
        <w:trPr>
          <w:tblHeader/>
        </w:trPr>
        <w:tc>
          <w:tcPr>
            <w:cnfStyle w:val="001000000000" w:firstRow="0" w:lastRow="0" w:firstColumn="1" w:lastColumn="0" w:oddVBand="0" w:evenVBand="0" w:oddHBand="0" w:evenHBand="0" w:firstRowFirstColumn="0" w:firstRowLastColumn="0" w:lastRowFirstColumn="0" w:lastRowLastColumn="0"/>
            <w:tcW w:w="969" w:type="pct"/>
            <w:shd w:val="clear" w:color="auto" w:fill="441170"/>
            <w:vAlign w:val="bottom"/>
          </w:tcPr>
          <w:p w14:paraId="46237F5A" w14:textId="77777777" w:rsidR="00437E90" w:rsidRPr="00DC2212" w:rsidRDefault="00437E90" w:rsidP="004A5416">
            <w:pPr>
              <w:spacing w:before="120" w:after="120"/>
              <w:rPr>
                <w:b w:val="0"/>
                <w:bCs w:val="0"/>
                <w:color w:val="FFFFFF"/>
                <w:sz w:val="16"/>
                <w:szCs w:val="16"/>
                <w:lang w:val="en-US"/>
              </w:rPr>
            </w:pPr>
            <w:r w:rsidRPr="00DC2212">
              <w:rPr>
                <w:b w:val="0"/>
                <w:bCs w:val="0"/>
                <w:color w:val="FFFFFF"/>
                <w:sz w:val="16"/>
                <w:szCs w:val="16"/>
                <w:lang w:val="en-US"/>
              </w:rPr>
              <w:t>Factor</w:t>
            </w:r>
          </w:p>
        </w:tc>
        <w:tc>
          <w:tcPr>
            <w:tcW w:w="1371" w:type="pct"/>
            <w:shd w:val="clear" w:color="auto" w:fill="441170"/>
            <w:vAlign w:val="bottom"/>
          </w:tcPr>
          <w:p w14:paraId="5AD98047" w14:textId="77777777" w:rsidR="00437E90" w:rsidRPr="00DC2212" w:rsidRDefault="00437E90" w:rsidP="004A5416">
            <w:pPr>
              <w:spacing w:before="120" w:after="120"/>
              <w:cnfStyle w:val="000000000000" w:firstRow="0" w:lastRow="0" w:firstColumn="0" w:lastColumn="0" w:oddVBand="0" w:evenVBand="0" w:oddHBand="0" w:evenHBand="0" w:firstRowFirstColumn="0" w:firstRowLastColumn="0" w:lastRowFirstColumn="0" w:lastRowLastColumn="0"/>
              <w:rPr>
                <w:color w:val="FFFFFF"/>
                <w:sz w:val="16"/>
                <w:szCs w:val="16"/>
                <w:lang w:val="en-US"/>
              </w:rPr>
            </w:pPr>
            <w:r w:rsidRPr="00DC2212">
              <w:rPr>
                <w:color w:val="FFFFFF"/>
                <w:sz w:val="16"/>
                <w:szCs w:val="16"/>
                <w:lang w:val="en-US"/>
              </w:rPr>
              <w:t>Description</w:t>
            </w:r>
          </w:p>
        </w:tc>
        <w:tc>
          <w:tcPr>
            <w:tcW w:w="645" w:type="pct"/>
            <w:shd w:val="clear" w:color="auto" w:fill="441170"/>
          </w:tcPr>
          <w:p w14:paraId="651B02CD"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color w:val="FFFFFF"/>
                <w:sz w:val="16"/>
                <w:szCs w:val="16"/>
                <w:lang w:val="en-US"/>
              </w:rPr>
            </w:pPr>
            <w:r w:rsidRPr="00DC2212">
              <w:rPr>
                <w:color w:val="FFFFFF"/>
                <w:sz w:val="16"/>
                <w:szCs w:val="16"/>
                <w:lang w:val="en-US"/>
              </w:rPr>
              <w:t>Factor Type</w:t>
            </w:r>
          </w:p>
        </w:tc>
        <w:tc>
          <w:tcPr>
            <w:tcW w:w="162" w:type="pct"/>
            <w:shd w:val="clear" w:color="auto" w:fill="441170"/>
          </w:tcPr>
          <w:p w14:paraId="58475899"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color w:val="FFFFFF"/>
                <w:sz w:val="16"/>
                <w:szCs w:val="16"/>
                <w:lang w:val="en-US"/>
              </w:rPr>
            </w:pPr>
          </w:p>
        </w:tc>
        <w:tc>
          <w:tcPr>
            <w:tcW w:w="645" w:type="pct"/>
            <w:shd w:val="clear" w:color="auto" w:fill="441170"/>
          </w:tcPr>
          <w:p w14:paraId="441ED586"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color w:val="FFFFFF"/>
                <w:sz w:val="16"/>
                <w:szCs w:val="16"/>
                <w:lang w:val="en-US"/>
              </w:rPr>
            </w:pPr>
            <w:r w:rsidRPr="00DC2212">
              <w:rPr>
                <w:color w:val="FFFFFF"/>
                <w:sz w:val="16"/>
                <w:szCs w:val="16"/>
                <w:lang w:val="en-US"/>
              </w:rPr>
              <w:t>Availability</w:t>
            </w:r>
          </w:p>
        </w:tc>
        <w:tc>
          <w:tcPr>
            <w:tcW w:w="696" w:type="pct"/>
            <w:shd w:val="clear" w:color="auto" w:fill="441170"/>
          </w:tcPr>
          <w:p w14:paraId="6DF25DC1"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color w:val="FFFFFF"/>
                <w:sz w:val="16"/>
                <w:szCs w:val="16"/>
                <w:lang w:val="en-US"/>
              </w:rPr>
            </w:pPr>
            <w:r w:rsidRPr="00DC2212">
              <w:rPr>
                <w:color w:val="FFFFFF"/>
                <w:sz w:val="16"/>
                <w:szCs w:val="16"/>
                <w:lang w:val="en-US"/>
              </w:rPr>
              <w:t>Geography</w:t>
            </w:r>
          </w:p>
        </w:tc>
        <w:tc>
          <w:tcPr>
            <w:tcW w:w="511" w:type="pct"/>
            <w:shd w:val="clear" w:color="auto" w:fill="441170"/>
          </w:tcPr>
          <w:p w14:paraId="06039A6C"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color w:val="FFFFFF"/>
                <w:sz w:val="16"/>
                <w:szCs w:val="16"/>
                <w:lang w:val="en-US"/>
              </w:rPr>
            </w:pPr>
            <w:r w:rsidRPr="00DC2212">
              <w:rPr>
                <w:color w:val="FFFFFF"/>
                <w:sz w:val="16"/>
                <w:szCs w:val="16"/>
                <w:lang w:val="en-US"/>
              </w:rPr>
              <w:t>Weight</w:t>
            </w:r>
          </w:p>
        </w:tc>
      </w:tr>
      <w:tr w:rsidR="00437E90" w:rsidRPr="00DC2212" w14:paraId="2EA807DC" w14:textId="77777777" w:rsidTr="009B6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F2F2F2" w:themeFill="background1" w:themeFillShade="F2"/>
          </w:tcPr>
          <w:p w14:paraId="034B37BA" w14:textId="77777777" w:rsidR="00437E90" w:rsidRPr="00DC2212" w:rsidRDefault="00437E90" w:rsidP="004A5416">
            <w:pPr>
              <w:spacing w:before="120" w:after="120"/>
              <w:rPr>
                <w:rFonts w:cs="Arial"/>
                <w:b w:val="0"/>
                <w:bCs w:val="0"/>
                <w:color w:val="000000"/>
                <w:sz w:val="16"/>
                <w:szCs w:val="16"/>
              </w:rPr>
            </w:pPr>
            <w:r w:rsidRPr="00DC2212">
              <w:rPr>
                <w:b w:val="0"/>
                <w:color w:val="000000"/>
                <w:sz w:val="16"/>
                <w:szCs w:val="16"/>
              </w:rPr>
              <w:t xml:space="preserve">Employment </w:t>
            </w:r>
            <w:r w:rsidRPr="00DC2212">
              <w:rPr>
                <w:rFonts w:cs="Arial"/>
                <w:b w:val="0"/>
                <w:bCs w:val="0"/>
                <w:color w:val="000000"/>
                <w:sz w:val="16"/>
                <w:szCs w:val="16"/>
              </w:rPr>
              <w:t>rate (15-64</w:t>
            </w:r>
            <w:r w:rsidRPr="00DC2212">
              <w:rPr>
                <w:b w:val="0"/>
                <w:color w:val="000000"/>
                <w:sz w:val="16"/>
                <w:szCs w:val="16"/>
              </w:rPr>
              <w:t xml:space="preserve"> years</w:t>
            </w:r>
            <w:r w:rsidRPr="00DC2212">
              <w:rPr>
                <w:rFonts w:cs="Arial"/>
                <w:b w:val="0"/>
                <w:bCs w:val="0"/>
                <w:color w:val="000000"/>
                <w:sz w:val="16"/>
                <w:szCs w:val="16"/>
              </w:rPr>
              <w:t>)</w:t>
            </w:r>
          </w:p>
        </w:tc>
        <w:tc>
          <w:tcPr>
            <w:tcW w:w="1371" w:type="pct"/>
            <w:shd w:val="clear" w:color="auto" w:fill="F2F2F2" w:themeFill="background1" w:themeFillShade="F2"/>
          </w:tcPr>
          <w:p w14:paraId="77A59563" w14:textId="77777777" w:rsidR="00437E90" w:rsidRPr="00DC2212" w:rsidRDefault="00437E90" w:rsidP="004A5416">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sz w:val="16"/>
                <w:szCs w:val="16"/>
              </w:rPr>
              <w:t>The number of employed persons as a proportion of the working age (15-64 years) population (%)</w:t>
            </w:r>
          </w:p>
        </w:tc>
        <w:tc>
          <w:tcPr>
            <w:tcW w:w="645" w:type="pct"/>
            <w:shd w:val="clear" w:color="auto" w:fill="F2F2F2" w:themeFill="background1" w:themeFillShade="F2"/>
          </w:tcPr>
          <w:p w14:paraId="2660E75D"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DC2212">
              <w:rPr>
                <w:rFonts w:cs="Arial"/>
                <w:sz w:val="16"/>
                <w:szCs w:val="16"/>
              </w:rPr>
              <w:t>Supply</w:t>
            </w:r>
          </w:p>
        </w:tc>
        <w:tc>
          <w:tcPr>
            <w:tcW w:w="162" w:type="pct"/>
            <w:shd w:val="clear" w:color="auto" w:fill="F2F2F2" w:themeFill="background1" w:themeFillShade="F2"/>
          </w:tcPr>
          <w:p w14:paraId="6E9890A8"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645" w:type="pct"/>
            <w:shd w:val="clear" w:color="auto" w:fill="F2F2F2" w:themeFill="background1" w:themeFillShade="F2"/>
          </w:tcPr>
          <w:p w14:paraId="6DF26DDF"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DC2212">
              <w:rPr>
                <w:rFonts w:cs="Arial"/>
                <w:sz w:val="16"/>
                <w:szCs w:val="16"/>
              </w:rPr>
              <w:t>Monthly</w:t>
            </w:r>
          </w:p>
        </w:tc>
        <w:tc>
          <w:tcPr>
            <w:tcW w:w="696" w:type="pct"/>
            <w:shd w:val="clear" w:color="auto" w:fill="F2F2F2" w:themeFill="background1" w:themeFillShade="F2"/>
          </w:tcPr>
          <w:p w14:paraId="086DF322"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DC2212">
              <w:rPr>
                <w:rFonts w:cs="Arial"/>
                <w:sz w:val="16"/>
                <w:szCs w:val="16"/>
              </w:rPr>
              <w:t>SA4</w:t>
            </w:r>
          </w:p>
        </w:tc>
        <w:tc>
          <w:tcPr>
            <w:tcW w:w="511" w:type="pct"/>
            <w:shd w:val="clear" w:color="auto" w:fill="F2F2F2" w:themeFill="background1" w:themeFillShade="F2"/>
          </w:tcPr>
          <w:p w14:paraId="7D152136"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DC2212">
              <w:rPr>
                <w:rFonts w:cs="Arial"/>
                <w:sz w:val="16"/>
                <w:szCs w:val="16"/>
              </w:rPr>
              <w:t>20%</w:t>
            </w:r>
          </w:p>
        </w:tc>
      </w:tr>
      <w:tr w:rsidR="00437E90" w:rsidRPr="00DC2212" w14:paraId="7277A120" w14:textId="77777777" w:rsidTr="009B64B7">
        <w:tc>
          <w:tcPr>
            <w:cnfStyle w:val="001000000000" w:firstRow="0" w:lastRow="0" w:firstColumn="1" w:lastColumn="0" w:oddVBand="0" w:evenVBand="0" w:oddHBand="0" w:evenHBand="0" w:firstRowFirstColumn="0" w:firstRowLastColumn="0" w:lastRowFirstColumn="0" w:lastRowLastColumn="0"/>
            <w:tcW w:w="969" w:type="pct"/>
            <w:shd w:val="clear" w:color="auto" w:fill="FFFFFF" w:themeFill="background1"/>
          </w:tcPr>
          <w:p w14:paraId="7F42447B" w14:textId="77777777" w:rsidR="00437E90" w:rsidRPr="00DC2212" w:rsidRDefault="00437E90" w:rsidP="004A5416">
            <w:pPr>
              <w:spacing w:before="120" w:after="120"/>
              <w:rPr>
                <w:color w:val="000000"/>
                <w:sz w:val="16"/>
                <w:szCs w:val="16"/>
              </w:rPr>
            </w:pPr>
            <w:r w:rsidRPr="00DC2212">
              <w:rPr>
                <w:rFonts w:cs="Arial"/>
                <w:b w:val="0"/>
                <w:bCs w:val="0"/>
                <w:color w:val="000000"/>
                <w:sz w:val="16"/>
                <w:szCs w:val="16"/>
              </w:rPr>
              <w:t xml:space="preserve">Unemployment rate </w:t>
            </w:r>
          </w:p>
        </w:tc>
        <w:tc>
          <w:tcPr>
            <w:tcW w:w="1371" w:type="pct"/>
            <w:shd w:val="clear" w:color="auto" w:fill="FFFFFF" w:themeFill="background1"/>
          </w:tcPr>
          <w:p w14:paraId="2C4A206A" w14:textId="77777777" w:rsidR="00437E90" w:rsidRPr="00DC2212" w:rsidRDefault="00437E90" w:rsidP="004A5416">
            <w:pPr>
              <w:spacing w:before="120" w:after="120"/>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DC2212">
              <w:rPr>
                <w:rFonts w:cs="Arial"/>
                <w:sz w:val="16"/>
                <w:szCs w:val="16"/>
              </w:rPr>
              <w:t>The number of unemployed persons as a proportion of the total labour force (%)</w:t>
            </w:r>
          </w:p>
        </w:tc>
        <w:tc>
          <w:tcPr>
            <w:tcW w:w="645" w:type="pct"/>
            <w:shd w:val="clear" w:color="auto" w:fill="FFFFFF" w:themeFill="background1"/>
          </w:tcPr>
          <w:p w14:paraId="32CA548E"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DC2212">
              <w:rPr>
                <w:rFonts w:cs="Arial"/>
                <w:sz w:val="16"/>
                <w:szCs w:val="16"/>
              </w:rPr>
              <w:t>Supply</w:t>
            </w:r>
          </w:p>
        </w:tc>
        <w:tc>
          <w:tcPr>
            <w:tcW w:w="162" w:type="pct"/>
            <w:shd w:val="clear" w:color="auto" w:fill="FFFFFF" w:themeFill="background1"/>
          </w:tcPr>
          <w:p w14:paraId="171AA175"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p>
        </w:tc>
        <w:tc>
          <w:tcPr>
            <w:tcW w:w="645" w:type="pct"/>
            <w:shd w:val="clear" w:color="auto" w:fill="FFFFFF" w:themeFill="background1"/>
          </w:tcPr>
          <w:p w14:paraId="73B0BF1F"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DC2212">
              <w:rPr>
                <w:rFonts w:cs="Arial"/>
                <w:sz w:val="16"/>
                <w:szCs w:val="16"/>
              </w:rPr>
              <w:t>Monthly</w:t>
            </w:r>
          </w:p>
        </w:tc>
        <w:tc>
          <w:tcPr>
            <w:tcW w:w="696" w:type="pct"/>
            <w:shd w:val="clear" w:color="auto" w:fill="FFFFFF" w:themeFill="background1"/>
          </w:tcPr>
          <w:p w14:paraId="5EA0FC40"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DC2212">
              <w:rPr>
                <w:rFonts w:cs="Arial"/>
                <w:sz w:val="16"/>
                <w:szCs w:val="16"/>
              </w:rPr>
              <w:t>SA4</w:t>
            </w:r>
          </w:p>
        </w:tc>
        <w:tc>
          <w:tcPr>
            <w:tcW w:w="511" w:type="pct"/>
            <w:shd w:val="clear" w:color="auto" w:fill="FFFFFF" w:themeFill="background1"/>
          </w:tcPr>
          <w:p w14:paraId="60FA03FB"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Pr>
                <w:rFonts w:cs="Arial"/>
                <w:sz w:val="16"/>
                <w:szCs w:val="16"/>
              </w:rPr>
              <w:t>1</w:t>
            </w:r>
            <w:r w:rsidRPr="00DC2212">
              <w:rPr>
                <w:rFonts w:cs="Arial"/>
                <w:sz w:val="16"/>
                <w:szCs w:val="16"/>
              </w:rPr>
              <w:t>5%</w:t>
            </w:r>
          </w:p>
        </w:tc>
      </w:tr>
      <w:tr w:rsidR="00437E90" w:rsidRPr="00DC2212" w14:paraId="6D2A0FB4" w14:textId="77777777" w:rsidTr="009B6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F2F2F2" w:themeFill="background1" w:themeFillShade="F2"/>
          </w:tcPr>
          <w:p w14:paraId="726D4CDF" w14:textId="77777777" w:rsidR="00437E90" w:rsidRPr="00DC2212" w:rsidRDefault="00437E90" w:rsidP="004A5416">
            <w:pPr>
              <w:spacing w:before="120" w:after="120"/>
              <w:rPr>
                <w:b w:val="0"/>
                <w:color w:val="000000"/>
                <w:sz w:val="16"/>
                <w:szCs w:val="16"/>
              </w:rPr>
            </w:pPr>
            <w:r w:rsidRPr="00DC2212">
              <w:rPr>
                <w:b w:val="0"/>
                <w:color w:val="000000"/>
                <w:sz w:val="16"/>
                <w:szCs w:val="16"/>
              </w:rPr>
              <w:t>JobSeeker income support rate</w:t>
            </w:r>
          </w:p>
        </w:tc>
        <w:tc>
          <w:tcPr>
            <w:tcW w:w="1371" w:type="pct"/>
            <w:shd w:val="clear" w:color="auto" w:fill="F2F2F2" w:themeFill="background1" w:themeFillShade="F2"/>
          </w:tcPr>
          <w:p w14:paraId="662AF7C7" w14:textId="77777777" w:rsidR="00437E90" w:rsidRPr="00DC2212" w:rsidRDefault="00437E90" w:rsidP="004A5416">
            <w:pPr>
              <w:spacing w:before="120" w:after="120"/>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DC2212">
              <w:rPr>
                <w:bCs/>
                <w:color w:val="000000"/>
                <w:sz w:val="16"/>
                <w:szCs w:val="16"/>
              </w:rPr>
              <w:t>Proportion of the working age (15-64 years) population on JobSeeker Income Support*</w:t>
            </w:r>
          </w:p>
        </w:tc>
        <w:tc>
          <w:tcPr>
            <w:tcW w:w="645" w:type="pct"/>
            <w:shd w:val="clear" w:color="auto" w:fill="F2F2F2" w:themeFill="background1" w:themeFillShade="F2"/>
          </w:tcPr>
          <w:p w14:paraId="1970755F"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DC2212">
              <w:rPr>
                <w:bCs/>
                <w:color w:val="000000"/>
                <w:sz w:val="16"/>
                <w:szCs w:val="16"/>
              </w:rPr>
              <w:t>Supply</w:t>
            </w:r>
          </w:p>
        </w:tc>
        <w:tc>
          <w:tcPr>
            <w:tcW w:w="162" w:type="pct"/>
            <w:shd w:val="clear" w:color="auto" w:fill="F2F2F2" w:themeFill="background1" w:themeFillShade="F2"/>
          </w:tcPr>
          <w:p w14:paraId="0A537C75"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p>
        </w:tc>
        <w:tc>
          <w:tcPr>
            <w:tcW w:w="645" w:type="pct"/>
            <w:shd w:val="clear" w:color="auto" w:fill="F2F2F2" w:themeFill="background1" w:themeFillShade="F2"/>
          </w:tcPr>
          <w:p w14:paraId="3FDA37CC"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DC2212">
              <w:rPr>
                <w:bCs/>
                <w:color w:val="000000"/>
                <w:sz w:val="16"/>
                <w:szCs w:val="16"/>
              </w:rPr>
              <w:t>Monthly</w:t>
            </w:r>
          </w:p>
        </w:tc>
        <w:tc>
          <w:tcPr>
            <w:tcW w:w="696" w:type="pct"/>
            <w:shd w:val="clear" w:color="auto" w:fill="F2F2F2" w:themeFill="background1" w:themeFillShade="F2"/>
          </w:tcPr>
          <w:p w14:paraId="319B55CB"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DC2212">
              <w:rPr>
                <w:bCs/>
                <w:color w:val="000000"/>
                <w:sz w:val="16"/>
                <w:szCs w:val="16"/>
              </w:rPr>
              <w:t>SA4</w:t>
            </w:r>
          </w:p>
        </w:tc>
        <w:tc>
          <w:tcPr>
            <w:tcW w:w="511" w:type="pct"/>
            <w:shd w:val="clear" w:color="auto" w:fill="F2F2F2" w:themeFill="background1" w:themeFillShade="F2"/>
          </w:tcPr>
          <w:p w14:paraId="2F370791"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DC2212">
              <w:rPr>
                <w:bCs/>
                <w:color w:val="000000"/>
                <w:sz w:val="16"/>
                <w:szCs w:val="16"/>
              </w:rPr>
              <w:t>5%</w:t>
            </w:r>
          </w:p>
        </w:tc>
      </w:tr>
      <w:tr w:rsidR="00437E90" w:rsidRPr="00DC2212" w14:paraId="6DA806B5" w14:textId="77777777" w:rsidTr="009B64B7">
        <w:tc>
          <w:tcPr>
            <w:cnfStyle w:val="001000000000" w:firstRow="0" w:lastRow="0" w:firstColumn="1" w:lastColumn="0" w:oddVBand="0" w:evenVBand="0" w:oddHBand="0" w:evenHBand="0" w:firstRowFirstColumn="0" w:firstRowLastColumn="0" w:lastRowFirstColumn="0" w:lastRowLastColumn="0"/>
            <w:tcW w:w="969" w:type="pct"/>
          </w:tcPr>
          <w:p w14:paraId="01A957EB" w14:textId="77777777" w:rsidR="00437E90" w:rsidRPr="00DC2212" w:rsidRDefault="00437E90" w:rsidP="004A5416">
            <w:pPr>
              <w:spacing w:before="120" w:after="120"/>
              <w:rPr>
                <w:rFonts w:cs="Arial"/>
                <w:b w:val="0"/>
                <w:bCs w:val="0"/>
                <w:color w:val="000000"/>
                <w:sz w:val="16"/>
                <w:szCs w:val="16"/>
              </w:rPr>
            </w:pPr>
            <w:r w:rsidRPr="00DC2212">
              <w:rPr>
                <w:rFonts w:cs="Arial"/>
                <w:b w:val="0"/>
                <w:bCs w:val="0"/>
                <w:color w:val="000000"/>
                <w:sz w:val="16"/>
                <w:szCs w:val="16"/>
              </w:rPr>
              <w:t xml:space="preserve">JobSeeker income support for </w:t>
            </w:r>
            <w:r w:rsidRPr="00DC2212">
              <w:rPr>
                <w:rFonts w:cs="Arial"/>
                <w:color w:val="000000"/>
                <w:sz w:val="16"/>
                <w:szCs w:val="16"/>
              </w:rPr>
              <w:t>2 or more years</w:t>
            </w:r>
            <w:r w:rsidRPr="00DC2212">
              <w:rPr>
                <w:rFonts w:cs="Arial"/>
                <w:b w:val="0"/>
                <w:bCs w:val="0"/>
                <w:color w:val="000000"/>
                <w:sz w:val="16"/>
                <w:szCs w:val="16"/>
              </w:rPr>
              <w:t xml:space="preserve"> rate</w:t>
            </w:r>
          </w:p>
        </w:tc>
        <w:tc>
          <w:tcPr>
            <w:tcW w:w="1371" w:type="pct"/>
          </w:tcPr>
          <w:p w14:paraId="589E78A9" w14:textId="77777777" w:rsidR="00437E90" w:rsidRPr="00DC2212" w:rsidRDefault="00437E90" w:rsidP="004A5416">
            <w:pPr>
              <w:spacing w:before="120" w:after="120"/>
              <w:cnfStyle w:val="000000000000" w:firstRow="0" w:lastRow="0" w:firstColumn="0" w:lastColumn="0" w:oddVBand="0" w:evenVBand="0" w:oddHBand="0" w:evenHBand="0" w:firstRowFirstColumn="0" w:firstRowLastColumn="0" w:lastRowFirstColumn="0" w:lastRowLastColumn="0"/>
              <w:rPr>
                <w:rFonts w:cs="Arial"/>
                <w:sz w:val="16"/>
                <w:szCs w:val="16"/>
              </w:rPr>
            </w:pPr>
            <w:r w:rsidRPr="00DC2212">
              <w:rPr>
                <w:rFonts w:cs="Arial"/>
                <w:sz w:val="16"/>
                <w:szCs w:val="16"/>
              </w:rPr>
              <w:t>Proportion of the working age (15-64 years) population on JobSeeker Income Support for 2 or more years</w:t>
            </w:r>
          </w:p>
        </w:tc>
        <w:tc>
          <w:tcPr>
            <w:tcW w:w="645" w:type="pct"/>
          </w:tcPr>
          <w:p w14:paraId="5287BE44"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Supply (structural)</w:t>
            </w:r>
          </w:p>
        </w:tc>
        <w:tc>
          <w:tcPr>
            <w:tcW w:w="162" w:type="pct"/>
          </w:tcPr>
          <w:p w14:paraId="3C9B17F6"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tc>
        <w:tc>
          <w:tcPr>
            <w:tcW w:w="645" w:type="pct"/>
          </w:tcPr>
          <w:p w14:paraId="24F3095E"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Monthly</w:t>
            </w:r>
          </w:p>
        </w:tc>
        <w:tc>
          <w:tcPr>
            <w:tcW w:w="696" w:type="pct"/>
          </w:tcPr>
          <w:p w14:paraId="1ABB1C30" w14:textId="77777777" w:rsidR="00437E90" w:rsidRPr="00DC2212" w:rsidDel="00E97ACE"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SA4</w:t>
            </w:r>
          </w:p>
        </w:tc>
        <w:tc>
          <w:tcPr>
            <w:tcW w:w="511" w:type="pct"/>
          </w:tcPr>
          <w:p w14:paraId="17352A64"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cs="Arial"/>
                <w:color w:val="000000"/>
                <w:sz w:val="16"/>
                <w:szCs w:val="16"/>
              </w:rPr>
              <w:t>15</w:t>
            </w:r>
            <w:r w:rsidRPr="00DC2212">
              <w:rPr>
                <w:rFonts w:cs="Arial"/>
                <w:color w:val="000000"/>
                <w:sz w:val="16"/>
                <w:szCs w:val="16"/>
              </w:rPr>
              <w:t>%</w:t>
            </w:r>
          </w:p>
        </w:tc>
      </w:tr>
      <w:tr w:rsidR="00437E90" w:rsidRPr="00DC2212" w14:paraId="23A0D8BB" w14:textId="77777777" w:rsidTr="009B6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F2F2F2" w:themeFill="background1" w:themeFillShade="F2"/>
          </w:tcPr>
          <w:p w14:paraId="6216396D" w14:textId="77777777" w:rsidR="00437E90" w:rsidRPr="00DC2212" w:rsidRDefault="00437E90" w:rsidP="004A5416">
            <w:pPr>
              <w:spacing w:before="120" w:after="120"/>
              <w:rPr>
                <w:rFonts w:cs="Arial"/>
                <w:b w:val="0"/>
                <w:bCs w:val="0"/>
                <w:color w:val="000000"/>
                <w:sz w:val="16"/>
                <w:szCs w:val="16"/>
              </w:rPr>
            </w:pPr>
            <w:r w:rsidRPr="00DC2212">
              <w:rPr>
                <w:rFonts w:cs="Arial"/>
                <w:b w:val="0"/>
                <w:bCs w:val="0"/>
                <w:color w:val="000000"/>
                <w:sz w:val="16"/>
                <w:szCs w:val="16"/>
              </w:rPr>
              <w:t>Underemployment rate</w:t>
            </w:r>
          </w:p>
        </w:tc>
        <w:tc>
          <w:tcPr>
            <w:tcW w:w="1371" w:type="pct"/>
            <w:shd w:val="clear" w:color="auto" w:fill="F2F2F2" w:themeFill="background1" w:themeFillShade="F2"/>
          </w:tcPr>
          <w:p w14:paraId="09A5E531" w14:textId="77777777" w:rsidR="00437E90" w:rsidRPr="00DC2212" w:rsidRDefault="00437E90" w:rsidP="004A5416">
            <w:pPr>
              <w:spacing w:before="120" w:after="120"/>
              <w:cnfStyle w:val="000000100000" w:firstRow="0" w:lastRow="0" w:firstColumn="0" w:lastColumn="0" w:oddVBand="0" w:evenVBand="0" w:oddHBand="1" w:evenHBand="0" w:firstRowFirstColumn="0" w:firstRowLastColumn="0" w:lastRowFirstColumn="0" w:lastRowLastColumn="0"/>
              <w:rPr>
                <w:rFonts w:cs="Arial"/>
                <w:sz w:val="16"/>
                <w:szCs w:val="16"/>
              </w:rPr>
            </w:pPr>
            <w:r w:rsidRPr="00DC2212">
              <w:rPr>
                <w:rFonts w:cs="Arial"/>
                <w:color w:val="000000"/>
                <w:sz w:val="16"/>
                <w:szCs w:val="16"/>
              </w:rPr>
              <w:t>The number of underemployed persons as a proportion of the labour force (%)</w:t>
            </w:r>
          </w:p>
        </w:tc>
        <w:tc>
          <w:tcPr>
            <w:tcW w:w="645" w:type="pct"/>
            <w:shd w:val="clear" w:color="auto" w:fill="F2F2F2" w:themeFill="background1" w:themeFillShade="F2"/>
          </w:tcPr>
          <w:p w14:paraId="3C562D11"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Supply</w:t>
            </w:r>
          </w:p>
        </w:tc>
        <w:tc>
          <w:tcPr>
            <w:tcW w:w="162" w:type="pct"/>
            <w:shd w:val="clear" w:color="auto" w:fill="F2F2F2" w:themeFill="background1" w:themeFillShade="F2"/>
          </w:tcPr>
          <w:p w14:paraId="510BBBB8"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c>
          <w:tcPr>
            <w:tcW w:w="645" w:type="pct"/>
            <w:shd w:val="clear" w:color="auto" w:fill="F2F2F2" w:themeFill="background1" w:themeFillShade="F2"/>
          </w:tcPr>
          <w:p w14:paraId="4A2D53D1"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Monthly</w:t>
            </w:r>
          </w:p>
        </w:tc>
        <w:tc>
          <w:tcPr>
            <w:tcW w:w="696" w:type="pct"/>
            <w:shd w:val="clear" w:color="auto" w:fill="F2F2F2" w:themeFill="background1" w:themeFillShade="F2"/>
          </w:tcPr>
          <w:p w14:paraId="47F547D3"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GCCSA</w:t>
            </w:r>
          </w:p>
        </w:tc>
        <w:tc>
          <w:tcPr>
            <w:tcW w:w="511" w:type="pct"/>
            <w:shd w:val="clear" w:color="auto" w:fill="F2F2F2" w:themeFill="background1" w:themeFillShade="F2"/>
          </w:tcPr>
          <w:p w14:paraId="27D14DC2"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5</w:t>
            </w:r>
            <w:r w:rsidRPr="00DC2212">
              <w:rPr>
                <w:rFonts w:cs="Arial"/>
                <w:color w:val="000000"/>
                <w:sz w:val="16"/>
                <w:szCs w:val="16"/>
              </w:rPr>
              <w:t>%</w:t>
            </w:r>
          </w:p>
        </w:tc>
      </w:tr>
      <w:tr w:rsidR="00437E90" w:rsidRPr="00DC2212" w14:paraId="6B4FC93C" w14:textId="77777777" w:rsidTr="009B64B7">
        <w:tc>
          <w:tcPr>
            <w:cnfStyle w:val="001000000000" w:firstRow="0" w:lastRow="0" w:firstColumn="1" w:lastColumn="0" w:oddVBand="0" w:evenVBand="0" w:oddHBand="0" w:evenHBand="0" w:firstRowFirstColumn="0" w:firstRowLastColumn="0" w:lastRowFirstColumn="0" w:lastRowLastColumn="0"/>
            <w:tcW w:w="969" w:type="pct"/>
          </w:tcPr>
          <w:p w14:paraId="6CA73BD2" w14:textId="77777777" w:rsidR="00437E90" w:rsidRPr="00DC2212" w:rsidRDefault="00437E90" w:rsidP="004A5416">
            <w:pPr>
              <w:spacing w:before="120" w:after="120"/>
              <w:rPr>
                <w:rFonts w:cs="Arial"/>
                <w:b w:val="0"/>
                <w:bCs w:val="0"/>
                <w:color w:val="000000"/>
                <w:sz w:val="16"/>
                <w:szCs w:val="16"/>
              </w:rPr>
            </w:pPr>
            <w:r w:rsidRPr="00DC2212">
              <w:rPr>
                <w:rFonts w:cs="Arial"/>
                <w:b w:val="0"/>
                <w:bCs w:val="0"/>
                <w:color w:val="000000"/>
                <w:sz w:val="16"/>
                <w:szCs w:val="16"/>
              </w:rPr>
              <w:t>Job vacancy rate</w:t>
            </w:r>
          </w:p>
        </w:tc>
        <w:tc>
          <w:tcPr>
            <w:tcW w:w="1371" w:type="pct"/>
          </w:tcPr>
          <w:p w14:paraId="66AEE8D7" w14:textId="77777777" w:rsidR="00437E90" w:rsidRPr="00DC2212" w:rsidRDefault="00437E90" w:rsidP="004A5416">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sz w:val="16"/>
                <w:szCs w:val="16"/>
              </w:rPr>
              <w:t>The number of new job vacancies as a proportion of the labour force</w:t>
            </w:r>
            <w:r>
              <w:rPr>
                <w:rFonts w:cs="Arial"/>
                <w:sz w:val="16"/>
                <w:szCs w:val="16"/>
              </w:rPr>
              <w:t xml:space="preserve"> (%)</w:t>
            </w:r>
          </w:p>
        </w:tc>
        <w:tc>
          <w:tcPr>
            <w:tcW w:w="645" w:type="pct"/>
          </w:tcPr>
          <w:p w14:paraId="5F275C31"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Demand</w:t>
            </w:r>
          </w:p>
        </w:tc>
        <w:tc>
          <w:tcPr>
            <w:tcW w:w="162" w:type="pct"/>
          </w:tcPr>
          <w:p w14:paraId="0408A6B6"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tc>
        <w:tc>
          <w:tcPr>
            <w:tcW w:w="645" w:type="pct"/>
          </w:tcPr>
          <w:p w14:paraId="5AF03E9A"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cs="Arial"/>
                <w:color w:val="000000"/>
                <w:sz w:val="16"/>
                <w:szCs w:val="16"/>
              </w:rPr>
              <w:t>Quarterly</w:t>
            </w:r>
          </w:p>
        </w:tc>
        <w:tc>
          <w:tcPr>
            <w:tcW w:w="696" w:type="pct"/>
          </w:tcPr>
          <w:p w14:paraId="4D9E7369"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SA4</w:t>
            </w:r>
            <w:r>
              <w:rPr>
                <w:rFonts w:cs="Arial"/>
                <w:color w:val="000000"/>
                <w:sz w:val="16"/>
                <w:szCs w:val="16"/>
              </w:rPr>
              <w:t>/GCCSA</w:t>
            </w:r>
            <w:r w:rsidRPr="00CC2866">
              <w:rPr>
                <w:rFonts w:cs="Arial"/>
                <w:color w:val="000000"/>
                <w:sz w:val="16"/>
                <w:szCs w:val="16"/>
                <w:vertAlign w:val="superscript"/>
              </w:rPr>
              <w:t>2</w:t>
            </w:r>
          </w:p>
        </w:tc>
        <w:tc>
          <w:tcPr>
            <w:tcW w:w="511" w:type="pct"/>
          </w:tcPr>
          <w:p w14:paraId="52BE5856"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1</w:t>
            </w:r>
            <w:r>
              <w:rPr>
                <w:rFonts w:cs="Arial"/>
                <w:color w:val="000000"/>
                <w:sz w:val="16"/>
                <w:szCs w:val="16"/>
              </w:rPr>
              <w:t>5</w:t>
            </w:r>
            <w:r w:rsidRPr="00DC2212">
              <w:rPr>
                <w:rFonts w:cs="Arial"/>
                <w:color w:val="000000"/>
                <w:sz w:val="16"/>
                <w:szCs w:val="16"/>
              </w:rPr>
              <w:t>%</w:t>
            </w:r>
          </w:p>
        </w:tc>
      </w:tr>
      <w:tr w:rsidR="00437E90" w:rsidRPr="00DC2212" w14:paraId="085AD950" w14:textId="77777777" w:rsidTr="009B6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F2F2F2" w:themeFill="background1" w:themeFillShade="F2"/>
          </w:tcPr>
          <w:p w14:paraId="6EE7F582" w14:textId="77777777" w:rsidR="00437E90" w:rsidRPr="00DC2212" w:rsidRDefault="00437E90" w:rsidP="004A5416">
            <w:pPr>
              <w:spacing w:before="120" w:after="120"/>
              <w:rPr>
                <w:rFonts w:cs="Arial"/>
                <w:color w:val="000000"/>
                <w:sz w:val="16"/>
                <w:szCs w:val="16"/>
              </w:rPr>
            </w:pPr>
            <w:r w:rsidRPr="00DC2212">
              <w:rPr>
                <w:rFonts w:cs="Arial"/>
                <w:b w:val="0"/>
                <w:bCs w:val="0"/>
                <w:color w:val="000000"/>
                <w:sz w:val="16"/>
                <w:szCs w:val="16"/>
              </w:rPr>
              <w:t>Job matching efficiency rate</w:t>
            </w:r>
          </w:p>
        </w:tc>
        <w:tc>
          <w:tcPr>
            <w:tcW w:w="1371" w:type="pct"/>
            <w:shd w:val="clear" w:color="auto" w:fill="F2F2F2" w:themeFill="background1" w:themeFillShade="F2"/>
          </w:tcPr>
          <w:p w14:paraId="53C28006" w14:textId="77777777" w:rsidR="00437E90" w:rsidRPr="00DC2212" w:rsidRDefault="00437E90" w:rsidP="004A5416">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The efficiency with which available jobseekers and vacancies result in successful hires (%)</w:t>
            </w:r>
          </w:p>
        </w:tc>
        <w:tc>
          <w:tcPr>
            <w:tcW w:w="645" w:type="pct"/>
            <w:shd w:val="clear" w:color="auto" w:fill="F2F2F2" w:themeFill="background1" w:themeFillShade="F2"/>
          </w:tcPr>
          <w:p w14:paraId="67B6537F"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Intersection</w:t>
            </w:r>
          </w:p>
        </w:tc>
        <w:tc>
          <w:tcPr>
            <w:tcW w:w="162" w:type="pct"/>
            <w:shd w:val="clear" w:color="auto" w:fill="F2F2F2" w:themeFill="background1" w:themeFillShade="F2"/>
          </w:tcPr>
          <w:p w14:paraId="58AE2FDD"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c>
          <w:tcPr>
            <w:tcW w:w="645" w:type="pct"/>
            <w:shd w:val="clear" w:color="auto" w:fill="F2F2F2" w:themeFill="background1" w:themeFillShade="F2"/>
          </w:tcPr>
          <w:p w14:paraId="2D6F0D60"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Quarterly</w:t>
            </w:r>
          </w:p>
        </w:tc>
        <w:tc>
          <w:tcPr>
            <w:tcW w:w="696" w:type="pct"/>
            <w:shd w:val="clear" w:color="auto" w:fill="F2F2F2" w:themeFill="background1" w:themeFillShade="F2"/>
          </w:tcPr>
          <w:p w14:paraId="1860D86B"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SA4</w:t>
            </w:r>
          </w:p>
        </w:tc>
        <w:tc>
          <w:tcPr>
            <w:tcW w:w="511" w:type="pct"/>
            <w:shd w:val="clear" w:color="auto" w:fill="F2F2F2" w:themeFill="background1" w:themeFillShade="F2"/>
          </w:tcPr>
          <w:p w14:paraId="565B51B8"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15</w:t>
            </w:r>
            <w:r w:rsidRPr="00DC2212">
              <w:rPr>
                <w:rFonts w:cs="Arial"/>
                <w:color w:val="000000"/>
                <w:sz w:val="16"/>
                <w:szCs w:val="16"/>
              </w:rPr>
              <w:t>%</w:t>
            </w:r>
          </w:p>
        </w:tc>
      </w:tr>
      <w:tr w:rsidR="00437E90" w:rsidRPr="00DC2212" w14:paraId="3BDFD692" w14:textId="77777777" w:rsidTr="009B64B7">
        <w:tc>
          <w:tcPr>
            <w:cnfStyle w:val="001000000000" w:firstRow="0" w:lastRow="0" w:firstColumn="1" w:lastColumn="0" w:oddVBand="0" w:evenVBand="0" w:oddHBand="0" w:evenHBand="0" w:firstRowFirstColumn="0" w:firstRowLastColumn="0" w:lastRowFirstColumn="0" w:lastRowLastColumn="0"/>
            <w:tcW w:w="969" w:type="pct"/>
          </w:tcPr>
          <w:p w14:paraId="204F80E5" w14:textId="77777777" w:rsidR="00437E90" w:rsidRPr="00DC2212" w:rsidRDefault="00437E90" w:rsidP="004A5416">
            <w:pPr>
              <w:spacing w:before="120" w:after="120"/>
              <w:rPr>
                <w:rFonts w:cs="Arial"/>
                <w:color w:val="000000"/>
                <w:sz w:val="16"/>
                <w:szCs w:val="16"/>
              </w:rPr>
            </w:pPr>
            <w:r w:rsidRPr="00DC2212">
              <w:rPr>
                <w:rFonts w:cs="Arial"/>
                <w:b w:val="0"/>
                <w:bCs w:val="0"/>
                <w:color w:val="000000"/>
                <w:sz w:val="16"/>
                <w:szCs w:val="16"/>
              </w:rPr>
              <w:t>Vacancy fill rate</w:t>
            </w:r>
          </w:p>
        </w:tc>
        <w:tc>
          <w:tcPr>
            <w:tcW w:w="1371" w:type="pct"/>
          </w:tcPr>
          <w:p w14:paraId="251098D3" w14:textId="77777777" w:rsidR="00437E90" w:rsidRPr="00DC2212" w:rsidRDefault="00437E90" w:rsidP="004A5416">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The percentage of vacancies that have been filled (%)</w:t>
            </w:r>
          </w:p>
        </w:tc>
        <w:tc>
          <w:tcPr>
            <w:tcW w:w="645" w:type="pct"/>
          </w:tcPr>
          <w:p w14:paraId="08C3A302"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Intersection</w:t>
            </w:r>
          </w:p>
        </w:tc>
        <w:tc>
          <w:tcPr>
            <w:tcW w:w="162" w:type="pct"/>
          </w:tcPr>
          <w:p w14:paraId="54513AB9"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tc>
        <w:tc>
          <w:tcPr>
            <w:tcW w:w="645" w:type="pct"/>
          </w:tcPr>
          <w:p w14:paraId="4B46B17C"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cs="Arial"/>
                <w:color w:val="000000"/>
                <w:sz w:val="16"/>
                <w:szCs w:val="16"/>
              </w:rPr>
              <w:t>Monthly</w:t>
            </w:r>
          </w:p>
        </w:tc>
        <w:tc>
          <w:tcPr>
            <w:tcW w:w="696" w:type="pct"/>
          </w:tcPr>
          <w:p w14:paraId="7213B98F"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GCCSA</w:t>
            </w:r>
          </w:p>
        </w:tc>
        <w:tc>
          <w:tcPr>
            <w:tcW w:w="511" w:type="pct"/>
          </w:tcPr>
          <w:p w14:paraId="79C2A925"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cs="Arial"/>
                <w:color w:val="000000"/>
                <w:sz w:val="16"/>
                <w:szCs w:val="16"/>
              </w:rPr>
              <w:t>5</w:t>
            </w:r>
            <w:r w:rsidRPr="00DC2212">
              <w:rPr>
                <w:rFonts w:cs="Arial"/>
                <w:color w:val="000000"/>
                <w:sz w:val="16"/>
                <w:szCs w:val="16"/>
              </w:rPr>
              <w:t>%</w:t>
            </w:r>
          </w:p>
        </w:tc>
      </w:tr>
      <w:tr w:rsidR="00437E90" w:rsidRPr="00DC2212" w14:paraId="48570983" w14:textId="77777777" w:rsidTr="009B6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F2F2F2" w:themeFill="background1" w:themeFillShade="F2"/>
          </w:tcPr>
          <w:p w14:paraId="153768B2" w14:textId="4F7ACC37" w:rsidR="00437E90" w:rsidRPr="00DC2212" w:rsidRDefault="00C5596E" w:rsidP="004A5416">
            <w:pPr>
              <w:spacing w:before="120" w:after="120"/>
              <w:rPr>
                <w:rFonts w:cs="Arial"/>
                <w:color w:val="000000"/>
                <w:sz w:val="16"/>
                <w:szCs w:val="16"/>
              </w:rPr>
            </w:pPr>
            <w:r>
              <w:rPr>
                <w:rFonts w:cs="Arial"/>
                <w:b w:val="0"/>
                <w:bCs w:val="0"/>
                <w:color w:val="000000"/>
                <w:sz w:val="16"/>
                <w:szCs w:val="16"/>
              </w:rPr>
              <w:t>Labour productivity (5-year annual average growth rate)</w:t>
            </w:r>
          </w:p>
        </w:tc>
        <w:tc>
          <w:tcPr>
            <w:tcW w:w="1371" w:type="pct"/>
            <w:shd w:val="clear" w:color="auto" w:fill="F2F2F2" w:themeFill="background1" w:themeFillShade="F2"/>
          </w:tcPr>
          <w:p w14:paraId="09B83D59" w14:textId="0BE9F97B" w:rsidR="00437E90" w:rsidRPr="00DC2212" w:rsidRDefault="00437E90" w:rsidP="004A5416">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5</w:t>
            </w:r>
            <w:r w:rsidRPr="00B21997">
              <w:rPr>
                <w:rFonts w:cs="Arial"/>
                <w:color w:val="000000"/>
                <w:sz w:val="16"/>
                <w:szCs w:val="16"/>
              </w:rPr>
              <w:t xml:space="preserve">-year annual average </w:t>
            </w:r>
            <w:r w:rsidR="00C5596E">
              <w:rPr>
                <w:rFonts w:cs="Arial"/>
                <w:color w:val="000000"/>
                <w:sz w:val="16"/>
                <w:szCs w:val="16"/>
              </w:rPr>
              <w:t xml:space="preserve">labour </w:t>
            </w:r>
            <w:r w:rsidRPr="00B21997">
              <w:rPr>
                <w:rFonts w:cs="Arial"/>
                <w:color w:val="000000"/>
                <w:sz w:val="16"/>
                <w:szCs w:val="16"/>
              </w:rPr>
              <w:t xml:space="preserve">productivity growth rate (%) where productivity is defined as Local Industry GRP (GRP at factor cost) per employed </w:t>
            </w:r>
            <w:r w:rsidRPr="00B21997">
              <w:rPr>
                <w:rFonts w:cs="Arial"/>
                <w:color w:val="000000"/>
                <w:sz w:val="16"/>
                <w:szCs w:val="16"/>
              </w:rPr>
              <w:lastRenderedPageBreak/>
              <w:t>person on an industry adjusted basis.</w:t>
            </w:r>
          </w:p>
        </w:tc>
        <w:tc>
          <w:tcPr>
            <w:tcW w:w="645" w:type="pct"/>
            <w:shd w:val="clear" w:color="auto" w:fill="F2F2F2" w:themeFill="background1" w:themeFillShade="F2"/>
          </w:tcPr>
          <w:p w14:paraId="7C163A26"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lastRenderedPageBreak/>
              <w:t>Intersection (structural)</w:t>
            </w:r>
          </w:p>
        </w:tc>
        <w:tc>
          <w:tcPr>
            <w:tcW w:w="162" w:type="pct"/>
            <w:shd w:val="clear" w:color="auto" w:fill="F2F2F2" w:themeFill="background1" w:themeFillShade="F2"/>
          </w:tcPr>
          <w:p w14:paraId="7BC1B432"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c>
          <w:tcPr>
            <w:tcW w:w="645" w:type="pct"/>
            <w:shd w:val="clear" w:color="auto" w:fill="F2F2F2" w:themeFill="background1" w:themeFillShade="F2"/>
          </w:tcPr>
          <w:p w14:paraId="512ACDAF"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Quarterly</w:t>
            </w:r>
            <w:r w:rsidRPr="00CC2866">
              <w:rPr>
                <w:rFonts w:cs="Arial"/>
                <w:color w:val="000000"/>
                <w:sz w:val="16"/>
                <w:szCs w:val="16"/>
                <w:vertAlign w:val="superscript"/>
              </w:rPr>
              <w:t>3</w:t>
            </w:r>
          </w:p>
        </w:tc>
        <w:tc>
          <w:tcPr>
            <w:tcW w:w="696" w:type="pct"/>
            <w:shd w:val="clear" w:color="auto" w:fill="F2F2F2" w:themeFill="background1" w:themeFillShade="F2"/>
          </w:tcPr>
          <w:p w14:paraId="7221A596"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GCCSA</w:t>
            </w:r>
          </w:p>
        </w:tc>
        <w:tc>
          <w:tcPr>
            <w:tcW w:w="511" w:type="pct"/>
            <w:shd w:val="clear" w:color="auto" w:fill="F2F2F2" w:themeFill="background1" w:themeFillShade="F2"/>
          </w:tcPr>
          <w:p w14:paraId="0FDA64BB"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~2%</w:t>
            </w:r>
            <w:r w:rsidRPr="00637786">
              <w:rPr>
                <w:rFonts w:cs="Arial"/>
                <w:color w:val="000000"/>
                <w:sz w:val="16"/>
                <w:szCs w:val="16"/>
                <w:vertAlign w:val="superscript"/>
              </w:rPr>
              <w:t>4</w:t>
            </w:r>
          </w:p>
        </w:tc>
      </w:tr>
      <w:tr w:rsidR="00437E90" w:rsidRPr="00DC2212" w14:paraId="4DBD1DF9" w14:textId="77777777" w:rsidTr="009B64B7">
        <w:tc>
          <w:tcPr>
            <w:cnfStyle w:val="001000000000" w:firstRow="0" w:lastRow="0" w:firstColumn="1" w:lastColumn="0" w:oddVBand="0" w:evenVBand="0" w:oddHBand="0" w:evenHBand="0" w:firstRowFirstColumn="0" w:firstRowLastColumn="0" w:lastRowFirstColumn="0" w:lastRowLastColumn="0"/>
            <w:tcW w:w="969" w:type="pct"/>
          </w:tcPr>
          <w:p w14:paraId="4E14CD8A" w14:textId="77777777" w:rsidR="00437E90" w:rsidRPr="00DC2212" w:rsidRDefault="00437E90" w:rsidP="004A5416">
            <w:pPr>
              <w:spacing w:before="120" w:after="120"/>
              <w:rPr>
                <w:rFonts w:cs="Arial"/>
                <w:b w:val="0"/>
                <w:bCs w:val="0"/>
                <w:color w:val="000000"/>
                <w:sz w:val="16"/>
                <w:szCs w:val="16"/>
              </w:rPr>
            </w:pPr>
            <w:r w:rsidRPr="00DC2212">
              <w:rPr>
                <w:rFonts w:cs="Arial"/>
                <w:b w:val="0"/>
                <w:bCs w:val="0"/>
                <w:color w:val="000000"/>
                <w:sz w:val="16"/>
                <w:szCs w:val="16"/>
              </w:rPr>
              <w:t xml:space="preserve">Annual median </w:t>
            </w:r>
            <w:r>
              <w:rPr>
                <w:rFonts w:cs="Arial"/>
                <w:b w:val="0"/>
                <w:bCs w:val="0"/>
                <w:color w:val="000000"/>
                <w:sz w:val="16"/>
                <w:szCs w:val="16"/>
              </w:rPr>
              <w:t>income</w:t>
            </w:r>
            <w:r w:rsidRPr="00DC2212">
              <w:rPr>
                <w:rFonts w:cs="Arial"/>
                <w:b w:val="0"/>
                <w:bCs w:val="0"/>
                <w:color w:val="000000"/>
                <w:sz w:val="16"/>
                <w:szCs w:val="16"/>
              </w:rPr>
              <w:t xml:space="preserve"> growth rate</w:t>
            </w:r>
          </w:p>
        </w:tc>
        <w:tc>
          <w:tcPr>
            <w:tcW w:w="1371" w:type="pct"/>
          </w:tcPr>
          <w:p w14:paraId="0F1E1701" w14:textId="77777777" w:rsidR="00437E90" w:rsidRPr="00DC2212" w:rsidRDefault="00437E90" w:rsidP="004A5416">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The percentage change in median total income over the past year (%)</w:t>
            </w:r>
          </w:p>
        </w:tc>
        <w:tc>
          <w:tcPr>
            <w:tcW w:w="645" w:type="pct"/>
          </w:tcPr>
          <w:p w14:paraId="10653C1C"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Intersection</w:t>
            </w:r>
          </w:p>
        </w:tc>
        <w:tc>
          <w:tcPr>
            <w:tcW w:w="162" w:type="pct"/>
          </w:tcPr>
          <w:p w14:paraId="16BFC13C"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tc>
        <w:tc>
          <w:tcPr>
            <w:tcW w:w="645" w:type="pct"/>
          </w:tcPr>
          <w:p w14:paraId="5564E413"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Yearly</w:t>
            </w:r>
            <w:r w:rsidRPr="00CC2866">
              <w:rPr>
                <w:rFonts w:cs="Arial"/>
                <w:color w:val="000000"/>
                <w:sz w:val="16"/>
                <w:szCs w:val="16"/>
                <w:vertAlign w:val="superscript"/>
              </w:rPr>
              <w:t>3</w:t>
            </w:r>
          </w:p>
        </w:tc>
        <w:tc>
          <w:tcPr>
            <w:tcW w:w="696" w:type="pct"/>
          </w:tcPr>
          <w:p w14:paraId="1A8E9F78"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SA4</w:t>
            </w:r>
          </w:p>
        </w:tc>
        <w:tc>
          <w:tcPr>
            <w:tcW w:w="511" w:type="pct"/>
          </w:tcPr>
          <w:p w14:paraId="6C888E04" w14:textId="77777777" w:rsidR="00437E90" w:rsidRPr="00DC2212" w:rsidRDefault="00437E90" w:rsidP="004A5416">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cs="Arial"/>
                <w:color w:val="000000"/>
                <w:sz w:val="16"/>
                <w:szCs w:val="16"/>
              </w:rPr>
              <w:t>~2%</w:t>
            </w:r>
            <w:r w:rsidRPr="00637786">
              <w:rPr>
                <w:rFonts w:cs="Arial"/>
                <w:color w:val="000000"/>
                <w:sz w:val="16"/>
                <w:szCs w:val="16"/>
                <w:vertAlign w:val="superscript"/>
              </w:rPr>
              <w:t>4</w:t>
            </w:r>
          </w:p>
        </w:tc>
      </w:tr>
      <w:tr w:rsidR="00437E90" w:rsidRPr="00DC2212" w14:paraId="29EB1F7D" w14:textId="77777777" w:rsidTr="009B6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tcBorders>
              <w:bottom w:val="single" w:sz="4" w:space="0" w:color="auto"/>
            </w:tcBorders>
            <w:shd w:val="clear" w:color="auto" w:fill="F2F2F2" w:themeFill="background1" w:themeFillShade="F2"/>
          </w:tcPr>
          <w:p w14:paraId="6B33B04C" w14:textId="77777777" w:rsidR="00437E90" w:rsidRPr="00DC2212" w:rsidRDefault="00437E90" w:rsidP="004A5416">
            <w:pPr>
              <w:spacing w:before="120" w:after="120"/>
              <w:rPr>
                <w:rFonts w:cs="Arial"/>
                <w:b w:val="0"/>
                <w:bCs w:val="0"/>
                <w:color w:val="000000"/>
                <w:sz w:val="16"/>
                <w:szCs w:val="16"/>
              </w:rPr>
            </w:pPr>
            <w:r w:rsidRPr="00DC2212">
              <w:rPr>
                <w:rFonts w:cs="Arial"/>
                <w:b w:val="0"/>
                <w:bCs w:val="0"/>
                <w:color w:val="000000"/>
                <w:sz w:val="16"/>
                <w:szCs w:val="16"/>
              </w:rPr>
              <w:t>Skill underutilisation rate</w:t>
            </w:r>
          </w:p>
        </w:tc>
        <w:tc>
          <w:tcPr>
            <w:tcW w:w="1371" w:type="pct"/>
            <w:tcBorders>
              <w:bottom w:val="single" w:sz="4" w:space="0" w:color="auto"/>
            </w:tcBorders>
            <w:shd w:val="clear" w:color="auto" w:fill="F2F2F2" w:themeFill="background1" w:themeFillShade="F2"/>
          </w:tcPr>
          <w:p w14:paraId="38FF4174" w14:textId="77777777" w:rsidR="00437E90" w:rsidRPr="00DC2212" w:rsidRDefault="00437E90" w:rsidP="004A5416">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Proportion of employed persons working at a lower skill level than the skill level associated with their highest level of qualification (%)</w:t>
            </w:r>
          </w:p>
        </w:tc>
        <w:tc>
          <w:tcPr>
            <w:tcW w:w="645" w:type="pct"/>
            <w:tcBorders>
              <w:bottom w:val="single" w:sz="4" w:space="0" w:color="auto"/>
            </w:tcBorders>
            <w:shd w:val="clear" w:color="auto" w:fill="F2F2F2" w:themeFill="background1" w:themeFillShade="F2"/>
          </w:tcPr>
          <w:p w14:paraId="337EE412"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Intersection</w:t>
            </w:r>
          </w:p>
        </w:tc>
        <w:tc>
          <w:tcPr>
            <w:tcW w:w="162" w:type="pct"/>
            <w:tcBorders>
              <w:bottom w:val="single" w:sz="4" w:space="0" w:color="auto"/>
            </w:tcBorders>
            <w:shd w:val="clear" w:color="auto" w:fill="F2F2F2" w:themeFill="background1" w:themeFillShade="F2"/>
          </w:tcPr>
          <w:p w14:paraId="260053B8"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c>
          <w:tcPr>
            <w:tcW w:w="645" w:type="pct"/>
            <w:tcBorders>
              <w:bottom w:val="single" w:sz="4" w:space="0" w:color="auto"/>
            </w:tcBorders>
            <w:shd w:val="clear" w:color="auto" w:fill="F2F2F2" w:themeFill="background1" w:themeFillShade="F2"/>
          </w:tcPr>
          <w:p w14:paraId="759870C3"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5-yearly</w:t>
            </w:r>
            <w:r w:rsidRPr="00CC2866">
              <w:rPr>
                <w:rFonts w:cs="Arial"/>
                <w:color w:val="000000"/>
                <w:sz w:val="16"/>
                <w:szCs w:val="16"/>
                <w:vertAlign w:val="superscript"/>
              </w:rPr>
              <w:t>3</w:t>
            </w:r>
          </w:p>
          <w:p w14:paraId="742AEE82"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c>
          <w:tcPr>
            <w:tcW w:w="696" w:type="pct"/>
            <w:tcBorders>
              <w:bottom w:val="single" w:sz="4" w:space="0" w:color="auto"/>
            </w:tcBorders>
            <w:shd w:val="clear" w:color="auto" w:fill="F2F2F2" w:themeFill="background1" w:themeFillShade="F2"/>
          </w:tcPr>
          <w:p w14:paraId="2E0CF33B"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SA4</w:t>
            </w:r>
          </w:p>
        </w:tc>
        <w:tc>
          <w:tcPr>
            <w:tcW w:w="511" w:type="pct"/>
            <w:tcBorders>
              <w:bottom w:val="single" w:sz="4" w:space="0" w:color="auto"/>
            </w:tcBorders>
            <w:shd w:val="clear" w:color="auto" w:fill="F2F2F2" w:themeFill="background1" w:themeFillShade="F2"/>
          </w:tcPr>
          <w:p w14:paraId="41DBD79B" w14:textId="77777777" w:rsidR="00437E90" w:rsidRPr="00DC2212" w:rsidRDefault="00437E90" w:rsidP="004A5416">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~2%</w:t>
            </w:r>
            <w:r w:rsidRPr="00637786">
              <w:rPr>
                <w:rFonts w:cs="Arial"/>
                <w:color w:val="000000"/>
                <w:sz w:val="16"/>
                <w:szCs w:val="16"/>
                <w:vertAlign w:val="superscript"/>
              </w:rPr>
              <w:t>4</w:t>
            </w:r>
          </w:p>
        </w:tc>
      </w:tr>
    </w:tbl>
    <w:p w14:paraId="3C23D182" w14:textId="77777777" w:rsidR="00437E90" w:rsidRPr="00CC2866" w:rsidRDefault="00437E90" w:rsidP="004A5416">
      <w:pPr>
        <w:rPr>
          <w:rFonts w:cs="Arial"/>
          <w:color w:val="000000"/>
          <w:sz w:val="16"/>
          <w:szCs w:val="16"/>
        </w:rPr>
      </w:pPr>
      <w:r w:rsidRPr="00CC2866">
        <w:rPr>
          <w:sz w:val="16"/>
          <w:szCs w:val="16"/>
          <w:vertAlign w:val="superscript"/>
        </w:rPr>
        <w:t>1</w:t>
      </w:r>
      <w:r w:rsidRPr="00CC2866">
        <w:rPr>
          <w:rFonts w:cs="Arial"/>
          <w:sz w:val="16"/>
          <w:szCs w:val="16"/>
        </w:rPr>
        <w:t xml:space="preserve">JobSeeker income support’ is a combination of the </w:t>
      </w:r>
      <w:r w:rsidRPr="00CC2866">
        <w:rPr>
          <w:rFonts w:cs="Arial"/>
          <w:color w:val="000000"/>
          <w:sz w:val="16"/>
          <w:szCs w:val="16"/>
        </w:rPr>
        <w:t>JobSeeker payment and Youth Allowance (other) payment</w:t>
      </w:r>
    </w:p>
    <w:p w14:paraId="45292C90" w14:textId="77777777" w:rsidR="00437E90" w:rsidRPr="00CC2866" w:rsidRDefault="00437E90" w:rsidP="004A5416">
      <w:pPr>
        <w:rPr>
          <w:rFonts w:cs="Arial"/>
          <w:color w:val="000000"/>
          <w:sz w:val="16"/>
          <w:szCs w:val="16"/>
        </w:rPr>
      </w:pPr>
      <w:r w:rsidRPr="00CC2866">
        <w:rPr>
          <w:rFonts w:cs="Arial"/>
          <w:color w:val="000000"/>
          <w:sz w:val="16"/>
          <w:szCs w:val="16"/>
          <w:vertAlign w:val="superscript"/>
        </w:rPr>
        <w:t xml:space="preserve">2 </w:t>
      </w:r>
      <w:r w:rsidRPr="00CC2866">
        <w:rPr>
          <w:rFonts w:cs="Arial"/>
          <w:color w:val="000000"/>
          <w:sz w:val="16"/>
          <w:szCs w:val="16"/>
        </w:rPr>
        <w:t>Measured at the Greater Capital City Statistical Area (GCCSA) for Major Cities (Sydney, Melbourne, Brisbane, Adelaide, Perth)</w:t>
      </w:r>
      <w:r>
        <w:rPr>
          <w:rFonts w:cs="Arial"/>
          <w:color w:val="000000"/>
          <w:sz w:val="16"/>
          <w:szCs w:val="16"/>
        </w:rPr>
        <w:t xml:space="preserve">. Measured at the Statistical Area 4 (SA4) level for all other regions. </w:t>
      </w:r>
    </w:p>
    <w:p w14:paraId="579F5CF7" w14:textId="77777777" w:rsidR="00437E90" w:rsidRPr="00637786" w:rsidRDefault="00437E90" w:rsidP="004A5416">
      <w:pPr>
        <w:rPr>
          <w:rFonts w:cs="Arial"/>
          <w:color w:val="000000"/>
          <w:sz w:val="16"/>
          <w:szCs w:val="16"/>
        </w:rPr>
      </w:pPr>
      <w:r w:rsidRPr="00CC2866">
        <w:rPr>
          <w:rFonts w:cs="Arial"/>
          <w:color w:val="000000"/>
          <w:sz w:val="16"/>
          <w:szCs w:val="16"/>
          <w:vertAlign w:val="superscript"/>
        </w:rPr>
        <w:t xml:space="preserve">3 </w:t>
      </w:r>
      <w:r w:rsidRPr="00CC2866">
        <w:rPr>
          <w:rFonts w:eastAsia="Arial" w:cs="Arial"/>
          <w:sz w:val="16"/>
          <w:szCs w:val="16"/>
        </w:rPr>
        <w:t xml:space="preserve">Note, </w:t>
      </w:r>
      <w:r w:rsidRPr="00CC2866">
        <w:rPr>
          <w:rFonts w:eastAsia="Times New Roman" w:cs="Arial"/>
          <w:sz w:val="16"/>
          <w:szCs w:val="16"/>
          <w:lang w:eastAsia="en-AU"/>
        </w:rPr>
        <w:t>the data is released with a substantial delay (typically 1–2 years after collection), which limits its usefulness for assessing current labour market conditions.</w:t>
      </w:r>
    </w:p>
    <w:p w14:paraId="17BE429B" w14:textId="77777777" w:rsidR="00437E90" w:rsidRDefault="00437E90" w:rsidP="004A5416">
      <w:pPr>
        <w:rPr>
          <w:rFonts w:eastAsia="Arial" w:cs="Arial"/>
          <w:sz w:val="16"/>
          <w:szCs w:val="16"/>
        </w:rPr>
      </w:pPr>
      <w:r>
        <w:rPr>
          <w:rFonts w:cs="Arial"/>
          <w:color w:val="000000"/>
          <w:sz w:val="16"/>
          <w:szCs w:val="16"/>
          <w:vertAlign w:val="superscript"/>
        </w:rPr>
        <w:t>4</w:t>
      </w:r>
      <w:r w:rsidRPr="00CC2866">
        <w:rPr>
          <w:rFonts w:cs="Arial"/>
          <w:color w:val="000000"/>
          <w:sz w:val="16"/>
          <w:szCs w:val="16"/>
          <w:vertAlign w:val="superscript"/>
        </w:rPr>
        <w:t xml:space="preserve"> </w:t>
      </w:r>
      <w:r>
        <w:rPr>
          <w:rFonts w:eastAsia="Arial" w:cs="Arial"/>
          <w:sz w:val="16"/>
          <w:szCs w:val="16"/>
        </w:rPr>
        <w:t xml:space="preserve">The 5-year annual average growth rate of productivity, the annual median income growth rate, and the skill underutilisation rate have a combined weight of 5%. </w:t>
      </w:r>
    </w:p>
    <w:p w14:paraId="790DE3BC" w14:textId="77777777" w:rsidR="00437E90" w:rsidRPr="00A070B7" w:rsidRDefault="00437E90" w:rsidP="004A5416">
      <w:pPr>
        <w:pStyle w:val="Heading3"/>
      </w:pPr>
      <w:r>
        <w:t>Methodology</w:t>
      </w:r>
    </w:p>
    <w:p w14:paraId="24E6A2AD" w14:textId="77777777" w:rsidR="00437E90" w:rsidRPr="00D56322" w:rsidRDefault="00437E90" w:rsidP="004A5416">
      <w:pPr>
        <w:pStyle w:val="Bodycopy"/>
      </w:pPr>
      <w:r w:rsidRPr="00D56322">
        <w:t xml:space="preserve">Please refer to the </w:t>
      </w:r>
      <w:hyperlink r:id="rId33" w:anchor="methodology" w:history="1">
        <w:r w:rsidRPr="00D56322">
          <w:rPr>
            <w:rStyle w:val="Hyperlink"/>
          </w:rPr>
          <w:t>RLMI Methodology Paper</w:t>
        </w:r>
      </w:hyperlink>
      <w:r w:rsidRPr="00D56322">
        <w:t xml:space="preserve"> for more information on the RLMI, including its purpose and factor selection. </w:t>
      </w:r>
    </w:p>
    <w:p w14:paraId="3EFB9898" w14:textId="77777777" w:rsidR="00437E90" w:rsidRPr="00A070B7" w:rsidRDefault="00437E90" w:rsidP="004A5416">
      <w:pPr>
        <w:pStyle w:val="Heading3"/>
      </w:pPr>
      <w:r>
        <w:t>Referencing this report</w:t>
      </w:r>
    </w:p>
    <w:p w14:paraId="5519DF93" w14:textId="6B1FD352" w:rsidR="00437E90" w:rsidRPr="00550453" w:rsidRDefault="00437E90" w:rsidP="004A5416">
      <w:pPr>
        <w:pStyle w:val="Bodycopy"/>
        <w:rPr>
          <w:i/>
          <w:iCs/>
        </w:rPr>
      </w:pPr>
      <w:r>
        <w:t xml:space="preserve">Data in this release should be referenced as: </w:t>
      </w:r>
      <w:r w:rsidRPr="00D56322">
        <w:t xml:space="preserve">Jobs and Skills Australia, RLMI, </w:t>
      </w:r>
      <w:r>
        <w:t>June 2026</w:t>
      </w:r>
    </w:p>
    <w:p w14:paraId="5CA2FADE" w14:textId="77777777" w:rsidR="00437E90" w:rsidRPr="00A070B7" w:rsidRDefault="00437E90" w:rsidP="004A5416">
      <w:pPr>
        <w:pStyle w:val="Heading3"/>
      </w:pPr>
      <w:r>
        <w:t>Contact us</w:t>
      </w:r>
    </w:p>
    <w:p w14:paraId="08917581" w14:textId="737F0923" w:rsidR="00437E90" w:rsidRPr="00437E90" w:rsidRDefault="00437E90" w:rsidP="00437E90">
      <w:pPr>
        <w:pStyle w:val="BodyText"/>
        <w:rPr>
          <w:lang w:eastAsia="en-AU"/>
        </w:rPr>
      </w:pPr>
      <w:r>
        <w:t xml:space="preserve">For additional information, email </w:t>
      </w:r>
      <w:hyperlink r:id="rId34" w:history="1">
        <w:r w:rsidRPr="003C5B58">
          <w:rPr>
            <w:rStyle w:val="Hyperlink"/>
          </w:rPr>
          <w:t>RegionalWorkforceAssessment@jobsandskills.gov.au</w:t>
        </w:r>
      </w:hyperlink>
    </w:p>
    <w:sectPr w:rsidR="00437E90" w:rsidRPr="00437E90" w:rsidSect="000F5CD2">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89055" w14:textId="77777777" w:rsidR="00EE47C3" w:rsidRDefault="00EE47C3" w:rsidP="00E12845">
      <w:pPr>
        <w:spacing w:before="0" w:after="0"/>
      </w:pPr>
      <w:r>
        <w:separator/>
      </w:r>
    </w:p>
  </w:endnote>
  <w:endnote w:type="continuationSeparator" w:id="0">
    <w:p w14:paraId="566AA5EA" w14:textId="77777777" w:rsidR="00EE47C3" w:rsidRDefault="00EE47C3" w:rsidP="00E128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Narrow">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41EC7005" w14:textId="77777777" w:rsidR="00BA4D1C" w:rsidRDefault="00BA4D1C">
        <w:pPr>
          <w:pStyle w:val="Footer"/>
        </w:pPr>
        <w:r w:rsidRPr="00835A0D">
          <w:t>Jobs and Skills Australia –</w:t>
        </w:r>
        <w:r>
          <w:t xml:space="preserve"> </w:t>
        </w:r>
        <w:fldSimple w:instr=" STYLEREF  Title  \* MERGEFORMAT ">
          <w:r w:rsidR="00E93C19">
            <w:rPr>
              <w:noProof/>
            </w:rPr>
            <w:t>[Title]</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54F285C5" w14:textId="7DA373BD" w:rsidR="000F5CD2" w:rsidRDefault="000F5CD2">
        <w:pPr>
          <w:pStyle w:val="Footer"/>
        </w:pPr>
        <w:r w:rsidRPr="00835A0D">
          <w:t>Jobs and Skills Australia –</w:t>
        </w:r>
        <w:r>
          <w:t xml:space="preserve"> </w:t>
        </w:r>
        <w:fldSimple w:instr=" STYLEREF  Title  \* MERGEFORMAT ">
          <w:r w:rsidR="009E73AD">
            <w:rPr>
              <w:noProof/>
            </w:rPr>
            <w:t>Regional Labour Market Indicator (RLMI)</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0BCA7A52" w14:textId="4C3973D3" w:rsidR="00A67B12" w:rsidRPr="00576BAF" w:rsidRDefault="00A67B12" w:rsidP="00576BAF">
        <w:pPr>
          <w:pStyle w:val="Footer"/>
        </w:pPr>
        <w:r w:rsidRPr="00835A0D">
          <w:t>Jobs and Skills Australia –</w:t>
        </w:r>
        <w:r>
          <w:t xml:space="preserve"> </w:t>
        </w:r>
        <w:fldSimple w:instr=" STYLEREF  Title  \* MERGEFORMAT ">
          <w:r w:rsidR="009E73AD">
            <w:rPr>
              <w:noProof/>
            </w:rPr>
            <w:t>Regional Labour Market Indicator (RLMI)</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68A4"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A2763" w14:textId="77777777" w:rsidR="00EE47C3" w:rsidRDefault="00EE47C3" w:rsidP="00E12845">
      <w:pPr>
        <w:spacing w:before="0" w:after="0"/>
      </w:pPr>
      <w:r>
        <w:separator/>
      </w:r>
    </w:p>
  </w:footnote>
  <w:footnote w:type="continuationSeparator" w:id="0">
    <w:p w14:paraId="049A4C28" w14:textId="77777777" w:rsidR="00EE47C3" w:rsidRDefault="00EE47C3" w:rsidP="00E12845">
      <w:pPr>
        <w:spacing w:before="0" w:after="0"/>
      </w:pPr>
      <w:r>
        <w:continuationSeparator/>
      </w:r>
    </w:p>
  </w:footnote>
  <w:footnote w:id="1">
    <w:p w14:paraId="781FE9AB" w14:textId="3E1043E0" w:rsidR="00AC3694" w:rsidRDefault="00AC3694" w:rsidP="00AC3694">
      <w:pPr>
        <w:pStyle w:val="FootnoteText"/>
      </w:pPr>
      <w:r>
        <w:rPr>
          <w:rStyle w:val="FootnoteReference"/>
        </w:rPr>
        <w:footnoteRef/>
      </w:r>
      <w:r>
        <w:t xml:space="preserve"> </w:t>
      </w:r>
      <w:r>
        <w:rPr>
          <w:rFonts w:cs="Arial"/>
          <w:color w:val="000000"/>
          <w:sz w:val="16"/>
          <w:szCs w:val="16"/>
        </w:rPr>
        <w:t xml:space="preserve">Fill Rate measure for Rest of NSW (Greater Capital City Statistical Area).  </w:t>
      </w:r>
    </w:p>
  </w:footnote>
  <w:footnote w:id="2">
    <w:p w14:paraId="1DC9E4B6" w14:textId="70F15D08" w:rsidR="00DD04FE" w:rsidRDefault="00DD04FE" w:rsidP="00DD04FE">
      <w:pPr>
        <w:pStyle w:val="FootnoteText"/>
      </w:pPr>
      <w:r>
        <w:rPr>
          <w:rStyle w:val="FootnoteReference"/>
        </w:rPr>
        <w:footnoteRef/>
      </w:r>
      <w:r>
        <w:t xml:space="preserve"> </w:t>
      </w:r>
      <w:r w:rsidRPr="00DD04FE">
        <w:rPr>
          <w:sz w:val="16"/>
          <w:szCs w:val="16"/>
        </w:rPr>
        <w:t>Remote Australia comprises the following SA4 regions: Far West and Orana (NSW), Queensland – Outback, South Australia – Outback, Western Australia – Outback (North and South), Tasmania – West and North West, and the Northern Territory – Outback.</w:t>
      </w:r>
    </w:p>
  </w:footnote>
  <w:footnote w:id="3">
    <w:p w14:paraId="7C231C4E" w14:textId="77777777" w:rsidR="00C62E5E" w:rsidRDefault="00C62E5E" w:rsidP="00C62E5E">
      <w:pPr>
        <w:pStyle w:val="FootnoteText"/>
      </w:pPr>
      <w:r>
        <w:rPr>
          <w:rStyle w:val="FootnoteReference"/>
        </w:rPr>
        <w:footnoteRef/>
      </w:r>
      <w:r>
        <w:t xml:space="preserve"> </w:t>
      </w:r>
      <w:r w:rsidRPr="00DC2212">
        <w:rPr>
          <w:rFonts w:cs="Arial"/>
          <w:sz w:val="16"/>
          <w:szCs w:val="16"/>
        </w:rPr>
        <w:t>The number of new job vacancies as a proportion of the labour force</w:t>
      </w:r>
      <w:r>
        <w:rPr>
          <w:rFonts w:cs="Arial"/>
          <w:sz w:val="16"/>
          <w:szCs w:val="16"/>
        </w:rPr>
        <w:t xml:space="preserve"> (%)</w:t>
      </w:r>
    </w:p>
  </w:footnote>
  <w:footnote w:id="4">
    <w:p w14:paraId="4A2129FE" w14:textId="72FF9830" w:rsidR="001D7E00" w:rsidRDefault="001D7E00" w:rsidP="001D7E00">
      <w:pPr>
        <w:pStyle w:val="FootnoteText"/>
      </w:pPr>
      <w:r>
        <w:rPr>
          <w:rStyle w:val="FootnoteReference"/>
        </w:rPr>
        <w:footnoteRef/>
      </w:r>
      <w:r>
        <w:t xml:space="preserve"> </w:t>
      </w:r>
      <w:r w:rsidRPr="001D7E00">
        <w:rPr>
          <w:rFonts w:cs="Arial"/>
          <w:sz w:val="16"/>
          <w:szCs w:val="16"/>
        </w:rPr>
        <w:t xml:space="preserve">Job matching efficiency measures how effectively jobseekers and vacancies are translated into new hires, providing a key signal of the intersection of labour supply and demand.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E8A3" w14:textId="77777777" w:rsidR="00A67B12" w:rsidRPr="0030592C" w:rsidRDefault="00A67B12" w:rsidP="00A67B12">
    <w:pPr>
      <w:pStyle w:val="Header"/>
    </w:pPr>
  </w:p>
  <w:p w14:paraId="585792F3"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B72E" w14:textId="77777777"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299"/>
    <w:multiLevelType w:val="multilevel"/>
    <w:tmpl w:val="0D96AACA"/>
    <w:numStyleLink w:val="AppendixHeadingmaster"/>
  </w:abstractNum>
  <w:abstractNum w:abstractNumId="1" w15:restartNumberingAfterBreak="0">
    <w:nsid w:val="045550B2"/>
    <w:multiLevelType w:val="multilevel"/>
    <w:tmpl w:val="9F703E2E"/>
    <w:numStyleLink w:val="ListBulletmaster"/>
  </w:abstractNum>
  <w:abstractNum w:abstractNumId="2" w15:restartNumberingAfterBreak="0">
    <w:nsid w:val="084F7801"/>
    <w:multiLevelType w:val="multilevel"/>
    <w:tmpl w:val="EAA2F742"/>
    <w:numStyleLink w:val="TableListNumbermaster"/>
  </w:abstractNum>
  <w:abstractNum w:abstractNumId="3" w15:restartNumberingAfterBreak="0">
    <w:nsid w:val="0E295FAF"/>
    <w:multiLevelType w:val="hybridMultilevel"/>
    <w:tmpl w:val="22849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44AD6"/>
    <w:multiLevelType w:val="hybridMultilevel"/>
    <w:tmpl w:val="88D0F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2E010B"/>
    <w:multiLevelType w:val="multilevel"/>
    <w:tmpl w:val="0D96AACA"/>
    <w:numStyleLink w:val="AppendixHeadingmaster"/>
  </w:abstractNum>
  <w:abstractNum w:abstractNumId="7" w15:restartNumberingAfterBreak="0">
    <w:nsid w:val="14913431"/>
    <w:multiLevelType w:val="multilevel"/>
    <w:tmpl w:val="28F46D40"/>
    <w:numStyleLink w:val="ListNumbermaster"/>
  </w:abstractNum>
  <w:abstractNum w:abstractNumId="8" w15:restartNumberingAfterBreak="0">
    <w:nsid w:val="17A434C9"/>
    <w:multiLevelType w:val="multilevel"/>
    <w:tmpl w:val="113457F2"/>
    <w:numStyleLink w:val="Headingsmaster"/>
  </w:abstractNum>
  <w:abstractNum w:abstractNumId="9"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B76778"/>
    <w:multiLevelType w:val="multilevel"/>
    <w:tmpl w:val="56043EA4"/>
    <w:numStyleLink w:val="TableListBulletmaster"/>
  </w:abstractNum>
  <w:abstractNum w:abstractNumId="11" w15:restartNumberingAfterBreak="0">
    <w:nsid w:val="1C094AC5"/>
    <w:multiLevelType w:val="hybridMultilevel"/>
    <w:tmpl w:val="0F101C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5B628B"/>
    <w:multiLevelType w:val="hybridMultilevel"/>
    <w:tmpl w:val="1E621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1304D0"/>
    <w:multiLevelType w:val="multilevel"/>
    <w:tmpl w:val="56043EA4"/>
    <w:numStyleLink w:val="TableListBulletmaster"/>
  </w:abstractNum>
  <w:abstractNum w:abstractNumId="14"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2695D78"/>
    <w:multiLevelType w:val="multilevel"/>
    <w:tmpl w:val="EAA2F742"/>
    <w:numStyleLink w:val="TableListNumbermaster"/>
  </w:abstractNum>
  <w:abstractNum w:abstractNumId="16"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0E4DE9"/>
    <w:multiLevelType w:val="multilevel"/>
    <w:tmpl w:val="56043EA4"/>
    <w:numStyleLink w:val="TableListBulletmaster"/>
  </w:abstractNum>
  <w:abstractNum w:abstractNumId="18"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C415FF"/>
    <w:multiLevelType w:val="multilevel"/>
    <w:tmpl w:val="113457F2"/>
    <w:numStyleLink w:val="Headingsmaster"/>
  </w:abstractNum>
  <w:abstractNum w:abstractNumId="20" w15:restartNumberingAfterBreak="0">
    <w:nsid w:val="311066B6"/>
    <w:multiLevelType w:val="multilevel"/>
    <w:tmpl w:val="113457F2"/>
    <w:numStyleLink w:val="Headingsmaster"/>
  </w:abstractNum>
  <w:abstractNum w:abstractNumId="21" w15:restartNumberingAfterBreak="0">
    <w:nsid w:val="34666B61"/>
    <w:multiLevelType w:val="multilevel"/>
    <w:tmpl w:val="113457F2"/>
    <w:numStyleLink w:val="Headingsmaster"/>
  </w:abstractNum>
  <w:abstractNum w:abstractNumId="22" w15:restartNumberingAfterBreak="0">
    <w:nsid w:val="36B75813"/>
    <w:multiLevelType w:val="multilevel"/>
    <w:tmpl w:val="0D96AACA"/>
    <w:numStyleLink w:val="AppendixHeadingmaster"/>
  </w:abstractNum>
  <w:abstractNum w:abstractNumId="23" w15:restartNumberingAfterBreak="0">
    <w:nsid w:val="3C9723CF"/>
    <w:multiLevelType w:val="multilevel"/>
    <w:tmpl w:val="56043EA4"/>
    <w:numStyleLink w:val="TableListBulletmaster"/>
  </w:abstractNum>
  <w:abstractNum w:abstractNumId="24" w15:restartNumberingAfterBreak="0">
    <w:nsid w:val="3C9F68FB"/>
    <w:multiLevelType w:val="multilevel"/>
    <w:tmpl w:val="113457F2"/>
    <w:numStyleLink w:val="Headingsmaster"/>
  </w:abstractNum>
  <w:abstractNum w:abstractNumId="25" w15:restartNumberingAfterBreak="0">
    <w:nsid w:val="3D4A0FC9"/>
    <w:multiLevelType w:val="hybridMultilevel"/>
    <w:tmpl w:val="675CB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E2033E"/>
    <w:multiLevelType w:val="hybridMultilevel"/>
    <w:tmpl w:val="1EAE7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84D764C"/>
    <w:multiLevelType w:val="multilevel"/>
    <w:tmpl w:val="EAA2F742"/>
    <w:numStyleLink w:val="TableListNumbermaster"/>
  </w:abstractNum>
  <w:abstractNum w:abstractNumId="29" w15:restartNumberingAfterBreak="0">
    <w:nsid w:val="51910100"/>
    <w:multiLevelType w:val="multilevel"/>
    <w:tmpl w:val="113457F2"/>
    <w:numStyleLink w:val="Headingsmaster"/>
  </w:abstractNum>
  <w:abstractNum w:abstractNumId="30" w15:restartNumberingAfterBreak="0">
    <w:nsid w:val="51F55EB9"/>
    <w:multiLevelType w:val="multilevel"/>
    <w:tmpl w:val="4E5A4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2047795"/>
    <w:multiLevelType w:val="multilevel"/>
    <w:tmpl w:val="B4C8D01E"/>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32D74CC"/>
    <w:multiLevelType w:val="multilevel"/>
    <w:tmpl w:val="0D96AACA"/>
    <w:numStyleLink w:val="AppendixHeadingmaster"/>
  </w:abstractNum>
  <w:abstractNum w:abstractNumId="34" w15:restartNumberingAfterBreak="0">
    <w:nsid w:val="64792F5F"/>
    <w:multiLevelType w:val="hybridMultilevel"/>
    <w:tmpl w:val="09B83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6C9772A"/>
    <w:multiLevelType w:val="hybridMultilevel"/>
    <w:tmpl w:val="C7081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67630F"/>
    <w:multiLevelType w:val="hybridMultilevel"/>
    <w:tmpl w:val="EBA81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E659CA"/>
    <w:multiLevelType w:val="multilevel"/>
    <w:tmpl w:val="9F703E2E"/>
    <w:numStyleLink w:val="ListBulletmaster"/>
  </w:abstractNum>
  <w:abstractNum w:abstractNumId="39" w15:restartNumberingAfterBreak="0">
    <w:nsid w:val="6B4C12B8"/>
    <w:multiLevelType w:val="multilevel"/>
    <w:tmpl w:val="113457F2"/>
    <w:numStyleLink w:val="Headingsmaster"/>
  </w:abstractNum>
  <w:abstractNum w:abstractNumId="40" w15:restartNumberingAfterBreak="0">
    <w:nsid w:val="6C3F031A"/>
    <w:multiLevelType w:val="multilevel"/>
    <w:tmpl w:val="A1224394"/>
    <w:numStyleLink w:val="ListLegalmaster"/>
  </w:abstractNum>
  <w:abstractNum w:abstractNumId="41" w15:restartNumberingAfterBreak="0">
    <w:nsid w:val="70C04E14"/>
    <w:multiLevelType w:val="hybridMultilevel"/>
    <w:tmpl w:val="11A89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F8707D"/>
    <w:multiLevelType w:val="multilevel"/>
    <w:tmpl w:val="A1224394"/>
    <w:numStyleLink w:val="ListLegalmaster"/>
  </w:abstractNum>
  <w:abstractNum w:abstractNumId="43" w15:restartNumberingAfterBreak="0">
    <w:nsid w:val="7D6D1012"/>
    <w:multiLevelType w:val="multilevel"/>
    <w:tmpl w:val="EAA2F742"/>
    <w:numStyleLink w:val="TableListNumbermaster"/>
  </w:abstractNum>
  <w:abstractNum w:abstractNumId="44" w15:restartNumberingAfterBreak="0">
    <w:nsid w:val="7D881735"/>
    <w:multiLevelType w:val="multilevel"/>
    <w:tmpl w:val="113457F2"/>
    <w:numStyleLink w:val="Headingsmaster"/>
  </w:abstractNum>
  <w:num w:numId="1" w16cid:durableId="328336156">
    <w:abstractNumId w:val="5"/>
  </w:num>
  <w:num w:numId="2" w16cid:durableId="1950045772">
    <w:abstractNumId w:val="32"/>
  </w:num>
  <w:num w:numId="3" w16cid:durableId="290287643">
    <w:abstractNumId w:val="9"/>
  </w:num>
  <w:num w:numId="4" w16cid:durableId="1869679674">
    <w:abstractNumId w:val="35"/>
  </w:num>
  <w:num w:numId="5" w16cid:durableId="2032871560">
    <w:abstractNumId w:val="18"/>
  </w:num>
  <w:num w:numId="6" w16cid:durableId="310910324">
    <w:abstractNumId w:val="31"/>
  </w:num>
  <w:num w:numId="7" w16cid:durableId="753476416">
    <w:abstractNumId w:val="14"/>
  </w:num>
  <w:num w:numId="8" w16cid:durableId="1722048815">
    <w:abstractNumId w:val="2"/>
  </w:num>
  <w:num w:numId="9" w16cid:durableId="1790736337">
    <w:abstractNumId w:val="27"/>
  </w:num>
  <w:num w:numId="10" w16cid:durableId="1926304350">
    <w:abstractNumId w:val="7"/>
  </w:num>
  <w:num w:numId="11" w16cid:durableId="874537139">
    <w:abstractNumId w:val="38"/>
  </w:num>
  <w:num w:numId="12" w16cid:durableId="759377971">
    <w:abstractNumId w:val="10"/>
  </w:num>
  <w:num w:numId="13" w16cid:durableId="107823657">
    <w:abstractNumId w:val="16"/>
  </w:num>
  <w:num w:numId="14" w16cid:durableId="1930505832">
    <w:abstractNumId w:val="42"/>
  </w:num>
  <w:num w:numId="15" w16cid:durableId="1858039008">
    <w:abstractNumId w:val="39"/>
  </w:num>
  <w:num w:numId="16" w16cid:durableId="1409770210">
    <w:abstractNumId w:val="33"/>
  </w:num>
  <w:num w:numId="17" w16cid:durableId="95685893">
    <w:abstractNumId w:val="40"/>
  </w:num>
  <w:num w:numId="18" w16cid:durableId="770515265">
    <w:abstractNumId w:val="16"/>
  </w:num>
  <w:num w:numId="19" w16cid:durableId="713041904">
    <w:abstractNumId w:val="40"/>
  </w:num>
  <w:num w:numId="20" w16cid:durableId="2057582421">
    <w:abstractNumId w:val="40"/>
  </w:num>
  <w:num w:numId="21" w16cid:durableId="2062821214">
    <w:abstractNumId w:val="29"/>
  </w:num>
  <w:num w:numId="22" w16cid:durableId="618410884">
    <w:abstractNumId w:val="44"/>
  </w:num>
  <w:num w:numId="23" w16cid:durableId="1320232845">
    <w:abstractNumId w:val="1"/>
  </w:num>
  <w:num w:numId="24" w16cid:durableId="1249077048">
    <w:abstractNumId w:val="13"/>
  </w:num>
  <w:num w:numId="25" w16cid:durableId="1552837590">
    <w:abstractNumId w:val="23"/>
  </w:num>
  <w:num w:numId="26" w16cid:durableId="734856478">
    <w:abstractNumId w:val="43"/>
  </w:num>
  <w:num w:numId="27" w16cid:durableId="1136530311">
    <w:abstractNumId w:val="28"/>
  </w:num>
  <w:num w:numId="28" w16cid:durableId="1221482542">
    <w:abstractNumId w:val="17"/>
  </w:num>
  <w:num w:numId="29" w16cid:durableId="2087678997">
    <w:abstractNumId w:val="15"/>
  </w:num>
  <w:num w:numId="30" w16cid:durableId="963854149">
    <w:abstractNumId w:val="0"/>
  </w:num>
  <w:num w:numId="31" w16cid:durableId="2035225280">
    <w:abstractNumId w:val="6"/>
  </w:num>
  <w:num w:numId="32" w16cid:durableId="1742405919">
    <w:abstractNumId w:val="22"/>
    <w:lvlOverride w:ilvl="0">
      <w:lvl w:ilvl="0">
        <w:start w:val="1"/>
        <w:numFmt w:val="upperLetter"/>
        <w:pStyle w:val="AppendixHeading1"/>
        <w:lvlText w:val="Appendix %1"/>
        <w:lvlJc w:val="left"/>
        <w:pPr>
          <w:ind w:left="2268" w:hanging="2268"/>
        </w:pPr>
      </w:lvl>
    </w:lvlOverride>
  </w:num>
  <w:num w:numId="33" w16cid:durableId="411391810">
    <w:abstractNumId w:val="24"/>
  </w:num>
  <w:num w:numId="34" w16cid:durableId="1442914095">
    <w:abstractNumId w:val="8"/>
  </w:num>
  <w:num w:numId="35" w16cid:durableId="691956747">
    <w:abstractNumId w:val="21"/>
  </w:num>
  <w:num w:numId="36" w16cid:durableId="1156337329">
    <w:abstractNumId w:val="19"/>
  </w:num>
  <w:num w:numId="37" w16cid:durableId="1349261214">
    <w:abstractNumId w:val="20"/>
  </w:num>
  <w:num w:numId="38" w16cid:durableId="634800952">
    <w:abstractNumId w:val="1"/>
  </w:num>
  <w:num w:numId="39" w16cid:durableId="10790551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62375368">
    <w:abstractNumId w:val="41"/>
  </w:num>
  <w:num w:numId="41" w16cid:durableId="34088805">
    <w:abstractNumId w:val="4"/>
  </w:num>
  <w:num w:numId="42" w16cid:durableId="161311459">
    <w:abstractNumId w:val="36"/>
  </w:num>
  <w:num w:numId="43" w16cid:durableId="1366635305">
    <w:abstractNumId w:val="37"/>
  </w:num>
  <w:num w:numId="44" w16cid:durableId="1049454162">
    <w:abstractNumId w:val="12"/>
  </w:num>
  <w:num w:numId="45" w16cid:durableId="1057826418">
    <w:abstractNumId w:val="11"/>
  </w:num>
  <w:num w:numId="46" w16cid:durableId="686756913">
    <w:abstractNumId w:val="26"/>
  </w:num>
  <w:num w:numId="47" w16cid:durableId="294609248">
    <w:abstractNumId w:val="34"/>
  </w:num>
  <w:num w:numId="48" w16cid:durableId="1842041918">
    <w:abstractNumId w:val="3"/>
  </w:num>
  <w:num w:numId="49" w16cid:durableId="28841132">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1"/>
  <w:attachedTemplate r:id="rId1"/>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E93C19"/>
    <w:rsid w:val="00004687"/>
    <w:rsid w:val="00005ECE"/>
    <w:rsid w:val="00010BC1"/>
    <w:rsid w:val="00011665"/>
    <w:rsid w:val="0001365E"/>
    <w:rsid w:val="000246A1"/>
    <w:rsid w:val="0002738A"/>
    <w:rsid w:val="00035165"/>
    <w:rsid w:val="000362A7"/>
    <w:rsid w:val="000419F4"/>
    <w:rsid w:val="00041B44"/>
    <w:rsid w:val="0004497B"/>
    <w:rsid w:val="00051941"/>
    <w:rsid w:val="00063B52"/>
    <w:rsid w:val="00066B58"/>
    <w:rsid w:val="000676C2"/>
    <w:rsid w:val="000758B0"/>
    <w:rsid w:val="000769DE"/>
    <w:rsid w:val="000803B6"/>
    <w:rsid w:val="0008202E"/>
    <w:rsid w:val="000828E6"/>
    <w:rsid w:val="00093021"/>
    <w:rsid w:val="0009644B"/>
    <w:rsid w:val="000A267D"/>
    <w:rsid w:val="000A4D2F"/>
    <w:rsid w:val="000A53F7"/>
    <w:rsid w:val="000B2F76"/>
    <w:rsid w:val="000B4A22"/>
    <w:rsid w:val="000B4AFA"/>
    <w:rsid w:val="000C3E1F"/>
    <w:rsid w:val="000C629D"/>
    <w:rsid w:val="000D02FA"/>
    <w:rsid w:val="000D3729"/>
    <w:rsid w:val="000D481C"/>
    <w:rsid w:val="000E185E"/>
    <w:rsid w:val="000E7F1C"/>
    <w:rsid w:val="000F5CD2"/>
    <w:rsid w:val="00104750"/>
    <w:rsid w:val="001057A3"/>
    <w:rsid w:val="00106E26"/>
    <w:rsid w:val="001134AC"/>
    <w:rsid w:val="00114589"/>
    <w:rsid w:val="00121950"/>
    <w:rsid w:val="00127F9F"/>
    <w:rsid w:val="00131C8E"/>
    <w:rsid w:val="001336B4"/>
    <w:rsid w:val="001346AE"/>
    <w:rsid w:val="00137E20"/>
    <w:rsid w:val="001444B2"/>
    <w:rsid w:val="001646CD"/>
    <w:rsid w:val="00172538"/>
    <w:rsid w:val="00173086"/>
    <w:rsid w:val="001746D0"/>
    <w:rsid w:val="00180B0C"/>
    <w:rsid w:val="00186429"/>
    <w:rsid w:val="001873F9"/>
    <w:rsid w:val="001A7E36"/>
    <w:rsid w:val="001C1CF7"/>
    <w:rsid w:val="001C4183"/>
    <w:rsid w:val="001C570B"/>
    <w:rsid w:val="001D1E20"/>
    <w:rsid w:val="001D450D"/>
    <w:rsid w:val="001D519D"/>
    <w:rsid w:val="001D7E00"/>
    <w:rsid w:val="001E452A"/>
    <w:rsid w:val="001E6449"/>
    <w:rsid w:val="001F00AA"/>
    <w:rsid w:val="001F60C9"/>
    <w:rsid w:val="001F6ACD"/>
    <w:rsid w:val="00200E7E"/>
    <w:rsid w:val="0020139C"/>
    <w:rsid w:val="00203BC1"/>
    <w:rsid w:val="002148F8"/>
    <w:rsid w:val="00223371"/>
    <w:rsid w:val="0023153D"/>
    <w:rsid w:val="0023754A"/>
    <w:rsid w:val="00241524"/>
    <w:rsid w:val="00255C68"/>
    <w:rsid w:val="002739A1"/>
    <w:rsid w:val="002760CE"/>
    <w:rsid w:val="00276984"/>
    <w:rsid w:val="00281D65"/>
    <w:rsid w:val="0028539D"/>
    <w:rsid w:val="0029121E"/>
    <w:rsid w:val="00291313"/>
    <w:rsid w:val="0029507E"/>
    <w:rsid w:val="002A13A9"/>
    <w:rsid w:val="002A1456"/>
    <w:rsid w:val="002A50F4"/>
    <w:rsid w:val="002A51E7"/>
    <w:rsid w:val="002A76C4"/>
    <w:rsid w:val="002B3BCD"/>
    <w:rsid w:val="002B3E9D"/>
    <w:rsid w:val="002C6442"/>
    <w:rsid w:val="002E16B6"/>
    <w:rsid w:val="002E3943"/>
    <w:rsid w:val="002E5BAA"/>
    <w:rsid w:val="002F48F5"/>
    <w:rsid w:val="002F70AA"/>
    <w:rsid w:val="0030050F"/>
    <w:rsid w:val="00300713"/>
    <w:rsid w:val="0030592C"/>
    <w:rsid w:val="0030712F"/>
    <w:rsid w:val="00307477"/>
    <w:rsid w:val="0030754A"/>
    <w:rsid w:val="0030776B"/>
    <w:rsid w:val="00323771"/>
    <w:rsid w:val="003254F1"/>
    <w:rsid w:val="003531B8"/>
    <w:rsid w:val="00355334"/>
    <w:rsid w:val="0035567F"/>
    <w:rsid w:val="00357970"/>
    <w:rsid w:val="00360C69"/>
    <w:rsid w:val="00372AA9"/>
    <w:rsid w:val="00372D50"/>
    <w:rsid w:val="00375259"/>
    <w:rsid w:val="00376759"/>
    <w:rsid w:val="00384297"/>
    <w:rsid w:val="00384DA2"/>
    <w:rsid w:val="003918A1"/>
    <w:rsid w:val="00396898"/>
    <w:rsid w:val="003A78C0"/>
    <w:rsid w:val="003A7FC3"/>
    <w:rsid w:val="003B4E58"/>
    <w:rsid w:val="003B6F4A"/>
    <w:rsid w:val="003C655D"/>
    <w:rsid w:val="003C66E3"/>
    <w:rsid w:val="003C7246"/>
    <w:rsid w:val="003D153D"/>
    <w:rsid w:val="003D270D"/>
    <w:rsid w:val="003D2B56"/>
    <w:rsid w:val="003D2E4E"/>
    <w:rsid w:val="003D32D8"/>
    <w:rsid w:val="003D5739"/>
    <w:rsid w:val="003D6336"/>
    <w:rsid w:val="003D6B5E"/>
    <w:rsid w:val="003D75B9"/>
    <w:rsid w:val="003E6856"/>
    <w:rsid w:val="003F0B9B"/>
    <w:rsid w:val="003F212D"/>
    <w:rsid w:val="003F3496"/>
    <w:rsid w:val="003F56F4"/>
    <w:rsid w:val="003F6ED1"/>
    <w:rsid w:val="00402E7E"/>
    <w:rsid w:val="00404CC5"/>
    <w:rsid w:val="00410E8E"/>
    <w:rsid w:val="00417A45"/>
    <w:rsid w:val="00434ACE"/>
    <w:rsid w:val="00437E90"/>
    <w:rsid w:val="00444B69"/>
    <w:rsid w:val="00447FC7"/>
    <w:rsid w:val="00452A9D"/>
    <w:rsid w:val="00454B02"/>
    <w:rsid w:val="00470C78"/>
    <w:rsid w:val="004714FB"/>
    <w:rsid w:val="00475689"/>
    <w:rsid w:val="004819B0"/>
    <w:rsid w:val="00485902"/>
    <w:rsid w:val="00486277"/>
    <w:rsid w:val="0049342C"/>
    <w:rsid w:val="004A37CA"/>
    <w:rsid w:val="004A5416"/>
    <w:rsid w:val="004A5C0C"/>
    <w:rsid w:val="004A69CF"/>
    <w:rsid w:val="004B2435"/>
    <w:rsid w:val="004C2D7F"/>
    <w:rsid w:val="004C7276"/>
    <w:rsid w:val="004D3CB9"/>
    <w:rsid w:val="004E0D0F"/>
    <w:rsid w:val="004E15F8"/>
    <w:rsid w:val="004E5A05"/>
    <w:rsid w:val="004F2A8D"/>
    <w:rsid w:val="005002B4"/>
    <w:rsid w:val="005012B2"/>
    <w:rsid w:val="00505840"/>
    <w:rsid w:val="00506B40"/>
    <w:rsid w:val="00513762"/>
    <w:rsid w:val="00517725"/>
    <w:rsid w:val="00517B67"/>
    <w:rsid w:val="00517EEB"/>
    <w:rsid w:val="00531BFC"/>
    <w:rsid w:val="0054188B"/>
    <w:rsid w:val="0054454E"/>
    <w:rsid w:val="00544654"/>
    <w:rsid w:val="00544EC5"/>
    <w:rsid w:val="00547911"/>
    <w:rsid w:val="00553049"/>
    <w:rsid w:val="00561238"/>
    <w:rsid w:val="00565188"/>
    <w:rsid w:val="005705D3"/>
    <w:rsid w:val="00572D2A"/>
    <w:rsid w:val="00575DC6"/>
    <w:rsid w:val="00576BAF"/>
    <w:rsid w:val="00592C0C"/>
    <w:rsid w:val="005A6EB7"/>
    <w:rsid w:val="005B058C"/>
    <w:rsid w:val="005B6A04"/>
    <w:rsid w:val="005C1160"/>
    <w:rsid w:val="005C23ED"/>
    <w:rsid w:val="005C5A54"/>
    <w:rsid w:val="005D70A0"/>
    <w:rsid w:val="005E26EF"/>
    <w:rsid w:val="00600004"/>
    <w:rsid w:val="00631A6E"/>
    <w:rsid w:val="006328AE"/>
    <w:rsid w:val="00640F8F"/>
    <w:rsid w:val="00666CDC"/>
    <w:rsid w:val="00670134"/>
    <w:rsid w:val="006722C0"/>
    <w:rsid w:val="00680744"/>
    <w:rsid w:val="006819D3"/>
    <w:rsid w:val="00686262"/>
    <w:rsid w:val="0069066D"/>
    <w:rsid w:val="00690867"/>
    <w:rsid w:val="00690B2A"/>
    <w:rsid w:val="00693222"/>
    <w:rsid w:val="006A338E"/>
    <w:rsid w:val="006B02B5"/>
    <w:rsid w:val="006C554D"/>
    <w:rsid w:val="006D0D97"/>
    <w:rsid w:val="006D26D8"/>
    <w:rsid w:val="006D2DCB"/>
    <w:rsid w:val="006D2EB5"/>
    <w:rsid w:val="006D4D79"/>
    <w:rsid w:val="006D4E4B"/>
    <w:rsid w:val="006E4F12"/>
    <w:rsid w:val="006F5635"/>
    <w:rsid w:val="006F7EA7"/>
    <w:rsid w:val="00706A82"/>
    <w:rsid w:val="00706D2D"/>
    <w:rsid w:val="00713506"/>
    <w:rsid w:val="00716C1D"/>
    <w:rsid w:val="007247AF"/>
    <w:rsid w:val="00732448"/>
    <w:rsid w:val="00735B41"/>
    <w:rsid w:val="00737BFF"/>
    <w:rsid w:val="007410A8"/>
    <w:rsid w:val="00741FFC"/>
    <w:rsid w:val="007433EF"/>
    <w:rsid w:val="00750F61"/>
    <w:rsid w:val="0075216C"/>
    <w:rsid w:val="0076068C"/>
    <w:rsid w:val="007665C8"/>
    <w:rsid w:val="007742C1"/>
    <w:rsid w:val="00783BA9"/>
    <w:rsid w:val="0078435A"/>
    <w:rsid w:val="00785AB3"/>
    <w:rsid w:val="007860EA"/>
    <w:rsid w:val="007921B4"/>
    <w:rsid w:val="007961E3"/>
    <w:rsid w:val="007A11E9"/>
    <w:rsid w:val="007A171C"/>
    <w:rsid w:val="007B1035"/>
    <w:rsid w:val="007C1A44"/>
    <w:rsid w:val="007C41BA"/>
    <w:rsid w:val="007C7033"/>
    <w:rsid w:val="007C7814"/>
    <w:rsid w:val="007D31D3"/>
    <w:rsid w:val="007E24AE"/>
    <w:rsid w:val="007F2B51"/>
    <w:rsid w:val="00801470"/>
    <w:rsid w:val="008053EC"/>
    <w:rsid w:val="00813600"/>
    <w:rsid w:val="0082012F"/>
    <w:rsid w:val="0082152E"/>
    <w:rsid w:val="00823EF0"/>
    <w:rsid w:val="008331A3"/>
    <w:rsid w:val="00835A0D"/>
    <w:rsid w:val="008364A9"/>
    <w:rsid w:val="00842B4E"/>
    <w:rsid w:val="008639BF"/>
    <w:rsid w:val="00891E50"/>
    <w:rsid w:val="008959B9"/>
    <w:rsid w:val="008A19E4"/>
    <w:rsid w:val="008A22BF"/>
    <w:rsid w:val="008B3D48"/>
    <w:rsid w:val="008D51D3"/>
    <w:rsid w:val="008D7069"/>
    <w:rsid w:val="008E138E"/>
    <w:rsid w:val="008E275C"/>
    <w:rsid w:val="008E67C3"/>
    <w:rsid w:val="008E73AE"/>
    <w:rsid w:val="008F39AB"/>
    <w:rsid w:val="009017A6"/>
    <w:rsid w:val="00902D27"/>
    <w:rsid w:val="009076EA"/>
    <w:rsid w:val="009144E2"/>
    <w:rsid w:val="009233CB"/>
    <w:rsid w:val="00924A82"/>
    <w:rsid w:val="00925D48"/>
    <w:rsid w:val="009279DF"/>
    <w:rsid w:val="00930C3A"/>
    <w:rsid w:val="00933166"/>
    <w:rsid w:val="00936AE6"/>
    <w:rsid w:val="00943508"/>
    <w:rsid w:val="009508E1"/>
    <w:rsid w:val="009574A1"/>
    <w:rsid w:val="0096427B"/>
    <w:rsid w:val="00970D7D"/>
    <w:rsid w:val="0098508D"/>
    <w:rsid w:val="0099297A"/>
    <w:rsid w:val="009A2C95"/>
    <w:rsid w:val="009A2DF7"/>
    <w:rsid w:val="009A4CDD"/>
    <w:rsid w:val="009A755C"/>
    <w:rsid w:val="009B3208"/>
    <w:rsid w:val="009C3CE4"/>
    <w:rsid w:val="009D0209"/>
    <w:rsid w:val="009D7CB5"/>
    <w:rsid w:val="009E1D8B"/>
    <w:rsid w:val="009E61A1"/>
    <w:rsid w:val="009E73AD"/>
    <w:rsid w:val="009F0467"/>
    <w:rsid w:val="009F53CE"/>
    <w:rsid w:val="009F57B3"/>
    <w:rsid w:val="009F6BB7"/>
    <w:rsid w:val="009F6F10"/>
    <w:rsid w:val="00A1478F"/>
    <w:rsid w:val="00A22A7D"/>
    <w:rsid w:val="00A50DD0"/>
    <w:rsid w:val="00A540C3"/>
    <w:rsid w:val="00A62250"/>
    <w:rsid w:val="00A67B12"/>
    <w:rsid w:val="00A70B32"/>
    <w:rsid w:val="00A729B1"/>
    <w:rsid w:val="00A82296"/>
    <w:rsid w:val="00A947D2"/>
    <w:rsid w:val="00AA53FD"/>
    <w:rsid w:val="00AA5442"/>
    <w:rsid w:val="00AA620F"/>
    <w:rsid w:val="00AA6CDE"/>
    <w:rsid w:val="00AB2AE4"/>
    <w:rsid w:val="00AC0386"/>
    <w:rsid w:val="00AC0C77"/>
    <w:rsid w:val="00AC33C3"/>
    <w:rsid w:val="00AC3694"/>
    <w:rsid w:val="00AD7068"/>
    <w:rsid w:val="00AD78FD"/>
    <w:rsid w:val="00AE0185"/>
    <w:rsid w:val="00AE375D"/>
    <w:rsid w:val="00AE79AF"/>
    <w:rsid w:val="00B011E1"/>
    <w:rsid w:val="00B11DB6"/>
    <w:rsid w:val="00B151F9"/>
    <w:rsid w:val="00B214CA"/>
    <w:rsid w:val="00B23167"/>
    <w:rsid w:val="00B25644"/>
    <w:rsid w:val="00B320F0"/>
    <w:rsid w:val="00B42B34"/>
    <w:rsid w:val="00B4491F"/>
    <w:rsid w:val="00B50821"/>
    <w:rsid w:val="00B53908"/>
    <w:rsid w:val="00B708B8"/>
    <w:rsid w:val="00B74938"/>
    <w:rsid w:val="00B76792"/>
    <w:rsid w:val="00B85E05"/>
    <w:rsid w:val="00B95A8C"/>
    <w:rsid w:val="00B96396"/>
    <w:rsid w:val="00BA4D1C"/>
    <w:rsid w:val="00BA65E5"/>
    <w:rsid w:val="00BB23E1"/>
    <w:rsid w:val="00BB3A57"/>
    <w:rsid w:val="00BB71FF"/>
    <w:rsid w:val="00BC1110"/>
    <w:rsid w:val="00BC1741"/>
    <w:rsid w:val="00BC1B34"/>
    <w:rsid w:val="00BC2D2C"/>
    <w:rsid w:val="00BD035B"/>
    <w:rsid w:val="00BD6A2C"/>
    <w:rsid w:val="00BF0E94"/>
    <w:rsid w:val="00C04227"/>
    <w:rsid w:val="00C06FD8"/>
    <w:rsid w:val="00C0782D"/>
    <w:rsid w:val="00C0785E"/>
    <w:rsid w:val="00C10933"/>
    <w:rsid w:val="00C13883"/>
    <w:rsid w:val="00C14E14"/>
    <w:rsid w:val="00C15D5E"/>
    <w:rsid w:val="00C2685F"/>
    <w:rsid w:val="00C41409"/>
    <w:rsid w:val="00C414CD"/>
    <w:rsid w:val="00C42154"/>
    <w:rsid w:val="00C4441F"/>
    <w:rsid w:val="00C5596E"/>
    <w:rsid w:val="00C57B63"/>
    <w:rsid w:val="00C61CCE"/>
    <w:rsid w:val="00C62E5E"/>
    <w:rsid w:val="00C637AE"/>
    <w:rsid w:val="00C7129E"/>
    <w:rsid w:val="00C76581"/>
    <w:rsid w:val="00C93617"/>
    <w:rsid w:val="00C948E5"/>
    <w:rsid w:val="00CA2EAA"/>
    <w:rsid w:val="00CA539A"/>
    <w:rsid w:val="00CA65C4"/>
    <w:rsid w:val="00CA7879"/>
    <w:rsid w:val="00CB1682"/>
    <w:rsid w:val="00CB577E"/>
    <w:rsid w:val="00CB764A"/>
    <w:rsid w:val="00CC5000"/>
    <w:rsid w:val="00CC559C"/>
    <w:rsid w:val="00CC6102"/>
    <w:rsid w:val="00CC6CBC"/>
    <w:rsid w:val="00CE49B6"/>
    <w:rsid w:val="00CE5773"/>
    <w:rsid w:val="00CF07AC"/>
    <w:rsid w:val="00CF1A90"/>
    <w:rsid w:val="00CF2438"/>
    <w:rsid w:val="00CF6974"/>
    <w:rsid w:val="00CF7AFE"/>
    <w:rsid w:val="00D01FC0"/>
    <w:rsid w:val="00D061BF"/>
    <w:rsid w:val="00D064E2"/>
    <w:rsid w:val="00D079E7"/>
    <w:rsid w:val="00D12D0B"/>
    <w:rsid w:val="00D220D1"/>
    <w:rsid w:val="00D270D7"/>
    <w:rsid w:val="00D27C0C"/>
    <w:rsid w:val="00D30491"/>
    <w:rsid w:val="00D32F3C"/>
    <w:rsid w:val="00D33BDF"/>
    <w:rsid w:val="00D362DD"/>
    <w:rsid w:val="00D37869"/>
    <w:rsid w:val="00D41678"/>
    <w:rsid w:val="00D45E2F"/>
    <w:rsid w:val="00D50DF2"/>
    <w:rsid w:val="00D5174A"/>
    <w:rsid w:val="00D523CD"/>
    <w:rsid w:val="00D60E16"/>
    <w:rsid w:val="00D63BF7"/>
    <w:rsid w:val="00D7398B"/>
    <w:rsid w:val="00D771EF"/>
    <w:rsid w:val="00D819BE"/>
    <w:rsid w:val="00D9037A"/>
    <w:rsid w:val="00D92686"/>
    <w:rsid w:val="00D967D0"/>
    <w:rsid w:val="00D9787C"/>
    <w:rsid w:val="00DA41AA"/>
    <w:rsid w:val="00DB587F"/>
    <w:rsid w:val="00DB637F"/>
    <w:rsid w:val="00DC4E82"/>
    <w:rsid w:val="00DC6D89"/>
    <w:rsid w:val="00DD0378"/>
    <w:rsid w:val="00DD04FE"/>
    <w:rsid w:val="00DD34CE"/>
    <w:rsid w:val="00DD35E1"/>
    <w:rsid w:val="00DF0D08"/>
    <w:rsid w:val="00DF1D80"/>
    <w:rsid w:val="00DF465E"/>
    <w:rsid w:val="00E03B0F"/>
    <w:rsid w:val="00E1184B"/>
    <w:rsid w:val="00E12845"/>
    <w:rsid w:val="00E1428C"/>
    <w:rsid w:val="00E14CF2"/>
    <w:rsid w:val="00E16C87"/>
    <w:rsid w:val="00E236EE"/>
    <w:rsid w:val="00E23C2C"/>
    <w:rsid w:val="00E24AC0"/>
    <w:rsid w:val="00E2606C"/>
    <w:rsid w:val="00E26406"/>
    <w:rsid w:val="00E357CE"/>
    <w:rsid w:val="00E41E09"/>
    <w:rsid w:val="00E443F7"/>
    <w:rsid w:val="00E45514"/>
    <w:rsid w:val="00E57245"/>
    <w:rsid w:val="00E60832"/>
    <w:rsid w:val="00E60C9B"/>
    <w:rsid w:val="00E65BED"/>
    <w:rsid w:val="00E67130"/>
    <w:rsid w:val="00E74956"/>
    <w:rsid w:val="00E77B5D"/>
    <w:rsid w:val="00E80AFF"/>
    <w:rsid w:val="00E8176A"/>
    <w:rsid w:val="00E83196"/>
    <w:rsid w:val="00E85CF8"/>
    <w:rsid w:val="00E93C19"/>
    <w:rsid w:val="00E964CA"/>
    <w:rsid w:val="00EB2373"/>
    <w:rsid w:val="00ED2C01"/>
    <w:rsid w:val="00EE0363"/>
    <w:rsid w:val="00EE2558"/>
    <w:rsid w:val="00EE47C3"/>
    <w:rsid w:val="00F15017"/>
    <w:rsid w:val="00F217E4"/>
    <w:rsid w:val="00F23E37"/>
    <w:rsid w:val="00F2689D"/>
    <w:rsid w:val="00F32810"/>
    <w:rsid w:val="00F3575D"/>
    <w:rsid w:val="00F4121F"/>
    <w:rsid w:val="00F467BA"/>
    <w:rsid w:val="00F51436"/>
    <w:rsid w:val="00F53107"/>
    <w:rsid w:val="00F55EA1"/>
    <w:rsid w:val="00F61D76"/>
    <w:rsid w:val="00F93306"/>
    <w:rsid w:val="00FA1DEB"/>
    <w:rsid w:val="00FB015F"/>
    <w:rsid w:val="00FB30F4"/>
    <w:rsid w:val="00FB3EC9"/>
    <w:rsid w:val="00FB4E9E"/>
    <w:rsid w:val="00FB6136"/>
    <w:rsid w:val="00FB6B71"/>
    <w:rsid w:val="00FC4611"/>
    <w:rsid w:val="00FC4E57"/>
    <w:rsid w:val="00FC556D"/>
    <w:rsid w:val="00FC728C"/>
    <w:rsid w:val="00FD38FF"/>
    <w:rsid w:val="00FD3EE1"/>
    <w:rsid w:val="00FD6818"/>
    <w:rsid w:val="00FE11A4"/>
    <w:rsid w:val="00FE2E1A"/>
    <w:rsid w:val="00FF3844"/>
    <w:rsid w:val="00FF3F97"/>
    <w:rsid w:val="00FF559C"/>
    <w:rsid w:val="00FF7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31EB8"/>
  <w15:docId w15:val="{B53CA771-9660-44C9-A3A6-3C576971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nhideWhenUsed="1"/>
    <w:lsdException w:name="footer" w:locked="0" w:unhideWhenUsed="1"/>
    <w:lsdException w:name="index heading" w:locked="0" w:semiHidden="1"/>
    <w:lsdException w:name="caption" w:locked="0" w:uiPriority="35" w:unhideWhenUsed="1" w:qFormat="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9E73AD"/>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B320F0"/>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B96396"/>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925D48"/>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925D48"/>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925D48"/>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C7246"/>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rPr>
  </w:style>
  <w:style w:type="paragraph" w:styleId="ListBullet">
    <w:name w:val="List Bullet"/>
    <w:basedOn w:val="Normal"/>
    <w:uiPriority w:val="4"/>
    <w:qFormat/>
    <w:rsid w:val="005002B4"/>
    <w:pPr>
      <w:numPr>
        <w:numId w:val="23"/>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6E4F12"/>
    <w:pPr>
      <w:numPr>
        <w:numId w:val="4"/>
      </w:numPr>
    </w:pPr>
  </w:style>
  <w:style w:type="paragraph" w:styleId="ListBullet2">
    <w:name w:val="List Bullet 2"/>
    <w:basedOn w:val="Normal"/>
    <w:uiPriority w:val="4"/>
    <w:qFormat/>
    <w:rsid w:val="005002B4"/>
    <w:pPr>
      <w:numPr>
        <w:ilvl w:val="1"/>
        <w:numId w:val="23"/>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5002B4"/>
    <w:pPr>
      <w:numPr>
        <w:ilvl w:val="2"/>
        <w:numId w:val="23"/>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0419F4"/>
    <w:pPr>
      <w:numPr>
        <w:numId w:val="5"/>
      </w:numPr>
    </w:pPr>
  </w:style>
  <w:style w:type="paragraph" w:styleId="ListNumber2">
    <w:name w:val="List Number 2"/>
    <w:basedOn w:val="Normal"/>
    <w:uiPriority w:val="5"/>
    <w:qFormat/>
    <w:rsid w:val="005002B4"/>
    <w:pPr>
      <w:numPr>
        <w:ilvl w:val="1"/>
        <w:numId w:val="10"/>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5002B4"/>
    <w:pPr>
      <w:numPr>
        <w:ilvl w:val="2"/>
        <w:numId w:val="10"/>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5002B4"/>
    <w:pPr>
      <w:numPr>
        <w:numId w:val="10"/>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82152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82152E"/>
    <w:pPr>
      <w:numPr>
        <w:numId w:val="28"/>
      </w:numPr>
      <w:spacing w:before="80" w:after="80"/>
    </w:pPr>
    <w:rPr>
      <w:rFonts w:eastAsia="Times New Roman" w:cs="Times New Roman"/>
      <w:bCs/>
      <w:sz w:val="20"/>
      <w:szCs w:val="24"/>
      <w:lang w:eastAsia="en-GB"/>
    </w:rPr>
  </w:style>
  <w:style w:type="numbering" w:customStyle="1" w:styleId="TableListBulletmaster">
    <w:name w:val="Table List Bullet (master)"/>
    <w:rsid w:val="00CF6974"/>
    <w:pPr>
      <w:numPr>
        <w:numId w:val="6"/>
      </w:numPr>
    </w:pPr>
  </w:style>
  <w:style w:type="paragraph" w:customStyle="1" w:styleId="TableListBullet2">
    <w:name w:val="Table List Bullet 2"/>
    <w:basedOn w:val="TableListBullet"/>
    <w:uiPriority w:val="15"/>
    <w:qFormat/>
    <w:rsid w:val="00544654"/>
    <w:pPr>
      <w:numPr>
        <w:ilvl w:val="1"/>
      </w:numPr>
      <w:ind w:left="568" w:hanging="284"/>
    </w:pPr>
  </w:style>
  <w:style w:type="paragraph" w:customStyle="1" w:styleId="TableListNumber">
    <w:name w:val="Table List Number"/>
    <w:basedOn w:val="Normal"/>
    <w:uiPriority w:val="15"/>
    <w:qFormat/>
    <w:rsid w:val="0082152E"/>
    <w:pPr>
      <w:numPr>
        <w:numId w:val="29"/>
      </w:numPr>
      <w:spacing w:before="80" w:after="80"/>
    </w:pPr>
    <w:rPr>
      <w:rFonts w:eastAsia="Times New Roman" w:cs="Times New Roman"/>
      <w:bCs/>
      <w:sz w:val="20"/>
      <w:szCs w:val="24"/>
      <w:lang w:eastAsia="en-GB"/>
    </w:rPr>
  </w:style>
  <w:style w:type="numbering" w:customStyle="1" w:styleId="TableListNumbermaster">
    <w:name w:val="Table List Number (master)"/>
    <w:rsid w:val="00CF6974"/>
    <w:pPr>
      <w:numPr>
        <w:numId w:val="7"/>
      </w:numPr>
    </w:pPr>
  </w:style>
  <w:style w:type="paragraph" w:customStyle="1" w:styleId="TableListNumber2">
    <w:name w:val="Table List Number 2"/>
    <w:basedOn w:val="TableListNumber"/>
    <w:uiPriority w:val="15"/>
    <w:qFormat/>
    <w:rsid w:val="0082152E"/>
    <w:pPr>
      <w:numPr>
        <w:ilvl w:val="1"/>
      </w:numPr>
      <w:ind w:left="568" w:hanging="284"/>
    </w:pPr>
  </w:style>
  <w:style w:type="paragraph" w:customStyle="1" w:styleId="TableBodyText">
    <w:name w:val="Table Body Text"/>
    <w:basedOn w:val="Normal"/>
    <w:uiPriority w:val="14"/>
    <w:qFormat/>
    <w:rsid w:val="0082152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544654"/>
    <w:pPr>
      <w:spacing w:before="20" w:after="20"/>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paragraph" w:styleId="ListParagraph">
    <w:name w:val="List Paragraph"/>
    <w:basedOn w:val="Normal"/>
    <w:uiPriority w:val="34"/>
    <w:qFormat/>
    <w:rsid w:val="0023754A"/>
    <w:pPr>
      <w:ind w:left="720"/>
      <w:contextualSpacing/>
    </w:pPr>
  </w:style>
  <w:style w:type="character" w:customStyle="1" w:styleId="Heading1Char">
    <w:name w:val="Heading 1 Char"/>
    <w:basedOn w:val="DefaultParagraphFont"/>
    <w:link w:val="Heading1"/>
    <w:uiPriority w:val="9"/>
    <w:rsid w:val="00B320F0"/>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B96396"/>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925D48"/>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925D48"/>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925D48"/>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9279DF"/>
    <w:pPr>
      <w:keepNext w:val="0"/>
      <w:numPr>
        <w:numId w:val="32"/>
      </w:numPr>
      <w:tabs>
        <w:tab w:val="left" w:pos="2268"/>
      </w:tabs>
      <w:suppressAutoHyphens/>
      <w:spacing w:after="800"/>
      <w:ind w:left="3402" w:hanging="3402"/>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qFormat/>
    <w:rsid w:val="00E77B5D"/>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E77B5D"/>
    <w:rPr>
      <w:rFonts w:ascii="Arial" w:hAnsi="Arial"/>
      <w:sz w:val="22"/>
      <w:lang w:val="en-AU"/>
    </w:rPr>
  </w:style>
  <w:style w:type="paragraph" w:customStyle="1" w:styleId="AppendixHeading2">
    <w:name w:val="Appendix Heading 2"/>
    <w:basedOn w:val="AppendixHeading1"/>
    <w:next w:val="BodyText"/>
    <w:uiPriority w:val="11"/>
    <w:qFormat/>
    <w:rsid w:val="00281D65"/>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0419F4"/>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127F9F"/>
    <w:pPr>
      <w:spacing w:after="0"/>
    </w:pPr>
  </w:style>
  <w:style w:type="numbering" w:customStyle="1" w:styleId="Headingsmaster">
    <w:name w:val="Headings (master)"/>
    <w:uiPriority w:val="99"/>
    <w:rsid w:val="00E26406"/>
    <w:pPr>
      <w:numPr>
        <w:numId w:val="3"/>
      </w:numPr>
    </w:pPr>
  </w:style>
  <w:style w:type="paragraph" w:customStyle="1" w:styleId="Image">
    <w:name w:val="Image"/>
    <w:basedOn w:val="Normal"/>
    <w:next w:val="BodyText"/>
    <w:uiPriority w:val="19"/>
    <w:qFormat/>
    <w:rsid w:val="00891E50"/>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qFormat/>
    <w:rsid w:val="002B3BCD"/>
    <w:pPr>
      <w:spacing w:line="200" w:lineRule="atLeast"/>
    </w:pPr>
    <w:rPr>
      <w:sz w:val="17"/>
    </w:rPr>
  </w:style>
  <w:style w:type="paragraph" w:customStyle="1" w:styleId="TableBodyTextright">
    <w:name w:val="Table Body Text (right)"/>
    <w:basedOn w:val="TableBodyText"/>
    <w:uiPriority w:val="14"/>
    <w:qFormat/>
    <w:rsid w:val="0082152E"/>
    <w:pPr>
      <w:jc w:val="right"/>
    </w:pPr>
  </w:style>
  <w:style w:type="table" w:styleId="TableGrid">
    <w:name w:val="Table Grid"/>
    <w:basedOn w:val="TableNormal"/>
    <w:uiPriority w:val="59"/>
    <w:locked/>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B96396"/>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B96396"/>
    <w:rPr>
      <w:rFonts w:ascii="Arial" w:hAnsi="Arial"/>
      <w:i/>
      <w:iCs/>
      <w:color w:val="0F2532"/>
      <w:sz w:val="22"/>
      <w:lang w:val="en-AU"/>
    </w:rPr>
  </w:style>
  <w:style w:type="paragraph" w:styleId="Header">
    <w:name w:val="header"/>
    <w:basedOn w:val="Normal"/>
    <w:link w:val="HeaderChar"/>
    <w:uiPriority w:val="99"/>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99"/>
    <w:rsid w:val="003F3496"/>
    <w:rPr>
      <w:rFonts w:ascii="Arial" w:hAnsi="Arial"/>
      <w:sz w:val="16"/>
      <w:lang w:val="en-AU"/>
    </w:rPr>
  </w:style>
  <w:style w:type="paragraph" w:styleId="Footer">
    <w:name w:val="footer"/>
    <w:basedOn w:val="Normal"/>
    <w:link w:val="FooterChar"/>
    <w:uiPriority w:val="24"/>
    <w:semiHidden/>
    <w:rsid w:val="004714FB"/>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3496"/>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835A0D"/>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835A0D"/>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0803B6"/>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0803B6"/>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D2B56"/>
    <w:pPr>
      <w:numPr>
        <w:numId w:val="9"/>
      </w:numPr>
    </w:pPr>
  </w:style>
  <w:style w:type="paragraph" w:styleId="TOCHeading">
    <w:name w:val="TOC Heading"/>
    <w:basedOn w:val="Heading1"/>
    <w:next w:val="Normal"/>
    <w:uiPriority w:val="24"/>
    <w:rsid w:val="00F55EA1"/>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7665C8"/>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7665C8"/>
    <w:pPr>
      <w:tabs>
        <w:tab w:val="right" w:leader="dot" w:pos="9017"/>
      </w:tabs>
      <w:spacing w:after="100" w:line="276" w:lineRule="auto"/>
      <w:ind w:right="851"/>
    </w:pPr>
    <w:rPr>
      <w:b/>
    </w:rPr>
  </w:style>
  <w:style w:type="character" w:styleId="Hyperlink">
    <w:name w:val="Hyperlink"/>
    <w:basedOn w:val="DefaultParagraphFont"/>
    <w:uiPriority w:val="99"/>
    <w:qFormat/>
    <w:rsid w:val="003E6856"/>
    <w:rPr>
      <w:color w:val="215E9E"/>
      <w:u w:val="single"/>
    </w:rPr>
  </w:style>
  <w:style w:type="paragraph" w:styleId="TOC3">
    <w:name w:val="toc 3"/>
    <w:basedOn w:val="Normal"/>
    <w:next w:val="Normal"/>
    <w:autoRedefine/>
    <w:uiPriority w:val="39"/>
    <w:rsid w:val="007665C8"/>
    <w:pPr>
      <w:tabs>
        <w:tab w:val="right" w:leader="dot" w:pos="9017"/>
      </w:tabs>
      <w:spacing w:after="100" w:line="276" w:lineRule="auto"/>
      <w:ind w:right="851"/>
    </w:pPr>
  </w:style>
  <w:style w:type="paragraph" w:styleId="Caption">
    <w:name w:val="caption"/>
    <w:basedOn w:val="Normal"/>
    <w:next w:val="BodyText"/>
    <w:uiPriority w:val="35"/>
    <w:qFormat/>
    <w:rsid w:val="00783BA9"/>
    <w:pPr>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291313"/>
    <w:pPr>
      <w:numPr>
        <w:numId w:val="20"/>
      </w:numPr>
    </w:pPr>
  </w:style>
  <w:style w:type="numbering" w:customStyle="1" w:styleId="ListLegalmaster">
    <w:name w:val="List Legal (master)"/>
    <w:uiPriority w:val="99"/>
    <w:rsid w:val="00291313"/>
    <w:pPr>
      <w:numPr>
        <w:numId w:val="13"/>
      </w:numPr>
    </w:pPr>
  </w:style>
  <w:style w:type="paragraph" w:customStyle="1" w:styleId="ListLegal2">
    <w:name w:val="List Legal 2"/>
    <w:basedOn w:val="ListNumber2"/>
    <w:uiPriority w:val="8"/>
    <w:semiHidden/>
    <w:qFormat/>
    <w:rsid w:val="00291313"/>
    <w:pPr>
      <w:numPr>
        <w:numId w:val="20"/>
      </w:numPr>
      <w:tabs>
        <w:tab w:val="left" w:pos="1077"/>
      </w:tabs>
    </w:pPr>
  </w:style>
  <w:style w:type="paragraph" w:customStyle="1" w:styleId="ListLegal3">
    <w:name w:val="List Legal 3"/>
    <w:basedOn w:val="ListLegal2"/>
    <w:uiPriority w:val="8"/>
    <w:semiHidden/>
    <w:qFormat/>
    <w:rsid w:val="00291313"/>
    <w:pPr>
      <w:numPr>
        <w:ilvl w:val="2"/>
      </w:numPr>
      <w:tabs>
        <w:tab w:val="clear" w:pos="1077"/>
        <w:tab w:val="left" w:pos="1435"/>
      </w:tabs>
    </w:pPr>
  </w:style>
  <w:style w:type="paragraph" w:customStyle="1" w:styleId="DocumentDetails">
    <w:name w:val="Document Details"/>
    <w:basedOn w:val="Normal"/>
    <w:next w:val="BodyText"/>
    <w:uiPriority w:val="24"/>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39"/>
    <w:semiHidden/>
    <w:rsid w:val="00891E50"/>
    <w:pPr>
      <w:spacing w:after="100" w:line="276" w:lineRule="auto"/>
      <w:ind w:right="851"/>
    </w:pPr>
  </w:style>
  <w:style w:type="paragraph" w:customStyle="1" w:styleId="BodyTextindent">
    <w:name w:val="Body Text (indent)"/>
    <w:basedOn w:val="BodyText"/>
    <w:semiHidden/>
    <w:qFormat/>
    <w:rsid w:val="00010BC1"/>
    <w:pPr>
      <w:ind w:left="357"/>
    </w:pPr>
  </w:style>
  <w:style w:type="paragraph" w:customStyle="1" w:styleId="BodyTextindent2">
    <w:name w:val="Body Text (indent 2)"/>
    <w:basedOn w:val="BodyText"/>
    <w:uiPriority w:val="1"/>
    <w:semiHidden/>
    <w:qFormat/>
    <w:rsid w:val="001C4183"/>
    <w:pPr>
      <w:ind w:left="714"/>
    </w:pPr>
  </w:style>
  <w:style w:type="paragraph" w:customStyle="1" w:styleId="BodyTextindent3">
    <w:name w:val="Body Text (indent 3)"/>
    <w:basedOn w:val="BodyText"/>
    <w:uiPriority w:val="1"/>
    <w:semiHidden/>
    <w:qFormat/>
    <w:rsid w:val="001C4183"/>
    <w:pPr>
      <w:ind w:left="1077"/>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spacing w:before="120" w:after="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rsid w:val="00D92686"/>
    <w:pPr>
      <w:tabs>
        <w:tab w:val="left" w:pos="1418"/>
      </w:tabs>
    </w:pPr>
    <w:rPr>
      <w:noProof/>
    </w:rPr>
  </w:style>
  <w:style w:type="paragraph" w:customStyle="1" w:styleId="BodyTextindent4">
    <w:name w:val="Body Text (indent 4)"/>
    <w:basedOn w:val="BodyText"/>
    <w:uiPriority w:val="1"/>
    <w:semiHidden/>
    <w:qFormat/>
    <w:rsid w:val="00291313"/>
    <w:pPr>
      <w:ind w:left="1435"/>
    </w:pPr>
  </w:style>
  <w:style w:type="paragraph" w:styleId="FootnoteText">
    <w:name w:val="footnote text"/>
    <w:basedOn w:val="Normal"/>
    <w:link w:val="FootnoteTextChar"/>
    <w:uiPriority w:val="99"/>
    <w:rsid w:val="00E23C2C"/>
    <w:pPr>
      <w:spacing w:before="0" w:after="80"/>
      <w:ind w:left="113" w:hanging="113"/>
    </w:pPr>
    <w:rPr>
      <w:sz w:val="18"/>
    </w:rPr>
  </w:style>
  <w:style w:type="character" w:customStyle="1" w:styleId="FootnoteTextChar">
    <w:name w:val="Footnote Text Char"/>
    <w:basedOn w:val="DefaultParagraphFont"/>
    <w:link w:val="FootnoteText"/>
    <w:uiPriority w:val="99"/>
    <w:rsid w:val="00E23C2C"/>
    <w:rPr>
      <w:rFonts w:ascii="Arial" w:hAnsi="Arial"/>
      <w:sz w:val="18"/>
      <w:lang w:val="en-AU"/>
    </w:rPr>
  </w:style>
  <w:style w:type="character" w:styleId="FootnoteReference">
    <w:name w:val="footnote reference"/>
    <w:aliases w:val="FC,(NECG) Footnote Reference,Footnote sign,Footnote sign1,EN Footnote Reference,number,SUPERS"/>
    <w:basedOn w:val="DefaultParagraphFont"/>
    <w:uiPriority w:val="99"/>
    <w:rsid w:val="00600004"/>
    <w:rPr>
      <w:vertAlign w:val="superscript"/>
    </w:rPr>
  </w:style>
  <w:style w:type="table" w:customStyle="1" w:styleId="CustomTableoption1">
    <w:name w:val="Custom Table (option 1)"/>
    <w:basedOn w:val="TableNormal"/>
    <w:uiPriority w:val="99"/>
    <w:rsid w:val="001646CD"/>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1646CD"/>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A1478F"/>
    <w:pPr>
      <w:spacing w:after="6000"/>
    </w:pPr>
    <w:rPr>
      <w:sz w:val="96"/>
    </w:rPr>
  </w:style>
  <w:style w:type="table" w:customStyle="1" w:styleId="CustomTableplaceholder">
    <w:name w:val="Custom Table (placeholder)"/>
    <w:basedOn w:val="TableNormal"/>
    <w:uiPriority w:val="99"/>
    <w:rsid w:val="007C1A44"/>
    <w:pPr>
      <w:spacing w:after="0" w:line="240" w:lineRule="auto"/>
    </w:pPr>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544EC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137E20"/>
    <w:rPr>
      <w:b/>
      <w:i/>
    </w:rPr>
  </w:style>
  <w:style w:type="table" w:styleId="PlainTable4">
    <w:name w:val="Plain Table 4"/>
    <w:basedOn w:val="TableNormal"/>
    <w:uiPriority w:val="44"/>
    <w:locked/>
    <w:rsid w:val="00F23E37"/>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41E09"/>
    <w:rPr>
      <w:color w:val="605E5C"/>
      <w:shd w:val="clear" w:color="auto" w:fill="E1DFDD"/>
    </w:rPr>
  </w:style>
  <w:style w:type="table" w:customStyle="1" w:styleId="CustomTablestandard">
    <w:name w:val="Custom Table (standard)"/>
    <w:basedOn w:val="TableNormal"/>
    <w:uiPriority w:val="99"/>
    <w:locked/>
    <w:rsid w:val="00DD34C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7A171C"/>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6819D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5D70A0"/>
    <w:pPr>
      <w:jc w:val="center"/>
    </w:pPr>
    <w:rPr>
      <w:color w:val="FFFFFF" w:themeColor="background1"/>
    </w:rPr>
  </w:style>
  <w:style w:type="paragraph" w:customStyle="1" w:styleId="TableHeading1right">
    <w:name w:val="Table Heading 1 (right)"/>
    <w:basedOn w:val="TableHeading1"/>
    <w:uiPriority w:val="13"/>
    <w:qFormat/>
    <w:rsid w:val="005D70A0"/>
    <w:pPr>
      <w:jc w:val="right"/>
    </w:pPr>
    <w:rPr>
      <w:color w:val="FFFFFF" w:themeColor="background1"/>
    </w:rPr>
  </w:style>
  <w:style w:type="paragraph" w:customStyle="1" w:styleId="TableBodyTextcentre">
    <w:name w:val="Table Body Text (centre)"/>
    <w:basedOn w:val="TableBodyText"/>
    <w:uiPriority w:val="14"/>
    <w:qFormat/>
    <w:rsid w:val="005D70A0"/>
    <w:pPr>
      <w:jc w:val="center"/>
    </w:pPr>
  </w:style>
  <w:style w:type="character" w:customStyle="1" w:styleId="Heading6Char">
    <w:name w:val="Heading 6 Char"/>
    <w:basedOn w:val="DefaultParagraphFont"/>
    <w:link w:val="Heading6"/>
    <w:uiPriority w:val="9"/>
    <w:semiHidden/>
    <w:rsid w:val="0082152E"/>
    <w:rPr>
      <w:rFonts w:ascii="Arial" w:eastAsiaTheme="majorEastAsia" w:hAnsi="Arial" w:cstheme="majorBidi"/>
      <w:color w:val="4B0885"/>
      <w:sz w:val="19"/>
      <w:lang w:val="en-AU"/>
    </w:rPr>
  </w:style>
  <w:style w:type="paragraph" w:customStyle="1" w:styleId="Quotelarge">
    <w:name w:val="Quote (large)"/>
    <w:basedOn w:val="Quote"/>
    <w:uiPriority w:val="18"/>
    <w:qFormat/>
    <w:rsid w:val="00B74938"/>
    <w:rPr>
      <w:color w:val="4B0885"/>
      <w:sz w:val="28"/>
    </w:rPr>
  </w:style>
  <w:style w:type="paragraph" w:customStyle="1" w:styleId="BoxHeading">
    <w:name w:val="Box Heading"/>
    <w:basedOn w:val="BodyText"/>
    <w:uiPriority w:val="16"/>
    <w:qFormat/>
    <w:rsid w:val="00B96396"/>
    <w:pPr>
      <w:keepNext/>
    </w:pPr>
    <w:rPr>
      <w:b/>
      <w:color w:val="2F005F"/>
      <w:sz w:val="23"/>
      <w:lang w:eastAsia="en-GB"/>
    </w:rPr>
  </w:style>
  <w:style w:type="table" w:customStyle="1" w:styleId="CustomTablepulloutbox2">
    <w:name w:val="Custom Table (pullout box 2)"/>
    <w:basedOn w:val="CustomTablepulloutbox"/>
    <w:uiPriority w:val="99"/>
    <w:rsid w:val="00F4121F"/>
    <w:tblPr/>
    <w:tcPr>
      <w:shd w:val="clear" w:color="auto" w:fill="E0D1F5"/>
    </w:tcPr>
  </w:style>
  <w:style w:type="paragraph" w:customStyle="1" w:styleId="Bodycopy">
    <w:name w:val="Body copy"/>
    <w:basedOn w:val="Normal"/>
    <w:link w:val="BodycopyChar"/>
    <w:qFormat/>
    <w:rsid w:val="00C42154"/>
    <w:pPr>
      <w:spacing w:before="0" w:after="160" w:line="259" w:lineRule="auto"/>
    </w:pPr>
    <w:rPr>
      <w:color w:val="000000" w:themeColor="text1"/>
      <w:szCs w:val="22"/>
    </w:rPr>
  </w:style>
  <w:style w:type="character" w:customStyle="1" w:styleId="BodycopyChar">
    <w:name w:val="Body copy Char"/>
    <w:basedOn w:val="DefaultParagraphFont"/>
    <w:link w:val="Bodycopy"/>
    <w:rsid w:val="00C42154"/>
    <w:rPr>
      <w:rFonts w:ascii="Arial" w:hAnsi="Arial"/>
      <w:color w:val="000000" w:themeColor="text1"/>
      <w:sz w:val="22"/>
      <w:szCs w:val="22"/>
      <w:lang w:val="en-AU"/>
    </w:rPr>
  </w:style>
  <w:style w:type="table" w:customStyle="1" w:styleId="PlainTable41">
    <w:name w:val="Plain Table 41"/>
    <w:basedOn w:val="TableNormal"/>
    <w:next w:val="PlainTable4"/>
    <w:uiPriority w:val="44"/>
    <w:rsid w:val="00437E90"/>
    <w:pPr>
      <w:spacing w:after="0" w:line="240" w:lineRule="auto"/>
    </w:pPr>
    <w:rPr>
      <w:rFonts w:ascii="Arial" w:eastAsia="Arial" w:hAnsi="Arial" w:cs="Times New Roman"/>
      <w:sz w:val="22"/>
      <w:szCs w:val="22"/>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on">
    <w:name w:val="Revision"/>
    <w:hidden/>
    <w:uiPriority w:val="99"/>
    <w:semiHidden/>
    <w:rsid w:val="00D7398B"/>
    <w:pPr>
      <w:spacing w:after="0" w:line="240" w:lineRule="auto"/>
    </w:pPr>
    <w:rPr>
      <w:rFonts w:ascii="Arial" w:hAnsi="Arial"/>
      <w:sz w:val="22"/>
      <w:lang w:val="en-AU"/>
    </w:rPr>
  </w:style>
  <w:style w:type="character" w:styleId="CommentReference">
    <w:name w:val="annotation reference"/>
    <w:basedOn w:val="DefaultParagraphFont"/>
    <w:uiPriority w:val="99"/>
    <w:semiHidden/>
    <w:rsid w:val="003C66E3"/>
    <w:rPr>
      <w:sz w:val="16"/>
      <w:szCs w:val="16"/>
    </w:rPr>
  </w:style>
  <w:style w:type="paragraph" w:styleId="CommentText">
    <w:name w:val="annotation text"/>
    <w:basedOn w:val="Normal"/>
    <w:link w:val="CommentTextChar"/>
    <w:uiPriority w:val="99"/>
    <w:semiHidden/>
    <w:rsid w:val="003C66E3"/>
    <w:rPr>
      <w:sz w:val="20"/>
    </w:rPr>
  </w:style>
  <w:style w:type="character" w:customStyle="1" w:styleId="CommentTextChar">
    <w:name w:val="Comment Text Char"/>
    <w:basedOn w:val="DefaultParagraphFont"/>
    <w:link w:val="CommentText"/>
    <w:uiPriority w:val="99"/>
    <w:semiHidden/>
    <w:rsid w:val="003C66E3"/>
    <w:rPr>
      <w:rFonts w:ascii="Arial" w:hAnsi="Arial"/>
      <w:lang w:val="en-AU"/>
    </w:rPr>
  </w:style>
  <w:style w:type="paragraph" w:styleId="CommentSubject">
    <w:name w:val="annotation subject"/>
    <w:basedOn w:val="CommentText"/>
    <w:next w:val="CommentText"/>
    <w:link w:val="CommentSubjectChar"/>
    <w:uiPriority w:val="99"/>
    <w:semiHidden/>
    <w:rsid w:val="003C66E3"/>
    <w:rPr>
      <w:b/>
      <w:bCs/>
    </w:rPr>
  </w:style>
  <w:style w:type="character" w:customStyle="1" w:styleId="CommentSubjectChar">
    <w:name w:val="Comment Subject Char"/>
    <w:basedOn w:val="CommentTextChar"/>
    <w:link w:val="CommentSubject"/>
    <w:uiPriority w:val="99"/>
    <w:semiHidden/>
    <w:rsid w:val="003C66E3"/>
    <w:rPr>
      <w:rFonts w:ascii="Arial" w:hAnsi="Arial"/>
      <w:b/>
      <w:b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hyperlink" Target="mailto:RegionalWorkforceAssessment@jobsandskills.gov.au"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image" Target="media/image9.png"/><Relationship Id="rId33" Type="http://schemas.openxmlformats.org/officeDocument/2006/relationships/hyperlink" Target="https://www.jobsandskills.gov.au/data/regional-labour-market-indicator"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hyperlink" Target="https://www.jobsandskills.gov.au/data/total-new-vacan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www.jobsandskills.gov.au/publications/occupation-shortage-report-march-20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https://sharedservicescentre.sharepoint.com/sites/JSA-Intranet/Files/Resource%20Library/JSA%20Templates/JSA%20Regular%20Report%20Template.dotx?OR=81dd2b71-fb82-4b33-ac71-fed46bf0f87a&amp;CID=4a6a30a2-609e-8000-5343-fd63fc7a3800&amp;CT=178651297021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DD1E727BF5457F9DBBDA31FDF8FA0C"/>
        <w:category>
          <w:name w:val="General"/>
          <w:gallery w:val="placeholder"/>
        </w:category>
        <w:types>
          <w:type w:val="bbPlcHdr"/>
        </w:types>
        <w:behaviors>
          <w:behavior w:val="content"/>
        </w:behaviors>
        <w:guid w:val="{FB87CEAF-EA53-4DD5-9390-F8C6B0721AFD}"/>
      </w:docPartPr>
      <w:docPartBody>
        <w:p w:rsidR="004E13D1" w:rsidRDefault="004E13D1">
          <w:pPr>
            <w:pStyle w:val="8BDD1E727BF5457F9DBBDA31FDF8FA0C"/>
          </w:pPr>
          <w:r w:rsidRPr="004C16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Narrow">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3D1"/>
    <w:rsid w:val="0000026B"/>
    <w:rsid w:val="000326E7"/>
    <w:rsid w:val="000B2F76"/>
    <w:rsid w:val="002760CE"/>
    <w:rsid w:val="0035567F"/>
    <w:rsid w:val="004E13D1"/>
    <w:rsid w:val="0082012F"/>
    <w:rsid w:val="009050B9"/>
    <w:rsid w:val="00AD4ABB"/>
    <w:rsid w:val="00B902D6"/>
    <w:rsid w:val="00BD035B"/>
    <w:rsid w:val="00C048A8"/>
    <w:rsid w:val="00CF010B"/>
    <w:rsid w:val="00E14CF2"/>
    <w:rsid w:val="00F00B56"/>
    <w:rsid w:val="00F61D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C00000"/>
    </w:rPr>
  </w:style>
  <w:style w:type="paragraph" w:customStyle="1" w:styleId="8BDD1E727BF5457F9DBBDA31FDF8FA0C">
    <w:name w:val="8BDD1E727BF5457F9DBBDA31FDF8F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7676d7-0581-4ea8-b31a-49d927508dd8">
      <Terms xmlns="http://schemas.microsoft.com/office/infopath/2007/PartnerControls"/>
    </lcf76f155ced4ddcb4097134ff3c332f>
    <TaxCatchAll xmlns="ce9780f4-bea7-4f53-9f8f-abfcb010f713" xsi:nil="true"/>
    <PageTag xmlns="877676d7-0581-4ea8-b31a-49d927508dd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9213681387C94D9B92267598DFD251" ma:contentTypeVersion="15" ma:contentTypeDescription="Create a new document." ma:contentTypeScope="" ma:versionID="ed87569a31106c7e392e533f4fdf1193">
  <xsd:schema xmlns:xsd="http://www.w3.org/2001/XMLSchema" xmlns:xs="http://www.w3.org/2001/XMLSchema" xmlns:p="http://schemas.microsoft.com/office/2006/metadata/properties" xmlns:ns2="877676d7-0581-4ea8-b31a-49d927508dd8" xmlns:ns3="ce9780f4-bea7-4f53-9f8f-abfcb010f713" targetNamespace="http://schemas.microsoft.com/office/2006/metadata/properties" ma:root="true" ma:fieldsID="69e5bbc7c8188ce232590447de367451" ns2:_="" ns3:_="">
    <xsd:import namespace="877676d7-0581-4ea8-b31a-49d927508dd8"/>
    <xsd:import namespace="ce9780f4-bea7-4f53-9f8f-abfcb010f7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Page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76d7-0581-4ea8-b31a-49d927508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geTag" ma:index="22" nillable="true" ma:displayName="PageTag" ma:format="Dropdown" ma:internalName="PageTa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9780f4-bea7-4f53-9f8f-abfcb010f71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49ef7d6-956c-4980-95bf-28d773b62d06}" ma:internalName="TaxCatchAll" ma:showField="CatchAllData" ma:web="ce9780f4-bea7-4f53-9f8f-abfcb010f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5A4668-93F0-4A51-9EF3-DA6E28784F8C}">
  <ds:schemaRefs>
    <ds:schemaRef ds:uri="http://schemas.microsoft.com/sharepoint/v3/contenttype/forms"/>
  </ds:schemaRefs>
</ds:datastoreItem>
</file>

<file path=customXml/itemProps2.xml><?xml version="1.0" encoding="utf-8"?>
<ds:datastoreItem xmlns:ds="http://schemas.openxmlformats.org/officeDocument/2006/customXml" ds:itemID="{5A182D10-4BE8-46F5-AB3D-A190D07974C1}">
  <ds:schemaRefs>
    <ds:schemaRef ds:uri="http://schemas.microsoft.com/office/2006/metadata/properties"/>
    <ds:schemaRef ds:uri="http://schemas.microsoft.com/office/infopath/2007/PartnerControls"/>
    <ds:schemaRef ds:uri="877676d7-0581-4ea8-b31a-49d927508dd8"/>
    <ds:schemaRef ds:uri="ce9780f4-bea7-4f53-9f8f-abfcb010f713"/>
  </ds:schemaRefs>
</ds:datastoreItem>
</file>

<file path=customXml/itemProps3.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customXml/itemProps4.xml><?xml version="1.0" encoding="utf-8"?>
<ds:datastoreItem xmlns:ds="http://schemas.openxmlformats.org/officeDocument/2006/customXml" ds:itemID="{7A2FFBE2-64EE-4A55-B027-2E031789A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676d7-0581-4ea8-b31a-49d927508dd8"/>
    <ds:schemaRef ds:uri="ce9780f4-bea7-4f53-9f8f-abfcb010f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JSA%20Regular%20Report%20Template.dotx?OR=81dd2b71-fb82-4b33-ac71-fed46bf0f87a&amp;CID=4a6a30a2-609e-8000-5343-fd63fc7a3800&amp;CT=1786512970219</Template>
  <TotalTime>67</TotalTime>
  <Pages>16</Pages>
  <Words>3723</Words>
  <Characters>21113</Characters>
  <Application>Microsoft Office Word</Application>
  <DocSecurity>0</DocSecurity>
  <Lines>1005</Lines>
  <Paragraphs>856</Paragraphs>
  <ScaleCrop>false</ScaleCrop>
  <HeadingPairs>
    <vt:vector size="2" baseType="variant">
      <vt:variant>
        <vt:lpstr>Title</vt:lpstr>
      </vt:variant>
      <vt:variant>
        <vt:i4>1</vt:i4>
      </vt:variant>
    </vt:vector>
  </HeadingPairs>
  <TitlesOfParts>
    <vt:vector size="1" baseType="lpstr">
      <vt:lpstr>Regional Labour Market Indicator (RLMI)</vt:lpstr>
    </vt:vector>
  </TitlesOfParts>
  <Company/>
  <LinksUpToDate>false</LinksUpToDate>
  <CharactersWithSpaces>23980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Labour Market Indicator (RLMI)</dc:title>
  <dc:creator>SANDERSON,Jack</dc:creator>
  <dc:description/>
  <cp:lastModifiedBy>COCHRANE,Hayden</cp:lastModifiedBy>
  <cp:revision>9</cp:revision>
  <cp:lastPrinted>2024-06-21T00:59:00Z</cp:lastPrinted>
  <dcterms:created xsi:type="dcterms:W3CDTF">2026-08-14T04:13:00Z</dcterms:created>
  <dcterms:modified xsi:type="dcterms:W3CDTF">2026-08-21T01:39:00Z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0x010100279213681387C94D9B92267598DFD251</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2024-12-18T22:26:14Z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ffc2b767-32c1-4b3d-8dd7-6d1f1a1e82a3</vt:lpwstr>
  </property>
  <property fmtid="{D5CDD505-2E9C-101B-9397-08002B2CF9AE}" pid="10" name="MSIP_Label_79d889eb-932f-4752-8739-64d25806ef64_ContentBits">
    <vt:lpwstr>0</vt:lpwstr>
  </property>
</Properties>
</file>