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52B4" w14:textId="5BB69EBB" w:rsidR="00665863" w:rsidRDefault="00665863" w:rsidP="00B11937">
      <w:pPr>
        <w:rPr>
          <w:noProof/>
        </w:rPr>
      </w:pPr>
      <w:bookmarkStart w:id="0" w:name="_Hlk205565405"/>
      <w:bookmarkStart w:id="1" w:name="_Toc118443202"/>
      <w:bookmarkStart w:id="2" w:name="_Toc119418020"/>
      <w:bookmarkEnd w:id="0"/>
    </w:p>
    <w:p w14:paraId="01804EBB" w14:textId="5F4EEA09" w:rsidR="00665863" w:rsidRDefault="00665863" w:rsidP="00B11937">
      <w:pPr>
        <w:rPr>
          <w:noProof/>
        </w:rPr>
      </w:pPr>
    </w:p>
    <w:p w14:paraId="4BCC52F1" w14:textId="3FC9C460" w:rsidR="003E0B70" w:rsidRPr="00B11937" w:rsidRDefault="00093F7D" w:rsidP="00B11937">
      <w:r>
        <w:rPr>
          <w:noProof/>
        </w:rPr>
        <w:drawing>
          <wp:anchor distT="0" distB="0" distL="114300" distR="114300" simplePos="0" relativeHeight="251637760" behindDoc="0" locked="0" layoutInCell="1" allowOverlap="1" wp14:anchorId="0CBAD37C" wp14:editId="621E7C2B">
            <wp:simplePos x="0" y="0"/>
            <wp:positionH relativeFrom="page">
              <wp:align>right</wp:align>
            </wp:positionH>
            <wp:positionV relativeFrom="paragraph">
              <wp:posOffset>-1348740</wp:posOffset>
            </wp:positionV>
            <wp:extent cx="7550596" cy="1624330"/>
            <wp:effectExtent l="0" t="0" r="0" b="0"/>
            <wp:wrapNone/>
            <wp:docPr id="709284876"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550596" cy="1624330"/>
                    </a:xfrm>
                    <a:prstGeom prst="rect">
                      <a:avLst/>
                    </a:prstGeom>
                  </pic:spPr>
                </pic:pic>
              </a:graphicData>
            </a:graphic>
            <wp14:sizeRelH relativeFrom="page">
              <wp14:pctWidth>0</wp14:pctWidth>
            </wp14:sizeRelH>
            <wp14:sizeRelV relativeFrom="page">
              <wp14:pctHeight>0</wp14:pctHeight>
            </wp14:sizeRelV>
          </wp:anchor>
        </w:drawing>
      </w:r>
    </w:p>
    <w:p w14:paraId="1C8A812C" w14:textId="138BBDB7" w:rsidR="00672004" w:rsidRPr="00405679" w:rsidRDefault="00D65FD0" w:rsidP="00405679">
      <w:pPr>
        <w:pStyle w:val="Heading1"/>
        <w:keepNext w:val="0"/>
      </w:pPr>
      <w:sdt>
        <w:sdtPr>
          <w:alias w:val="Title"/>
          <w:tag w:val=""/>
          <w:id w:val="1539707718"/>
          <w:placeholder>
            <w:docPart w:val="62C445EDE30F41718968622BBF37206F"/>
          </w:placeholder>
          <w:dataBinding w:prefixMappings="xmlns:ns0='http://purl.org/dc/elements/1.1/' xmlns:ns1='http://schemas.openxmlformats.org/package/2006/metadata/core-properties' " w:xpath="/ns1:coreProperties[1]/ns0:title[1]" w:storeItemID="{6C3C8BC8-F283-45AE-878A-BAB7291924A1}"/>
          <w:text/>
        </w:sdtPr>
        <w:sdtEndPr/>
        <w:sdtContent>
          <w:r w:rsidR="00001D32">
            <w:t>Regional Labour Market Indicator (</w:t>
          </w:r>
          <w:r w:rsidR="00F367BE">
            <w:t>RLMI</w:t>
          </w:r>
          <w:r w:rsidR="00001D32">
            <w:t>)</w:t>
          </w:r>
          <w:r w:rsidR="00F367BE">
            <w:t xml:space="preserve"> Re</w:t>
          </w:r>
          <w:r w:rsidR="00FA030B">
            <w:t>sults</w:t>
          </w:r>
          <w:r w:rsidR="00E531E7">
            <w:t xml:space="preserve"> – </w:t>
          </w:r>
          <w:r w:rsidR="00F907C7">
            <w:t>March 2026</w:t>
          </w:r>
        </w:sdtContent>
      </w:sdt>
    </w:p>
    <w:tbl>
      <w:tblPr>
        <w:tblStyle w:val="CustomTablepulloutbox"/>
        <w:tblW w:w="0" w:type="auto"/>
        <w:tblLook w:val="04A0" w:firstRow="1" w:lastRow="0" w:firstColumn="1" w:lastColumn="0" w:noHBand="0" w:noVBand="1"/>
      </w:tblPr>
      <w:tblGrid>
        <w:gridCol w:w="8996"/>
      </w:tblGrid>
      <w:tr w:rsidR="00405679" w14:paraId="125114DB" w14:textId="77777777" w:rsidTr="001B4D55">
        <w:tc>
          <w:tcPr>
            <w:tcW w:w="8997" w:type="dxa"/>
          </w:tcPr>
          <w:p w14:paraId="6D8B9256" w14:textId="708776B2" w:rsidR="00405679" w:rsidRPr="007106F3" w:rsidRDefault="00405679" w:rsidP="001B4D55">
            <w:pPr>
              <w:pStyle w:val="BoxHeading"/>
              <w:rPr>
                <w:sz w:val="24"/>
              </w:rPr>
            </w:pPr>
            <w:r>
              <w:rPr>
                <w:sz w:val="24"/>
              </w:rPr>
              <w:t>This Report:</w:t>
            </w:r>
          </w:p>
          <w:p w14:paraId="39E1599A" w14:textId="77777777" w:rsidR="00405679" w:rsidRPr="00405679" w:rsidRDefault="00405679" w:rsidP="00405679">
            <w:pPr>
              <w:pStyle w:val="ListParagraph"/>
              <w:numPr>
                <w:ilvl w:val="0"/>
                <w:numId w:val="35"/>
              </w:numPr>
              <w:ind w:left="714" w:hanging="357"/>
              <w:contextualSpacing w:val="0"/>
              <w:rPr>
                <w:sz w:val="22"/>
                <w:szCs w:val="22"/>
              </w:rPr>
            </w:pPr>
            <w:r w:rsidRPr="00405679">
              <w:rPr>
                <w:sz w:val="22"/>
                <w:szCs w:val="22"/>
              </w:rPr>
              <w:t xml:space="preserve">Labour market conditions are stronger on average in major cities, compared to outcomes across regional Australia which are more mixed. </w:t>
            </w:r>
          </w:p>
          <w:p w14:paraId="67BBE8EB" w14:textId="77777777" w:rsidR="00405679" w:rsidRPr="00405679" w:rsidRDefault="00405679" w:rsidP="00405679">
            <w:pPr>
              <w:pStyle w:val="ListParagraph"/>
              <w:numPr>
                <w:ilvl w:val="0"/>
                <w:numId w:val="35"/>
              </w:numPr>
              <w:ind w:left="714" w:hanging="357"/>
              <w:contextualSpacing w:val="0"/>
              <w:rPr>
                <w:sz w:val="22"/>
                <w:szCs w:val="22"/>
              </w:rPr>
            </w:pPr>
            <w:r w:rsidRPr="00405679">
              <w:rPr>
                <w:sz w:val="22"/>
                <w:szCs w:val="22"/>
              </w:rPr>
              <w:t xml:space="preserve">The Regional Labour Market Indicator (RLMI) has been further enhanced through the addition of a labour productivity measure in March 2026. The inclusion of productivity reflects its central role in understanding labour market performance as it captures the efficiency with which labour is used in the economy – how effectively workers, jobs, and capital combine to generate output. Encouragingly, the data show </w:t>
            </w:r>
            <w:r w:rsidRPr="00405679">
              <w:rPr>
                <w:bCs/>
                <w:iCs/>
                <w:color w:val="000000" w:themeColor="text1"/>
                <w:sz w:val="22"/>
                <w:szCs w:val="22"/>
              </w:rPr>
              <w:t xml:space="preserve">productivity growth has </w:t>
            </w:r>
            <w:r w:rsidRPr="00405679">
              <w:rPr>
                <w:bCs/>
                <w:iCs/>
                <w:sz w:val="22"/>
                <w:szCs w:val="22"/>
              </w:rPr>
              <w:t>strengthened</w:t>
            </w:r>
            <w:r w:rsidRPr="00405679">
              <w:rPr>
                <w:bCs/>
                <w:iCs/>
                <w:color w:val="000000" w:themeColor="text1"/>
                <w:sz w:val="22"/>
                <w:szCs w:val="22"/>
              </w:rPr>
              <w:t xml:space="preserve"> in regional and remote Australia in recent years. </w:t>
            </w:r>
          </w:p>
          <w:p w14:paraId="7EFB8603" w14:textId="4291A035" w:rsidR="00405679" w:rsidRPr="00405679" w:rsidRDefault="00405679" w:rsidP="00405679">
            <w:pPr>
              <w:pStyle w:val="ListParagraph"/>
              <w:numPr>
                <w:ilvl w:val="0"/>
                <w:numId w:val="35"/>
              </w:numPr>
              <w:ind w:left="714" w:hanging="357"/>
              <w:contextualSpacing w:val="0"/>
              <w:rPr>
                <w:sz w:val="22"/>
                <w:szCs w:val="22"/>
              </w:rPr>
            </w:pPr>
            <w:r w:rsidRPr="00405679">
              <w:rPr>
                <w:sz w:val="22"/>
                <w:szCs w:val="22"/>
              </w:rPr>
              <w:t>This release also introduces a combined rating for Remote Australia, reflecting that some labour markets are geographically isolated, with shared structural challenges across regions.</w:t>
            </w:r>
            <w:r w:rsidRPr="00405679">
              <w:rPr>
                <w:rFonts w:eastAsia="Times New Roman" w:cs="Arial"/>
                <w:sz w:val="22"/>
                <w:szCs w:val="22"/>
                <w:lang w:eastAsia="en-AU"/>
              </w:rPr>
              <w:t xml:space="preserve"> These may include limited job opportunities, lower levels of educational attainment, difficulties attracting and retaining workers, and more limited access to services and infrastructure.</w:t>
            </w:r>
          </w:p>
        </w:tc>
      </w:tr>
    </w:tbl>
    <w:p w14:paraId="04FAC567" w14:textId="77777777" w:rsidR="00405679" w:rsidRPr="00B247ED" w:rsidRDefault="00405679" w:rsidP="00405679"/>
    <w:p w14:paraId="2B2F624F" w14:textId="77777777" w:rsidR="006E0696" w:rsidRDefault="006E0696" w:rsidP="000527BA">
      <w:pPr>
        <w:pStyle w:val="Bodycopy"/>
        <w:rPr>
          <w:rFonts w:eastAsiaTheme="majorEastAsia" w:cstheme="majorBidi"/>
          <w:b/>
          <w:color w:val="4B0885" w:themeColor="text2"/>
          <w:sz w:val="26"/>
          <w:szCs w:val="24"/>
        </w:rPr>
      </w:pPr>
      <w:r w:rsidRPr="006E0696">
        <w:rPr>
          <w:rFonts w:eastAsiaTheme="majorEastAsia" w:cstheme="majorBidi"/>
          <w:b/>
          <w:color w:val="4B0885" w:themeColor="text2"/>
          <w:sz w:val="26"/>
          <w:szCs w:val="24"/>
        </w:rPr>
        <w:t>Labour market conditions are stronger on average in major cities, compared to outcomes across regional Australia which are more mixed</w:t>
      </w:r>
    </w:p>
    <w:p w14:paraId="2E88BD09" w14:textId="283F9B23" w:rsidR="000527BA" w:rsidRDefault="000527BA" w:rsidP="000527BA">
      <w:pPr>
        <w:pStyle w:val="Bodycopy"/>
      </w:pPr>
      <w:r w:rsidRPr="000527BA">
        <w:t xml:space="preserve">The March 2026 RLMI results show that regional and remote areas </w:t>
      </w:r>
      <w:r>
        <w:t>are more</w:t>
      </w:r>
      <w:r w:rsidRPr="000527BA">
        <w:t xml:space="preserve"> likely than major cities to experience relatively weaker labour market conditions, while also reflecting a diverse range of outcomes across regional Australia (see Chart </w:t>
      </w:r>
      <w:r w:rsidR="00405679">
        <w:t>1</w:t>
      </w:r>
      <w:r w:rsidRPr="000527BA">
        <w:t>, below).</w:t>
      </w:r>
    </w:p>
    <w:p w14:paraId="6D4F48C5" w14:textId="0F26DE96" w:rsidR="000527BA" w:rsidRPr="000527BA" w:rsidRDefault="002C646E" w:rsidP="000527BA">
      <w:pPr>
        <w:pStyle w:val="Bodycopy"/>
        <w:numPr>
          <w:ilvl w:val="0"/>
          <w:numId w:val="39"/>
        </w:numPr>
      </w:pPr>
      <w:r w:rsidRPr="002C646E">
        <w:t>Around two thirds</w:t>
      </w:r>
      <w:r w:rsidR="00CC0F5D">
        <w:t xml:space="preserve"> (64%)</w:t>
      </w:r>
      <w:r w:rsidRPr="002C646E">
        <w:t xml:space="preserve"> of SA4s located in major city areas were rated either ‘strong’ or ‘above average’ in March 2026. Strong labour market conditions are evident across most major city labour markets, particularly in Sydney, Melbourne, Brisbane and Perth.</w:t>
      </w:r>
      <w:r w:rsidR="000527BA" w:rsidRPr="000527BA">
        <w:t xml:space="preserve"> </w:t>
      </w:r>
    </w:p>
    <w:p w14:paraId="0346AF15" w14:textId="77777777" w:rsidR="002C646E" w:rsidRDefault="002C646E" w:rsidP="000527BA">
      <w:pPr>
        <w:pStyle w:val="Bodycopy"/>
        <w:numPr>
          <w:ilvl w:val="0"/>
          <w:numId w:val="39"/>
        </w:numPr>
      </w:pPr>
      <w:r w:rsidRPr="002C646E">
        <w:t xml:space="preserve">Strong labour market conditions are also evident in </w:t>
      </w:r>
      <w:proofErr w:type="gramStart"/>
      <w:r w:rsidRPr="002C646E">
        <w:t>a number of</w:t>
      </w:r>
      <w:proofErr w:type="gramEnd"/>
      <w:r w:rsidRPr="002C646E">
        <w:t xml:space="preserve"> regional areas. This includes regions surrounding Greater Brisbane, such as the Gold Coast and Sunshine Coast, as well as parts of south west Western Australia, the Surf Coast region of Victoria, and across parts of the Southern Murray–Darling Basin.</w:t>
      </w:r>
    </w:p>
    <w:p w14:paraId="5D111894" w14:textId="0B76B92F" w:rsidR="002C646E" w:rsidRDefault="00CC0F5D" w:rsidP="000527BA">
      <w:pPr>
        <w:pStyle w:val="Bodycopy"/>
        <w:numPr>
          <w:ilvl w:val="0"/>
          <w:numId w:val="39"/>
        </w:numPr>
      </w:pPr>
      <w:r>
        <w:t>With that said</w:t>
      </w:r>
      <w:r w:rsidR="002C646E" w:rsidRPr="002C646E">
        <w:t>, outcomes vary across regional labour markets, with 38% rated ‘below average’ or ‘poor’, including in parts of Northern Australia, regional and coastal New South Wales (such as the Mid North Coast and Coffs Harbour–Grafton), the Spencer Gulf region and surrounds of South Australia, and across Tasmania, including Hobart.</w:t>
      </w:r>
    </w:p>
    <w:p w14:paraId="31600A4F" w14:textId="018D2E34" w:rsidR="002C646E" w:rsidRDefault="002C646E" w:rsidP="002C646E">
      <w:pPr>
        <w:pStyle w:val="Bodycopy"/>
        <w:numPr>
          <w:ilvl w:val="0"/>
          <w:numId w:val="39"/>
        </w:numPr>
      </w:pPr>
      <w:r w:rsidRPr="002C646E">
        <w:lastRenderedPageBreak/>
        <w:t xml:space="preserve">All </w:t>
      </w:r>
      <w:r w:rsidR="00CC0F5D">
        <w:t>6</w:t>
      </w:r>
      <w:r w:rsidRPr="002C646E">
        <w:t xml:space="preserve"> remote SA4s (100%) were rated ‘poor’ in March 2026, highlighting </w:t>
      </w:r>
      <w:r w:rsidR="00CC0F5D">
        <w:t>the particularly challenging labour market conditions</w:t>
      </w:r>
      <w:r w:rsidRPr="002C646E">
        <w:t xml:space="preserve"> in </w:t>
      </w:r>
      <w:r w:rsidR="00CC0F5D">
        <w:t xml:space="preserve">the </w:t>
      </w:r>
      <w:r w:rsidRPr="002C646E">
        <w:t>remote areas of Australia. The combined Remote Australia region was also rated ‘poor’.</w:t>
      </w:r>
    </w:p>
    <w:p w14:paraId="7004A699" w14:textId="02F9CE2A" w:rsidR="00324789" w:rsidRPr="00400336" w:rsidRDefault="00324789" w:rsidP="007E2E53">
      <w:pPr>
        <w:pStyle w:val="Caption"/>
        <w:spacing w:before="0" w:after="0"/>
        <w:rPr>
          <w:sz w:val="20"/>
          <w:szCs w:val="20"/>
        </w:rPr>
      </w:pPr>
      <w:r w:rsidRPr="008167DD">
        <w:rPr>
          <w:sz w:val="20"/>
          <w:szCs w:val="20"/>
        </w:rPr>
        <w:t xml:space="preserve">Chart </w:t>
      </w:r>
      <w:r w:rsidR="00405679">
        <w:rPr>
          <w:sz w:val="20"/>
          <w:szCs w:val="20"/>
        </w:rPr>
        <w:t>1</w:t>
      </w:r>
      <w:r w:rsidRPr="008167DD">
        <w:rPr>
          <w:sz w:val="20"/>
          <w:szCs w:val="20"/>
        </w:rPr>
        <w:t xml:space="preserve">: RLMI ratings of relative labour market performance, </w:t>
      </w:r>
      <w:r w:rsidR="008167DD" w:rsidRPr="008167DD">
        <w:rPr>
          <w:sz w:val="20"/>
          <w:szCs w:val="20"/>
        </w:rPr>
        <w:t>March 2026</w:t>
      </w:r>
    </w:p>
    <w:p w14:paraId="723B9831" w14:textId="35DB4113" w:rsidR="00400336" w:rsidRPr="00324789" w:rsidRDefault="006A2E92" w:rsidP="007E2E53">
      <w:pPr>
        <w:keepNext/>
        <w:spacing w:after="0"/>
        <w:jc w:val="center"/>
      </w:pPr>
      <w:r w:rsidRPr="006A2E92">
        <w:rPr>
          <w:noProof/>
        </w:rPr>
        <w:drawing>
          <wp:inline distT="0" distB="0" distL="0" distR="0" wp14:anchorId="375C4687" wp14:editId="0CF66D62">
            <wp:extent cx="5731510" cy="5564505"/>
            <wp:effectExtent l="0" t="0" r="2540" b="0"/>
            <wp:docPr id="985077861" name="Picture 1" descr="A map of Australia displaying the RLMI ratings of labour market performance (strong, above average, average, below average, poor) by SA4. The map shows that regional and remote regions are more likely to experience weaker labour market conditions than major city are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077861" name="Picture 1" descr="A map of Australia displaying the RLMI ratings of labour market performance (strong, above average, average, below average, poor) by SA4. The map shows that regional and remote regions are more likely to experience weaker labour market conditions than major city areas. "/>
                    <pic:cNvPicPr/>
                  </pic:nvPicPr>
                  <pic:blipFill>
                    <a:blip r:embed="rId13"/>
                    <a:stretch>
                      <a:fillRect/>
                    </a:stretch>
                  </pic:blipFill>
                  <pic:spPr>
                    <a:xfrm>
                      <a:off x="0" y="0"/>
                      <a:ext cx="5731510" cy="5564505"/>
                    </a:xfrm>
                    <a:prstGeom prst="rect">
                      <a:avLst/>
                    </a:prstGeom>
                  </pic:spPr>
                </pic:pic>
              </a:graphicData>
            </a:graphic>
          </wp:inline>
        </w:drawing>
      </w:r>
    </w:p>
    <w:p w14:paraId="006C67A0" w14:textId="018C9AC6" w:rsidR="00E93E9B" w:rsidRDefault="008167DD" w:rsidP="007E2E53">
      <w:pPr>
        <w:pStyle w:val="Source"/>
        <w:keepNext/>
        <w:spacing w:before="0" w:after="0"/>
      </w:pPr>
      <w:r w:rsidRPr="008167DD">
        <w:rPr>
          <w:noProof/>
        </w:rPr>
        <w:drawing>
          <wp:anchor distT="0" distB="0" distL="114300" distR="114300" simplePos="0" relativeHeight="251660288" behindDoc="1" locked="0" layoutInCell="1" allowOverlap="1" wp14:anchorId="3052BF81" wp14:editId="41E98BE9">
            <wp:simplePos x="0" y="0"/>
            <wp:positionH relativeFrom="page">
              <wp:posOffset>858351</wp:posOffset>
            </wp:positionH>
            <wp:positionV relativeFrom="paragraph">
              <wp:posOffset>181432</wp:posOffset>
            </wp:positionV>
            <wp:extent cx="5294268" cy="316616"/>
            <wp:effectExtent l="0" t="0" r="1905" b="7620"/>
            <wp:wrapTight wrapText="bothSides">
              <wp:wrapPolygon edited="0">
                <wp:start x="0" y="0"/>
                <wp:lineTo x="0" y="20819"/>
                <wp:lineTo x="21530" y="20819"/>
                <wp:lineTo x="21530" y="0"/>
                <wp:lineTo x="0" y="0"/>
              </wp:wrapPolygon>
            </wp:wrapTight>
            <wp:docPr id="26" name="Picture 25" descr="A legend of the RLMI rating categories (Strong, Above average, Average, Below average, Poor). ">
              <a:extLst xmlns:a="http://schemas.openxmlformats.org/drawingml/2006/main">
                <a:ext uri="{FF2B5EF4-FFF2-40B4-BE49-F238E27FC236}">
                  <a16:creationId xmlns:a16="http://schemas.microsoft.com/office/drawing/2014/main" id="{8972A19C-AEF7-962E-C41F-2939D71DDA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A legend of the RLMI rating categories (Strong, Above average, Average, Below average, Poor). ">
                      <a:extLst>
                        <a:ext uri="{FF2B5EF4-FFF2-40B4-BE49-F238E27FC236}">
                          <a16:creationId xmlns:a16="http://schemas.microsoft.com/office/drawing/2014/main" id="{8972A19C-AEF7-962E-C41F-2939D71DDA5D}"/>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294268" cy="316616"/>
                    </a:xfrm>
                    <a:prstGeom prst="rect">
                      <a:avLst/>
                    </a:prstGeom>
                    <a:ln>
                      <a:noFill/>
                    </a:ln>
                  </pic:spPr>
                </pic:pic>
              </a:graphicData>
            </a:graphic>
            <wp14:sizeRelH relativeFrom="margin">
              <wp14:pctWidth>0</wp14:pctWidth>
            </wp14:sizeRelH>
            <wp14:sizeRelV relativeFrom="margin">
              <wp14:pctHeight>0</wp14:pctHeight>
            </wp14:sizeRelV>
          </wp:anchor>
        </w:drawing>
      </w:r>
    </w:p>
    <w:p w14:paraId="73C286DA" w14:textId="77777777" w:rsidR="00BE207D" w:rsidRDefault="00BE207D" w:rsidP="007E2E53">
      <w:pPr>
        <w:pStyle w:val="Source"/>
        <w:keepNext/>
        <w:spacing w:before="0" w:after="0"/>
      </w:pPr>
    </w:p>
    <w:p w14:paraId="3BDB59F2" w14:textId="77777777" w:rsidR="00BE207D" w:rsidRDefault="00BE207D" w:rsidP="007E2E53">
      <w:pPr>
        <w:pStyle w:val="Source"/>
        <w:keepNext/>
        <w:spacing w:before="0" w:after="0"/>
      </w:pPr>
    </w:p>
    <w:p w14:paraId="1A37EA94" w14:textId="77777777" w:rsidR="00BE207D" w:rsidRDefault="00BE207D" w:rsidP="007E2E53">
      <w:pPr>
        <w:pStyle w:val="Source"/>
        <w:keepNext/>
        <w:spacing w:before="0" w:after="0"/>
      </w:pPr>
    </w:p>
    <w:p w14:paraId="0AAE604E" w14:textId="69165E98" w:rsidR="00324789" w:rsidRDefault="00324789" w:rsidP="007E2E53">
      <w:pPr>
        <w:pStyle w:val="Source"/>
        <w:keepNext/>
        <w:spacing w:before="0" w:after="0"/>
      </w:pPr>
      <w:r>
        <w:t xml:space="preserve">Source: JSA, </w:t>
      </w:r>
      <w:r w:rsidRPr="007D069F">
        <w:rPr>
          <w:i/>
          <w:iCs/>
        </w:rPr>
        <w:t>Regional Labour Market Indicator (RLMI)</w:t>
      </w:r>
      <w:r>
        <w:t xml:space="preserve">, </w:t>
      </w:r>
      <w:r w:rsidR="008167DD">
        <w:t>March 2026</w:t>
      </w:r>
    </w:p>
    <w:p w14:paraId="62E16F7A" w14:textId="275660E2" w:rsidR="00E93E9B" w:rsidRDefault="00E93E9B" w:rsidP="00A17299">
      <w:pPr>
        <w:pStyle w:val="Caption"/>
        <w:keepNext w:val="0"/>
        <w:rPr>
          <w:sz w:val="20"/>
          <w:szCs w:val="20"/>
        </w:rPr>
      </w:pPr>
    </w:p>
    <w:p w14:paraId="155152D8" w14:textId="77777777" w:rsidR="00F907C7" w:rsidRDefault="00F907C7" w:rsidP="00B277DD">
      <w:pPr>
        <w:pStyle w:val="Caption"/>
        <w:keepNext w:val="0"/>
        <w:rPr>
          <w:sz w:val="20"/>
          <w:szCs w:val="20"/>
        </w:rPr>
      </w:pPr>
    </w:p>
    <w:p w14:paraId="4D3FFDBB" w14:textId="77777777" w:rsidR="00FB6E51" w:rsidRDefault="00FB6E51" w:rsidP="00FB6E51"/>
    <w:p w14:paraId="35182397" w14:textId="77777777" w:rsidR="00FB6E51" w:rsidRDefault="00FB6E51" w:rsidP="00FB6E51"/>
    <w:p w14:paraId="586D3CCB" w14:textId="77777777" w:rsidR="00FB6E51" w:rsidRDefault="00FB6E51" w:rsidP="00FB6E51"/>
    <w:p w14:paraId="3FFDD893" w14:textId="77777777" w:rsidR="00FB6E51" w:rsidRDefault="00FB6E51" w:rsidP="00FB6E51"/>
    <w:p w14:paraId="727B765E" w14:textId="77777777" w:rsidR="00FB6E51" w:rsidRDefault="00FB6E51" w:rsidP="00FB6E51"/>
    <w:p w14:paraId="39A3430C" w14:textId="4962563E" w:rsidR="00B277DD" w:rsidRPr="00B277DD" w:rsidRDefault="00A17299" w:rsidP="00B277DD">
      <w:pPr>
        <w:pStyle w:val="Caption"/>
        <w:keepNext w:val="0"/>
        <w:rPr>
          <w:sz w:val="20"/>
          <w:szCs w:val="20"/>
        </w:rPr>
      </w:pPr>
      <w:r w:rsidRPr="008B4A61">
        <w:rPr>
          <w:sz w:val="20"/>
          <w:szCs w:val="20"/>
        </w:rPr>
        <w:lastRenderedPageBreak/>
        <w:t xml:space="preserve">Chart </w:t>
      </w:r>
      <w:r w:rsidR="00405679">
        <w:rPr>
          <w:sz w:val="20"/>
          <w:szCs w:val="20"/>
        </w:rPr>
        <w:t>2</w:t>
      </w:r>
      <w:r w:rsidRPr="008B4A61">
        <w:rPr>
          <w:sz w:val="20"/>
          <w:szCs w:val="20"/>
        </w:rPr>
        <w:t xml:space="preserve">: RLMI ratings of relative labour market performance, by selected Capital Cities, </w:t>
      </w:r>
      <w:r w:rsidR="008B4A61" w:rsidRPr="008B4A61">
        <w:rPr>
          <w:sz w:val="20"/>
          <w:szCs w:val="20"/>
        </w:rPr>
        <w:t>March 2026</w:t>
      </w:r>
    </w:p>
    <w:p w14:paraId="391E7CB6" w14:textId="1585880F" w:rsidR="00A17299" w:rsidRDefault="00B40821" w:rsidP="00B277DD">
      <w:pPr>
        <w:jc w:val="center"/>
      </w:pPr>
      <w:r w:rsidRPr="00B40821">
        <w:rPr>
          <w:noProof/>
        </w:rPr>
        <w:drawing>
          <wp:inline distT="0" distB="0" distL="0" distR="0" wp14:anchorId="3EC16B69" wp14:editId="2DFB50AE">
            <wp:extent cx="5731510" cy="5499735"/>
            <wp:effectExtent l="0" t="0" r="2540" b="5715"/>
            <wp:docPr id="2119390975" name="Picture 1" descr="A map of Australia's major cities displaying the RLMI ratings of labour market performance (strong, above average, average, below average, poor) by SA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390975" name="Picture 1" descr="A map of Australia's major cities displaying the RLMI ratings of labour market performance (strong, above average, average, below average, poor) by SA4. "/>
                    <pic:cNvPicPr/>
                  </pic:nvPicPr>
                  <pic:blipFill>
                    <a:blip r:embed="rId15"/>
                    <a:stretch>
                      <a:fillRect/>
                    </a:stretch>
                  </pic:blipFill>
                  <pic:spPr>
                    <a:xfrm>
                      <a:off x="0" y="0"/>
                      <a:ext cx="5731510" cy="5499735"/>
                    </a:xfrm>
                    <a:prstGeom prst="rect">
                      <a:avLst/>
                    </a:prstGeom>
                  </pic:spPr>
                </pic:pic>
              </a:graphicData>
            </a:graphic>
          </wp:inline>
        </w:drawing>
      </w:r>
    </w:p>
    <w:p w14:paraId="40106F4E" w14:textId="0EA47AEA" w:rsidR="002A23A7" w:rsidRDefault="00B277DD" w:rsidP="00B277DD">
      <w:pPr>
        <w:pStyle w:val="Source"/>
        <w:spacing w:before="0" w:after="0"/>
      </w:pPr>
      <w:r>
        <w:t xml:space="preserve">Source: JSA, </w:t>
      </w:r>
      <w:r w:rsidRPr="007D069F">
        <w:rPr>
          <w:i/>
          <w:iCs/>
        </w:rPr>
        <w:t>Regional Labour Market Indicator (RLMI)</w:t>
      </w:r>
      <w:r>
        <w:t xml:space="preserve">, </w:t>
      </w:r>
      <w:r w:rsidR="008B4A61">
        <w:t>March 2026</w:t>
      </w:r>
    </w:p>
    <w:p w14:paraId="563E1CE8" w14:textId="77777777" w:rsidR="00791481" w:rsidRDefault="00791481">
      <w:pPr>
        <w:spacing w:after="160" w:line="259" w:lineRule="auto"/>
        <w:rPr>
          <w:rFonts w:eastAsiaTheme="majorEastAsia" w:cstheme="majorBidi"/>
          <w:b/>
          <w:sz w:val="32"/>
          <w:szCs w:val="26"/>
        </w:rPr>
      </w:pPr>
    </w:p>
    <w:p w14:paraId="0C773D44" w14:textId="77777777" w:rsidR="00776669" w:rsidRDefault="00776669">
      <w:pPr>
        <w:spacing w:after="160" w:line="259" w:lineRule="auto"/>
        <w:rPr>
          <w:rFonts w:eastAsiaTheme="majorEastAsia" w:cstheme="majorBidi"/>
          <w:b/>
          <w:sz w:val="32"/>
          <w:szCs w:val="26"/>
        </w:rPr>
      </w:pPr>
    </w:p>
    <w:p w14:paraId="2B1E43D1" w14:textId="77777777" w:rsidR="00776669" w:rsidRDefault="00776669">
      <w:pPr>
        <w:spacing w:after="160" w:line="259" w:lineRule="auto"/>
        <w:rPr>
          <w:rFonts w:eastAsiaTheme="majorEastAsia" w:cstheme="majorBidi"/>
          <w:b/>
          <w:sz w:val="32"/>
          <w:szCs w:val="26"/>
        </w:rPr>
      </w:pPr>
    </w:p>
    <w:p w14:paraId="3797ED76" w14:textId="77777777" w:rsidR="00776669" w:rsidRDefault="00776669">
      <w:pPr>
        <w:spacing w:after="160" w:line="259" w:lineRule="auto"/>
        <w:rPr>
          <w:rFonts w:eastAsiaTheme="majorEastAsia" w:cstheme="majorBidi"/>
          <w:b/>
          <w:sz w:val="32"/>
          <w:szCs w:val="26"/>
        </w:rPr>
      </w:pPr>
    </w:p>
    <w:p w14:paraId="217AA560" w14:textId="77777777" w:rsidR="00776669" w:rsidRDefault="00776669">
      <w:pPr>
        <w:spacing w:after="160" w:line="259" w:lineRule="auto"/>
        <w:rPr>
          <w:rFonts w:eastAsiaTheme="majorEastAsia" w:cstheme="majorBidi"/>
          <w:b/>
          <w:sz w:val="32"/>
          <w:szCs w:val="26"/>
        </w:rPr>
      </w:pPr>
    </w:p>
    <w:p w14:paraId="6C03BA54" w14:textId="77777777" w:rsidR="00776669" w:rsidRDefault="00776669">
      <w:pPr>
        <w:spacing w:after="160" w:line="259" w:lineRule="auto"/>
        <w:rPr>
          <w:rFonts w:eastAsiaTheme="majorEastAsia" w:cstheme="majorBidi"/>
          <w:b/>
          <w:sz w:val="32"/>
          <w:szCs w:val="26"/>
        </w:rPr>
      </w:pPr>
    </w:p>
    <w:p w14:paraId="106DA0D7" w14:textId="77777777" w:rsidR="00776669" w:rsidRDefault="00776669">
      <w:pPr>
        <w:spacing w:after="160" w:line="259" w:lineRule="auto"/>
        <w:rPr>
          <w:rFonts w:eastAsiaTheme="majorEastAsia" w:cstheme="majorBidi"/>
          <w:b/>
          <w:sz w:val="32"/>
          <w:szCs w:val="26"/>
        </w:rPr>
      </w:pPr>
    </w:p>
    <w:p w14:paraId="5DCD9F2A" w14:textId="77777777" w:rsidR="00776669" w:rsidRDefault="00776669">
      <w:pPr>
        <w:spacing w:after="160" w:line="259" w:lineRule="auto"/>
        <w:rPr>
          <w:rFonts w:eastAsiaTheme="majorEastAsia" w:cstheme="majorBidi"/>
          <w:b/>
          <w:sz w:val="32"/>
          <w:szCs w:val="26"/>
        </w:rPr>
      </w:pPr>
    </w:p>
    <w:p w14:paraId="5208093B" w14:textId="1C0668E9" w:rsidR="00776669" w:rsidRPr="00776669" w:rsidRDefault="00776669" w:rsidP="00776669">
      <w:pPr>
        <w:pStyle w:val="Caption"/>
        <w:keepNext w:val="0"/>
        <w:rPr>
          <w:sz w:val="20"/>
          <w:szCs w:val="20"/>
        </w:rPr>
      </w:pPr>
      <w:r w:rsidRPr="008B4A61">
        <w:rPr>
          <w:sz w:val="20"/>
          <w:szCs w:val="20"/>
        </w:rPr>
        <w:lastRenderedPageBreak/>
        <w:t xml:space="preserve">Chart </w:t>
      </w:r>
      <w:r w:rsidR="00405679">
        <w:rPr>
          <w:sz w:val="20"/>
          <w:szCs w:val="20"/>
        </w:rPr>
        <w:t>3</w:t>
      </w:r>
      <w:r w:rsidRPr="008B4A61">
        <w:rPr>
          <w:sz w:val="20"/>
          <w:szCs w:val="20"/>
        </w:rPr>
        <w:t xml:space="preserve">: </w:t>
      </w:r>
      <w:r>
        <w:rPr>
          <w:sz w:val="20"/>
          <w:szCs w:val="20"/>
        </w:rPr>
        <w:t>1-year change in RLMI ratings of relative labour market performance, March 2026</w:t>
      </w:r>
    </w:p>
    <w:p w14:paraId="62880883" w14:textId="4A209D07" w:rsidR="00776669" w:rsidRDefault="0081469A">
      <w:pPr>
        <w:spacing w:after="160" w:line="259" w:lineRule="auto"/>
        <w:rPr>
          <w:rFonts w:eastAsiaTheme="majorEastAsia" w:cstheme="majorBidi"/>
          <w:b/>
          <w:sz w:val="32"/>
          <w:szCs w:val="26"/>
        </w:rPr>
      </w:pPr>
      <w:r w:rsidRPr="0081469A">
        <w:rPr>
          <w:rFonts w:eastAsiaTheme="majorEastAsia" w:cstheme="majorBidi"/>
          <w:b/>
          <w:sz w:val="32"/>
          <w:szCs w:val="26"/>
        </w:rPr>
        <w:drawing>
          <wp:inline distT="0" distB="0" distL="0" distR="0" wp14:anchorId="6034F18E" wp14:editId="0458A9A1">
            <wp:extent cx="5731510" cy="2818765"/>
            <wp:effectExtent l="0" t="0" r="2540" b="635"/>
            <wp:docPr id="195671396" name="Picture 1" descr="A map of Australia displaying the change in RLMI ratings of labour market performance by SA4 over the last year. The chart shows that  While most regions recorded no change, there are signs that labour market conditions have softened across parts of Greater Brisbane and surrounding areas, as well as in pockets of Western Australia (including Mandurah and the Outback), Outer East Melbourne, and Hobart. By contrast, labour market conditions have improved modestly across several regional areas of New South Wales, parts of regional Victoria, and across metropolitan Adela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71396" name="Picture 1" descr="A map of Australia displaying the change in RLMI ratings of labour market performance by SA4 over the last year. The chart shows that  While most regions recorded no change, there are signs that labour market conditions have softened across parts of Greater Brisbane and surrounding areas, as well as in pockets of Western Australia (including Mandurah and the Outback), Outer East Melbourne, and Hobart. By contrast, labour market conditions have improved modestly across several regional areas of New South Wales, parts of regional Victoria, and across metropolitan Adelaide."/>
                    <pic:cNvPicPr/>
                  </pic:nvPicPr>
                  <pic:blipFill>
                    <a:blip r:embed="rId16"/>
                    <a:stretch>
                      <a:fillRect/>
                    </a:stretch>
                  </pic:blipFill>
                  <pic:spPr>
                    <a:xfrm>
                      <a:off x="0" y="0"/>
                      <a:ext cx="5731510" cy="2818765"/>
                    </a:xfrm>
                    <a:prstGeom prst="rect">
                      <a:avLst/>
                    </a:prstGeom>
                  </pic:spPr>
                </pic:pic>
              </a:graphicData>
            </a:graphic>
          </wp:inline>
        </w:drawing>
      </w:r>
    </w:p>
    <w:p w14:paraId="1498E4B0" w14:textId="296A55AE" w:rsidR="00BE207D" w:rsidRDefault="00BE207D" w:rsidP="00776669">
      <w:pPr>
        <w:pStyle w:val="Source"/>
        <w:spacing w:before="0" w:after="0"/>
      </w:pPr>
      <w:r w:rsidRPr="00BE207D">
        <w:rPr>
          <w:noProof/>
        </w:rPr>
        <w:drawing>
          <wp:inline distT="0" distB="0" distL="0" distR="0" wp14:anchorId="6F65C5A8" wp14:editId="37D4F265">
            <wp:extent cx="5731510" cy="215265"/>
            <wp:effectExtent l="0" t="0" r="2540" b="0"/>
            <wp:docPr id="557387757" name="Picture 1" descr="A legend of the change in RLMI rating categories over the last year (Major Decline, Minor Decline, No Change, Minor Improvement, Major Impr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387757" name="Picture 1" descr="A legend of the change in RLMI rating categories over the last year (Major Decline, Minor Decline, No Change, Minor Improvement, Major Improvement)."/>
                    <pic:cNvPicPr/>
                  </pic:nvPicPr>
                  <pic:blipFill>
                    <a:blip r:embed="rId17"/>
                    <a:stretch>
                      <a:fillRect/>
                    </a:stretch>
                  </pic:blipFill>
                  <pic:spPr>
                    <a:xfrm>
                      <a:off x="0" y="0"/>
                      <a:ext cx="5731510" cy="215265"/>
                    </a:xfrm>
                    <a:prstGeom prst="rect">
                      <a:avLst/>
                    </a:prstGeom>
                  </pic:spPr>
                </pic:pic>
              </a:graphicData>
            </a:graphic>
          </wp:inline>
        </w:drawing>
      </w:r>
    </w:p>
    <w:p w14:paraId="611D54F4" w14:textId="77777777" w:rsidR="00BE207D" w:rsidRDefault="00BE207D" w:rsidP="00776669">
      <w:pPr>
        <w:pStyle w:val="Source"/>
        <w:spacing w:before="0" w:after="0"/>
      </w:pPr>
    </w:p>
    <w:p w14:paraId="586EBAC3" w14:textId="759E9DEC" w:rsidR="00776669" w:rsidRDefault="00776669" w:rsidP="00776669">
      <w:pPr>
        <w:pStyle w:val="Source"/>
        <w:spacing w:before="0" w:after="0"/>
      </w:pPr>
      <w:r>
        <w:t xml:space="preserve">Source: JSA, </w:t>
      </w:r>
      <w:r w:rsidRPr="007D069F">
        <w:rPr>
          <w:i/>
          <w:iCs/>
        </w:rPr>
        <w:t>Regional Labour Market Indicator (RLMI)</w:t>
      </w:r>
      <w:r>
        <w:t>, March 2026</w:t>
      </w:r>
    </w:p>
    <w:p w14:paraId="22B0C784" w14:textId="77777777" w:rsidR="000B007A" w:rsidRDefault="000B007A" w:rsidP="000B007A"/>
    <w:p w14:paraId="0BA873CA" w14:textId="618D3A54" w:rsidR="00776669" w:rsidRPr="00405679" w:rsidRDefault="00D46E9D" w:rsidP="00405679">
      <w:r w:rsidRPr="00D46E9D">
        <w:t xml:space="preserve">Chart </w:t>
      </w:r>
      <w:r w:rsidR="00405679">
        <w:t>3</w:t>
      </w:r>
      <w:r w:rsidRPr="00D46E9D">
        <w:t xml:space="preserve"> above presents the change in RLMI ratings over the past year. While most regions recorded no change, there are signs that labour market conditions have softened across parts of Greater Brisbane and surrounding areas, as well as in pockets of Western Australia (including Mandurah and the Outback), Outer East Melbourne, and Hobart. By contrast, labour market conditions have improved modestly across several regional areas of New South Wales, parts of regional Victoria, and across metropolitan Adelaide.</w:t>
      </w:r>
    </w:p>
    <w:p w14:paraId="02B122FB" w14:textId="77777777" w:rsidR="00405679" w:rsidRPr="002F7773" w:rsidRDefault="00405679" w:rsidP="00405679">
      <w:pPr>
        <w:pStyle w:val="Heading3"/>
        <w:keepNext w:val="0"/>
        <w:keepLines w:val="0"/>
      </w:pPr>
      <w:r w:rsidRPr="002F7773">
        <w:t>Incorporating productivity into labour market performance</w:t>
      </w:r>
    </w:p>
    <w:p w14:paraId="609798E6" w14:textId="77777777" w:rsidR="00405679" w:rsidRPr="002F7773" w:rsidRDefault="00405679" w:rsidP="00405679">
      <w:pPr>
        <w:pStyle w:val="Bodycopy"/>
      </w:pPr>
      <w:r w:rsidRPr="002F7773">
        <w:t xml:space="preserve">The </w:t>
      </w:r>
      <w:r>
        <w:t>RLMI</w:t>
      </w:r>
      <w:r w:rsidRPr="002F7773">
        <w:t xml:space="preserve"> has been further enhanced through the addition of a productivity indicator in March 2026. The inclusion of productivity reflects its central role in understanding labour market performance as it captures the efficiency with which labour is used in the economy – how effectively workers, jobs, and capital combine to generate output.</w:t>
      </w:r>
    </w:p>
    <w:p w14:paraId="32D1A5B8" w14:textId="77777777" w:rsidR="00405679" w:rsidRDefault="00405679" w:rsidP="00405679">
      <w:r>
        <w:rPr>
          <w:b/>
          <w:bCs/>
          <w:sz w:val="20"/>
          <w:szCs w:val="20"/>
        </w:rPr>
        <w:t>Table 1</w:t>
      </w:r>
      <w:r w:rsidRPr="00493EE9">
        <w:rPr>
          <w:b/>
          <w:bCs/>
          <w:sz w:val="20"/>
          <w:szCs w:val="20"/>
        </w:rPr>
        <w:t xml:space="preserve">: </w:t>
      </w:r>
      <w:r>
        <w:rPr>
          <w:b/>
          <w:bCs/>
          <w:sz w:val="20"/>
          <w:szCs w:val="20"/>
        </w:rPr>
        <w:t>New RLMI Indicator – March 2026</w:t>
      </w:r>
    </w:p>
    <w:tbl>
      <w:tblPr>
        <w:tblStyle w:val="PlainTable41"/>
        <w:tblW w:w="0" w:type="auto"/>
        <w:tblLook w:val="0480" w:firstRow="0" w:lastRow="0" w:firstColumn="1" w:lastColumn="0" w:noHBand="0" w:noVBand="1"/>
      </w:tblPr>
      <w:tblGrid>
        <w:gridCol w:w="2140"/>
        <w:gridCol w:w="5286"/>
        <w:gridCol w:w="1600"/>
      </w:tblGrid>
      <w:tr w:rsidR="00405679" w:rsidRPr="003E77F6" w14:paraId="00CF4CE4" w14:textId="77777777" w:rsidTr="001B4D55">
        <w:trPr>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441170"/>
            <w:vAlign w:val="bottom"/>
          </w:tcPr>
          <w:p w14:paraId="2FCF5F7B" w14:textId="77777777" w:rsidR="00405679" w:rsidRPr="00F46CCF" w:rsidRDefault="00405679" w:rsidP="001B4D55">
            <w:pPr>
              <w:spacing w:before="120" w:after="120"/>
              <w:rPr>
                <w:b w:val="0"/>
                <w:bCs w:val="0"/>
                <w:color w:val="FFFFFF"/>
                <w:lang w:val="en-US"/>
              </w:rPr>
            </w:pPr>
            <w:r w:rsidRPr="00F46CCF">
              <w:rPr>
                <w:b w:val="0"/>
                <w:bCs w:val="0"/>
                <w:color w:val="FFFFFF"/>
                <w:lang w:val="en-US"/>
              </w:rPr>
              <w:t>Factor</w:t>
            </w:r>
          </w:p>
        </w:tc>
        <w:tc>
          <w:tcPr>
            <w:tcW w:w="0" w:type="auto"/>
            <w:shd w:val="clear" w:color="auto" w:fill="441170"/>
            <w:vAlign w:val="bottom"/>
          </w:tcPr>
          <w:p w14:paraId="418ED124" w14:textId="77777777" w:rsidR="00405679" w:rsidRPr="003E77F6" w:rsidRDefault="00405679" w:rsidP="001B4D55">
            <w:pPr>
              <w:spacing w:before="120" w:after="120"/>
              <w:cnfStyle w:val="000000000000" w:firstRow="0" w:lastRow="0" w:firstColumn="0" w:lastColumn="0" w:oddVBand="0" w:evenVBand="0" w:oddHBand="0" w:evenHBand="0" w:firstRowFirstColumn="0" w:firstRowLastColumn="0" w:lastRowFirstColumn="0" w:lastRowLastColumn="0"/>
              <w:rPr>
                <w:color w:val="FFFFFF"/>
                <w:lang w:val="en-US"/>
              </w:rPr>
            </w:pPr>
            <w:r w:rsidRPr="003E77F6">
              <w:rPr>
                <w:color w:val="FFFFFF"/>
                <w:lang w:val="en-US"/>
              </w:rPr>
              <w:t>Description</w:t>
            </w:r>
          </w:p>
        </w:tc>
        <w:tc>
          <w:tcPr>
            <w:tcW w:w="0" w:type="auto"/>
            <w:shd w:val="clear" w:color="auto" w:fill="441170"/>
          </w:tcPr>
          <w:p w14:paraId="1EFA3BA8" w14:textId="77777777" w:rsidR="00405679" w:rsidRDefault="00405679" w:rsidP="001B4D55">
            <w:pPr>
              <w:spacing w:before="120" w:after="120"/>
              <w:jc w:val="center"/>
              <w:cnfStyle w:val="000000000000" w:firstRow="0" w:lastRow="0" w:firstColumn="0" w:lastColumn="0" w:oddVBand="0" w:evenVBand="0" w:oddHBand="0" w:evenHBand="0" w:firstRowFirstColumn="0" w:firstRowLastColumn="0" w:lastRowFirstColumn="0" w:lastRowLastColumn="0"/>
              <w:rPr>
                <w:color w:val="FFFFFF"/>
                <w:lang w:val="en-US"/>
              </w:rPr>
            </w:pPr>
            <w:r>
              <w:rPr>
                <w:color w:val="FFFFFF"/>
                <w:lang w:val="en-US"/>
              </w:rPr>
              <w:t>Factor Type</w:t>
            </w:r>
          </w:p>
        </w:tc>
      </w:tr>
      <w:tr w:rsidR="00405679" w:rsidRPr="009C2FB6" w14:paraId="2146D0C9" w14:textId="77777777" w:rsidTr="001B4D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F2F2F2" w:themeFill="background1" w:themeFillShade="F2"/>
          </w:tcPr>
          <w:p w14:paraId="2BC5646D" w14:textId="77777777" w:rsidR="00405679" w:rsidRPr="009C2FB6" w:rsidRDefault="00405679" w:rsidP="001B4D55">
            <w:pPr>
              <w:spacing w:before="120" w:after="120"/>
              <w:rPr>
                <w:rFonts w:cs="Arial"/>
                <w:b w:val="0"/>
                <w:bCs w:val="0"/>
                <w:color w:val="000000"/>
              </w:rPr>
            </w:pPr>
            <w:r>
              <w:rPr>
                <w:rFonts w:cs="Arial"/>
                <w:b w:val="0"/>
                <w:bCs w:val="0"/>
                <w:color w:val="000000"/>
              </w:rPr>
              <w:t>5</w:t>
            </w:r>
            <w:r w:rsidRPr="008E36E5">
              <w:rPr>
                <w:rFonts w:cs="Arial"/>
                <w:b w:val="0"/>
                <w:bCs w:val="0"/>
                <w:color w:val="000000"/>
              </w:rPr>
              <w:t>-year annual average growth rate of productivity</w:t>
            </w:r>
          </w:p>
        </w:tc>
        <w:tc>
          <w:tcPr>
            <w:tcW w:w="0" w:type="auto"/>
            <w:tcBorders>
              <w:bottom w:val="single" w:sz="4" w:space="0" w:color="auto"/>
            </w:tcBorders>
            <w:shd w:val="clear" w:color="auto" w:fill="F2F2F2" w:themeFill="background1" w:themeFillShade="F2"/>
          </w:tcPr>
          <w:p w14:paraId="4EAA79C6" w14:textId="77777777" w:rsidR="00405679" w:rsidRPr="00234B55" w:rsidRDefault="00405679" w:rsidP="001B4D55">
            <w:pPr>
              <w:spacing w:before="120" w:after="120"/>
              <w:cnfStyle w:val="000000100000" w:firstRow="0" w:lastRow="0" w:firstColumn="0" w:lastColumn="0" w:oddVBand="0" w:evenVBand="0" w:oddHBand="1" w:evenHBand="0" w:firstRowFirstColumn="0" w:firstRowLastColumn="0" w:lastRowFirstColumn="0" w:lastRowLastColumn="0"/>
              <w:rPr>
                <w:rFonts w:cs="Arial"/>
              </w:rPr>
            </w:pPr>
            <w:r w:rsidRPr="00234B55">
              <w:rPr>
                <w:rFonts w:cs="Arial"/>
              </w:rPr>
              <w:t>5-year annual average productivity growth rate (%) where productivity is defined as Local Industry G</w:t>
            </w:r>
            <w:r>
              <w:rPr>
                <w:rFonts w:cs="Arial"/>
              </w:rPr>
              <w:t xml:space="preserve">ross </w:t>
            </w:r>
            <w:r w:rsidRPr="00234B55">
              <w:rPr>
                <w:rFonts w:cs="Arial"/>
              </w:rPr>
              <w:t>R</w:t>
            </w:r>
            <w:r>
              <w:rPr>
                <w:rFonts w:cs="Arial"/>
              </w:rPr>
              <w:t xml:space="preserve">egional </w:t>
            </w:r>
            <w:r w:rsidRPr="00234B55">
              <w:rPr>
                <w:rFonts w:cs="Arial"/>
              </w:rPr>
              <w:t>P</w:t>
            </w:r>
            <w:r>
              <w:rPr>
                <w:rFonts w:cs="Arial"/>
              </w:rPr>
              <w:t>roduct</w:t>
            </w:r>
            <w:r w:rsidRPr="00234B55">
              <w:rPr>
                <w:rFonts w:cs="Arial"/>
              </w:rPr>
              <w:t xml:space="preserve"> (GRP at factor cost) per employed person on an industry adjusted basis.</w:t>
            </w:r>
          </w:p>
          <w:p w14:paraId="7D0E6D8A" w14:textId="77777777" w:rsidR="00405679" w:rsidRPr="009C2FB6" w:rsidRDefault="00405679" w:rsidP="001B4D55">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rPr>
            </w:pPr>
            <w:r w:rsidRPr="00234B55">
              <w:rPr>
                <w:rFonts w:cs="Arial"/>
              </w:rPr>
              <w:t>Local GRP measures the value of economic activity accruing to the local area after taxes and dividends paid outside the region are removed.</w:t>
            </w:r>
          </w:p>
        </w:tc>
        <w:tc>
          <w:tcPr>
            <w:tcW w:w="0" w:type="auto"/>
            <w:tcBorders>
              <w:bottom w:val="single" w:sz="4" w:space="0" w:color="auto"/>
            </w:tcBorders>
            <w:shd w:val="clear" w:color="auto" w:fill="F2F2F2" w:themeFill="background1" w:themeFillShade="F2"/>
          </w:tcPr>
          <w:p w14:paraId="2D8D501A" w14:textId="77777777" w:rsidR="00405679" w:rsidRDefault="00405679" w:rsidP="001B4D55">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rPr>
              <w:t>Intersection (structural)</w:t>
            </w:r>
          </w:p>
        </w:tc>
      </w:tr>
    </w:tbl>
    <w:p w14:paraId="34C4729B" w14:textId="77777777" w:rsidR="00405679" w:rsidRDefault="00405679" w:rsidP="00405679">
      <w:pPr>
        <w:pStyle w:val="Bodycopy"/>
        <w:rPr>
          <w:bCs/>
          <w:iCs/>
        </w:rPr>
      </w:pPr>
    </w:p>
    <w:p w14:paraId="6F6D7800" w14:textId="77777777" w:rsidR="00405679" w:rsidRDefault="00405679" w:rsidP="00405679">
      <w:pPr>
        <w:pStyle w:val="Bodycopy"/>
        <w:rPr>
          <w:bCs/>
          <w:iCs/>
        </w:rPr>
      </w:pPr>
      <w:r w:rsidRPr="00234B55">
        <w:rPr>
          <w:bCs/>
          <w:iCs/>
        </w:rPr>
        <w:t xml:space="preserve">The productivity measure incorporated into the RLMI is based on </w:t>
      </w:r>
      <w:r>
        <w:rPr>
          <w:bCs/>
          <w:iCs/>
        </w:rPr>
        <w:t>5</w:t>
      </w:r>
      <w:r w:rsidRPr="00234B55">
        <w:rPr>
          <w:bCs/>
          <w:iCs/>
        </w:rPr>
        <w:noBreakHyphen/>
        <w:t>year average growth in industry</w:t>
      </w:r>
      <w:r w:rsidRPr="00234B55">
        <w:rPr>
          <w:bCs/>
          <w:iCs/>
        </w:rPr>
        <w:noBreakHyphen/>
        <w:t>adjusted Gross Regional Product (GRP) per employed person. This industry adjustment ensures that differences across regions reflect variation in within</w:t>
      </w:r>
      <w:r w:rsidRPr="00234B55">
        <w:rPr>
          <w:bCs/>
          <w:iCs/>
        </w:rPr>
        <w:noBreakHyphen/>
        <w:t xml:space="preserve">industry </w:t>
      </w:r>
      <w:r w:rsidRPr="00234B55">
        <w:rPr>
          <w:bCs/>
          <w:iCs/>
        </w:rPr>
        <w:lastRenderedPageBreak/>
        <w:t xml:space="preserve">performance rather than variation in industry structure. The use of a </w:t>
      </w:r>
      <w:r>
        <w:rPr>
          <w:bCs/>
          <w:iCs/>
        </w:rPr>
        <w:t>5</w:t>
      </w:r>
      <w:r w:rsidRPr="00234B55">
        <w:rPr>
          <w:bCs/>
          <w:iCs/>
        </w:rPr>
        <w:noBreakHyphen/>
        <w:t xml:space="preserve">year average </w:t>
      </w:r>
      <w:r w:rsidRPr="002F7773">
        <w:rPr>
          <w:bCs/>
          <w:iCs/>
        </w:rPr>
        <w:t>reduces short</w:t>
      </w:r>
      <w:r w:rsidRPr="002F7773">
        <w:rPr>
          <w:rFonts w:ascii="Cambria Math" w:hAnsi="Cambria Math" w:cs="Cambria Math"/>
          <w:bCs/>
          <w:iCs/>
        </w:rPr>
        <w:t>‑</w:t>
      </w:r>
      <w:r w:rsidRPr="002F7773">
        <w:rPr>
          <w:bCs/>
          <w:iCs/>
        </w:rPr>
        <w:t>term volatility and cyclical effects, making this a more stable indicator of structural labour market performance, but less responsive to current labour market conditions.</w:t>
      </w:r>
    </w:p>
    <w:p w14:paraId="55A19415" w14:textId="5CB522D5" w:rsidR="00405679" w:rsidRPr="00D56825" w:rsidRDefault="00405679" w:rsidP="00405679">
      <w:pPr>
        <w:pStyle w:val="Bodycopy"/>
        <w:rPr>
          <w:b/>
          <w:bCs/>
          <w:color w:val="auto"/>
          <w:sz w:val="20"/>
          <w:szCs w:val="20"/>
        </w:rPr>
      </w:pPr>
      <w:r w:rsidRPr="00D56825">
        <w:rPr>
          <w:b/>
          <w:bCs/>
          <w:color w:val="auto"/>
          <w:sz w:val="20"/>
          <w:szCs w:val="20"/>
        </w:rPr>
        <w:t xml:space="preserve">Chart </w:t>
      </w:r>
      <w:r>
        <w:rPr>
          <w:b/>
          <w:bCs/>
          <w:color w:val="auto"/>
          <w:sz w:val="20"/>
          <w:szCs w:val="20"/>
        </w:rPr>
        <w:t>4</w:t>
      </w:r>
      <w:r w:rsidRPr="00D56825">
        <w:rPr>
          <w:b/>
          <w:bCs/>
          <w:color w:val="auto"/>
          <w:sz w:val="20"/>
          <w:szCs w:val="20"/>
        </w:rPr>
        <w:t xml:space="preserve">: </w:t>
      </w:r>
      <w:r>
        <w:rPr>
          <w:b/>
          <w:bCs/>
          <w:color w:val="auto"/>
          <w:sz w:val="20"/>
          <w:szCs w:val="20"/>
        </w:rPr>
        <w:t>5-year annual average productivity growth, by remoteness</w:t>
      </w:r>
    </w:p>
    <w:p w14:paraId="32BABBAD" w14:textId="77777777" w:rsidR="00405679" w:rsidRDefault="00405679" w:rsidP="00405679">
      <w:pPr>
        <w:pStyle w:val="Bodycopy"/>
        <w:rPr>
          <w:bCs/>
          <w:iCs/>
        </w:rPr>
      </w:pPr>
      <w:r>
        <w:rPr>
          <w:bCs/>
          <w:iCs/>
          <w:noProof/>
        </w:rPr>
        <w:drawing>
          <wp:inline distT="0" distB="0" distL="0" distR="0" wp14:anchorId="536A9BED" wp14:editId="3BECBD46">
            <wp:extent cx="5730875" cy="2853055"/>
            <wp:effectExtent l="0" t="0" r="3175" b="4445"/>
            <wp:docPr id="591624221" name="Picture 1" descr="A line chart that shows the 5-year annual average productivity growth rate (adjusted for industry differences) for Major Cities, Regional Australia and Remote Australia. The chart shows that productivity growth has strengthened in Remote and Regional Australia over the past 5 years, increasing by an annual average rate of 1.2% and 0.8%, respective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624221" name="Picture 1" descr="A line chart that shows the 5-year annual average productivity growth rate (adjusted for industry differences) for Major Cities, Regional Australia and Remote Australia. The chart shows that productivity growth has strengthened in Remote and Regional Australia over the past 5 years, increasing by an annual average rate of 1.2% and 0.8%, respectively.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0875" cy="2853055"/>
                    </a:xfrm>
                    <a:prstGeom prst="rect">
                      <a:avLst/>
                    </a:prstGeom>
                    <a:noFill/>
                  </pic:spPr>
                </pic:pic>
              </a:graphicData>
            </a:graphic>
          </wp:inline>
        </w:drawing>
      </w:r>
    </w:p>
    <w:p w14:paraId="40BEB1B7" w14:textId="77777777" w:rsidR="00405679" w:rsidRDefault="00405679" w:rsidP="00405679">
      <w:pPr>
        <w:pStyle w:val="Bodycopy"/>
        <w:rPr>
          <w:i/>
          <w:sz w:val="18"/>
          <w:szCs w:val="18"/>
        </w:rPr>
      </w:pPr>
      <w:r w:rsidRPr="000B190E">
        <w:rPr>
          <w:i/>
          <w:sz w:val="18"/>
          <w:szCs w:val="18"/>
        </w:rPr>
        <w:t>Source: </w:t>
      </w:r>
      <w:r w:rsidRPr="00D16E8C">
        <w:rPr>
          <w:i/>
          <w:sz w:val="18"/>
          <w:szCs w:val="18"/>
        </w:rPr>
        <w:t>National Institute of Economic and Industry Research (NIEIR), Regional Productivity dataset, adjusted for industry differences, 2024</w:t>
      </w:r>
    </w:p>
    <w:p w14:paraId="6EB49976" w14:textId="77777777" w:rsidR="00405679" w:rsidRDefault="00405679" w:rsidP="00405679">
      <w:pPr>
        <w:pStyle w:val="Bodycopy"/>
        <w:rPr>
          <w:i/>
          <w:sz w:val="18"/>
          <w:szCs w:val="18"/>
        </w:rPr>
      </w:pPr>
      <w:r>
        <w:rPr>
          <w:i/>
          <w:sz w:val="18"/>
          <w:szCs w:val="18"/>
        </w:rPr>
        <w:t xml:space="preserve">Note: See Table 1 for the full list of regions and the classification of ‘Major Cities’, ‘Regional Australia’ and ‘Remote Australia’ used in this report. </w:t>
      </w:r>
    </w:p>
    <w:p w14:paraId="217037DC" w14:textId="0283C90A" w:rsidR="00405679" w:rsidRPr="00A15827" w:rsidRDefault="00405679" w:rsidP="00405679">
      <w:pPr>
        <w:pStyle w:val="Bodycopy"/>
        <w:rPr>
          <w:bCs/>
          <w:iCs/>
        </w:rPr>
      </w:pPr>
      <w:r w:rsidRPr="002D2340">
        <w:rPr>
          <w:bCs/>
          <w:iCs/>
        </w:rPr>
        <w:t xml:space="preserve">Chart </w:t>
      </w:r>
      <w:r>
        <w:rPr>
          <w:bCs/>
          <w:iCs/>
        </w:rPr>
        <w:t>4</w:t>
      </w:r>
      <w:r w:rsidRPr="002D2340">
        <w:rPr>
          <w:bCs/>
          <w:iCs/>
        </w:rPr>
        <w:t xml:space="preserve"> above shows that the 5</w:t>
      </w:r>
      <w:r>
        <w:rPr>
          <w:bCs/>
          <w:iCs/>
        </w:rPr>
        <w:t>-</w:t>
      </w:r>
      <w:r w:rsidRPr="002D2340">
        <w:rPr>
          <w:bCs/>
          <w:iCs/>
        </w:rPr>
        <w:t xml:space="preserve">year annual average productivity growth rate (adjusted for industry differences) has generally moderated over the past decade. While the series shows some variation over time, growth rates across all region types are lower than in the mid-2010s, consistent with broader evidence of a national productivity slowdown. The series also reflects the disruption associated with the COVID period, where measured productivity temporarily declined before rebounding as labour market conditions and output adjusted. </w:t>
      </w:r>
    </w:p>
    <w:p w14:paraId="691BAD4A" w14:textId="77777777" w:rsidR="00405679" w:rsidRPr="00A15827" w:rsidRDefault="00405679" w:rsidP="00405679">
      <w:pPr>
        <w:pStyle w:val="Bodycopy"/>
        <w:rPr>
          <w:bCs/>
          <w:iCs/>
        </w:rPr>
      </w:pPr>
      <w:r w:rsidRPr="00A15827">
        <w:rPr>
          <w:bCs/>
          <w:iCs/>
        </w:rPr>
        <w:t>In recent years,</w:t>
      </w:r>
      <w:r>
        <w:rPr>
          <w:bCs/>
          <w:iCs/>
        </w:rPr>
        <w:t xml:space="preserve"> however,</w:t>
      </w:r>
      <w:r w:rsidRPr="00A15827">
        <w:rPr>
          <w:bCs/>
          <w:iCs/>
        </w:rPr>
        <w:t xml:space="preserve"> productivity growth has </w:t>
      </w:r>
      <w:r>
        <w:rPr>
          <w:bCs/>
          <w:iCs/>
        </w:rPr>
        <w:t>strengthened</w:t>
      </w:r>
      <w:r w:rsidRPr="00A15827">
        <w:rPr>
          <w:bCs/>
          <w:iCs/>
        </w:rPr>
        <w:t xml:space="preserve"> in Re</w:t>
      </w:r>
      <w:r>
        <w:rPr>
          <w:bCs/>
          <w:iCs/>
        </w:rPr>
        <w:t>mote</w:t>
      </w:r>
      <w:r w:rsidRPr="00A15827">
        <w:rPr>
          <w:bCs/>
          <w:iCs/>
        </w:rPr>
        <w:t xml:space="preserve"> and R</w:t>
      </w:r>
      <w:r>
        <w:rPr>
          <w:bCs/>
          <w:iCs/>
        </w:rPr>
        <w:t>egional</w:t>
      </w:r>
      <w:r w:rsidRPr="00A15827">
        <w:rPr>
          <w:bCs/>
          <w:iCs/>
        </w:rPr>
        <w:t xml:space="preserve"> Australia. Over the past </w:t>
      </w:r>
      <w:r>
        <w:rPr>
          <w:bCs/>
          <w:iCs/>
        </w:rPr>
        <w:t>5</w:t>
      </w:r>
      <w:r w:rsidRPr="00A15827">
        <w:rPr>
          <w:bCs/>
          <w:iCs/>
        </w:rPr>
        <w:t xml:space="preserve"> years, productivity has grown by </w:t>
      </w:r>
      <w:r>
        <w:rPr>
          <w:bCs/>
          <w:iCs/>
        </w:rPr>
        <w:t xml:space="preserve">an annual average rate </w:t>
      </w:r>
      <w:r w:rsidRPr="00A15827">
        <w:rPr>
          <w:bCs/>
          <w:iCs/>
        </w:rPr>
        <w:t>1.2</w:t>
      </w:r>
      <w:r>
        <w:rPr>
          <w:bCs/>
          <w:iCs/>
        </w:rPr>
        <w:t xml:space="preserve">% </w:t>
      </w:r>
      <w:r w:rsidRPr="00A15827">
        <w:rPr>
          <w:bCs/>
          <w:iCs/>
        </w:rPr>
        <w:t xml:space="preserve">in </w:t>
      </w:r>
      <w:r>
        <w:rPr>
          <w:bCs/>
          <w:iCs/>
        </w:rPr>
        <w:t>R</w:t>
      </w:r>
      <w:r w:rsidRPr="00A15827">
        <w:rPr>
          <w:bCs/>
          <w:iCs/>
        </w:rPr>
        <w:t>emote Australia and 0.8</w:t>
      </w:r>
      <w:r>
        <w:rPr>
          <w:bCs/>
          <w:iCs/>
        </w:rPr>
        <w:t>%</w:t>
      </w:r>
      <w:r w:rsidRPr="00A15827">
        <w:rPr>
          <w:bCs/>
          <w:iCs/>
        </w:rPr>
        <w:t xml:space="preserve"> in </w:t>
      </w:r>
      <w:r>
        <w:rPr>
          <w:bCs/>
          <w:iCs/>
        </w:rPr>
        <w:t>R</w:t>
      </w:r>
      <w:r w:rsidRPr="00A15827">
        <w:rPr>
          <w:bCs/>
          <w:iCs/>
        </w:rPr>
        <w:t>egional Australia.</w:t>
      </w:r>
    </w:p>
    <w:p w14:paraId="65D3DCD4" w14:textId="77777777" w:rsidR="00405679" w:rsidRDefault="00405679" w:rsidP="00405679">
      <w:pPr>
        <w:pStyle w:val="Bodycopy"/>
        <w:rPr>
          <w:bCs/>
          <w:iCs/>
        </w:rPr>
      </w:pPr>
      <w:r w:rsidRPr="00A15827">
        <w:rPr>
          <w:bCs/>
          <w:iCs/>
        </w:rPr>
        <w:t xml:space="preserve">These patterns highlight the importance of interpreting productivity alongside other RLMI indicators. While productivity growth has been stronger in </w:t>
      </w:r>
      <w:r>
        <w:rPr>
          <w:bCs/>
          <w:iCs/>
        </w:rPr>
        <w:t>R</w:t>
      </w:r>
      <w:r w:rsidRPr="00A15827">
        <w:rPr>
          <w:bCs/>
          <w:iCs/>
        </w:rPr>
        <w:t xml:space="preserve">egional and </w:t>
      </w:r>
      <w:r>
        <w:rPr>
          <w:bCs/>
          <w:iCs/>
        </w:rPr>
        <w:t>R</w:t>
      </w:r>
      <w:r w:rsidRPr="00A15827">
        <w:rPr>
          <w:bCs/>
          <w:iCs/>
        </w:rPr>
        <w:t>emote Australia</w:t>
      </w:r>
      <w:r>
        <w:rPr>
          <w:bCs/>
          <w:iCs/>
        </w:rPr>
        <w:t xml:space="preserve"> in recent years</w:t>
      </w:r>
      <w:r w:rsidRPr="00A15827">
        <w:rPr>
          <w:bCs/>
          <w:iCs/>
        </w:rPr>
        <w:t>, this does not necessarily correspond to uniformly stronger labour market conditions</w:t>
      </w:r>
      <w:r>
        <w:rPr>
          <w:bCs/>
          <w:iCs/>
        </w:rPr>
        <w:t xml:space="preserve"> as the March 2026 RLMI results show that regional and remote areas </w:t>
      </w:r>
      <w:r w:rsidRPr="00B247ED">
        <w:t>continue to be more likely to experience relatively weaker labour market conditions</w:t>
      </w:r>
      <w:r w:rsidRPr="00A15827">
        <w:rPr>
          <w:bCs/>
          <w:iCs/>
        </w:rPr>
        <w:t>. Instead, productivity provides a complementary, longer</w:t>
      </w:r>
      <w:r w:rsidRPr="00A15827">
        <w:rPr>
          <w:bCs/>
          <w:iCs/>
        </w:rPr>
        <w:noBreakHyphen/>
        <w:t>term lens on how effectively labour is utilised across regions.</w:t>
      </w:r>
    </w:p>
    <w:p w14:paraId="0BCB8EE7" w14:textId="77777777" w:rsidR="00405679" w:rsidRPr="00A3203D" w:rsidRDefault="00405679" w:rsidP="00405679">
      <w:pPr>
        <w:pStyle w:val="Bodycopy"/>
        <w:rPr>
          <w:bCs/>
          <w:iCs/>
        </w:rPr>
      </w:pPr>
      <w:r w:rsidRPr="002F7773">
        <w:t xml:space="preserve">The inclusion of productivity </w:t>
      </w:r>
      <w:r>
        <w:t xml:space="preserve">reflects </w:t>
      </w:r>
      <w:r w:rsidRPr="002F7773">
        <w:rPr>
          <w:bCs/>
          <w:iCs/>
        </w:rPr>
        <w:t xml:space="preserve">continued development of the RLMI, and innovation in JSA data and methods, as JSA continues to review and refine the input factors included in the </w:t>
      </w:r>
      <w:r>
        <w:rPr>
          <w:bCs/>
          <w:iCs/>
        </w:rPr>
        <w:t xml:space="preserve">composite </w:t>
      </w:r>
      <w:r w:rsidRPr="002F7773">
        <w:rPr>
          <w:bCs/>
          <w:iCs/>
        </w:rPr>
        <w:t>indicator. This ensures the RLMI is a highly robust and reliable measure of labour</w:t>
      </w:r>
      <w:r w:rsidRPr="002F7773">
        <w:rPr>
          <w:rFonts w:ascii="Cambria Math" w:hAnsi="Cambria Math" w:cs="Cambria Math"/>
          <w:bCs/>
          <w:iCs/>
        </w:rPr>
        <w:t>‑</w:t>
      </w:r>
      <w:r w:rsidRPr="002F7773">
        <w:rPr>
          <w:bCs/>
          <w:iCs/>
        </w:rPr>
        <w:t>market strength.</w:t>
      </w:r>
      <w:r w:rsidRPr="00D56322">
        <w:t xml:space="preserve"> </w:t>
      </w:r>
    </w:p>
    <w:tbl>
      <w:tblPr>
        <w:tblStyle w:val="CustomTablepulloutbox"/>
        <w:tblW w:w="0" w:type="auto"/>
        <w:tblLook w:val="04A0" w:firstRow="1" w:lastRow="0" w:firstColumn="1" w:lastColumn="0" w:noHBand="0" w:noVBand="1"/>
      </w:tblPr>
      <w:tblGrid>
        <w:gridCol w:w="8996"/>
      </w:tblGrid>
      <w:tr w:rsidR="00405679" w14:paraId="04307E51" w14:textId="77777777" w:rsidTr="001B4D55">
        <w:tc>
          <w:tcPr>
            <w:tcW w:w="8997" w:type="dxa"/>
          </w:tcPr>
          <w:p w14:paraId="1B35FE40" w14:textId="77777777" w:rsidR="00405679" w:rsidRPr="007106F3" w:rsidRDefault="00405679" w:rsidP="001B4D55">
            <w:pPr>
              <w:pStyle w:val="BoxHeading"/>
              <w:rPr>
                <w:sz w:val="24"/>
              </w:rPr>
            </w:pPr>
            <w:r>
              <w:rPr>
                <w:sz w:val="24"/>
              </w:rPr>
              <w:lastRenderedPageBreak/>
              <w:t>Remote Australia</w:t>
            </w:r>
          </w:p>
          <w:p w14:paraId="016797EC" w14:textId="77777777" w:rsidR="00405679" w:rsidRPr="00405679" w:rsidRDefault="00405679" w:rsidP="001B4D55">
            <w:pPr>
              <w:pStyle w:val="BodyText"/>
              <w:rPr>
                <w:rFonts w:eastAsia="Times New Roman" w:cs="Arial"/>
                <w:sz w:val="22"/>
                <w:szCs w:val="22"/>
                <w:lang w:eastAsia="en-AU"/>
              </w:rPr>
            </w:pPr>
            <w:r w:rsidRPr="00405679">
              <w:rPr>
                <w:rFonts w:eastAsia="Times New Roman" w:cs="Arial"/>
                <w:sz w:val="22"/>
                <w:szCs w:val="22"/>
                <w:lang w:eastAsia="en-AU"/>
              </w:rPr>
              <w:t xml:space="preserve">New in the March 2026 RLMI release is the inclusion of a combined rating for Remote Australia, produced in addition to the standard Statistical Area 4 (SA4) level ratings. </w:t>
            </w:r>
          </w:p>
          <w:p w14:paraId="7E3BF4D3" w14:textId="77777777" w:rsidR="00405679" w:rsidRPr="00405679" w:rsidRDefault="00405679" w:rsidP="001B4D55">
            <w:pPr>
              <w:pStyle w:val="ListParagraph"/>
              <w:numPr>
                <w:ilvl w:val="0"/>
                <w:numId w:val="38"/>
              </w:numPr>
              <w:rPr>
                <w:rFonts w:eastAsia="Times New Roman" w:cs="Arial"/>
                <w:sz w:val="22"/>
                <w:szCs w:val="22"/>
                <w:lang w:eastAsia="en-AU"/>
              </w:rPr>
            </w:pPr>
            <w:r w:rsidRPr="00405679">
              <w:rPr>
                <w:rFonts w:eastAsia="Times New Roman" w:cs="Arial"/>
                <w:sz w:val="22"/>
                <w:szCs w:val="22"/>
                <w:lang w:eastAsia="en-AU"/>
              </w:rPr>
              <w:t xml:space="preserve">Remote Australia comprises the following SA4 regions: Far West and Orana (NSW), Queensland – Outback, South Australia – Outback, Western Australia – Outback (North and South), Tasmania – West and </w:t>
            </w:r>
            <w:proofErr w:type="gramStart"/>
            <w:r w:rsidRPr="00405679">
              <w:rPr>
                <w:rFonts w:eastAsia="Times New Roman" w:cs="Arial"/>
                <w:sz w:val="22"/>
                <w:szCs w:val="22"/>
                <w:lang w:eastAsia="en-AU"/>
              </w:rPr>
              <w:t>North West</w:t>
            </w:r>
            <w:proofErr w:type="gramEnd"/>
            <w:r w:rsidRPr="00405679">
              <w:rPr>
                <w:rFonts w:eastAsia="Times New Roman" w:cs="Arial"/>
                <w:sz w:val="22"/>
                <w:szCs w:val="22"/>
                <w:lang w:eastAsia="en-AU"/>
              </w:rPr>
              <w:t xml:space="preserve">, and the Northern Territory – Outback. </w:t>
            </w:r>
          </w:p>
          <w:p w14:paraId="5D2C366B" w14:textId="77777777" w:rsidR="00405679" w:rsidRPr="004C7B8D" w:rsidRDefault="00405679" w:rsidP="001B4D55">
            <w:pPr>
              <w:pStyle w:val="BodyText"/>
              <w:rPr>
                <w:rFonts w:eastAsia="Times New Roman" w:cs="Arial"/>
                <w:lang w:val="en-AU" w:eastAsia="en-AU"/>
              </w:rPr>
            </w:pPr>
            <w:r w:rsidRPr="00405679">
              <w:rPr>
                <w:rFonts w:eastAsia="Times New Roman" w:cs="Arial"/>
                <w:sz w:val="22"/>
                <w:szCs w:val="22"/>
                <w:lang w:val="en-AU" w:eastAsia="en-AU"/>
              </w:rPr>
              <w:t>This addition recognises that some labour markets are geographically isolated, with shared structural challenges across regions. These may include limited job opportunities, lower levels of educational attainment, difficulties attracting and retaining workers, and more limited access to services and infrastructure. Viewing Remote Australia as a single integrated labour market may help to improve the consistency and interpretability of the evidence, supporting a clearer understanding of labour market conditions across these areas.</w:t>
            </w:r>
          </w:p>
        </w:tc>
      </w:tr>
    </w:tbl>
    <w:p w14:paraId="0F27BE03" w14:textId="77777777" w:rsidR="00405679" w:rsidRDefault="00405679">
      <w:pPr>
        <w:spacing w:after="160" w:line="259" w:lineRule="auto"/>
        <w:rPr>
          <w:rFonts w:eastAsiaTheme="majorEastAsia" w:cstheme="majorBidi"/>
          <w:b/>
          <w:sz w:val="32"/>
          <w:szCs w:val="26"/>
        </w:rPr>
      </w:pPr>
    </w:p>
    <w:p w14:paraId="3F732772" w14:textId="6216D4A5" w:rsidR="00B277DD" w:rsidRDefault="00B277DD">
      <w:pPr>
        <w:spacing w:after="160" w:line="259" w:lineRule="auto"/>
        <w:rPr>
          <w:rFonts w:eastAsiaTheme="majorEastAsia" w:cstheme="majorBidi"/>
          <w:b/>
          <w:sz w:val="32"/>
          <w:szCs w:val="26"/>
        </w:rPr>
      </w:pPr>
      <w:r>
        <w:rPr>
          <w:rFonts w:eastAsiaTheme="majorEastAsia" w:cstheme="majorBidi"/>
          <w:b/>
          <w:sz w:val="32"/>
          <w:szCs w:val="26"/>
        </w:rPr>
        <w:br w:type="page"/>
      </w:r>
    </w:p>
    <w:p w14:paraId="46439288" w14:textId="5AFC8464" w:rsidR="00FF2A2C" w:rsidRPr="00BC1B66" w:rsidRDefault="000E05A6" w:rsidP="00FF2A2C">
      <w:pPr>
        <w:pStyle w:val="Heading2"/>
        <w:keepNext w:val="0"/>
        <w:keepLines w:val="0"/>
      </w:pPr>
      <w:r>
        <w:lastRenderedPageBreak/>
        <w:t xml:space="preserve">Table 1: </w:t>
      </w:r>
      <w:r w:rsidR="00FF2A2C" w:rsidRPr="005B20A6">
        <w:t xml:space="preserve">Labour Market Rating by SA4, </w:t>
      </w:r>
      <w:r w:rsidR="005B20A6" w:rsidRPr="005B20A6">
        <w:t>March 2026</w:t>
      </w:r>
    </w:p>
    <w:tbl>
      <w:tblPr>
        <w:tblW w:w="9600" w:type="dxa"/>
        <w:tblLook w:val="04A0" w:firstRow="1" w:lastRow="0" w:firstColumn="1" w:lastColumn="0" w:noHBand="0" w:noVBand="1"/>
      </w:tblPr>
      <w:tblGrid>
        <w:gridCol w:w="3320"/>
        <w:gridCol w:w="2200"/>
        <w:gridCol w:w="1460"/>
        <w:gridCol w:w="1460"/>
        <w:gridCol w:w="1160"/>
      </w:tblGrid>
      <w:tr w:rsidR="00E33193" w:rsidRPr="00E33193" w14:paraId="435BC0D5" w14:textId="77777777" w:rsidTr="00E33193">
        <w:trPr>
          <w:trHeight w:val="283"/>
        </w:trPr>
        <w:tc>
          <w:tcPr>
            <w:tcW w:w="3320" w:type="dxa"/>
            <w:tcBorders>
              <w:top w:val="single" w:sz="4" w:space="0" w:color="auto"/>
              <w:left w:val="single" w:sz="4" w:space="0" w:color="auto"/>
              <w:bottom w:val="nil"/>
              <w:right w:val="single" w:sz="4" w:space="0" w:color="auto"/>
            </w:tcBorders>
            <w:shd w:val="clear" w:color="000000" w:fill="4B0985"/>
            <w:vAlign w:val="center"/>
            <w:hideMark/>
          </w:tcPr>
          <w:p w14:paraId="1EC9ACA9" w14:textId="77777777" w:rsidR="00E33193" w:rsidRPr="00E33193" w:rsidRDefault="00E33193" w:rsidP="00E33193">
            <w:pPr>
              <w:spacing w:after="0" w:line="240" w:lineRule="auto"/>
              <w:jc w:val="center"/>
              <w:rPr>
                <w:rFonts w:eastAsia="Times New Roman" w:cs="Arial"/>
                <w:b/>
                <w:bCs/>
                <w:color w:val="FFFFFF"/>
                <w:sz w:val="18"/>
                <w:szCs w:val="18"/>
                <w:lang w:eastAsia="en-AU"/>
              </w:rPr>
            </w:pPr>
            <w:r w:rsidRPr="00E33193">
              <w:rPr>
                <w:rFonts w:eastAsia="Times New Roman" w:cs="Arial"/>
                <w:b/>
                <w:bCs/>
                <w:color w:val="FFFFFF"/>
                <w:sz w:val="18"/>
                <w:szCs w:val="18"/>
                <w:lang w:eastAsia="en-AU"/>
              </w:rPr>
              <w:t>Statistical Area Level 4 (SA4)</w:t>
            </w:r>
          </w:p>
        </w:tc>
        <w:tc>
          <w:tcPr>
            <w:tcW w:w="2200" w:type="dxa"/>
            <w:tcBorders>
              <w:top w:val="single" w:sz="4" w:space="0" w:color="auto"/>
              <w:left w:val="nil"/>
              <w:bottom w:val="nil"/>
              <w:right w:val="nil"/>
            </w:tcBorders>
            <w:shd w:val="clear" w:color="000000" w:fill="4B0985"/>
            <w:vAlign w:val="center"/>
            <w:hideMark/>
          </w:tcPr>
          <w:p w14:paraId="39F1A124" w14:textId="20277274" w:rsidR="00E33193" w:rsidRPr="00E33193" w:rsidRDefault="00E33193" w:rsidP="00E33193">
            <w:pPr>
              <w:spacing w:after="0" w:line="240" w:lineRule="auto"/>
              <w:jc w:val="center"/>
              <w:rPr>
                <w:rFonts w:eastAsia="Times New Roman" w:cs="Arial"/>
                <w:b/>
                <w:bCs/>
                <w:color w:val="FFFFFF"/>
                <w:sz w:val="18"/>
                <w:szCs w:val="18"/>
                <w:lang w:eastAsia="en-AU"/>
              </w:rPr>
            </w:pPr>
            <w:r w:rsidRPr="00E33193">
              <w:rPr>
                <w:rFonts w:eastAsia="Times New Roman" w:cs="Arial"/>
                <w:b/>
                <w:bCs/>
                <w:color w:val="FFFFFF"/>
                <w:sz w:val="18"/>
                <w:szCs w:val="18"/>
                <w:lang w:eastAsia="en-AU"/>
              </w:rPr>
              <w:t>Remoteness</w:t>
            </w:r>
            <w:r w:rsidRPr="000E05A6">
              <w:rPr>
                <w:rFonts w:ascii="Arial Bold" w:eastAsia="Times New Roman" w:hAnsi="Arial Bold" w:cs="Arial"/>
                <w:b/>
                <w:bCs/>
                <w:color w:val="FFFFFF"/>
                <w:sz w:val="18"/>
                <w:szCs w:val="18"/>
                <w:vertAlign w:val="superscript"/>
                <w:lang w:eastAsia="en-AU"/>
              </w:rPr>
              <w:t>1</w:t>
            </w:r>
          </w:p>
        </w:tc>
        <w:tc>
          <w:tcPr>
            <w:tcW w:w="1460" w:type="dxa"/>
            <w:tcBorders>
              <w:top w:val="single" w:sz="4" w:space="0" w:color="auto"/>
              <w:left w:val="single" w:sz="4" w:space="0" w:color="auto"/>
              <w:bottom w:val="single" w:sz="4" w:space="0" w:color="auto"/>
              <w:right w:val="single" w:sz="4" w:space="0" w:color="auto"/>
            </w:tcBorders>
            <w:shd w:val="clear" w:color="000000" w:fill="4B0985"/>
            <w:noWrap/>
            <w:vAlign w:val="center"/>
            <w:hideMark/>
          </w:tcPr>
          <w:p w14:paraId="05BFC271" w14:textId="77777777" w:rsidR="00E33193" w:rsidRPr="00E33193" w:rsidRDefault="00E33193" w:rsidP="00E33193">
            <w:pPr>
              <w:spacing w:after="0" w:line="240" w:lineRule="auto"/>
              <w:jc w:val="center"/>
              <w:rPr>
                <w:rFonts w:eastAsia="Times New Roman" w:cs="Arial"/>
                <w:b/>
                <w:bCs/>
                <w:color w:val="FFFFFF"/>
                <w:sz w:val="18"/>
                <w:szCs w:val="18"/>
                <w:lang w:eastAsia="en-AU"/>
              </w:rPr>
            </w:pPr>
            <w:r w:rsidRPr="00E33193">
              <w:rPr>
                <w:rFonts w:eastAsia="Times New Roman" w:cs="Arial"/>
                <w:b/>
                <w:bCs/>
                <w:color w:val="FFFFFF"/>
                <w:sz w:val="18"/>
                <w:szCs w:val="18"/>
                <w:lang w:eastAsia="en-AU"/>
              </w:rPr>
              <w:t>Mar-25</w:t>
            </w:r>
          </w:p>
        </w:tc>
        <w:tc>
          <w:tcPr>
            <w:tcW w:w="1460" w:type="dxa"/>
            <w:tcBorders>
              <w:top w:val="single" w:sz="4" w:space="0" w:color="auto"/>
              <w:left w:val="nil"/>
              <w:bottom w:val="single" w:sz="4" w:space="0" w:color="auto"/>
              <w:right w:val="single" w:sz="4" w:space="0" w:color="auto"/>
            </w:tcBorders>
            <w:shd w:val="clear" w:color="000000" w:fill="4B0985"/>
            <w:noWrap/>
            <w:vAlign w:val="center"/>
            <w:hideMark/>
          </w:tcPr>
          <w:p w14:paraId="28930CCB" w14:textId="77777777" w:rsidR="00E33193" w:rsidRPr="00E33193" w:rsidRDefault="00E33193" w:rsidP="00E33193">
            <w:pPr>
              <w:spacing w:after="0" w:line="240" w:lineRule="auto"/>
              <w:jc w:val="center"/>
              <w:rPr>
                <w:rFonts w:eastAsia="Times New Roman" w:cs="Arial"/>
                <w:b/>
                <w:bCs/>
                <w:color w:val="FFFFFF"/>
                <w:sz w:val="18"/>
                <w:szCs w:val="18"/>
                <w:lang w:eastAsia="en-AU"/>
              </w:rPr>
            </w:pPr>
            <w:r w:rsidRPr="00E33193">
              <w:rPr>
                <w:rFonts w:eastAsia="Times New Roman" w:cs="Arial"/>
                <w:b/>
                <w:bCs/>
                <w:color w:val="FFFFFF"/>
                <w:sz w:val="18"/>
                <w:szCs w:val="18"/>
                <w:lang w:eastAsia="en-AU"/>
              </w:rPr>
              <w:t>Mar-26</w:t>
            </w:r>
          </w:p>
        </w:tc>
        <w:tc>
          <w:tcPr>
            <w:tcW w:w="1160" w:type="dxa"/>
            <w:tcBorders>
              <w:top w:val="single" w:sz="4" w:space="0" w:color="auto"/>
              <w:left w:val="nil"/>
              <w:bottom w:val="single" w:sz="4" w:space="0" w:color="auto"/>
              <w:right w:val="single" w:sz="4" w:space="0" w:color="auto"/>
            </w:tcBorders>
            <w:shd w:val="clear" w:color="000000" w:fill="4B0985"/>
            <w:noWrap/>
            <w:vAlign w:val="center"/>
            <w:hideMark/>
          </w:tcPr>
          <w:p w14:paraId="2C5E93E0" w14:textId="77777777" w:rsidR="00E33193" w:rsidRPr="00E33193" w:rsidRDefault="00E33193" w:rsidP="00E33193">
            <w:pPr>
              <w:spacing w:after="0" w:line="240" w:lineRule="auto"/>
              <w:jc w:val="center"/>
              <w:rPr>
                <w:rFonts w:eastAsia="Times New Roman" w:cs="Arial"/>
                <w:b/>
                <w:bCs/>
                <w:color w:val="FFFFFF"/>
                <w:sz w:val="18"/>
                <w:szCs w:val="18"/>
                <w:lang w:eastAsia="en-AU"/>
              </w:rPr>
            </w:pPr>
            <w:r w:rsidRPr="00E33193">
              <w:rPr>
                <w:rFonts w:eastAsia="Times New Roman" w:cs="Arial"/>
                <w:b/>
                <w:bCs/>
                <w:color w:val="FFFFFF"/>
                <w:sz w:val="18"/>
                <w:szCs w:val="18"/>
                <w:lang w:eastAsia="en-AU"/>
              </w:rPr>
              <w:t>Direction</w:t>
            </w:r>
          </w:p>
        </w:tc>
      </w:tr>
      <w:tr w:rsidR="00E33193" w:rsidRPr="00E33193" w14:paraId="5A5C1BC8" w14:textId="77777777" w:rsidTr="00E33193">
        <w:trPr>
          <w:trHeight w:val="283"/>
        </w:trPr>
        <w:tc>
          <w:tcPr>
            <w:tcW w:w="3320" w:type="dxa"/>
            <w:tcBorders>
              <w:top w:val="single" w:sz="4" w:space="0" w:color="auto"/>
              <w:left w:val="single" w:sz="4" w:space="0" w:color="auto"/>
              <w:bottom w:val="nil"/>
              <w:right w:val="single" w:sz="4" w:space="0" w:color="auto"/>
            </w:tcBorders>
            <w:noWrap/>
            <w:vAlign w:val="bottom"/>
            <w:hideMark/>
          </w:tcPr>
          <w:p w14:paraId="320177A8"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Central Coast</w:t>
            </w:r>
          </w:p>
        </w:tc>
        <w:tc>
          <w:tcPr>
            <w:tcW w:w="2200" w:type="dxa"/>
            <w:tcBorders>
              <w:top w:val="single" w:sz="4" w:space="0" w:color="auto"/>
              <w:left w:val="nil"/>
              <w:bottom w:val="nil"/>
              <w:right w:val="nil"/>
            </w:tcBorders>
            <w:noWrap/>
            <w:vAlign w:val="bottom"/>
            <w:hideMark/>
          </w:tcPr>
          <w:p w14:paraId="7D583E6C"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3D5F9FA2"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187BE0FF"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Average</w:t>
            </w:r>
          </w:p>
        </w:tc>
        <w:tc>
          <w:tcPr>
            <w:tcW w:w="1160" w:type="dxa"/>
            <w:tcBorders>
              <w:top w:val="nil"/>
              <w:left w:val="nil"/>
              <w:bottom w:val="nil"/>
              <w:right w:val="single" w:sz="4" w:space="0" w:color="auto"/>
            </w:tcBorders>
            <w:noWrap/>
            <w:vAlign w:val="bottom"/>
            <w:hideMark/>
          </w:tcPr>
          <w:p w14:paraId="637353A0"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6317D1CC"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1AA2AEC3" w14:textId="532C318A"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 xml:space="preserve">Sydney </w:t>
            </w:r>
            <w:r w:rsidR="005D4005">
              <w:rPr>
                <w:rFonts w:eastAsia="Times New Roman" w:cs="Arial"/>
                <w:color w:val="000000"/>
                <w:sz w:val="16"/>
                <w:szCs w:val="16"/>
                <w:lang w:eastAsia="en-AU"/>
              </w:rPr>
              <w:t>–</w:t>
            </w:r>
            <w:r w:rsidRPr="00E33193">
              <w:rPr>
                <w:rFonts w:eastAsia="Times New Roman" w:cs="Arial"/>
                <w:color w:val="000000"/>
                <w:sz w:val="16"/>
                <w:szCs w:val="16"/>
                <w:lang w:eastAsia="en-AU"/>
              </w:rPr>
              <w:t xml:space="preserve"> Baulkham Hills and Hawkesbury</w:t>
            </w:r>
          </w:p>
        </w:tc>
        <w:tc>
          <w:tcPr>
            <w:tcW w:w="2200" w:type="dxa"/>
            <w:tcBorders>
              <w:top w:val="nil"/>
              <w:left w:val="nil"/>
              <w:bottom w:val="nil"/>
              <w:right w:val="nil"/>
            </w:tcBorders>
            <w:noWrap/>
            <w:vAlign w:val="bottom"/>
            <w:hideMark/>
          </w:tcPr>
          <w:p w14:paraId="6E171FEA"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0830533D"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40F60F1F"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3AAEE870"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0B19EC76"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23D87965" w14:textId="6F3DCFA0"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 xml:space="preserve">Sydney </w:t>
            </w:r>
            <w:r w:rsidR="005D4005">
              <w:rPr>
                <w:rFonts w:eastAsia="Times New Roman" w:cs="Arial"/>
                <w:color w:val="000000"/>
                <w:sz w:val="16"/>
                <w:szCs w:val="16"/>
                <w:lang w:eastAsia="en-AU"/>
              </w:rPr>
              <w:t>–</w:t>
            </w:r>
            <w:r w:rsidRPr="00E33193">
              <w:rPr>
                <w:rFonts w:eastAsia="Times New Roman" w:cs="Arial"/>
                <w:color w:val="000000"/>
                <w:sz w:val="16"/>
                <w:szCs w:val="16"/>
                <w:lang w:eastAsia="en-AU"/>
              </w:rPr>
              <w:t xml:space="preserve"> Blacktown</w:t>
            </w:r>
          </w:p>
        </w:tc>
        <w:tc>
          <w:tcPr>
            <w:tcW w:w="2200" w:type="dxa"/>
            <w:tcBorders>
              <w:top w:val="nil"/>
              <w:left w:val="nil"/>
              <w:bottom w:val="nil"/>
              <w:right w:val="nil"/>
            </w:tcBorders>
            <w:noWrap/>
            <w:vAlign w:val="bottom"/>
            <w:hideMark/>
          </w:tcPr>
          <w:p w14:paraId="42B5DBF4"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55C3E553"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57417825"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Average</w:t>
            </w:r>
          </w:p>
        </w:tc>
        <w:tc>
          <w:tcPr>
            <w:tcW w:w="1160" w:type="dxa"/>
            <w:tcBorders>
              <w:top w:val="nil"/>
              <w:left w:val="nil"/>
              <w:bottom w:val="nil"/>
              <w:right w:val="single" w:sz="4" w:space="0" w:color="auto"/>
            </w:tcBorders>
            <w:noWrap/>
            <w:vAlign w:val="bottom"/>
            <w:hideMark/>
          </w:tcPr>
          <w:p w14:paraId="05AAF8DD"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77CFA220"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7C912ADA" w14:textId="5AF3EFD2"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 xml:space="preserve">Sydney </w:t>
            </w:r>
            <w:r w:rsidR="005D4005">
              <w:rPr>
                <w:rFonts w:eastAsia="Times New Roman" w:cs="Arial"/>
                <w:color w:val="000000"/>
                <w:sz w:val="16"/>
                <w:szCs w:val="16"/>
                <w:lang w:eastAsia="en-AU"/>
              </w:rPr>
              <w:t>–</w:t>
            </w:r>
            <w:r w:rsidRPr="00E33193">
              <w:rPr>
                <w:rFonts w:eastAsia="Times New Roman" w:cs="Arial"/>
                <w:color w:val="000000"/>
                <w:sz w:val="16"/>
                <w:szCs w:val="16"/>
                <w:lang w:eastAsia="en-AU"/>
              </w:rPr>
              <w:t xml:space="preserve"> City and Inner South</w:t>
            </w:r>
          </w:p>
        </w:tc>
        <w:tc>
          <w:tcPr>
            <w:tcW w:w="2200" w:type="dxa"/>
            <w:tcBorders>
              <w:top w:val="nil"/>
              <w:left w:val="nil"/>
              <w:bottom w:val="nil"/>
              <w:right w:val="nil"/>
            </w:tcBorders>
            <w:noWrap/>
            <w:vAlign w:val="bottom"/>
            <w:hideMark/>
          </w:tcPr>
          <w:p w14:paraId="6825F20B"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12C36BC9"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6E0AC50D"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Average</w:t>
            </w:r>
          </w:p>
        </w:tc>
        <w:tc>
          <w:tcPr>
            <w:tcW w:w="1160" w:type="dxa"/>
            <w:tcBorders>
              <w:top w:val="nil"/>
              <w:left w:val="nil"/>
              <w:bottom w:val="nil"/>
              <w:right w:val="single" w:sz="4" w:space="0" w:color="auto"/>
            </w:tcBorders>
            <w:noWrap/>
            <w:vAlign w:val="bottom"/>
            <w:hideMark/>
          </w:tcPr>
          <w:p w14:paraId="2E36650E"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210795A0"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738B8FDF" w14:textId="5F685F22"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 xml:space="preserve">Sydney </w:t>
            </w:r>
            <w:r w:rsidR="005D4005">
              <w:rPr>
                <w:rFonts w:eastAsia="Times New Roman" w:cs="Arial"/>
                <w:color w:val="000000"/>
                <w:sz w:val="16"/>
                <w:szCs w:val="16"/>
                <w:lang w:eastAsia="en-AU"/>
              </w:rPr>
              <w:t>–</w:t>
            </w:r>
            <w:r w:rsidRPr="00E33193">
              <w:rPr>
                <w:rFonts w:eastAsia="Times New Roman" w:cs="Arial"/>
                <w:color w:val="000000"/>
                <w:sz w:val="16"/>
                <w:szCs w:val="16"/>
                <w:lang w:eastAsia="en-AU"/>
              </w:rPr>
              <w:t xml:space="preserve"> Eastern Suburbs</w:t>
            </w:r>
          </w:p>
        </w:tc>
        <w:tc>
          <w:tcPr>
            <w:tcW w:w="2200" w:type="dxa"/>
            <w:tcBorders>
              <w:top w:val="nil"/>
              <w:left w:val="nil"/>
              <w:bottom w:val="nil"/>
              <w:right w:val="nil"/>
            </w:tcBorders>
            <w:noWrap/>
            <w:vAlign w:val="bottom"/>
            <w:hideMark/>
          </w:tcPr>
          <w:p w14:paraId="4C1B4DBB"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4E81D22E"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656900FB"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085787F6"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43AE7385"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3B03E9E0" w14:textId="76915CD1"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 xml:space="preserve">Sydney </w:t>
            </w:r>
            <w:r w:rsidR="005D4005">
              <w:rPr>
                <w:rFonts w:eastAsia="Times New Roman" w:cs="Arial"/>
                <w:color w:val="000000"/>
                <w:sz w:val="16"/>
                <w:szCs w:val="16"/>
                <w:lang w:eastAsia="en-AU"/>
              </w:rPr>
              <w:t>–</w:t>
            </w:r>
            <w:r w:rsidRPr="00E33193">
              <w:rPr>
                <w:rFonts w:eastAsia="Times New Roman" w:cs="Arial"/>
                <w:color w:val="000000"/>
                <w:sz w:val="16"/>
                <w:szCs w:val="16"/>
                <w:lang w:eastAsia="en-AU"/>
              </w:rPr>
              <w:t xml:space="preserve"> Inner South West</w:t>
            </w:r>
          </w:p>
        </w:tc>
        <w:tc>
          <w:tcPr>
            <w:tcW w:w="2200" w:type="dxa"/>
            <w:tcBorders>
              <w:top w:val="nil"/>
              <w:left w:val="nil"/>
              <w:bottom w:val="nil"/>
              <w:right w:val="nil"/>
            </w:tcBorders>
            <w:noWrap/>
            <w:vAlign w:val="bottom"/>
            <w:hideMark/>
          </w:tcPr>
          <w:p w14:paraId="20300C8B"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6E5E05FD"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28189E6B"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Average</w:t>
            </w:r>
          </w:p>
        </w:tc>
        <w:tc>
          <w:tcPr>
            <w:tcW w:w="1160" w:type="dxa"/>
            <w:tcBorders>
              <w:top w:val="nil"/>
              <w:left w:val="nil"/>
              <w:bottom w:val="nil"/>
              <w:right w:val="single" w:sz="4" w:space="0" w:color="auto"/>
            </w:tcBorders>
            <w:noWrap/>
            <w:vAlign w:val="bottom"/>
            <w:hideMark/>
          </w:tcPr>
          <w:p w14:paraId="53822ABD"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20921D19"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16928D83" w14:textId="1BC96549"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 xml:space="preserve">Sydney </w:t>
            </w:r>
            <w:r w:rsidR="005D4005">
              <w:rPr>
                <w:rFonts w:eastAsia="Times New Roman" w:cs="Arial"/>
                <w:color w:val="000000"/>
                <w:sz w:val="16"/>
                <w:szCs w:val="16"/>
                <w:lang w:eastAsia="en-AU"/>
              </w:rPr>
              <w:t>–</w:t>
            </w:r>
            <w:r w:rsidRPr="00E33193">
              <w:rPr>
                <w:rFonts w:eastAsia="Times New Roman" w:cs="Arial"/>
                <w:color w:val="000000"/>
                <w:sz w:val="16"/>
                <w:szCs w:val="16"/>
                <w:lang w:eastAsia="en-AU"/>
              </w:rPr>
              <w:t xml:space="preserve"> Inner West</w:t>
            </w:r>
          </w:p>
        </w:tc>
        <w:tc>
          <w:tcPr>
            <w:tcW w:w="2200" w:type="dxa"/>
            <w:tcBorders>
              <w:top w:val="nil"/>
              <w:left w:val="nil"/>
              <w:bottom w:val="nil"/>
              <w:right w:val="nil"/>
            </w:tcBorders>
            <w:noWrap/>
            <w:vAlign w:val="bottom"/>
            <w:hideMark/>
          </w:tcPr>
          <w:p w14:paraId="0F4B860D"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5F6261AF"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5C4A62EB"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2CC1C43D"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6762E90A"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2072FFC2" w14:textId="5413851F"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 xml:space="preserve">Sydney </w:t>
            </w:r>
            <w:r w:rsidR="005D4005">
              <w:rPr>
                <w:rFonts w:eastAsia="Times New Roman" w:cs="Arial"/>
                <w:color w:val="000000"/>
                <w:sz w:val="16"/>
                <w:szCs w:val="16"/>
                <w:lang w:eastAsia="en-AU"/>
              </w:rPr>
              <w:t>–</w:t>
            </w:r>
            <w:r w:rsidRPr="00E33193">
              <w:rPr>
                <w:rFonts w:eastAsia="Times New Roman" w:cs="Arial"/>
                <w:color w:val="000000"/>
                <w:sz w:val="16"/>
                <w:szCs w:val="16"/>
                <w:lang w:eastAsia="en-AU"/>
              </w:rPr>
              <w:t xml:space="preserve"> North Sydney and Hornsby</w:t>
            </w:r>
          </w:p>
        </w:tc>
        <w:tc>
          <w:tcPr>
            <w:tcW w:w="2200" w:type="dxa"/>
            <w:tcBorders>
              <w:top w:val="nil"/>
              <w:left w:val="nil"/>
              <w:bottom w:val="nil"/>
              <w:right w:val="nil"/>
            </w:tcBorders>
            <w:noWrap/>
            <w:vAlign w:val="bottom"/>
            <w:hideMark/>
          </w:tcPr>
          <w:p w14:paraId="76CA6760"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4DECCD07"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108268D4"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75FC33FA"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1DB4CE91"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58932223" w14:textId="33510A05"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 xml:space="preserve">Sydney </w:t>
            </w:r>
            <w:r w:rsidR="005D4005">
              <w:rPr>
                <w:rFonts w:eastAsia="Times New Roman" w:cs="Arial"/>
                <w:color w:val="000000"/>
                <w:sz w:val="16"/>
                <w:szCs w:val="16"/>
                <w:lang w:eastAsia="en-AU"/>
              </w:rPr>
              <w:t>–</w:t>
            </w:r>
            <w:r w:rsidRPr="00E33193">
              <w:rPr>
                <w:rFonts w:eastAsia="Times New Roman" w:cs="Arial"/>
                <w:color w:val="000000"/>
                <w:sz w:val="16"/>
                <w:szCs w:val="16"/>
                <w:lang w:eastAsia="en-AU"/>
              </w:rPr>
              <w:t xml:space="preserve"> Northern Beaches</w:t>
            </w:r>
          </w:p>
        </w:tc>
        <w:tc>
          <w:tcPr>
            <w:tcW w:w="2200" w:type="dxa"/>
            <w:tcBorders>
              <w:top w:val="nil"/>
              <w:left w:val="nil"/>
              <w:bottom w:val="nil"/>
              <w:right w:val="nil"/>
            </w:tcBorders>
            <w:noWrap/>
            <w:vAlign w:val="bottom"/>
            <w:hideMark/>
          </w:tcPr>
          <w:p w14:paraId="1F917C12"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2B5192D6"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737ADC7A"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4B693220"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52E5F903"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3C655B74" w14:textId="07C419BC"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 xml:space="preserve">Sydney </w:t>
            </w:r>
            <w:r w:rsidR="005D4005">
              <w:rPr>
                <w:rFonts w:eastAsia="Times New Roman" w:cs="Arial"/>
                <w:color w:val="000000"/>
                <w:sz w:val="16"/>
                <w:szCs w:val="16"/>
                <w:lang w:eastAsia="en-AU"/>
              </w:rPr>
              <w:t>–</w:t>
            </w:r>
            <w:r w:rsidRPr="00E33193">
              <w:rPr>
                <w:rFonts w:eastAsia="Times New Roman" w:cs="Arial"/>
                <w:color w:val="000000"/>
                <w:sz w:val="16"/>
                <w:szCs w:val="16"/>
                <w:lang w:eastAsia="en-AU"/>
              </w:rPr>
              <w:t xml:space="preserve"> Outer South West</w:t>
            </w:r>
          </w:p>
        </w:tc>
        <w:tc>
          <w:tcPr>
            <w:tcW w:w="2200" w:type="dxa"/>
            <w:tcBorders>
              <w:top w:val="nil"/>
              <w:left w:val="nil"/>
              <w:bottom w:val="nil"/>
              <w:right w:val="nil"/>
            </w:tcBorders>
            <w:noWrap/>
            <w:vAlign w:val="bottom"/>
            <w:hideMark/>
          </w:tcPr>
          <w:p w14:paraId="1772559F"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184B7E7E"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2340776D"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7B32474B"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7099EE90"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5B8ED02A" w14:textId="106A830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 xml:space="preserve">Sydney </w:t>
            </w:r>
            <w:r w:rsidR="005D4005">
              <w:rPr>
                <w:rFonts w:eastAsia="Times New Roman" w:cs="Arial"/>
                <w:color w:val="000000"/>
                <w:sz w:val="16"/>
                <w:szCs w:val="16"/>
                <w:lang w:eastAsia="en-AU"/>
              </w:rPr>
              <w:t>–</w:t>
            </w:r>
            <w:r w:rsidRPr="00E33193">
              <w:rPr>
                <w:rFonts w:eastAsia="Times New Roman" w:cs="Arial"/>
                <w:color w:val="000000"/>
                <w:sz w:val="16"/>
                <w:szCs w:val="16"/>
                <w:lang w:eastAsia="en-AU"/>
              </w:rPr>
              <w:t xml:space="preserve"> Outer West and Blue Mountains</w:t>
            </w:r>
          </w:p>
        </w:tc>
        <w:tc>
          <w:tcPr>
            <w:tcW w:w="2200" w:type="dxa"/>
            <w:tcBorders>
              <w:top w:val="nil"/>
              <w:left w:val="nil"/>
              <w:bottom w:val="nil"/>
              <w:right w:val="nil"/>
            </w:tcBorders>
            <w:noWrap/>
            <w:vAlign w:val="bottom"/>
            <w:hideMark/>
          </w:tcPr>
          <w:p w14:paraId="10D4C090"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4CEC1DF7"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19467BC7"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40073C1D"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05F15667"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5C61F5D5" w14:textId="3DDE413D"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 xml:space="preserve">Sydney </w:t>
            </w:r>
            <w:r w:rsidR="005D4005">
              <w:rPr>
                <w:rFonts w:eastAsia="Times New Roman" w:cs="Arial"/>
                <w:color w:val="000000"/>
                <w:sz w:val="16"/>
                <w:szCs w:val="16"/>
                <w:lang w:eastAsia="en-AU"/>
              </w:rPr>
              <w:t>–</w:t>
            </w:r>
            <w:r w:rsidRPr="00E33193">
              <w:rPr>
                <w:rFonts w:eastAsia="Times New Roman" w:cs="Arial"/>
                <w:color w:val="000000"/>
                <w:sz w:val="16"/>
                <w:szCs w:val="16"/>
                <w:lang w:eastAsia="en-AU"/>
              </w:rPr>
              <w:t xml:space="preserve"> Parramatta</w:t>
            </w:r>
          </w:p>
        </w:tc>
        <w:tc>
          <w:tcPr>
            <w:tcW w:w="2200" w:type="dxa"/>
            <w:tcBorders>
              <w:top w:val="nil"/>
              <w:left w:val="nil"/>
              <w:bottom w:val="nil"/>
              <w:right w:val="nil"/>
            </w:tcBorders>
            <w:noWrap/>
            <w:vAlign w:val="bottom"/>
            <w:hideMark/>
          </w:tcPr>
          <w:p w14:paraId="3520DF65"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4926F890"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771A821A"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Below average</w:t>
            </w:r>
          </w:p>
        </w:tc>
        <w:tc>
          <w:tcPr>
            <w:tcW w:w="1160" w:type="dxa"/>
            <w:tcBorders>
              <w:top w:val="nil"/>
              <w:left w:val="nil"/>
              <w:bottom w:val="nil"/>
              <w:right w:val="single" w:sz="4" w:space="0" w:color="auto"/>
            </w:tcBorders>
            <w:noWrap/>
            <w:vAlign w:val="bottom"/>
            <w:hideMark/>
          </w:tcPr>
          <w:p w14:paraId="4EFE1ED3"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6FE371BD"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168C676A" w14:textId="5C2E1856"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 xml:space="preserve">Sydney </w:t>
            </w:r>
            <w:r w:rsidR="005D4005">
              <w:rPr>
                <w:rFonts w:eastAsia="Times New Roman" w:cs="Arial"/>
                <w:color w:val="000000"/>
                <w:sz w:val="16"/>
                <w:szCs w:val="16"/>
                <w:lang w:eastAsia="en-AU"/>
              </w:rPr>
              <w:t>–</w:t>
            </w:r>
            <w:r w:rsidRPr="00E33193">
              <w:rPr>
                <w:rFonts w:eastAsia="Times New Roman" w:cs="Arial"/>
                <w:color w:val="000000"/>
                <w:sz w:val="16"/>
                <w:szCs w:val="16"/>
                <w:lang w:eastAsia="en-AU"/>
              </w:rPr>
              <w:t xml:space="preserve"> Ryde</w:t>
            </w:r>
          </w:p>
        </w:tc>
        <w:tc>
          <w:tcPr>
            <w:tcW w:w="2200" w:type="dxa"/>
            <w:tcBorders>
              <w:top w:val="nil"/>
              <w:left w:val="nil"/>
              <w:bottom w:val="nil"/>
              <w:right w:val="nil"/>
            </w:tcBorders>
            <w:noWrap/>
            <w:vAlign w:val="bottom"/>
            <w:hideMark/>
          </w:tcPr>
          <w:p w14:paraId="2368179D"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6B5EAE29"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2A4C49B7"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4BB4BDD5"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651E6A57"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038F45F1" w14:textId="1917ED7F"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 xml:space="preserve">Sydney </w:t>
            </w:r>
            <w:r w:rsidR="005D4005">
              <w:rPr>
                <w:rFonts w:eastAsia="Times New Roman" w:cs="Arial"/>
                <w:color w:val="000000"/>
                <w:sz w:val="16"/>
                <w:szCs w:val="16"/>
                <w:lang w:eastAsia="en-AU"/>
              </w:rPr>
              <w:t>–</w:t>
            </w:r>
            <w:r w:rsidRPr="00E33193">
              <w:rPr>
                <w:rFonts w:eastAsia="Times New Roman" w:cs="Arial"/>
                <w:color w:val="000000"/>
                <w:sz w:val="16"/>
                <w:szCs w:val="16"/>
                <w:lang w:eastAsia="en-AU"/>
              </w:rPr>
              <w:t xml:space="preserve"> South West</w:t>
            </w:r>
          </w:p>
        </w:tc>
        <w:tc>
          <w:tcPr>
            <w:tcW w:w="2200" w:type="dxa"/>
            <w:tcBorders>
              <w:top w:val="nil"/>
              <w:left w:val="nil"/>
              <w:bottom w:val="nil"/>
              <w:right w:val="nil"/>
            </w:tcBorders>
            <w:noWrap/>
            <w:vAlign w:val="bottom"/>
            <w:hideMark/>
          </w:tcPr>
          <w:p w14:paraId="2A7ADFC8"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46E7BC18"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4327C6A6"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67FCB7A7"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0ABA3687"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5AE2824A" w14:textId="5EAD7FFF"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 xml:space="preserve">Sydney </w:t>
            </w:r>
            <w:r w:rsidR="005D4005">
              <w:rPr>
                <w:rFonts w:eastAsia="Times New Roman" w:cs="Arial"/>
                <w:color w:val="000000"/>
                <w:sz w:val="16"/>
                <w:szCs w:val="16"/>
                <w:lang w:eastAsia="en-AU"/>
              </w:rPr>
              <w:t>–</w:t>
            </w:r>
            <w:r w:rsidRPr="00E33193">
              <w:rPr>
                <w:rFonts w:eastAsia="Times New Roman" w:cs="Arial"/>
                <w:color w:val="000000"/>
                <w:sz w:val="16"/>
                <w:szCs w:val="16"/>
                <w:lang w:eastAsia="en-AU"/>
              </w:rPr>
              <w:t xml:space="preserve"> Sutherland</w:t>
            </w:r>
          </w:p>
        </w:tc>
        <w:tc>
          <w:tcPr>
            <w:tcW w:w="2200" w:type="dxa"/>
            <w:tcBorders>
              <w:top w:val="nil"/>
              <w:left w:val="nil"/>
              <w:bottom w:val="nil"/>
              <w:right w:val="nil"/>
            </w:tcBorders>
            <w:noWrap/>
            <w:vAlign w:val="bottom"/>
            <w:hideMark/>
          </w:tcPr>
          <w:p w14:paraId="3EAD464C"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186E9D4A"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6694E4E4"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791DE3D4"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3045A0E2"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24CA8BEC"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Capital Region</w:t>
            </w:r>
          </w:p>
        </w:tc>
        <w:tc>
          <w:tcPr>
            <w:tcW w:w="2200" w:type="dxa"/>
            <w:tcBorders>
              <w:top w:val="nil"/>
              <w:left w:val="nil"/>
              <w:bottom w:val="nil"/>
              <w:right w:val="nil"/>
            </w:tcBorders>
            <w:noWrap/>
            <w:vAlign w:val="bottom"/>
            <w:hideMark/>
          </w:tcPr>
          <w:p w14:paraId="09669D07"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40A2C32D"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3F266093"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3E53CF54"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7BF42708"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7A39CFFF" w14:textId="3FD697AE"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 xml:space="preserve">New South Wales </w:t>
            </w:r>
            <w:r w:rsidR="005D4005">
              <w:rPr>
                <w:rFonts w:eastAsia="Times New Roman" w:cs="Arial"/>
                <w:color w:val="000000"/>
                <w:sz w:val="16"/>
                <w:szCs w:val="16"/>
                <w:lang w:eastAsia="en-AU"/>
              </w:rPr>
              <w:t>–</w:t>
            </w:r>
            <w:r w:rsidRPr="00E33193">
              <w:rPr>
                <w:rFonts w:eastAsia="Times New Roman" w:cs="Arial"/>
                <w:color w:val="000000"/>
                <w:sz w:val="16"/>
                <w:szCs w:val="16"/>
                <w:lang w:eastAsia="en-AU"/>
              </w:rPr>
              <w:t xml:space="preserve"> Central West</w:t>
            </w:r>
          </w:p>
        </w:tc>
        <w:tc>
          <w:tcPr>
            <w:tcW w:w="2200" w:type="dxa"/>
            <w:tcBorders>
              <w:top w:val="nil"/>
              <w:left w:val="nil"/>
              <w:bottom w:val="nil"/>
              <w:right w:val="nil"/>
            </w:tcBorders>
            <w:noWrap/>
            <w:vAlign w:val="bottom"/>
            <w:hideMark/>
          </w:tcPr>
          <w:p w14:paraId="16ED57EF"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2A532DB0"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540C85D0"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7F766456"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15D387ED"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608A5E68" w14:textId="76CE1B94"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 xml:space="preserve">Coffs Harbour </w:t>
            </w:r>
            <w:r w:rsidR="005D4005">
              <w:rPr>
                <w:rFonts w:eastAsia="Times New Roman" w:cs="Arial"/>
                <w:color w:val="000000"/>
                <w:sz w:val="16"/>
                <w:szCs w:val="16"/>
                <w:lang w:eastAsia="en-AU"/>
              </w:rPr>
              <w:t>–</w:t>
            </w:r>
            <w:r w:rsidRPr="00E33193">
              <w:rPr>
                <w:rFonts w:eastAsia="Times New Roman" w:cs="Arial"/>
                <w:color w:val="000000"/>
                <w:sz w:val="16"/>
                <w:szCs w:val="16"/>
                <w:lang w:eastAsia="en-AU"/>
              </w:rPr>
              <w:t xml:space="preserve"> Grafton</w:t>
            </w:r>
          </w:p>
        </w:tc>
        <w:tc>
          <w:tcPr>
            <w:tcW w:w="2200" w:type="dxa"/>
            <w:tcBorders>
              <w:top w:val="nil"/>
              <w:left w:val="nil"/>
              <w:bottom w:val="nil"/>
              <w:right w:val="nil"/>
            </w:tcBorders>
            <w:noWrap/>
            <w:vAlign w:val="bottom"/>
            <w:hideMark/>
          </w:tcPr>
          <w:p w14:paraId="3754A967"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45F3A44B"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2EF29CDA"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2C78153D"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4802AFF3"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6F123C80"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Far West and Orana</w:t>
            </w:r>
          </w:p>
        </w:tc>
        <w:tc>
          <w:tcPr>
            <w:tcW w:w="2200" w:type="dxa"/>
            <w:tcBorders>
              <w:top w:val="nil"/>
              <w:left w:val="nil"/>
              <w:bottom w:val="nil"/>
              <w:right w:val="nil"/>
            </w:tcBorders>
            <w:noWrap/>
            <w:vAlign w:val="bottom"/>
            <w:hideMark/>
          </w:tcPr>
          <w:p w14:paraId="29A7FD8D"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Remote</w:t>
            </w:r>
          </w:p>
        </w:tc>
        <w:tc>
          <w:tcPr>
            <w:tcW w:w="1460" w:type="dxa"/>
            <w:tcBorders>
              <w:top w:val="nil"/>
              <w:left w:val="single" w:sz="4" w:space="0" w:color="auto"/>
              <w:bottom w:val="nil"/>
              <w:right w:val="single" w:sz="4" w:space="0" w:color="auto"/>
            </w:tcBorders>
            <w:noWrap/>
            <w:vAlign w:val="bottom"/>
            <w:hideMark/>
          </w:tcPr>
          <w:p w14:paraId="2CB6D839"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7D91DFEA"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604812B6"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5CF49D66"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2A24E355"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 xml:space="preserve">Hunter Valley </w:t>
            </w:r>
            <w:proofErr w:type="spellStart"/>
            <w:r w:rsidRPr="00E33193">
              <w:rPr>
                <w:rFonts w:eastAsia="Times New Roman" w:cs="Arial"/>
                <w:color w:val="000000"/>
                <w:sz w:val="16"/>
                <w:szCs w:val="16"/>
                <w:lang w:eastAsia="en-AU"/>
              </w:rPr>
              <w:t>exc</w:t>
            </w:r>
            <w:proofErr w:type="spellEnd"/>
            <w:r w:rsidRPr="00E33193">
              <w:rPr>
                <w:rFonts w:eastAsia="Times New Roman" w:cs="Arial"/>
                <w:color w:val="000000"/>
                <w:sz w:val="16"/>
                <w:szCs w:val="16"/>
                <w:lang w:eastAsia="en-AU"/>
              </w:rPr>
              <w:t xml:space="preserve"> Newcastle</w:t>
            </w:r>
          </w:p>
        </w:tc>
        <w:tc>
          <w:tcPr>
            <w:tcW w:w="2200" w:type="dxa"/>
            <w:tcBorders>
              <w:top w:val="nil"/>
              <w:left w:val="nil"/>
              <w:bottom w:val="nil"/>
              <w:right w:val="nil"/>
            </w:tcBorders>
            <w:noWrap/>
            <w:vAlign w:val="bottom"/>
            <w:hideMark/>
          </w:tcPr>
          <w:p w14:paraId="6431F67D"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6BCA059B"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4045F03D"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Below average</w:t>
            </w:r>
          </w:p>
        </w:tc>
        <w:tc>
          <w:tcPr>
            <w:tcW w:w="1160" w:type="dxa"/>
            <w:tcBorders>
              <w:top w:val="nil"/>
              <w:left w:val="nil"/>
              <w:bottom w:val="nil"/>
              <w:right w:val="single" w:sz="4" w:space="0" w:color="auto"/>
            </w:tcBorders>
            <w:noWrap/>
            <w:vAlign w:val="bottom"/>
            <w:hideMark/>
          </w:tcPr>
          <w:p w14:paraId="561E2169"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78583811"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2F472D3E"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Illawarra</w:t>
            </w:r>
          </w:p>
        </w:tc>
        <w:tc>
          <w:tcPr>
            <w:tcW w:w="2200" w:type="dxa"/>
            <w:tcBorders>
              <w:top w:val="nil"/>
              <w:left w:val="nil"/>
              <w:bottom w:val="nil"/>
              <w:right w:val="nil"/>
            </w:tcBorders>
            <w:noWrap/>
            <w:vAlign w:val="bottom"/>
            <w:hideMark/>
          </w:tcPr>
          <w:p w14:paraId="589F7F89"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Cities of Regional Australia</w:t>
            </w:r>
          </w:p>
        </w:tc>
        <w:tc>
          <w:tcPr>
            <w:tcW w:w="1460" w:type="dxa"/>
            <w:tcBorders>
              <w:top w:val="nil"/>
              <w:left w:val="single" w:sz="4" w:space="0" w:color="auto"/>
              <w:bottom w:val="nil"/>
              <w:right w:val="single" w:sz="4" w:space="0" w:color="auto"/>
            </w:tcBorders>
            <w:noWrap/>
            <w:vAlign w:val="bottom"/>
            <w:hideMark/>
          </w:tcPr>
          <w:p w14:paraId="79EC86B4"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01F8A2BA"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Average</w:t>
            </w:r>
          </w:p>
        </w:tc>
        <w:tc>
          <w:tcPr>
            <w:tcW w:w="1160" w:type="dxa"/>
            <w:tcBorders>
              <w:top w:val="nil"/>
              <w:left w:val="single" w:sz="4" w:space="0" w:color="auto"/>
              <w:bottom w:val="nil"/>
              <w:right w:val="single" w:sz="4" w:space="0" w:color="auto"/>
            </w:tcBorders>
            <w:shd w:val="clear" w:color="000000" w:fill="047817"/>
            <w:noWrap/>
            <w:vAlign w:val="bottom"/>
            <w:hideMark/>
          </w:tcPr>
          <w:p w14:paraId="3A876C73" w14:textId="77777777" w:rsidR="00E33193" w:rsidRPr="00E33193" w:rsidRDefault="00E33193" w:rsidP="00E33193">
            <w:pPr>
              <w:spacing w:after="0" w:line="240" w:lineRule="auto"/>
              <w:jc w:val="center"/>
              <w:rPr>
                <w:rFonts w:eastAsia="Times New Roman" w:cs="Arial"/>
                <w:color w:val="FFFFFF"/>
                <w:sz w:val="16"/>
                <w:szCs w:val="16"/>
                <w:lang w:eastAsia="en-AU"/>
              </w:rPr>
            </w:pPr>
            <w:r w:rsidRPr="00E33193">
              <w:rPr>
                <w:rFonts w:eastAsia="Times New Roman" w:cs="Arial"/>
                <w:color w:val="FFFFFF"/>
                <w:sz w:val="16"/>
                <w:szCs w:val="16"/>
                <w:lang w:eastAsia="en-AU"/>
              </w:rPr>
              <w:t>Improved</w:t>
            </w:r>
          </w:p>
        </w:tc>
      </w:tr>
      <w:tr w:rsidR="00E33193" w:rsidRPr="00E33193" w14:paraId="6123F87C"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6B6BCF2C"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Mid North Coast</w:t>
            </w:r>
          </w:p>
        </w:tc>
        <w:tc>
          <w:tcPr>
            <w:tcW w:w="2200" w:type="dxa"/>
            <w:tcBorders>
              <w:top w:val="nil"/>
              <w:left w:val="nil"/>
              <w:bottom w:val="nil"/>
              <w:right w:val="nil"/>
            </w:tcBorders>
            <w:noWrap/>
            <w:vAlign w:val="bottom"/>
            <w:hideMark/>
          </w:tcPr>
          <w:p w14:paraId="21F7B383"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36AE6B0D"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5C4DAFFB"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2B651D5B"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246489F4"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3C009160"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Murray</w:t>
            </w:r>
          </w:p>
        </w:tc>
        <w:tc>
          <w:tcPr>
            <w:tcW w:w="2200" w:type="dxa"/>
            <w:tcBorders>
              <w:top w:val="nil"/>
              <w:left w:val="nil"/>
              <w:bottom w:val="nil"/>
              <w:right w:val="nil"/>
            </w:tcBorders>
            <w:noWrap/>
            <w:vAlign w:val="bottom"/>
            <w:hideMark/>
          </w:tcPr>
          <w:p w14:paraId="7CD5F207"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36B2F4CC"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0A661280"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08E06A8E"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4A815960"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400D0A3E"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New England and North West</w:t>
            </w:r>
          </w:p>
        </w:tc>
        <w:tc>
          <w:tcPr>
            <w:tcW w:w="2200" w:type="dxa"/>
            <w:tcBorders>
              <w:top w:val="nil"/>
              <w:left w:val="nil"/>
              <w:bottom w:val="nil"/>
              <w:right w:val="nil"/>
            </w:tcBorders>
            <w:noWrap/>
            <w:vAlign w:val="bottom"/>
            <w:hideMark/>
          </w:tcPr>
          <w:p w14:paraId="4F4EB3A1"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194E0FCB"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62C08C3A"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Average</w:t>
            </w:r>
          </w:p>
        </w:tc>
        <w:tc>
          <w:tcPr>
            <w:tcW w:w="1160" w:type="dxa"/>
            <w:tcBorders>
              <w:top w:val="nil"/>
              <w:left w:val="single" w:sz="4" w:space="0" w:color="auto"/>
              <w:bottom w:val="nil"/>
              <w:right w:val="single" w:sz="4" w:space="0" w:color="auto"/>
            </w:tcBorders>
            <w:shd w:val="clear" w:color="000000" w:fill="047817"/>
            <w:noWrap/>
            <w:vAlign w:val="bottom"/>
            <w:hideMark/>
          </w:tcPr>
          <w:p w14:paraId="0FD070BA" w14:textId="77777777" w:rsidR="00E33193" w:rsidRPr="00E33193" w:rsidRDefault="00E33193" w:rsidP="00E33193">
            <w:pPr>
              <w:spacing w:after="0" w:line="240" w:lineRule="auto"/>
              <w:jc w:val="center"/>
              <w:rPr>
                <w:rFonts w:eastAsia="Times New Roman" w:cs="Arial"/>
                <w:color w:val="FFFFFF"/>
                <w:sz w:val="16"/>
                <w:szCs w:val="16"/>
                <w:lang w:eastAsia="en-AU"/>
              </w:rPr>
            </w:pPr>
            <w:r w:rsidRPr="00E33193">
              <w:rPr>
                <w:rFonts w:eastAsia="Times New Roman" w:cs="Arial"/>
                <w:color w:val="FFFFFF"/>
                <w:sz w:val="16"/>
                <w:szCs w:val="16"/>
                <w:lang w:eastAsia="en-AU"/>
              </w:rPr>
              <w:t>Improved</w:t>
            </w:r>
          </w:p>
        </w:tc>
      </w:tr>
      <w:tr w:rsidR="00E33193" w:rsidRPr="00E33193" w14:paraId="2452E251"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5F4E8E7E"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Newcastle and Lake Macquarie</w:t>
            </w:r>
          </w:p>
        </w:tc>
        <w:tc>
          <w:tcPr>
            <w:tcW w:w="2200" w:type="dxa"/>
            <w:tcBorders>
              <w:top w:val="nil"/>
              <w:left w:val="nil"/>
              <w:bottom w:val="nil"/>
              <w:right w:val="nil"/>
            </w:tcBorders>
            <w:noWrap/>
            <w:vAlign w:val="bottom"/>
            <w:hideMark/>
          </w:tcPr>
          <w:p w14:paraId="63BD50B6"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Cities of Regional Australia</w:t>
            </w:r>
          </w:p>
        </w:tc>
        <w:tc>
          <w:tcPr>
            <w:tcW w:w="1460" w:type="dxa"/>
            <w:tcBorders>
              <w:top w:val="nil"/>
              <w:left w:val="single" w:sz="4" w:space="0" w:color="auto"/>
              <w:bottom w:val="nil"/>
              <w:right w:val="single" w:sz="4" w:space="0" w:color="auto"/>
            </w:tcBorders>
            <w:noWrap/>
            <w:vAlign w:val="bottom"/>
            <w:hideMark/>
          </w:tcPr>
          <w:p w14:paraId="70CE4742"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34909375"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Above average</w:t>
            </w:r>
          </w:p>
        </w:tc>
        <w:tc>
          <w:tcPr>
            <w:tcW w:w="1160" w:type="dxa"/>
            <w:tcBorders>
              <w:top w:val="nil"/>
              <w:left w:val="single" w:sz="4" w:space="0" w:color="auto"/>
              <w:bottom w:val="nil"/>
              <w:right w:val="single" w:sz="4" w:space="0" w:color="auto"/>
            </w:tcBorders>
            <w:shd w:val="clear" w:color="000000" w:fill="047817"/>
            <w:noWrap/>
            <w:vAlign w:val="bottom"/>
            <w:hideMark/>
          </w:tcPr>
          <w:p w14:paraId="2975B94F" w14:textId="77777777" w:rsidR="00E33193" w:rsidRPr="00E33193" w:rsidRDefault="00E33193" w:rsidP="00E33193">
            <w:pPr>
              <w:spacing w:after="0" w:line="240" w:lineRule="auto"/>
              <w:jc w:val="center"/>
              <w:rPr>
                <w:rFonts w:eastAsia="Times New Roman" w:cs="Arial"/>
                <w:color w:val="FFFFFF"/>
                <w:sz w:val="16"/>
                <w:szCs w:val="16"/>
                <w:lang w:eastAsia="en-AU"/>
              </w:rPr>
            </w:pPr>
            <w:r w:rsidRPr="00E33193">
              <w:rPr>
                <w:rFonts w:eastAsia="Times New Roman" w:cs="Arial"/>
                <w:color w:val="FFFFFF"/>
                <w:sz w:val="16"/>
                <w:szCs w:val="16"/>
                <w:lang w:eastAsia="en-AU"/>
              </w:rPr>
              <w:t>Improved</w:t>
            </w:r>
          </w:p>
        </w:tc>
      </w:tr>
      <w:tr w:rsidR="00E33193" w:rsidRPr="00E33193" w14:paraId="0CE7B5F9"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1AC1165E" w14:textId="468C064A"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 xml:space="preserve">Richmond </w:t>
            </w:r>
            <w:r w:rsidR="005D4005">
              <w:rPr>
                <w:rFonts w:eastAsia="Times New Roman" w:cs="Arial"/>
                <w:color w:val="000000"/>
                <w:sz w:val="16"/>
                <w:szCs w:val="16"/>
                <w:lang w:eastAsia="en-AU"/>
              </w:rPr>
              <w:t>–</w:t>
            </w:r>
            <w:r w:rsidRPr="00E33193">
              <w:rPr>
                <w:rFonts w:eastAsia="Times New Roman" w:cs="Arial"/>
                <w:color w:val="000000"/>
                <w:sz w:val="16"/>
                <w:szCs w:val="16"/>
                <w:lang w:eastAsia="en-AU"/>
              </w:rPr>
              <w:t xml:space="preserve"> Tweed</w:t>
            </w:r>
          </w:p>
        </w:tc>
        <w:tc>
          <w:tcPr>
            <w:tcW w:w="2200" w:type="dxa"/>
            <w:tcBorders>
              <w:top w:val="nil"/>
              <w:left w:val="nil"/>
              <w:bottom w:val="nil"/>
              <w:right w:val="nil"/>
            </w:tcBorders>
            <w:noWrap/>
            <w:vAlign w:val="bottom"/>
            <w:hideMark/>
          </w:tcPr>
          <w:p w14:paraId="7C83DEEC"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6A0C0E93"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6B980D91"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Average</w:t>
            </w:r>
          </w:p>
        </w:tc>
        <w:tc>
          <w:tcPr>
            <w:tcW w:w="1160" w:type="dxa"/>
            <w:tcBorders>
              <w:top w:val="nil"/>
              <w:left w:val="single" w:sz="4" w:space="0" w:color="auto"/>
              <w:bottom w:val="nil"/>
              <w:right w:val="single" w:sz="4" w:space="0" w:color="auto"/>
            </w:tcBorders>
            <w:shd w:val="clear" w:color="000000" w:fill="047817"/>
            <w:noWrap/>
            <w:vAlign w:val="bottom"/>
            <w:hideMark/>
          </w:tcPr>
          <w:p w14:paraId="434D70A8" w14:textId="77777777" w:rsidR="00E33193" w:rsidRPr="00E33193" w:rsidRDefault="00E33193" w:rsidP="00E33193">
            <w:pPr>
              <w:spacing w:after="0" w:line="240" w:lineRule="auto"/>
              <w:jc w:val="center"/>
              <w:rPr>
                <w:rFonts w:eastAsia="Times New Roman" w:cs="Arial"/>
                <w:color w:val="FFFFFF"/>
                <w:sz w:val="16"/>
                <w:szCs w:val="16"/>
                <w:lang w:eastAsia="en-AU"/>
              </w:rPr>
            </w:pPr>
            <w:r w:rsidRPr="00E33193">
              <w:rPr>
                <w:rFonts w:eastAsia="Times New Roman" w:cs="Arial"/>
                <w:color w:val="FFFFFF"/>
                <w:sz w:val="16"/>
                <w:szCs w:val="16"/>
                <w:lang w:eastAsia="en-AU"/>
              </w:rPr>
              <w:t>Improved</w:t>
            </w:r>
          </w:p>
        </w:tc>
      </w:tr>
      <w:tr w:rsidR="00E33193" w:rsidRPr="00E33193" w14:paraId="23EB122C"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303CDC3D"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Riverina</w:t>
            </w:r>
          </w:p>
        </w:tc>
        <w:tc>
          <w:tcPr>
            <w:tcW w:w="2200" w:type="dxa"/>
            <w:tcBorders>
              <w:top w:val="nil"/>
              <w:left w:val="nil"/>
              <w:bottom w:val="nil"/>
              <w:right w:val="nil"/>
            </w:tcBorders>
            <w:noWrap/>
            <w:vAlign w:val="bottom"/>
            <w:hideMark/>
          </w:tcPr>
          <w:p w14:paraId="29D9CE47"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23CB4386"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47EA3B54"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Above average</w:t>
            </w:r>
          </w:p>
        </w:tc>
        <w:tc>
          <w:tcPr>
            <w:tcW w:w="1160" w:type="dxa"/>
            <w:tcBorders>
              <w:top w:val="nil"/>
              <w:left w:val="single" w:sz="4" w:space="0" w:color="auto"/>
              <w:bottom w:val="nil"/>
              <w:right w:val="single" w:sz="4" w:space="0" w:color="auto"/>
            </w:tcBorders>
            <w:shd w:val="clear" w:color="000000" w:fill="047817"/>
            <w:noWrap/>
            <w:vAlign w:val="bottom"/>
            <w:hideMark/>
          </w:tcPr>
          <w:p w14:paraId="7FF2E293" w14:textId="77777777" w:rsidR="00E33193" w:rsidRPr="00E33193" w:rsidRDefault="00E33193" w:rsidP="00E33193">
            <w:pPr>
              <w:spacing w:after="0" w:line="240" w:lineRule="auto"/>
              <w:jc w:val="center"/>
              <w:rPr>
                <w:rFonts w:eastAsia="Times New Roman" w:cs="Arial"/>
                <w:color w:val="FFFFFF"/>
                <w:sz w:val="16"/>
                <w:szCs w:val="16"/>
                <w:lang w:eastAsia="en-AU"/>
              </w:rPr>
            </w:pPr>
            <w:r w:rsidRPr="00E33193">
              <w:rPr>
                <w:rFonts w:eastAsia="Times New Roman" w:cs="Arial"/>
                <w:color w:val="FFFFFF"/>
                <w:sz w:val="16"/>
                <w:szCs w:val="16"/>
                <w:lang w:eastAsia="en-AU"/>
              </w:rPr>
              <w:t>Improved</w:t>
            </w:r>
          </w:p>
        </w:tc>
      </w:tr>
      <w:tr w:rsidR="00E33193" w:rsidRPr="00E33193" w14:paraId="5E9B2D3B" w14:textId="77777777" w:rsidTr="00E33193">
        <w:trPr>
          <w:trHeight w:val="283"/>
        </w:trPr>
        <w:tc>
          <w:tcPr>
            <w:tcW w:w="3320" w:type="dxa"/>
            <w:tcBorders>
              <w:top w:val="nil"/>
              <w:left w:val="single" w:sz="4" w:space="0" w:color="auto"/>
              <w:bottom w:val="single" w:sz="4" w:space="0" w:color="auto"/>
              <w:right w:val="single" w:sz="4" w:space="0" w:color="auto"/>
            </w:tcBorders>
            <w:noWrap/>
            <w:vAlign w:val="bottom"/>
            <w:hideMark/>
          </w:tcPr>
          <w:p w14:paraId="0C24E3B3"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Southern Highlands and Shoalhaven</w:t>
            </w:r>
          </w:p>
        </w:tc>
        <w:tc>
          <w:tcPr>
            <w:tcW w:w="2200" w:type="dxa"/>
            <w:tcBorders>
              <w:top w:val="nil"/>
              <w:left w:val="nil"/>
              <w:bottom w:val="single" w:sz="4" w:space="0" w:color="auto"/>
              <w:right w:val="nil"/>
            </w:tcBorders>
            <w:noWrap/>
            <w:vAlign w:val="bottom"/>
            <w:hideMark/>
          </w:tcPr>
          <w:p w14:paraId="7E4008F7"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Regional</w:t>
            </w:r>
          </w:p>
        </w:tc>
        <w:tc>
          <w:tcPr>
            <w:tcW w:w="1460" w:type="dxa"/>
            <w:tcBorders>
              <w:top w:val="nil"/>
              <w:left w:val="single" w:sz="4" w:space="0" w:color="auto"/>
              <w:bottom w:val="single" w:sz="4" w:space="0" w:color="auto"/>
              <w:right w:val="single" w:sz="4" w:space="0" w:color="auto"/>
            </w:tcBorders>
            <w:noWrap/>
            <w:vAlign w:val="bottom"/>
            <w:hideMark/>
          </w:tcPr>
          <w:p w14:paraId="79A4DBBF"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Below average</w:t>
            </w:r>
          </w:p>
        </w:tc>
        <w:tc>
          <w:tcPr>
            <w:tcW w:w="1460" w:type="dxa"/>
            <w:tcBorders>
              <w:top w:val="nil"/>
              <w:left w:val="nil"/>
              <w:bottom w:val="single" w:sz="4" w:space="0" w:color="auto"/>
              <w:right w:val="single" w:sz="4" w:space="0" w:color="auto"/>
            </w:tcBorders>
            <w:noWrap/>
            <w:vAlign w:val="bottom"/>
            <w:hideMark/>
          </w:tcPr>
          <w:p w14:paraId="448F1D81"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Below average</w:t>
            </w:r>
          </w:p>
        </w:tc>
        <w:tc>
          <w:tcPr>
            <w:tcW w:w="1160" w:type="dxa"/>
            <w:tcBorders>
              <w:top w:val="nil"/>
              <w:left w:val="nil"/>
              <w:bottom w:val="single" w:sz="4" w:space="0" w:color="auto"/>
              <w:right w:val="single" w:sz="4" w:space="0" w:color="auto"/>
            </w:tcBorders>
            <w:noWrap/>
            <w:vAlign w:val="bottom"/>
            <w:hideMark/>
          </w:tcPr>
          <w:p w14:paraId="416BC617"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2DA978D8"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02231837" w14:textId="3E2A18C5"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 xml:space="preserve">Melbourne </w:t>
            </w:r>
            <w:r w:rsidR="005D4005">
              <w:rPr>
                <w:rFonts w:eastAsia="Times New Roman" w:cs="Arial"/>
                <w:color w:val="000000"/>
                <w:sz w:val="16"/>
                <w:szCs w:val="16"/>
                <w:lang w:eastAsia="en-AU"/>
              </w:rPr>
              <w:t>–</w:t>
            </w:r>
            <w:r w:rsidRPr="00E33193">
              <w:rPr>
                <w:rFonts w:eastAsia="Times New Roman" w:cs="Arial"/>
                <w:color w:val="000000"/>
                <w:sz w:val="16"/>
                <w:szCs w:val="16"/>
                <w:lang w:eastAsia="en-AU"/>
              </w:rPr>
              <w:t xml:space="preserve"> Inner</w:t>
            </w:r>
          </w:p>
        </w:tc>
        <w:tc>
          <w:tcPr>
            <w:tcW w:w="2200" w:type="dxa"/>
            <w:tcBorders>
              <w:top w:val="nil"/>
              <w:left w:val="nil"/>
              <w:bottom w:val="nil"/>
              <w:right w:val="nil"/>
            </w:tcBorders>
            <w:noWrap/>
            <w:vAlign w:val="bottom"/>
            <w:hideMark/>
          </w:tcPr>
          <w:p w14:paraId="1764990D"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09503B81"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66077BAF"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4820CEC7"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70B94A69"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598DB40F" w14:textId="0BBC40D9"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 xml:space="preserve">Melbourne </w:t>
            </w:r>
            <w:r w:rsidR="005D4005">
              <w:rPr>
                <w:rFonts w:eastAsia="Times New Roman" w:cs="Arial"/>
                <w:color w:val="000000"/>
                <w:sz w:val="16"/>
                <w:szCs w:val="16"/>
                <w:lang w:eastAsia="en-AU"/>
              </w:rPr>
              <w:t>–</w:t>
            </w:r>
            <w:r w:rsidRPr="00E33193">
              <w:rPr>
                <w:rFonts w:eastAsia="Times New Roman" w:cs="Arial"/>
                <w:color w:val="000000"/>
                <w:sz w:val="16"/>
                <w:szCs w:val="16"/>
                <w:lang w:eastAsia="en-AU"/>
              </w:rPr>
              <w:t xml:space="preserve"> Inner East</w:t>
            </w:r>
          </w:p>
        </w:tc>
        <w:tc>
          <w:tcPr>
            <w:tcW w:w="2200" w:type="dxa"/>
            <w:tcBorders>
              <w:top w:val="nil"/>
              <w:left w:val="nil"/>
              <w:bottom w:val="nil"/>
              <w:right w:val="nil"/>
            </w:tcBorders>
            <w:noWrap/>
            <w:vAlign w:val="bottom"/>
            <w:hideMark/>
          </w:tcPr>
          <w:p w14:paraId="2C418921"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69367D1E"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6A6AE8B3"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226DFE16"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290DDB29"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0F6895BC" w14:textId="243D30DB"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 xml:space="preserve">Melbourne </w:t>
            </w:r>
            <w:r w:rsidR="005D4005">
              <w:rPr>
                <w:rFonts w:eastAsia="Times New Roman" w:cs="Arial"/>
                <w:color w:val="000000"/>
                <w:sz w:val="16"/>
                <w:szCs w:val="16"/>
                <w:lang w:eastAsia="en-AU"/>
              </w:rPr>
              <w:t>–</w:t>
            </w:r>
            <w:r w:rsidRPr="00E33193">
              <w:rPr>
                <w:rFonts w:eastAsia="Times New Roman" w:cs="Arial"/>
                <w:color w:val="000000"/>
                <w:sz w:val="16"/>
                <w:szCs w:val="16"/>
                <w:lang w:eastAsia="en-AU"/>
              </w:rPr>
              <w:t xml:space="preserve"> Inner South</w:t>
            </w:r>
          </w:p>
        </w:tc>
        <w:tc>
          <w:tcPr>
            <w:tcW w:w="2200" w:type="dxa"/>
            <w:tcBorders>
              <w:top w:val="nil"/>
              <w:left w:val="nil"/>
              <w:bottom w:val="nil"/>
              <w:right w:val="nil"/>
            </w:tcBorders>
            <w:noWrap/>
            <w:vAlign w:val="bottom"/>
            <w:hideMark/>
          </w:tcPr>
          <w:p w14:paraId="3A44FCE1"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03A60455"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1300D406"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21D2A4ED"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4BCE79BA"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139D7D2D" w14:textId="2D5FE57A"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 xml:space="preserve">Melbourne </w:t>
            </w:r>
            <w:r w:rsidR="005D4005">
              <w:rPr>
                <w:rFonts w:eastAsia="Times New Roman" w:cs="Arial"/>
                <w:color w:val="000000"/>
                <w:sz w:val="16"/>
                <w:szCs w:val="16"/>
                <w:lang w:eastAsia="en-AU"/>
              </w:rPr>
              <w:t>–</w:t>
            </w:r>
            <w:r w:rsidRPr="00E33193">
              <w:rPr>
                <w:rFonts w:eastAsia="Times New Roman" w:cs="Arial"/>
                <w:color w:val="000000"/>
                <w:sz w:val="16"/>
                <w:szCs w:val="16"/>
                <w:lang w:eastAsia="en-AU"/>
              </w:rPr>
              <w:t xml:space="preserve"> North East</w:t>
            </w:r>
          </w:p>
        </w:tc>
        <w:tc>
          <w:tcPr>
            <w:tcW w:w="2200" w:type="dxa"/>
            <w:tcBorders>
              <w:top w:val="nil"/>
              <w:left w:val="nil"/>
              <w:bottom w:val="nil"/>
              <w:right w:val="nil"/>
            </w:tcBorders>
            <w:noWrap/>
            <w:vAlign w:val="bottom"/>
            <w:hideMark/>
          </w:tcPr>
          <w:p w14:paraId="1BD7F38D"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46A737A6"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180EA377"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Average</w:t>
            </w:r>
          </w:p>
        </w:tc>
        <w:tc>
          <w:tcPr>
            <w:tcW w:w="1160" w:type="dxa"/>
            <w:tcBorders>
              <w:top w:val="nil"/>
              <w:left w:val="nil"/>
              <w:bottom w:val="nil"/>
              <w:right w:val="single" w:sz="4" w:space="0" w:color="auto"/>
            </w:tcBorders>
            <w:noWrap/>
            <w:vAlign w:val="bottom"/>
            <w:hideMark/>
          </w:tcPr>
          <w:p w14:paraId="04A1BCA3"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775B1067"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4B20BD78" w14:textId="5996B6EA"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 xml:space="preserve">Melbourne </w:t>
            </w:r>
            <w:r w:rsidR="005D4005">
              <w:rPr>
                <w:rFonts w:eastAsia="Times New Roman" w:cs="Arial"/>
                <w:color w:val="000000"/>
                <w:sz w:val="16"/>
                <w:szCs w:val="16"/>
                <w:lang w:eastAsia="en-AU"/>
              </w:rPr>
              <w:t>–</w:t>
            </w:r>
            <w:r w:rsidRPr="00E33193">
              <w:rPr>
                <w:rFonts w:eastAsia="Times New Roman" w:cs="Arial"/>
                <w:color w:val="000000"/>
                <w:sz w:val="16"/>
                <w:szCs w:val="16"/>
                <w:lang w:eastAsia="en-AU"/>
              </w:rPr>
              <w:t xml:space="preserve"> North West</w:t>
            </w:r>
          </w:p>
        </w:tc>
        <w:tc>
          <w:tcPr>
            <w:tcW w:w="2200" w:type="dxa"/>
            <w:tcBorders>
              <w:top w:val="nil"/>
              <w:left w:val="nil"/>
              <w:bottom w:val="nil"/>
              <w:right w:val="nil"/>
            </w:tcBorders>
            <w:noWrap/>
            <w:vAlign w:val="bottom"/>
            <w:hideMark/>
          </w:tcPr>
          <w:p w14:paraId="421189D2"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35E12657"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1988A469"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2A180A97"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52C65B50"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7B913F8B" w14:textId="7E437BA8"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 xml:space="preserve">Melbourne </w:t>
            </w:r>
            <w:r w:rsidR="005D4005">
              <w:rPr>
                <w:rFonts w:eastAsia="Times New Roman" w:cs="Arial"/>
                <w:color w:val="000000"/>
                <w:sz w:val="16"/>
                <w:szCs w:val="16"/>
                <w:lang w:eastAsia="en-AU"/>
              </w:rPr>
              <w:t>–</w:t>
            </w:r>
            <w:r w:rsidRPr="00E33193">
              <w:rPr>
                <w:rFonts w:eastAsia="Times New Roman" w:cs="Arial"/>
                <w:color w:val="000000"/>
                <w:sz w:val="16"/>
                <w:szCs w:val="16"/>
                <w:lang w:eastAsia="en-AU"/>
              </w:rPr>
              <w:t xml:space="preserve"> Outer East</w:t>
            </w:r>
          </w:p>
        </w:tc>
        <w:tc>
          <w:tcPr>
            <w:tcW w:w="2200" w:type="dxa"/>
            <w:tcBorders>
              <w:top w:val="nil"/>
              <w:left w:val="nil"/>
              <w:bottom w:val="nil"/>
              <w:right w:val="nil"/>
            </w:tcBorders>
            <w:noWrap/>
            <w:vAlign w:val="bottom"/>
            <w:hideMark/>
          </w:tcPr>
          <w:p w14:paraId="0E3FA8B7"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3B3839A4"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77081527"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Above average</w:t>
            </w:r>
          </w:p>
        </w:tc>
        <w:tc>
          <w:tcPr>
            <w:tcW w:w="1160" w:type="dxa"/>
            <w:tcBorders>
              <w:top w:val="nil"/>
              <w:left w:val="single" w:sz="4" w:space="0" w:color="auto"/>
              <w:bottom w:val="nil"/>
              <w:right w:val="single" w:sz="4" w:space="0" w:color="auto"/>
            </w:tcBorders>
            <w:shd w:val="clear" w:color="000000" w:fill="B91C1C"/>
            <w:noWrap/>
            <w:vAlign w:val="bottom"/>
            <w:hideMark/>
          </w:tcPr>
          <w:p w14:paraId="0C206B70" w14:textId="77777777" w:rsidR="00E33193" w:rsidRPr="00E33193" w:rsidRDefault="00E33193" w:rsidP="00E33193">
            <w:pPr>
              <w:spacing w:after="0" w:line="240" w:lineRule="auto"/>
              <w:jc w:val="center"/>
              <w:rPr>
                <w:rFonts w:eastAsia="Times New Roman" w:cs="Arial"/>
                <w:color w:val="FFFFFF"/>
                <w:sz w:val="16"/>
                <w:szCs w:val="16"/>
                <w:lang w:eastAsia="en-AU"/>
              </w:rPr>
            </w:pPr>
            <w:r w:rsidRPr="00E33193">
              <w:rPr>
                <w:rFonts w:eastAsia="Times New Roman" w:cs="Arial"/>
                <w:color w:val="FFFFFF"/>
                <w:sz w:val="16"/>
                <w:szCs w:val="16"/>
                <w:lang w:eastAsia="en-AU"/>
              </w:rPr>
              <w:t>Declined</w:t>
            </w:r>
          </w:p>
        </w:tc>
      </w:tr>
      <w:tr w:rsidR="00E33193" w:rsidRPr="00E33193" w14:paraId="12CC6397"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1EA9EBAC" w14:textId="5A44D45F"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 xml:space="preserve">Melbourne </w:t>
            </w:r>
            <w:r w:rsidR="005D4005">
              <w:rPr>
                <w:rFonts w:eastAsia="Times New Roman" w:cs="Arial"/>
                <w:color w:val="000000"/>
                <w:sz w:val="16"/>
                <w:szCs w:val="16"/>
                <w:lang w:eastAsia="en-AU"/>
              </w:rPr>
              <w:t>–</w:t>
            </w:r>
            <w:r w:rsidRPr="00E33193">
              <w:rPr>
                <w:rFonts w:eastAsia="Times New Roman" w:cs="Arial"/>
                <w:color w:val="000000"/>
                <w:sz w:val="16"/>
                <w:szCs w:val="16"/>
                <w:lang w:eastAsia="en-AU"/>
              </w:rPr>
              <w:t xml:space="preserve"> South East</w:t>
            </w:r>
          </w:p>
        </w:tc>
        <w:tc>
          <w:tcPr>
            <w:tcW w:w="2200" w:type="dxa"/>
            <w:tcBorders>
              <w:top w:val="nil"/>
              <w:left w:val="nil"/>
              <w:bottom w:val="nil"/>
              <w:right w:val="nil"/>
            </w:tcBorders>
            <w:noWrap/>
            <w:vAlign w:val="bottom"/>
            <w:hideMark/>
          </w:tcPr>
          <w:p w14:paraId="77C2F6A1"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0D7C73D4"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7A7450DF"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Below average</w:t>
            </w:r>
          </w:p>
        </w:tc>
        <w:tc>
          <w:tcPr>
            <w:tcW w:w="1160" w:type="dxa"/>
            <w:tcBorders>
              <w:top w:val="nil"/>
              <w:left w:val="nil"/>
              <w:bottom w:val="nil"/>
              <w:right w:val="single" w:sz="4" w:space="0" w:color="auto"/>
            </w:tcBorders>
            <w:noWrap/>
            <w:vAlign w:val="bottom"/>
            <w:hideMark/>
          </w:tcPr>
          <w:p w14:paraId="5B4F7871"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65E0C412"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461557D8" w14:textId="5A588B9A"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 xml:space="preserve">Melbourne </w:t>
            </w:r>
            <w:r w:rsidR="005D4005">
              <w:rPr>
                <w:rFonts w:eastAsia="Times New Roman" w:cs="Arial"/>
                <w:color w:val="000000"/>
                <w:sz w:val="16"/>
                <w:szCs w:val="16"/>
                <w:lang w:eastAsia="en-AU"/>
              </w:rPr>
              <w:t>–</w:t>
            </w:r>
            <w:r w:rsidRPr="00E33193">
              <w:rPr>
                <w:rFonts w:eastAsia="Times New Roman" w:cs="Arial"/>
                <w:color w:val="000000"/>
                <w:sz w:val="16"/>
                <w:szCs w:val="16"/>
                <w:lang w:eastAsia="en-AU"/>
              </w:rPr>
              <w:t xml:space="preserve"> West</w:t>
            </w:r>
          </w:p>
        </w:tc>
        <w:tc>
          <w:tcPr>
            <w:tcW w:w="2200" w:type="dxa"/>
            <w:tcBorders>
              <w:top w:val="nil"/>
              <w:left w:val="nil"/>
              <w:bottom w:val="nil"/>
              <w:right w:val="nil"/>
            </w:tcBorders>
            <w:noWrap/>
            <w:vAlign w:val="bottom"/>
            <w:hideMark/>
          </w:tcPr>
          <w:p w14:paraId="3BD7D7F4"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6284875A"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11496E20"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Below average</w:t>
            </w:r>
          </w:p>
        </w:tc>
        <w:tc>
          <w:tcPr>
            <w:tcW w:w="1160" w:type="dxa"/>
            <w:tcBorders>
              <w:top w:val="nil"/>
              <w:left w:val="nil"/>
              <w:bottom w:val="nil"/>
              <w:right w:val="single" w:sz="4" w:space="0" w:color="auto"/>
            </w:tcBorders>
            <w:noWrap/>
            <w:vAlign w:val="bottom"/>
            <w:hideMark/>
          </w:tcPr>
          <w:p w14:paraId="491280B7"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3760D1D3"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7ACECD56"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Mornington Peninsula</w:t>
            </w:r>
          </w:p>
        </w:tc>
        <w:tc>
          <w:tcPr>
            <w:tcW w:w="2200" w:type="dxa"/>
            <w:tcBorders>
              <w:top w:val="nil"/>
              <w:left w:val="nil"/>
              <w:bottom w:val="nil"/>
              <w:right w:val="nil"/>
            </w:tcBorders>
            <w:noWrap/>
            <w:vAlign w:val="bottom"/>
            <w:hideMark/>
          </w:tcPr>
          <w:p w14:paraId="6AA86489"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5925C531"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190AD872"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501E599E"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68ED2E9F"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185E53D0"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Ballarat</w:t>
            </w:r>
          </w:p>
        </w:tc>
        <w:tc>
          <w:tcPr>
            <w:tcW w:w="2200" w:type="dxa"/>
            <w:tcBorders>
              <w:top w:val="nil"/>
              <w:left w:val="nil"/>
              <w:bottom w:val="nil"/>
              <w:right w:val="nil"/>
            </w:tcBorders>
            <w:noWrap/>
            <w:vAlign w:val="bottom"/>
            <w:hideMark/>
          </w:tcPr>
          <w:p w14:paraId="75C202F7"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2EF8A49C"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13CFB749"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Average</w:t>
            </w:r>
          </w:p>
        </w:tc>
        <w:tc>
          <w:tcPr>
            <w:tcW w:w="1160" w:type="dxa"/>
            <w:tcBorders>
              <w:top w:val="nil"/>
              <w:left w:val="single" w:sz="4" w:space="0" w:color="auto"/>
              <w:bottom w:val="nil"/>
              <w:right w:val="single" w:sz="4" w:space="0" w:color="auto"/>
            </w:tcBorders>
            <w:shd w:val="clear" w:color="000000" w:fill="047817"/>
            <w:noWrap/>
            <w:vAlign w:val="bottom"/>
            <w:hideMark/>
          </w:tcPr>
          <w:p w14:paraId="22B7315B" w14:textId="77777777" w:rsidR="00E33193" w:rsidRPr="00E33193" w:rsidRDefault="00E33193" w:rsidP="00E33193">
            <w:pPr>
              <w:spacing w:after="0" w:line="240" w:lineRule="auto"/>
              <w:jc w:val="center"/>
              <w:rPr>
                <w:rFonts w:eastAsia="Times New Roman" w:cs="Arial"/>
                <w:color w:val="FFFFFF"/>
                <w:sz w:val="16"/>
                <w:szCs w:val="16"/>
                <w:lang w:eastAsia="en-AU"/>
              </w:rPr>
            </w:pPr>
            <w:r w:rsidRPr="00E33193">
              <w:rPr>
                <w:rFonts w:eastAsia="Times New Roman" w:cs="Arial"/>
                <w:color w:val="FFFFFF"/>
                <w:sz w:val="16"/>
                <w:szCs w:val="16"/>
                <w:lang w:eastAsia="en-AU"/>
              </w:rPr>
              <w:t>Improved</w:t>
            </w:r>
          </w:p>
        </w:tc>
      </w:tr>
      <w:tr w:rsidR="00E33193" w:rsidRPr="00E33193" w14:paraId="655337AF"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6E227D4C"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Bendigo</w:t>
            </w:r>
          </w:p>
        </w:tc>
        <w:tc>
          <w:tcPr>
            <w:tcW w:w="2200" w:type="dxa"/>
            <w:tcBorders>
              <w:top w:val="nil"/>
              <w:left w:val="nil"/>
              <w:bottom w:val="nil"/>
              <w:right w:val="nil"/>
            </w:tcBorders>
            <w:noWrap/>
            <w:vAlign w:val="bottom"/>
            <w:hideMark/>
          </w:tcPr>
          <w:p w14:paraId="3C2DD042"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449B535C"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15D9D308"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Average</w:t>
            </w:r>
          </w:p>
        </w:tc>
        <w:tc>
          <w:tcPr>
            <w:tcW w:w="1160" w:type="dxa"/>
            <w:tcBorders>
              <w:top w:val="nil"/>
              <w:left w:val="nil"/>
              <w:bottom w:val="nil"/>
              <w:right w:val="single" w:sz="4" w:space="0" w:color="auto"/>
            </w:tcBorders>
            <w:noWrap/>
            <w:vAlign w:val="bottom"/>
            <w:hideMark/>
          </w:tcPr>
          <w:p w14:paraId="60818EE1"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7F6B86FA"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448C2EA2"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Geelong</w:t>
            </w:r>
          </w:p>
        </w:tc>
        <w:tc>
          <w:tcPr>
            <w:tcW w:w="2200" w:type="dxa"/>
            <w:tcBorders>
              <w:top w:val="nil"/>
              <w:left w:val="nil"/>
              <w:bottom w:val="nil"/>
              <w:right w:val="nil"/>
            </w:tcBorders>
            <w:noWrap/>
            <w:vAlign w:val="bottom"/>
            <w:hideMark/>
          </w:tcPr>
          <w:p w14:paraId="50E5D292"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Cities of Regional Australia</w:t>
            </w:r>
          </w:p>
        </w:tc>
        <w:tc>
          <w:tcPr>
            <w:tcW w:w="1460" w:type="dxa"/>
            <w:tcBorders>
              <w:top w:val="nil"/>
              <w:left w:val="single" w:sz="4" w:space="0" w:color="auto"/>
              <w:bottom w:val="nil"/>
              <w:right w:val="single" w:sz="4" w:space="0" w:color="auto"/>
            </w:tcBorders>
            <w:noWrap/>
            <w:vAlign w:val="bottom"/>
            <w:hideMark/>
          </w:tcPr>
          <w:p w14:paraId="1BCBFD17"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7BB90ADB"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04E279E9"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44D9DD1F"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5B2632E2"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Hume</w:t>
            </w:r>
          </w:p>
        </w:tc>
        <w:tc>
          <w:tcPr>
            <w:tcW w:w="2200" w:type="dxa"/>
            <w:tcBorders>
              <w:top w:val="nil"/>
              <w:left w:val="nil"/>
              <w:bottom w:val="nil"/>
              <w:right w:val="nil"/>
            </w:tcBorders>
            <w:noWrap/>
            <w:vAlign w:val="bottom"/>
            <w:hideMark/>
          </w:tcPr>
          <w:p w14:paraId="637AF0ED"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7E79925B"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18F09A3B"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615995EF"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2E5F903E"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7504CC4B" w14:textId="5075E216"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 xml:space="preserve">Latrobe </w:t>
            </w:r>
            <w:r w:rsidR="005D4005">
              <w:rPr>
                <w:rFonts w:eastAsia="Times New Roman" w:cs="Arial"/>
                <w:color w:val="000000"/>
                <w:sz w:val="16"/>
                <w:szCs w:val="16"/>
                <w:lang w:eastAsia="en-AU"/>
              </w:rPr>
              <w:t>–</w:t>
            </w:r>
            <w:r w:rsidRPr="00E33193">
              <w:rPr>
                <w:rFonts w:eastAsia="Times New Roman" w:cs="Arial"/>
                <w:color w:val="000000"/>
                <w:sz w:val="16"/>
                <w:szCs w:val="16"/>
                <w:lang w:eastAsia="en-AU"/>
              </w:rPr>
              <w:t xml:space="preserve"> Gippsland</w:t>
            </w:r>
          </w:p>
        </w:tc>
        <w:tc>
          <w:tcPr>
            <w:tcW w:w="2200" w:type="dxa"/>
            <w:tcBorders>
              <w:top w:val="nil"/>
              <w:left w:val="nil"/>
              <w:bottom w:val="nil"/>
              <w:right w:val="nil"/>
            </w:tcBorders>
            <w:noWrap/>
            <w:vAlign w:val="bottom"/>
            <w:hideMark/>
          </w:tcPr>
          <w:p w14:paraId="541E57E0"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2B1E0551"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39BEBF34"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Below average</w:t>
            </w:r>
          </w:p>
        </w:tc>
        <w:tc>
          <w:tcPr>
            <w:tcW w:w="1160" w:type="dxa"/>
            <w:tcBorders>
              <w:top w:val="nil"/>
              <w:left w:val="nil"/>
              <w:bottom w:val="nil"/>
              <w:right w:val="single" w:sz="4" w:space="0" w:color="auto"/>
            </w:tcBorders>
            <w:noWrap/>
            <w:vAlign w:val="bottom"/>
            <w:hideMark/>
          </w:tcPr>
          <w:p w14:paraId="65BA125E"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0DC76FD4"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232D6A2D" w14:textId="28F91428"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 xml:space="preserve">Victoria </w:t>
            </w:r>
            <w:r w:rsidR="005D4005">
              <w:rPr>
                <w:rFonts w:eastAsia="Times New Roman" w:cs="Arial"/>
                <w:color w:val="000000"/>
                <w:sz w:val="16"/>
                <w:szCs w:val="16"/>
                <w:lang w:eastAsia="en-AU"/>
              </w:rPr>
              <w:t>–</w:t>
            </w:r>
            <w:r w:rsidRPr="00E33193">
              <w:rPr>
                <w:rFonts w:eastAsia="Times New Roman" w:cs="Arial"/>
                <w:color w:val="000000"/>
                <w:sz w:val="16"/>
                <w:szCs w:val="16"/>
                <w:lang w:eastAsia="en-AU"/>
              </w:rPr>
              <w:t xml:space="preserve"> North West</w:t>
            </w:r>
          </w:p>
        </w:tc>
        <w:tc>
          <w:tcPr>
            <w:tcW w:w="2200" w:type="dxa"/>
            <w:tcBorders>
              <w:top w:val="nil"/>
              <w:left w:val="nil"/>
              <w:bottom w:val="nil"/>
              <w:right w:val="nil"/>
            </w:tcBorders>
            <w:noWrap/>
            <w:vAlign w:val="bottom"/>
            <w:hideMark/>
          </w:tcPr>
          <w:p w14:paraId="204EF70C"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106851C4"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0D158DD8"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Average</w:t>
            </w:r>
          </w:p>
        </w:tc>
        <w:tc>
          <w:tcPr>
            <w:tcW w:w="1160" w:type="dxa"/>
            <w:tcBorders>
              <w:top w:val="nil"/>
              <w:left w:val="nil"/>
              <w:bottom w:val="nil"/>
              <w:right w:val="single" w:sz="4" w:space="0" w:color="auto"/>
            </w:tcBorders>
            <w:noWrap/>
            <w:vAlign w:val="bottom"/>
            <w:hideMark/>
          </w:tcPr>
          <w:p w14:paraId="0EEF4F72"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2CA4F289" w14:textId="77777777" w:rsidTr="00E33193">
        <w:trPr>
          <w:trHeight w:val="283"/>
        </w:trPr>
        <w:tc>
          <w:tcPr>
            <w:tcW w:w="3320" w:type="dxa"/>
            <w:tcBorders>
              <w:top w:val="nil"/>
              <w:left w:val="single" w:sz="4" w:space="0" w:color="auto"/>
              <w:bottom w:val="nil"/>
              <w:right w:val="single" w:sz="4" w:space="0" w:color="auto"/>
            </w:tcBorders>
            <w:noWrap/>
            <w:vAlign w:val="bottom"/>
            <w:hideMark/>
          </w:tcPr>
          <w:p w14:paraId="3719E053"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Shepparton</w:t>
            </w:r>
          </w:p>
        </w:tc>
        <w:tc>
          <w:tcPr>
            <w:tcW w:w="2200" w:type="dxa"/>
            <w:tcBorders>
              <w:top w:val="nil"/>
              <w:left w:val="nil"/>
              <w:bottom w:val="nil"/>
              <w:right w:val="nil"/>
            </w:tcBorders>
            <w:noWrap/>
            <w:vAlign w:val="bottom"/>
            <w:hideMark/>
          </w:tcPr>
          <w:p w14:paraId="76BF8E7D"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2DCA5669"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4661BD81"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Average</w:t>
            </w:r>
          </w:p>
        </w:tc>
        <w:tc>
          <w:tcPr>
            <w:tcW w:w="1160" w:type="dxa"/>
            <w:tcBorders>
              <w:top w:val="nil"/>
              <w:left w:val="nil"/>
              <w:bottom w:val="nil"/>
              <w:right w:val="single" w:sz="4" w:space="0" w:color="auto"/>
            </w:tcBorders>
            <w:noWrap/>
            <w:vAlign w:val="bottom"/>
            <w:hideMark/>
          </w:tcPr>
          <w:p w14:paraId="2EAFE305"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Stable</w:t>
            </w:r>
          </w:p>
        </w:tc>
      </w:tr>
      <w:tr w:rsidR="00E33193" w:rsidRPr="00E33193" w14:paraId="662C6A8F" w14:textId="77777777" w:rsidTr="00E33193">
        <w:trPr>
          <w:trHeight w:val="283"/>
        </w:trPr>
        <w:tc>
          <w:tcPr>
            <w:tcW w:w="3320" w:type="dxa"/>
            <w:tcBorders>
              <w:top w:val="nil"/>
              <w:left w:val="single" w:sz="4" w:space="0" w:color="auto"/>
              <w:bottom w:val="single" w:sz="4" w:space="0" w:color="auto"/>
              <w:right w:val="single" w:sz="4" w:space="0" w:color="auto"/>
            </w:tcBorders>
            <w:noWrap/>
            <w:vAlign w:val="bottom"/>
            <w:hideMark/>
          </w:tcPr>
          <w:p w14:paraId="4EF942B1"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Warrnambool and South West</w:t>
            </w:r>
          </w:p>
        </w:tc>
        <w:tc>
          <w:tcPr>
            <w:tcW w:w="2200" w:type="dxa"/>
            <w:tcBorders>
              <w:top w:val="nil"/>
              <w:left w:val="nil"/>
              <w:bottom w:val="single" w:sz="4" w:space="0" w:color="auto"/>
              <w:right w:val="nil"/>
            </w:tcBorders>
            <w:noWrap/>
            <w:vAlign w:val="bottom"/>
            <w:hideMark/>
          </w:tcPr>
          <w:p w14:paraId="4B8060BC" w14:textId="77777777" w:rsidR="00E33193" w:rsidRPr="00E33193" w:rsidRDefault="00E33193" w:rsidP="00E33193">
            <w:pPr>
              <w:spacing w:after="0" w:line="240" w:lineRule="auto"/>
              <w:rPr>
                <w:rFonts w:eastAsia="Times New Roman" w:cs="Arial"/>
                <w:color w:val="000000"/>
                <w:sz w:val="16"/>
                <w:szCs w:val="16"/>
                <w:lang w:eastAsia="en-AU"/>
              </w:rPr>
            </w:pPr>
            <w:r w:rsidRPr="00E33193">
              <w:rPr>
                <w:rFonts w:eastAsia="Times New Roman" w:cs="Arial"/>
                <w:color w:val="000000"/>
                <w:sz w:val="16"/>
                <w:szCs w:val="16"/>
                <w:lang w:eastAsia="en-AU"/>
              </w:rPr>
              <w:t>Regional</w:t>
            </w:r>
          </w:p>
        </w:tc>
        <w:tc>
          <w:tcPr>
            <w:tcW w:w="1460" w:type="dxa"/>
            <w:tcBorders>
              <w:top w:val="nil"/>
              <w:left w:val="single" w:sz="4" w:space="0" w:color="auto"/>
              <w:bottom w:val="single" w:sz="4" w:space="0" w:color="auto"/>
              <w:right w:val="single" w:sz="4" w:space="0" w:color="auto"/>
            </w:tcBorders>
            <w:noWrap/>
            <w:vAlign w:val="bottom"/>
            <w:hideMark/>
          </w:tcPr>
          <w:p w14:paraId="170BDD5F"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Above average</w:t>
            </w:r>
          </w:p>
        </w:tc>
        <w:tc>
          <w:tcPr>
            <w:tcW w:w="1460" w:type="dxa"/>
            <w:tcBorders>
              <w:top w:val="nil"/>
              <w:left w:val="nil"/>
              <w:bottom w:val="single" w:sz="4" w:space="0" w:color="auto"/>
              <w:right w:val="single" w:sz="4" w:space="0" w:color="auto"/>
            </w:tcBorders>
            <w:noWrap/>
            <w:vAlign w:val="bottom"/>
            <w:hideMark/>
          </w:tcPr>
          <w:p w14:paraId="3D384D85" w14:textId="77777777" w:rsidR="00E33193" w:rsidRPr="00E33193" w:rsidRDefault="00E33193" w:rsidP="00E33193">
            <w:pPr>
              <w:spacing w:after="0" w:line="240" w:lineRule="auto"/>
              <w:jc w:val="center"/>
              <w:rPr>
                <w:rFonts w:eastAsia="Times New Roman" w:cs="Arial"/>
                <w:color w:val="000000"/>
                <w:sz w:val="16"/>
                <w:szCs w:val="16"/>
                <w:lang w:eastAsia="en-AU"/>
              </w:rPr>
            </w:pPr>
            <w:r w:rsidRPr="00E33193">
              <w:rPr>
                <w:rFonts w:eastAsia="Times New Roman" w:cs="Arial"/>
                <w:color w:val="000000"/>
                <w:sz w:val="16"/>
                <w:szCs w:val="16"/>
                <w:lang w:eastAsia="en-AU"/>
              </w:rPr>
              <w:t>Strong</w:t>
            </w:r>
          </w:p>
        </w:tc>
        <w:tc>
          <w:tcPr>
            <w:tcW w:w="1160" w:type="dxa"/>
            <w:tcBorders>
              <w:top w:val="nil"/>
              <w:left w:val="single" w:sz="4" w:space="0" w:color="auto"/>
              <w:bottom w:val="single" w:sz="4" w:space="0" w:color="auto"/>
              <w:right w:val="single" w:sz="4" w:space="0" w:color="auto"/>
            </w:tcBorders>
            <w:shd w:val="clear" w:color="000000" w:fill="047817"/>
            <w:noWrap/>
            <w:vAlign w:val="bottom"/>
            <w:hideMark/>
          </w:tcPr>
          <w:p w14:paraId="3402B026" w14:textId="77777777" w:rsidR="00E33193" w:rsidRPr="00E33193" w:rsidRDefault="00E33193" w:rsidP="00E33193">
            <w:pPr>
              <w:spacing w:after="0" w:line="240" w:lineRule="auto"/>
              <w:jc w:val="center"/>
              <w:rPr>
                <w:rFonts w:eastAsia="Times New Roman" w:cs="Arial"/>
                <w:color w:val="FFFFFF"/>
                <w:sz w:val="16"/>
                <w:szCs w:val="16"/>
                <w:lang w:eastAsia="en-AU"/>
              </w:rPr>
            </w:pPr>
            <w:r w:rsidRPr="00E33193">
              <w:rPr>
                <w:rFonts w:eastAsia="Times New Roman" w:cs="Arial"/>
                <w:color w:val="FFFFFF"/>
                <w:sz w:val="16"/>
                <w:szCs w:val="16"/>
                <w:lang w:eastAsia="en-AU"/>
              </w:rPr>
              <w:t>Improved</w:t>
            </w:r>
          </w:p>
        </w:tc>
      </w:tr>
    </w:tbl>
    <w:p w14:paraId="52E38D03" w14:textId="77777777" w:rsidR="00BC1B66" w:rsidRDefault="00BC1B66" w:rsidP="00FF2A2C"/>
    <w:p w14:paraId="339D4247" w14:textId="77777777" w:rsidR="00E33193" w:rsidRDefault="00E33193" w:rsidP="00FF2A2C"/>
    <w:p w14:paraId="19FC918F" w14:textId="77777777" w:rsidR="00E33193" w:rsidRDefault="00E33193" w:rsidP="00FF2A2C">
      <w:pPr>
        <w:sectPr w:rsidR="00E33193" w:rsidSect="00AC0C2F">
          <w:footerReference w:type="default" r:id="rId19"/>
          <w:footerReference w:type="first" r:id="rId20"/>
          <w:pgSz w:w="11906" w:h="16838"/>
          <w:pgMar w:top="1276" w:right="1440" w:bottom="1134" w:left="1440" w:header="0" w:footer="539" w:gutter="0"/>
          <w:cols w:space="708"/>
          <w:titlePg/>
          <w:docGrid w:linePitch="360"/>
        </w:sectPr>
      </w:pPr>
    </w:p>
    <w:tbl>
      <w:tblPr>
        <w:tblW w:w="9600" w:type="dxa"/>
        <w:tblLook w:val="04A0" w:firstRow="1" w:lastRow="0" w:firstColumn="1" w:lastColumn="0" w:noHBand="0" w:noVBand="1"/>
      </w:tblPr>
      <w:tblGrid>
        <w:gridCol w:w="3347"/>
        <w:gridCol w:w="2173"/>
        <w:gridCol w:w="1460"/>
        <w:gridCol w:w="1460"/>
        <w:gridCol w:w="1160"/>
      </w:tblGrid>
      <w:tr w:rsidR="005D4005" w:rsidRPr="005D4005" w14:paraId="6BD5E6B7" w14:textId="77777777" w:rsidTr="005D4005">
        <w:trPr>
          <w:trHeight w:val="283"/>
        </w:trPr>
        <w:tc>
          <w:tcPr>
            <w:tcW w:w="3347" w:type="dxa"/>
            <w:tcBorders>
              <w:top w:val="nil"/>
              <w:left w:val="single" w:sz="4" w:space="0" w:color="auto"/>
              <w:bottom w:val="nil"/>
              <w:right w:val="single" w:sz="4" w:space="0" w:color="auto"/>
            </w:tcBorders>
            <w:shd w:val="clear" w:color="000000" w:fill="4B0985"/>
            <w:vAlign w:val="center"/>
            <w:hideMark/>
          </w:tcPr>
          <w:p w14:paraId="68C83A37" w14:textId="77777777" w:rsidR="005D4005" w:rsidRPr="005D4005" w:rsidRDefault="005D4005" w:rsidP="005D4005">
            <w:pPr>
              <w:spacing w:after="0" w:line="240" w:lineRule="auto"/>
              <w:jc w:val="center"/>
              <w:rPr>
                <w:rFonts w:eastAsia="Times New Roman" w:cs="Arial"/>
                <w:b/>
                <w:bCs/>
                <w:color w:val="FFFFFF"/>
                <w:sz w:val="18"/>
                <w:szCs w:val="18"/>
                <w:lang w:eastAsia="en-AU"/>
              </w:rPr>
            </w:pPr>
            <w:r w:rsidRPr="005D4005">
              <w:rPr>
                <w:rFonts w:eastAsia="Times New Roman" w:cs="Arial"/>
                <w:b/>
                <w:bCs/>
                <w:color w:val="FFFFFF"/>
                <w:sz w:val="18"/>
                <w:szCs w:val="18"/>
                <w:lang w:eastAsia="en-AU"/>
              </w:rPr>
              <w:lastRenderedPageBreak/>
              <w:t>Statistical Area Level 4 (SA4)</w:t>
            </w:r>
          </w:p>
        </w:tc>
        <w:tc>
          <w:tcPr>
            <w:tcW w:w="2173" w:type="dxa"/>
            <w:tcBorders>
              <w:top w:val="single" w:sz="4" w:space="0" w:color="auto"/>
              <w:left w:val="nil"/>
              <w:bottom w:val="nil"/>
              <w:right w:val="nil"/>
            </w:tcBorders>
            <w:shd w:val="clear" w:color="000000" w:fill="4B0985"/>
            <w:vAlign w:val="center"/>
            <w:hideMark/>
          </w:tcPr>
          <w:p w14:paraId="646E3D13" w14:textId="77777777" w:rsidR="005D4005" w:rsidRPr="005D4005" w:rsidRDefault="005D4005" w:rsidP="005D4005">
            <w:pPr>
              <w:spacing w:after="0" w:line="240" w:lineRule="auto"/>
              <w:jc w:val="center"/>
              <w:rPr>
                <w:rFonts w:eastAsia="Times New Roman" w:cs="Arial"/>
                <w:b/>
                <w:bCs/>
                <w:color w:val="FFFFFF"/>
                <w:sz w:val="18"/>
                <w:szCs w:val="18"/>
                <w:lang w:eastAsia="en-AU"/>
              </w:rPr>
            </w:pPr>
            <w:r w:rsidRPr="005D4005">
              <w:rPr>
                <w:rFonts w:eastAsia="Times New Roman" w:cs="Arial"/>
                <w:b/>
                <w:bCs/>
                <w:color w:val="FFFFFF"/>
                <w:sz w:val="18"/>
                <w:szCs w:val="18"/>
                <w:lang w:eastAsia="en-AU"/>
              </w:rPr>
              <w:t>Remoteness</w:t>
            </w:r>
            <w:r w:rsidRPr="005D4005">
              <w:rPr>
                <w:rFonts w:eastAsia="Times New Roman" w:cs="Arial"/>
                <w:b/>
                <w:bCs/>
                <w:color w:val="FFFFFF"/>
                <w:sz w:val="18"/>
                <w:szCs w:val="18"/>
                <w:vertAlign w:val="superscript"/>
                <w:lang w:eastAsia="en-AU"/>
              </w:rPr>
              <w:t>1</w:t>
            </w:r>
          </w:p>
        </w:tc>
        <w:tc>
          <w:tcPr>
            <w:tcW w:w="1460" w:type="dxa"/>
            <w:tcBorders>
              <w:top w:val="nil"/>
              <w:left w:val="nil"/>
              <w:bottom w:val="single" w:sz="4" w:space="0" w:color="auto"/>
              <w:right w:val="nil"/>
            </w:tcBorders>
            <w:shd w:val="clear" w:color="000000" w:fill="4B0985"/>
            <w:noWrap/>
            <w:vAlign w:val="center"/>
            <w:hideMark/>
          </w:tcPr>
          <w:p w14:paraId="7429EDB9" w14:textId="77777777" w:rsidR="005D4005" w:rsidRPr="005D4005" w:rsidRDefault="005D4005" w:rsidP="005D4005">
            <w:pPr>
              <w:spacing w:after="0" w:line="240" w:lineRule="auto"/>
              <w:jc w:val="center"/>
              <w:rPr>
                <w:rFonts w:eastAsia="Times New Roman" w:cs="Arial"/>
                <w:b/>
                <w:bCs/>
                <w:color w:val="FFFFFF"/>
                <w:sz w:val="18"/>
                <w:szCs w:val="18"/>
                <w:lang w:eastAsia="en-AU"/>
              </w:rPr>
            </w:pPr>
            <w:r w:rsidRPr="005D4005">
              <w:rPr>
                <w:rFonts w:eastAsia="Times New Roman" w:cs="Arial"/>
                <w:b/>
                <w:bCs/>
                <w:color w:val="FFFFFF"/>
                <w:sz w:val="18"/>
                <w:szCs w:val="18"/>
                <w:lang w:eastAsia="en-AU"/>
              </w:rPr>
              <w:t>Mar-25</w:t>
            </w:r>
          </w:p>
        </w:tc>
        <w:tc>
          <w:tcPr>
            <w:tcW w:w="1460" w:type="dxa"/>
            <w:tcBorders>
              <w:top w:val="nil"/>
              <w:left w:val="nil"/>
              <w:bottom w:val="single" w:sz="4" w:space="0" w:color="auto"/>
              <w:right w:val="nil"/>
            </w:tcBorders>
            <w:shd w:val="clear" w:color="000000" w:fill="4B0985"/>
            <w:noWrap/>
            <w:vAlign w:val="center"/>
            <w:hideMark/>
          </w:tcPr>
          <w:p w14:paraId="0791BAA9" w14:textId="77777777" w:rsidR="005D4005" w:rsidRPr="005D4005" w:rsidRDefault="005D4005" w:rsidP="005D4005">
            <w:pPr>
              <w:spacing w:after="0" w:line="240" w:lineRule="auto"/>
              <w:jc w:val="center"/>
              <w:rPr>
                <w:rFonts w:eastAsia="Times New Roman" w:cs="Arial"/>
                <w:b/>
                <w:bCs/>
                <w:color w:val="FFFFFF"/>
                <w:sz w:val="18"/>
                <w:szCs w:val="18"/>
                <w:lang w:eastAsia="en-AU"/>
              </w:rPr>
            </w:pPr>
            <w:r w:rsidRPr="005D4005">
              <w:rPr>
                <w:rFonts w:eastAsia="Times New Roman" w:cs="Arial"/>
                <w:b/>
                <w:bCs/>
                <w:color w:val="FFFFFF"/>
                <w:sz w:val="18"/>
                <w:szCs w:val="18"/>
                <w:lang w:eastAsia="en-AU"/>
              </w:rPr>
              <w:t>Mar-26</w:t>
            </w:r>
          </w:p>
        </w:tc>
        <w:tc>
          <w:tcPr>
            <w:tcW w:w="1160" w:type="dxa"/>
            <w:tcBorders>
              <w:top w:val="nil"/>
              <w:left w:val="single" w:sz="4" w:space="0" w:color="auto"/>
              <w:bottom w:val="single" w:sz="4" w:space="0" w:color="auto"/>
              <w:right w:val="single" w:sz="4" w:space="0" w:color="auto"/>
            </w:tcBorders>
            <w:shd w:val="clear" w:color="000000" w:fill="4B0985"/>
            <w:noWrap/>
            <w:vAlign w:val="center"/>
            <w:hideMark/>
          </w:tcPr>
          <w:p w14:paraId="7CB2A0F6" w14:textId="77777777" w:rsidR="005D4005" w:rsidRPr="005D4005" w:rsidRDefault="005D4005" w:rsidP="005D4005">
            <w:pPr>
              <w:spacing w:after="0" w:line="240" w:lineRule="auto"/>
              <w:jc w:val="center"/>
              <w:rPr>
                <w:rFonts w:eastAsia="Times New Roman" w:cs="Arial"/>
                <w:b/>
                <w:bCs/>
                <w:color w:val="FFFFFF"/>
                <w:sz w:val="18"/>
                <w:szCs w:val="18"/>
                <w:lang w:eastAsia="en-AU"/>
              </w:rPr>
            </w:pPr>
            <w:r w:rsidRPr="005D4005">
              <w:rPr>
                <w:rFonts w:eastAsia="Times New Roman" w:cs="Arial"/>
                <w:b/>
                <w:bCs/>
                <w:color w:val="FFFFFF"/>
                <w:sz w:val="18"/>
                <w:szCs w:val="18"/>
                <w:lang w:eastAsia="en-AU"/>
              </w:rPr>
              <w:t>Direction</w:t>
            </w:r>
          </w:p>
        </w:tc>
      </w:tr>
      <w:tr w:rsidR="005D4005" w:rsidRPr="005D4005" w14:paraId="1A4DD994"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0800E34F"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Brisbane - East</w:t>
            </w:r>
          </w:p>
        </w:tc>
        <w:tc>
          <w:tcPr>
            <w:tcW w:w="2173" w:type="dxa"/>
            <w:tcBorders>
              <w:top w:val="nil"/>
              <w:left w:val="nil"/>
              <w:bottom w:val="nil"/>
              <w:right w:val="nil"/>
            </w:tcBorders>
            <w:noWrap/>
            <w:vAlign w:val="bottom"/>
            <w:hideMark/>
          </w:tcPr>
          <w:p w14:paraId="251D05AC"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656F6542"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7D8C83A4"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12A335A6"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Stable</w:t>
            </w:r>
          </w:p>
        </w:tc>
      </w:tr>
      <w:tr w:rsidR="005D4005" w:rsidRPr="005D4005" w14:paraId="2B6759AA"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37A0C60D"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Brisbane - North</w:t>
            </w:r>
          </w:p>
        </w:tc>
        <w:tc>
          <w:tcPr>
            <w:tcW w:w="2173" w:type="dxa"/>
            <w:tcBorders>
              <w:top w:val="nil"/>
              <w:left w:val="nil"/>
              <w:bottom w:val="nil"/>
              <w:right w:val="nil"/>
            </w:tcBorders>
            <w:noWrap/>
            <w:vAlign w:val="bottom"/>
            <w:hideMark/>
          </w:tcPr>
          <w:p w14:paraId="2DDABEE9"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3BDAB07C"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4FB15598"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612D8C2C"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Stable</w:t>
            </w:r>
          </w:p>
        </w:tc>
      </w:tr>
      <w:tr w:rsidR="005D4005" w:rsidRPr="005D4005" w14:paraId="3E225DE8"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36E794E4"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Brisbane - South</w:t>
            </w:r>
          </w:p>
        </w:tc>
        <w:tc>
          <w:tcPr>
            <w:tcW w:w="2173" w:type="dxa"/>
            <w:tcBorders>
              <w:top w:val="nil"/>
              <w:left w:val="nil"/>
              <w:bottom w:val="nil"/>
              <w:right w:val="nil"/>
            </w:tcBorders>
            <w:noWrap/>
            <w:vAlign w:val="bottom"/>
            <w:hideMark/>
          </w:tcPr>
          <w:p w14:paraId="6D47C944"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760118C1"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231FA96A"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Average</w:t>
            </w:r>
          </w:p>
        </w:tc>
        <w:tc>
          <w:tcPr>
            <w:tcW w:w="1160" w:type="dxa"/>
            <w:tcBorders>
              <w:top w:val="nil"/>
              <w:left w:val="single" w:sz="4" w:space="0" w:color="auto"/>
              <w:bottom w:val="nil"/>
              <w:right w:val="single" w:sz="4" w:space="0" w:color="auto"/>
            </w:tcBorders>
            <w:shd w:val="clear" w:color="000000" w:fill="B91C1C"/>
            <w:noWrap/>
            <w:vAlign w:val="bottom"/>
            <w:hideMark/>
          </w:tcPr>
          <w:p w14:paraId="10B30062" w14:textId="77777777" w:rsidR="005D4005" w:rsidRPr="005D4005" w:rsidRDefault="005D4005" w:rsidP="005D4005">
            <w:pPr>
              <w:spacing w:after="0" w:line="240" w:lineRule="auto"/>
              <w:jc w:val="center"/>
              <w:rPr>
                <w:rFonts w:eastAsia="Times New Roman" w:cs="Arial"/>
                <w:color w:val="FFFFFF"/>
                <w:sz w:val="16"/>
                <w:szCs w:val="16"/>
                <w:lang w:eastAsia="en-AU"/>
              </w:rPr>
            </w:pPr>
            <w:r w:rsidRPr="005D4005">
              <w:rPr>
                <w:rFonts w:eastAsia="Times New Roman" w:cs="Arial"/>
                <w:color w:val="FFFFFF"/>
                <w:sz w:val="16"/>
                <w:szCs w:val="16"/>
                <w:lang w:eastAsia="en-AU"/>
              </w:rPr>
              <w:t>Declined</w:t>
            </w:r>
          </w:p>
        </w:tc>
      </w:tr>
      <w:tr w:rsidR="005D4005" w:rsidRPr="005D4005" w14:paraId="6A7B2A8A"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477970DC"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Brisbane - West</w:t>
            </w:r>
          </w:p>
        </w:tc>
        <w:tc>
          <w:tcPr>
            <w:tcW w:w="2173" w:type="dxa"/>
            <w:tcBorders>
              <w:top w:val="nil"/>
              <w:left w:val="nil"/>
              <w:bottom w:val="nil"/>
              <w:right w:val="nil"/>
            </w:tcBorders>
            <w:noWrap/>
            <w:vAlign w:val="bottom"/>
            <w:hideMark/>
          </w:tcPr>
          <w:p w14:paraId="18EB9120"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202B2D01"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336A3191"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Above average</w:t>
            </w:r>
          </w:p>
        </w:tc>
        <w:tc>
          <w:tcPr>
            <w:tcW w:w="1160" w:type="dxa"/>
            <w:tcBorders>
              <w:top w:val="nil"/>
              <w:left w:val="single" w:sz="4" w:space="0" w:color="auto"/>
              <w:bottom w:val="nil"/>
              <w:right w:val="single" w:sz="4" w:space="0" w:color="auto"/>
            </w:tcBorders>
            <w:shd w:val="clear" w:color="000000" w:fill="B91C1C"/>
            <w:noWrap/>
            <w:vAlign w:val="bottom"/>
            <w:hideMark/>
          </w:tcPr>
          <w:p w14:paraId="0BFC55FB" w14:textId="77777777" w:rsidR="005D4005" w:rsidRPr="005D4005" w:rsidRDefault="005D4005" w:rsidP="005D4005">
            <w:pPr>
              <w:spacing w:after="0" w:line="240" w:lineRule="auto"/>
              <w:jc w:val="center"/>
              <w:rPr>
                <w:rFonts w:eastAsia="Times New Roman" w:cs="Arial"/>
                <w:color w:val="FFFFFF"/>
                <w:sz w:val="16"/>
                <w:szCs w:val="16"/>
                <w:lang w:eastAsia="en-AU"/>
              </w:rPr>
            </w:pPr>
            <w:r w:rsidRPr="005D4005">
              <w:rPr>
                <w:rFonts w:eastAsia="Times New Roman" w:cs="Arial"/>
                <w:color w:val="FFFFFF"/>
                <w:sz w:val="16"/>
                <w:szCs w:val="16"/>
                <w:lang w:eastAsia="en-AU"/>
              </w:rPr>
              <w:t>Declined</w:t>
            </w:r>
          </w:p>
        </w:tc>
      </w:tr>
      <w:tr w:rsidR="005D4005" w:rsidRPr="005D4005" w14:paraId="764DE313"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121BDE5B"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Brisbane Inner City</w:t>
            </w:r>
          </w:p>
        </w:tc>
        <w:tc>
          <w:tcPr>
            <w:tcW w:w="2173" w:type="dxa"/>
            <w:tcBorders>
              <w:top w:val="nil"/>
              <w:left w:val="nil"/>
              <w:bottom w:val="nil"/>
              <w:right w:val="nil"/>
            </w:tcBorders>
            <w:noWrap/>
            <w:vAlign w:val="bottom"/>
            <w:hideMark/>
          </w:tcPr>
          <w:p w14:paraId="522E03F4"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4A5A78A3"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0BD2EC9F"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35CC365A"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Stable</w:t>
            </w:r>
          </w:p>
        </w:tc>
      </w:tr>
      <w:tr w:rsidR="005D4005" w:rsidRPr="005D4005" w14:paraId="480A2D01"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250D3B94"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Ipswich</w:t>
            </w:r>
          </w:p>
        </w:tc>
        <w:tc>
          <w:tcPr>
            <w:tcW w:w="2173" w:type="dxa"/>
            <w:tcBorders>
              <w:top w:val="nil"/>
              <w:left w:val="nil"/>
              <w:bottom w:val="nil"/>
              <w:right w:val="nil"/>
            </w:tcBorders>
            <w:noWrap/>
            <w:vAlign w:val="bottom"/>
            <w:hideMark/>
          </w:tcPr>
          <w:p w14:paraId="07B350FF"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0536EAE8"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26DE7676"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Poor</w:t>
            </w:r>
          </w:p>
        </w:tc>
        <w:tc>
          <w:tcPr>
            <w:tcW w:w="1160" w:type="dxa"/>
            <w:tcBorders>
              <w:top w:val="nil"/>
              <w:left w:val="single" w:sz="4" w:space="0" w:color="auto"/>
              <w:bottom w:val="nil"/>
              <w:right w:val="single" w:sz="4" w:space="0" w:color="auto"/>
            </w:tcBorders>
            <w:shd w:val="clear" w:color="000000" w:fill="B91C1C"/>
            <w:noWrap/>
            <w:vAlign w:val="bottom"/>
            <w:hideMark/>
          </w:tcPr>
          <w:p w14:paraId="3F735ED7" w14:textId="77777777" w:rsidR="005D4005" w:rsidRPr="005D4005" w:rsidRDefault="005D4005" w:rsidP="005D4005">
            <w:pPr>
              <w:spacing w:after="0" w:line="240" w:lineRule="auto"/>
              <w:jc w:val="center"/>
              <w:rPr>
                <w:rFonts w:eastAsia="Times New Roman" w:cs="Arial"/>
                <w:color w:val="FFFFFF"/>
                <w:sz w:val="16"/>
                <w:szCs w:val="16"/>
                <w:lang w:eastAsia="en-AU"/>
              </w:rPr>
            </w:pPr>
            <w:r w:rsidRPr="005D4005">
              <w:rPr>
                <w:rFonts w:eastAsia="Times New Roman" w:cs="Arial"/>
                <w:color w:val="FFFFFF"/>
                <w:sz w:val="16"/>
                <w:szCs w:val="16"/>
                <w:lang w:eastAsia="en-AU"/>
              </w:rPr>
              <w:t>Declined</w:t>
            </w:r>
          </w:p>
        </w:tc>
      </w:tr>
      <w:tr w:rsidR="005D4005" w:rsidRPr="005D4005" w14:paraId="392B8854"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496D6378"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Logan - Beaudesert</w:t>
            </w:r>
          </w:p>
        </w:tc>
        <w:tc>
          <w:tcPr>
            <w:tcW w:w="2173" w:type="dxa"/>
            <w:tcBorders>
              <w:top w:val="nil"/>
              <w:left w:val="nil"/>
              <w:bottom w:val="nil"/>
              <w:right w:val="nil"/>
            </w:tcBorders>
            <w:noWrap/>
            <w:vAlign w:val="bottom"/>
            <w:hideMark/>
          </w:tcPr>
          <w:p w14:paraId="048DBFD9"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4D05A5B9"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6CB38564"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Poor</w:t>
            </w:r>
          </w:p>
        </w:tc>
        <w:tc>
          <w:tcPr>
            <w:tcW w:w="1160" w:type="dxa"/>
            <w:tcBorders>
              <w:top w:val="nil"/>
              <w:left w:val="single" w:sz="4" w:space="0" w:color="auto"/>
              <w:bottom w:val="nil"/>
              <w:right w:val="single" w:sz="4" w:space="0" w:color="auto"/>
            </w:tcBorders>
            <w:shd w:val="clear" w:color="000000" w:fill="B91C1C"/>
            <w:noWrap/>
            <w:vAlign w:val="bottom"/>
            <w:hideMark/>
          </w:tcPr>
          <w:p w14:paraId="3E114FB4" w14:textId="77777777" w:rsidR="005D4005" w:rsidRPr="005D4005" w:rsidRDefault="005D4005" w:rsidP="005D4005">
            <w:pPr>
              <w:spacing w:after="0" w:line="240" w:lineRule="auto"/>
              <w:jc w:val="center"/>
              <w:rPr>
                <w:rFonts w:eastAsia="Times New Roman" w:cs="Arial"/>
                <w:color w:val="FFFFFF"/>
                <w:sz w:val="16"/>
                <w:szCs w:val="16"/>
                <w:lang w:eastAsia="en-AU"/>
              </w:rPr>
            </w:pPr>
            <w:r w:rsidRPr="005D4005">
              <w:rPr>
                <w:rFonts w:eastAsia="Times New Roman" w:cs="Arial"/>
                <w:color w:val="FFFFFF"/>
                <w:sz w:val="16"/>
                <w:szCs w:val="16"/>
                <w:lang w:eastAsia="en-AU"/>
              </w:rPr>
              <w:t>Declined</w:t>
            </w:r>
          </w:p>
        </w:tc>
      </w:tr>
      <w:tr w:rsidR="005D4005" w:rsidRPr="005D4005" w14:paraId="550F187B"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5619D37C"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Moreton Bay - North</w:t>
            </w:r>
          </w:p>
        </w:tc>
        <w:tc>
          <w:tcPr>
            <w:tcW w:w="2173" w:type="dxa"/>
            <w:tcBorders>
              <w:top w:val="nil"/>
              <w:left w:val="nil"/>
              <w:bottom w:val="nil"/>
              <w:right w:val="nil"/>
            </w:tcBorders>
            <w:noWrap/>
            <w:vAlign w:val="bottom"/>
            <w:hideMark/>
          </w:tcPr>
          <w:p w14:paraId="37D31523"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37DEB86E"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76563032"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6383DF01"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Stable</w:t>
            </w:r>
          </w:p>
        </w:tc>
      </w:tr>
      <w:tr w:rsidR="005D4005" w:rsidRPr="005D4005" w14:paraId="51F0A40F"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3F2B0ED6"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Moreton Bay - South</w:t>
            </w:r>
          </w:p>
        </w:tc>
        <w:tc>
          <w:tcPr>
            <w:tcW w:w="2173" w:type="dxa"/>
            <w:tcBorders>
              <w:top w:val="nil"/>
              <w:left w:val="nil"/>
              <w:bottom w:val="nil"/>
              <w:right w:val="nil"/>
            </w:tcBorders>
            <w:noWrap/>
            <w:vAlign w:val="bottom"/>
            <w:hideMark/>
          </w:tcPr>
          <w:p w14:paraId="71E4EDA6"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767DE533"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56CEC4F2"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556655A6"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Stable</w:t>
            </w:r>
          </w:p>
        </w:tc>
      </w:tr>
      <w:tr w:rsidR="005D4005" w:rsidRPr="005D4005" w14:paraId="773E913C"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17D2BCBA"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Cairns</w:t>
            </w:r>
          </w:p>
        </w:tc>
        <w:tc>
          <w:tcPr>
            <w:tcW w:w="2173" w:type="dxa"/>
            <w:tcBorders>
              <w:top w:val="nil"/>
              <w:left w:val="nil"/>
              <w:bottom w:val="nil"/>
              <w:right w:val="nil"/>
            </w:tcBorders>
            <w:noWrap/>
            <w:vAlign w:val="bottom"/>
            <w:hideMark/>
          </w:tcPr>
          <w:p w14:paraId="0A9EE6EB"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Cities of Regional Australia</w:t>
            </w:r>
          </w:p>
        </w:tc>
        <w:tc>
          <w:tcPr>
            <w:tcW w:w="1460" w:type="dxa"/>
            <w:tcBorders>
              <w:top w:val="nil"/>
              <w:left w:val="single" w:sz="4" w:space="0" w:color="auto"/>
              <w:bottom w:val="nil"/>
              <w:right w:val="single" w:sz="4" w:space="0" w:color="auto"/>
            </w:tcBorders>
            <w:noWrap/>
            <w:vAlign w:val="bottom"/>
            <w:hideMark/>
          </w:tcPr>
          <w:p w14:paraId="0D0D7375"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5812F7D0"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Below average</w:t>
            </w:r>
          </w:p>
        </w:tc>
        <w:tc>
          <w:tcPr>
            <w:tcW w:w="1160" w:type="dxa"/>
            <w:tcBorders>
              <w:top w:val="nil"/>
              <w:left w:val="nil"/>
              <w:bottom w:val="nil"/>
              <w:right w:val="single" w:sz="4" w:space="0" w:color="auto"/>
            </w:tcBorders>
            <w:noWrap/>
            <w:vAlign w:val="bottom"/>
            <w:hideMark/>
          </w:tcPr>
          <w:p w14:paraId="6AB9DC1F"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Stable</w:t>
            </w:r>
          </w:p>
        </w:tc>
      </w:tr>
      <w:tr w:rsidR="005D4005" w:rsidRPr="005D4005" w14:paraId="235863A5"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3656B44B"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Darling Downs - Maranoa</w:t>
            </w:r>
          </w:p>
        </w:tc>
        <w:tc>
          <w:tcPr>
            <w:tcW w:w="2173" w:type="dxa"/>
            <w:tcBorders>
              <w:top w:val="nil"/>
              <w:left w:val="nil"/>
              <w:bottom w:val="nil"/>
              <w:right w:val="nil"/>
            </w:tcBorders>
            <w:noWrap/>
            <w:vAlign w:val="bottom"/>
            <w:hideMark/>
          </w:tcPr>
          <w:p w14:paraId="374F60B6"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7B3DFA2F"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13B3D5A3"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Above average</w:t>
            </w:r>
          </w:p>
        </w:tc>
        <w:tc>
          <w:tcPr>
            <w:tcW w:w="1160" w:type="dxa"/>
            <w:tcBorders>
              <w:top w:val="nil"/>
              <w:left w:val="single" w:sz="4" w:space="0" w:color="auto"/>
              <w:bottom w:val="nil"/>
              <w:right w:val="single" w:sz="4" w:space="0" w:color="auto"/>
            </w:tcBorders>
            <w:shd w:val="clear" w:color="000000" w:fill="B91C1C"/>
            <w:noWrap/>
            <w:vAlign w:val="bottom"/>
            <w:hideMark/>
          </w:tcPr>
          <w:p w14:paraId="75178BBA" w14:textId="77777777" w:rsidR="005D4005" w:rsidRPr="005D4005" w:rsidRDefault="005D4005" w:rsidP="005D4005">
            <w:pPr>
              <w:spacing w:after="0" w:line="240" w:lineRule="auto"/>
              <w:jc w:val="center"/>
              <w:rPr>
                <w:rFonts w:eastAsia="Times New Roman" w:cs="Arial"/>
                <w:color w:val="FFFFFF"/>
                <w:sz w:val="16"/>
                <w:szCs w:val="16"/>
                <w:lang w:eastAsia="en-AU"/>
              </w:rPr>
            </w:pPr>
            <w:r w:rsidRPr="005D4005">
              <w:rPr>
                <w:rFonts w:eastAsia="Times New Roman" w:cs="Arial"/>
                <w:color w:val="FFFFFF"/>
                <w:sz w:val="16"/>
                <w:szCs w:val="16"/>
                <w:lang w:eastAsia="en-AU"/>
              </w:rPr>
              <w:t>Declined</w:t>
            </w:r>
          </w:p>
        </w:tc>
      </w:tr>
      <w:tr w:rsidR="005D4005" w:rsidRPr="005D4005" w14:paraId="3197F39F"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10F37B33"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Central Queensland</w:t>
            </w:r>
          </w:p>
        </w:tc>
        <w:tc>
          <w:tcPr>
            <w:tcW w:w="2173" w:type="dxa"/>
            <w:tcBorders>
              <w:top w:val="nil"/>
              <w:left w:val="nil"/>
              <w:bottom w:val="nil"/>
              <w:right w:val="nil"/>
            </w:tcBorders>
            <w:noWrap/>
            <w:vAlign w:val="bottom"/>
            <w:hideMark/>
          </w:tcPr>
          <w:p w14:paraId="67CA073A"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4C8422A6"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04320756"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Below average</w:t>
            </w:r>
          </w:p>
        </w:tc>
        <w:tc>
          <w:tcPr>
            <w:tcW w:w="1160" w:type="dxa"/>
            <w:tcBorders>
              <w:top w:val="nil"/>
              <w:left w:val="nil"/>
              <w:bottom w:val="nil"/>
              <w:right w:val="single" w:sz="4" w:space="0" w:color="auto"/>
            </w:tcBorders>
            <w:noWrap/>
            <w:vAlign w:val="bottom"/>
            <w:hideMark/>
          </w:tcPr>
          <w:p w14:paraId="0E50173B"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Stable</w:t>
            </w:r>
          </w:p>
        </w:tc>
      </w:tr>
      <w:tr w:rsidR="005D4005" w:rsidRPr="005D4005" w14:paraId="08582845"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2D69F5A7"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Gold Coast</w:t>
            </w:r>
          </w:p>
        </w:tc>
        <w:tc>
          <w:tcPr>
            <w:tcW w:w="2173" w:type="dxa"/>
            <w:tcBorders>
              <w:top w:val="nil"/>
              <w:left w:val="nil"/>
              <w:bottom w:val="nil"/>
              <w:right w:val="nil"/>
            </w:tcBorders>
            <w:noWrap/>
            <w:vAlign w:val="bottom"/>
            <w:hideMark/>
          </w:tcPr>
          <w:p w14:paraId="5501C7CE"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Cities of Regional Australia</w:t>
            </w:r>
          </w:p>
        </w:tc>
        <w:tc>
          <w:tcPr>
            <w:tcW w:w="1460" w:type="dxa"/>
            <w:tcBorders>
              <w:top w:val="nil"/>
              <w:left w:val="single" w:sz="4" w:space="0" w:color="auto"/>
              <w:bottom w:val="nil"/>
              <w:right w:val="single" w:sz="4" w:space="0" w:color="auto"/>
            </w:tcBorders>
            <w:noWrap/>
            <w:vAlign w:val="bottom"/>
            <w:hideMark/>
          </w:tcPr>
          <w:p w14:paraId="405B1642"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0171B573"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024ABD98"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Stable</w:t>
            </w:r>
          </w:p>
        </w:tc>
      </w:tr>
      <w:tr w:rsidR="005D4005" w:rsidRPr="005D4005" w14:paraId="57B456CD"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390D98F2"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Mackay - Isaac - Whitsunday</w:t>
            </w:r>
          </w:p>
        </w:tc>
        <w:tc>
          <w:tcPr>
            <w:tcW w:w="2173" w:type="dxa"/>
            <w:tcBorders>
              <w:top w:val="nil"/>
              <w:left w:val="nil"/>
              <w:bottom w:val="nil"/>
              <w:right w:val="nil"/>
            </w:tcBorders>
            <w:noWrap/>
            <w:vAlign w:val="bottom"/>
            <w:hideMark/>
          </w:tcPr>
          <w:p w14:paraId="59B15E1E"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04747C58"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03D2EE79"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4E135BC4"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Stable</w:t>
            </w:r>
          </w:p>
        </w:tc>
      </w:tr>
      <w:tr w:rsidR="005D4005" w:rsidRPr="005D4005" w14:paraId="1FA5DFD3"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3C72E631"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Queensland - Outback</w:t>
            </w:r>
          </w:p>
        </w:tc>
        <w:tc>
          <w:tcPr>
            <w:tcW w:w="2173" w:type="dxa"/>
            <w:tcBorders>
              <w:top w:val="nil"/>
              <w:left w:val="nil"/>
              <w:bottom w:val="nil"/>
              <w:right w:val="nil"/>
            </w:tcBorders>
            <w:noWrap/>
            <w:vAlign w:val="bottom"/>
            <w:hideMark/>
          </w:tcPr>
          <w:p w14:paraId="1EF5B8F9"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Remote</w:t>
            </w:r>
          </w:p>
        </w:tc>
        <w:tc>
          <w:tcPr>
            <w:tcW w:w="1460" w:type="dxa"/>
            <w:tcBorders>
              <w:top w:val="nil"/>
              <w:left w:val="single" w:sz="4" w:space="0" w:color="auto"/>
              <w:bottom w:val="nil"/>
              <w:right w:val="single" w:sz="4" w:space="0" w:color="auto"/>
            </w:tcBorders>
            <w:noWrap/>
            <w:vAlign w:val="bottom"/>
            <w:hideMark/>
          </w:tcPr>
          <w:p w14:paraId="53C5F3C2"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6C25485E"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6D5637C1"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Stable</w:t>
            </w:r>
          </w:p>
        </w:tc>
      </w:tr>
      <w:tr w:rsidR="005D4005" w:rsidRPr="005D4005" w14:paraId="7C58A29D"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39886D1B"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Sunshine Coast</w:t>
            </w:r>
          </w:p>
        </w:tc>
        <w:tc>
          <w:tcPr>
            <w:tcW w:w="2173" w:type="dxa"/>
            <w:tcBorders>
              <w:top w:val="nil"/>
              <w:left w:val="nil"/>
              <w:bottom w:val="nil"/>
              <w:right w:val="nil"/>
            </w:tcBorders>
            <w:noWrap/>
            <w:vAlign w:val="bottom"/>
            <w:hideMark/>
          </w:tcPr>
          <w:p w14:paraId="41CE7B47"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Cities of Regional Australia</w:t>
            </w:r>
          </w:p>
        </w:tc>
        <w:tc>
          <w:tcPr>
            <w:tcW w:w="1460" w:type="dxa"/>
            <w:tcBorders>
              <w:top w:val="nil"/>
              <w:left w:val="single" w:sz="4" w:space="0" w:color="auto"/>
              <w:bottom w:val="nil"/>
              <w:right w:val="single" w:sz="4" w:space="0" w:color="auto"/>
            </w:tcBorders>
            <w:noWrap/>
            <w:vAlign w:val="bottom"/>
            <w:hideMark/>
          </w:tcPr>
          <w:p w14:paraId="295C1DCC"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4DEFEE21"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088F4BB9"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Stable</w:t>
            </w:r>
          </w:p>
        </w:tc>
      </w:tr>
      <w:tr w:rsidR="005D4005" w:rsidRPr="005D4005" w14:paraId="5F035137"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6F6359E4"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Toowoomba</w:t>
            </w:r>
          </w:p>
        </w:tc>
        <w:tc>
          <w:tcPr>
            <w:tcW w:w="2173" w:type="dxa"/>
            <w:tcBorders>
              <w:top w:val="nil"/>
              <w:left w:val="nil"/>
              <w:bottom w:val="nil"/>
              <w:right w:val="nil"/>
            </w:tcBorders>
            <w:noWrap/>
            <w:vAlign w:val="bottom"/>
            <w:hideMark/>
          </w:tcPr>
          <w:p w14:paraId="517C7F95"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Cities of Regional Australia</w:t>
            </w:r>
          </w:p>
        </w:tc>
        <w:tc>
          <w:tcPr>
            <w:tcW w:w="1460" w:type="dxa"/>
            <w:tcBorders>
              <w:top w:val="nil"/>
              <w:left w:val="single" w:sz="4" w:space="0" w:color="auto"/>
              <w:bottom w:val="nil"/>
              <w:right w:val="single" w:sz="4" w:space="0" w:color="auto"/>
            </w:tcBorders>
            <w:noWrap/>
            <w:vAlign w:val="bottom"/>
            <w:hideMark/>
          </w:tcPr>
          <w:p w14:paraId="3037456E"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536F5FAE"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Average</w:t>
            </w:r>
          </w:p>
        </w:tc>
        <w:tc>
          <w:tcPr>
            <w:tcW w:w="1160" w:type="dxa"/>
            <w:tcBorders>
              <w:top w:val="nil"/>
              <w:left w:val="nil"/>
              <w:bottom w:val="nil"/>
              <w:right w:val="single" w:sz="4" w:space="0" w:color="auto"/>
            </w:tcBorders>
            <w:noWrap/>
            <w:vAlign w:val="bottom"/>
            <w:hideMark/>
          </w:tcPr>
          <w:p w14:paraId="72B6846D"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Stable</w:t>
            </w:r>
          </w:p>
        </w:tc>
      </w:tr>
      <w:tr w:rsidR="005D4005" w:rsidRPr="005D4005" w14:paraId="7C6FA271"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1D4FA27E"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Townsville</w:t>
            </w:r>
          </w:p>
        </w:tc>
        <w:tc>
          <w:tcPr>
            <w:tcW w:w="2173" w:type="dxa"/>
            <w:tcBorders>
              <w:top w:val="nil"/>
              <w:left w:val="nil"/>
              <w:bottom w:val="nil"/>
              <w:right w:val="nil"/>
            </w:tcBorders>
            <w:noWrap/>
            <w:vAlign w:val="bottom"/>
            <w:hideMark/>
          </w:tcPr>
          <w:p w14:paraId="13198AC0"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Cities of Regional Australia</w:t>
            </w:r>
          </w:p>
        </w:tc>
        <w:tc>
          <w:tcPr>
            <w:tcW w:w="1460" w:type="dxa"/>
            <w:tcBorders>
              <w:top w:val="nil"/>
              <w:left w:val="single" w:sz="4" w:space="0" w:color="auto"/>
              <w:bottom w:val="nil"/>
              <w:right w:val="single" w:sz="4" w:space="0" w:color="auto"/>
            </w:tcBorders>
            <w:noWrap/>
            <w:vAlign w:val="bottom"/>
            <w:hideMark/>
          </w:tcPr>
          <w:p w14:paraId="55ECAC75"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73A0F3FF"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Below average</w:t>
            </w:r>
          </w:p>
        </w:tc>
        <w:tc>
          <w:tcPr>
            <w:tcW w:w="1160" w:type="dxa"/>
            <w:tcBorders>
              <w:top w:val="nil"/>
              <w:left w:val="nil"/>
              <w:bottom w:val="nil"/>
              <w:right w:val="single" w:sz="4" w:space="0" w:color="auto"/>
            </w:tcBorders>
            <w:noWrap/>
            <w:vAlign w:val="bottom"/>
            <w:hideMark/>
          </w:tcPr>
          <w:p w14:paraId="00BD6245"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Stable</w:t>
            </w:r>
          </w:p>
        </w:tc>
      </w:tr>
      <w:tr w:rsidR="005D4005" w:rsidRPr="005D4005" w14:paraId="4F1E9452" w14:textId="77777777" w:rsidTr="005D4005">
        <w:trPr>
          <w:trHeight w:val="283"/>
        </w:trPr>
        <w:tc>
          <w:tcPr>
            <w:tcW w:w="3347" w:type="dxa"/>
            <w:tcBorders>
              <w:top w:val="nil"/>
              <w:left w:val="single" w:sz="4" w:space="0" w:color="auto"/>
              <w:bottom w:val="single" w:sz="4" w:space="0" w:color="auto"/>
              <w:right w:val="single" w:sz="4" w:space="0" w:color="auto"/>
            </w:tcBorders>
            <w:noWrap/>
            <w:vAlign w:val="bottom"/>
            <w:hideMark/>
          </w:tcPr>
          <w:p w14:paraId="61B7BDCA"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Wide Bay</w:t>
            </w:r>
          </w:p>
        </w:tc>
        <w:tc>
          <w:tcPr>
            <w:tcW w:w="2173" w:type="dxa"/>
            <w:tcBorders>
              <w:top w:val="nil"/>
              <w:left w:val="nil"/>
              <w:bottom w:val="single" w:sz="4" w:space="0" w:color="auto"/>
              <w:right w:val="nil"/>
            </w:tcBorders>
            <w:noWrap/>
            <w:vAlign w:val="bottom"/>
            <w:hideMark/>
          </w:tcPr>
          <w:p w14:paraId="60F8D39C"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Regional</w:t>
            </w:r>
          </w:p>
        </w:tc>
        <w:tc>
          <w:tcPr>
            <w:tcW w:w="1460" w:type="dxa"/>
            <w:tcBorders>
              <w:top w:val="nil"/>
              <w:left w:val="single" w:sz="4" w:space="0" w:color="auto"/>
              <w:bottom w:val="single" w:sz="4" w:space="0" w:color="auto"/>
              <w:right w:val="single" w:sz="4" w:space="0" w:color="auto"/>
            </w:tcBorders>
            <w:noWrap/>
            <w:vAlign w:val="bottom"/>
            <w:hideMark/>
          </w:tcPr>
          <w:p w14:paraId="44DAF0B9"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Poor</w:t>
            </w:r>
          </w:p>
        </w:tc>
        <w:tc>
          <w:tcPr>
            <w:tcW w:w="1460" w:type="dxa"/>
            <w:tcBorders>
              <w:top w:val="nil"/>
              <w:left w:val="nil"/>
              <w:bottom w:val="single" w:sz="4" w:space="0" w:color="auto"/>
              <w:right w:val="single" w:sz="4" w:space="0" w:color="auto"/>
            </w:tcBorders>
            <w:noWrap/>
            <w:vAlign w:val="bottom"/>
            <w:hideMark/>
          </w:tcPr>
          <w:p w14:paraId="1E51B603"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Poor</w:t>
            </w:r>
          </w:p>
        </w:tc>
        <w:tc>
          <w:tcPr>
            <w:tcW w:w="1160" w:type="dxa"/>
            <w:tcBorders>
              <w:top w:val="nil"/>
              <w:left w:val="nil"/>
              <w:bottom w:val="single" w:sz="4" w:space="0" w:color="auto"/>
              <w:right w:val="single" w:sz="4" w:space="0" w:color="auto"/>
            </w:tcBorders>
            <w:noWrap/>
            <w:vAlign w:val="bottom"/>
            <w:hideMark/>
          </w:tcPr>
          <w:p w14:paraId="3FC04B89"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Stable</w:t>
            </w:r>
          </w:p>
        </w:tc>
      </w:tr>
      <w:tr w:rsidR="005D4005" w:rsidRPr="005D4005" w14:paraId="30105E26"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632CE78D"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Adelaide - Central and Hills</w:t>
            </w:r>
          </w:p>
        </w:tc>
        <w:tc>
          <w:tcPr>
            <w:tcW w:w="2173" w:type="dxa"/>
            <w:tcBorders>
              <w:top w:val="nil"/>
              <w:left w:val="nil"/>
              <w:bottom w:val="nil"/>
              <w:right w:val="nil"/>
            </w:tcBorders>
            <w:noWrap/>
            <w:vAlign w:val="bottom"/>
            <w:hideMark/>
          </w:tcPr>
          <w:p w14:paraId="4CBBFD4A"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62F0DD64"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4D6A398B"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Strong</w:t>
            </w:r>
          </w:p>
        </w:tc>
        <w:tc>
          <w:tcPr>
            <w:tcW w:w="1160" w:type="dxa"/>
            <w:tcBorders>
              <w:top w:val="nil"/>
              <w:left w:val="single" w:sz="4" w:space="0" w:color="auto"/>
              <w:bottom w:val="nil"/>
              <w:right w:val="single" w:sz="4" w:space="0" w:color="auto"/>
            </w:tcBorders>
            <w:shd w:val="clear" w:color="000000" w:fill="047817"/>
            <w:noWrap/>
            <w:vAlign w:val="bottom"/>
            <w:hideMark/>
          </w:tcPr>
          <w:p w14:paraId="7F2E58C4" w14:textId="77777777" w:rsidR="005D4005" w:rsidRPr="005D4005" w:rsidRDefault="005D4005" w:rsidP="005D4005">
            <w:pPr>
              <w:spacing w:after="0" w:line="240" w:lineRule="auto"/>
              <w:jc w:val="center"/>
              <w:rPr>
                <w:rFonts w:eastAsia="Times New Roman" w:cs="Arial"/>
                <w:color w:val="FFFFFF"/>
                <w:sz w:val="16"/>
                <w:szCs w:val="16"/>
                <w:lang w:eastAsia="en-AU"/>
              </w:rPr>
            </w:pPr>
            <w:r w:rsidRPr="005D4005">
              <w:rPr>
                <w:rFonts w:eastAsia="Times New Roman" w:cs="Arial"/>
                <w:color w:val="FFFFFF"/>
                <w:sz w:val="16"/>
                <w:szCs w:val="16"/>
                <w:lang w:eastAsia="en-AU"/>
              </w:rPr>
              <w:t>Improved</w:t>
            </w:r>
          </w:p>
        </w:tc>
      </w:tr>
      <w:tr w:rsidR="005D4005" w:rsidRPr="005D4005" w14:paraId="7B29E235"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7EF8B6E3"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Adelaide - North</w:t>
            </w:r>
          </w:p>
        </w:tc>
        <w:tc>
          <w:tcPr>
            <w:tcW w:w="2173" w:type="dxa"/>
            <w:tcBorders>
              <w:top w:val="nil"/>
              <w:left w:val="nil"/>
              <w:bottom w:val="nil"/>
              <w:right w:val="nil"/>
            </w:tcBorders>
            <w:noWrap/>
            <w:vAlign w:val="bottom"/>
            <w:hideMark/>
          </w:tcPr>
          <w:p w14:paraId="268D0F90"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0C9ACCC6"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29AE8A05"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27F19D3D"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Stable</w:t>
            </w:r>
          </w:p>
        </w:tc>
      </w:tr>
      <w:tr w:rsidR="005D4005" w:rsidRPr="005D4005" w14:paraId="717202C6"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10D7FC2D"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Adelaide - South</w:t>
            </w:r>
          </w:p>
        </w:tc>
        <w:tc>
          <w:tcPr>
            <w:tcW w:w="2173" w:type="dxa"/>
            <w:tcBorders>
              <w:top w:val="nil"/>
              <w:left w:val="nil"/>
              <w:bottom w:val="nil"/>
              <w:right w:val="nil"/>
            </w:tcBorders>
            <w:noWrap/>
            <w:vAlign w:val="bottom"/>
            <w:hideMark/>
          </w:tcPr>
          <w:p w14:paraId="48F1F3A2"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051C6AEB"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2E3E5D6A"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Above average</w:t>
            </w:r>
          </w:p>
        </w:tc>
        <w:tc>
          <w:tcPr>
            <w:tcW w:w="1160" w:type="dxa"/>
            <w:tcBorders>
              <w:top w:val="nil"/>
              <w:left w:val="single" w:sz="4" w:space="0" w:color="auto"/>
              <w:bottom w:val="nil"/>
              <w:right w:val="single" w:sz="4" w:space="0" w:color="auto"/>
            </w:tcBorders>
            <w:shd w:val="clear" w:color="000000" w:fill="047817"/>
            <w:noWrap/>
            <w:vAlign w:val="bottom"/>
            <w:hideMark/>
          </w:tcPr>
          <w:p w14:paraId="29926D26" w14:textId="77777777" w:rsidR="005D4005" w:rsidRPr="005D4005" w:rsidRDefault="005D4005" w:rsidP="005D4005">
            <w:pPr>
              <w:spacing w:after="0" w:line="240" w:lineRule="auto"/>
              <w:jc w:val="center"/>
              <w:rPr>
                <w:rFonts w:eastAsia="Times New Roman" w:cs="Arial"/>
                <w:color w:val="FFFFFF"/>
                <w:sz w:val="16"/>
                <w:szCs w:val="16"/>
                <w:lang w:eastAsia="en-AU"/>
              </w:rPr>
            </w:pPr>
            <w:r w:rsidRPr="005D4005">
              <w:rPr>
                <w:rFonts w:eastAsia="Times New Roman" w:cs="Arial"/>
                <w:color w:val="FFFFFF"/>
                <w:sz w:val="16"/>
                <w:szCs w:val="16"/>
                <w:lang w:eastAsia="en-AU"/>
              </w:rPr>
              <w:t>Improved</w:t>
            </w:r>
          </w:p>
        </w:tc>
      </w:tr>
      <w:tr w:rsidR="005D4005" w:rsidRPr="005D4005" w14:paraId="40161548"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3DE15A12"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Adelaide - West</w:t>
            </w:r>
          </w:p>
        </w:tc>
        <w:tc>
          <w:tcPr>
            <w:tcW w:w="2173" w:type="dxa"/>
            <w:tcBorders>
              <w:top w:val="nil"/>
              <w:left w:val="nil"/>
              <w:bottom w:val="nil"/>
              <w:right w:val="nil"/>
            </w:tcBorders>
            <w:noWrap/>
            <w:vAlign w:val="bottom"/>
            <w:hideMark/>
          </w:tcPr>
          <w:p w14:paraId="09492D00"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574FFEEA"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32F32D67"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Above average</w:t>
            </w:r>
          </w:p>
        </w:tc>
        <w:tc>
          <w:tcPr>
            <w:tcW w:w="1160" w:type="dxa"/>
            <w:tcBorders>
              <w:top w:val="nil"/>
              <w:left w:val="single" w:sz="4" w:space="0" w:color="auto"/>
              <w:bottom w:val="nil"/>
              <w:right w:val="single" w:sz="4" w:space="0" w:color="auto"/>
            </w:tcBorders>
            <w:shd w:val="clear" w:color="000000" w:fill="047817"/>
            <w:noWrap/>
            <w:vAlign w:val="bottom"/>
            <w:hideMark/>
          </w:tcPr>
          <w:p w14:paraId="36218C74" w14:textId="77777777" w:rsidR="005D4005" w:rsidRPr="005D4005" w:rsidRDefault="005D4005" w:rsidP="005D4005">
            <w:pPr>
              <w:spacing w:after="0" w:line="240" w:lineRule="auto"/>
              <w:jc w:val="center"/>
              <w:rPr>
                <w:rFonts w:eastAsia="Times New Roman" w:cs="Arial"/>
                <w:color w:val="FFFFFF"/>
                <w:sz w:val="16"/>
                <w:szCs w:val="16"/>
                <w:lang w:eastAsia="en-AU"/>
              </w:rPr>
            </w:pPr>
            <w:r w:rsidRPr="005D4005">
              <w:rPr>
                <w:rFonts w:eastAsia="Times New Roman" w:cs="Arial"/>
                <w:color w:val="FFFFFF"/>
                <w:sz w:val="16"/>
                <w:szCs w:val="16"/>
                <w:lang w:eastAsia="en-AU"/>
              </w:rPr>
              <w:t>Improved</w:t>
            </w:r>
          </w:p>
        </w:tc>
      </w:tr>
      <w:tr w:rsidR="005D4005" w:rsidRPr="005D4005" w14:paraId="0BF34A5A"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2A3B4E83"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Barossa - Yorke - Mid North</w:t>
            </w:r>
          </w:p>
        </w:tc>
        <w:tc>
          <w:tcPr>
            <w:tcW w:w="2173" w:type="dxa"/>
            <w:tcBorders>
              <w:top w:val="nil"/>
              <w:left w:val="nil"/>
              <w:bottom w:val="nil"/>
              <w:right w:val="nil"/>
            </w:tcBorders>
            <w:noWrap/>
            <w:vAlign w:val="bottom"/>
            <w:hideMark/>
          </w:tcPr>
          <w:p w14:paraId="403FCBE2"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6A7D8433"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6C459654"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44A513BE"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Stable</w:t>
            </w:r>
          </w:p>
        </w:tc>
      </w:tr>
      <w:tr w:rsidR="005D4005" w:rsidRPr="005D4005" w14:paraId="674040AD"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0F780882"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South Australia - Outback</w:t>
            </w:r>
          </w:p>
        </w:tc>
        <w:tc>
          <w:tcPr>
            <w:tcW w:w="2173" w:type="dxa"/>
            <w:tcBorders>
              <w:top w:val="nil"/>
              <w:left w:val="nil"/>
              <w:bottom w:val="nil"/>
              <w:right w:val="nil"/>
            </w:tcBorders>
            <w:noWrap/>
            <w:vAlign w:val="bottom"/>
            <w:hideMark/>
          </w:tcPr>
          <w:p w14:paraId="0AEB2458"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Remote</w:t>
            </w:r>
          </w:p>
        </w:tc>
        <w:tc>
          <w:tcPr>
            <w:tcW w:w="1460" w:type="dxa"/>
            <w:tcBorders>
              <w:top w:val="nil"/>
              <w:left w:val="single" w:sz="4" w:space="0" w:color="auto"/>
              <w:bottom w:val="nil"/>
              <w:right w:val="single" w:sz="4" w:space="0" w:color="auto"/>
            </w:tcBorders>
            <w:noWrap/>
            <w:vAlign w:val="bottom"/>
            <w:hideMark/>
          </w:tcPr>
          <w:p w14:paraId="79DDF186"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52878C4D"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351E5218"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Stable</w:t>
            </w:r>
          </w:p>
        </w:tc>
      </w:tr>
      <w:tr w:rsidR="005D4005" w:rsidRPr="005D4005" w14:paraId="3C53D4BF" w14:textId="77777777" w:rsidTr="005D4005">
        <w:trPr>
          <w:trHeight w:val="283"/>
        </w:trPr>
        <w:tc>
          <w:tcPr>
            <w:tcW w:w="3347" w:type="dxa"/>
            <w:tcBorders>
              <w:top w:val="nil"/>
              <w:left w:val="single" w:sz="4" w:space="0" w:color="auto"/>
              <w:bottom w:val="single" w:sz="4" w:space="0" w:color="auto"/>
              <w:right w:val="single" w:sz="4" w:space="0" w:color="auto"/>
            </w:tcBorders>
            <w:noWrap/>
            <w:vAlign w:val="bottom"/>
            <w:hideMark/>
          </w:tcPr>
          <w:p w14:paraId="26FE2483"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South Australia - South East</w:t>
            </w:r>
          </w:p>
        </w:tc>
        <w:tc>
          <w:tcPr>
            <w:tcW w:w="2173" w:type="dxa"/>
            <w:tcBorders>
              <w:top w:val="nil"/>
              <w:left w:val="nil"/>
              <w:bottom w:val="single" w:sz="4" w:space="0" w:color="auto"/>
              <w:right w:val="nil"/>
            </w:tcBorders>
            <w:noWrap/>
            <w:vAlign w:val="bottom"/>
            <w:hideMark/>
          </w:tcPr>
          <w:p w14:paraId="7ECB6C22"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Regional</w:t>
            </w:r>
          </w:p>
        </w:tc>
        <w:tc>
          <w:tcPr>
            <w:tcW w:w="1460" w:type="dxa"/>
            <w:tcBorders>
              <w:top w:val="nil"/>
              <w:left w:val="single" w:sz="4" w:space="0" w:color="auto"/>
              <w:bottom w:val="single" w:sz="4" w:space="0" w:color="auto"/>
              <w:right w:val="single" w:sz="4" w:space="0" w:color="auto"/>
            </w:tcBorders>
            <w:noWrap/>
            <w:vAlign w:val="bottom"/>
            <w:hideMark/>
          </w:tcPr>
          <w:p w14:paraId="5D005D8B"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Poor</w:t>
            </w:r>
          </w:p>
        </w:tc>
        <w:tc>
          <w:tcPr>
            <w:tcW w:w="1460" w:type="dxa"/>
            <w:tcBorders>
              <w:top w:val="nil"/>
              <w:left w:val="nil"/>
              <w:bottom w:val="single" w:sz="4" w:space="0" w:color="auto"/>
              <w:right w:val="single" w:sz="4" w:space="0" w:color="auto"/>
            </w:tcBorders>
            <w:noWrap/>
            <w:vAlign w:val="bottom"/>
            <w:hideMark/>
          </w:tcPr>
          <w:p w14:paraId="72118DD0"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Poor</w:t>
            </w:r>
          </w:p>
        </w:tc>
        <w:tc>
          <w:tcPr>
            <w:tcW w:w="1160" w:type="dxa"/>
            <w:tcBorders>
              <w:top w:val="nil"/>
              <w:left w:val="nil"/>
              <w:bottom w:val="single" w:sz="4" w:space="0" w:color="auto"/>
              <w:right w:val="single" w:sz="4" w:space="0" w:color="auto"/>
            </w:tcBorders>
            <w:noWrap/>
            <w:vAlign w:val="bottom"/>
            <w:hideMark/>
          </w:tcPr>
          <w:p w14:paraId="267A491E"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Stable</w:t>
            </w:r>
          </w:p>
        </w:tc>
      </w:tr>
      <w:tr w:rsidR="005D4005" w:rsidRPr="005D4005" w14:paraId="54F07D5F"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77157CD9"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Mandurah</w:t>
            </w:r>
          </w:p>
        </w:tc>
        <w:tc>
          <w:tcPr>
            <w:tcW w:w="2173" w:type="dxa"/>
            <w:tcBorders>
              <w:top w:val="nil"/>
              <w:left w:val="nil"/>
              <w:bottom w:val="nil"/>
              <w:right w:val="nil"/>
            </w:tcBorders>
            <w:noWrap/>
            <w:vAlign w:val="bottom"/>
            <w:hideMark/>
          </w:tcPr>
          <w:p w14:paraId="0E638C64"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1C0DA009"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51C14C97"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Poor</w:t>
            </w:r>
          </w:p>
        </w:tc>
        <w:tc>
          <w:tcPr>
            <w:tcW w:w="1160" w:type="dxa"/>
            <w:tcBorders>
              <w:top w:val="nil"/>
              <w:left w:val="single" w:sz="4" w:space="0" w:color="auto"/>
              <w:bottom w:val="nil"/>
              <w:right w:val="single" w:sz="4" w:space="0" w:color="auto"/>
            </w:tcBorders>
            <w:shd w:val="clear" w:color="000000" w:fill="B91C1C"/>
            <w:noWrap/>
            <w:vAlign w:val="bottom"/>
            <w:hideMark/>
          </w:tcPr>
          <w:p w14:paraId="7FA41617" w14:textId="77777777" w:rsidR="005D4005" w:rsidRPr="005D4005" w:rsidRDefault="005D4005" w:rsidP="005D4005">
            <w:pPr>
              <w:spacing w:after="0" w:line="240" w:lineRule="auto"/>
              <w:jc w:val="center"/>
              <w:rPr>
                <w:rFonts w:eastAsia="Times New Roman" w:cs="Arial"/>
                <w:color w:val="FFFFFF"/>
                <w:sz w:val="16"/>
                <w:szCs w:val="16"/>
                <w:lang w:eastAsia="en-AU"/>
              </w:rPr>
            </w:pPr>
            <w:r w:rsidRPr="005D4005">
              <w:rPr>
                <w:rFonts w:eastAsia="Times New Roman" w:cs="Arial"/>
                <w:color w:val="FFFFFF"/>
                <w:sz w:val="16"/>
                <w:szCs w:val="16"/>
                <w:lang w:eastAsia="en-AU"/>
              </w:rPr>
              <w:t>Declined</w:t>
            </w:r>
          </w:p>
        </w:tc>
      </w:tr>
      <w:tr w:rsidR="005D4005" w:rsidRPr="005D4005" w14:paraId="76FC8053"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290679A8"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Perth - Inner</w:t>
            </w:r>
          </w:p>
        </w:tc>
        <w:tc>
          <w:tcPr>
            <w:tcW w:w="2173" w:type="dxa"/>
            <w:tcBorders>
              <w:top w:val="nil"/>
              <w:left w:val="nil"/>
              <w:bottom w:val="nil"/>
              <w:right w:val="nil"/>
            </w:tcBorders>
            <w:noWrap/>
            <w:vAlign w:val="bottom"/>
            <w:hideMark/>
          </w:tcPr>
          <w:p w14:paraId="7875FB31"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61328CD9"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6B523905"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4C626D00"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Stable</w:t>
            </w:r>
          </w:p>
        </w:tc>
      </w:tr>
      <w:tr w:rsidR="005D4005" w:rsidRPr="005D4005" w14:paraId="7D5799A6"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4FD3DC7F"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Perth - North East</w:t>
            </w:r>
          </w:p>
        </w:tc>
        <w:tc>
          <w:tcPr>
            <w:tcW w:w="2173" w:type="dxa"/>
            <w:tcBorders>
              <w:top w:val="nil"/>
              <w:left w:val="nil"/>
              <w:bottom w:val="nil"/>
              <w:right w:val="nil"/>
            </w:tcBorders>
            <w:noWrap/>
            <w:vAlign w:val="bottom"/>
            <w:hideMark/>
          </w:tcPr>
          <w:p w14:paraId="0DBEE728"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6FB69609"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4AA6D36D"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7D09D5AF"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Stable</w:t>
            </w:r>
          </w:p>
        </w:tc>
      </w:tr>
      <w:tr w:rsidR="005D4005" w:rsidRPr="005D4005" w14:paraId="64F24A9A"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24AE77E8"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Perth - North West</w:t>
            </w:r>
          </w:p>
        </w:tc>
        <w:tc>
          <w:tcPr>
            <w:tcW w:w="2173" w:type="dxa"/>
            <w:tcBorders>
              <w:top w:val="nil"/>
              <w:left w:val="nil"/>
              <w:bottom w:val="nil"/>
              <w:right w:val="nil"/>
            </w:tcBorders>
            <w:noWrap/>
            <w:vAlign w:val="bottom"/>
            <w:hideMark/>
          </w:tcPr>
          <w:p w14:paraId="543AC9D6"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6E5DE650"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23598785"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3CB0C7EB"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Stable</w:t>
            </w:r>
          </w:p>
        </w:tc>
      </w:tr>
      <w:tr w:rsidR="005D4005" w:rsidRPr="005D4005" w14:paraId="666B8538"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3E24D3AE"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Perth - South East</w:t>
            </w:r>
          </w:p>
        </w:tc>
        <w:tc>
          <w:tcPr>
            <w:tcW w:w="2173" w:type="dxa"/>
            <w:tcBorders>
              <w:top w:val="nil"/>
              <w:left w:val="nil"/>
              <w:bottom w:val="nil"/>
              <w:right w:val="nil"/>
            </w:tcBorders>
            <w:noWrap/>
            <w:vAlign w:val="bottom"/>
            <w:hideMark/>
          </w:tcPr>
          <w:p w14:paraId="25D99CF8"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28679902"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29659D12"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3A478FFC"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Stable</w:t>
            </w:r>
          </w:p>
        </w:tc>
      </w:tr>
      <w:tr w:rsidR="005D4005" w:rsidRPr="005D4005" w14:paraId="55FFBAE6"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45E2AAE8"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Perth - South West</w:t>
            </w:r>
          </w:p>
        </w:tc>
        <w:tc>
          <w:tcPr>
            <w:tcW w:w="2173" w:type="dxa"/>
            <w:tcBorders>
              <w:top w:val="nil"/>
              <w:left w:val="nil"/>
              <w:bottom w:val="nil"/>
              <w:right w:val="nil"/>
            </w:tcBorders>
            <w:noWrap/>
            <w:vAlign w:val="bottom"/>
            <w:hideMark/>
          </w:tcPr>
          <w:p w14:paraId="23C35FE6"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Major City</w:t>
            </w:r>
          </w:p>
        </w:tc>
        <w:tc>
          <w:tcPr>
            <w:tcW w:w="1460" w:type="dxa"/>
            <w:tcBorders>
              <w:top w:val="nil"/>
              <w:left w:val="single" w:sz="4" w:space="0" w:color="auto"/>
              <w:bottom w:val="nil"/>
              <w:right w:val="single" w:sz="4" w:space="0" w:color="auto"/>
            </w:tcBorders>
            <w:noWrap/>
            <w:vAlign w:val="bottom"/>
            <w:hideMark/>
          </w:tcPr>
          <w:p w14:paraId="1942B753"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2F7FAA8B"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4FBE6399"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Stable</w:t>
            </w:r>
          </w:p>
        </w:tc>
      </w:tr>
      <w:tr w:rsidR="005D4005" w:rsidRPr="005D4005" w14:paraId="41D11988"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4EB1ECFC"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Bunbury</w:t>
            </w:r>
          </w:p>
        </w:tc>
        <w:tc>
          <w:tcPr>
            <w:tcW w:w="2173" w:type="dxa"/>
            <w:tcBorders>
              <w:top w:val="nil"/>
              <w:left w:val="nil"/>
              <w:bottom w:val="nil"/>
              <w:right w:val="nil"/>
            </w:tcBorders>
            <w:noWrap/>
            <w:vAlign w:val="bottom"/>
            <w:hideMark/>
          </w:tcPr>
          <w:p w14:paraId="1ADD5AD0"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38F19A2E"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Above average</w:t>
            </w:r>
          </w:p>
        </w:tc>
        <w:tc>
          <w:tcPr>
            <w:tcW w:w="1460" w:type="dxa"/>
            <w:tcBorders>
              <w:top w:val="nil"/>
              <w:left w:val="nil"/>
              <w:bottom w:val="nil"/>
              <w:right w:val="single" w:sz="4" w:space="0" w:color="auto"/>
            </w:tcBorders>
            <w:noWrap/>
            <w:vAlign w:val="bottom"/>
            <w:hideMark/>
          </w:tcPr>
          <w:p w14:paraId="27B4AE87"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Above average</w:t>
            </w:r>
          </w:p>
        </w:tc>
        <w:tc>
          <w:tcPr>
            <w:tcW w:w="1160" w:type="dxa"/>
            <w:tcBorders>
              <w:top w:val="nil"/>
              <w:left w:val="nil"/>
              <w:bottom w:val="nil"/>
              <w:right w:val="single" w:sz="4" w:space="0" w:color="auto"/>
            </w:tcBorders>
            <w:noWrap/>
            <w:vAlign w:val="bottom"/>
            <w:hideMark/>
          </w:tcPr>
          <w:p w14:paraId="59984663"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Stable</w:t>
            </w:r>
          </w:p>
        </w:tc>
      </w:tr>
      <w:tr w:rsidR="005D4005" w:rsidRPr="005D4005" w14:paraId="3DE34860"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0DCD60E2"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Western Australia - Outback (North and South)</w:t>
            </w:r>
          </w:p>
        </w:tc>
        <w:tc>
          <w:tcPr>
            <w:tcW w:w="2173" w:type="dxa"/>
            <w:tcBorders>
              <w:top w:val="nil"/>
              <w:left w:val="nil"/>
              <w:bottom w:val="nil"/>
              <w:right w:val="nil"/>
            </w:tcBorders>
            <w:noWrap/>
            <w:vAlign w:val="bottom"/>
            <w:hideMark/>
          </w:tcPr>
          <w:p w14:paraId="1B0A75DA"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Remote</w:t>
            </w:r>
          </w:p>
        </w:tc>
        <w:tc>
          <w:tcPr>
            <w:tcW w:w="1460" w:type="dxa"/>
            <w:tcBorders>
              <w:top w:val="nil"/>
              <w:left w:val="single" w:sz="4" w:space="0" w:color="auto"/>
              <w:bottom w:val="nil"/>
              <w:right w:val="single" w:sz="4" w:space="0" w:color="auto"/>
            </w:tcBorders>
            <w:noWrap/>
            <w:vAlign w:val="bottom"/>
            <w:hideMark/>
          </w:tcPr>
          <w:p w14:paraId="7B57E510"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Below average</w:t>
            </w:r>
          </w:p>
        </w:tc>
        <w:tc>
          <w:tcPr>
            <w:tcW w:w="1460" w:type="dxa"/>
            <w:tcBorders>
              <w:top w:val="nil"/>
              <w:left w:val="nil"/>
              <w:bottom w:val="nil"/>
              <w:right w:val="single" w:sz="4" w:space="0" w:color="auto"/>
            </w:tcBorders>
            <w:noWrap/>
            <w:vAlign w:val="bottom"/>
            <w:hideMark/>
          </w:tcPr>
          <w:p w14:paraId="75FB91D8"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Poor</w:t>
            </w:r>
          </w:p>
        </w:tc>
        <w:tc>
          <w:tcPr>
            <w:tcW w:w="1160" w:type="dxa"/>
            <w:tcBorders>
              <w:top w:val="nil"/>
              <w:left w:val="single" w:sz="4" w:space="0" w:color="auto"/>
              <w:bottom w:val="nil"/>
              <w:right w:val="single" w:sz="4" w:space="0" w:color="auto"/>
            </w:tcBorders>
            <w:shd w:val="clear" w:color="000000" w:fill="B91C1C"/>
            <w:noWrap/>
            <w:vAlign w:val="bottom"/>
            <w:hideMark/>
          </w:tcPr>
          <w:p w14:paraId="4F16EF33" w14:textId="77777777" w:rsidR="005D4005" w:rsidRPr="005D4005" w:rsidRDefault="005D4005" w:rsidP="005D4005">
            <w:pPr>
              <w:spacing w:after="0" w:line="240" w:lineRule="auto"/>
              <w:jc w:val="center"/>
              <w:rPr>
                <w:rFonts w:eastAsia="Times New Roman" w:cs="Arial"/>
                <w:color w:val="FFFFFF"/>
                <w:sz w:val="16"/>
                <w:szCs w:val="16"/>
                <w:lang w:eastAsia="en-AU"/>
              </w:rPr>
            </w:pPr>
            <w:r w:rsidRPr="005D4005">
              <w:rPr>
                <w:rFonts w:eastAsia="Times New Roman" w:cs="Arial"/>
                <w:color w:val="FFFFFF"/>
                <w:sz w:val="16"/>
                <w:szCs w:val="16"/>
                <w:lang w:eastAsia="en-AU"/>
              </w:rPr>
              <w:t>Declined</w:t>
            </w:r>
          </w:p>
        </w:tc>
      </w:tr>
      <w:tr w:rsidR="005D4005" w:rsidRPr="005D4005" w14:paraId="653E47E3" w14:textId="77777777" w:rsidTr="005D4005">
        <w:trPr>
          <w:trHeight w:val="283"/>
        </w:trPr>
        <w:tc>
          <w:tcPr>
            <w:tcW w:w="3347" w:type="dxa"/>
            <w:tcBorders>
              <w:top w:val="nil"/>
              <w:left w:val="single" w:sz="4" w:space="0" w:color="auto"/>
              <w:bottom w:val="single" w:sz="4" w:space="0" w:color="auto"/>
              <w:right w:val="single" w:sz="4" w:space="0" w:color="auto"/>
            </w:tcBorders>
            <w:noWrap/>
            <w:vAlign w:val="bottom"/>
            <w:hideMark/>
          </w:tcPr>
          <w:p w14:paraId="535C6457"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Western Australia - Wheat Belt</w:t>
            </w:r>
          </w:p>
        </w:tc>
        <w:tc>
          <w:tcPr>
            <w:tcW w:w="2173" w:type="dxa"/>
            <w:tcBorders>
              <w:top w:val="nil"/>
              <w:left w:val="nil"/>
              <w:bottom w:val="single" w:sz="4" w:space="0" w:color="auto"/>
              <w:right w:val="nil"/>
            </w:tcBorders>
            <w:noWrap/>
            <w:vAlign w:val="bottom"/>
            <w:hideMark/>
          </w:tcPr>
          <w:p w14:paraId="1A8232CD"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Regional</w:t>
            </w:r>
          </w:p>
        </w:tc>
        <w:tc>
          <w:tcPr>
            <w:tcW w:w="1460" w:type="dxa"/>
            <w:tcBorders>
              <w:top w:val="nil"/>
              <w:left w:val="single" w:sz="4" w:space="0" w:color="auto"/>
              <w:bottom w:val="single" w:sz="4" w:space="0" w:color="auto"/>
              <w:right w:val="single" w:sz="4" w:space="0" w:color="auto"/>
            </w:tcBorders>
            <w:noWrap/>
            <w:vAlign w:val="bottom"/>
            <w:hideMark/>
          </w:tcPr>
          <w:p w14:paraId="0FE3AA1B"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Average</w:t>
            </w:r>
          </w:p>
        </w:tc>
        <w:tc>
          <w:tcPr>
            <w:tcW w:w="1460" w:type="dxa"/>
            <w:tcBorders>
              <w:top w:val="nil"/>
              <w:left w:val="nil"/>
              <w:bottom w:val="single" w:sz="4" w:space="0" w:color="auto"/>
              <w:right w:val="single" w:sz="4" w:space="0" w:color="auto"/>
            </w:tcBorders>
            <w:noWrap/>
            <w:vAlign w:val="bottom"/>
            <w:hideMark/>
          </w:tcPr>
          <w:p w14:paraId="2C019A29"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Average</w:t>
            </w:r>
          </w:p>
        </w:tc>
        <w:tc>
          <w:tcPr>
            <w:tcW w:w="1160" w:type="dxa"/>
            <w:tcBorders>
              <w:top w:val="nil"/>
              <w:left w:val="nil"/>
              <w:bottom w:val="single" w:sz="4" w:space="0" w:color="auto"/>
              <w:right w:val="single" w:sz="4" w:space="0" w:color="auto"/>
            </w:tcBorders>
            <w:noWrap/>
            <w:vAlign w:val="bottom"/>
            <w:hideMark/>
          </w:tcPr>
          <w:p w14:paraId="5483F441"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Stable</w:t>
            </w:r>
          </w:p>
        </w:tc>
      </w:tr>
      <w:tr w:rsidR="005D4005" w:rsidRPr="005D4005" w14:paraId="41EDC737"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2158CD59"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Hobart</w:t>
            </w:r>
          </w:p>
        </w:tc>
        <w:tc>
          <w:tcPr>
            <w:tcW w:w="2173" w:type="dxa"/>
            <w:tcBorders>
              <w:top w:val="nil"/>
              <w:left w:val="nil"/>
              <w:bottom w:val="nil"/>
              <w:right w:val="nil"/>
            </w:tcBorders>
            <w:noWrap/>
            <w:vAlign w:val="bottom"/>
            <w:hideMark/>
          </w:tcPr>
          <w:p w14:paraId="66CA88CD"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Cities of Regional Australia</w:t>
            </w:r>
          </w:p>
        </w:tc>
        <w:tc>
          <w:tcPr>
            <w:tcW w:w="1460" w:type="dxa"/>
            <w:tcBorders>
              <w:top w:val="nil"/>
              <w:left w:val="single" w:sz="4" w:space="0" w:color="auto"/>
              <w:bottom w:val="nil"/>
              <w:right w:val="single" w:sz="4" w:space="0" w:color="auto"/>
            </w:tcBorders>
            <w:noWrap/>
            <w:vAlign w:val="bottom"/>
            <w:hideMark/>
          </w:tcPr>
          <w:p w14:paraId="02EF0687"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Average</w:t>
            </w:r>
          </w:p>
        </w:tc>
        <w:tc>
          <w:tcPr>
            <w:tcW w:w="1460" w:type="dxa"/>
            <w:tcBorders>
              <w:top w:val="nil"/>
              <w:left w:val="nil"/>
              <w:bottom w:val="nil"/>
              <w:right w:val="single" w:sz="4" w:space="0" w:color="auto"/>
            </w:tcBorders>
            <w:noWrap/>
            <w:vAlign w:val="bottom"/>
            <w:hideMark/>
          </w:tcPr>
          <w:p w14:paraId="26DA2BA8"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Below average</w:t>
            </w:r>
          </w:p>
        </w:tc>
        <w:tc>
          <w:tcPr>
            <w:tcW w:w="1160" w:type="dxa"/>
            <w:tcBorders>
              <w:top w:val="nil"/>
              <w:left w:val="single" w:sz="4" w:space="0" w:color="auto"/>
              <w:bottom w:val="nil"/>
              <w:right w:val="single" w:sz="4" w:space="0" w:color="auto"/>
            </w:tcBorders>
            <w:shd w:val="clear" w:color="000000" w:fill="B91C1C"/>
            <w:noWrap/>
            <w:vAlign w:val="bottom"/>
            <w:hideMark/>
          </w:tcPr>
          <w:p w14:paraId="1AC991DF" w14:textId="77777777" w:rsidR="005D4005" w:rsidRPr="005D4005" w:rsidRDefault="005D4005" w:rsidP="005D4005">
            <w:pPr>
              <w:spacing w:after="0" w:line="240" w:lineRule="auto"/>
              <w:jc w:val="center"/>
              <w:rPr>
                <w:rFonts w:eastAsia="Times New Roman" w:cs="Arial"/>
                <w:color w:val="FFFFFF"/>
                <w:sz w:val="16"/>
                <w:szCs w:val="16"/>
                <w:lang w:eastAsia="en-AU"/>
              </w:rPr>
            </w:pPr>
            <w:r w:rsidRPr="005D4005">
              <w:rPr>
                <w:rFonts w:eastAsia="Times New Roman" w:cs="Arial"/>
                <w:color w:val="FFFFFF"/>
                <w:sz w:val="16"/>
                <w:szCs w:val="16"/>
                <w:lang w:eastAsia="en-AU"/>
              </w:rPr>
              <w:t>Declined</w:t>
            </w:r>
          </w:p>
        </w:tc>
      </w:tr>
      <w:tr w:rsidR="005D4005" w:rsidRPr="005D4005" w14:paraId="3DB3AEA6"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5A007374"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Launceston and North East</w:t>
            </w:r>
          </w:p>
        </w:tc>
        <w:tc>
          <w:tcPr>
            <w:tcW w:w="2173" w:type="dxa"/>
            <w:tcBorders>
              <w:top w:val="nil"/>
              <w:left w:val="nil"/>
              <w:bottom w:val="nil"/>
              <w:right w:val="nil"/>
            </w:tcBorders>
            <w:noWrap/>
            <w:vAlign w:val="bottom"/>
            <w:hideMark/>
          </w:tcPr>
          <w:p w14:paraId="5E5A0740"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3ED5017C"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0CA6C6B8"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75223E0F"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Stable</w:t>
            </w:r>
          </w:p>
        </w:tc>
      </w:tr>
      <w:tr w:rsidR="005D4005" w:rsidRPr="005D4005" w14:paraId="5B200006"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313FF10B"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Tasmania - South East</w:t>
            </w:r>
          </w:p>
        </w:tc>
        <w:tc>
          <w:tcPr>
            <w:tcW w:w="2173" w:type="dxa"/>
            <w:tcBorders>
              <w:top w:val="nil"/>
              <w:left w:val="nil"/>
              <w:bottom w:val="nil"/>
              <w:right w:val="nil"/>
            </w:tcBorders>
            <w:noWrap/>
            <w:vAlign w:val="bottom"/>
            <w:hideMark/>
          </w:tcPr>
          <w:p w14:paraId="7D0F0B8F"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Regional</w:t>
            </w:r>
          </w:p>
        </w:tc>
        <w:tc>
          <w:tcPr>
            <w:tcW w:w="1460" w:type="dxa"/>
            <w:tcBorders>
              <w:top w:val="nil"/>
              <w:left w:val="single" w:sz="4" w:space="0" w:color="auto"/>
              <w:bottom w:val="nil"/>
              <w:right w:val="single" w:sz="4" w:space="0" w:color="auto"/>
            </w:tcBorders>
            <w:noWrap/>
            <w:vAlign w:val="bottom"/>
            <w:hideMark/>
          </w:tcPr>
          <w:p w14:paraId="453B619D"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Poor</w:t>
            </w:r>
          </w:p>
        </w:tc>
        <w:tc>
          <w:tcPr>
            <w:tcW w:w="1460" w:type="dxa"/>
            <w:tcBorders>
              <w:top w:val="nil"/>
              <w:left w:val="nil"/>
              <w:bottom w:val="nil"/>
              <w:right w:val="single" w:sz="4" w:space="0" w:color="auto"/>
            </w:tcBorders>
            <w:noWrap/>
            <w:vAlign w:val="bottom"/>
            <w:hideMark/>
          </w:tcPr>
          <w:p w14:paraId="121C96D6"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Poor</w:t>
            </w:r>
          </w:p>
        </w:tc>
        <w:tc>
          <w:tcPr>
            <w:tcW w:w="1160" w:type="dxa"/>
            <w:tcBorders>
              <w:top w:val="nil"/>
              <w:left w:val="nil"/>
              <w:bottom w:val="nil"/>
              <w:right w:val="single" w:sz="4" w:space="0" w:color="auto"/>
            </w:tcBorders>
            <w:noWrap/>
            <w:vAlign w:val="bottom"/>
            <w:hideMark/>
          </w:tcPr>
          <w:p w14:paraId="6DD33833"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Stable</w:t>
            </w:r>
          </w:p>
        </w:tc>
      </w:tr>
      <w:tr w:rsidR="005D4005" w:rsidRPr="005D4005" w14:paraId="5701909D" w14:textId="77777777" w:rsidTr="005D4005">
        <w:trPr>
          <w:trHeight w:val="283"/>
        </w:trPr>
        <w:tc>
          <w:tcPr>
            <w:tcW w:w="3347" w:type="dxa"/>
            <w:tcBorders>
              <w:top w:val="nil"/>
              <w:left w:val="single" w:sz="4" w:space="0" w:color="auto"/>
              <w:bottom w:val="single" w:sz="4" w:space="0" w:color="auto"/>
              <w:right w:val="single" w:sz="4" w:space="0" w:color="auto"/>
            </w:tcBorders>
            <w:noWrap/>
            <w:vAlign w:val="bottom"/>
            <w:hideMark/>
          </w:tcPr>
          <w:p w14:paraId="75ADDDFD"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Tasmania - West and North West</w:t>
            </w:r>
          </w:p>
        </w:tc>
        <w:tc>
          <w:tcPr>
            <w:tcW w:w="2173" w:type="dxa"/>
            <w:tcBorders>
              <w:top w:val="nil"/>
              <w:left w:val="nil"/>
              <w:bottom w:val="single" w:sz="4" w:space="0" w:color="auto"/>
              <w:right w:val="nil"/>
            </w:tcBorders>
            <w:noWrap/>
            <w:vAlign w:val="bottom"/>
            <w:hideMark/>
          </w:tcPr>
          <w:p w14:paraId="2A2A1DC2"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Remote</w:t>
            </w:r>
          </w:p>
        </w:tc>
        <w:tc>
          <w:tcPr>
            <w:tcW w:w="1460" w:type="dxa"/>
            <w:tcBorders>
              <w:top w:val="nil"/>
              <w:left w:val="single" w:sz="4" w:space="0" w:color="auto"/>
              <w:bottom w:val="single" w:sz="4" w:space="0" w:color="auto"/>
              <w:right w:val="single" w:sz="4" w:space="0" w:color="auto"/>
            </w:tcBorders>
            <w:noWrap/>
            <w:vAlign w:val="bottom"/>
            <w:hideMark/>
          </w:tcPr>
          <w:p w14:paraId="2CC47637"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Poor</w:t>
            </w:r>
          </w:p>
        </w:tc>
        <w:tc>
          <w:tcPr>
            <w:tcW w:w="1460" w:type="dxa"/>
            <w:tcBorders>
              <w:top w:val="nil"/>
              <w:left w:val="nil"/>
              <w:bottom w:val="single" w:sz="4" w:space="0" w:color="auto"/>
              <w:right w:val="single" w:sz="4" w:space="0" w:color="auto"/>
            </w:tcBorders>
            <w:noWrap/>
            <w:vAlign w:val="bottom"/>
            <w:hideMark/>
          </w:tcPr>
          <w:p w14:paraId="07F7F48D"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Poor</w:t>
            </w:r>
          </w:p>
        </w:tc>
        <w:tc>
          <w:tcPr>
            <w:tcW w:w="1160" w:type="dxa"/>
            <w:tcBorders>
              <w:top w:val="nil"/>
              <w:left w:val="nil"/>
              <w:bottom w:val="single" w:sz="4" w:space="0" w:color="auto"/>
              <w:right w:val="single" w:sz="4" w:space="0" w:color="auto"/>
            </w:tcBorders>
            <w:noWrap/>
            <w:vAlign w:val="bottom"/>
            <w:hideMark/>
          </w:tcPr>
          <w:p w14:paraId="4E6D6D29"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Stable</w:t>
            </w:r>
          </w:p>
        </w:tc>
      </w:tr>
      <w:tr w:rsidR="005D4005" w:rsidRPr="005D4005" w14:paraId="74DAAB13" w14:textId="77777777" w:rsidTr="005D4005">
        <w:trPr>
          <w:trHeight w:val="283"/>
        </w:trPr>
        <w:tc>
          <w:tcPr>
            <w:tcW w:w="3347" w:type="dxa"/>
            <w:tcBorders>
              <w:top w:val="nil"/>
              <w:left w:val="single" w:sz="4" w:space="0" w:color="auto"/>
              <w:bottom w:val="nil"/>
              <w:right w:val="single" w:sz="4" w:space="0" w:color="auto"/>
            </w:tcBorders>
            <w:noWrap/>
            <w:vAlign w:val="bottom"/>
            <w:hideMark/>
          </w:tcPr>
          <w:p w14:paraId="7215C540"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Darwin</w:t>
            </w:r>
          </w:p>
        </w:tc>
        <w:tc>
          <w:tcPr>
            <w:tcW w:w="2173" w:type="dxa"/>
            <w:tcBorders>
              <w:top w:val="nil"/>
              <w:left w:val="nil"/>
              <w:bottom w:val="nil"/>
              <w:right w:val="nil"/>
            </w:tcBorders>
            <w:noWrap/>
            <w:vAlign w:val="bottom"/>
            <w:hideMark/>
          </w:tcPr>
          <w:p w14:paraId="483D2FDF"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Cities of Regional Australia</w:t>
            </w:r>
          </w:p>
        </w:tc>
        <w:tc>
          <w:tcPr>
            <w:tcW w:w="1460" w:type="dxa"/>
            <w:tcBorders>
              <w:top w:val="nil"/>
              <w:left w:val="single" w:sz="4" w:space="0" w:color="auto"/>
              <w:bottom w:val="nil"/>
              <w:right w:val="single" w:sz="4" w:space="0" w:color="auto"/>
            </w:tcBorders>
            <w:noWrap/>
            <w:vAlign w:val="bottom"/>
            <w:hideMark/>
          </w:tcPr>
          <w:p w14:paraId="6E624F28"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Strong</w:t>
            </w:r>
          </w:p>
        </w:tc>
        <w:tc>
          <w:tcPr>
            <w:tcW w:w="1460" w:type="dxa"/>
            <w:tcBorders>
              <w:top w:val="nil"/>
              <w:left w:val="nil"/>
              <w:bottom w:val="nil"/>
              <w:right w:val="single" w:sz="4" w:space="0" w:color="auto"/>
            </w:tcBorders>
            <w:noWrap/>
            <w:vAlign w:val="bottom"/>
            <w:hideMark/>
          </w:tcPr>
          <w:p w14:paraId="4C83A6DE"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Strong</w:t>
            </w:r>
          </w:p>
        </w:tc>
        <w:tc>
          <w:tcPr>
            <w:tcW w:w="1160" w:type="dxa"/>
            <w:tcBorders>
              <w:top w:val="nil"/>
              <w:left w:val="nil"/>
              <w:bottom w:val="nil"/>
              <w:right w:val="single" w:sz="4" w:space="0" w:color="auto"/>
            </w:tcBorders>
            <w:noWrap/>
            <w:vAlign w:val="bottom"/>
            <w:hideMark/>
          </w:tcPr>
          <w:p w14:paraId="71A57DDE"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Stable</w:t>
            </w:r>
          </w:p>
        </w:tc>
      </w:tr>
      <w:tr w:rsidR="005D4005" w:rsidRPr="005D4005" w14:paraId="1A1EBA01" w14:textId="77777777" w:rsidTr="005D4005">
        <w:trPr>
          <w:trHeight w:val="283"/>
        </w:trPr>
        <w:tc>
          <w:tcPr>
            <w:tcW w:w="3347" w:type="dxa"/>
            <w:tcBorders>
              <w:top w:val="nil"/>
              <w:left w:val="single" w:sz="4" w:space="0" w:color="auto"/>
              <w:bottom w:val="single" w:sz="4" w:space="0" w:color="auto"/>
              <w:right w:val="single" w:sz="4" w:space="0" w:color="auto"/>
            </w:tcBorders>
            <w:noWrap/>
            <w:vAlign w:val="bottom"/>
            <w:hideMark/>
          </w:tcPr>
          <w:p w14:paraId="03E1FACE"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Northern Territory - Outback</w:t>
            </w:r>
          </w:p>
        </w:tc>
        <w:tc>
          <w:tcPr>
            <w:tcW w:w="2173" w:type="dxa"/>
            <w:tcBorders>
              <w:top w:val="nil"/>
              <w:left w:val="nil"/>
              <w:bottom w:val="single" w:sz="4" w:space="0" w:color="auto"/>
              <w:right w:val="nil"/>
            </w:tcBorders>
            <w:noWrap/>
            <w:vAlign w:val="bottom"/>
            <w:hideMark/>
          </w:tcPr>
          <w:p w14:paraId="0F5F70E7"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Remote</w:t>
            </w:r>
          </w:p>
        </w:tc>
        <w:tc>
          <w:tcPr>
            <w:tcW w:w="1460" w:type="dxa"/>
            <w:tcBorders>
              <w:top w:val="nil"/>
              <w:left w:val="single" w:sz="4" w:space="0" w:color="auto"/>
              <w:bottom w:val="single" w:sz="4" w:space="0" w:color="auto"/>
              <w:right w:val="single" w:sz="4" w:space="0" w:color="auto"/>
            </w:tcBorders>
            <w:noWrap/>
            <w:vAlign w:val="bottom"/>
            <w:hideMark/>
          </w:tcPr>
          <w:p w14:paraId="5B7B0D02"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Poor</w:t>
            </w:r>
          </w:p>
        </w:tc>
        <w:tc>
          <w:tcPr>
            <w:tcW w:w="1460" w:type="dxa"/>
            <w:tcBorders>
              <w:top w:val="nil"/>
              <w:left w:val="nil"/>
              <w:bottom w:val="single" w:sz="4" w:space="0" w:color="auto"/>
              <w:right w:val="single" w:sz="4" w:space="0" w:color="auto"/>
            </w:tcBorders>
            <w:noWrap/>
            <w:vAlign w:val="bottom"/>
            <w:hideMark/>
          </w:tcPr>
          <w:p w14:paraId="1AAEDD52"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Poor</w:t>
            </w:r>
          </w:p>
        </w:tc>
        <w:tc>
          <w:tcPr>
            <w:tcW w:w="1160" w:type="dxa"/>
            <w:tcBorders>
              <w:top w:val="nil"/>
              <w:left w:val="nil"/>
              <w:bottom w:val="single" w:sz="4" w:space="0" w:color="auto"/>
              <w:right w:val="single" w:sz="4" w:space="0" w:color="auto"/>
            </w:tcBorders>
            <w:noWrap/>
            <w:vAlign w:val="bottom"/>
            <w:hideMark/>
          </w:tcPr>
          <w:p w14:paraId="416D533A"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Stable</w:t>
            </w:r>
          </w:p>
        </w:tc>
      </w:tr>
      <w:tr w:rsidR="005D4005" w:rsidRPr="005D4005" w14:paraId="302DC8AF" w14:textId="77777777" w:rsidTr="005D4005">
        <w:trPr>
          <w:trHeight w:val="283"/>
        </w:trPr>
        <w:tc>
          <w:tcPr>
            <w:tcW w:w="3347" w:type="dxa"/>
            <w:tcBorders>
              <w:top w:val="nil"/>
              <w:left w:val="single" w:sz="4" w:space="0" w:color="auto"/>
              <w:bottom w:val="single" w:sz="4" w:space="0" w:color="auto"/>
              <w:right w:val="single" w:sz="4" w:space="0" w:color="auto"/>
            </w:tcBorders>
            <w:noWrap/>
            <w:vAlign w:val="bottom"/>
            <w:hideMark/>
          </w:tcPr>
          <w:p w14:paraId="27D27B5A"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Australian Capital Territory</w:t>
            </w:r>
          </w:p>
        </w:tc>
        <w:tc>
          <w:tcPr>
            <w:tcW w:w="2173" w:type="dxa"/>
            <w:tcBorders>
              <w:top w:val="nil"/>
              <w:left w:val="nil"/>
              <w:bottom w:val="single" w:sz="4" w:space="0" w:color="auto"/>
              <w:right w:val="nil"/>
            </w:tcBorders>
            <w:noWrap/>
            <w:vAlign w:val="bottom"/>
            <w:hideMark/>
          </w:tcPr>
          <w:p w14:paraId="50D2EE02" w14:textId="77777777" w:rsidR="005D4005" w:rsidRPr="005D4005" w:rsidRDefault="005D4005" w:rsidP="005D4005">
            <w:pPr>
              <w:spacing w:after="0" w:line="240" w:lineRule="auto"/>
              <w:rPr>
                <w:rFonts w:eastAsia="Times New Roman" w:cs="Arial"/>
                <w:color w:val="000000"/>
                <w:sz w:val="16"/>
                <w:szCs w:val="16"/>
                <w:lang w:eastAsia="en-AU"/>
              </w:rPr>
            </w:pPr>
            <w:r w:rsidRPr="005D4005">
              <w:rPr>
                <w:rFonts w:eastAsia="Times New Roman" w:cs="Arial"/>
                <w:color w:val="000000"/>
                <w:sz w:val="16"/>
                <w:szCs w:val="16"/>
                <w:lang w:eastAsia="en-AU"/>
              </w:rPr>
              <w:t>Major City</w:t>
            </w:r>
          </w:p>
        </w:tc>
        <w:tc>
          <w:tcPr>
            <w:tcW w:w="1460" w:type="dxa"/>
            <w:tcBorders>
              <w:top w:val="nil"/>
              <w:left w:val="single" w:sz="4" w:space="0" w:color="auto"/>
              <w:bottom w:val="single" w:sz="4" w:space="0" w:color="auto"/>
              <w:right w:val="single" w:sz="4" w:space="0" w:color="auto"/>
            </w:tcBorders>
            <w:noWrap/>
            <w:vAlign w:val="bottom"/>
            <w:hideMark/>
          </w:tcPr>
          <w:p w14:paraId="4701930D"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Strong</w:t>
            </w:r>
          </w:p>
        </w:tc>
        <w:tc>
          <w:tcPr>
            <w:tcW w:w="1460" w:type="dxa"/>
            <w:tcBorders>
              <w:top w:val="nil"/>
              <w:left w:val="nil"/>
              <w:bottom w:val="single" w:sz="4" w:space="0" w:color="auto"/>
              <w:right w:val="single" w:sz="4" w:space="0" w:color="auto"/>
            </w:tcBorders>
            <w:noWrap/>
            <w:vAlign w:val="bottom"/>
            <w:hideMark/>
          </w:tcPr>
          <w:p w14:paraId="227328C6"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Strong</w:t>
            </w:r>
          </w:p>
        </w:tc>
        <w:tc>
          <w:tcPr>
            <w:tcW w:w="1160" w:type="dxa"/>
            <w:tcBorders>
              <w:top w:val="nil"/>
              <w:left w:val="nil"/>
              <w:bottom w:val="single" w:sz="4" w:space="0" w:color="auto"/>
              <w:right w:val="single" w:sz="4" w:space="0" w:color="auto"/>
            </w:tcBorders>
            <w:noWrap/>
            <w:vAlign w:val="bottom"/>
            <w:hideMark/>
          </w:tcPr>
          <w:p w14:paraId="36EFFF9C" w14:textId="77777777" w:rsidR="005D4005" w:rsidRPr="005D4005" w:rsidRDefault="005D4005" w:rsidP="005D4005">
            <w:pPr>
              <w:spacing w:after="0" w:line="240" w:lineRule="auto"/>
              <w:jc w:val="center"/>
              <w:rPr>
                <w:rFonts w:eastAsia="Times New Roman" w:cs="Arial"/>
                <w:color w:val="000000"/>
                <w:sz w:val="16"/>
                <w:szCs w:val="16"/>
                <w:lang w:eastAsia="en-AU"/>
              </w:rPr>
            </w:pPr>
            <w:r w:rsidRPr="005D4005">
              <w:rPr>
                <w:rFonts w:eastAsia="Times New Roman" w:cs="Arial"/>
                <w:color w:val="000000"/>
                <w:sz w:val="16"/>
                <w:szCs w:val="16"/>
                <w:lang w:eastAsia="en-AU"/>
              </w:rPr>
              <w:t>Stable</w:t>
            </w:r>
          </w:p>
        </w:tc>
      </w:tr>
      <w:tr w:rsidR="005D4005" w:rsidRPr="005D4005" w14:paraId="74CE6F19" w14:textId="77777777" w:rsidTr="005D4005">
        <w:trPr>
          <w:trHeight w:val="283"/>
        </w:trPr>
        <w:tc>
          <w:tcPr>
            <w:tcW w:w="3347" w:type="dxa"/>
            <w:tcBorders>
              <w:top w:val="nil"/>
              <w:left w:val="single" w:sz="4" w:space="0" w:color="auto"/>
              <w:bottom w:val="single" w:sz="4" w:space="0" w:color="auto"/>
              <w:right w:val="single" w:sz="4" w:space="0" w:color="auto"/>
            </w:tcBorders>
            <w:noWrap/>
            <w:vAlign w:val="bottom"/>
            <w:hideMark/>
          </w:tcPr>
          <w:p w14:paraId="6778A036" w14:textId="77777777" w:rsidR="005D4005" w:rsidRPr="005D4005" w:rsidRDefault="005D4005" w:rsidP="005D4005">
            <w:pPr>
              <w:spacing w:after="0" w:line="240" w:lineRule="auto"/>
              <w:rPr>
                <w:rFonts w:eastAsia="Times New Roman" w:cs="Arial"/>
                <w:i/>
                <w:iCs/>
                <w:color w:val="000000"/>
                <w:sz w:val="16"/>
                <w:szCs w:val="16"/>
                <w:lang w:eastAsia="en-AU"/>
              </w:rPr>
            </w:pPr>
            <w:r w:rsidRPr="005D4005">
              <w:rPr>
                <w:rFonts w:eastAsia="Times New Roman" w:cs="Arial"/>
                <w:i/>
                <w:iCs/>
                <w:color w:val="000000"/>
                <w:sz w:val="16"/>
                <w:szCs w:val="16"/>
                <w:lang w:eastAsia="en-AU"/>
              </w:rPr>
              <w:t>Northern Australia</w:t>
            </w:r>
          </w:p>
        </w:tc>
        <w:tc>
          <w:tcPr>
            <w:tcW w:w="2173" w:type="dxa"/>
            <w:tcBorders>
              <w:top w:val="nil"/>
              <w:left w:val="nil"/>
              <w:bottom w:val="single" w:sz="4" w:space="0" w:color="auto"/>
              <w:right w:val="single" w:sz="4" w:space="0" w:color="auto"/>
            </w:tcBorders>
            <w:noWrap/>
            <w:vAlign w:val="bottom"/>
            <w:hideMark/>
          </w:tcPr>
          <w:p w14:paraId="19A73221" w14:textId="77777777" w:rsidR="005D4005" w:rsidRPr="005D4005" w:rsidRDefault="005D4005" w:rsidP="005D4005">
            <w:pPr>
              <w:spacing w:after="0" w:line="240" w:lineRule="auto"/>
              <w:rPr>
                <w:rFonts w:eastAsia="Times New Roman" w:cs="Arial"/>
                <w:i/>
                <w:iCs/>
                <w:color w:val="000000"/>
                <w:sz w:val="16"/>
                <w:szCs w:val="16"/>
                <w:lang w:eastAsia="en-AU"/>
              </w:rPr>
            </w:pPr>
            <w:r w:rsidRPr="005D4005">
              <w:rPr>
                <w:rFonts w:eastAsia="Times New Roman" w:cs="Arial"/>
                <w:i/>
                <w:iCs/>
                <w:color w:val="000000"/>
                <w:sz w:val="16"/>
                <w:szCs w:val="16"/>
                <w:lang w:eastAsia="en-AU"/>
              </w:rPr>
              <w:t> </w:t>
            </w:r>
          </w:p>
        </w:tc>
        <w:tc>
          <w:tcPr>
            <w:tcW w:w="1460" w:type="dxa"/>
            <w:tcBorders>
              <w:top w:val="nil"/>
              <w:left w:val="nil"/>
              <w:bottom w:val="single" w:sz="4" w:space="0" w:color="auto"/>
              <w:right w:val="single" w:sz="4" w:space="0" w:color="auto"/>
            </w:tcBorders>
            <w:noWrap/>
            <w:vAlign w:val="bottom"/>
            <w:hideMark/>
          </w:tcPr>
          <w:p w14:paraId="3E3ACECA" w14:textId="77777777" w:rsidR="005D4005" w:rsidRPr="005D4005" w:rsidRDefault="005D4005" w:rsidP="005D4005">
            <w:pPr>
              <w:spacing w:after="0" w:line="240" w:lineRule="auto"/>
              <w:jc w:val="center"/>
              <w:rPr>
                <w:rFonts w:eastAsia="Times New Roman" w:cs="Arial"/>
                <w:i/>
                <w:iCs/>
                <w:color w:val="000000"/>
                <w:sz w:val="16"/>
                <w:szCs w:val="16"/>
                <w:lang w:eastAsia="en-AU"/>
              </w:rPr>
            </w:pPr>
            <w:r w:rsidRPr="005D4005">
              <w:rPr>
                <w:rFonts w:eastAsia="Times New Roman" w:cs="Arial"/>
                <w:i/>
                <w:iCs/>
                <w:color w:val="000000"/>
                <w:sz w:val="16"/>
                <w:szCs w:val="16"/>
                <w:lang w:eastAsia="en-AU"/>
              </w:rPr>
              <w:t>Below average</w:t>
            </w:r>
          </w:p>
        </w:tc>
        <w:tc>
          <w:tcPr>
            <w:tcW w:w="1460" w:type="dxa"/>
            <w:tcBorders>
              <w:top w:val="nil"/>
              <w:left w:val="nil"/>
              <w:bottom w:val="single" w:sz="4" w:space="0" w:color="auto"/>
              <w:right w:val="single" w:sz="4" w:space="0" w:color="auto"/>
            </w:tcBorders>
            <w:noWrap/>
            <w:vAlign w:val="bottom"/>
            <w:hideMark/>
          </w:tcPr>
          <w:p w14:paraId="711BFB10" w14:textId="77777777" w:rsidR="005D4005" w:rsidRPr="005D4005" w:rsidRDefault="005D4005" w:rsidP="005D4005">
            <w:pPr>
              <w:spacing w:after="0" w:line="240" w:lineRule="auto"/>
              <w:jc w:val="center"/>
              <w:rPr>
                <w:rFonts w:eastAsia="Times New Roman" w:cs="Arial"/>
                <w:i/>
                <w:iCs/>
                <w:color w:val="000000"/>
                <w:sz w:val="16"/>
                <w:szCs w:val="16"/>
                <w:lang w:eastAsia="en-AU"/>
              </w:rPr>
            </w:pPr>
            <w:r w:rsidRPr="005D4005">
              <w:rPr>
                <w:rFonts w:eastAsia="Times New Roman" w:cs="Arial"/>
                <w:i/>
                <w:iCs/>
                <w:color w:val="000000"/>
                <w:sz w:val="16"/>
                <w:szCs w:val="16"/>
                <w:lang w:eastAsia="en-AU"/>
              </w:rPr>
              <w:t>Below average</w:t>
            </w:r>
          </w:p>
        </w:tc>
        <w:tc>
          <w:tcPr>
            <w:tcW w:w="1160" w:type="dxa"/>
            <w:tcBorders>
              <w:top w:val="nil"/>
              <w:left w:val="nil"/>
              <w:bottom w:val="single" w:sz="4" w:space="0" w:color="auto"/>
              <w:right w:val="single" w:sz="4" w:space="0" w:color="auto"/>
            </w:tcBorders>
            <w:noWrap/>
            <w:vAlign w:val="bottom"/>
            <w:hideMark/>
          </w:tcPr>
          <w:p w14:paraId="597B934A" w14:textId="77777777" w:rsidR="005D4005" w:rsidRPr="005D4005" w:rsidRDefault="005D4005" w:rsidP="005D4005">
            <w:pPr>
              <w:spacing w:after="0" w:line="240" w:lineRule="auto"/>
              <w:jc w:val="center"/>
              <w:rPr>
                <w:rFonts w:eastAsia="Times New Roman" w:cs="Arial"/>
                <w:i/>
                <w:iCs/>
                <w:color w:val="000000"/>
                <w:sz w:val="16"/>
                <w:szCs w:val="16"/>
                <w:lang w:eastAsia="en-AU"/>
              </w:rPr>
            </w:pPr>
            <w:r w:rsidRPr="005D4005">
              <w:rPr>
                <w:rFonts w:eastAsia="Times New Roman" w:cs="Arial"/>
                <w:i/>
                <w:iCs/>
                <w:color w:val="000000"/>
                <w:sz w:val="16"/>
                <w:szCs w:val="16"/>
                <w:lang w:eastAsia="en-AU"/>
              </w:rPr>
              <w:t>Stable</w:t>
            </w:r>
          </w:p>
        </w:tc>
      </w:tr>
      <w:tr w:rsidR="005D4005" w:rsidRPr="005D4005" w14:paraId="48E8C83E" w14:textId="77777777" w:rsidTr="005D4005">
        <w:trPr>
          <w:trHeight w:val="283"/>
        </w:trPr>
        <w:tc>
          <w:tcPr>
            <w:tcW w:w="3347" w:type="dxa"/>
            <w:tcBorders>
              <w:top w:val="nil"/>
              <w:left w:val="single" w:sz="4" w:space="0" w:color="auto"/>
              <w:bottom w:val="single" w:sz="4" w:space="0" w:color="auto"/>
              <w:right w:val="single" w:sz="4" w:space="0" w:color="auto"/>
            </w:tcBorders>
            <w:noWrap/>
            <w:vAlign w:val="bottom"/>
            <w:hideMark/>
          </w:tcPr>
          <w:p w14:paraId="2E88FD88" w14:textId="77777777" w:rsidR="005D4005" w:rsidRPr="005D4005" w:rsidRDefault="005D4005" w:rsidP="005D4005">
            <w:pPr>
              <w:spacing w:after="0" w:line="240" w:lineRule="auto"/>
              <w:rPr>
                <w:rFonts w:eastAsia="Times New Roman" w:cs="Arial"/>
                <w:i/>
                <w:iCs/>
                <w:color w:val="000000"/>
                <w:sz w:val="16"/>
                <w:szCs w:val="16"/>
                <w:lang w:eastAsia="en-AU"/>
              </w:rPr>
            </w:pPr>
            <w:r w:rsidRPr="005D4005">
              <w:rPr>
                <w:rFonts w:eastAsia="Times New Roman" w:cs="Arial"/>
                <w:i/>
                <w:iCs/>
                <w:color w:val="000000"/>
                <w:sz w:val="16"/>
                <w:szCs w:val="16"/>
                <w:lang w:eastAsia="en-AU"/>
              </w:rPr>
              <w:t>Remote Australia</w:t>
            </w:r>
          </w:p>
        </w:tc>
        <w:tc>
          <w:tcPr>
            <w:tcW w:w="2173" w:type="dxa"/>
            <w:tcBorders>
              <w:top w:val="nil"/>
              <w:left w:val="nil"/>
              <w:bottom w:val="single" w:sz="4" w:space="0" w:color="auto"/>
              <w:right w:val="single" w:sz="4" w:space="0" w:color="auto"/>
            </w:tcBorders>
            <w:noWrap/>
            <w:vAlign w:val="bottom"/>
            <w:hideMark/>
          </w:tcPr>
          <w:p w14:paraId="5873102A" w14:textId="77777777" w:rsidR="005D4005" w:rsidRPr="005D4005" w:rsidRDefault="005D4005" w:rsidP="005D4005">
            <w:pPr>
              <w:spacing w:after="0" w:line="240" w:lineRule="auto"/>
              <w:rPr>
                <w:rFonts w:eastAsia="Times New Roman" w:cs="Arial"/>
                <w:i/>
                <w:iCs/>
                <w:color w:val="000000"/>
                <w:sz w:val="16"/>
                <w:szCs w:val="16"/>
                <w:lang w:eastAsia="en-AU"/>
              </w:rPr>
            </w:pPr>
            <w:r w:rsidRPr="005D4005">
              <w:rPr>
                <w:rFonts w:eastAsia="Times New Roman" w:cs="Arial"/>
                <w:i/>
                <w:iCs/>
                <w:color w:val="000000"/>
                <w:sz w:val="16"/>
                <w:szCs w:val="16"/>
                <w:lang w:eastAsia="en-AU"/>
              </w:rPr>
              <w:t>Remote</w:t>
            </w:r>
          </w:p>
        </w:tc>
        <w:tc>
          <w:tcPr>
            <w:tcW w:w="1460" w:type="dxa"/>
            <w:tcBorders>
              <w:top w:val="nil"/>
              <w:left w:val="nil"/>
              <w:bottom w:val="single" w:sz="4" w:space="0" w:color="auto"/>
              <w:right w:val="single" w:sz="4" w:space="0" w:color="auto"/>
            </w:tcBorders>
            <w:noWrap/>
            <w:vAlign w:val="bottom"/>
            <w:hideMark/>
          </w:tcPr>
          <w:p w14:paraId="513FF938" w14:textId="77777777" w:rsidR="005D4005" w:rsidRPr="005D4005" w:rsidRDefault="005D4005" w:rsidP="005D4005">
            <w:pPr>
              <w:spacing w:after="0" w:line="240" w:lineRule="auto"/>
              <w:jc w:val="center"/>
              <w:rPr>
                <w:rFonts w:eastAsia="Times New Roman" w:cs="Arial"/>
                <w:i/>
                <w:iCs/>
                <w:color w:val="000000"/>
                <w:sz w:val="16"/>
                <w:szCs w:val="16"/>
                <w:lang w:eastAsia="en-AU"/>
              </w:rPr>
            </w:pPr>
            <w:r w:rsidRPr="005D4005">
              <w:rPr>
                <w:rFonts w:eastAsia="Times New Roman" w:cs="Arial"/>
                <w:i/>
                <w:iCs/>
                <w:color w:val="000000"/>
                <w:sz w:val="16"/>
                <w:szCs w:val="16"/>
                <w:lang w:eastAsia="en-AU"/>
              </w:rPr>
              <w:t>Poor</w:t>
            </w:r>
          </w:p>
        </w:tc>
        <w:tc>
          <w:tcPr>
            <w:tcW w:w="1460" w:type="dxa"/>
            <w:tcBorders>
              <w:top w:val="nil"/>
              <w:left w:val="nil"/>
              <w:bottom w:val="single" w:sz="4" w:space="0" w:color="auto"/>
              <w:right w:val="single" w:sz="4" w:space="0" w:color="auto"/>
            </w:tcBorders>
            <w:noWrap/>
            <w:vAlign w:val="bottom"/>
            <w:hideMark/>
          </w:tcPr>
          <w:p w14:paraId="1E48AAA5" w14:textId="77777777" w:rsidR="005D4005" w:rsidRPr="005D4005" w:rsidRDefault="005D4005" w:rsidP="005D4005">
            <w:pPr>
              <w:spacing w:after="0" w:line="240" w:lineRule="auto"/>
              <w:jc w:val="center"/>
              <w:rPr>
                <w:rFonts w:eastAsia="Times New Roman" w:cs="Arial"/>
                <w:i/>
                <w:iCs/>
                <w:color w:val="000000"/>
                <w:sz w:val="16"/>
                <w:szCs w:val="16"/>
                <w:lang w:eastAsia="en-AU"/>
              </w:rPr>
            </w:pPr>
            <w:r w:rsidRPr="005D4005">
              <w:rPr>
                <w:rFonts w:eastAsia="Times New Roman" w:cs="Arial"/>
                <w:i/>
                <w:iCs/>
                <w:color w:val="000000"/>
                <w:sz w:val="16"/>
                <w:szCs w:val="16"/>
                <w:lang w:eastAsia="en-AU"/>
              </w:rPr>
              <w:t>Poor</w:t>
            </w:r>
          </w:p>
        </w:tc>
        <w:tc>
          <w:tcPr>
            <w:tcW w:w="1160" w:type="dxa"/>
            <w:tcBorders>
              <w:top w:val="nil"/>
              <w:left w:val="nil"/>
              <w:bottom w:val="single" w:sz="4" w:space="0" w:color="auto"/>
              <w:right w:val="single" w:sz="4" w:space="0" w:color="auto"/>
            </w:tcBorders>
            <w:noWrap/>
            <w:vAlign w:val="bottom"/>
            <w:hideMark/>
          </w:tcPr>
          <w:p w14:paraId="64C7327D" w14:textId="77777777" w:rsidR="005D4005" w:rsidRPr="005D4005" w:rsidRDefault="005D4005" w:rsidP="005D4005">
            <w:pPr>
              <w:spacing w:after="0" w:line="240" w:lineRule="auto"/>
              <w:jc w:val="center"/>
              <w:rPr>
                <w:rFonts w:eastAsia="Times New Roman" w:cs="Arial"/>
                <w:i/>
                <w:iCs/>
                <w:color w:val="000000"/>
                <w:sz w:val="16"/>
                <w:szCs w:val="16"/>
                <w:lang w:eastAsia="en-AU"/>
              </w:rPr>
            </w:pPr>
            <w:r w:rsidRPr="005D4005">
              <w:rPr>
                <w:rFonts w:eastAsia="Times New Roman" w:cs="Arial"/>
                <w:i/>
                <w:iCs/>
                <w:color w:val="000000"/>
                <w:sz w:val="16"/>
                <w:szCs w:val="16"/>
                <w:lang w:eastAsia="en-AU"/>
              </w:rPr>
              <w:t>Stable</w:t>
            </w:r>
          </w:p>
        </w:tc>
      </w:tr>
    </w:tbl>
    <w:p w14:paraId="07BF7453" w14:textId="6DF74065" w:rsidR="00076490" w:rsidRDefault="00076490" w:rsidP="005B548E">
      <w:pPr>
        <w:rPr>
          <w:i/>
          <w:iCs/>
          <w:sz w:val="18"/>
          <w:szCs w:val="18"/>
        </w:rPr>
      </w:pPr>
      <w:r w:rsidRPr="005B548E">
        <w:rPr>
          <w:i/>
          <w:iCs/>
          <w:sz w:val="18"/>
          <w:szCs w:val="18"/>
        </w:rPr>
        <w:t xml:space="preserve">Source: JSA, Regional Labour Market Indicator (RLMI), </w:t>
      </w:r>
      <w:r w:rsidR="005B20A6">
        <w:rPr>
          <w:i/>
          <w:iCs/>
          <w:sz w:val="18"/>
          <w:szCs w:val="18"/>
        </w:rPr>
        <w:t>March 2026</w:t>
      </w:r>
    </w:p>
    <w:p w14:paraId="45E3DB3A" w14:textId="679E39F9" w:rsidR="000E05A6" w:rsidRPr="000E05A6" w:rsidRDefault="000E05A6" w:rsidP="000E05A6">
      <w:pPr>
        <w:rPr>
          <w:i/>
          <w:iCs/>
          <w:sz w:val="18"/>
          <w:szCs w:val="18"/>
        </w:rPr>
      </w:pPr>
      <w:r>
        <w:rPr>
          <w:i/>
          <w:iCs/>
          <w:sz w:val="18"/>
          <w:szCs w:val="18"/>
        </w:rPr>
        <w:t>Note: T</w:t>
      </w:r>
      <w:r w:rsidRPr="000E05A6">
        <w:rPr>
          <w:i/>
          <w:iCs/>
          <w:sz w:val="18"/>
          <w:szCs w:val="18"/>
        </w:rPr>
        <w:t xml:space="preserve">he remoteness classification is a bespoke, Statistical Area 4 (SA4) level typology </w:t>
      </w:r>
      <w:r>
        <w:rPr>
          <w:i/>
          <w:iCs/>
          <w:sz w:val="18"/>
          <w:szCs w:val="18"/>
        </w:rPr>
        <w:t>that draws</w:t>
      </w:r>
      <w:r w:rsidRPr="000E05A6">
        <w:rPr>
          <w:i/>
          <w:iCs/>
          <w:sz w:val="18"/>
          <w:szCs w:val="18"/>
        </w:rPr>
        <w:t xml:space="preserve"> on elements of the ASGS main and remoteness structures and</w:t>
      </w:r>
      <w:r>
        <w:rPr>
          <w:i/>
          <w:iCs/>
          <w:sz w:val="18"/>
          <w:szCs w:val="18"/>
        </w:rPr>
        <w:t xml:space="preserve"> is </w:t>
      </w:r>
      <w:r w:rsidRPr="000E05A6">
        <w:rPr>
          <w:i/>
          <w:iCs/>
          <w:sz w:val="18"/>
          <w:szCs w:val="18"/>
        </w:rPr>
        <w:t>supported by factors such as population size and density, and proximity to major centres</w:t>
      </w:r>
      <w:r>
        <w:rPr>
          <w:i/>
          <w:iCs/>
          <w:sz w:val="18"/>
          <w:szCs w:val="18"/>
        </w:rPr>
        <w:t xml:space="preserve">. The classification is not </w:t>
      </w:r>
      <w:r w:rsidRPr="000E05A6">
        <w:rPr>
          <w:i/>
          <w:iCs/>
          <w:sz w:val="18"/>
          <w:szCs w:val="18"/>
        </w:rPr>
        <w:t>directly concordant with standard ABS classifications.</w:t>
      </w:r>
    </w:p>
    <w:p w14:paraId="61F516FC" w14:textId="515E2B71" w:rsidR="000E05A6" w:rsidRPr="005B548E" w:rsidRDefault="000E05A6" w:rsidP="005B548E">
      <w:pPr>
        <w:rPr>
          <w:i/>
          <w:iCs/>
          <w:sz w:val="18"/>
          <w:szCs w:val="18"/>
        </w:rPr>
      </w:pPr>
    </w:p>
    <w:p w14:paraId="0573EB2E" w14:textId="65A940CB" w:rsidR="00C14AB0" w:rsidRDefault="00C15510" w:rsidP="003539A0">
      <w:pPr>
        <w:pStyle w:val="Heading2"/>
        <w:keepNext w:val="0"/>
        <w:keepLines w:val="0"/>
      </w:pPr>
      <w:r>
        <w:lastRenderedPageBreak/>
        <w:t>R</w:t>
      </w:r>
      <w:r w:rsidR="00C877C1">
        <w:t xml:space="preserve">LMI </w:t>
      </w:r>
      <w:r w:rsidR="00C14AB0">
        <w:t>Explanatory Notes</w:t>
      </w:r>
    </w:p>
    <w:p w14:paraId="02D2FA36" w14:textId="4EEF30EE" w:rsidR="00C877C1" w:rsidRPr="00A070B7" w:rsidRDefault="004302C6" w:rsidP="00C877C1">
      <w:pPr>
        <w:pStyle w:val="Heading3"/>
      </w:pPr>
      <w:r>
        <w:t>Overview</w:t>
      </w:r>
    </w:p>
    <w:p w14:paraId="28BAA34E" w14:textId="77777777" w:rsidR="006D6D06" w:rsidRDefault="006D6D06" w:rsidP="006D6D06">
      <w:r w:rsidRPr="0084154D">
        <w:t xml:space="preserve">The RLMI combines key measures of labour supply and demand, including </w:t>
      </w:r>
      <w:r>
        <w:t>factors</w:t>
      </w:r>
      <w:r w:rsidRPr="0084154D">
        <w:t xml:space="preserve"> that capture how these interact, into a single, easy</w:t>
      </w:r>
      <w:r w:rsidRPr="0084154D">
        <w:rPr>
          <w:rFonts w:ascii="Cambria Math" w:hAnsi="Cambria Math" w:cs="Cambria Math"/>
        </w:rPr>
        <w:t>‑</w:t>
      </w:r>
      <w:r w:rsidRPr="0084154D">
        <w:t>to</w:t>
      </w:r>
      <w:r w:rsidRPr="0084154D">
        <w:rPr>
          <w:rFonts w:ascii="Cambria Math" w:hAnsi="Cambria Math" w:cs="Cambria Math"/>
        </w:rPr>
        <w:t>‑</w:t>
      </w:r>
      <w:r w:rsidRPr="0084154D">
        <w:t>interpret summary measure.</w:t>
      </w:r>
    </w:p>
    <w:p w14:paraId="65317624" w14:textId="1F3FBA0E" w:rsidR="005D78A7" w:rsidRDefault="00A95CBF" w:rsidP="00D56322">
      <w:pPr>
        <w:pStyle w:val="Bodycopy"/>
      </w:pPr>
      <w:r>
        <w:t>R</w:t>
      </w:r>
      <w:r w:rsidR="00C877C1" w:rsidRPr="00C877C1">
        <w:t xml:space="preserve">egions </w:t>
      </w:r>
      <w:r>
        <w:t xml:space="preserve">are </w:t>
      </w:r>
      <w:r w:rsidR="00C877C1" w:rsidRPr="00C877C1">
        <w:t xml:space="preserve">grouped into distinct categories of </w:t>
      </w:r>
      <w:r w:rsidR="00B57721">
        <w:t xml:space="preserve">relative </w:t>
      </w:r>
      <w:r w:rsidR="00C877C1" w:rsidRPr="00C877C1">
        <w:t>overall labour market performance, ranging from ‘poor’ to ‘strong’</w:t>
      </w:r>
      <w:r>
        <w:t>,</w:t>
      </w:r>
      <w:r w:rsidR="00C877C1" w:rsidRPr="00C877C1">
        <w:t xml:space="preserve"> which provides an accurate and reliable view of labour market performance</w:t>
      </w:r>
      <w:r w:rsidR="00BE1900">
        <w:t>, relative to the national average</w:t>
      </w:r>
      <w:r w:rsidR="00C877C1" w:rsidRPr="00C877C1">
        <w:t xml:space="preserve">. </w:t>
      </w:r>
    </w:p>
    <w:p w14:paraId="5D3223CF" w14:textId="77777777" w:rsidR="00C14228" w:rsidRDefault="00C14228" w:rsidP="00C14228">
      <w:pPr>
        <w:spacing w:before="120" w:after="120" w:line="276" w:lineRule="auto"/>
        <w:rPr>
          <w:bCs/>
          <w:iCs/>
        </w:rPr>
      </w:pPr>
      <w:r>
        <w:rPr>
          <w:bCs/>
          <w:iCs/>
        </w:rPr>
        <w:t xml:space="preserve">A strong labour market, that is characterised by a high rate of employment, where employers can attract, develop and retain sufficient suitable labour to meet current skills needs, and where employment opportunities are broadly accessible and secure, help drive a more productive economy that is central to building a prosperous and inclusive society. </w:t>
      </w:r>
    </w:p>
    <w:p w14:paraId="65C636F2" w14:textId="4A9153D1" w:rsidR="00C877C1" w:rsidRDefault="00762464" w:rsidP="00C877C1">
      <w:pPr>
        <w:keepNext/>
        <w:keepLines/>
        <w:spacing w:before="120" w:after="120" w:line="23" w:lineRule="atLeast"/>
        <w:outlineLvl w:val="2"/>
        <w:rPr>
          <w:rFonts w:eastAsia="Times New Roman" w:cs="Times New Roman"/>
          <w:b/>
          <w:color w:val="4B0885"/>
          <w:sz w:val="26"/>
          <w:szCs w:val="24"/>
        </w:rPr>
      </w:pPr>
      <w:r>
        <w:rPr>
          <w:rFonts w:eastAsia="Times New Roman" w:cs="Times New Roman"/>
          <w:b/>
          <w:color w:val="4B0885"/>
          <w:sz w:val="26"/>
          <w:szCs w:val="24"/>
        </w:rPr>
        <w:t>Factors used to assess labour market performance</w:t>
      </w:r>
    </w:p>
    <w:p w14:paraId="143A1113" w14:textId="21AD0B3D" w:rsidR="00C14228" w:rsidRPr="00C14228" w:rsidRDefault="00C14228" w:rsidP="00C14228">
      <w:pPr>
        <w:spacing w:before="120" w:after="120" w:line="276" w:lineRule="auto"/>
      </w:pPr>
      <w:r>
        <w:t>The 1</w:t>
      </w:r>
      <w:r w:rsidR="00F907C7">
        <w:t>1</w:t>
      </w:r>
      <w:r>
        <w:t xml:space="preserve"> </w:t>
      </w:r>
      <w:r w:rsidR="002A60E3">
        <w:t xml:space="preserve">input </w:t>
      </w:r>
      <w:r>
        <w:t xml:space="preserve">factors currently included in the RLMI are listed below. The factors can be grouped into broader measures of labour supply, demand, with several indicators capturing dynamics at the intersection of these dimensions. </w:t>
      </w:r>
    </w:p>
    <w:tbl>
      <w:tblPr>
        <w:tblStyle w:val="PlainTable41"/>
        <w:tblW w:w="4866" w:type="pct"/>
        <w:tblLayout w:type="fixed"/>
        <w:tblLook w:val="0480" w:firstRow="0" w:lastRow="0" w:firstColumn="1" w:lastColumn="0" w:noHBand="0" w:noVBand="1"/>
      </w:tblPr>
      <w:tblGrid>
        <w:gridCol w:w="1703"/>
        <w:gridCol w:w="2409"/>
        <w:gridCol w:w="1133"/>
        <w:gridCol w:w="285"/>
        <w:gridCol w:w="1133"/>
        <w:gridCol w:w="1223"/>
        <w:gridCol w:w="898"/>
      </w:tblGrid>
      <w:tr w:rsidR="00F907C7" w:rsidRPr="00DC2212" w14:paraId="01175336" w14:textId="77777777" w:rsidTr="007C3F28">
        <w:trPr>
          <w:tblHeader/>
        </w:trPr>
        <w:tc>
          <w:tcPr>
            <w:cnfStyle w:val="001000000000" w:firstRow="0" w:lastRow="0" w:firstColumn="1" w:lastColumn="0" w:oddVBand="0" w:evenVBand="0" w:oddHBand="0" w:evenHBand="0" w:firstRowFirstColumn="0" w:firstRowLastColumn="0" w:lastRowFirstColumn="0" w:lastRowLastColumn="0"/>
            <w:tcW w:w="969" w:type="pct"/>
            <w:shd w:val="clear" w:color="auto" w:fill="441170"/>
            <w:vAlign w:val="bottom"/>
          </w:tcPr>
          <w:p w14:paraId="24535CD7" w14:textId="77777777" w:rsidR="00F907C7" w:rsidRPr="00DC2212" w:rsidRDefault="00F907C7" w:rsidP="007C3F28">
            <w:pPr>
              <w:spacing w:before="120" w:after="120"/>
              <w:rPr>
                <w:b w:val="0"/>
                <w:bCs w:val="0"/>
                <w:color w:val="FFFFFF"/>
                <w:sz w:val="16"/>
                <w:szCs w:val="16"/>
                <w:lang w:val="en-US"/>
              </w:rPr>
            </w:pPr>
            <w:r w:rsidRPr="00DC2212">
              <w:rPr>
                <w:b w:val="0"/>
                <w:bCs w:val="0"/>
                <w:color w:val="FFFFFF"/>
                <w:sz w:val="16"/>
                <w:szCs w:val="16"/>
                <w:lang w:val="en-US"/>
              </w:rPr>
              <w:t>Factor</w:t>
            </w:r>
          </w:p>
        </w:tc>
        <w:tc>
          <w:tcPr>
            <w:tcW w:w="1371" w:type="pct"/>
            <w:shd w:val="clear" w:color="auto" w:fill="441170"/>
            <w:vAlign w:val="bottom"/>
          </w:tcPr>
          <w:p w14:paraId="2D1D6D9D" w14:textId="77777777" w:rsidR="00F907C7" w:rsidRPr="00DC2212" w:rsidRDefault="00F907C7" w:rsidP="007C3F28">
            <w:pPr>
              <w:spacing w:before="120" w:after="120"/>
              <w:cnfStyle w:val="000000000000" w:firstRow="0" w:lastRow="0" w:firstColumn="0" w:lastColumn="0" w:oddVBand="0" w:evenVBand="0" w:oddHBand="0" w:evenHBand="0" w:firstRowFirstColumn="0" w:firstRowLastColumn="0" w:lastRowFirstColumn="0" w:lastRowLastColumn="0"/>
              <w:rPr>
                <w:color w:val="FFFFFF"/>
                <w:sz w:val="16"/>
                <w:szCs w:val="16"/>
                <w:lang w:val="en-US"/>
              </w:rPr>
            </w:pPr>
            <w:r w:rsidRPr="00DC2212">
              <w:rPr>
                <w:color w:val="FFFFFF"/>
                <w:sz w:val="16"/>
                <w:szCs w:val="16"/>
                <w:lang w:val="en-US"/>
              </w:rPr>
              <w:t>Description</w:t>
            </w:r>
          </w:p>
        </w:tc>
        <w:tc>
          <w:tcPr>
            <w:tcW w:w="645" w:type="pct"/>
            <w:shd w:val="clear" w:color="auto" w:fill="441170"/>
          </w:tcPr>
          <w:p w14:paraId="5D02DAC7" w14:textId="77777777" w:rsidR="00F907C7" w:rsidRPr="00DC2212" w:rsidRDefault="00F907C7" w:rsidP="007C3F28">
            <w:pPr>
              <w:spacing w:before="120" w:after="120"/>
              <w:jc w:val="center"/>
              <w:cnfStyle w:val="000000000000" w:firstRow="0" w:lastRow="0" w:firstColumn="0" w:lastColumn="0" w:oddVBand="0" w:evenVBand="0" w:oddHBand="0" w:evenHBand="0" w:firstRowFirstColumn="0" w:firstRowLastColumn="0" w:lastRowFirstColumn="0" w:lastRowLastColumn="0"/>
              <w:rPr>
                <w:color w:val="FFFFFF"/>
                <w:sz w:val="16"/>
                <w:szCs w:val="16"/>
                <w:lang w:val="en-US"/>
              </w:rPr>
            </w:pPr>
            <w:r w:rsidRPr="00DC2212">
              <w:rPr>
                <w:color w:val="FFFFFF"/>
                <w:sz w:val="16"/>
                <w:szCs w:val="16"/>
                <w:lang w:val="en-US"/>
              </w:rPr>
              <w:t>Factor Type</w:t>
            </w:r>
          </w:p>
        </w:tc>
        <w:tc>
          <w:tcPr>
            <w:tcW w:w="162" w:type="pct"/>
            <w:shd w:val="clear" w:color="auto" w:fill="441170"/>
          </w:tcPr>
          <w:p w14:paraId="518FEDB7" w14:textId="77777777" w:rsidR="00F907C7" w:rsidRPr="00DC2212" w:rsidRDefault="00F907C7" w:rsidP="007C3F28">
            <w:pPr>
              <w:spacing w:before="120" w:after="120"/>
              <w:jc w:val="center"/>
              <w:cnfStyle w:val="000000000000" w:firstRow="0" w:lastRow="0" w:firstColumn="0" w:lastColumn="0" w:oddVBand="0" w:evenVBand="0" w:oddHBand="0" w:evenHBand="0" w:firstRowFirstColumn="0" w:firstRowLastColumn="0" w:lastRowFirstColumn="0" w:lastRowLastColumn="0"/>
              <w:rPr>
                <w:color w:val="FFFFFF"/>
                <w:sz w:val="16"/>
                <w:szCs w:val="16"/>
                <w:lang w:val="en-US"/>
              </w:rPr>
            </w:pPr>
          </w:p>
        </w:tc>
        <w:tc>
          <w:tcPr>
            <w:tcW w:w="645" w:type="pct"/>
            <w:shd w:val="clear" w:color="auto" w:fill="441170"/>
          </w:tcPr>
          <w:p w14:paraId="199F7520" w14:textId="77777777" w:rsidR="00F907C7" w:rsidRPr="00DC2212" w:rsidRDefault="00F907C7" w:rsidP="007C3F28">
            <w:pPr>
              <w:spacing w:before="120" w:after="120"/>
              <w:jc w:val="center"/>
              <w:cnfStyle w:val="000000000000" w:firstRow="0" w:lastRow="0" w:firstColumn="0" w:lastColumn="0" w:oddVBand="0" w:evenVBand="0" w:oddHBand="0" w:evenHBand="0" w:firstRowFirstColumn="0" w:firstRowLastColumn="0" w:lastRowFirstColumn="0" w:lastRowLastColumn="0"/>
              <w:rPr>
                <w:color w:val="FFFFFF"/>
                <w:sz w:val="16"/>
                <w:szCs w:val="16"/>
                <w:lang w:val="en-US"/>
              </w:rPr>
            </w:pPr>
            <w:r w:rsidRPr="00DC2212">
              <w:rPr>
                <w:color w:val="FFFFFF"/>
                <w:sz w:val="16"/>
                <w:szCs w:val="16"/>
                <w:lang w:val="en-US"/>
              </w:rPr>
              <w:t>Availability</w:t>
            </w:r>
          </w:p>
        </w:tc>
        <w:tc>
          <w:tcPr>
            <w:tcW w:w="696" w:type="pct"/>
            <w:shd w:val="clear" w:color="auto" w:fill="441170"/>
          </w:tcPr>
          <w:p w14:paraId="155D18D4" w14:textId="77777777" w:rsidR="00F907C7" w:rsidRPr="00DC2212" w:rsidRDefault="00F907C7" w:rsidP="007C3F28">
            <w:pPr>
              <w:spacing w:before="120" w:after="120"/>
              <w:jc w:val="center"/>
              <w:cnfStyle w:val="000000000000" w:firstRow="0" w:lastRow="0" w:firstColumn="0" w:lastColumn="0" w:oddVBand="0" w:evenVBand="0" w:oddHBand="0" w:evenHBand="0" w:firstRowFirstColumn="0" w:firstRowLastColumn="0" w:lastRowFirstColumn="0" w:lastRowLastColumn="0"/>
              <w:rPr>
                <w:color w:val="FFFFFF"/>
                <w:sz w:val="16"/>
                <w:szCs w:val="16"/>
                <w:lang w:val="en-US"/>
              </w:rPr>
            </w:pPr>
            <w:r w:rsidRPr="00DC2212">
              <w:rPr>
                <w:color w:val="FFFFFF"/>
                <w:sz w:val="16"/>
                <w:szCs w:val="16"/>
                <w:lang w:val="en-US"/>
              </w:rPr>
              <w:t>Geography</w:t>
            </w:r>
          </w:p>
        </w:tc>
        <w:tc>
          <w:tcPr>
            <w:tcW w:w="511" w:type="pct"/>
            <w:shd w:val="clear" w:color="auto" w:fill="441170"/>
          </w:tcPr>
          <w:p w14:paraId="2F8E4C71" w14:textId="77777777" w:rsidR="00F907C7" w:rsidRPr="00DC2212" w:rsidRDefault="00F907C7" w:rsidP="007C3F28">
            <w:pPr>
              <w:spacing w:before="120" w:after="120"/>
              <w:jc w:val="center"/>
              <w:cnfStyle w:val="000000000000" w:firstRow="0" w:lastRow="0" w:firstColumn="0" w:lastColumn="0" w:oddVBand="0" w:evenVBand="0" w:oddHBand="0" w:evenHBand="0" w:firstRowFirstColumn="0" w:firstRowLastColumn="0" w:lastRowFirstColumn="0" w:lastRowLastColumn="0"/>
              <w:rPr>
                <w:color w:val="FFFFFF"/>
                <w:sz w:val="16"/>
                <w:szCs w:val="16"/>
                <w:lang w:val="en-US"/>
              </w:rPr>
            </w:pPr>
            <w:r w:rsidRPr="00DC2212">
              <w:rPr>
                <w:color w:val="FFFFFF"/>
                <w:sz w:val="16"/>
                <w:szCs w:val="16"/>
                <w:lang w:val="en-US"/>
              </w:rPr>
              <w:t>Weight</w:t>
            </w:r>
          </w:p>
        </w:tc>
      </w:tr>
      <w:tr w:rsidR="00F907C7" w:rsidRPr="00DC2212" w14:paraId="7104E281" w14:textId="77777777" w:rsidTr="007C3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 w:type="pct"/>
            <w:shd w:val="clear" w:color="auto" w:fill="F2F2F2" w:themeFill="background1" w:themeFillShade="F2"/>
          </w:tcPr>
          <w:p w14:paraId="76DFEF05" w14:textId="77777777" w:rsidR="00F907C7" w:rsidRPr="00DC2212" w:rsidRDefault="00F907C7" w:rsidP="007C3F28">
            <w:pPr>
              <w:spacing w:before="120" w:after="120"/>
              <w:rPr>
                <w:rFonts w:cs="Arial"/>
                <w:b w:val="0"/>
                <w:bCs w:val="0"/>
                <w:color w:val="000000"/>
                <w:sz w:val="16"/>
                <w:szCs w:val="16"/>
              </w:rPr>
            </w:pPr>
            <w:r w:rsidRPr="00DC2212">
              <w:rPr>
                <w:b w:val="0"/>
                <w:color w:val="000000"/>
                <w:sz w:val="16"/>
                <w:szCs w:val="16"/>
              </w:rPr>
              <w:t xml:space="preserve">Employment </w:t>
            </w:r>
            <w:r w:rsidRPr="00DC2212">
              <w:rPr>
                <w:rFonts w:cs="Arial"/>
                <w:b w:val="0"/>
                <w:bCs w:val="0"/>
                <w:color w:val="000000"/>
                <w:sz w:val="16"/>
                <w:szCs w:val="16"/>
              </w:rPr>
              <w:t>rate (15-64</w:t>
            </w:r>
            <w:r w:rsidRPr="00DC2212">
              <w:rPr>
                <w:b w:val="0"/>
                <w:color w:val="000000"/>
                <w:sz w:val="16"/>
                <w:szCs w:val="16"/>
              </w:rPr>
              <w:t xml:space="preserve"> years</w:t>
            </w:r>
            <w:r w:rsidRPr="00DC2212">
              <w:rPr>
                <w:rFonts w:cs="Arial"/>
                <w:b w:val="0"/>
                <w:bCs w:val="0"/>
                <w:color w:val="000000"/>
                <w:sz w:val="16"/>
                <w:szCs w:val="16"/>
              </w:rPr>
              <w:t>)</w:t>
            </w:r>
          </w:p>
        </w:tc>
        <w:tc>
          <w:tcPr>
            <w:tcW w:w="1371" w:type="pct"/>
            <w:shd w:val="clear" w:color="auto" w:fill="F2F2F2" w:themeFill="background1" w:themeFillShade="F2"/>
          </w:tcPr>
          <w:p w14:paraId="07E179B3" w14:textId="77777777" w:rsidR="00F907C7" w:rsidRPr="00DC2212" w:rsidRDefault="00F907C7" w:rsidP="007C3F28">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sz w:val="16"/>
                <w:szCs w:val="16"/>
              </w:rPr>
              <w:t>The number of employed persons as a proportion of the working age (15-64 years) population (%)</w:t>
            </w:r>
          </w:p>
        </w:tc>
        <w:tc>
          <w:tcPr>
            <w:tcW w:w="645" w:type="pct"/>
            <w:shd w:val="clear" w:color="auto" w:fill="F2F2F2" w:themeFill="background1" w:themeFillShade="F2"/>
          </w:tcPr>
          <w:p w14:paraId="70066FD0" w14:textId="77777777" w:rsidR="00F907C7" w:rsidRPr="00DC2212" w:rsidRDefault="00F907C7" w:rsidP="007C3F28">
            <w:pPr>
              <w:spacing w:before="120" w:after="120"/>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DC2212">
              <w:rPr>
                <w:rFonts w:cs="Arial"/>
                <w:sz w:val="16"/>
                <w:szCs w:val="16"/>
              </w:rPr>
              <w:t>Supply</w:t>
            </w:r>
          </w:p>
        </w:tc>
        <w:tc>
          <w:tcPr>
            <w:tcW w:w="162" w:type="pct"/>
            <w:shd w:val="clear" w:color="auto" w:fill="F2F2F2" w:themeFill="background1" w:themeFillShade="F2"/>
          </w:tcPr>
          <w:p w14:paraId="41FC69B6" w14:textId="77777777" w:rsidR="00F907C7" w:rsidRPr="00DC2212" w:rsidRDefault="00F907C7" w:rsidP="007C3F28">
            <w:pPr>
              <w:spacing w:before="120" w:after="120"/>
              <w:jc w:val="center"/>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645" w:type="pct"/>
            <w:shd w:val="clear" w:color="auto" w:fill="F2F2F2" w:themeFill="background1" w:themeFillShade="F2"/>
          </w:tcPr>
          <w:p w14:paraId="0B703B5E" w14:textId="77777777" w:rsidR="00F907C7" w:rsidRPr="00DC2212" w:rsidRDefault="00F907C7" w:rsidP="007C3F28">
            <w:pPr>
              <w:spacing w:before="120" w:after="120"/>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DC2212">
              <w:rPr>
                <w:rFonts w:cs="Arial"/>
                <w:sz w:val="16"/>
                <w:szCs w:val="16"/>
              </w:rPr>
              <w:t>Monthly</w:t>
            </w:r>
          </w:p>
        </w:tc>
        <w:tc>
          <w:tcPr>
            <w:tcW w:w="696" w:type="pct"/>
            <w:shd w:val="clear" w:color="auto" w:fill="F2F2F2" w:themeFill="background1" w:themeFillShade="F2"/>
          </w:tcPr>
          <w:p w14:paraId="6BA24D3A" w14:textId="77777777" w:rsidR="00F907C7" w:rsidRPr="00DC2212" w:rsidRDefault="00F907C7" w:rsidP="007C3F28">
            <w:pPr>
              <w:spacing w:before="120" w:after="120"/>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DC2212">
              <w:rPr>
                <w:rFonts w:cs="Arial"/>
                <w:sz w:val="16"/>
                <w:szCs w:val="16"/>
              </w:rPr>
              <w:t>SA4</w:t>
            </w:r>
          </w:p>
        </w:tc>
        <w:tc>
          <w:tcPr>
            <w:tcW w:w="511" w:type="pct"/>
            <w:shd w:val="clear" w:color="auto" w:fill="F2F2F2" w:themeFill="background1" w:themeFillShade="F2"/>
          </w:tcPr>
          <w:p w14:paraId="4C79A03B" w14:textId="77777777" w:rsidR="00F907C7" w:rsidRPr="00DC2212" w:rsidRDefault="00F907C7" w:rsidP="007C3F28">
            <w:pPr>
              <w:spacing w:before="120" w:after="120"/>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DC2212">
              <w:rPr>
                <w:rFonts w:cs="Arial"/>
                <w:sz w:val="16"/>
                <w:szCs w:val="16"/>
              </w:rPr>
              <w:t>20%</w:t>
            </w:r>
          </w:p>
        </w:tc>
      </w:tr>
      <w:tr w:rsidR="00025B44" w:rsidRPr="00DC2212" w14:paraId="3F7FEE1C" w14:textId="77777777" w:rsidTr="007C3F28">
        <w:tc>
          <w:tcPr>
            <w:cnfStyle w:val="001000000000" w:firstRow="0" w:lastRow="0" w:firstColumn="1" w:lastColumn="0" w:oddVBand="0" w:evenVBand="0" w:oddHBand="0" w:evenHBand="0" w:firstRowFirstColumn="0" w:firstRowLastColumn="0" w:lastRowFirstColumn="0" w:lastRowLastColumn="0"/>
            <w:tcW w:w="969" w:type="pct"/>
            <w:shd w:val="clear" w:color="auto" w:fill="FFFFFF" w:themeFill="background1"/>
          </w:tcPr>
          <w:p w14:paraId="6532B400" w14:textId="5B4AF228" w:rsidR="00025B44" w:rsidRPr="00DC2212" w:rsidRDefault="00025B44" w:rsidP="00025B44">
            <w:pPr>
              <w:spacing w:before="120" w:after="120"/>
              <w:rPr>
                <w:color w:val="000000"/>
                <w:sz w:val="16"/>
                <w:szCs w:val="16"/>
              </w:rPr>
            </w:pPr>
            <w:r w:rsidRPr="00DC2212">
              <w:rPr>
                <w:rFonts w:cs="Arial"/>
                <w:b w:val="0"/>
                <w:bCs w:val="0"/>
                <w:color w:val="000000"/>
                <w:sz w:val="16"/>
                <w:szCs w:val="16"/>
              </w:rPr>
              <w:t xml:space="preserve">Unemployment rate </w:t>
            </w:r>
          </w:p>
        </w:tc>
        <w:tc>
          <w:tcPr>
            <w:tcW w:w="1371" w:type="pct"/>
            <w:shd w:val="clear" w:color="auto" w:fill="FFFFFF" w:themeFill="background1"/>
          </w:tcPr>
          <w:p w14:paraId="6530531E" w14:textId="6538BE79" w:rsidR="00025B44" w:rsidRPr="00DC2212" w:rsidRDefault="00025B44" w:rsidP="00025B44">
            <w:pPr>
              <w:spacing w:before="120" w:after="120"/>
              <w:cnfStyle w:val="000000000000" w:firstRow="0" w:lastRow="0" w:firstColumn="0" w:lastColumn="0" w:oddVBand="0" w:evenVBand="0" w:oddHBand="0" w:evenHBand="0" w:firstRowFirstColumn="0" w:firstRowLastColumn="0" w:lastRowFirstColumn="0" w:lastRowLastColumn="0"/>
              <w:rPr>
                <w:bCs/>
                <w:color w:val="000000"/>
                <w:sz w:val="16"/>
                <w:szCs w:val="16"/>
              </w:rPr>
            </w:pPr>
            <w:r w:rsidRPr="00DC2212">
              <w:rPr>
                <w:rFonts w:cs="Arial"/>
                <w:sz w:val="16"/>
                <w:szCs w:val="16"/>
              </w:rPr>
              <w:t>The number of unemployed persons as a proportion of the total labour force (%)</w:t>
            </w:r>
          </w:p>
        </w:tc>
        <w:tc>
          <w:tcPr>
            <w:tcW w:w="645" w:type="pct"/>
            <w:shd w:val="clear" w:color="auto" w:fill="FFFFFF" w:themeFill="background1"/>
          </w:tcPr>
          <w:p w14:paraId="09F18E0D" w14:textId="4CF00EE8" w:rsidR="00025B44" w:rsidRPr="00DC2212" w:rsidRDefault="00025B44" w:rsidP="00025B44">
            <w:pPr>
              <w:spacing w:before="120" w:after="120"/>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r w:rsidRPr="00DC2212">
              <w:rPr>
                <w:rFonts w:cs="Arial"/>
                <w:sz w:val="16"/>
                <w:szCs w:val="16"/>
              </w:rPr>
              <w:t>Supply</w:t>
            </w:r>
          </w:p>
        </w:tc>
        <w:tc>
          <w:tcPr>
            <w:tcW w:w="162" w:type="pct"/>
            <w:shd w:val="clear" w:color="auto" w:fill="FFFFFF" w:themeFill="background1"/>
          </w:tcPr>
          <w:p w14:paraId="12E34EA2" w14:textId="77777777" w:rsidR="00025B44" w:rsidRPr="00DC2212" w:rsidRDefault="00025B44" w:rsidP="00025B44">
            <w:pPr>
              <w:spacing w:before="120" w:after="120"/>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p>
        </w:tc>
        <w:tc>
          <w:tcPr>
            <w:tcW w:w="645" w:type="pct"/>
            <w:shd w:val="clear" w:color="auto" w:fill="FFFFFF" w:themeFill="background1"/>
          </w:tcPr>
          <w:p w14:paraId="354C6263" w14:textId="3078CA27" w:rsidR="00025B44" w:rsidRPr="00DC2212" w:rsidRDefault="00025B44" w:rsidP="00025B44">
            <w:pPr>
              <w:spacing w:before="120" w:after="120"/>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r w:rsidRPr="00DC2212">
              <w:rPr>
                <w:rFonts w:cs="Arial"/>
                <w:sz w:val="16"/>
                <w:szCs w:val="16"/>
              </w:rPr>
              <w:t>Monthly</w:t>
            </w:r>
          </w:p>
        </w:tc>
        <w:tc>
          <w:tcPr>
            <w:tcW w:w="696" w:type="pct"/>
            <w:shd w:val="clear" w:color="auto" w:fill="FFFFFF" w:themeFill="background1"/>
          </w:tcPr>
          <w:p w14:paraId="4E673905" w14:textId="24EFF4EA" w:rsidR="00025B44" w:rsidRPr="00DC2212" w:rsidRDefault="00025B44" w:rsidP="00025B44">
            <w:pPr>
              <w:spacing w:before="120" w:after="120"/>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r w:rsidRPr="00DC2212">
              <w:rPr>
                <w:rFonts w:cs="Arial"/>
                <w:sz w:val="16"/>
                <w:szCs w:val="16"/>
              </w:rPr>
              <w:t>SA4</w:t>
            </w:r>
          </w:p>
        </w:tc>
        <w:tc>
          <w:tcPr>
            <w:tcW w:w="511" w:type="pct"/>
            <w:shd w:val="clear" w:color="auto" w:fill="FFFFFF" w:themeFill="background1"/>
          </w:tcPr>
          <w:p w14:paraId="69035279" w14:textId="43BB7EF8" w:rsidR="00025B44" w:rsidRPr="00DC2212" w:rsidRDefault="00025B44" w:rsidP="00025B44">
            <w:pPr>
              <w:spacing w:before="120" w:after="120"/>
              <w:jc w:val="center"/>
              <w:cnfStyle w:val="000000000000" w:firstRow="0" w:lastRow="0" w:firstColumn="0" w:lastColumn="0" w:oddVBand="0" w:evenVBand="0" w:oddHBand="0" w:evenHBand="0" w:firstRowFirstColumn="0" w:firstRowLastColumn="0" w:lastRowFirstColumn="0" w:lastRowLastColumn="0"/>
              <w:rPr>
                <w:bCs/>
                <w:color w:val="000000"/>
                <w:sz w:val="16"/>
                <w:szCs w:val="16"/>
              </w:rPr>
            </w:pPr>
            <w:r>
              <w:rPr>
                <w:rFonts w:cs="Arial"/>
                <w:sz w:val="16"/>
                <w:szCs w:val="16"/>
              </w:rPr>
              <w:t>1</w:t>
            </w:r>
            <w:r w:rsidRPr="00DC2212">
              <w:rPr>
                <w:rFonts w:cs="Arial"/>
                <w:sz w:val="16"/>
                <w:szCs w:val="16"/>
              </w:rPr>
              <w:t>5%</w:t>
            </w:r>
          </w:p>
        </w:tc>
      </w:tr>
      <w:tr w:rsidR="00025B44" w:rsidRPr="00DC2212" w14:paraId="3171E6F3" w14:textId="77777777" w:rsidTr="00025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 w:type="pct"/>
            <w:shd w:val="clear" w:color="auto" w:fill="F2F2F2" w:themeFill="background1" w:themeFillShade="F2"/>
          </w:tcPr>
          <w:p w14:paraId="63725E5B" w14:textId="77777777" w:rsidR="00025B44" w:rsidRPr="00DC2212" w:rsidRDefault="00025B44" w:rsidP="00025B44">
            <w:pPr>
              <w:spacing w:before="120" w:after="120"/>
              <w:rPr>
                <w:b w:val="0"/>
                <w:color w:val="000000"/>
                <w:sz w:val="16"/>
                <w:szCs w:val="16"/>
              </w:rPr>
            </w:pPr>
            <w:r w:rsidRPr="00DC2212">
              <w:rPr>
                <w:b w:val="0"/>
                <w:color w:val="000000"/>
                <w:sz w:val="16"/>
                <w:szCs w:val="16"/>
              </w:rPr>
              <w:t>JobSeeker income support rate</w:t>
            </w:r>
          </w:p>
        </w:tc>
        <w:tc>
          <w:tcPr>
            <w:tcW w:w="1371" w:type="pct"/>
            <w:shd w:val="clear" w:color="auto" w:fill="F2F2F2" w:themeFill="background1" w:themeFillShade="F2"/>
          </w:tcPr>
          <w:p w14:paraId="359AADB0" w14:textId="77777777" w:rsidR="00025B44" w:rsidRPr="00DC2212" w:rsidRDefault="00025B44" w:rsidP="00025B44">
            <w:pPr>
              <w:spacing w:before="120" w:after="120"/>
              <w:cnfStyle w:val="000000100000" w:firstRow="0" w:lastRow="0" w:firstColumn="0" w:lastColumn="0" w:oddVBand="0" w:evenVBand="0" w:oddHBand="1" w:evenHBand="0" w:firstRowFirstColumn="0" w:firstRowLastColumn="0" w:lastRowFirstColumn="0" w:lastRowLastColumn="0"/>
              <w:rPr>
                <w:bCs/>
                <w:color w:val="000000"/>
                <w:sz w:val="16"/>
                <w:szCs w:val="16"/>
              </w:rPr>
            </w:pPr>
            <w:r w:rsidRPr="00DC2212">
              <w:rPr>
                <w:bCs/>
                <w:color w:val="000000"/>
                <w:sz w:val="16"/>
                <w:szCs w:val="16"/>
              </w:rPr>
              <w:t>Proportion of the working age (15-64 years) population on JobSeeker Income Support*</w:t>
            </w:r>
          </w:p>
        </w:tc>
        <w:tc>
          <w:tcPr>
            <w:tcW w:w="645" w:type="pct"/>
            <w:shd w:val="clear" w:color="auto" w:fill="F2F2F2" w:themeFill="background1" w:themeFillShade="F2"/>
          </w:tcPr>
          <w:p w14:paraId="0A06109B" w14:textId="77777777" w:rsidR="00025B44" w:rsidRPr="00DC2212" w:rsidRDefault="00025B44" w:rsidP="00025B44">
            <w:pPr>
              <w:spacing w:before="120" w:after="120"/>
              <w:jc w:val="center"/>
              <w:cnfStyle w:val="000000100000" w:firstRow="0" w:lastRow="0" w:firstColumn="0" w:lastColumn="0" w:oddVBand="0" w:evenVBand="0" w:oddHBand="1" w:evenHBand="0" w:firstRowFirstColumn="0" w:firstRowLastColumn="0" w:lastRowFirstColumn="0" w:lastRowLastColumn="0"/>
              <w:rPr>
                <w:bCs/>
                <w:color w:val="000000"/>
                <w:sz w:val="16"/>
                <w:szCs w:val="16"/>
              </w:rPr>
            </w:pPr>
            <w:r w:rsidRPr="00DC2212">
              <w:rPr>
                <w:bCs/>
                <w:color w:val="000000"/>
                <w:sz w:val="16"/>
                <w:szCs w:val="16"/>
              </w:rPr>
              <w:t>Supply</w:t>
            </w:r>
          </w:p>
        </w:tc>
        <w:tc>
          <w:tcPr>
            <w:tcW w:w="162" w:type="pct"/>
            <w:shd w:val="clear" w:color="auto" w:fill="F2F2F2" w:themeFill="background1" w:themeFillShade="F2"/>
          </w:tcPr>
          <w:p w14:paraId="25B7D1B8" w14:textId="77777777" w:rsidR="00025B44" w:rsidRPr="00DC2212" w:rsidRDefault="00025B44" w:rsidP="00025B44">
            <w:pPr>
              <w:spacing w:before="120" w:after="120"/>
              <w:jc w:val="center"/>
              <w:cnfStyle w:val="000000100000" w:firstRow="0" w:lastRow="0" w:firstColumn="0" w:lastColumn="0" w:oddVBand="0" w:evenVBand="0" w:oddHBand="1" w:evenHBand="0" w:firstRowFirstColumn="0" w:firstRowLastColumn="0" w:lastRowFirstColumn="0" w:lastRowLastColumn="0"/>
              <w:rPr>
                <w:bCs/>
                <w:color w:val="000000"/>
                <w:sz w:val="16"/>
                <w:szCs w:val="16"/>
              </w:rPr>
            </w:pPr>
          </w:p>
        </w:tc>
        <w:tc>
          <w:tcPr>
            <w:tcW w:w="645" w:type="pct"/>
            <w:shd w:val="clear" w:color="auto" w:fill="F2F2F2" w:themeFill="background1" w:themeFillShade="F2"/>
          </w:tcPr>
          <w:p w14:paraId="17F5374B" w14:textId="77777777" w:rsidR="00025B44" w:rsidRPr="00DC2212" w:rsidRDefault="00025B44" w:rsidP="00025B44">
            <w:pPr>
              <w:spacing w:before="120" w:after="120"/>
              <w:jc w:val="center"/>
              <w:cnfStyle w:val="000000100000" w:firstRow="0" w:lastRow="0" w:firstColumn="0" w:lastColumn="0" w:oddVBand="0" w:evenVBand="0" w:oddHBand="1" w:evenHBand="0" w:firstRowFirstColumn="0" w:firstRowLastColumn="0" w:lastRowFirstColumn="0" w:lastRowLastColumn="0"/>
              <w:rPr>
                <w:bCs/>
                <w:color w:val="000000"/>
                <w:sz w:val="16"/>
                <w:szCs w:val="16"/>
              </w:rPr>
            </w:pPr>
            <w:r w:rsidRPr="00DC2212">
              <w:rPr>
                <w:bCs/>
                <w:color w:val="000000"/>
                <w:sz w:val="16"/>
                <w:szCs w:val="16"/>
              </w:rPr>
              <w:t>Monthly</w:t>
            </w:r>
          </w:p>
        </w:tc>
        <w:tc>
          <w:tcPr>
            <w:tcW w:w="696" w:type="pct"/>
            <w:shd w:val="clear" w:color="auto" w:fill="F2F2F2" w:themeFill="background1" w:themeFillShade="F2"/>
          </w:tcPr>
          <w:p w14:paraId="3556FB9C" w14:textId="77777777" w:rsidR="00025B44" w:rsidRPr="00DC2212" w:rsidRDefault="00025B44" w:rsidP="00025B44">
            <w:pPr>
              <w:spacing w:before="120" w:after="120"/>
              <w:jc w:val="center"/>
              <w:cnfStyle w:val="000000100000" w:firstRow="0" w:lastRow="0" w:firstColumn="0" w:lastColumn="0" w:oddVBand="0" w:evenVBand="0" w:oddHBand="1" w:evenHBand="0" w:firstRowFirstColumn="0" w:firstRowLastColumn="0" w:lastRowFirstColumn="0" w:lastRowLastColumn="0"/>
              <w:rPr>
                <w:bCs/>
                <w:color w:val="000000"/>
                <w:sz w:val="16"/>
                <w:szCs w:val="16"/>
              </w:rPr>
            </w:pPr>
            <w:r w:rsidRPr="00DC2212">
              <w:rPr>
                <w:bCs/>
                <w:color w:val="000000"/>
                <w:sz w:val="16"/>
                <w:szCs w:val="16"/>
              </w:rPr>
              <w:t>SA4</w:t>
            </w:r>
          </w:p>
        </w:tc>
        <w:tc>
          <w:tcPr>
            <w:tcW w:w="511" w:type="pct"/>
            <w:shd w:val="clear" w:color="auto" w:fill="F2F2F2" w:themeFill="background1" w:themeFillShade="F2"/>
          </w:tcPr>
          <w:p w14:paraId="64FF4E76" w14:textId="02050EF1" w:rsidR="00025B44" w:rsidRPr="00DC2212" w:rsidRDefault="00025B44" w:rsidP="00025B44">
            <w:pPr>
              <w:spacing w:before="120" w:after="120"/>
              <w:jc w:val="center"/>
              <w:cnfStyle w:val="000000100000" w:firstRow="0" w:lastRow="0" w:firstColumn="0" w:lastColumn="0" w:oddVBand="0" w:evenVBand="0" w:oddHBand="1" w:evenHBand="0" w:firstRowFirstColumn="0" w:firstRowLastColumn="0" w:lastRowFirstColumn="0" w:lastRowLastColumn="0"/>
              <w:rPr>
                <w:bCs/>
                <w:color w:val="000000"/>
                <w:sz w:val="16"/>
                <w:szCs w:val="16"/>
              </w:rPr>
            </w:pPr>
            <w:r w:rsidRPr="00DC2212">
              <w:rPr>
                <w:bCs/>
                <w:color w:val="000000"/>
                <w:sz w:val="16"/>
                <w:szCs w:val="16"/>
              </w:rPr>
              <w:t>5%</w:t>
            </w:r>
          </w:p>
        </w:tc>
      </w:tr>
      <w:tr w:rsidR="00025B44" w:rsidRPr="00DC2212" w14:paraId="32CE8CED" w14:textId="77777777" w:rsidTr="00025B44">
        <w:tc>
          <w:tcPr>
            <w:cnfStyle w:val="001000000000" w:firstRow="0" w:lastRow="0" w:firstColumn="1" w:lastColumn="0" w:oddVBand="0" w:evenVBand="0" w:oddHBand="0" w:evenHBand="0" w:firstRowFirstColumn="0" w:firstRowLastColumn="0" w:lastRowFirstColumn="0" w:lastRowLastColumn="0"/>
            <w:tcW w:w="969" w:type="pct"/>
          </w:tcPr>
          <w:p w14:paraId="79B5C932" w14:textId="77777777" w:rsidR="00025B44" w:rsidRPr="00DC2212" w:rsidRDefault="00025B44" w:rsidP="00025B44">
            <w:pPr>
              <w:spacing w:before="120" w:after="120"/>
              <w:rPr>
                <w:rFonts w:cs="Arial"/>
                <w:b w:val="0"/>
                <w:bCs w:val="0"/>
                <w:color w:val="000000"/>
                <w:sz w:val="16"/>
                <w:szCs w:val="16"/>
              </w:rPr>
            </w:pPr>
            <w:r w:rsidRPr="00DC2212">
              <w:rPr>
                <w:rFonts w:cs="Arial"/>
                <w:b w:val="0"/>
                <w:bCs w:val="0"/>
                <w:color w:val="000000"/>
                <w:sz w:val="16"/>
                <w:szCs w:val="16"/>
              </w:rPr>
              <w:t xml:space="preserve">JobSeeker income support for </w:t>
            </w:r>
            <w:r w:rsidRPr="00DC2212">
              <w:rPr>
                <w:rFonts w:cs="Arial"/>
                <w:color w:val="000000"/>
                <w:sz w:val="16"/>
                <w:szCs w:val="16"/>
              </w:rPr>
              <w:t>2 or more years</w:t>
            </w:r>
            <w:r w:rsidRPr="00DC2212">
              <w:rPr>
                <w:rFonts w:cs="Arial"/>
                <w:b w:val="0"/>
                <w:bCs w:val="0"/>
                <w:color w:val="000000"/>
                <w:sz w:val="16"/>
                <w:szCs w:val="16"/>
              </w:rPr>
              <w:t xml:space="preserve"> rate</w:t>
            </w:r>
          </w:p>
        </w:tc>
        <w:tc>
          <w:tcPr>
            <w:tcW w:w="1371" w:type="pct"/>
          </w:tcPr>
          <w:p w14:paraId="4DF489F6" w14:textId="77777777" w:rsidR="00025B44" w:rsidRPr="00DC2212" w:rsidRDefault="00025B44" w:rsidP="00025B44">
            <w:pPr>
              <w:spacing w:before="120" w:after="120"/>
              <w:cnfStyle w:val="000000000000" w:firstRow="0" w:lastRow="0" w:firstColumn="0" w:lastColumn="0" w:oddVBand="0" w:evenVBand="0" w:oddHBand="0" w:evenHBand="0" w:firstRowFirstColumn="0" w:firstRowLastColumn="0" w:lastRowFirstColumn="0" w:lastRowLastColumn="0"/>
              <w:rPr>
                <w:rFonts w:cs="Arial"/>
                <w:sz w:val="16"/>
                <w:szCs w:val="16"/>
              </w:rPr>
            </w:pPr>
            <w:r w:rsidRPr="00DC2212">
              <w:rPr>
                <w:rFonts w:cs="Arial"/>
                <w:sz w:val="16"/>
                <w:szCs w:val="16"/>
              </w:rPr>
              <w:t>Proportion of the working age (15-64 years) population on JobSeeker Income Support for 2 or more years</w:t>
            </w:r>
          </w:p>
        </w:tc>
        <w:tc>
          <w:tcPr>
            <w:tcW w:w="645" w:type="pct"/>
          </w:tcPr>
          <w:p w14:paraId="395D7384" w14:textId="77777777" w:rsidR="00025B44" w:rsidRPr="00DC2212" w:rsidRDefault="00025B44" w:rsidP="00025B44">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Supply (structural)</w:t>
            </w:r>
          </w:p>
        </w:tc>
        <w:tc>
          <w:tcPr>
            <w:tcW w:w="162" w:type="pct"/>
          </w:tcPr>
          <w:p w14:paraId="51255DED" w14:textId="77777777" w:rsidR="00025B44" w:rsidRPr="00DC2212" w:rsidRDefault="00025B44" w:rsidP="00025B44">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p>
        </w:tc>
        <w:tc>
          <w:tcPr>
            <w:tcW w:w="645" w:type="pct"/>
          </w:tcPr>
          <w:p w14:paraId="2191382C" w14:textId="77777777" w:rsidR="00025B44" w:rsidRPr="00DC2212" w:rsidRDefault="00025B44" w:rsidP="00025B44">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Monthly</w:t>
            </w:r>
          </w:p>
        </w:tc>
        <w:tc>
          <w:tcPr>
            <w:tcW w:w="696" w:type="pct"/>
          </w:tcPr>
          <w:p w14:paraId="5B24B91D" w14:textId="77777777" w:rsidR="00025B44" w:rsidRPr="00DC2212" w:rsidDel="00E97ACE" w:rsidRDefault="00025B44" w:rsidP="00025B44">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SA4</w:t>
            </w:r>
          </w:p>
        </w:tc>
        <w:tc>
          <w:tcPr>
            <w:tcW w:w="511" w:type="pct"/>
          </w:tcPr>
          <w:p w14:paraId="2ADE722A" w14:textId="77777777" w:rsidR="00025B44" w:rsidRPr="00DC2212" w:rsidRDefault="00025B44" w:rsidP="00025B44">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15</w:t>
            </w:r>
            <w:r w:rsidRPr="00DC2212">
              <w:rPr>
                <w:rFonts w:cs="Arial"/>
                <w:color w:val="000000"/>
                <w:sz w:val="16"/>
                <w:szCs w:val="16"/>
              </w:rPr>
              <w:t>%</w:t>
            </w:r>
          </w:p>
        </w:tc>
      </w:tr>
      <w:tr w:rsidR="00025B44" w:rsidRPr="00DC2212" w14:paraId="3CD1A7A5" w14:textId="77777777" w:rsidTr="00025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 w:type="pct"/>
            <w:shd w:val="clear" w:color="auto" w:fill="F2F2F2" w:themeFill="background1" w:themeFillShade="F2"/>
          </w:tcPr>
          <w:p w14:paraId="6CF024D5" w14:textId="77777777" w:rsidR="00025B44" w:rsidRPr="00DC2212" w:rsidRDefault="00025B44" w:rsidP="00025B44">
            <w:pPr>
              <w:spacing w:before="120" w:after="120"/>
              <w:rPr>
                <w:rFonts w:cs="Arial"/>
                <w:b w:val="0"/>
                <w:bCs w:val="0"/>
                <w:color w:val="000000"/>
                <w:sz w:val="16"/>
                <w:szCs w:val="16"/>
              </w:rPr>
            </w:pPr>
            <w:r w:rsidRPr="00DC2212">
              <w:rPr>
                <w:rFonts w:cs="Arial"/>
                <w:b w:val="0"/>
                <w:bCs w:val="0"/>
                <w:color w:val="000000"/>
                <w:sz w:val="16"/>
                <w:szCs w:val="16"/>
              </w:rPr>
              <w:t>Underemployment rate</w:t>
            </w:r>
          </w:p>
        </w:tc>
        <w:tc>
          <w:tcPr>
            <w:tcW w:w="1371" w:type="pct"/>
            <w:shd w:val="clear" w:color="auto" w:fill="F2F2F2" w:themeFill="background1" w:themeFillShade="F2"/>
          </w:tcPr>
          <w:p w14:paraId="53C1ED13" w14:textId="77777777" w:rsidR="00025B44" w:rsidRPr="00DC2212" w:rsidRDefault="00025B44" w:rsidP="00025B44">
            <w:pPr>
              <w:spacing w:before="120" w:after="120"/>
              <w:cnfStyle w:val="000000100000" w:firstRow="0" w:lastRow="0" w:firstColumn="0" w:lastColumn="0" w:oddVBand="0" w:evenVBand="0" w:oddHBand="1" w:evenHBand="0" w:firstRowFirstColumn="0" w:firstRowLastColumn="0" w:lastRowFirstColumn="0" w:lastRowLastColumn="0"/>
              <w:rPr>
                <w:rFonts w:cs="Arial"/>
                <w:sz w:val="16"/>
                <w:szCs w:val="16"/>
              </w:rPr>
            </w:pPr>
            <w:r w:rsidRPr="00DC2212">
              <w:rPr>
                <w:rFonts w:cs="Arial"/>
                <w:color w:val="000000"/>
                <w:sz w:val="16"/>
                <w:szCs w:val="16"/>
              </w:rPr>
              <w:t>The number of underemployed persons as a proportion of the labour force (%)</w:t>
            </w:r>
          </w:p>
        </w:tc>
        <w:tc>
          <w:tcPr>
            <w:tcW w:w="645" w:type="pct"/>
            <w:shd w:val="clear" w:color="auto" w:fill="F2F2F2" w:themeFill="background1" w:themeFillShade="F2"/>
          </w:tcPr>
          <w:p w14:paraId="51B0C8BE" w14:textId="77777777" w:rsidR="00025B44" w:rsidRPr="00DC2212" w:rsidRDefault="00025B44" w:rsidP="00025B44">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Supply</w:t>
            </w:r>
          </w:p>
        </w:tc>
        <w:tc>
          <w:tcPr>
            <w:tcW w:w="162" w:type="pct"/>
            <w:shd w:val="clear" w:color="auto" w:fill="F2F2F2" w:themeFill="background1" w:themeFillShade="F2"/>
          </w:tcPr>
          <w:p w14:paraId="06120EDF" w14:textId="77777777" w:rsidR="00025B44" w:rsidRPr="00DC2212" w:rsidRDefault="00025B44" w:rsidP="00025B44">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p>
        </w:tc>
        <w:tc>
          <w:tcPr>
            <w:tcW w:w="645" w:type="pct"/>
            <w:shd w:val="clear" w:color="auto" w:fill="F2F2F2" w:themeFill="background1" w:themeFillShade="F2"/>
          </w:tcPr>
          <w:p w14:paraId="7DD13F6C" w14:textId="77777777" w:rsidR="00025B44" w:rsidRPr="00DC2212" w:rsidRDefault="00025B44" w:rsidP="00025B44">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Monthly</w:t>
            </w:r>
          </w:p>
        </w:tc>
        <w:tc>
          <w:tcPr>
            <w:tcW w:w="696" w:type="pct"/>
            <w:shd w:val="clear" w:color="auto" w:fill="F2F2F2" w:themeFill="background1" w:themeFillShade="F2"/>
          </w:tcPr>
          <w:p w14:paraId="5F7B1E33" w14:textId="77777777" w:rsidR="00025B44" w:rsidRPr="00DC2212" w:rsidRDefault="00025B44" w:rsidP="00025B44">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GCCSA</w:t>
            </w:r>
          </w:p>
        </w:tc>
        <w:tc>
          <w:tcPr>
            <w:tcW w:w="511" w:type="pct"/>
            <w:shd w:val="clear" w:color="auto" w:fill="F2F2F2" w:themeFill="background1" w:themeFillShade="F2"/>
          </w:tcPr>
          <w:p w14:paraId="1142700F" w14:textId="77777777" w:rsidR="00025B44" w:rsidRPr="00DC2212" w:rsidRDefault="00025B44" w:rsidP="00025B44">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5</w:t>
            </w:r>
            <w:r w:rsidRPr="00DC2212">
              <w:rPr>
                <w:rFonts w:cs="Arial"/>
                <w:color w:val="000000"/>
                <w:sz w:val="16"/>
                <w:szCs w:val="16"/>
              </w:rPr>
              <w:t>%</w:t>
            </w:r>
          </w:p>
        </w:tc>
      </w:tr>
      <w:tr w:rsidR="00025B44" w:rsidRPr="00DC2212" w14:paraId="240CBD2D" w14:textId="77777777" w:rsidTr="007C3F28">
        <w:tc>
          <w:tcPr>
            <w:cnfStyle w:val="001000000000" w:firstRow="0" w:lastRow="0" w:firstColumn="1" w:lastColumn="0" w:oddVBand="0" w:evenVBand="0" w:oddHBand="0" w:evenHBand="0" w:firstRowFirstColumn="0" w:firstRowLastColumn="0" w:lastRowFirstColumn="0" w:lastRowLastColumn="0"/>
            <w:tcW w:w="969" w:type="pct"/>
          </w:tcPr>
          <w:p w14:paraId="5219479F" w14:textId="77777777" w:rsidR="00025B44" w:rsidRPr="00DC2212" w:rsidRDefault="00025B44" w:rsidP="00025B44">
            <w:pPr>
              <w:spacing w:before="120" w:after="120"/>
              <w:rPr>
                <w:rFonts w:cs="Arial"/>
                <w:b w:val="0"/>
                <w:bCs w:val="0"/>
                <w:color w:val="000000"/>
                <w:sz w:val="16"/>
                <w:szCs w:val="16"/>
              </w:rPr>
            </w:pPr>
            <w:r w:rsidRPr="00DC2212">
              <w:rPr>
                <w:rFonts w:cs="Arial"/>
                <w:b w:val="0"/>
                <w:bCs w:val="0"/>
                <w:color w:val="000000"/>
                <w:sz w:val="16"/>
                <w:szCs w:val="16"/>
              </w:rPr>
              <w:t>Job vacancy rate</w:t>
            </w:r>
          </w:p>
        </w:tc>
        <w:tc>
          <w:tcPr>
            <w:tcW w:w="1371" w:type="pct"/>
          </w:tcPr>
          <w:p w14:paraId="2EDD8112" w14:textId="77777777" w:rsidR="00025B44" w:rsidRPr="00DC2212" w:rsidRDefault="00025B44" w:rsidP="00025B44">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sz w:val="16"/>
                <w:szCs w:val="16"/>
              </w:rPr>
              <w:t>The number of new job vacancies as a proportion of the labour force</w:t>
            </w:r>
            <w:r>
              <w:rPr>
                <w:rFonts w:cs="Arial"/>
                <w:sz w:val="16"/>
                <w:szCs w:val="16"/>
              </w:rPr>
              <w:t xml:space="preserve"> (%)</w:t>
            </w:r>
          </w:p>
        </w:tc>
        <w:tc>
          <w:tcPr>
            <w:tcW w:w="645" w:type="pct"/>
          </w:tcPr>
          <w:p w14:paraId="02AD4F02" w14:textId="77777777" w:rsidR="00025B44" w:rsidRPr="00DC2212" w:rsidRDefault="00025B44" w:rsidP="00025B44">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Demand</w:t>
            </w:r>
          </w:p>
        </w:tc>
        <w:tc>
          <w:tcPr>
            <w:tcW w:w="162" w:type="pct"/>
          </w:tcPr>
          <w:p w14:paraId="4DBCAD6F" w14:textId="77777777" w:rsidR="00025B44" w:rsidRPr="00DC2212" w:rsidRDefault="00025B44" w:rsidP="00025B44">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p>
        </w:tc>
        <w:tc>
          <w:tcPr>
            <w:tcW w:w="645" w:type="pct"/>
          </w:tcPr>
          <w:p w14:paraId="5A564D86" w14:textId="2148CDC0" w:rsidR="00025B44" w:rsidRPr="00DC2212" w:rsidRDefault="00025B44" w:rsidP="00025B44">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Quarterly</w:t>
            </w:r>
          </w:p>
        </w:tc>
        <w:tc>
          <w:tcPr>
            <w:tcW w:w="696" w:type="pct"/>
          </w:tcPr>
          <w:p w14:paraId="3BE8E220" w14:textId="1280E86B" w:rsidR="00025B44" w:rsidRPr="00DC2212" w:rsidRDefault="00025B44" w:rsidP="00025B44">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SA4</w:t>
            </w:r>
            <w:r>
              <w:rPr>
                <w:rFonts w:cs="Arial"/>
                <w:color w:val="000000"/>
                <w:sz w:val="16"/>
                <w:szCs w:val="16"/>
              </w:rPr>
              <w:t>/GCCSA</w:t>
            </w:r>
            <w:r w:rsidRPr="00CC2866">
              <w:rPr>
                <w:rFonts w:cs="Arial"/>
                <w:color w:val="000000"/>
                <w:sz w:val="16"/>
                <w:szCs w:val="16"/>
                <w:vertAlign w:val="superscript"/>
              </w:rPr>
              <w:t>2</w:t>
            </w:r>
          </w:p>
        </w:tc>
        <w:tc>
          <w:tcPr>
            <w:tcW w:w="511" w:type="pct"/>
          </w:tcPr>
          <w:p w14:paraId="7037B44C" w14:textId="77777777" w:rsidR="00025B44" w:rsidRPr="00DC2212" w:rsidRDefault="00025B44" w:rsidP="00025B44">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1</w:t>
            </w:r>
            <w:r>
              <w:rPr>
                <w:rFonts w:cs="Arial"/>
                <w:color w:val="000000"/>
                <w:sz w:val="16"/>
                <w:szCs w:val="16"/>
              </w:rPr>
              <w:t>5</w:t>
            </w:r>
            <w:r w:rsidRPr="00DC2212">
              <w:rPr>
                <w:rFonts w:cs="Arial"/>
                <w:color w:val="000000"/>
                <w:sz w:val="16"/>
                <w:szCs w:val="16"/>
              </w:rPr>
              <w:t>%</w:t>
            </w:r>
          </w:p>
        </w:tc>
      </w:tr>
      <w:tr w:rsidR="00025B44" w:rsidRPr="00DC2212" w14:paraId="3FCA8DC2" w14:textId="77777777" w:rsidTr="00025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 w:type="pct"/>
            <w:shd w:val="clear" w:color="auto" w:fill="F2F2F2" w:themeFill="background1" w:themeFillShade="F2"/>
          </w:tcPr>
          <w:p w14:paraId="17C21AAD" w14:textId="77777777" w:rsidR="00025B44" w:rsidRPr="00DC2212" w:rsidRDefault="00025B44" w:rsidP="00025B44">
            <w:pPr>
              <w:spacing w:before="120" w:after="120"/>
              <w:rPr>
                <w:rFonts w:cs="Arial"/>
                <w:color w:val="000000"/>
                <w:sz w:val="16"/>
                <w:szCs w:val="16"/>
              </w:rPr>
            </w:pPr>
            <w:r w:rsidRPr="00DC2212">
              <w:rPr>
                <w:rFonts w:cs="Arial"/>
                <w:b w:val="0"/>
                <w:bCs w:val="0"/>
                <w:color w:val="000000"/>
                <w:sz w:val="16"/>
                <w:szCs w:val="16"/>
              </w:rPr>
              <w:t>Job matching efficiency rate</w:t>
            </w:r>
          </w:p>
        </w:tc>
        <w:tc>
          <w:tcPr>
            <w:tcW w:w="1371" w:type="pct"/>
            <w:shd w:val="clear" w:color="auto" w:fill="F2F2F2" w:themeFill="background1" w:themeFillShade="F2"/>
          </w:tcPr>
          <w:p w14:paraId="0C862296" w14:textId="77777777" w:rsidR="00025B44" w:rsidRPr="00DC2212" w:rsidRDefault="00025B44" w:rsidP="00025B44">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The efficiency with which available jobseekers and vacancies result in successful hires (%)</w:t>
            </w:r>
          </w:p>
        </w:tc>
        <w:tc>
          <w:tcPr>
            <w:tcW w:w="645" w:type="pct"/>
            <w:shd w:val="clear" w:color="auto" w:fill="F2F2F2" w:themeFill="background1" w:themeFillShade="F2"/>
          </w:tcPr>
          <w:p w14:paraId="10E98FC3" w14:textId="77777777" w:rsidR="00025B44" w:rsidRPr="00DC2212" w:rsidRDefault="00025B44" w:rsidP="00025B44">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Intersection</w:t>
            </w:r>
          </w:p>
        </w:tc>
        <w:tc>
          <w:tcPr>
            <w:tcW w:w="162" w:type="pct"/>
            <w:shd w:val="clear" w:color="auto" w:fill="F2F2F2" w:themeFill="background1" w:themeFillShade="F2"/>
          </w:tcPr>
          <w:p w14:paraId="6B3CF950" w14:textId="77777777" w:rsidR="00025B44" w:rsidRPr="00DC2212" w:rsidRDefault="00025B44" w:rsidP="00025B44">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p>
        </w:tc>
        <w:tc>
          <w:tcPr>
            <w:tcW w:w="645" w:type="pct"/>
            <w:shd w:val="clear" w:color="auto" w:fill="F2F2F2" w:themeFill="background1" w:themeFillShade="F2"/>
          </w:tcPr>
          <w:p w14:paraId="1D356B39" w14:textId="04D0FBF9" w:rsidR="00025B44" w:rsidRPr="00DC2212" w:rsidRDefault="00025B44" w:rsidP="00025B44">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Quarterly</w:t>
            </w:r>
          </w:p>
        </w:tc>
        <w:tc>
          <w:tcPr>
            <w:tcW w:w="696" w:type="pct"/>
            <w:shd w:val="clear" w:color="auto" w:fill="F2F2F2" w:themeFill="background1" w:themeFillShade="F2"/>
          </w:tcPr>
          <w:p w14:paraId="255F389C" w14:textId="77777777" w:rsidR="00025B44" w:rsidRPr="00DC2212" w:rsidRDefault="00025B44" w:rsidP="00025B44">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SA4</w:t>
            </w:r>
          </w:p>
        </w:tc>
        <w:tc>
          <w:tcPr>
            <w:tcW w:w="511" w:type="pct"/>
            <w:shd w:val="clear" w:color="auto" w:fill="F2F2F2" w:themeFill="background1" w:themeFillShade="F2"/>
          </w:tcPr>
          <w:p w14:paraId="510B7669" w14:textId="77777777" w:rsidR="00025B44" w:rsidRPr="00DC2212" w:rsidRDefault="00025B44" w:rsidP="00025B44">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15</w:t>
            </w:r>
            <w:r w:rsidRPr="00DC2212">
              <w:rPr>
                <w:rFonts w:cs="Arial"/>
                <w:color w:val="000000"/>
                <w:sz w:val="16"/>
                <w:szCs w:val="16"/>
              </w:rPr>
              <w:t>%</w:t>
            </w:r>
          </w:p>
        </w:tc>
      </w:tr>
      <w:tr w:rsidR="00025B44" w:rsidRPr="00DC2212" w14:paraId="71AB205C" w14:textId="77777777" w:rsidTr="007C3F28">
        <w:tc>
          <w:tcPr>
            <w:cnfStyle w:val="001000000000" w:firstRow="0" w:lastRow="0" w:firstColumn="1" w:lastColumn="0" w:oddVBand="0" w:evenVBand="0" w:oddHBand="0" w:evenHBand="0" w:firstRowFirstColumn="0" w:firstRowLastColumn="0" w:lastRowFirstColumn="0" w:lastRowLastColumn="0"/>
            <w:tcW w:w="969" w:type="pct"/>
          </w:tcPr>
          <w:p w14:paraId="58AD2FBB" w14:textId="77777777" w:rsidR="00025B44" w:rsidRPr="00DC2212" w:rsidRDefault="00025B44" w:rsidP="00025B44">
            <w:pPr>
              <w:spacing w:before="120" w:after="120"/>
              <w:rPr>
                <w:rFonts w:cs="Arial"/>
                <w:color w:val="000000"/>
                <w:sz w:val="16"/>
                <w:szCs w:val="16"/>
              </w:rPr>
            </w:pPr>
            <w:r w:rsidRPr="00DC2212">
              <w:rPr>
                <w:rFonts w:cs="Arial"/>
                <w:b w:val="0"/>
                <w:bCs w:val="0"/>
                <w:color w:val="000000"/>
                <w:sz w:val="16"/>
                <w:szCs w:val="16"/>
              </w:rPr>
              <w:t>Vacancy fill rate</w:t>
            </w:r>
          </w:p>
        </w:tc>
        <w:tc>
          <w:tcPr>
            <w:tcW w:w="1371" w:type="pct"/>
          </w:tcPr>
          <w:p w14:paraId="070CF420" w14:textId="77777777" w:rsidR="00025B44" w:rsidRPr="00DC2212" w:rsidRDefault="00025B44" w:rsidP="00025B44">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The percentage of vacancies that have been filled (%)</w:t>
            </w:r>
          </w:p>
        </w:tc>
        <w:tc>
          <w:tcPr>
            <w:tcW w:w="645" w:type="pct"/>
          </w:tcPr>
          <w:p w14:paraId="16FE2547" w14:textId="77777777" w:rsidR="00025B44" w:rsidRPr="00DC2212" w:rsidRDefault="00025B44" w:rsidP="00025B44">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Intersection</w:t>
            </w:r>
          </w:p>
        </w:tc>
        <w:tc>
          <w:tcPr>
            <w:tcW w:w="162" w:type="pct"/>
          </w:tcPr>
          <w:p w14:paraId="2EE8CA5E" w14:textId="77777777" w:rsidR="00025B44" w:rsidRPr="00DC2212" w:rsidRDefault="00025B44" w:rsidP="00025B44">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p>
        </w:tc>
        <w:tc>
          <w:tcPr>
            <w:tcW w:w="645" w:type="pct"/>
          </w:tcPr>
          <w:p w14:paraId="33A84D1E" w14:textId="26ED4803" w:rsidR="00025B44" w:rsidRPr="00DC2212" w:rsidRDefault="00025B44" w:rsidP="00025B44">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Monthly</w:t>
            </w:r>
          </w:p>
        </w:tc>
        <w:tc>
          <w:tcPr>
            <w:tcW w:w="696" w:type="pct"/>
          </w:tcPr>
          <w:p w14:paraId="5AA350FD" w14:textId="77777777" w:rsidR="00025B44" w:rsidRPr="00DC2212" w:rsidRDefault="00025B44" w:rsidP="00025B44">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GCCSA</w:t>
            </w:r>
          </w:p>
        </w:tc>
        <w:tc>
          <w:tcPr>
            <w:tcW w:w="511" w:type="pct"/>
          </w:tcPr>
          <w:p w14:paraId="4666D2A0" w14:textId="77777777" w:rsidR="00025B44" w:rsidRPr="00DC2212" w:rsidRDefault="00025B44" w:rsidP="00025B44">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5</w:t>
            </w:r>
            <w:r w:rsidRPr="00DC2212">
              <w:rPr>
                <w:rFonts w:cs="Arial"/>
                <w:color w:val="000000"/>
                <w:sz w:val="16"/>
                <w:szCs w:val="16"/>
              </w:rPr>
              <w:t>%</w:t>
            </w:r>
          </w:p>
        </w:tc>
      </w:tr>
      <w:tr w:rsidR="00025B44" w:rsidRPr="00DC2212" w14:paraId="24E28ECF" w14:textId="77777777" w:rsidTr="00025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 w:type="pct"/>
            <w:shd w:val="clear" w:color="auto" w:fill="F2F2F2" w:themeFill="background1" w:themeFillShade="F2"/>
          </w:tcPr>
          <w:p w14:paraId="4D055A43" w14:textId="77777777" w:rsidR="00025B44" w:rsidRPr="00DC2212" w:rsidRDefault="00025B44" w:rsidP="00025B44">
            <w:pPr>
              <w:spacing w:before="120" w:after="120"/>
              <w:rPr>
                <w:rFonts w:cs="Arial"/>
                <w:color w:val="000000"/>
                <w:sz w:val="16"/>
                <w:szCs w:val="16"/>
              </w:rPr>
            </w:pPr>
            <w:r>
              <w:rPr>
                <w:rFonts w:cs="Arial"/>
                <w:b w:val="0"/>
                <w:bCs w:val="0"/>
                <w:color w:val="000000"/>
                <w:sz w:val="16"/>
                <w:szCs w:val="16"/>
              </w:rPr>
              <w:t>5</w:t>
            </w:r>
            <w:r w:rsidRPr="00B179E5">
              <w:rPr>
                <w:rFonts w:cs="Arial"/>
                <w:b w:val="0"/>
                <w:bCs w:val="0"/>
                <w:color w:val="000000"/>
                <w:sz w:val="16"/>
                <w:szCs w:val="16"/>
              </w:rPr>
              <w:t>-year annual average growth rate of productivity</w:t>
            </w:r>
          </w:p>
        </w:tc>
        <w:tc>
          <w:tcPr>
            <w:tcW w:w="1371" w:type="pct"/>
            <w:shd w:val="clear" w:color="auto" w:fill="F2F2F2" w:themeFill="background1" w:themeFillShade="F2"/>
          </w:tcPr>
          <w:p w14:paraId="6164AB75" w14:textId="77777777" w:rsidR="00025B44" w:rsidRPr="00DC2212" w:rsidRDefault="00025B44" w:rsidP="00025B44">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5</w:t>
            </w:r>
            <w:r w:rsidRPr="00B21997">
              <w:rPr>
                <w:rFonts w:cs="Arial"/>
                <w:color w:val="000000"/>
                <w:sz w:val="16"/>
                <w:szCs w:val="16"/>
              </w:rPr>
              <w:t xml:space="preserve">-year annual average productivity growth rate (%) where productivity is defined as Local Industry GRP (GRP at factor cost) per employed </w:t>
            </w:r>
            <w:r w:rsidRPr="00B21997">
              <w:rPr>
                <w:rFonts w:cs="Arial"/>
                <w:color w:val="000000"/>
                <w:sz w:val="16"/>
                <w:szCs w:val="16"/>
              </w:rPr>
              <w:lastRenderedPageBreak/>
              <w:t>person on an industry adjusted basis.</w:t>
            </w:r>
          </w:p>
        </w:tc>
        <w:tc>
          <w:tcPr>
            <w:tcW w:w="645" w:type="pct"/>
            <w:shd w:val="clear" w:color="auto" w:fill="F2F2F2" w:themeFill="background1" w:themeFillShade="F2"/>
          </w:tcPr>
          <w:p w14:paraId="6E128FA7" w14:textId="77777777" w:rsidR="00025B44" w:rsidRPr="00DC2212" w:rsidRDefault="00025B44" w:rsidP="00025B44">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lastRenderedPageBreak/>
              <w:t>Intersection (structural)</w:t>
            </w:r>
          </w:p>
        </w:tc>
        <w:tc>
          <w:tcPr>
            <w:tcW w:w="162" w:type="pct"/>
            <w:shd w:val="clear" w:color="auto" w:fill="F2F2F2" w:themeFill="background1" w:themeFillShade="F2"/>
          </w:tcPr>
          <w:p w14:paraId="591DE5F0" w14:textId="77777777" w:rsidR="00025B44" w:rsidRPr="00DC2212" w:rsidRDefault="00025B44" w:rsidP="00025B44">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p>
        </w:tc>
        <w:tc>
          <w:tcPr>
            <w:tcW w:w="645" w:type="pct"/>
            <w:shd w:val="clear" w:color="auto" w:fill="F2F2F2" w:themeFill="background1" w:themeFillShade="F2"/>
          </w:tcPr>
          <w:p w14:paraId="6B0B1428" w14:textId="77777777" w:rsidR="00025B44" w:rsidRPr="00DC2212" w:rsidRDefault="00025B44" w:rsidP="00025B44">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Quarterly</w:t>
            </w:r>
            <w:r w:rsidRPr="00CC2866">
              <w:rPr>
                <w:rFonts w:cs="Arial"/>
                <w:color w:val="000000"/>
                <w:sz w:val="16"/>
                <w:szCs w:val="16"/>
                <w:vertAlign w:val="superscript"/>
              </w:rPr>
              <w:t>3</w:t>
            </w:r>
          </w:p>
        </w:tc>
        <w:tc>
          <w:tcPr>
            <w:tcW w:w="696" w:type="pct"/>
            <w:shd w:val="clear" w:color="auto" w:fill="F2F2F2" w:themeFill="background1" w:themeFillShade="F2"/>
          </w:tcPr>
          <w:p w14:paraId="231138EC" w14:textId="77777777" w:rsidR="00025B44" w:rsidRPr="00DC2212" w:rsidRDefault="00025B44" w:rsidP="00025B44">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GCCSA</w:t>
            </w:r>
          </w:p>
        </w:tc>
        <w:tc>
          <w:tcPr>
            <w:tcW w:w="511" w:type="pct"/>
            <w:shd w:val="clear" w:color="auto" w:fill="F2F2F2" w:themeFill="background1" w:themeFillShade="F2"/>
          </w:tcPr>
          <w:p w14:paraId="66C168E9" w14:textId="77777777" w:rsidR="00025B44" w:rsidRPr="00DC2212" w:rsidRDefault="00025B44" w:rsidP="00025B44">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~2%</w:t>
            </w:r>
            <w:r w:rsidRPr="00637786">
              <w:rPr>
                <w:rFonts w:cs="Arial"/>
                <w:color w:val="000000"/>
                <w:sz w:val="16"/>
                <w:szCs w:val="16"/>
                <w:vertAlign w:val="superscript"/>
              </w:rPr>
              <w:t>4</w:t>
            </w:r>
          </w:p>
        </w:tc>
      </w:tr>
      <w:tr w:rsidR="00025B44" w:rsidRPr="00DC2212" w14:paraId="15699225" w14:textId="77777777" w:rsidTr="00025B44">
        <w:tc>
          <w:tcPr>
            <w:cnfStyle w:val="001000000000" w:firstRow="0" w:lastRow="0" w:firstColumn="1" w:lastColumn="0" w:oddVBand="0" w:evenVBand="0" w:oddHBand="0" w:evenHBand="0" w:firstRowFirstColumn="0" w:firstRowLastColumn="0" w:lastRowFirstColumn="0" w:lastRowLastColumn="0"/>
            <w:tcW w:w="969" w:type="pct"/>
          </w:tcPr>
          <w:p w14:paraId="228D5EB6" w14:textId="77777777" w:rsidR="00025B44" w:rsidRPr="00DC2212" w:rsidRDefault="00025B44" w:rsidP="00025B44">
            <w:pPr>
              <w:spacing w:before="120" w:after="120"/>
              <w:rPr>
                <w:rFonts w:cs="Arial"/>
                <w:b w:val="0"/>
                <w:bCs w:val="0"/>
                <w:color w:val="000000"/>
                <w:sz w:val="16"/>
                <w:szCs w:val="16"/>
              </w:rPr>
            </w:pPr>
            <w:r w:rsidRPr="00DC2212">
              <w:rPr>
                <w:rFonts w:cs="Arial"/>
                <w:b w:val="0"/>
                <w:bCs w:val="0"/>
                <w:color w:val="000000"/>
                <w:sz w:val="16"/>
                <w:szCs w:val="16"/>
              </w:rPr>
              <w:t xml:space="preserve">Annual median </w:t>
            </w:r>
            <w:r>
              <w:rPr>
                <w:rFonts w:cs="Arial"/>
                <w:b w:val="0"/>
                <w:bCs w:val="0"/>
                <w:color w:val="000000"/>
                <w:sz w:val="16"/>
                <w:szCs w:val="16"/>
              </w:rPr>
              <w:t>income</w:t>
            </w:r>
            <w:r w:rsidRPr="00DC2212">
              <w:rPr>
                <w:rFonts w:cs="Arial"/>
                <w:b w:val="0"/>
                <w:bCs w:val="0"/>
                <w:color w:val="000000"/>
                <w:sz w:val="16"/>
                <w:szCs w:val="16"/>
              </w:rPr>
              <w:t xml:space="preserve"> growth rate</w:t>
            </w:r>
          </w:p>
        </w:tc>
        <w:tc>
          <w:tcPr>
            <w:tcW w:w="1371" w:type="pct"/>
          </w:tcPr>
          <w:p w14:paraId="247738D9" w14:textId="77777777" w:rsidR="00025B44" w:rsidRPr="00DC2212" w:rsidRDefault="00025B44" w:rsidP="00025B44">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The percentage change in median total income over the past year (%)</w:t>
            </w:r>
          </w:p>
        </w:tc>
        <w:tc>
          <w:tcPr>
            <w:tcW w:w="645" w:type="pct"/>
          </w:tcPr>
          <w:p w14:paraId="0CCC9050" w14:textId="77777777" w:rsidR="00025B44" w:rsidRPr="00DC2212" w:rsidRDefault="00025B44" w:rsidP="00025B44">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Intersection</w:t>
            </w:r>
          </w:p>
        </w:tc>
        <w:tc>
          <w:tcPr>
            <w:tcW w:w="162" w:type="pct"/>
          </w:tcPr>
          <w:p w14:paraId="1EC8F860" w14:textId="77777777" w:rsidR="00025B44" w:rsidRPr="00DC2212" w:rsidRDefault="00025B44" w:rsidP="00025B44">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p>
        </w:tc>
        <w:tc>
          <w:tcPr>
            <w:tcW w:w="645" w:type="pct"/>
          </w:tcPr>
          <w:p w14:paraId="1EED2DE7" w14:textId="77777777" w:rsidR="00025B44" w:rsidRPr="00DC2212" w:rsidRDefault="00025B44" w:rsidP="00025B44">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Yearly</w:t>
            </w:r>
            <w:r w:rsidRPr="00CC2866">
              <w:rPr>
                <w:rFonts w:cs="Arial"/>
                <w:color w:val="000000"/>
                <w:sz w:val="16"/>
                <w:szCs w:val="16"/>
                <w:vertAlign w:val="superscript"/>
              </w:rPr>
              <w:t>3</w:t>
            </w:r>
          </w:p>
        </w:tc>
        <w:tc>
          <w:tcPr>
            <w:tcW w:w="696" w:type="pct"/>
          </w:tcPr>
          <w:p w14:paraId="0C06C526" w14:textId="77777777" w:rsidR="00025B44" w:rsidRPr="00DC2212" w:rsidRDefault="00025B44" w:rsidP="00025B44">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SA4</w:t>
            </w:r>
          </w:p>
        </w:tc>
        <w:tc>
          <w:tcPr>
            <w:tcW w:w="511" w:type="pct"/>
          </w:tcPr>
          <w:p w14:paraId="7AC5E831" w14:textId="77777777" w:rsidR="00025B44" w:rsidRPr="00DC2212" w:rsidRDefault="00025B44" w:rsidP="00025B44">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~2%</w:t>
            </w:r>
            <w:r w:rsidRPr="00637786">
              <w:rPr>
                <w:rFonts w:cs="Arial"/>
                <w:color w:val="000000"/>
                <w:sz w:val="16"/>
                <w:szCs w:val="16"/>
                <w:vertAlign w:val="superscript"/>
              </w:rPr>
              <w:t>4</w:t>
            </w:r>
          </w:p>
        </w:tc>
      </w:tr>
      <w:tr w:rsidR="00025B44" w:rsidRPr="00DC2212" w14:paraId="2BF2CEE7" w14:textId="77777777" w:rsidTr="00025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 w:type="pct"/>
            <w:tcBorders>
              <w:bottom w:val="single" w:sz="4" w:space="0" w:color="auto"/>
            </w:tcBorders>
            <w:shd w:val="clear" w:color="auto" w:fill="F2F2F2" w:themeFill="background1" w:themeFillShade="F2"/>
          </w:tcPr>
          <w:p w14:paraId="0E18501D" w14:textId="77777777" w:rsidR="00025B44" w:rsidRPr="00DC2212" w:rsidRDefault="00025B44" w:rsidP="00025B44">
            <w:pPr>
              <w:spacing w:before="120" w:after="120"/>
              <w:rPr>
                <w:rFonts w:cs="Arial"/>
                <w:b w:val="0"/>
                <w:bCs w:val="0"/>
                <w:color w:val="000000"/>
                <w:sz w:val="16"/>
                <w:szCs w:val="16"/>
              </w:rPr>
            </w:pPr>
            <w:r w:rsidRPr="00DC2212">
              <w:rPr>
                <w:rFonts w:cs="Arial"/>
                <w:b w:val="0"/>
                <w:bCs w:val="0"/>
                <w:color w:val="000000"/>
                <w:sz w:val="16"/>
                <w:szCs w:val="16"/>
              </w:rPr>
              <w:t>Skill underutilisation rate</w:t>
            </w:r>
          </w:p>
        </w:tc>
        <w:tc>
          <w:tcPr>
            <w:tcW w:w="1371" w:type="pct"/>
            <w:tcBorders>
              <w:bottom w:val="single" w:sz="4" w:space="0" w:color="auto"/>
            </w:tcBorders>
            <w:shd w:val="clear" w:color="auto" w:fill="F2F2F2" w:themeFill="background1" w:themeFillShade="F2"/>
          </w:tcPr>
          <w:p w14:paraId="55C624A0" w14:textId="47068945" w:rsidR="00025B44" w:rsidRPr="00DC2212" w:rsidRDefault="00025B44" w:rsidP="00025B44">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Proportion of employed persons working at a lower skill level than the skill level associated with their highest level of qualification (%)</w:t>
            </w:r>
          </w:p>
        </w:tc>
        <w:tc>
          <w:tcPr>
            <w:tcW w:w="645" w:type="pct"/>
            <w:tcBorders>
              <w:bottom w:val="single" w:sz="4" w:space="0" w:color="auto"/>
            </w:tcBorders>
            <w:shd w:val="clear" w:color="auto" w:fill="F2F2F2" w:themeFill="background1" w:themeFillShade="F2"/>
          </w:tcPr>
          <w:p w14:paraId="2D7801E4" w14:textId="77777777" w:rsidR="00025B44" w:rsidRPr="00DC2212" w:rsidRDefault="00025B44" w:rsidP="00025B44">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Intersection</w:t>
            </w:r>
          </w:p>
        </w:tc>
        <w:tc>
          <w:tcPr>
            <w:tcW w:w="162" w:type="pct"/>
            <w:tcBorders>
              <w:bottom w:val="single" w:sz="4" w:space="0" w:color="auto"/>
            </w:tcBorders>
            <w:shd w:val="clear" w:color="auto" w:fill="F2F2F2" w:themeFill="background1" w:themeFillShade="F2"/>
          </w:tcPr>
          <w:p w14:paraId="6FED53A7" w14:textId="77777777" w:rsidR="00025B44" w:rsidRPr="00DC2212" w:rsidRDefault="00025B44" w:rsidP="00025B44">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p>
        </w:tc>
        <w:tc>
          <w:tcPr>
            <w:tcW w:w="645" w:type="pct"/>
            <w:tcBorders>
              <w:bottom w:val="single" w:sz="4" w:space="0" w:color="auto"/>
            </w:tcBorders>
            <w:shd w:val="clear" w:color="auto" w:fill="F2F2F2" w:themeFill="background1" w:themeFillShade="F2"/>
          </w:tcPr>
          <w:p w14:paraId="7EAF26F9" w14:textId="77777777" w:rsidR="00025B44" w:rsidRPr="00DC2212" w:rsidRDefault="00025B44" w:rsidP="00025B44">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5-yearly</w:t>
            </w:r>
            <w:r w:rsidRPr="00CC2866">
              <w:rPr>
                <w:rFonts w:cs="Arial"/>
                <w:color w:val="000000"/>
                <w:sz w:val="16"/>
                <w:szCs w:val="16"/>
                <w:vertAlign w:val="superscript"/>
              </w:rPr>
              <w:t>3</w:t>
            </w:r>
          </w:p>
          <w:p w14:paraId="207721A9" w14:textId="77777777" w:rsidR="00025B44" w:rsidRPr="00DC2212" w:rsidRDefault="00025B44" w:rsidP="00025B44">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p>
        </w:tc>
        <w:tc>
          <w:tcPr>
            <w:tcW w:w="696" w:type="pct"/>
            <w:tcBorders>
              <w:bottom w:val="single" w:sz="4" w:space="0" w:color="auto"/>
            </w:tcBorders>
            <w:shd w:val="clear" w:color="auto" w:fill="F2F2F2" w:themeFill="background1" w:themeFillShade="F2"/>
          </w:tcPr>
          <w:p w14:paraId="155305F9" w14:textId="77777777" w:rsidR="00025B44" w:rsidRPr="00DC2212" w:rsidRDefault="00025B44" w:rsidP="00025B44">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SA4</w:t>
            </w:r>
          </w:p>
        </w:tc>
        <w:tc>
          <w:tcPr>
            <w:tcW w:w="511" w:type="pct"/>
            <w:tcBorders>
              <w:bottom w:val="single" w:sz="4" w:space="0" w:color="auto"/>
            </w:tcBorders>
            <w:shd w:val="clear" w:color="auto" w:fill="F2F2F2" w:themeFill="background1" w:themeFillShade="F2"/>
          </w:tcPr>
          <w:p w14:paraId="2D18D010" w14:textId="77777777" w:rsidR="00025B44" w:rsidRPr="00DC2212" w:rsidRDefault="00025B44" w:rsidP="00025B44">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~2%</w:t>
            </w:r>
            <w:r w:rsidRPr="00637786">
              <w:rPr>
                <w:rFonts w:cs="Arial"/>
                <w:color w:val="000000"/>
                <w:sz w:val="16"/>
                <w:szCs w:val="16"/>
                <w:vertAlign w:val="superscript"/>
              </w:rPr>
              <w:t>4</w:t>
            </w:r>
          </w:p>
        </w:tc>
      </w:tr>
    </w:tbl>
    <w:p w14:paraId="4A9AF219" w14:textId="77777777" w:rsidR="00F907C7" w:rsidRPr="00CC2866" w:rsidRDefault="00F907C7" w:rsidP="00F907C7">
      <w:pPr>
        <w:rPr>
          <w:rFonts w:cs="Arial"/>
          <w:color w:val="000000"/>
          <w:sz w:val="16"/>
          <w:szCs w:val="16"/>
        </w:rPr>
      </w:pPr>
      <w:r w:rsidRPr="00CC2866">
        <w:rPr>
          <w:sz w:val="16"/>
          <w:szCs w:val="16"/>
          <w:vertAlign w:val="superscript"/>
        </w:rPr>
        <w:t>1</w:t>
      </w:r>
      <w:r w:rsidRPr="00CC2866">
        <w:rPr>
          <w:rFonts w:cs="Arial"/>
          <w:sz w:val="16"/>
          <w:szCs w:val="16"/>
        </w:rPr>
        <w:t xml:space="preserve">JobSeeker income support’ is a combination of the </w:t>
      </w:r>
      <w:r w:rsidRPr="00CC2866">
        <w:rPr>
          <w:rFonts w:cs="Arial"/>
          <w:color w:val="000000"/>
          <w:sz w:val="16"/>
          <w:szCs w:val="16"/>
        </w:rPr>
        <w:t>JobSeeker payment and Youth Allowance (other) payment</w:t>
      </w:r>
    </w:p>
    <w:p w14:paraId="35468F96" w14:textId="4A73BD2F" w:rsidR="00F907C7" w:rsidRPr="00CC2866" w:rsidRDefault="00F907C7" w:rsidP="00F907C7">
      <w:pPr>
        <w:rPr>
          <w:rFonts w:cs="Arial"/>
          <w:color w:val="000000"/>
          <w:sz w:val="16"/>
          <w:szCs w:val="16"/>
        </w:rPr>
      </w:pPr>
      <w:r w:rsidRPr="00CC2866">
        <w:rPr>
          <w:rFonts w:cs="Arial"/>
          <w:color w:val="000000"/>
          <w:sz w:val="16"/>
          <w:szCs w:val="16"/>
          <w:vertAlign w:val="superscript"/>
        </w:rPr>
        <w:t xml:space="preserve">2 </w:t>
      </w:r>
      <w:r w:rsidRPr="00CC2866">
        <w:rPr>
          <w:rFonts w:cs="Arial"/>
          <w:color w:val="000000"/>
          <w:sz w:val="16"/>
          <w:szCs w:val="16"/>
        </w:rPr>
        <w:t>Measured at the Greater Capital City Statistical Area (GCCSA) for Major Cities (Sydney, Melbourne, Brisbane, Adelaide, Perth)</w:t>
      </w:r>
      <w:r w:rsidR="00632F5D">
        <w:rPr>
          <w:rFonts w:cs="Arial"/>
          <w:color w:val="000000"/>
          <w:sz w:val="16"/>
          <w:szCs w:val="16"/>
        </w:rPr>
        <w:t xml:space="preserve">. Measured at the Statistical Area 4 (SA4) level for all other regions. </w:t>
      </w:r>
    </w:p>
    <w:p w14:paraId="6EFF338C" w14:textId="77777777" w:rsidR="00F907C7" w:rsidRPr="00637786" w:rsidRDefault="00F907C7" w:rsidP="00F907C7">
      <w:pPr>
        <w:rPr>
          <w:rFonts w:cs="Arial"/>
          <w:color w:val="000000"/>
          <w:sz w:val="16"/>
          <w:szCs w:val="16"/>
        </w:rPr>
      </w:pPr>
      <w:r w:rsidRPr="00CC2866">
        <w:rPr>
          <w:rFonts w:cs="Arial"/>
          <w:color w:val="000000"/>
          <w:sz w:val="16"/>
          <w:szCs w:val="16"/>
          <w:vertAlign w:val="superscript"/>
        </w:rPr>
        <w:t xml:space="preserve">3 </w:t>
      </w:r>
      <w:r w:rsidRPr="00CC2866">
        <w:rPr>
          <w:rFonts w:eastAsia="Arial" w:cs="Arial"/>
          <w:sz w:val="16"/>
          <w:szCs w:val="16"/>
        </w:rPr>
        <w:t xml:space="preserve">Note, </w:t>
      </w:r>
      <w:r w:rsidRPr="00CC2866">
        <w:rPr>
          <w:rFonts w:eastAsia="Times New Roman" w:cs="Arial"/>
          <w:sz w:val="16"/>
          <w:szCs w:val="16"/>
          <w:lang w:eastAsia="en-AU"/>
        </w:rPr>
        <w:t>the data is released with a substantial delay (typically 1–2 years after collection), which limits its usefulness for assessing current labour market conditions.</w:t>
      </w:r>
    </w:p>
    <w:p w14:paraId="4F697BB1" w14:textId="77777777" w:rsidR="00F907C7" w:rsidRDefault="00F907C7" w:rsidP="00F907C7">
      <w:pPr>
        <w:rPr>
          <w:rFonts w:eastAsia="Arial" w:cs="Arial"/>
          <w:sz w:val="16"/>
          <w:szCs w:val="16"/>
        </w:rPr>
      </w:pPr>
      <w:r>
        <w:rPr>
          <w:rFonts w:cs="Arial"/>
          <w:color w:val="000000"/>
          <w:sz w:val="16"/>
          <w:szCs w:val="16"/>
          <w:vertAlign w:val="superscript"/>
        </w:rPr>
        <w:t>4</w:t>
      </w:r>
      <w:r w:rsidRPr="00CC2866">
        <w:rPr>
          <w:rFonts w:cs="Arial"/>
          <w:color w:val="000000"/>
          <w:sz w:val="16"/>
          <w:szCs w:val="16"/>
          <w:vertAlign w:val="superscript"/>
        </w:rPr>
        <w:t xml:space="preserve"> </w:t>
      </w:r>
      <w:r>
        <w:rPr>
          <w:rFonts w:eastAsia="Arial" w:cs="Arial"/>
          <w:sz w:val="16"/>
          <w:szCs w:val="16"/>
        </w:rPr>
        <w:t xml:space="preserve">The 5-year annual average growth rate of productivity, the annual median income growth rate, and the skill underutilisation rate have a combined weight of 5%. </w:t>
      </w:r>
    </w:p>
    <w:p w14:paraId="0009F843" w14:textId="2E32CD11" w:rsidR="00E531E7" w:rsidRPr="00A070B7" w:rsidRDefault="00E531E7" w:rsidP="00E531E7">
      <w:pPr>
        <w:pStyle w:val="Heading3"/>
      </w:pPr>
      <w:r>
        <w:t>Methodology</w:t>
      </w:r>
    </w:p>
    <w:p w14:paraId="58B70364" w14:textId="40171269" w:rsidR="00E531E7" w:rsidRPr="00D56322" w:rsidRDefault="00E531E7" w:rsidP="00D56322">
      <w:pPr>
        <w:pStyle w:val="Bodycopy"/>
      </w:pPr>
      <w:r w:rsidRPr="00D56322">
        <w:t xml:space="preserve">Please refer to the </w:t>
      </w:r>
      <w:hyperlink r:id="rId21" w:anchor="methodology" w:history="1">
        <w:r w:rsidRPr="00D56322">
          <w:rPr>
            <w:rStyle w:val="Hyperlink"/>
          </w:rPr>
          <w:t>RLMI Methodology Paper</w:t>
        </w:r>
      </w:hyperlink>
      <w:r w:rsidRPr="00D56322">
        <w:t xml:space="preserve"> for more information on the RLMI, including its purpose and factor selection. </w:t>
      </w:r>
    </w:p>
    <w:p w14:paraId="72662E0D" w14:textId="72C05CDA" w:rsidR="00550453" w:rsidRPr="00A070B7" w:rsidRDefault="00550453" w:rsidP="00550453">
      <w:pPr>
        <w:pStyle w:val="Heading3"/>
      </w:pPr>
      <w:r>
        <w:t>Referencing this report</w:t>
      </w:r>
    </w:p>
    <w:p w14:paraId="3199359A" w14:textId="1A0C3EEB" w:rsidR="00C14AB0" w:rsidRPr="00550453" w:rsidRDefault="00550453" w:rsidP="00D56322">
      <w:pPr>
        <w:pStyle w:val="Bodycopy"/>
        <w:rPr>
          <w:i/>
          <w:iCs/>
        </w:rPr>
      </w:pPr>
      <w:r>
        <w:t xml:space="preserve">Data in this release should be referenced as: </w:t>
      </w:r>
      <w:r w:rsidRPr="00D56322">
        <w:t>Jobs and Skills Australia, RLMI</w:t>
      </w:r>
      <w:r w:rsidR="00160B42" w:rsidRPr="00D56322">
        <w:t>,</w:t>
      </w:r>
      <w:r w:rsidRPr="00D56322">
        <w:t xml:space="preserve"> </w:t>
      </w:r>
      <w:r w:rsidR="00F907C7">
        <w:t>March 2026</w:t>
      </w:r>
    </w:p>
    <w:p w14:paraId="4372BC12" w14:textId="571A943F" w:rsidR="003C484A" w:rsidRPr="00A070B7" w:rsidRDefault="003C484A" w:rsidP="003C484A">
      <w:pPr>
        <w:pStyle w:val="Heading3"/>
      </w:pPr>
      <w:r>
        <w:t>Contact us</w:t>
      </w:r>
    </w:p>
    <w:p w14:paraId="5F62B650" w14:textId="10E04359" w:rsidR="0060697E" w:rsidRPr="004302C6" w:rsidRDefault="003C484A" w:rsidP="00D56322">
      <w:pPr>
        <w:pStyle w:val="Bodycopy"/>
        <w:rPr>
          <w:color w:val="013D74" w:themeColor="hyperlink"/>
          <w:u w:val="single"/>
        </w:rPr>
      </w:pPr>
      <w:r>
        <w:t xml:space="preserve">For additional information, email </w:t>
      </w:r>
      <w:hyperlink r:id="rId22" w:history="1">
        <w:r w:rsidRPr="003C5B58">
          <w:rPr>
            <w:rStyle w:val="Hyperlink"/>
          </w:rPr>
          <w:t>RegionalWorkforceAssessment@jobsandskills.gov.au</w:t>
        </w:r>
      </w:hyperlink>
      <w:bookmarkEnd w:id="1"/>
      <w:bookmarkEnd w:id="2"/>
    </w:p>
    <w:sectPr w:rsidR="0060697E" w:rsidRPr="004302C6" w:rsidSect="00BC1B66">
      <w:pgSz w:w="11906" w:h="16838"/>
      <w:pgMar w:top="1276" w:right="1440" w:bottom="1134" w:left="1440" w:header="0"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E58CE" w14:textId="77777777" w:rsidR="00D65FD0" w:rsidRDefault="00D65FD0" w:rsidP="008C0056">
      <w:r>
        <w:separator/>
      </w:r>
    </w:p>
  </w:endnote>
  <w:endnote w:type="continuationSeparator" w:id="0">
    <w:p w14:paraId="6EB0CA65" w14:textId="77777777" w:rsidR="00D65FD0" w:rsidRDefault="00D65FD0" w:rsidP="008C0056">
      <w:r>
        <w:continuationSeparator/>
      </w:r>
    </w:p>
  </w:endnote>
  <w:endnote w:type="continuationNotice" w:id="1">
    <w:p w14:paraId="43D1A90B" w14:textId="77777777" w:rsidR="00D65FD0" w:rsidRDefault="00D65FD0" w:rsidP="008C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053515"/>
      <w:docPartObj>
        <w:docPartGallery w:val="Page Numbers (Bottom of Page)"/>
        <w:docPartUnique/>
      </w:docPartObj>
    </w:sdtPr>
    <w:sdtEndPr>
      <w:rPr>
        <w:noProof/>
      </w:rPr>
    </w:sdtEndPr>
    <w:sdtContent>
      <w:p w14:paraId="1DE9E510" w14:textId="5E9D2A8C" w:rsidR="003708C1" w:rsidRPr="00991526" w:rsidRDefault="00051CBE" w:rsidP="00991526">
        <w:pPr>
          <w:pStyle w:val="Footer"/>
        </w:pPr>
        <w:r w:rsidRPr="00991526">
          <w:t xml:space="preserve">Jobs and Skills Australia – </w:t>
        </w:r>
        <w:sdt>
          <w:sdtPr>
            <w:alias w:val="Title"/>
            <w:tag w:val=""/>
            <w:id w:val="-1056470111"/>
            <w:placeholder>
              <w:docPart w:val="E4DB317D2DA340B1AF9BACDEE3AB05B6"/>
            </w:placeholder>
            <w:dataBinding w:prefixMappings="xmlns:ns0='http://purl.org/dc/elements/1.1/' xmlns:ns1='http://schemas.openxmlformats.org/package/2006/metadata/core-properties' " w:xpath="/ns1:coreProperties[1]/ns0:title[1]" w:storeItemID="{6C3C8BC8-F283-45AE-878A-BAB7291924A1}"/>
            <w:text/>
          </w:sdtPr>
          <w:sdtEndPr/>
          <w:sdtContent>
            <w:r w:rsidR="00001D32">
              <w:t>Regional Labour Market Indicator (RLMI) Results – March 2026</w:t>
            </w:r>
          </w:sdtContent>
        </w:sdt>
        <w:r w:rsidR="00991526">
          <w:tab/>
        </w:r>
        <w:r w:rsidR="00BE2AB7" w:rsidRPr="00991526">
          <w:fldChar w:fldCharType="begin"/>
        </w:r>
        <w:r w:rsidR="00BE2AB7" w:rsidRPr="00991526">
          <w:instrText xml:space="preserve"> PAGE   \* MERGEFORMAT </w:instrText>
        </w:r>
        <w:r w:rsidR="00BE2AB7" w:rsidRPr="00991526">
          <w:fldChar w:fldCharType="separate"/>
        </w:r>
        <w:r w:rsidR="00BE2AB7" w:rsidRPr="00991526">
          <w:rPr>
            <w:noProof/>
          </w:rPr>
          <w:t>2</w:t>
        </w:r>
        <w:r w:rsidR="00BE2AB7" w:rsidRPr="0099152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298338"/>
      <w:docPartObj>
        <w:docPartGallery w:val="Page Numbers (Bottom of Page)"/>
        <w:docPartUnique/>
      </w:docPartObj>
    </w:sdtPr>
    <w:sdtEndPr>
      <w:rPr>
        <w:noProof/>
      </w:rPr>
    </w:sdtEndPr>
    <w:sdtContent>
      <w:p w14:paraId="1506E6C8" w14:textId="280EAC20" w:rsidR="00B30EAB" w:rsidRDefault="00B30EAB" w:rsidP="00B30EAB">
        <w:pPr>
          <w:pStyle w:val="Footer"/>
          <w:tabs>
            <w:tab w:val="left" w:pos="8925"/>
          </w:tabs>
        </w:pPr>
        <w:r w:rsidRPr="00991526">
          <w:t xml:space="preserve">Jobs and Skills Australia – </w:t>
        </w:r>
        <w:sdt>
          <w:sdtPr>
            <w:alias w:val="Title"/>
            <w:tag w:val=""/>
            <w:id w:val="-818111507"/>
            <w:placeholder>
              <w:docPart w:val="2D2D024BDF304EF58EB26857CD7A9952"/>
            </w:placeholder>
            <w:dataBinding w:prefixMappings="xmlns:ns0='http://purl.org/dc/elements/1.1/' xmlns:ns1='http://schemas.openxmlformats.org/package/2006/metadata/core-properties' " w:xpath="/ns1:coreProperties[1]/ns0:title[1]" w:storeItemID="{6C3C8BC8-F283-45AE-878A-BAB7291924A1}"/>
            <w:text/>
          </w:sdtPr>
          <w:sdtEndPr/>
          <w:sdtContent>
            <w:r w:rsidR="00001D32">
              <w:t>Regional Labour Market Indicator (RLMI) Results – March 2026</w:t>
            </w:r>
          </w:sdtContent>
        </w:sdt>
        <w:r>
          <w:tab/>
        </w:r>
        <w:r>
          <w:tab/>
        </w:r>
        <w:r w:rsidRPr="00991526">
          <w:fldChar w:fldCharType="begin"/>
        </w:r>
        <w:r w:rsidRPr="00991526">
          <w:instrText xml:space="preserve"> PAGE   \* MERGEFORMAT </w:instrText>
        </w:r>
        <w:r w:rsidRPr="00991526">
          <w:fldChar w:fldCharType="separate"/>
        </w:r>
        <w:r>
          <w:t>1</w:t>
        </w:r>
        <w:r w:rsidRPr="0099152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6736E" w14:textId="77777777" w:rsidR="00D65FD0" w:rsidRDefault="00D65FD0" w:rsidP="008C0056">
      <w:r>
        <w:separator/>
      </w:r>
    </w:p>
  </w:footnote>
  <w:footnote w:type="continuationSeparator" w:id="0">
    <w:p w14:paraId="4E10FEBC" w14:textId="77777777" w:rsidR="00D65FD0" w:rsidRDefault="00D65FD0" w:rsidP="008C0056">
      <w:r>
        <w:continuationSeparator/>
      </w:r>
    </w:p>
  </w:footnote>
  <w:footnote w:type="continuationNotice" w:id="1">
    <w:p w14:paraId="6BDCA84D" w14:textId="77777777" w:rsidR="00D65FD0" w:rsidRDefault="00D65FD0" w:rsidP="008C00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6"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8764AD"/>
    <w:multiLevelType w:val="hybridMultilevel"/>
    <w:tmpl w:val="F9222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0B452B"/>
    <w:multiLevelType w:val="hybridMultilevel"/>
    <w:tmpl w:val="6A2A2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C094AC5"/>
    <w:multiLevelType w:val="hybridMultilevel"/>
    <w:tmpl w:val="7BA290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D585F53"/>
    <w:multiLevelType w:val="multilevel"/>
    <w:tmpl w:val="A3E88540"/>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12" w15:restartNumberingAfterBreak="0">
    <w:nsid w:val="1D5B628B"/>
    <w:multiLevelType w:val="hybridMultilevel"/>
    <w:tmpl w:val="1E621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F4586B"/>
    <w:multiLevelType w:val="hybridMultilevel"/>
    <w:tmpl w:val="9ADC4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2028CD"/>
    <w:multiLevelType w:val="hybridMultilevel"/>
    <w:tmpl w:val="D276B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E62DED"/>
    <w:multiLevelType w:val="hybridMultilevel"/>
    <w:tmpl w:val="4CDE5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9DE2BF5"/>
    <w:multiLevelType w:val="hybridMultilevel"/>
    <w:tmpl w:val="FF6ED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BE4CF8"/>
    <w:multiLevelType w:val="multilevel"/>
    <w:tmpl w:val="3C34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3C5ED4"/>
    <w:multiLevelType w:val="hybridMultilevel"/>
    <w:tmpl w:val="05306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E2033E"/>
    <w:multiLevelType w:val="hybridMultilevel"/>
    <w:tmpl w:val="1EAE7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E737CE"/>
    <w:multiLevelType w:val="hybridMultilevel"/>
    <w:tmpl w:val="28164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812426"/>
    <w:multiLevelType w:val="hybridMultilevel"/>
    <w:tmpl w:val="EF345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5A2F9A"/>
    <w:multiLevelType w:val="hybridMultilevel"/>
    <w:tmpl w:val="A06E4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873D01"/>
    <w:multiLevelType w:val="hybridMultilevel"/>
    <w:tmpl w:val="219E0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E84A8F"/>
    <w:multiLevelType w:val="hybridMultilevel"/>
    <w:tmpl w:val="2D1AB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6A45E07"/>
    <w:multiLevelType w:val="hybridMultilevel"/>
    <w:tmpl w:val="115EA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C04E14"/>
    <w:multiLevelType w:val="hybridMultilevel"/>
    <w:tmpl w:val="11A89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D418D5"/>
    <w:multiLevelType w:val="hybridMultilevel"/>
    <w:tmpl w:val="5AA86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8E45A6"/>
    <w:multiLevelType w:val="hybridMultilevel"/>
    <w:tmpl w:val="62B42F6A"/>
    <w:lvl w:ilvl="0" w:tplc="5EE286E0">
      <w:start w:val="1"/>
      <w:numFmt w:val="decimal"/>
      <w:lvlText w:val="%1."/>
      <w:lvlJc w:val="left"/>
      <w:pPr>
        <w:ind w:left="1320" w:hanging="360"/>
      </w:pPr>
    </w:lvl>
    <w:lvl w:ilvl="1" w:tplc="D00E418C">
      <w:start w:val="1"/>
      <w:numFmt w:val="decimal"/>
      <w:lvlText w:val="%2."/>
      <w:lvlJc w:val="left"/>
      <w:pPr>
        <w:ind w:left="1320" w:hanging="360"/>
      </w:pPr>
    </w:lvl>
    <w:lvl w:ilvl="2" w:tplc="17A4752C">
      <w:start w:val="1"/>
      <w:numFmt w:val="decimal"/>
      <w:lvlText w:val="%3."/>
      <w:lvlJc w:val="left"/>
      <w:pPr>
        <w:ind w:left="1320" w:hanging="360"/>
      </w:pPr>
    </w:lvl>
    <w:lvl w:ilvl="3" w:tplc="BD92259C">
      <w:start w:val="1"/>
      <w:numFmt w:val="decimal"/>
      <w:lvlText w:val="%4."/>
      <w:lvlJc w:val="left"/>
      <w:pPr>
        <w:ind w:left="1320" w:hanging="360"/>
      </w:pPr>
    </w:lvl>
    <w:lvl w:ilvl="4" w:tplc="32507476">
      <w:start w:val="1"/>
      <w:numFmt w:val="decimal"/>
      <w:lvlText w:val="%5."/>
      <w:lvlJc w:val="left"/>
      <w:pPr>
        <w:ind w:left="1320" w:hanging="360"/>
      </w:pPr>
    </w:lvl>
    <w:lvl w:ilvl="5" w:tplc="5914B214">
      <w:start w:val="1"/>
      <w:numFmt w:val="decimal"/>
      <w:lvlText w:val="%6."/>
      <w:lvlJc w:val="left"/>
      <w:pPr>
        <w:ind w:left="1320" w:hanging="360"/>
      </w:pPr>
    </w:lvl>
    <w:lvl w:ilvl="6" w:tplc="34CA9F50">
      <w:start w:val="1"/>
      <w:numFmt w:val="decimal"/>
      <w:lvlText w:val="%7."/>
      <w:lvlJc w:val="left"/>
      <w:pPr>
        <w:ind w:left="1320" w:hanging="360"/>
      </w:pPr>
    </w:lvl>
    <w:lvl w:ilvl="7" w:tplc="2796EE54">
      <w:start w:val="1"/>
      <w:numFmt w:val="decimal"/>
      <w:lvlText w:val="%8."/>
      <w:lvlJc w:val="left"/>
      <w:pPr>
        <w:ind w:left="1320" w:hanging="360"/>
      </w:pPr>
    </w:lvl>
    <w:lvl w:ilvl="8" w:tplc="CC50BEAA">
      <w:start w:val="1"/>
      <w:numFmt w:val="decimal"/>
      <w:lvlText w:val="%9."/>
      <w:lvlJc w:val="left"/>
      <w:pPr>
        <w:ind w:left="1320" w:hanging="360"/>
      </w:pPr>
    </w:lvl>
  </w:abstractNum>
  <w:abstractNum w:abstractNumId="34" w15:restartNumberingAfterBreak="0">
    <w:nsid w:val="77FF34B9"/>
    <w:multiLevelType w:val="hybridMultilevel"/>
    <w:tmpl w:val="988A8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174D01"/>
    <w:multiLevelType w:val="hybridMultilevel"/>
    <w:tmpl w:val="EF5C5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6C59AE"/>
    <w:multiLevelType w:val="hybridMultilevel"/>
    <w:tmpl w:val="86FE4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CAF16D9"/>
    <w:multiLevelType w:val="hybridMultilevel"/>
    <w:tmpl w:val="599C3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7269666">
    <w:abstractNumId w:val="37"/>
  </w:num>
  <w:num w:numId="2" w16cid:durableId="1668050683">
    <w:abstractNumId w:val="18"/>
  </w:num>
  <w:num w:numId="3" w16cid:durableId="1683042470">
    <w:abstractNumId w:val="6"/>
  </w:num>
  <w:num w:numId="4" w16cid:durableId="133523604">
    <w:abstractNumId w:val="29"/>
  </w:num>
  <w:num w:numId="5" w16cid:durableId="1994024302">
    <w:abstractNumId w:val="31"/>
  </w:num>
  <w:num w:numId="6" w16cid:durableId="1358852113">
    <w:abstractNumId w:val="17"/>
  </w:num>
  <w:num w:numId="7" w16cid:durableId="2047246184">
    <w:abstractNumId w:val="11"/>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14"/>
  </w:num>
  <w:num w:numId="15" w16cid:durableId="406730085">
    <w:abstractNumId w:val="9"/>
  </w:num>
  <w:num w:numId="16" w16cid:durableId="1294024271">
    <w:abstractNumId w:val="13"/>
  </w:num>
  <w:num w:numId="17" w16cid:durableId="1171214774">
    <w:abstractNumId w:val="36"/>
  </w:num>
  <w:num w:numId="18" w16cid:durableId="1768621288">
    <w:abstractNumId w:val="27"/>
  </w:num>
  <w:num w:numId="19" w16cid:durableId="328022315">
    <w:abstractNumId w:val="28"/>
  </w:num>
  <w:num w:numId="20" w16cid:durableId="1320310342">
    <w:abstractNumId w:val="34"/>
  </w:num>
  <w:num w:numId="21" w16cid:durableId="197200729">
    <w:abstractNumId w:val="38"/>
  </w:num>
  <w:num w:numId="22" w16cid:durableId="1971665784">
    <w:abstractNumId w:val="15"/>
  </w:num>
  <w:num w:numId="23" w16cid:durableId="1031422524">
    <w:abstractNumId w:val="23"/>
  </w:num>
  <w:num w:numId="24" w16cid:durableId="536358639">
    <w:abstractNumId w:val="21"/>
  </w:num>
  <w:num w:numId="25" w16cid:durableId="121922272">
    <w:abstractNumId w:val="35"/>
  </w:num>
  <w:num w:numId="26" w16cid:durableId="101149934">
    <w:abstractNumId w:val="19"/>
  </w:num>
  <w:num w:numId="27" w16cid:durableId="1570656848">
    <w:abstractNumId w:val="8"/>
  </w:num>
  <w:num w:numId="28" w16cid:durableId="481897671">
    <w:abstractNumId w:val="7"/>
  </w:num>
  <w:num w:numId="29" w16cid:durableId="582878536">
    <w:abstractNumId w:val="24"/>
  </w:num>
  <w:num w:numId="30" w16cid:durableId="303118831">
    <w:abstractNumId w:val="33"/>
  </w:num>
  <w:num w:numId="31" w16cid:durableId="465902375">
    <w:abstractNumId w:val="25"/>
  </w:num>
  <w:num w:numId="32" w16cid:durableId="1962375368">
    <w:abstractNumId w:val="30"/>
  </w:num>
  <w:num w:numId="33" w16cid:durableId="920649946">
    <w:abstractNumId w:val="26"/>
  </w:num>
  <w:num w:numId="34" w16cid:durableId="1693191146">
    <w:abstractNumId w:val="16"/>
  </w:num>
  <w:num w:numId="35" w16cid:durableId="1057826418">
    <w:abstractNumId w:val="10"/>
  </w:num>
  <w:num w:numId="36" w16cid:durableId="1667516543">
    <w:abstractNumId w:val="32"/>
  </w:num>
  <w:num w:numId="37" w16cid:durableId="517694379">
    <w:abstractNumId w:val="20"/>
  </w:num>
  <w:num w:numId="38" w16cid:durableId="686756913">
    <w:abstractNumId w:val="22"/>
  </w:num>
  <w:num w:numId="39" w16cid:durableId="10494541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11C7"/>
    <w:rsid w:val="00001D32"/>
    <w:rsid w:val="00003363"/>
    <w:rsid w:val="00003E8E"/>
    <w:rsid w:val="000146A9"/>
    <w:rsid w:val="000148D3"/>
    <w:rsid w:val="00025B44"/>
    <w:rsid w:val="00025BD0"/>
    <w:rsid w:val="000261A3"/>
    <w:rsid w:val="00027145"/>
    <w:rsid w:val="000316B1"/>
    <w:rsid w:val="00032163"/>
    <w:rsid w:val="00032906"/>
    <w:rsid w:val="0003316F"/>
    <w:rsid w:val="00033C4C"/>
    <w:rsid w:val="000344A7"/>
    <w:rsid w:val="00034FDC"/>
    <w:rsid w:val="0003506D"/>
    <w:rsid w:val="00036270"/>
    <w:rsid w:val="00036C69"/>
    <w:rsid w:val="00037EB9"/>
    <w:rsid w:val="000404CE"/>
    <w:rsid w:val="0004100D"/>
    <w:rsid w:val="00041073"/>
    <w:rsid w:val="000412B5"/>
    <w:rsid w:val="000422D4"/>
    <w:rsid w:val="00042375"/>
    <w:rsid w:val="00042611"/>
    <w:rsid w:val="00044AC3"/>
    <w:rsid w:val="00044B8A"/>
    <w:rsid w:val="00045D5F"/>
    <w:rsid w:val="00046750"/>
    <w:rsid w:val="00046F03"/>
    <w:rsid w:val="00051CBE"/>
    <w:rsid w:val="00052436"/>
    <w:rsid w:val="000527BA"/>
    <w:rsid w:val="0005327C"/>
    <w:rsid w:val="00054DEC"/>
    <w:rsid w:val="0005518A"/>
    <w:rsid w:val="0005530D"/>
    <w:rsid w:val="000572BD"/>
    <w:rsid w:val="00057426"/>
    <w:rsid w:val="00066604"/>
    <w:rsid w:val="00066E9C"/>
    <w:rsid w:val="000707FE"/>
    <w:rsid w:val="000726EA"/>
    <w:rsid w:val="00076490"/>
    <w:rsid w:val="0008139B"/>
    <w:rsid w:val="00085C30"/>
    <w:rsid w:val="000860AD"/>
    <w:rsid w:val="0008649A"/>
    <w:rsid w:val="00086E59"/>
    <w:rsid w:val="00090D67"/>
    <w:rsid w:val="00093DA4"/>
    <w:rsid w:val="00093F7D"/>
    <w:rsid w:val="000945B2"/>
    <w:rsid w:val="00095258"/>
    <w:rsid w:val="00095B90"/>
    <w:rsid w:val="00095E11"/>
    <w:rsid w:val="000A145A"/>
    <w:rsid w:val="000A2382"/>
    <w:rsid w:val="000A42C1"/>
    <w:rsid w:val="000A57AC"/>
    <w:rsid w:val="000A7F1E"/>
    <w:rsid w:val="000B006F"/>
    <w:rsid w:val="000B007A"/>
    <w:rsid w:val="000B0148"/>
    <w:rsid w:val="000B3BAF"/>
    <w:rsid w:val="000B6324"/>
    <w:rsid w:val="000C0BA2"/>
    <w:rsid w:val="000C2A3D"/>
    <w:rsid w:val="000C2A53"/>
    <w:rsid w:val="000C4852"/>
    <w:rsid w:val="000C6F70"/>
    <w:rsid w:val="000D009F"/>
    <w:rsid w:val="000D07A8"/>
    <w:rsid w:val="000D4B2F"/>
    <w:rsid w:val="000D5BA3"/>
    <w:rsid w:val="000D5FCE"/>
    <w:rsid w:val="000D6745"/>
    <w:rsid w:val="000D6959"/>
    <w:rsid w:val="000D732B"/>
    <w:rsid w:val="000E05A6"/>
    <w:rsid w:val="000E14B0"/>
    <w:rsid w:val="000E38BA"/>
    <w:rsid w:val="000E7042"/>
    <w:rsid w:val="000E7A03"/>
    <w:rsid w:val="000E7DED"/>
    <w:rsid w:val="000F245F"/>
    <w:rsid w:val="000F26FB"/>
    <w:rsid w:val="000F2844"/>
    <w:rsid w:val="000F2EA6"/>
    <w:rsid w:val="000F4DD3"/>
    <w:rsid w:val="000F5437"/>
    <w:rsid w:val="00101FBF"/>
    <w:rsid w:val="00103358"/>
    <w:rsid w:val="00105C9C"/>
    <w:rsid w:val="00110458"/>
    <w:rsid w:val="00111514"/>
    <w:rsid w:val="00111745"/>
    <w:rsid w:val="001128B3"/>
    <w:rsid w:val="001134ED"/>
    <w:rsid w:val="00114174"/>
    <w:rsid w:val="00116DFE"/>
    <w:rsid w:val="00116E40"/>
    <w:rsid w:val="00117025"/>
    <w:rsid w:val="00123DFA"/>
    <w:rsid w:val="00124D9E"/>
    <w:rsid w:val="00125C36"/>
    <w:rsid w:val="00125FF1"/>
    <w:rsid w:val="001306D6"/>
    <w:rsid w:val="00131E18"/>
    <w:rsid w:val="00131E99"/>
    <w:rsid w:val="001431DB"/>
    <w:rsid w:val="00143208"/>
    <w:rsid w:val="00144A2F"/>
    <w:rsid w:val="00146B61"/>
    <w:rsid w:val="00150AEB"/>
    <w:rsid w:val="001513BD"/>
    <w:rsid w:val="001516BF"/>
    <w:rsid w:val="0015214F"/>
    <w:rsid w:val="0015298C"/>
    <w:rsid w:val="001534EA"/>
    <w:rsid w:val="00157449"/>
    <w:rsid w:val="00157C76"/>
    <w:rsid w:val="00160B42"/>
    <w:rsid w:val="001624D8"/>
    <w:rsid w:val="00163475"/>
    <w:rsid w:val="0016406E"/>
    <w:rsid w:val="00164614"/>
    <w:rsid w:val="00165065"/>
    <w:rsid w:val="00170157"/>
    <w:rsid w:val="00172C39"/>
    <w:rsid w:val="0017574A"/>
    <w:rsid w:val="00175998"/>
    <w:rsid w:val="001763D1"/>
    <w:rsid w:val="00183C55"/>
    <w:rsid w:val="00183D17"/>
    <w:rsid w:val="00186DC1"/>
    <w:rsid w:val="00191222"/>
    <w:rsid w:val="001918A6"/>
    <w:rsid w:val="00192485"/>
    <w:rsid w:val="00192BED"/>
    <w:rsid w:val="00194459"/>
    <w:rsid w:val="00194F51"/>
    <w:rsid w:val="001954A5"/>
    <w:rsid w:val="001968EB"/>
    <w:rsid w:val="00197DB0"/>
    <w:rsid w:val="001A22A8"/>
    <w:rsid w:val="001B1567"/>
    <w:rsid w:val="001B274F"/>
    <w:rsid w:val="001B57E5"/>
    <w:rsid w:val="001B5A11"/>
    <w:rsid w:val="001B7035"/>
    <w:rsid w:val="001B7F1C"/>
    <w:rsid w:val="001C058A"/>
    <w:rsid w:val="001C0CB2"/>
    <w:rsid w:val="001C0D18"/>
    <w:rsid w:val="001C381D"/>
    <w:rsid w:val="001C3AAD"/>
    <w:rsid w:val="001C59E2"/>
    <w:rsid w:val="001C68E0"/>
    <w:rsid w:val="001C6BA8"/>
    <w:rsid w:val="001D1BA0"/>
    <w:rsid w:val="001D3663"/>
    <w:rsid w:val="001D42D2"/>
    <w:rsid w:val="001D55A3"/>
    <w:rsid w:val="001D7829"/>
    <w:rsid w:val="001E10E3"/>
    <w:rsid w:val="001E2D03"/>
    <w:rsid w:val="001E320C"/>
    <w:rsid w:val="001E4423"/>
    <w:rsid w:val="001E58C4"/>
    <w:rsid w:val="001E6F09"/>
    <w:rsid w:val="001E7EBC"/>
    <w:rsid w:val="001F108B"/>
    <w:rsid w:val="001F36D6"/>
    <w:rsid w:val="001F5927"/>
    <w:rsid w:val="001F59D3"/>
    <w:rsid w:val="00201022"/>
    <w:rsid w:val="0020169F"/>
    <w:rsid w:val="00201984"/>
    <w:rsid w:val="002032B5"/>
    <w:rsid w:val="00203F57"/>
    <w:rsid w:val="00204A57"/>
    <w:rsid w:val="00204C08"/>
    <w:rsid w:val="00206249"/>
    <w:rsid w:val="002078E2"/>
    <w:rsid w:val="00207A2E"/>
    <w:rsid w:val="00210680"/>
    <w:rsid w:val="002109DB"/>
    <w:rsid w:val="00211CE8"/>
    <w:rsid w:val="0021439F"/>
    <w:rsid w:val="00214687"/>
    <w:rsid w:val="00215C7C"/>
    <w:rsid w:val="00216B01"/>
    <w:rsid w:val="00220F11"/>
    <w:rsid w:val="002245D5"/>
    <w:rsid w:val="00233A75"/>
    <w:rsid w:val="00234B55"/>
    <w:rsid w:val="002377FC"/>
    <w:rsid w:val="002406D5"/>
    <w:rsid w:val="0024392D"/>
    <w:rsid w:val="00244550"/>
    <w:rsid w:val="00246A44"/>
    <w:rsid w:val="00247C24"/>
    <w:rsid w:val="00251456"/>
    <w:rsid w:val="00254AD6"/>
    <w:rsid w:val="0025573A"/>
    <w:rsid w:val="00255903"/>
    <w:rsid w:val="002562D9"/>
    <w:rsid w:val="002618DF"/>
    <w:rsid w:val="00261D00"/>
    <w:rsid w:val="00261D71"/>
    <w:rsid w:val="002633D9"/>
    <w:rsid w:val="00263461"/>
    <w:rsid w:val="00263BEE"/>
    <w:rsid w:val="00264EA1"/>
    <w:rsid w:val="00266C5E"/>
    <w:rsid w:val="00267083"/>
    <w:rsid w:val="00270225"/>
    <w:rsid w:val="00276640"/>
    <w:rsid w:val="00276E27"/>
    <w:rsid w:val="00280AC6"/>
    <w:rsid w:val="00281A5D"/>
    <w:rsid w:val="002824C3"/>
    <w:rsid w:val="002827D8"/>
    <w:rsid w:val="00283216"/>
    <w:rsid w:val="00285FEE"/>
    <w:rsid w:val="0029200E"/>
    <w:rsid w:val="002927DB"/>
    <w:rsid w:val="00293C17"/>
    <w:rsid w:val="002950ED"/>
    <w:rsid w:val="00296166"/>
    <w:rsid w:val="00297C4F"/>
    <w:rsid w:val="002A0607"/>
    <w:rsid w:val="002A1606"/>
    <w:rsid w:val="002A1BFF"/>
    <w:rsid w:val="002A23A7"/>
    <w:rsid w:val="002A41E3"/>
    <w:rsid w:val="002A4B17"/>
    <w:rsid w:val="002A60E3"/>
    <w:rsid w:val="002A6562"/>
    <w:rsid w:val="002B0C34"/>
    <w:rsid w:val="002B1150"/>
    <w:rsid w:val="002B3986"/>
    <w:rsid w:val="002B7C96"/>
    <w:rsid w:val="002C2B39"/>
    <w:rsid w:val="002C30E8"/>
    <w:rsid w:val="002C44EE"/>
    <w:rsid w:val="002C646E"/>
    <w:rsid w:val="002D14DB"/>
    <w:rsid w:val="002D1AAA"/>
    <w:rsid w:val="002D2340"/>
    <w:rsid w:val="002D39AC"/>
    <w:rsid w:val="002D68E2"/>
    <w:rsid w:val="002E0618"/>
    <w:rsid w:val="002E0E18"/>
    <w:rsid w:val="002E3B50"/>
    <w:rsid w:val="002E487D"/>
    <w:rsid w:val="002E5B03"/>
    <w:rsid w:val="002E6E2F"/>
    <w:rsid w:val="002F0B5B"/>
    <w:rsid w:val="002F1B75"/>
    <w:rsid w:val="002F2F6F"/>
    <w:rsid w:val="002F36BC"/>
    <w:rsid w:val="002F39F7"/>
    <w:rsid w:val="002F3EB5"/>
    <w:rsid w:val="002F5690"/>
    <w:rsid w:val="002F644E"/>
    <w:rsid w:val="002F7532"/>
    <w:rsid w:val="002F7773"/>
    <w:rsid w:val="00302B2A"/>
    <w:rsid w:val="00305910"/>
    <w:rsid w:val="003060CC"/>
    <w:rsid w:val="00306575"/>
    <w:rsid w:val="00306C0E"/>
    <w:rsid w:val="00307708"/>
    <w:rsid w:val="003078AB"/>
    <w:rsid w:val="00310CA1"/>
    <w:rsid w:val="003112F9"/>
    <w:rsid w:val="003122CC"/>
    <w:rsid w:val="00313B29"/>
    <w:rsid w:val="003147AA"/>
    <w:rsid w:val="00314E27"/>
    <w:rsid w:val="00322327"/>
    <w:rsid w:val="00323B9A"/>
    <w:rsid w:val="00324789"/>
    <w:rsid w:val="003251FC"/>
    <w:rsid w:val="00327AB4"/>
    <w:rsid w:val="00330F12"/>
    <w:rsid w:val="0033423B"/>
    <w:rsid w:val="0033648B"/>
    <w:rsid w:val="003370CB"/>
    <w:rsid w:val="0033752C"/>
    <w:rsid w:val="00341011"/>
    <w:rsid w:val="00341F78"/>
    <w:rsid w:val="003452D1"/>
    <w:rsid w:val="00347A22"/>
    <w:rsid w:val="00347C20"/>
    <w:rsid w:val="00350849"/>
    <w:rsid w:val="00351157"/>
    <w:rsid w:val="0035131B"/>
    <w:rsid w:val="00352D2B"/>
    <w:rsid w:val="003539A0"/>
    <w:rsid w:val="00354966"/>
    <w:rsid w:val="00354AC0"/>
    <w:rsid w:val="00356368"/>
    <w:rsid w:val="00360F43"/>
    <w:rsid w:val="003661FC"/>
    <w:rsid w:val="00366923"/>
    <w:rsid w:val="00367AFE"/>
    <w:rsid w:val="003708C1"/>
    <w:rsid w:val="0037139A"/>
    <w:rsid w:val="00372A6A"/>
    <w:rsid w:val="00374632"/>
    <w:rsid w:val="00374E1D"/>
    <w:rsid w:val="003768F7"/>
    <w:rsid w:val="00385788"/>
    <w:rsid w:val="00385ABF"/>
    <w:rsid w:val="0039115D"/>
    <w:rsid w:val="003926FD"/>
    <w:rsid w:val="003936D2"/>
    <w:rsid w:val="00394226"/>
    <w:rsid w:val="00394BD6"/>
    <w:rsid w:val="003957CD"/>
    <w:rsid w:val="00396532"/>
    <w:rsid w:val="003A0D69"/>
    <w:rsid w:val="003A0E79"/>
    <w:rsid w:val="003A0F5E"/>
    <w:rsid w:val="003A2337"/>
    <w:rsid w:val="003A2419"/>
    <w:rsid w:val="003A2F22"/>
    <w:rsid w:val="003A4B93"/>
    <w:rsid w:val="003A6210"/>
    <w:rsid w:val="003B38C5"/>
    <w:rsid w:val="003B474F"/>
    <w:rsid w:val="003C1B28"/>
    <w:rsid w:val="003C1E9B"/>
    <w:rsid w:val="003C2BD7"/>
    <w:rsid w:val="003C484A"/>
    <w:rsid w:val="003C761F"/>
    <w:rsid w:val="003D0D4D"/>
    <w:rsid w:val="003D1F0A"/>
    <w:rsid w:val="003D42BC"/>
    <w:rsid w:val="003D48E5"/>
    <w:rsid w:val="003D7057"/>
    <w:rsid w:val="003E012E"/>
    <w:rsid w:val="003E0796"/>
    <w:rsid w:val="003E0B70"/>
    <w:rsid w:val="003E3395"/>
    <w:rsid w:val="003E717A"/>
    <w:rsid w:val="003F013C"/>
    <w:rsid w:val="003F1578"/>
    <w:rsid w:val="003F268A"/>
    <w:rsid w:val="003F36DF"/>
    <w:rsid w:val="00400336"/>
    <w:rsid w:val="00402497"/>
    <w:rsid w:val="00404D12"/>
    <w:rsid w:val="00405679"/>
    <w:rsid w:val="004118EA"/>
    <w:rsid w:val="00411C28"/>
    <w:rsid w:val="0041316B"/>
    <w:rsid w:val="00414A4A"/>
    <w:rsid w:val="0041571C"/>
    <w:rsid w:val="00417562"/>
    <w:rsid w:val="00420635"/>
    <w:rsid w:val="00421CB2"/>
    <w:rsid w:val="00422AD4"/>
    <w:rsid w:val="004232A5"/>
    <w:rsid w:val="004302C6"/>
    <w:rsid w:val="00431BE4"/>
    <w:rsid w:val="00431BFC"/>
    <w:rsid w:val="0043370D"/>
    <w:rsid w:val="00434796"/>
    <w:rsid w:val="00435045"/>
    <w:rsid w:val="00435A17"/>
    <w:rsid w:val="00436200"/>
    <w:rsid w:val="00437270"/>
    <w:rsid w:val="00437898"/>
    <w:rsid w:val="00437F6C"/>
    <w:rsid w:val="00440C82"/>
    <w:rsid w:val="004418A8"/>
    <w:rsid w:val="004419AD"/>
    <w:rsid w:val="0044222F"/>
    <w:rsid w:val="0044373C"/>
    <w:rsid w:val="004440ED"/>
    <w:rsid w:val="00445572"/>
    <w:rsid w:val="00445B15"/>
    <w:rsid w:val="00446164"/>
    <w:rsid w:val="004523AA"/>
    <w:rsid w:val="00453F6D"/>
    <w:rsid w:val="004543E0"/>
    <w:rsid w:val="00457F7C"/>
    <w:rsid w:val="004622A1"/>
    <w:rsid w:val="00465736"/>
    <w:rsid w:val="0047164A"/>
    <w:rsid w:val="00473083"/>
    <w:rsid w:val="00475138"/>
    <w:rsid w:val="00475549"/>
    <w:rsid w:val="004773D3"/>
    <w:rsid w:val="00482379"/>
    <w:rsid w:val="00484312"/>
    <w:rsid w:val="00486863"/>
    <w:rsid w:val="00487296"/>
    <w:rsid w:val="00487B1D"/>
    <w:rsid w:val="00487B65"/>
    <w:rsid w:val="00487D0C"/>
    <w:rsid w:val="004923E9"/>
    <w:rsid w:val="0049306F"/>
    <w:rsid w:val="00493EE9"/>
    <w:rsid w:val="004959E6"/>
    <w:rsid w:val="00496C4D"/>
    <w:rsid w:val="00497E93"/>
    <w:rsid w:val="004A0580"/>
    <w:rsid w:val="004A4353"/>
    <w:rsid w:val="004A452A"/>
    <w:rsid w:val="004A480D"/>
    <w:rsid w:val="004A656F"/>
    <w:rsid w:val="004B25B3"/>
    <w:rsid w:val="004B2DC9"/>
    <w:rsid w:val="004C3806"/>
    <w:rsid w:val="004C542A"/>
    <w:rsid w:val="004C705B"/>
    <w:rsid w:val="004C7B8D"/>
    <w:rsid w:val="004C7C64"/>
    <w:rsid w:val="004D0F14"/>
    <w:rsid w:val="004D2139"/>
    <w:rsid w:val="004D22A5"/>
    <w:rsid w:val="004D2AA6"/>
    <w:rsid w:val="004D2C9E"/>
    <w:rsid w:val="004D3224"/>
    <w:rsid w:val="004D3A08"/>
    <w:rsid w:val="004E0B8B"/>
    <w:rsid w:val="004E52C5"/>
    <w:rsid w:val="004F2369"/>
    <w:rsid w:val="004F3922"/>
    <w:rsid w:val="004F5082"/>
    <w:rsid w:val="004F5749"/>
    <w:rsid w:val="004F6CD8"/>
    <w:rsid w:val="00501019"/>
    <w:rsid w:val="00502439"/>
    <w:rsid w:val="00503128"/>
    <w:rsid w:val="00503DA8"/>
    <w:rsid w:val="00505B43"/>
    <w:rsid w:val="00506152"/>
    <w:rsid w:val="00506B0F"/>
    <w:rsid w:val="00506CD7"/>
    <w:rsid w:val="005073B1"/>
    <w:rsid w:val="005109B7"/>
    <w:rsid w:val="005112BE"/>
    <w:rsid w:val="00511F38"/>
    <w:rsid w:val="00511F8A"/>
    <w:rsid w:val="00513C8F"/>
    <w:rsid w:val="0051507F"/>
    <w:rsid w:val="005159BD"/>
    <w:rsid w:val="0051627E"/>
    <w:rsid w:val="00523A10"/>
    <w:rsid w:val="00523DAA"/>
    <w:rsid w:val="005240E7"/>
    <w:rsid w:val="00532929"/>
    <w:rsid w:val="00534437"/>
    <w:rsid w:val="0053485E"/>
    <w:rsid w:val="005361F9"/>
    <w:rsid w:val="00540ABC"/>
    <w:rsid w:val="005411A8"/>
    <w:rsid w:val="005432BD"/>
    <w:rsid w:val="00543D06"/>
    <w:rsid w:val="005446B5"/>
    <w:rsid w:val="00550453"/>
    <w:rsid w:val="005513E7"/>
    <w:rsid w:val="005533B5"/>
    <w:rsid w:val="00553D11"/>
    <w:rsid w:val="00553E52"/>
    <w:rsid w:val="005542C9"/>
    <w:rsid w:val="005548B1"/>
    <w:rsid w:val="00555157"/>
    <w:rsid w:val="00561586"/>
    <w:rsid w:val="00564967"/>
    <w:rsid w:val="00567E50"/>
    <w:rsid w:val="00570315"/>
    <w:rsid w:val="00570FC1"/>
    <w:rsid w:val="0057143D"/>
    <w:rsid w:val="00572133"/>
    <w:rsid w:val="00580118"/>
    <w:rsid w:val="00580DE9"/>
    <w:rsid w:val="00581780"/>
    <w:rsid w:val="005818E7"/>
    <w:rsid w:val="00582B5D"/>
    <w:rsid w:val="00584E9E"/>
    <w:rsid w:val="005863D9"/>
    <w:rsid w:val="0058794E"/>
    <w:rsid w:val="00591208"/>
    <w:rsid w:val="00591B41"/>
    <w:rsid w:val="0059225E"/>
    <w:rsid w:val="00592584"/>
    <w:rsid w:val="00595D9B"/>
    <w:rsid w:val="00595F7C"/>
    <w:rsid w:val="005964AC"/>
    <w:rsid w:val="005975D4"/>
    <w:rsid w:val="00597EF7"/>
    <w:rsid w:val="005A08BB"/>
    <w:rsid w:val="005A0CD0"/>
    <w:rsid w:val="005A0ECF"/>
    <w:rsid w:val="005A11B9"/>
    <w:rsid w:val="005A2035"/>
    <w:rsid w:val="005A259A"/>
    <w:rsid w:val="005A2862"/>
    <w:rsid w:val="005A3014"/>
    <w:rsid w:val="005A5083"/>
    <w:rsid w:val="005A580A"/>
    <w:rsid w:val="005A5A3F"/>
    <w:rsid w:val="005A63CB"/>
    <w:rsid w:val="005A7E4B"/>
    <w:rsid w:val="005B1096"/>
    <w:rsid w:val="005B20A6"/>
    <w:rsid w:val="005B2318"/>
    <w:rsid w:val="005B353F"/>
    <w:rsid w:val="005B4F38"/>
    <w:rsid w:val="005B548E"/>
    <w:rsid w:val="005B5A7A"/>
    <w:rsid w:val="005B60AC"/>
    <w:rsid w:val="005C0BD4"/>
    <w:rsid w:val="005C1000"/>
    <w:rsid w:val="005C23B0"/>
    <w:rsid w:val="005C5BF0"/>
    <w:rsid w:val="005C6471"/>
    <w:rsid w:val="005D137B"/>
    <w:rsid w:val="005D2795"/>
    <w:rsid w:val="005D4005"/>
    <w:rsid w:val="005D467D"/>
    <w:rsid w:val="005D4AEC"/>
    <w:rsid w:val="005D4F28"/>
    <w:rsid w:val="005D6DFD"/>
    <w:rsid w:val="005D743E"/>
    <w:rsid w:val="005D78A7"/>
    <w:rsid w:val="005E18D8"/>
    <w:rsid w:val="005F0409"/>
    <w:rsid w:val="005F19D7"/>
    <w:rsid w:val="005F1D41"/>
    <w:rsid w:val="005F1E8D"/>
    <w:rsid w:val="005F1E91"/>
    <w:rsid w:val="005F3A9E"/>
    <w:rsid w:val="005F3D87"/>
    <w:rsid w:val="005F5327"/>
    <w:rsid w:val="005F6744"/>
    <w:rsid w:val="005F6F27"/>
    <w:rsid w:val="00600AC2"/>
    <w:rsid w:val="00600B80"/>
    <w:rsid w:val="0060105C"/>
    <w:rsid w:val="006014A5"/>
    <w:rsid w:val="00601A22"/>
    <w:rsid w:val="006029D6"/>
    <w:rsid w:val="00605A80"/>
    <w:rsid w:val="006066C4"/>
    <w:rsid w:val="00606824"/>
    <w:rsid w:val="0060697E"/>
    <w:rsid w:val="006112A4"/>
    <w:rsid w:val="0061234E"/>
    <w:rsid w:val="006141C2"/>
    <w:rsid w:val="006150B2"/>
    <w:rsid w:val="00615327"/>
    <w:rsid w:val="00616134"/>
    <w:rsid w:val="0061666E"/>
    <w:rsid w:val="00617112"/>
    <w:rsid w:val="00617C81"/>
    <w:rsid w:val="006204AA"/>
    <w:rsid w:val="00620535"/>
    <w:rsid w:val="00631632"/>
    <w:rsid w:val="00632F5D"/>
    <w:rsid w:val="00633D4C"/>
    <w:rsid w:val="00634BD1"/>
    <w:rsid w:val="00634EB6"/>
    <w:rsid w:val="00635255"/>
    <w:rsid w:val="0064002D"/>
    <w:rsid w:val="00640E8A"/>
    <w:rsid w:val="00641427"/>
    <w:rsid w:val="00641C05"/>
    <w:rsid w:val="006423C4"/>
    <w:rsid w:val="006429B2"/>
    <w:rsid w:val="00642A9A"/>
    <w:rsid w:val="00642F08"/>
    <w:rsid w:val="00644B80"/>
    <w:rsid w:val="00646F14"/>
    <w:rsid w:val="00647290"/>
    <w:rsid w:val="00651480"/>
    <w:rsid w:val="006514E4"/>
    <w:rsid w:val="00653B49"/>
    <w:rsid w:val="00653BDD"/>
    <w:rsid w:val="00655BCA"/>
    <w:rsid w:val="006606E0"/>
    <w:rsid w:val="00663240"/>
    <w:rsid w:val="00665863"/>
    <w:rsid w:val="006670A4"/>
    <w:rsid w:val="00672004"/>
    <w:rsid w:val="00672CAD"/>
    <w:rsid w:val="00674BE1"/>
    <w:rsid w:val="00677034"/>
    <w:rsid w:val="006772C3"/>
    <w:rsid w:val="00677550"/>
    <w:rsid w:val="0068159E"/>
    <w:rsid w:val="0068167E"/>
    <w:rsid w:val="00683728"/>
    <w:rsid w:val="00683EA4"/>
    <w:rsid w:val="00684AE8"/>
    <w:rsid w:val="00685509"/>
    <w:rsid w:val="0068665B"/>
    <w:rsid w:val="006869C5"/>
    <w:rsid w:val="00686FA3"/>
    <w:rsid w:val="00687DEF"/>
    <w:rsid w:val="006910CA"/>
    <w:rsid w:val="00691291"/>
    <w:rsid w:val="00693BA4"/>
    <w:rsid w:val="00693E00"/>
    <w:rsid w:val="0069561E"/>
    <w:rsid w:val="006A0C2E"/>
    <w:rsid w:val="006A1843"/>
    <w:rsid w:val="006A2E92"/>
    <w:rsid w:val="006A3F7B"/>
    <w:rsid w:val="006B1365"/>
    <w:rsid w:val="006B6476"/>
    <w:rsid w:val="006B6C94"/>
    <w:rsid w:val="006C06BF"/>
    <w:rsid w:val="006C282B"/>
    <w:rsid w:val="006C5079"/>
    <w:rsid w:val="006C70AC"/>
    <w:rsid w:val="006C77DE"/>
    <w:rsid w:val="006D2345"/>
    <w:rsid w:val="006D3088"/>
    <w:rsid w:val="006D3281"/>
    <w:rsid w:val="006D5FE6"/>
    <w:rsid w:val="006D6D06"/>
    <w:rsid w:val="006E0626"/>
    <w:rsid w:val="006E0696"/>
    <w:rsid w:val="006E1136"/>
    <w:rsid w:val="006E4BED"/>
    <w:rsid w:val="006E73A2"/>
    <w:rsid w:val="006F1D54"/>
    <w:rsid w:val="006F2EF6"/>
    <w:rsid w:val="006F3CD3"/>
    <w:rsid w:val="006F4A31"/>
    <w:rsid w:val="006F5115"/>
    <w:rsid w:val="006F7520"/>
    <w:rsid w:val="0070060D"/>
    <w:rsid w:val="007026E6"/>
    <w:rsid w:val="007026F2"/>
    <w:rsid w:val="00702CB5"/>
    <w:rsid w:val="00703260"/>
    <w:rsid w:val="00703EA6"/>
    <w:rsid w:val="00705179"/>
    <w:rsid w:val="00706431"/>
    <w:rsid w:val="00706AEF"/>
    <w:rsid w:val="00710DAA"/>
    <w:rsid w:val="007117F1"/>
    <w:rsid w:val="007119BB"/>
    <w:rsid w:val="007126F3"/>
    <w:rsid w:val="0071394E"/>
    <w:rsid w:val="00713A74"/>
    <w:rsid w:val="00715CF2"/>
    <w:rsid w:val="00716A50"/>
    <w:rsid w:val="007175D2"/>
    <w:rsid w:val="00717636"/>
    <w:rsid w:val="007176BE"/>
    <w:rsid w:val="007177A7"/>
    <w:rsid w:val="00717D2F"/>
    <w:rsid w:val="00721BA6"/>
    <w:rsid w:val="007223F1"/>
    <w:rsid w:val="0072616C"/>
    <w:rsid w:val="00727028"/>
    <w:rsid w:val="0073015B"/>
    <w:rsid w:val="00731C3B"/>
    <w:rsid w:val="00733A62"/>
    <w:rsid w:val="0073513A"/>
    <w:rsid w:val="007371B3"/>
    <w:rsid w:val="007374F9"/>
    <w:rsid w:val="007405AF"/>
    <w:rsid w:val="00740E7D"/>
    <w:rsid w:val="00741AB8"/>
    <w:rsid w:val="00741B4D"/>
    <w:rsid w:val="0074217E"/>
    <w:rsid w:val="00742C00"/>
    <w:rsid w:val="00746A43"/>
    <w:rsid w:val="00747569"/>
    <w:rsid w:val="00753271"/>
    <w:rsid w:val="00754AB9"/>
    <w:rsid w:val="00755ADC"/>
    <w:rsid w:val="007576ED"/>
    <w:rsid w:val="00757BF7"/>
    <w:rsid w:val="00760832"/>
    <w:rsid w:val="00762448"/>
    <w:rsid w:val="00762464"/>
    <w:rsid w:val="00764779"/>
    <w:rsid w:val="007648BA"/>
    <w:rsid w:val="00767C3A"/>
    <w:rsid w:val="00767C90"/>
    <w:rsid w:val="00771A4E"/>
    <w:rsid w:val="00775137"/>
    <w:rsid w:val="0077524B"/>
    <w:rsid w:val="007755A3"/>
    <w:rsid w:val="00776669"/>
    <w:rsid w:val="007766BD"/>
    <w:rsid w:val="00777AB8"/>
    <w:rsid w:val="00777D95"/>
    <w:rsid w:val="00780734"/>
    <w:rsid w:val="00780AAA"/>
    <w:rsid w:val="00781A2C"/>
    <w:rsid w:val="00782490"/>
    <w:rsid w:val="007832ED"/>
    <w:rsid w:val="00784C7F"/>
    <w:rsid w:val="00785AD7"/>
    <w:rsid w:val="007866FA"/>
    <w:rsid w:val="00790EA4"/>
    <w:rsid w:val="00791481"/>
    <w:rsid w:val="00793DE3"/>
    <w:rsid w:val="0079464E"/>
    <w:rsid w:val="007A1290"/>
    <w:rsid w:val="007A3F61"/>
    <w:rsid w:val="007A4241"/>
    <w:rsid w:val="007A5222"/>
    <w:rsid w:val="007A5668"/>
    <w:rsid w:val="007A6B45"/>
    <w:rsid w:val="007A7572"/>
    <w:rsid w:val="007A7763"/>
    <w:rsid w:val="007B0EC1"/>
    <w:rsid w:val="007B100A"/>
    <w:rsid w:val="007B1D23"/>
    <w:rsid w:val="007B21A5"/>
    <w:rsid w:val="007B2AD6"/>
    <w:rsid w:val="007B3938"/>
    <w:rsid w:val="007C038A"/>
    <w:rsid w:val="007C04C1"/>
    <w:rsid w:val="007C0C94"/>
    <w:rsid w:val="007C3DFC"/>
    <w:rsid w:val="007C4DD0"/>
    <w:rsid w:val="007C57C1"/>
    <w:rsid w:val="007C6AEC"/>
    <w:rsid w:val="007D069F"/>
    <w:rsid w:val="007D0AF4"/>
    <w:rsid w:val="007D1C60"/>
    <w:rsid w:val="007D2B8D"/>
    <w:rsid w:val="007D3239"/>
    <w:rsid w:val="007D45D6"/>
    <w:rsid w:val="007D4ED8"/>
    <w:rsid w:val="007D501F"/>
    <w:rsid w:val="007D799D"/>
    <w:rsid w:val="007D7CF9"/>
    <w:rsid w:val="007E2E53"/>
    <w:rsid w:val="007E4561"/>
    <w:rsid w:val="007E5F2E"/>
    <w:rsid w:val="007F23FB"/>
    <w:rsid w:val="007F32B0"/>
    <w:rsid w:val="007F5CCD"/>
    <w:rsid w:val="007F6B0C"/>
    <w:rsid w:val="007F7DBD"/>
    <w:rsid w:val="00800EE1"/>
    <w:rsid w:val="00802F0D"/>
    <w:rsid w:val="00805953"/>
    <w:rsid w:val="008059E3"/>
    <w:rsid w:val="00806934"/>
    <w:rsid w:val="00807C9F"/>
    <w:rsid w:val="0081136A"/>
    <w:rsid w:val="00811B37"/>
    <w:rsid w:val="00811F26"/>
    <w:rsid w:val="0081305D"/>
    <w:rsid w:val="008139CC"/>
    <w:rsid w:val="0081469A"/>
    <w:rsid w:val="00814D30"/>
    <w:rsid w:val="008167DD"/>
    <w:rsid w:val="0081792F"/>
    <w:rsid w:val="008215D5"/>
    <w:rsid w:val="00821ABA"/>
    <w:rsid w:val="008225FF"/>
    <w:rsid w:val="0082535B"/>
    <w:rsid w:val="00836DA0"/>
    <w:rsid w:val="00836DA8"/>
    <w:rsid w:val="00837EDC"/>
    <w:rsid w:val="008407F1"/>
    <w:rsid w:val="00840DAA"/>
    <w:rsid w:val="0084197B"/>
    <w:rsid w:val="008428D3"/>
    <w:rsid w:val="008432B5"/>
    <w:rsid w:val="0084591A"/>
    <w:rsid w:val="0084740A"/>
    <w:rsid w:val="00852D25"/>
    <w:rsid w:val="00853701"/>
    <w:rsid w:val="00854580"/>
    <w:rsid w:val="0085597D"/>
    <w:rsid w:val="00855D7A"/>
    <w:rsid w:val="00856281"/>
    <w:rsid w:val="00857878"/>
    <w:rsid w:val="00857E1B"/>
    <w:rsid w:val="00860DDE"/>
    <w:rsid w:val="00861259"/>
    <w:rsid w:val="00861BB2"/>
    <w:rsid w:val="008634C2"/>
    <w:rsid w:val="00864D48"/>
    <w:rsid w:val="00864EEA"/>
    <w:rsid w:val="00865A7B"/>
    <w:rsid w:val="00865E4F"/>
    <w:rsid w:val="00866663"/>
    <w:rsid w:val="00872458"/>
    <w:rsid w:val="008731A1"/>
    <w:rsid w:val="00873BE7"/>
    <w:rsid w:val="00874BF6"/>
    <w:rsid w:val="00874CB7"/>
    <w:rsid w:val="00875EDF"/>
    <w:rsid w:val="00876508"/>
    <w:rsid w:val="00876C1D"/>
    <w:rsid w:val="0087706C"/>
    <w:rsid w:val="008822BA"/>
    <w:rsid w:val="00883E2A"/>
    <w:rsid w:val="00884EF3"/>
    <w:rsid w:val="00886A15"/>
    <w:rsid w:val="00887072"/>
    <w:rsid w:val="00891051"/>
    <w:rsid w:val="008938DA"/>
    <w:rsid w:val="00893BEF"/>
    <w:rsid w:val="00893FE4"/>
    <w:rsid w:val="00897E41"/>
    <w:rsid w:val="008A1022"/>
    <w:rsid w:val="008A4703"/>
    <w:rsid w:val="008A5586"/>
    <w:rsid w:val="008A6964"/>
    <w:rsid w:val="008B313C"/>
    <w:rsid w:val="008B3E7B"/>
    <w:rsid w:val="008B3E8F"/>
    <w:rsid w:val="008B4A61"/>
    <w:rsid w:val="008C0056"/>
    <w:rsid w:val="008C21E1"/>
    <w:rsid w:val="008D0DC9"/>
    <w:rsid w:val="008D383F"/>
    <w:rsid w:val="008D59B9"/>
    <w:rsid w:val="008D61A9"/>
    <w:rsid w:val="008D7453"/>
    <w:rsid w:val="008D76F6"/>
    <w:rsid w:val="008D7BB6"/>
    <w:rsid w:val="008E0D5E"/>
    <w:rsid w:val="008E69F6"/>
    <w:rsid w:val="008F0093"/>
    <w:rsid w:val="008F134F"/>
    <w:rsid w:val="008F2F17"/>
    <w:rsid w:val="008F2F5C"/>
    <w:rsid w:val="008F3E03"/>
    <w:rsid w:val="008F5797"/>
    <w:rsid w:val="008F5966"/>
    <w:rsid w:val="00902192"/>
    <w:rsid w:val="00904962"/>
    <w:rsid w:val="00904E9B"/>
    <w:rsid w:val="009056A3"/>
    <w:rsid w:val="009062AE"/>
    <w:rsid w:val="00911A4E"/>
    <w:rsid w:val="00911C70"/>
    <w:rsid w:val="00911E3E"/>
    <w:rsid w:val="00913ED6"/>
    <w:rsid w:val="0091557B"/>
    <w:rsid w:val="00915F44"/>
    <w:rsid w:val="00917CE4"/>
    <w:rsid w:val="00923B0D"/>
    <w:rsid w:val="0092478E"/>
    <w:rsid w:val="00924BD5"/>
    <w:rsid w:val="00927604"/>
    <w:rsid w:val="00930B3C"/>
    <w:rsid w:val="00935CB3"/>
    <w:rsid w:val="00936B06"/>
    <w:rsid w:val="00937A11"/>
    <w:rsid w:val="00941773"/>
    <w:rsid w:val="009417F7"/>
    <w:rsid w:val="009422C6"/>
    <w:rsid w:val="009426F3"/>
    <w:rsid w:val="00945CAD"/>
    <w:rsid w:val="00950962"/>
    <w:rsid w:val="00952756"/>
    <w:rsid w:val="00952A74"/>
    <w:rsid w:val="00956048"/>
    <w:rsid w:val="00956171"/>
    <w:rsid w:val="009564A5"/>
    <w:rsid w:val="00956AA9"/>
    <w:rsid w:val="009572B4"/>
    <w:rsid w:val="009605CB"/>
    <w:rsid w:val="00963A56"/>
    <w:rsid w:val="00963C9F"/>
    <w:rsid w:val="00963F49"/>
    <w:rsid w:val="00965094"/>
    <w:rsid w:val="0096517C"/>
    <w:rsid w:val="00965712"/>
    <w:rsid w:val="00966099"/>
    <w:rsid w:val="00966619"/>
    <w:rsid w:val="00970214"/>
    <w:rsid w:val="009708AE"/>
    <w:rsid w:val="00972144"/>
    <w:rsid w:val="00973117"/>
    <w:rsid w:val="00973962"/>
    <w:rsid w:val="0097425F"/>
    <w:rsid w:val="00974636"/>
    <w:rsid w:val="00977338"/>
    <w:rsid w:val="00977685"/>
    <w:rsid w:val="009804D2"/>
    <w:rsid w:val="00982392"/>
    <w:rsid w:val="00982480"/>
    <w:rsid w:val="009834D2"/>
    <w:rsid w:val="009858C3"/>
    <w:rsid w:val="00991526"/>
    <w:rsid w:val="00991DED"/>
    <w:rsid w:val="00993BBF"/>
    <w:rsid w:val="00993E80"/>
    <w:rsid w:val="00997F6C"/>
    <w:rsid w:val="009A0032"/>
    <w:rsid w:val="009A0A07"/>
    <w:rsid w:val="009A0A6A"/>
    <w:rsid w:val="009A0E76"/>
    <w:rsid w:val="009A1FF3"/>
    <w:rsid w:val="009A36DF"/>
    <w:rsid w:val="009A4290"/>
    <w:rsid w:val="009A4DC6"/>
    <w:rsid w:val="009A5BC4"/>
    <w:rsid w:val="009A6FE4"/>
    <w:rsid w:val="009A7D43"/>
    <w:rsid w:val="009B0BC5"/>
    <w:rsid w:val="009B2A1F"/>
    <w:rsid w:val="009B34AC"/>
    <w:rsid w:val="009B4A90"/>
    <w:rsid w:val="009B609B"/>
    <w:rsid w:val="009B614B"/>
    <w:rsid w:val="009B7476"/>
    <w:rsid w:val="009C0EFC"/>
    <w:rsid w:val="009C1B2F"/>
    <w:rsid w:val="009C3CB0"/>
    <w:rsid w:val="009C4CA6"/>
    <w:rsid w:val="009C56D1"/>
    <w:rsid w:val="009C74F7"/>
    <w:rsid w:val="009C752C"/>
    <w:rsid w:val="009C7E8F"/>
    <w:rsid w:val="009D18C2"/>
    <w:rsid w:val="009D236A"/>
    <w:rsid w:val="009D3B3A"/>
    <w:rsid w:val="009D50E8"/>
    <w:rsid w:val="009D56B0"/>
    <w:rsid w:val="009D5A36"/>
    <w:rsid w:val="009E34D5"/>
    <w:rsid w:val="009E383F"/>
    <w:rsid w:val="009E4054"/>
    <w:rsid w:val="009E718A"/>
    <w:rsid w:val="009F06EB"/>
    <w:rsid w:val="009F2EDF"/>
    <w:rsid w:val="009F4558"/>
    <w:rsid w:val="009F4A74"/>
    <w:rsid w:val="009F4D35"/>
    <w:rsid w:val="009F7A5A"/>
    <w:rsid w:val="00A00D21"/>
    <w:rsid w:val="00A0293E"/>
    <w:rsid w:val="00A032B7"/>
    <w:rsid w:val="00A03C15"/>
    <w:rsid w:val="00A051F7"/>
    <w:rsid w:val="00A0641E"/>
    <w:rsid w:val="00A070B7"/>
    <w:rsid w:val="00A11E29"/>
    <w:rsid w:val="00A13691"/>
    <w:rsid w:val="00A13A11"/>
    <w:rsid w:val="00A142EA"/>
    <w:rsid w:val="00A14752"/>
    <w:rsid w:val="00A14C83"/>
    <w:rsid w:val="00A15827"/>
    <w:rsid w:val="00A17299"/>
    <w:rsid w:val="00A23F46"/>
    <w:rsid w:val="00A2405F"/>
    <w:rsid w:val="00A275F3"/>
    <w:rsid w:val="00A27F7B"/>
    <w:rsid w:val="00A3043E"/>
    <w:rsid w:val="00A3203D"/>
    <w:rsid w:val="00A339E5"/>
    <w:rsid w:val="00A35814"/>
    <w:rsid w:val="00A3639C"/>
    <w:rsid w:val="00A36734"/>
    <w:rsid w:val="00A369AC"/>
    <w:rsid w:val="00A3743B"/>
    <w:rsid w:val="00A414BC"/>
    <w:rsid w:val="00A43021"/>
    <w:rsid w:val="00A43163"/>
    <w:rsid w:val="00A435F8"/>
    <w:rsid w:val="00A4461A"/>
    <w:rsid w:val="00A459DE"/>
    <w:rsid w:val="00A45FFC"/>
    <w:rsid w:val="00A50D02"/>
    <w:rsid w:val="00A52D23"/>
    <w:rsid w:val="00A5508E"/>
    <w:rsid w:val="00A55776"/>
    <w:rsid w:val="00A55D47"/>
    <w:rsid w:val="00A57AB2"/>
    <w:rsid w:val="00A60476"/>
    <w:rsid w:val="00A61A9F"/>
    <w:rsid w:val="00A62216"/>
    <w:rsid w:val="00A6491C"/>
    <w:rsid w:val="00A65038"/>
    <w:rsid w:val="00A65913"/>
    <w:rsid w:val="00A70A4D"/>
    <w:rsid w:val="00A71A69"/>
    <w:rsid w:val="00A7229C"/>
    <w:rsid w:val="00A7486F"/>
    <w:rsid w:val="00A74E0F"/>
    <w:rsid w:val="00A7500E"/>
    <w:rsid w:val="00A7699B"/>
    <w:rsid w:val="00A8077F"/>
    <w:rsid w:val="00A80E09"/>
    <w:rsid w:val="00A83BB3"/>
    <w:rsid w:val="00A851E3"/>
    <w:rsid w:val="00A85919"/>
    <w:rsid w:val="00A8731D"/>
    <w:rsid w:val="00A87673"/>
    <w:rsid w:val="00A9012A"/>
    <w:rsid w:val="00A909D5"/>
    <w:rsid w:val="00A93A77"/>
    <w:rsid w:val="00A93DF6"/>
    <w:rsid w:val="00A948FE"/>
    <w:rsid w:val="00A94AB4"/>
    <w:rsid w:val="00A95CBF"/>
    <w:rsid w:val="00A970F2"/>
    <w:rsid w:val="00AA0260"/>
    <w:rsid w:val="00AA2E4F"/>
    <w:rsid w:val="00AA311A"/>
    <w:rsid w:val="00AA3BB9"/>
    <w:rsid w:val="00AA456D"/>
    <w:rsid w:val="00AA796F"/>
    <w:rsid w:val="00AB05B7"/>
    <w:rsid w:val="00AB074D"/>
    <w:rsid w:val="00AB27A1"/>
    <w:rsid w:val="00AB5FC6"/>
    <w:rsid w:val="00AB790F"/>
    <w:rsid w:val="00AC08D2"/>
    <w:rsid w:val="00AC0C2F"/>
    <w:rsid w:val="00AC1BEE"/>
    <w:rsid w:val="00AC21F8"/>
    <w:rsid w:val="00AC3E56"/>
    <w:rsid w:val="00AC4BDA"/>
    <w:rsid w:val="00AC5934"/>
    <w:rsid w:val="00AC6A5E"/>
    <w:rsid w:val="00AC7DFB"/>
    <w:rsid w:val="00AD0C81"/>
    <w:rsid w:val="00AD584C"/>
    <w:rsid w:val="00AD5DA3"/>
    <w:rsid w:val="00AE1EED"/>
    <w:rsid w:val="00AE220C"/>
    <w:rsid w:val="00AE68CA"/>
    <w:rsid w:val="00AE7072"/>
    <w:rsid w:val="00AF2783"/>
    <w:rsid w:val="00AF2957"/>
    <w:rsid w:val="00AF3C5A"/>
    <w:rsid w:val="00AF57B3"/>
    <w:rsid w:val="00AF7D27"/>
    <w:rsid w:val="00B03DE7"/>
    <w:rsid w:val="00B04E3B"/>
    <w:rsid w:val="00B0698D"/>
    <w:rsid w:val="00B0699C"/>
    <w:rsid w:val="00B0767A"/>
    <w:rsid w:val="00B10FC9"/>
    <w:rsid w:val="00B1131A"/>
    <w:rsid w:val="00B11937"/>
    <w:rsid w:val="00B12498"/>
    <w:rsid w:val="00B12F76"/>
    <w:rsid w:val="00B131D7"/>
    <w:rsid w:val="00B138A8"/>
    <w:rsid w:val="00B15249"/>
    <w:rsid w:val="00B15618"/>
    <w:rsid w:val="00B15DF5"/>
    <w:rsid w:val="00B1661A"/>
    <w:rsid w:val="00B1672D"/>
    <w:rsid w:val="00B16B74"/>
    <w:rsid w:val="00B16D43"/>
    <w:rsid w:val="00B176FD"/>
    <w:rsid w:val="00B21702"/>
    <w:rsid w:val="00B21E09"/>
    <w:rsid w:val="00B23B38"/>
    <w:rsid w:val="00B247ED"/>
    <w:rsid w:val="00B2527F"/>
    <w:rsid w:val="00B2653D"/>
    <w:rsid w:val="00B26558"/>
    <w:rsid w:val="00B26C3D"/>
    <w:rsid w:val="00B275AC"/>
    <w:rsid w:val="00B27734"/>
    <w:rsid w:val="00B277DD"/>
    <w:rsid w:val="00B30EAB"/>
    <w:rsid w:val="00B31756"/>
    <w:rsid w:val="00B32201"/>
    <w:rsid w:val="00B366DB"/>
    <w:rsid w:val="00B37667"/>
    <w:rsid w:val="00B3774E"/>
    <w:rsid w:val="00B40821"/>
    <w:rsid w:val="00B40BF6"/>
    <w:rsid w:val="00B42CEC"/>
    <w:rsid w:val="00B44B46"/>
    <w:rsid w:val="00B44BFF"/>
    <w:rsid w:val="00B5117D"/>
    <w:rsid w:val="00B51B21"/>
    <w:rsid w:val="00B532DB"/>
    <w:rsid w:val="00B545CC"/>
    <w:rsid w:val="00B54794"/>
    <w:rsid w:val="00B55005"/>
    <w:rsid w:val="00B55735"/>
    <w:rsid w:val="00B55B9A"/>
    <w:rsid w:val="00B55EFB"/>
    <w:rsid w:val="00B57721"/>
    <w:rsid w:val="00B61F3E"/>
    <w:rsid w:val="00B65661"/>
    <w:rsid w:val="00B6778D"/>
    <w:rsid w:val="00B72465"/>
    <w:rsid w:val="00B725FB"/>
    <w:rsid w:val="00B72A6C"/>
    <w:rsid w:val="00B72B74"/>
    <w:rsid w:val="00B76CE9"/>
    <w:rsid w:val="00B77C34"/>
    <w:rsid w:val="00B819FE"/>
    <w:rsid w:val="00B839A2"/>
    <w:rsid w:val="00B83DD1"/>
    <w:rsid w:val="00B850E8"/>
    <w:rsid w:val="00B86033"/>
    <w:rsid w:val="00B86106"/>
    <w:rsid w:val="00B9031B"/>
    <w:rsid w:val="00B927D9"/>
    <w:rsid w:val="00B92F3A"/>
    <w:rsid w:val="00B93C09"/>
    <w:rsid w:val="00B94111"/>
    <w:rsid w:val="00B94F0A"/>
    <w:rsid w:val="00B95E21"/>
    <w:rsid w:val="00B95FED"/>
    <w:rsid w:val="00B96B2D"/>
    <w:rsid w:val="00BA18F6"/>
    <w:rsid w:val="00BA38A0"/>
    <w:rsid w:val="00BA4854"/>
    <w:rsid w:val="00BB2ACB"/>
    <w:rsid w:val="00BB2F80"/>
    <w:rsid w:val="00BB4CD2"/>
    <w:rsid w:val="00BB5271"/>
    <w:rsid w:val="00BC1378"/>
    <w:rsid w:val="00BC1B66"/>
    <w:rsid w:val="00BC218F"/>
    <w:rsid w:val="00BC51F8"/>
    <w:rsid w:val="00BD174F"/>
    <w:rsid w:val="00BD22DA"/>
    <w:rsid w:val="00BD5583"/>
    <w:rsid w:val="00BD5D69"/>
    <w:rsid w:val="00BD60AB"/>
    <w:rsid w:val="00BE08FE"/>
    <w:rsid w:val="00BE0FFD"/>
    <w:rsid w:val="00BE13B4"/>
    <w:rsid w:val="00BE1646"/>
    <w:rsid w:val="00BE1900"/>
    <w:rsid w:val="00BE207D"/>
    <w:rsid w:val="00BE2AB7"/>
    <w:rsid w:val="00BE3527"/>
    <w:rsid w:val="00BE4587"/>
    <w:rsid w:val="00BE46FD"/>
    <w:rsid w:val="00BE5400"/>
    <w:rsid w:val="00BE68F3"/>
    <w:rsid w:val="00BE7C9E"/>
    <w:rsid w:val="00BF2EE2"/>
    <w:rsid w:val="00BF3528"/>
    <w:rsid w:val="00BF40A7"/>
    <w:rsid w:val="00BF6AAF"/>
    <w:rsid w:val="00BF759A"/>
    <w:rsid w:val="00C03405"/>
    <w:rsid w:val="00C03955"/>
    <w:rsid w:val="00C04290"/>
    <w:rsid w:val="00C061EA"/>
    <w:rsid w:val="00C074E3"/>
    <w:rsid w:val="00C07BF6"/>
    <w:rsid w:val="00C07D51"/>
    <w:rsid w:val="00C07DFB"/>
    <w:rsid w:val="00C12145"/>
    <w:rsid w:val="00C12E78"/>
    <w:rsid w:val="00C14228"/>
    <w:rsid w:val="00C14AB0"/>
    <w:rsid w:val="00C15510"/>
    <w:rsid w:val="00C16644"/>
    <w:rsid w:val="00C179AD"/>
    <w:rsid w:val="00C23E5B"/>
    <w:rsid w:val="00C2734A"/>
    <w:rsid w:val="00C27FFB"/>
    <w:rsid w:val="00C36D16"/>
    <w:rsid w:val="00C404CA"/>
    <w:rsid w:val="00C40E20"/>
    <w:rsid w:val="00C4249F"/>
    <w:rsid w:val="00C42B95"/>
    <w:rsid w:val="00C46D3E"/>
    <w:rsid w:val="00C52ABF"/>
    <w:rsid w:val="00C52FE0"/>
    <w:rsid w:val="00C558F4"/>
    <w:rsid w:val="00C61A5A"/>
    <w:rsid w:val="00C63456"/>
    <w:rsid w:val="00C63D38"/>
    <w:rsid w:val="00C6447C"/>
    <w:rsid w:val="00C64973"/>
    <w:rsid w:val="00C71020"/>
    <w:rsid w:val="00C7314A"/>
    <w:rsid w:val="00C7420D"/>
    <w:rsid w:val="00C754CC"/>
    <w:rsid w:val="00C75A0D"/>
    <w:rsid w:val="00C83737"/>
    <w:rsid w:val="00C84B60"/>
    <w:rsid w:val="00C877C1"/>
    <w:rsid w:val="00C91F4E"/>
    <w:rsid w:val="00C93749"/>
    <w:rsid w:val="00C93D43"/>
    <w:rsid w:val="00C94C24"/>
    <w:rsid w:val="00C970B1"/>
    <w:rsid w:val="00C97161"/>
    <w:rsid w:val="00CA22AC"/>
    <w:rsid w:val="00CA50FD"/>
    <w:rsid w:val="00CA6AF3"/>
    <w:rsid w:val="00CB2D12"/>
    <w:rsid w:val="00CB41F2"/>
    <w:rsid w:val="00CB5919"/>
    <w:rsid w:val="00CB5F31"/>
    <w:rsid w:val="00CC0F5D"/>
    <w:rsid w:val="00CC1B2A"/>
    <w:rsid w:val="00CC2866"/>
    <w:rsid w:val="00CC32B2"/>
    <w:rsid w:val="00CC576C"/>
    <w:rsid w:val="00CC68E9"/>
    <w:rsid w:val="00CC6A65"/>
    <w:rsid w:val="00CD0493"/>
    <w:rsid w:val="00CD066C"/>
    <w:rsid w:val="00CD06DC"/>
    <w:rsid w:val="00CD130A"/>
    <w:rsid w:val="00CD1F19"/>
    <w:rsid w:val="00CD452F"/>
    <w:rsid w:val="00CD494D"/>
    <w:rsid w:val="00CD5555"/>
    <w:rsid w:val="00CD6C79"/>
    <w:rsid w:val="00CD6F0F"/>
    <w:rsid w:val="00CE03A4"/>
    <w:rsid w:val="00CE1816"/>
    <w:rsid w:val="00CE1F7E"/>
    <w:rsid w:val="00CE5E15"/>
    <w:rsid w:val="00CE66BC"/>
    <w:rsid w:val="00CE6EEC"/>
    <w:rsid w:val="00CE71A4"/>
    <w:rsid w:val="00CE772B"/>
    <w:rsid w:val="00CF277F"/>
    <w:rsid w:val="00CF30BD"/>
    <w:rsid w:val="00CF3282"/>
    <w:rsid w:val="00CF49DF"/>
    <w:rsid w:val="00CF568D"/>
    <w:rsid w:val="00CF78B0"/>
    <w:rsid w:val="00D027C8"/>
    <w:rsid w:val="00D03812"/>
    <w:rsid w:val="00D045C6"/>
    <w:rsid w:val="00D048F7"/>
    <w:rsid w:val="00D05054"/>
    <w:rsid w:val="00D05305"/>
    <w:rsid w:val="00D057BB"/>
    <w:rsid w:val="00D10911"/>
    <w:rsid w:val="00D10B90"/>
    <w:rsid w:val="00D125F6"/>
    <w:rsid w:val="00D12938"/>
    <w:rsid w:val="00D13318"/>
    <w:rsid w:val="00D138C0"/>
    <w:rsid w:val="00D13FD8"/>
    <w:rsid w:val="00D14F04"/>
    <w:rsid w:val="00D154D9"/>
    <w:rsid w:val="00D16342"/>
    <w:rsid w:val="00D1705C"/>
    <w:rsid w:val="00D177B2"/>
    <w:rsid w:val="00D21F38"/>
    <w:rsid w:val="00D2244E"/>
    <w:rsid w:val="00D238E3"/>
    <w:rsid w:val="00D241DE"/>
    <w:rsid w:val="00D246C9"/>
    <w:rsid w:val="00D2513B"/>
    <w:rsid w:val="00D263D6"/>
    <w:rsid w:val="00D26A23"/>
    <w:rsid w:val="00D31218"/>
    <w:rsid w:val="00D31FDA"/>
    <w:rsid w:val="00D33529"/>
    <w:rsid w:val="00D34692"/>
    <w:rsid w:val="00D35336"/>
    <w:rsid w:val="00D36D46"/>
    <w:rsid w:val="00D4055A"/>
    <w:rsid w:val="00D4278A"/>
    <w:rsid w:val="00D4302A"/>
    <w:rsid w:val="00D436E8"/>
    <w:rsid w:val="00D46E9D"/>
    <w:rsid w:val="00D4726C"/>
    <w:rsid w:val="00D500BB"/>
    <w:rsid w:val="00D50333"/>
    <w:rsid w:val="00D509CB"/>
    <w:rsid w:val="00D5419D"/>
    <w:rsid w:val="00D5420B"/>
    <w:rsid w:val="00D551C5"/>
    <w:rsid w:val="00D56072"/>
    <w:rsid w:val="00D56322"/>
    <w:rsid w:val="00D56825"/>
    <w:rsid w:val="00D56B38"/>
    <w:rsid w:val="00D62D35"/>
    <w:rsid w:val="00D64A57"/>
    <w:rsid w:val="00D64B55"/>
    <w:rsid w:val="00D64E99"/>
    <w:rsid w:val="00D658D0"/>
    <w:rsid w:val="00D65FD0"/>
    <w:rsid w:val="00D66B95"/>
    <w:rsid w:val="00D6713D"/>
    <w:rsid w:val="00D70F5A"/>
    <w:rsid w:val="00D70F8A"/>
    <w:rsid w:val="00D71EFE"/>
    <w:rsid w:val="00D72DC2"/>
    <w:rsid w:val="00D73EA4"/>
    <w:rsid w:val="00D74476"/>
    <w:rsid w:val="00D76E16"/>
    <w:rsid w:val="00D804C9"/>
    <w:rsid w:val="00D81E78"/>
    <w:rsid w:val="00D82891"/>
    <w:rsid w:val="00D83020"/>
    <w:rsid w:val="00D8323E"/>
    <w:rsid w:val="00D83E2C"/>
    <w:rsid w:val="00D8537C"/>
    <w:rsid w:val="00D8583A"/>
    <w:rsid w:val="00D92118"/>
    <w:rsid w:val="00D92316"/>
    <w:rsid w:val="00D94EBF"/>
    <w:rsid w:val="00D95EC9"/>
    <w:rsid w:val="00D966C8"/>
    <w:rsid w:val="00D96A1E"/>
    <w:rsid w:val="00DA14E3"/>
    <w:rsid w:val="00DA1F48"/>
    <w:rsid w:val="00DA2626"/>
    <w:rsid w:val="00DA62C8"/>
    <w:rsid w:val="00DA7857"/>
    <w:rsid w:val="00DA7E7F"/>
    <w:rsid w:val="00DB0916"/>
    <w:rsid w:val="00DB13D5"/>
    <w:rsid w:val="00DB1A4D"/>
    <w:rsid w:val="00DB4EFD"/>
    <w:rsid w:val="00DC0368"/>
    <w:rsid w:val="00DC2212"/>
    <w:rsid w:val="00DC6534"/>
    <w:rsid w:val="00DC69D9"/>
    <w:rsid w:val="00DC6A05"/>
    <w:rsid w:val="00DC6BC0"/>
    <w:rsid w:val="00DD04CA"/>
    <w:rsid w:val="00DD1CF1"/>
    <w:rsid w:val="00DD22CA"/>
    <w:rsid w:val="00DD3128"/>
    <w:rsid w:val="00DD32CF"/>
    <w:rsid w:val="00DD3D07"/>
    <w:rsid w:val="00DD4396"/>
    <w:rsid w:val="00DD4A34"/>
    <w:rsid w:val="00DD71F3"/>
    <w:rsid w:val="00DE251A"/>
    <w:rsid w:val="00DE3949"/>
    <w:rsid w:val="00DE4414"/>
    <w:rsid w:val="00DE4605"/>
    <w:rsid w:val="00DE4EE7"/>
    <w:rsid w:val="00DE597E"/>
    <w:rsid w:val="00DE5F7B"/>
    <w:rsid w:val="00DE70AA"/>
    <w:rsid w:val="00DF0F64"/>
    <w:rsid w:val="00DF147A"/>
    <w:rsid w:val="00DF1740"/>
    <w:rsid w:val="00DF23E4"/>
    <w:rsid w:val="00DF2852"/>
    <w:rsid w:val="00DF37AA"/>
    <w:rsid w:val="00DF46C2"/>
    <w:rsid w:val="00DF6668"/>
    <w:rsid w:val="00DF77A6"/>
    <w:rsid w:val="00E00203"/>
    <w:rsid w:val="00E03E1B"/>
    <w:rsid w:val="00E05C41"/>
    <w:rsid w:val="00E05C49"/>
    <w:rsid w:val="00E0621D"/>
    <w:rsid w:val="00E06E6B"/>
    <w:rsid w:val="00E12EEB"/>
    <w:rsid w:val="00E148F7"/>
    <w:rsid w:val="00E156A3"/>
    <w:rsid w:val="00E21A5F"/>
    <w:rsid w:val="00E2301C"/>
    <w:rsid w:val="00E238C2"/>
    <w:rsid w:val="00E24293"/>
    <w:rsid w:val="00E254EA"/>
    <w:rsid w:val="00E255B8"/>
    <w:rsid w:val="00E27F17"/>
    <w:rsid w:val="00E3106D"/>
    <w:rsid w:val="00E316A4"/>
    <w:rsid w:val="00E32512"/>
    <w:rsid w:val="00E33193"/>
    <w:rsid w:val="00E36514"/>
    <w:rsid w:val="00E36EE7"/>
    <w:rsid w:val="00E3795A"/>
    <w:rsid w:val="00E402A3"/>
    <w:rsid w:val="00E419B6"/>
    <w:rsid w:val="00E4494F"/>
    <w:rsid w:val="00E464AC"/>
    <w:rsid w:val="00E46597"/>
    <w:rsid w:val="00E47E48"/>
    <w:rsid w:val="00E52317"/>
    <w:rsid w:val="00E531E7"/>
    <w:rsid w:val="00E53E81"/>
    <w:rsid w:val="00E54ABC"/>
    <w:rsid w:val="00E554F9"/>
    <w:rsid w:val="00E56D6D"/>
    <w:rsid w:val="00E570C0"/>
    <w:rsid w:val="00E57ACE"/>
    <w:rsid w:val="00E60803"/>
    <w:rsid w:val="00E614DC"/>
    <w:rsid w:val="00E61856"/>
    <w:rsid w:val="00E61ADA"/>
    <w:rsid w:val="00E6355A"/>
    <w:rsid w:val="00E63C08"/>
    <w:rsid w:val="00E7418D"/>
    <w:rsid w:val="00E7498E"/>
    <w:rsid w:val="00E75D71"/>
    <w:rsid w:val="00E80980"/>
    <w:rsid w:val="00E82758"/>
    <w:rsid w:val="00E82EEB"/>
    <w:rsid w:val="00E83793"/>
    <w:rsid w:val="00E8392F"/>
    <w:rsid w:val="00E83FAD"/>
    <w:rsid w:val="00E83FB3"/>
    <w:rsid w:val="00E846FC"/>
    <w:rsid w:val="00E85312"/>
    <w:rsid w:val="00E85606"/>
    <w:rsid w:val="00E9032E"/>
    <w:rsid w:val="00E92765"/>
    <w:rsid w:val="00E92E50"/>
    <w:rsid w:val="00E93E9B"/>
    <w:rsid w:val="00E97248"/>
    <w:rsid w:val="00E978F7"/>
    <w:rsid w:val="00E97F1F"/>
    <w:rsid w:val="00EA04CB"/>
    <w:rsid w:val="00EA2309"/>
    <w:rsid w:val="00EA34EE"/>
    <w:rsid w:val="00EA56B1"/>
    <w:rsid w:val="00EA5B57"/>
    <w:rsid w:val="00EA6530"/>
    <w:rsid w:val="00EA7383"/>
    <w:rsid w:val="00EB0248"/>
    <w:rsid w:val="00EB149B"/>
    <w:rsid w:val="00EB318E"/>
    <w:rsid w:val="00EB66A5"/>
    <w:rsid w:val="00EB6B00"/>
    <w:rsid w:val="00EB6B22"/>
    <w:rsid w:val="00EB737F"/>
    <w:rsid w:val="00ED07CD"/>
    <w:rsid w:val="00ED0CF8"/>
    <w:rsid w:val="00ED1D58"/>
    <w:rsid w:val="00ED2051"/>
    <w:rsid w:val="00ED2C5B"/>
    <w:rsid w:val="00ED4F28"/>
    <w:rsid w:val="00ED530B"/>
    <w:rsid w:val="00ED538C"/>
    <w:rsid w:val="00ED55E8"/>
    <w:rsid w:val="00EE202F"/>
    <w:rsid w:val="00EE2CA5"/>
    <w:rsid w:val="00EE36FF"/>
    <w:rsid w:val="00EE39E3"/>
    <w:rsid w:val="00EE46D0"/>
    <w:rsid w:val="00EE49FB"/>
    <w:rsid w:val="00EE716A"/>
    <w:rsid w:val="00EF0E11"/>
    <w:rsid w:val="00EF12D6"/>
    <w:rsid w:val="00EF2CFE"/>
    <w:rsid w:val="00EF3191"/>
    <w:rsid w:val="00EF3EC1"/>
    <w:rsid w:val="00EF503A"/>
    <w:rsid w:val="00EF7566"/>
    <w:rsid w:val="00F00D42"/>
    <w:rsid w:val="00F01D0D"/>
    <w:rsid w:val="00F01D6B"/>
    <w:rsid w:val="00F02372"/>
    <w:rsid w:val="00F04169"/>
    <w:rsid w:val="00F0494E"/>
    <w:rsid w:val="00F04E14"/>
    <w:rsid w:val="00F05BDD"/>
    <w:rsid w:val="00F064E5"/>
    <w:rsid w:val="00F06BC4"/>
    <w:rsid w:val="00F10A19"/>
    <w:rsid w:val="00F11DE4"/>
    <w:rsid w:val="00F1229B"/>
    <w:rsid w:val="00F12D24"/>
    <w:rsid w:val="00F13286"/>
    <w:rsid w:val="00F13C55"/>
    <w:rsid w:val="00F147DF"/>
    <w:rsid w:val="00F154E4"/>
    <w:rsid w:val="00F16142"/>
    <w:rsid w:val="00F21075"/>
    <w:rsid w:val="00F21C92"/>
    <w:rsid w:val="00F2332D"/>
    <w:rsid w:val="00F23AFB"/>
    <w:rsid w:val="00F2586E"/>
    <w:rsid w:val="00F2660D"/>
    <w:rsid w:val="00F31536"/>
    <w:rsid w:val="00F32A73"/>
    <w:rsid w:val="00F32D7A"/>
    <w:rsid w:val="00F33ECC"/>
    <w:rsid w:val="00F3610A"/>
    <w:rsid w:val="00F36646"/>
    <w:rsid w:val="00F367BE"/>
    <w:rsid w:val="00F40DA7"/>
    <w:rsid w:val="00F40E3F"/>
    <w:rsid w:val="00F43668"/>
    <w:rsid w:val="00F4374D"/>
    <w:rsid w:val="00F43CEF"/>
    <w:rsid w:val="00F456CB"/>
    <w:rsid w:val="00F50A60"/>
    <w:rsid w:val="00F51837"/>
    <w:rsid w:val="00F52331"/>
    <w:rsid w:val="00F55684"/>
    <w:rsid w:val="00F55D3B"/>
    <w:rsid w:val="00F55E28"/>
    <w:rsid w:val="00F57F09"/>
    <w:rsid w:val="00F612A5"/>
    <w:rsid w:val="00F61B23"/>
    <w:rsid w:val="00F6242E"/>
    <w:rsid w:val="00F627D7"/>
    <w:rsid w:val="00F63A24"/>
    <w:rsid w:val="00F64470"/>
    <w:rsid w:val="00F64901"/>
    <w:rsid w:val="00F65A3E"/>
    <w:rsid w:val="00F739F5"/>
    <w:rsid w:val="00F80ABA"/>
    <w:rsid w:val="00F8257B"/>
    <w:rsid w:val="00F83526"/>
    <w:rsid w:val="00F8542C"/>
    <w:rsid w:val="00F907C7"/>
    <w:rsid w:val="00F918D5"/>
    <w:rsid w:val="00F91BF0"/>
    <w:rsid w:val="00F91C13"/>
    <w:rsid w:val="00F93A51"/>
    <w:rsid w:val="00F94587"/>
    <w:rsid w:val="00F97459"/>
    <w:rsid w:val="00F97B7E"/>
    <w:rsid w:val="00FA030B"/>
    <w:rsid w:val="00FA0373"/>
    <w:rsid w:val="00FA2284"/>
    <w:rsid w:val="00FA320C"/>
    <w:rsid w:val="00FA44EE"/>
    <w:rsid w:val="00FA6595"/>
    <w:rsid w:val="00FB0CEE"/>
    <w:rsid w:val="00FB23A0"/>
    <w:rsid w:val="00FB24FB"/>
    <w:rsid w:val="00FB2BE4"/>
    <w:rsid w:val="00FB308F"/>
    <w:rsid w:val="00FB3111"/>
    <w:rsid w:val="00FB3A12"/>
    <w:rsid w:val="00FB4A8B"/>
    <w:rsid w:val="00FB5B2B"/>
    <w:rsid w:val="00FB604C"/>
    <w:rsid w:val="00FB6E51"/>
    <w:rsid w:val="00FB78D9"/>
    <w:rsid w:val="00FC246B"/>
    <w:rsid w:val="00FC25C0"/>
    <w:rsid w:val="00FC346F"/>
    <w:rsid w:val="00FC3F9E"/>
    <w:rsid w:val="00FC6710"/>
    <w:rsid w:val="00FC6BED"/>
    <w:rsid w:val="00FC76C5"/>
    <w:rsid w:val="00FD19E2"/>
    <w:rsid w:val="00FD1FBC"/>
    <w:rsid w:val="00FD3191"/>
    <w:rsid w:val="00FD3BD4"/>
    <w:rsid w:val="00FD42FC"/>
    <w:rsid w:val="00FD46FC"/>
    <w:rsid w:val="00FD53D4"/>
    <w:rsid w:val="00FE072D"/>
    <w:rsid w:val="00FE0E5A"/>
    <w:rsid w:val="00FE0EA0"/>
    <w:rsid w:val="00FE1090"/>
    <w:rsid w:val="00FE1978"/>
    <w:rsid w:val="00FE3186"/>
    <w:rsid w:val="00FE39F0"/>
    <w:rsid w:val="00FE3D3D"/>
    <w:rsid w:val="00FE45CE"/>
    <w:rsid w:val="00FE7CF4"/>
    <w:rsid w:val="00FF103C"/>
    <w:rsid w:val="00FF18F9"/>
    <w:rsid w:val="00FF2A2C"/>
    <w:rsid w:val="00FF3A4A"/>
    <w:rsid w:val="00FF42FD"/>
    <w:rsid w:val="00FF53A9"/>
    <w:rsid w:val="00FF74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chartTrackingRefBased/>
  <w15:docId w15:val="{E91509D4-17C3-4452-89A5-6EBF85DD1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2B"/>
    <w:pPr>
      <w:spacing w:after="100" w:line="264" w:lineRule="auto"/>
    </w:pPr>
    <w:rPr>
      <w:rFonts w:ascii="Arial" w:hAnsi="Arial"/>
    </w:rPr>
  </w:style>
  <w:style w:type="paragraph" w:styleId="Heading1">
    <w:name w:val="heading 1"/>
    <w:basedOn w:val="Normal"/>
    <w:next w:val="Normal"/>
    <w:link w:val="Heading1Char"/>
    <w:uiPriority w:val="9"/>
    <w:qFormat/>
    <w:rsid w:val="009A0A07"/>
    <w:pPr>
      <w:keepNext/>
      <w:keepLines/>
      <w:spacing w:before="480" w:after="0" w:line="276" w:lineRule="auto"/>
      <w:outlineLvl w:val="0"/>
    </w:pPr>
    <w:rPr>
      <w:rFonts w:eastAsiaTheme="majorEastAsia" w:cstheme="majorBidi"/>
      <w:b/>
      <w:color w:val="4B0885" w:themeColor="text2"/>
      <w:sz w:val="56"/>
      <w:szCs w:val="32"/>
    </w:rPr>
  </w:style>
  <w:style w:type="paragraph" w:styleId="Heading2">
    <w:name w:val="heading 2"/>
    <w:basedOn w:val="Normal"/>
    <w:next w:val="Normal"/>
    <w:link w:val="Heading2Char"/>
    <w:uiPriority w:val="9"/>
    <w:unhideWhenUsed/>
    <w:qFormat/>
    <w:rsid w:val="00D12938"/>
    <w:pPr>
      <w:keepNext/>
      <w:keepLines/>
      <w:spacing w:before="240" w:after="0" w:line="276"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12938"/>
    <w:pPr>
      <w:keepNext/>
      <w:keepLines/>
      <w:spacing w:before="240" w:after="0" w:line="276" w:lineRule="auto"/>
      <w:outlineLvl w:val="2"/>
    </w:pPr>
    <w:rPr>
      <w:rFonts w:eastAsiaTheme="majorEastAsia" w:cstheme="majorBidi"/>
      <w:b/>
      <w:color w:val="4B0885" w:themeColor="text2"/>
      <w:sz w:val="26"/>
      <w:szCs w:val="24"/>
    </w:rPr>
  </w:style>
  <w:style w:type="paragraph" w:styleId="Heading4">
    <w:name w:val="heading 4"/>
    <w:basedOn w:val="Normal"/>
    <w:next w:val="Normal"/>
    <w:link w:val="Heading4Char"/>
    <w:uiPriority w:val="9"/>
    <w:unhideWhenUsed/>
    <w:qFormat/>
    <w:rsid w:val="00D12938"/>
    <w:pPr>
      <w:spacing w:before="240" w:after="0" w:line="276" w:lineRule="auto"/>
      <w:outlineLvl w:val="3"/>
    </w:pPr>
    <w:rPr>
      <w:rFonts w:cs="Arial"/>
      <w:b/>
      <w:bCs/>
      <w:color w:val="012749" w:themeColor="accent3"/>
    </w:rPr>
  </w:style>
  <w:style w:type="paragraph" w:styleId="Heading5">
    <w:name w:val="heading 5"/>
    <w:basedOn w:val="Normal"/>
    <w:next w:val="Normal"/>
    <w:link w:val="Heading5Char"/>
    <w:uiPriority w:val="9"/>
    <w:unhideWhenUsed/>
    <w:qFormat/>
    <w:rsid w:val="00D12938"/>
    <w:pPr>
      <w:spacing w:before="240" w:after="0" w:line="276" w:lineRule="auto"/>
      <w:outlineLvl w:val="4"/>
    </w:pPr>
    <w:rPr>
      <w:rFonts w:cs="Arial"/>
      <w:color w:val="4B0885" w:themeColor="text2"/>
      <w:sz w:val="19"/>
      <w:szCs w:val="19"/>
    </w:rPr>
  </w:style>
  <w:style w:type="paragraph" w:styleId="Heading6">
    <w:name w:val="heading 6"/>
    <w:basedOn w:val="Normal"/>
    <w:next w:val="Normal"/>
    <w:link w:val="Heading6Char"/>
    <w:uiPriority w:val="9"/>
    <w:unhideWhenUsed/>
    <w:qFormat/>
    <w:rsid w:val="00D12938"/>
    <w:pPr>
      <w:keepNext/>
      <w:keepLines/>
      <w:spacing w:before="240" w:after="0" w:line="276" w:lineRule="auto"/>
      <w:outlineLvl w:val="5"/>
    </w:pPr>
    <w:rPr>
      <w:rFonts w:eastAsiaTheme="majorEastAsia" w:cstheme="majorBidi"/>
      <w:color w:val="341461" w:themeColor="accent1" w:themeShade="7F"/>
    </w:rPr>
  </w:style>
  <w:style w:type="paragraph" w:styleId="Heading7">
    <w:name w:val="heading 7"/>
    <w:basedOn w:val="Normal"/>
    <w:next w:val="Normal"/>
    <w:link w:val="Heading7Char"/>
    <w:uiPriority w:val="9"/>
    <w:unhideWhenUsed/>
    <w:rsid w:val="00642A9A"/>
    <w:pPr>
      <w:keepNext/>
      <w:keepLines/>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keepNext/>
      <w:keepLines/>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keepNext/>
      <w:keepLines/>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
    <w:rsid w:val="00233A75"/>
    <w:pPr>
      <w:spacing w:before="2600" w:after="24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9A0A07"/>
    <w:rPr>
      <w:rFonts w:ascii="Arial" w:eastAsiaTheme="majorEastAsia" w:hAnsi="Arial" w:cstheme="majorBidi"/>
      <w:b/>
      <w:color w:val="4B0885"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basedOn w:val="Normal"/>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6C282B"/>
    <w:pPr>
      <w:spacing w:after="0" w:line="240" w:lineRule="auto"/>
    </w:pPr>
    <w:rPr>
      <w:rFonts w:ascii="Arial" w:hAnsi="Arial"/>
    </w:r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6C282B"/>
    <w:pPr>
      <w:numPr>
        <w:numId w:val="7"/>
      </w:numPr>
      <w:spacing w:after="120"/>
      <w:ind w:left="284" w:hanging="284"/>
    </w:pPr>
    <w:rPr>
      <w:rFonts w:eastAsia="SimSun" w:cs="Times New Roman"/>
      <w:spacing w:val="-1"/>
      <w:szCs w:val="20"/>
      <w:lang w:val="en-GB" w:eastAsia="en-GB"/>
    </w:rPr>
  </w:style>
  <w:style w:type="character" w:customStyle="1" w:styleId="Heading2Char">
    <w:name w:val="Heading 2 Char"/>
    <w:basedOn w:val="DefaultParagraphFont"/>
    <w:link w:val="Heading2"/>
    <w:uiPriority w:val="9"/>
    <w:rsid w:val="00D12938"/>
    <w:rPr>
      <w:rFonts w:ascii="Arial" w:eastAsiaTheme="majorEastAsia" w:hAnsi="Arial" w:cstheme="majorBidi"/>
      <w:b/>
      <w:sz w:val="32"/>
      <w:szCs w:val="26"/>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D12938"/>
    <w:rPr>
      <w:rFonts w:ascii="Arial" w:eastAsiaTheme="majorEastAsia" w:hAnsi="Arial" w:cstheme="majorBidi"/>
      <w:b/>
      <w:color w:val="4B0885" w:themeColor="text2"/>
      <w:sz w:val="26"/>
      <w:szCs w:val="24"/>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7B2AD6"/>
    <w:pPr>
      <w:tabs>
        <w:tab w:val="right" w:leader="dot" w:pos="9016"/>
      </w:tabs>
      <w:ind w:left="220"/>
    </w:p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6C282B"/>
    <w:pPr>
      <w:numPr>
        <w:ilvl w:val="1"/>
        <w:numId w:val="7"/>
      </w:numPr>
      <w:spacing w:after="110"/>
      <w:ind w:left="568" w:hanging="284"/>
    </w:pPr>
    <w:rPr>
      <w:rFonts w:eastAsia="SimSun" w:cs="Times New Roman"/>
      <w:spacing w:val="-1"/>
      <w:szCs w:val="20"/>
      <w:lang w:val="en-GB" w:eastAsia="en-GB"/>
    </w:rPr>
  </w:style>
  <w:style w:type="paragraph" w:styleId="ListBullet3">
    <w:name w:val="List Bullet 3"/>
    <w:basedOn w:val="Normal"/>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D12938"/>
    <w:rPr>
      <w:rFonts w:ascii="Arial" w:hAnsi="Arial" w:cs="Arial"/>
      <w:b/>
      <w:bCs/>
      <w:color w:val="012749" w:themeColor="accent3"/>
    </w:rPr>
  </w:style>
  <w:style w:type="character" w:customStyle="1" w:styleId="Heading5Char">
    <w:name w:val="Heading 5 Char"/>
    <w:basedOn w:val="DefaultParagraphFont"/>
    <w:link w:val="Heading5"/>
    <w:uiPriority w:val="9"/>
    <w:rsid w:val="00D12938"/>
    <w:rPr>
      <w:rFonts w:ascii="Arial" w:hAnsi="Arial" w:cs="Arial"/>
      <w:color w:val="4B0885" w:themeColor="text2"/>
      <w:sz w:val="19"/>
      <w:szCs w:val="19"/>
    </w:rPr>
  </w:style>
  <w:style w:type="character" w:customStyle="1" w:styleId="Heading6Char">
    <w:name w:val="Heading 6 Char"/>
    <w:basedOn w:val="DefaultParagraphFont"/>
    <w:link w:val="Heading6"/>
    <w:uiPriority w:val="9"/>
    <w:rsid w:val="00D12938"/>
    <w:rPr>
      <w:rFonts w:ascii="Arial" w:eastAsiaTheme="majorEastAsia" w:hAnsi="Arial" w:cstheme="majorBidi"/>
      <w:color w:val="341461" w:themeColor="accent1" w:themeShade="7F"/>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642A9A"/>
    <w:pPr>
      <w:keepNext/>
      <w:spacing w:before="320" w:after="200" w:line="240" w:lineRule="auto"/>
    </w:pPr>
    <w:rPr>
      <w:b/>
      <w:bCs/>
      <w:sz w:val="18"/>
      <w:szCs w:val="18"/>
    </w:rPr>
  </w:style>
  <w:style w:type="paragraph" w:styleId="Subtitle">
    <w:name w:val="Subtitle"/>
    <w:basedOn w:val="Normal"/>
    <w:next w:val="Normal"/>
    <w:link w:val="SubtitleChar"/>
    <w:uiPriority w:val="1"/>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
    <w:rsid w:val="00233A75"/>
    <w:rPr>
      <w:rFonts w:asciiTheme="majorHAnsi" w:eastAsiaTheme="minorEastAsia" w:hAnsiTheme="majorHAnsi"/>
      <w:color w:val="FFFFFF" w:themeColor="background1"/>
      <w:sz w:val="48"/>
      <w:szCs w:val="48"/>
    </w:rPr>
  </w:style>
  <w:style w:type="paragraph" w:customStyle="1" w:styleId="Spacer">
    <w:name w:val="Spacer"/>
    <w:basedOn w:val="NoSpacing"/>
    <w:qFormat/>
    <w:rsid w:val="00506CD7"/>
    <w:pPr>
      <w:tabs>
        <w:tab w:val="left" w:pos="2906"/>
      </w:tabs>
    </w:pPr>
    <w:rPr>
      <w:rFonts w:ascii="Times New Roman" w:hAnsi="Times New Roman" w:cs="Times New Roman"/>
      <w:bCs/>
      <w:noProof/>
      <w:color w:val="E55493" w:themeColor="accent6" w:themeTint="99"/>
      <w:spacing w:val="-5"/>
      <w:sz w:val="6"/>
      <w:szCs w:val="23"/>
    </w:rPr>
  </w:style>
  <w:style w:type="character" w:styleId="PlaceholderText">
    <w:name w:val="Placeholder Text"/>
    <w:basedOn w:val="DefaultParagraphFont"/>
    <w:uiPriority w:val="99"/>
    <w:semiHidden/>
    <w:rsid w:val="00C6447C"/>
    <w:rPr>
      <w:color w:val="808080"/>
    </w:rPr>
  </w:style>
  <w:style w:type="paragraph" w:customStyle="1" w:styleId="Source">
    <w:name w:val="Source"/>
    <w:basedOn w:val="Normal"/>
    <w:next w:val="Normal"/>
    <w:qFormat/>
    <w:rsid w:val="00AF2783"/>
    <w:pPr>
      <w:spacing w:before="120" w:after="120"/>
    </w:pPr>
    <w:rPr>
      <w:sz w:val="18"/>
      <w:szCs w:val="18"/>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D12938"/>
    <w:rPr>
      <w:rFonts w:ascii="Arial" w:hAnsi="Arial"/>
      <w:b/>
      <w:i/>
      <w:sz w:val="22"/>
    </w:rPr>
  </w:style>
  <w:style w:type="character" w:styleId="Emphasis">
    <w:name w:val="Emphasis"/>
    <w:basedOn w:val="DefaultParagraphFont"/>
    <w:uiPriority w:val="20"/>
    <w:qFormat/>
    <w:rsid w:val="002927DB"/>
    <w:rPr>
      <w:rFonts w:ascii="Arial" w:hAnsi="Arial"/>
      <w:i/>
      <w:iCs/>
      <w:sz w:val="22"/>
    </w:rPr>
  </w:style>
  <w:style w:type="character" w:styleId="Strong">
    <w:name w:val="Strong"/>
    <w:basedOn w:val="DefaultParagraphFont"/>
    <w:uiPriority w:val="22"/>
    <w:qFormat/>
    <w:rsid w:val="00DB0916"/>
    <w:rPr>
      <w:rFonts w:ascii="Arial" w:hAnsi="Arial"/>
      <w:b/>
      <w:bCs/>
      <w:sz w:val="22"/>
    </w:rPr>
  </w:style>
  <w:style w:type="paragraph" w:styleId="Quote">
    <w:name w:val="Quote"/>
    <w:basedOn w:val="Normal"/>
    <w:next w:val="Normal"/>
    <w:link w:val="QuoteChar"/>
    <w:uiPriority w:val="29"/>
    <w:qFormat/>
    <w:rsid w:val="00DB0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0916"/>
    <w:rPr>
      <w:rFonts w:ascii="Arial" w:hAnsi="Arial"/>
      <w:i/>
      <w:iCs/>
      <w:color w:val="404040" w:themeColor="text1" w:themeTint="BF"/>
    </w:rPr>
  </w:style>
  <w:style w:type="paragraph" w:customStyle="1" w:styleId="Sub">
    <w:name w:val="Sub"/>
    <w:basedOn w:val="Heading2"/>
    <w:link w:val="SubChar"/>
    <w:qFormat/>
    <w:rsid w:val="00AA3BB9"/>
    <w:pPr>
      <w:spacing w:before="360" w:after="240"/>
    </w:pPr>
    <w:rPr>
      <w:sz w:val="40"/>
    </w:rPr>
  </w:style>
  <w:style w:type="character" w:customStyle="1" w:styleId="SubChar">
    <w:name w:val="Sub Char"/>
    <w:basedOn w:val="Heading2Char"/>
    <w:link w:val="Sub"/>
    <w:rsid w:val="00AA3BB9"/>
    <w:rPr>
      <w:rFonts w:ascii="Arial" w:eastAsiaTheme="majorEastAsia" w:hAnsi="Arial" w:cstheme="majorBidi"/>
      <w:b/>
      <w:sz w:val="40"/>
      <w:szCs w:val="26"/>
    </w:rPr>
  </w:style>
  <w:style w:type="paragraph" w:styleId="FootnoteText">
    <w:name w:val="footnote text"/>
    <w:aliases w:val="Footnote Text Char1 Char,Footnote Text Char Char1 Char,Footnote Text Char Char Char Char Char1,Footnote Text Char Char Char,Footnote Text Char Char Char Char"/>
    <w:basedOn w:val="Normal"/>
    <w:link w:val="FootnoteTextChar"/>
    <w:uiPriority w:val="99"/>
    <w:unhideWhenUsed/>
    <w:qFormat/>
    <w:rsid w:val="00855D7A"/>
    <w:pPr>
      <w:spacing w:after="0" w:line="240" w:lineRule="auto"/>
    </w:pPr>
    <w:rPr>
      <w:sz w:val="20"/>
      <w:szCs w:val="20"/>
    </w:rPr>
  </w:style>
  <w:style w:type="character" w:customStyle="1" w:styleId="FootnoteTextChar">
    <w:name w:val="Footnote Text Char"/>
    <w:aliases w:val="Footnote Text Char1 Char Char,Footnote Text Char Char1 Char Char,Footnote Text Char Char Char Char Char1 Char,Footnote Text Char Char Char Char1,Footnote Text Char Char Char Char Char"/>
    <w:basedOn w:val="DefaultParagraphFont"/>
    <w:link w:val="FootnoteText"/>
    <w:uiPriority w:val="99"/>
    <w:rsid w:val="00855D7A"/>
    <w:rPr>
      <w:rFonts w:ascii="Arial" w:hAnsi="Arial"/>
      <w:sz w:val="20"/>
      <w:szCs w:val="20"/>
    </w:rPr>
  </w:style>
  <w:style w:type="character" w:styleId="FootnoteReference">
    <w:name w:val="footnote reference"/>
    <w:aliases w:val="FC,(NECG) Footnote Reference,Footnote sign,Footnote sign1,EN Footnote Reference,number,SUPERS"/>
    <w:basedOn w:val="DefaultParagraphFont"/>
    <w:uiPriority w:val="99"/>
    <w:unhideWhenUsed/>
    <w:rsid w:val="00855D7A"/>
    <w:rPr>
      <w:vertAlign w:val="superscript"/>
    </w:rPr>
  </w:style>
  <w:style w:type="paragraph" w:customStyle="1" w:styleId="TableParagraph">
    <w:name w:val="Table Paragraph"/>
    <w:basedOn w:val="Normal"/>
    <w:uiPriority w:val="1"/>
    <w:qFormat/>
    <w:rsid w:val="000D4B2F"/>
    <w:pPr>
      <w:widowControl w:val="0"/>
      <w:autoSpaceDE w:val="0"/>
      <w:autoSpaceDN w:val="0"/>
      <w:spacing w:after="0" w:line="240" w:lineRule="auto"/>
      <w:jc w:val="center"/>
    </w:pPr>
    <w:rPr>
      <w:rFonts w:eastAsia="Arial" w:cs="Arial"/>
      <w:lang w:val="en-US"/>
    </w:rPr>
  </w:style>
  <w:style w:type="paragraph" w:customStyle="1" w:styleId="Bodycopy">
    <w:name w:val="Body copy"/>
    <w:basedOn w:val="Normal"/>
    <w:link w:val="BodycopyChar"/>
    <w:qFormat/>
    <w:rsid w:val="00D50333"/>
    <w:pPr>
      <w:spacing w:after="160" w:line="259" w:lineRule="auto"/>
    </w:pPr>
    <w:rPr>
      <w:color w:val="000000" w:themeColor="text1"/>
    </w:rPr>
  </w:style>
  <w:style w:type="character" w:customStyle="1" w:styleId="BodycopyChar">
    <w:name w:val="Body copy Char"/>
    <w:basedOn w:val="DefaultParagraphFont"/>
    <w:link w:val="Bodycopy"/>
    <w:rsid w:val="00D50333"/>
    <w:rPr>
      <w:rFonts w:ascii="Arial" w:hAnsi="Arial"/>
      <w:color w:val="000000" w:themeColor="text1"/>
    </w:rPr>
  </w:style>
  <w:style w:type="paragraph" w:styleId="Revision">
    <w:name w:val="Revision"/>
    <w:hidden/>
    <w:uiPriority w:val="99"/>
    <w:semiHidden/>
    <w:rsid w:val="00EE202F"/>
    <w:pPr>
      <w:spacing w:after="0" w:line="240" w:lineRule="auto"/>
    </w:pPr>
    <w:rPr>
      <w:rFonts w:ascii="Arial" w:hAnsi="Arial"/>
    </w:rPr>
  </w:style>
  <w:style w:type="paragraph" w:styleId="BodyText">
    <w:name w:val="Body Text"/>
    <w:basedOn w:val="Normal"/>
    <w:link w:val="BodyTextChar"/>
    <w:qFormat/>
    <w:rsid w:val="007E2E53"/>
    <w:pPr>
      <w:tabs>
        <w:tab w:val="left" w:pos="357"/>
        <w:tab w:val="left" w:pos="714"/>
        <w:tab w:val="left" w:pos="1072"/>
        <w:tab w:val="left" w:pos="1429"/>
      </w:tabs>
      <w:spacing w:before="120" w:after="120" w:line="276" w:lineRule="auto"/>
    </w:pPr>
    <w:rPr>
      <w:szCs w:val="20"/>
    </w:rPr>
  </w:style>
  <w:style w:type="character" w:customStyle="1" w:styleId="BodyTextChar">
    <w:name w:val="Body Text Char"/>
    <w:basedOn w:val="DefaultParagraphFont"/>
    <w:link w:val="BodyText"/>
    <w:rsid w:val="007E2E53"/>
    <w:rPr>
      <w:rFonts w:ascii="Arial" w:hAnsi="Arial"/>
      <w:szCs w:val="20"/>
    </w:rPr>
  </w:style>
  <w:style w:type="paragraph" w:customStyle="1" w:styleId="BoxHeading">
    <w:name w:val="Box Heading"/>
    <w:basedOn w:val="BodyText"/>
    <w:uiPriority w:val="16"/>
    <w:qFormat/>
    <w:rsid w:val="007E2E53"/>
    <w:pPr>
      <w:keepNext/>
    </w:pPr>
    <w:rPr>
      <w:b/>
      <w:color w:val="2F005F"/>
      <w:sz w:val="23"/>
      <w:lang w:eastAsia="en-GB"/>
    </w:rPr>
  </w:style>
  <w:style w:type="table" w:customStyle="1" w:styleId="CustomTablepulloutbox">
    <w:name w:val="Custom Table (pullout box)"/>
    <w:basedOn w:val="TableNormal"/>
    <w:uiPriority w:val="99"/>
    <w:rsid w:val="007E2E53"/>
    <w:pPr>
      <w:spacing w:after="0" w:line="240" w:lineRule="auto"/>
    </w:pPr>
    <w:rPr>
      <w:sz w:val="20"/>
      <w:szCs w:val="20"/>
      <w:lang w:val="en-US"/>
    </w:r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paragraph" w:styleId="EndnoteText">
    <w:name w:val="endnote text"/>
    <w:basedOn w:val="Normal"/>
    <w:link w:val="EndnoteTextChar"/>
    <w:uiPriority w:val="99"/>
    <w:semiHidden/>
    <w:unhideWhenUsed/>
    <w:rsid w:val="00AC0C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0C2F"/>
    <w:rPr>
      <w:rFonts w:ascii="Arial" w:hAnsi="Arial"/>
      <w:sz w:val="20"/>
      <w:szCs w:val="20"/>
    </w:rPr>
  </w:style>
  <w:style w:type="character" w:styleId="EndnoteReference">
    <w:name w:val="endnote reference"/>
    <w:basedOn w:val="DefaultParagraphFont"/>
    <w:uiPriority w:val="99"/>
    <w:semiHidden/>
    <w:unhideWhenUsed/>
    <w:rsid w:val="00AC0C2F"/>
    <w:rPr>
      <w:vertAlign w:val="superscript"/>
    </w:rPr>
  </w:style>
  <w:style w:type="character" w:styleId="FollowedHyperlink">
    <w:name w:val="FollowedHyperlink"/>
    <w:basedOn w:val="DefaultParagraphFont"/>
    <w:uiPriority w:val="99"/>
    <w:semiHidden/>
    <w:unhideWhenUsed/>
    <w:rsid w:val="00941773"/>
    <w:rPr>
      <w:color w:val="4B0885" w:themeColor="followedHyperlink"/>
      <w:u w:val="single"/>
    </w:rPr>
  </w:style>
  <w:style w:type="table" w:customStyle="1" w:styleId="PlainTable41">
    <w:name w:val="Plain Table 41"/>
    <w:basedOn w:val="TableNormal"/>
    <w:next w:val="PlainTable4"/>
    <w:uiPriority w:val="44"/>
    <w:rsid w:val="00C14228"/>
    <w:pPr>
      <w:spacing w:after="0" w:line="240" w:lineRule="auto"/>
    </w:pPr>
    <w:rPr>
      <w:rFonts w:ascii="Arial" w:eastAsia="Arial" w:hAnsi="Arial"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6281">
      <w:bodyDiv w:val="1"/>
      <w:marLeft w:val="0"/>
      <w:marRight w:val="0"/>
      <w:marTop w:val="0"/>
      <w:marBottom w:val="0"/>
      <w:divBdr>
        <w:top w:val="none" w:sz="0" w:space="0" w:color="auto"/>
        <w:left w:val="none" w:sz="0" w:space="0" w:color="auto"/>
        <w:bottom w:val="none" w:sz="0" w:space="0" w:color="auto"/>
        <w:right w:val="none" w:sz="0" w:space="0" w:color="auto"/>
      </w:divBdr>
    </w:div>
    <w:div w:id="231083366">
      <w:bodyDiv w:val="1"/>
      <w:marLeft w:val="0"/>
      <w:marRight w:val="0"/>
      <w:marTop w:val="0"/>
      <w:marBottom w:val="0"/>
      <w:divBdr>
        <w:top w:val="none" w:sz="0" w:space="0" w:color="auto"/>
        <w:left w:val="none" w:sz="0" w:space="0" w:color="auto"/>
        <w:bottom w:val="none" w:sz="0" w:space="0" w:color="auto"/>
        <w:right w:val="none" w:sz="0" w:space="0" w:color="auto"/>
      </w:divBdr>
    </w:div>
    <w:div w:id="261377381">
      <w:bodyDiv w:val="1"/>
      <w:marLeft w:val="0"/>
      <w:marRight w:val="0"/>
      <w:marTop w:val="0"/>
      <w:marBottom w:val="0"/>
      <w:divBdr>
        <w:top w:val="none" w:sz="0" w:space="0" w:color="auto"/>
        <w:left w:val="none" w:sz="0" w:space="0" w:color="auto"/>
        <w:bottom w:val="none" w:sz="0" w:space="0" w:color="auto"/>
        <w:right w:val="none" w:sz="0" w:space="0" w:color="auto"/>
      </w:divBdr>
    </w:div>
    <w:div w:id="273027872">
      <w:bodyDiv w:val="1"/>
      <w:marLeft w:val="0"/>
      <w:marRight w:val="0"/>
      <w:marTop w:val="0"/>
      <w:marBottom w:val="0"/>
      <w:divBdr>
        <w:top w:val="none" w:sz="0" w:space="0" w:color="auto"/>
        <w:left w:val="none" w:sz="0" w:space="0" w:color="auto"/>
        <w:bottom w:val="none" w:sz="0" w:space="0" w:color="auto"/>
        <w:right w:val="none" w:sz="0" w:space="0" w:color="auto"/>
      </w:divBdr>
    </w:div>
    <w:div w:id="333610724">
      <w:bodyDiv w:val="1"/>
      <w:marLeft w:val="0"/>
      <w:marRight w:val="0"/>
      <w:marTop w:val="0"/>
      <w:marBottom w:val="0"/>
      <w:divBdr>
        <w:top w:val="none" w:sz="0" w:space="0" w:color="auto"/>
        <w:left w:val="none" w:sz="0" w:space="0" w:color="auto"/>
        <w:bottom w:val="none" w:sz="0" w:space="0" w:color="auto"/>
        <w:right w:val="none" w:sz="0" w:space="0" w:color="auto"/>
      </w:divBdr>
    </w:div>
    <w:div w:id="362832097">
      <w:bodyDiv w:val="1"/>
      <w:marLeft w:val="0"/>
      <w:marRight w:val="0"/>
      <w:marTop w:val="0"/>
      <w:marBottom w:val="0"/>
      <w:divBdr>
        <w:top w:val="none" w:sz="0" w:space="0" w:color="auto"/>
        <w:left w:val="none" w:sz="0" w:space="0" w:color="auto"/>
        <w:bottom w:val="none" w:sz="0" w:space="0" w:color="auto"/>
        <w:right w:val="none" w:sz="0" w:space="0" w:color="auto"/>
      </w:divBdr>
    </w:div>
    <w:div w:id="409733667">
      <w:bodyDiv w:val="1"/>
      <w:marLeft w:val="0"/>
      <w:marRight w:val="0"/>
      <w:marTop w:val="0"/>
      <w:marBottom w:val="0"/>
      <w:divBdr>
        <w:top w:val="none" w:sz="0" w:space="0" w:color="auto"/>
        <w:left w:val="none" w:sz="0" w:space="0" w:color="auto"/>
        <w:bottom w:val="none" w:sz="0" w:space="0" w:color="auto"/>
        <w:right w:val="none" w:sz="0" w:space="0" w:color="auto"/>
      </w:divBdr>
    </w:div>
    <w:div w:id="460071509">
      <w:bodyDiv w:val="1"/>
      <w:marLeft w:val="0"/>
      <w:marRight w:val="0"/>
      <w:marTop w:val="0"/>
      <w:marBottom w:val="0"/>
      <w:divBdr>
        <w:top w:val="none" w:sz="0" w:space="0" w:color="auto"/>
        <w:left w:val="none" w:sz="0" w:space="0" w:color="auto"/>
        <w:bottom w:val="none" w:sz="0" w:space="0" w:color="auto"/>
        <w:right w:val="none" w:sz="0" w:space="0" w:color="auto"/>
      </w:divBdr>
    </w:div>
    <w:div w:id="461391279">
      <w:bodyDiv w:val="1"/>
      <w:marLeft w:val="0"/>
      <w:marRight w:val="0"/>
      <w:marTop w:val="0"/>
      <w:marBottom w:val="0"/>
      <w:divBdr>
        <w:top w:val="none" w:sz="0" w:space="0" w:color="auto"/>
        <w:left w:val="none" w:sz="0" w:space="0" w:color="auto"/>
        <w:bottom w:val="none" w:sz="0" w:space="0" w:color="auto"/>
        <w:right w:val="none" w:sz="0" w:space="0" w:color="auto"/>
      </w:divBdr>
    </w:div>
    <w:div w:id="533885871">
      <w:bodyDiv w:val="1"/>
      <w:marLeft w:val="0"/>
      <w:marRight w:val="0"/>
      <w:marTop w:val="0"/>
      <w:marBottom w:val="0"/>
      <w:divBdr>
        <w:top w:val="none" w:sz="0" w:space="0" w:color="auto"/>
        <w:left w:val="none" w:sz="0" w:space="0" w:color="auto"/>
        <w:bottom w:val="none" w:sz="0" w:space="0" w:color="auto"/>
        <w:right w:val="none" w:sz="0" w:space="0" w:color="auto"/>
      </w:divBdr>
    </w:div>
    <w:div w:id="566377027">
      <w:bodyDiv w:val="1"/>
      <w:marLeft w:val="0"/>
      <w:marRight w:val="0"/>
      <w:marTop w:val="0"/>
      <w:marBottom w:val="0"/>
      <w:divBdr>
        <w:top w:val="none" w:sz="0" w:space="0" w:color="auto"/>
        <w:left w:val="none" w:sz="0" w:space="0" w:color="auto"/>
        <w:bottom w:val="none" w:sz="0" w:space="0" w:color="auto"/>
        <w:right w:val="none" w:sz="0" w:space="0" w:color="auto"/>
      </w:divBdr>
    </w:div>
    <w:div w:id="589627777">
      <w:bodyDiv w:val="1"/>
      <w:marLeft w:val="0"/>
      <w:marRight w:val="0"/>
      <w:marTop w:val="0"/>
      <w:marBottom w:val="0"/>
      <w:divBdr>
        <w:top w:val="none" w:sz="0" w:space="0" w:color="auto"/>
        <w:left w:val="none" w:sz="0" w:space="0" w:color="auto"/>
        <w:bottom w:val="none" w:sz="0" w:space="0" w:color="auto"/>
        <w:right w:val="none" w:sz="0" w:space="0" w:color="auto"/>
      </w:divBdr>
    </w:div>
    <w:div w:id="830288839">
      <w:bodyDiv w:val="1"/>
      <w:marLeft w:val="0"/>
      <w:marRight w:val="0"/>
      <w:marTop w:val="0"/>
      <w:marBottom w:val="0"/>
      <w:divBdr>
        <w:top w:val="none" w:sz="0" w:space="0" w:color="auto"/>
        <w:left w:val="none" w:sz="0" w:space="0" w:color="auto"/>
        <w:bottom w:val="none" w:sz="0" w:space="0" w:color="auto"/>
        <w:right w:val="none" w:sz="0" w:space="0" w:color="auto"/>
      </w:divBdr>
    </w:div>
    <w:div w:id="890656329">
      <w:bodyDiv w:val="1"/>
      <w:marLeft w:val="0"/>
      <w:marRight w:val="0"/>
      <w:marTop w:val="0"/>
      <w:marBottom w:val="0"/>
      <w:divBdr>
        <w:top w:val="none" w:sz="0" w:space="0" w:color="auto"/>
        <w:left w:val="none" w:sz="0" w:space="0" w:color="auto"/>
        <w:bottom w:val="none" w:sz="0" w:space="0" w:color="auto"/>
        <w:right w:val="none" w:sz="0" w:space="0" w:color="auto"/>
      </w:divBdr>
    </w:div>
    <w:div w:id="924844422">
      <w:bodyDiv w:val="1"/>
      <w:marLeft w:val="0"/>
      <w:marRight w:val="0"/>
      <w:marTop w:val="0"/>
      <w:marBottom w:val="0"/>
      <w:divBdr>
        <w:top w:val="none" w:sz="0" w:space="0" w:color="auto"/>
        <w:left w:val="none" w:sz="0" w:space="0" w:color="auto"/>
        <w:bottom w:val="none" w:sz="0" w:space="0" w:color="auto"/>
        <w:right w:val="none" w:sz="0" w:space="0" w:color="auto"/>
      </w:divBdr>
    </w:div>
    <w:div w:id="951129370">
      <w:bodyDiv w:val="1"/>
      <w:marLeft w:val="0"/>
      <w:marRight w:val="0"/>
      <w:marTop w:val="0"/>
      <w:marBottom w:val="0"/>
      <w:divBdr>
        <w:top w:val="none" w:sz="0" w:space="0" w:color="auto"/>
        <w:left w:val="none" w:sz="0" w:space="0" w:color="auto"/>
        <w:bottom w:val="none" w:sz="0" w:space="0" w:color="auto"/>
        <w:right w:val="none" w:sz="0" w:space="0" w:color="auto"/>
      </w:divBdr>
    </w:div>
    <w:div w:id="998657059">
      <w:bodyDiv w:val="1"/>
      <w:marLeft w:val="0"/>
      <w:marRight w:val="0"/>
      <w:marTop w:val="0"/>
      <w:marBottom w:val="0"/>
      <w:divBdr>
        <w:top w:val="none" w:sz="0" w:space="0" w:color="auto"/>
        <w:left w:val="none" w:sz="0" w:space="0" w:color="auto"/>
        <w:bottom w:val="none" w:sz="0" w:space="0" w:color="auto"/>
        <w:right w:val="none" w:sz="0" w:space="0" w:color="auto"/>
      </w:divBdr>
    </w:div>
    <w:div w:id="1009605086">
      <w:bodyDiv w:val="1"/>
      <w:marLeft w:val="0"/>
      <w:marRight w:val="0"/>
      <w:marTop w:val="0"/>
      <w:marBottom w:val="0"/>
      <w:divBdr>
        <w:top w:val="none" w:sz="0" w:space="0" w:color="auto"/>
        <w:left w:val="none" w:sz="0" w:space="0" w:color="auto"/>
        <w:bottom w:val="none" w:sz="0" w:space="0" w:color="auto"/>
        <w:right w:val="none" w:sz="0" w:space="0" w:color="auto"/>
      </w:divBdr>
    </w:div>
    <w:div w:id="1014266461">
      <w:bodyDiv w:val="1"/>
      <w:marLeft w:val="0"/>
      <w:marRight w:val="0"/>
      <w:marTop w:val="0"/>
      <w:marBottom w:val="0"/>
      <w:divBdr>
        <w:top w:val="none" w:sz="0" w:space="0" w:color="auto"/>
        <w:left w:val="none" w:sz="0" w:space="0" w:color="auto"/>
        <w:bottom w:val="none" w:sz="0" w:space="0" w:color="auto"/>
        <w:right w:val="none" w:sz="0" w:space="0" w:color="auto"/>
      </w:divBdr>
    </w:div>
    <w:div w:id="1098452193">
      <w:bodyDiv w:val="1"/>
      <w:marLeft w:val="0"/>
      <w:marRight w:val="0"/>
      <w:marTop w:val="0"/>
      <w:marBottom w:val="0"/>
      <w:divBdr>
        <w:top w:val="none" w:sz="0" w:space="0" w:color="auto"/>
        <w:left w:val="none" w:sz="0" w:space="0" w:color="auto"/>
        <w:bottom w:val="none" w:sz="0" w:space="0" w:color="auto"/>
        <w:right w:val="none" w:sz="0" w:space="0" w:color="auto"/>
      </w:divBdr>
    </w:div>
    <w:div w:id="1101148222">
      <w:bodyDiv w:val="1"/>
      <w:marLeft w:val="0"/>
      <w:marRight w:val="0"/>
      <w:marTop w:val="0"/>
      <w:marBottom w:val="0"/>
      <w:divBdr>
        <w:top w:val="none" w:sz="0" w:space="0" w:color="auto"/>
        <w:left w:val="none" w:sz="0" w:space="0" w:color="auto"/>
        <w:bottom w:val="none" w:sz="0" w:space="0" w:color="auto"/>
        <w:right w:val="none" w:sz="0" w:space="0" w:color="auto"/>
      </w:divBdr>
    </w:div>
    <w:div w:id="1151600167">
      <w:bodyDiv w:val="1"/>
      <w:marLeft w:val="0"/>
      <w:marRight w:val="0"/>
      <w:marTop w:val="0"/>
      <w:marBottom w:val="0"/>
      <w:divBdr>
        <w:top w:val="none" w:sz="0" w:space="0" w:color="auto"/>
        <w:left w:val="none" w:sz="0" w:space="0" w:color="auto"/>
        <w:bottom w:val="none" w:sz="0" w:space="0" w:color="auto"/>
        <w:right w:val="none" w:sz="0" w:space="0" w:color="auto"/>
      </w:divBdr>
    </w:div>
    <w:div w:id="1171137928">
      <w:bodyDiv w:val="1"/>
      <w:marLeft w:val="0"/>
      <w:marRight w:val="0"/>
      <w:marTop w:val="0"/>
      <w:marBottom w:val="0"/>
      <w:divBdr>
        <w:top w:val="none" w:sz="0" w:space="0" w:color="auto"/>
        <w:left w:val="none" w:sz="0" w:space="0" w:color="auto"/>
        <w:bottom w:val="none" w:sz="0" w:space="0" w:color="auto"/>
        <w:right w:val="none" w:sz="0" w:space="0" w:color="auto"/>
      </w:divBdr>
    </w:div>
    <w:div w:id="1237130358">
      <w:bodyDiv w:val="1"/>
      <w:marLeft w:val="0"/>
      <w:marRight w:val="0"/>
      <w:marTop w:val="0"/>
      <w:marBottom w:val="0"/>
      <w:divBdr>
        <w:top w:val="none" w:sz="0" w:space="0" w:color="auto"/>
        <w:left w:val="none" w:sz="0" w:space="0" w:color="auto"/>
        <w:bottom w:val="none" w:sz="0" w:space="0" w:color="auto"/>
        <w:right w:val="none" w:sz="0" w:space="0" w:color="auto"/>
      </w:divBdr>
    </w:div>
    <w:div w:id="1351877707">
      <w:bodyDiv w:val="1"/>
      <w:marLeft w:val="0"/>
      <w:marRight w:val="0"/>
      <w:marTop w:val="0"/>
      <w:marBottom w:val="0"/>
      <w:divBdr>
        <w:top w:val="none" w:sz="0" w:space="0" w:color="auto"/>
        <w:left w:val="none" w:sz="0" w:space="0" w:color="auto"/>
        <w:bottom w:val="none" w:sz="0" w:space="0" w:color="auto"/>
        <w:right w:val="none" w:sz="0" w:space="0" w:color="auto"/>
      </w:divBdr>
    </w:div>
    <w:div w:id="1361786597">
      <w:bodyDiv w:val="1"/>
      <w:marLeft w:val="0"/>
      <w:marRight w:val="0"/>
      <w:marTop w:val="0"/>
      <w:marBottom w:val="0"/>
      <w:divBdr>
        <w:top w:val="none" w:sz="0" w:space="0" w:color="auto"/>
        <w:left w:val="none" w:sz="0" w:space="0" w:color="auto"/>
        <w:bottom w:val="none" w:sz="0" w:space="0" w:color="auto"/>
        <w:right w:val="none" w:sz="0" w:space="0" w:color="auto"/>
      </w:divBdr>
    </w:div>
    <w:div w:id="1469740561">
      <w:bodyDiv w:val="1"/>
      <w:marLeft w:val="0"/>
      <w:marRight w:val="0"/>
      <w:marTop w:val="0"/>
      <w:marBottom w:val="0"/>
      <w:divBdr>
        <w:top w:val="none" w:sz="0" w:space="0" w:color="auto"/>
        <w:left w:val="none" w:sz="0" w:space="0" w:color="auto"/>
        <w:bottom w:val="none" w:sz="0" w:space="0" w:color="auto"/>
        <w:right w:val="none" w:sz="0" w:space="0" w:color="auto"/>
      </w:divBdr>
    </w:div>
    <w:div w:id="1515195226">
      <w:bodyDiv w:val="1"/>
      <w:marLeft w:val="0"/>
      <w:marRight w:val="0"/>
      <w:marTop w:val="0"/>
      <w:marBottom w:val="0"/>
      <w:divBdr>
        <w:top w:val="none" w:sz="0" w:space="0" w:color="auto"/>
        <w:left w:val="none" w:sz="0" w:space="0" w:color="auto"/>
        <w:bottom w:val="none" w:sz="0" w:space="0" w:color="auto"/>
        <w:right w:val="none" w:sz="0" w:space="0" w:color="auto"/>
      </w:divBdr>
    </w:div>
    <w:div w:id="1515995972">
      <w:bodyDiv w:val="1"/>
      <w:marLeft w:val="0"/>
      <w:marRight w:val="0"/>
      <w:marTop w:val="0"/>
      <w:marBottom w:val="0"/>
      <w:divBdr>
        <w:top w:val="none" w:sz="0" w:space="0" w:color="auto"/>
        <w:left w:val="none" w:sz="0" w:space="0" w:color="auto"/>
        <w:bottom w:val="none" w:sz="0" w:space="0" w:color="auto"/>
        <w:right w:val="none" w:sz="0" w:space="0" w:color="auto"/>
      </w:divBdr>
    </w:div>
    <w:div w:id="1562593666">
      <w:bodyDiv w:val="1"/>
      <w:marLeft w:val="0"/>
      <w:marRight w:val="0"/>
      <w:marTop w:val="0"/>
      <w:marBottom w:val="0"/>
      <w:divBdr>
        <w:top w:val="none" w:sz="0" w:space="0" w:color="auto"/>
        <w:left w:val="none" w:sz="0" w:space="0" w:color="auto"/>
        <w:bottom w:val="none" w:sz="0" w:space="0" w:color="auto"/>
        <w:right w:val="none" w:sz="0" w:space="0" w:color="auto"/>
      </w:divBdr>
      <w:divsChild>
        <w:div w:id="361787752">
          <w:marLeft w:val="446"/>
          <w:marRight w:val="0"/>
          <w:marTop w:val="60"/>
          <w:marBottom w:val="60"/>
          <w:divBdr>
            <w:top w:val="none" w:sz="0" w:space="0" w:color="auto"/>
            <w:left w:val="none" w:sz="0" w:space="0" w:color="auto"/>
            <w:bottom w:val="none" w:sz="0" w:space="0" w:color="auto"/>
            <w:right w:val="none" w:sz="0" w:space="0" w:color="auto"/>
          </w:divBdr>
        </w:div>
      </w:divsChild>
    </w:div>
    <w:div w:id="1572689916">
      <w:bodyDiv w:val="1"/>
      <w:marLeft w:val="0"/>
      <w:marRight w:val="0"/>
      <w:marTop w:val="0"/>
      <w:marBottom w:val="0"/>
      <w:divBdr>
        <w:top w:val="none" w:sz="0" w:space="0" w:color="auto"/>
        <w:left w:val="none" w:sz="0" w:space="0" w:color="auto"/>
        <w:bottom w:val="none" w:sz="0" w:space="0" w:color="auto"/>
        <w:right w:val="none" w:sz="0" w:space="0" w:color="auto"/>
      </w:divBdr>
    </w:div>
    <w:div w:id="1642423717">
      <w:bodyDiv w:val="1"/>
      <w:marLeft w:val="0"/>
      <w:marRight w:val="0"/>
      <w:marTop w:val="0"/>
      <w:marBottom w:val="0"/>
      <w:divBdr>
        <w:top w:val="none" w:sz="0" w:space="0" w:color="auto"/>
        <w:left w:val="none" w:sz="0" w:space="0" w:color="auto"/>
        <w:bottom w:val="none" w:sz="0" w:space="0" w:color="auto"/>
        <w:right w:val="none" w:sz="0" w:space="0" w:color="auto"/>
      </w:divBdr>
    </w:div>
    <w:div w:id="1724137362">
      <w:bodyDiv w:val="1"/>
      <w:marLeft w:val="0"/>
      <w:marRight w:val="0"/>
      <w:marTop w:val="0"/>
      <w:marBottom w:val="0"/>
      <w:divBdr>
        <w:top w:val="none" w:sz="0" w:space="0" w:color="auto"/>
        <w:left w:val="none" w:sz="0" w:space="0" w:color="auto"/>
        <w:bottom w:val="none" w:sz="0" w:space="0" w:color="auto"/>
        <w:right w:val="none" w:sz="0" w:space="0" w:color="auto"/>
      </w:divBdr>
    </w:div>
    <w:div w:id="1740055263">
      <w:bodyDiv w:val="1"/>
      <w:marLeft w:val="0"/>
      <w:marRight w:val="0"/>
      <w:marTop w:val="0"/>
      <w:marBottom w:val="0"/>
      <w:divBdr>
        <w:top w:val="none" w:sz="0" w:space="0" w:color="auto"/>
        <w:left w:val="none" w:sz="0" w:space="0" w:color="auto"/>
        <w:bottom w:val="none" w:sz="0" w:space="0" w:color="auto"/>
        <w:right w:val="none" w:sz="0" w:space="0" w:color="auto"/>
      </w:divBdr>
    </w:div>
    <w:div w:id="1797869502">
      <w:bodyDiv w:val="1"/>
      <w:marLeft w:val="0"/>
      <w:marRight w:val="0"/>
      <w:marTop w:val="0"/>
      <w:marBottom w:val="0"/>
      <w:divBdr>
        <w:top w:val="none" w:sz="0" w:space="0" w:color="auto"/>
        <w:left w:val="none" w:sz="0" w:space="0" w:color="auto"/>
        <w:bottom w:val="none" w:sz="0" w:space="0" w:color="auto"/>
        <w:right w:val="none" w:sz="0" w:space="0" w:color="auto"/>
      </w:divBdr>
    </w:div>
    <w:div w:id="1817141928">
      <w:bodyDiv w:val="1"/>
      <w:marLeft w:val="0"/>
      <w:marRight w:val="0"/>
      <w:marTop w:val="0"/>
      <w:marBottom w:val="0"/>
      <w:divBdr>
        <w:top w:val="none" w:sz="0" w:space="0" w:color="auto"/>
        <w:left w:val="none" w:sz="0" w:space="0" w:color="auto"/>
        <w:bottom w:val="none" w:sz="0" w:space="0" w:color="auto"/>
        <w:right w:val="none" w:sz="0" w:space="0" w:color="auto"/>
      </w:divBdr>
    </w:div>
    <w:div w:id="1971399321">
      <w:bodyDiv w:val="1"/>
      <w:marLeft w:val="0"/>
      <w:marRight w:val="0"/>
      <w:marTop w:val="0"/>
      <w:marBottom w:val="0"/>
      <w:divBdr>
        <w:top w:val="none" w:sz="0" w:space="0" w:color="auto"/>
        <w:left w:val="none" w:sz="0" w:space="0" w:color="auto"/>
        <w:bottom w:val="none" w:sz="0" w:space="0" w:color="auto"/>
        <w:right w:val="none" w:sz="0" w:space="0" w:color="auto"/>
      </w:divBdr>
    </w:div>
    <w:div w:id="209906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jobsandskills.gov.au/data/regional-labour-market-indicator"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RegionalWorkforceAssessment@jobsandskills.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C445EDE30F41718968622BBF37206F"/>
        <w:category>
          <w:name w:val="General"/>
          <w:gallery w:val="placeholder"/>
        </w:category>
        <w:types>
          <w:type w:val="bbPlcHdr"/>
        </w:types>
        <w:behaviors>
          <w:behavior w:val="content"/>
        </w:behaviors>
        <w:guid w:val="{3EFA744C-5BA9-4043-A6A3-D22DD1691B9B}"/>
      </w:docPartPr>
      <w:docPartBody>
        <w:p w:rsidR="005A0B81" w:rsidRDefault="005A0B81">
          <w:r w:rsidRPr="000A0CC2">
            <w:rPr>
              <w:rStyle w:val="PlaceholderText"/>
            </w:rPr>
            <w:t>[Title]</w:t>
          </w:r>
        </w:p>
      </w:docPartBody>
    </w:docPart>
    <w:docPart>
      <w:docPartPr>
        <w:name w:val="E4DB317D2DA340B1AF9BACDEE3AB05B6"/>
        <w:category>
          <w:name w:val="General"/>
          <w:gallery w:val="placeholder"/>
        </w:category>
        <w:types>
          <w:type w:val="bbPlcHdr"/>
        </w:types>
        <w:behaviors>
          <w:behavior w:val="content"/>
        </w:behaviors>
        <w:guid w:val="{46A77693-D3E8-468C-B253-5FB8596E7280}"/>
      </w:docPartPr>
      <w:docPartBody>
        <w:p w:rsidR="00C337DD" w:rsidRDefault="00C337DD">
          <w:r w:rsidRPr="00322167">
            <w:rPr>
              <w:rStyle w:val="PlaceholderText"/>
            </w:rPr>
            <w:t>[Title]</w:t>
          </w:r>
        </w:p>
      </w:docPartBody>
    </w:docPart>
    <w:docPart>
      <w:docPartPr>
        <w:name w:val="2D2D024BDF304EF58EB26857CD7A9952"/>
        <w:category>
          <w:name w:val="General"/>
          <w:gallery w:val="placeholder"/>
        </w:category>
        <w:types>
          <w:type w:val="bbPlcHdr"/>
        </w:types>
        <w:behaviors>
          <w:behavior w:val="content"/>
        </w:behaviors>
        <w:guid w:val="{0ACB7B68-71CD-44C4-B04C-91E1C95D966F}"/>
      </w:docPartPr>
      <w:docPartBody>
        <w:p w:rsidR="00EC6E4F" w:rsidRDefault="00AA5C14" w:rsidP="00AA5C14">
          <w:pPr>
            <w:pStyle w:val="2D2D024BDF304EF58EB26857CD7A9952"/>
          </w:pPr>
          <w:r w:rsidRPr="0032216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81"/>
    <w:rsid w:val="00033C4C"/>
    <w:rsid w:val="00044B8A"/>
    <w:rsid w:val="00046F03"/>
    <w:rsid w:val="00052436"/>
    <w:rsid w:val="000707FE"/>
    <w:rsid w:val="00087EA6"/>
    <w:rsid w:val="00090D67"/>
    <w:rsid w:val="000914F8"/>
    <w:rsid w:val="000A2382"/>
    <w:rsid w:val="000B77BD"/>
    <w:rsid w:val="000C6F70"/>
    <w:rsid w:val="000D732B"/>
    <w:rsid w:val="000F245F"/>
    <w:rsid w:val="0012162E"/>
    <w:rsid w:val="00183D17"/>
    <w:rsid w:val="00194459"/>
    <w:rsid w:val="00195C1B"/>
    <w:rsid w:val="001B274F"/>
    <w:rsid w:val="001D645B"/>
    <w:rsid w:val="001E320C"/>
    <w:rsid w:val="002032B5"/>
    <w:rsid w:val="002078E2"/>
    <w:rsid w:val="00264EA1"/>
    <w:rsid w:val="00297FB4"/>
    <w:rsid w:val="002D1AAA"/>
    <w:rsid w:val="002E428C"/>
    <w:rsid w:val="003147AA"/>
    <w:rsid w:val="00333799"/>
    <w:rsid w:val="0033648B"/>
    <w:rsid w:val="003A6210"/>
    <w:rsid w:val="00453B93"/>
    <w:rsid w:val="004543E0"/>
    <w:rsid w:val="00461E16"/>
    <w:rsid w:val="00473083"/>
    <w:rsid w:val="00475DED"/>
    <w:rsid w:val="00482379"/>
    <w:rsid w:val="00483F08"/>
    <w:rsid w:val="00484312"/>
    <w:rsid w:val="00487B1D"/>
    <w:rsid w:val="004D5816"/>
    <w:rsid w:val="004F5749"/>
    <w:rsid w:val="00511F38"/>
    <w:rsid w:val="00533420"/>
    <w:rsid w:val="005542C9"/>
    <w:rsid w:val="00570FC1"/>
    <w:rsid w:val="00576CBE"/>
    <w:rsid w:val="00580DE9"/>
    <w:rsid w:val="00583A3B"/>
    <w:rsid w:val="00591B41"/>
    <w:rsid w:val="005A0B81"/>
    <w:rsid w:val="005B7DB3"/>
    <w:rsid w:val="005F5327"/>
    <w:rsid w:val="006150B2"/>
    <w:rsid w:val="00616134"/>
    <w:rsid w:val="0061666E"/>
    <w:rsid w:val="00647290"/>
    <w:rsid w:val="00657D92"/>
    <w:rsid w:val="0066452D"/>
    <w:rsid w:val="006869C5"/>
    <w:rsid w:val="006B1365"/>
    <w:rsid w:val="006F7463"/>
    <w:rsid w:val="0071394E"/>
    <w:rsid w:val="007405AF"/>
    <w:rsid w:val="00747569"/>
    <w:rsid w:val="00762492"/>
    <w:rsid w:val="00777AB8"/>
    <w:rsid w:val="00781A2C"/>
    <w:rsid w:val="007C57C1"/>
    <w:rsid w:val="007D501F"/>
    <w:rsid w:val="007F6B0C"/>
    <w:rsid w:val="008215D5"/>
    <w:rsid w:val="008411E9"/>
    <w:rsid w:val="00875EDF"/>
    <w:rsid w:val="00887072"/>
    <w:rsid w:val="0089009F"/>
    <w:rsid w:val="008A0DBE"/>
    <w:rsid w:val="008D383F"/>
    <w:rsid w:val="008E0C21"/>
    <w:rsid w:val="00923DA5"/>
    <w:rsid w:val="00936B06"/>
    <w:rsid w:val="009808F4"/>
    <w:rsid w:val="009A1FF3"/>
    <w:rsid w:val="009A7D43"/>
    <w:rsid w:val="009E0D09"/>
    <w:rsid w:val="00A428F8"/>
    <w:rsid w:val="00A46393"/>
    <w:rsid w:val="00AA456D"/>
    <w:rsid w:val="00AA5C14"/>
    <w:rsid w:val="00B1131A"/>
    <w:rsid w:val="00B42CEC"/>
    <w:rsid w:val="00B77C34"/>
    <w:rsid w:val="00BA4AB5"/>
    <w:rsid w:val="00BE46FD"/>
    <w:rsid w:val="00BF1239"/>
    <w:rsid w:val="00C337DD"/>
    <w:rsid w:val="00C566C8"/>
    <w:rsid w:val="00C650E8"/>
    <w:rsid w:val="00CB1E49"/>
    <w:rsid w:val="00CB5F31"/>
    <w:rsid w:val="00CD066C"/>
    <w:rsid w:val="00D5419D"/>
    <w:rsid w:val="00D74476"/>
    <w:rsid w:val="00DF4CD1"/>
    <w:rsid w:val="00DF4E0E"/>
    <w:rsid w:val="00E16680"/>
    <w:rsid w:val="00E24293"/>
    <w:rsid w:val="00E27F17"/>
    <w:rsid w:val="00E30DA3"/>
    <w:rsid w:val="00E554F9"/>
    <w:rsid w:val="00E56DA3"/>
    <w:rsid w:val="00E962D2"/>
    <w:rsid w:val="00EA637B"/>
    <w:rsid w:val="00EC6E4F"/>
    <w:rsid w:val="00EE2CA5"/>
    <w:rsid w:val="00EF3EC1"/>
    <w:rsid w:val="00EF6149"/>
    <w:rsid w:val="00F36646"/>
    <w:rsid w:val="00F612A5"/>
    <w:rsid w:val="00F753F2"/>
    <w:rsid w:val="00FA2284"/>
    <w:rsid w:val="00FB78D9"/>
    <w:rsid w:val="00FC246B"/>
    <w:rsid w:val="00FD53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C14"/>
    <w:rPr>
      <w:color w:val="808080"/>
    </w:rPr>
  </w:style>
  <w:style w:type="paragraph" w:customStyle="1" w:styleId="2D2D024BDF304EF58EB26857CD7A9952">
    <w:name w:val="2D2D024BDF304EF58EB26857CD7A9952"/>
    <w:rsid w:val="00AA5C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JSA New">
      <a:majorFont>
        <a:latin typeface="Arial Nova"/>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B81D2A8C074844941223011A4426D8" ma:contentTypeVersion="13" ma:contentTypeDescription="Create a new document." ma:contentTypeScope="" ma:versionID="d7e6fe269d6378d4566c0a6473a3d46e">
  <xsd:schema xmlns:xsd="http://www.w3.org/2001/XMLSchema" xmlns:xs="http://www.w3.org/2001/XMLSchema" xmlns:p="http://schemas.microsoft.com/office/2006/metadata/properties" xmlns:ns2="ab20247e-6a0c-49af-8cbd-2b7571a2fff6" xmlns:ns3="e52dc7d0-ebe8-463d-9526-0b9a67aad5dc" targetNamespace="http://schemas.microsoft.com/office/2006/metadata/properties" ma:root="true" ma:fieldsID="d316d9277698d8c3008f0a876ebc3e34" ns2:_="" ns3:_="">
    <xsd:import namespace="ab20247e-6a0c-49af-8cbd-2b7571a2fff6"/>
    <xsd:import namespace="e52dc7d0-ebe8-463d-9526-0b9a67aad5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0247e-6a0c-49af-8cbd-2b7571a2ff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2dc7d0-ebe8-463d-9526-0b9a67aad5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4b38d1b-7891-4943-9719-c8494824accb}" ma:internalName="TaxCatchAll" ma:showField="CatchAllData" ma:web="e52dc7d0-ebe8-463d-9526-0b9a67aad5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52dc7d0-ebe8-463d-9526-0b9a67aad5dc" xsi:nil="true"/>
    <lcf76f155ced4ddcb4097134ff3c332f xmlns="ab20247e-6a0c-49af-8cbd-2b7571a2fff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D1AA2-DD4A-4BD9-BEF0-29AE345AB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0247e-6a0c-49af-8cbd-2b7571a2fff6"/>
    <ds:schemaRef ds:uri="e52dc7d0-ebe8-463d-9526-0b9a67aad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CD174A-DF8D-45B2-A472-5D93840213C4}">
  <ds:schemaRefs>
    <ds:schemaRef ds:uri="http://schemas.openxmlformats.org/officeDocument/2006/bibliography"/>
  </ds:schemaRefs>
</ds:datastoreItem>
</file>

<file path=customXml/itemProps3.xml><?xml version="1.0" encoding="utf-8"?>
<ds:datastoreItem xmlns:ds="http://schemas.openxmlformats.org/officeDocument/2006/customXml" ds:itemID="{44083749-92F8-4312-917A-7ED321D5BB6C}">
  <ds:schemaRefs>
    <ds:schemaRef ds:uri="http://schemas.microsoft.com/office/2006/metadata/properties"/>
    <ds:schemaRef ds:uri="http://schemas.microsoft.com/office/infopath/2007/PartnerControls"/>
    <ds:schemaRef ds:uri="e52dc7d0-ebe8-463d-9526-0b9a67aad5dc"/>
    <ds:schemaRef ds:uri="ab20247e-6a0c-49af-8cbd-2b7571a2fff6"/>
  </ds:schemaRefs>
</ds:datastoreItem>
</file>

<file path=customXml/itemProps4.xml><?xml version="1.0" encoding="utf-8"?>
<ds:datastoreItem xmlns:ds="http://schemas.openxmlformats.org/officeDocument/2006/customXml" ds:itemID="{D2767044-9AD2-45C6-9990-EA8601577B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10</Pages>
  <Words>2599</Words>
  <Characters>15284</Characters>
  <Application>Microsoft Office Word</Application>
  <DocSecurity>0</DocSecurity>
  <Lines>325</Lines>
  <Paragraphs>180</Paragraphs>
  <ScaleCrop>false</ScaleCrop>
  <HeadingPairs>
    <vt:vector size="2" baseType="variant">
      <vt:variant>
        <vt:lpstr>Title</vt:lpstr>
      </vt:variant>
      <vt:variant>
        <vt:i4>1</vt:i4>
      </vt:variant>
    </vt:vector>
  </HeadingPairs>
  <TitlesOfParts>
    <vt:vector size="1" baseType="lpstr">
      <vt:lpstr>Regional Labour Market Indicator (RLMI) Results – March 2026</vt:lpstr>
    </vt:vector>
  </TitlesOfParts>
  <Company>JSA</Company>
  <LinksUpToDate>false</LinksUpToDate>
  <CharactersWithSpaces>17703</CharactersWithSpaces>
  <SharedDoc>false</SharedDoc>
  <HLinks>
    <vt:vector size="6" baseType="variant">
      <vt:variant>
        <vt:i4>7340037</vt:i4>
      </vt:variant>
      <vt:variant>
        <vt:i4>0</vt:i4>
      </vt:variant>
      <vt:variant>
        <vt:i4>0</vt:i4>
      </vt:variant>
      <vt:variant>
        <vt:i4>5</vt:i4>
      </vt:variant>
      <vt:variant>
        <vt:lpwstr>mailto:RegionalWorkforceAssessment@jobsandskills.gov.au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Labour Market Indicator (RLMI) Results – March 2026</dc:title>
  <dc:subject>Report</dc:subject>
  <dc:creator>JSA</dc:creator>
  <cp:keywords>JSA report template</cp:keywords>
  <dc:description>Use this template to create a JSA report</dc:description>
  <cp:lastModifiedBy>SANDERSON,Jack</cp:lastModifiedBy>
  <cp:revision>10</cp:revision>
  <cp:lastPrinted>2026-02-26T23:27:00Z</cp:lastPrinted>
  <dcterms:created xsi:type="dcterms:W3CDTF">2026-05-20T07:33:00Z</dcterms:created>
  <dcterms:modified xsi:type="dcterms:W3CDTF">2026-05-25T02:47:00Z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2022-09-15T23:55:34Z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f75a6c9c-2dc5-4226-aa17-a78cb4793ba6</vt:lpwstr>
  </property>
  <property fmtid="{D5CDD505-2E9C-101B-9397-08002B2CF9AE}" pid="8" name="MSIP_Label_79d889eb-932f-4752-8739-64d25806ef64_ContentBits">
    <vt:lpwstr>0</vt:lpwstr>
  </property>
  <property fmtid="{D5CDD505-2E9C-101B-9397-08002B2CF9AE}" pid="9" name="ContentTypeId">
    <vt:lpwstr>0x01010002B81D2A8C074844941223011A4426D8</vt:lpwstr>
  </property>
  <property fmtid="{D5CDD505-2E9C-101B-9397-08002B2CF9AE}" pid="10" name="MediaServiceImageTags">
    <vt:lpwstr/>
  </property>
</Properties>
</file>