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1A60" w14:textId="77777777" w:rsidR="004F5741" w:rsidRDefault="003416A1">
      <w:pPr>
        <w:pStyle w:val="Heading1"/>
      </w:pPr>
      <w:bookmarkStart w:id="0" w:name="X98eb0bd59f375ade534579571e27392b1a90e3d"/>
      <w:r>
        <w:t xml:space="preserve">Recruitment Experiences and Outlook Survey: </w:t>
      </w:r>
      <w:r>
        <w:rPr>
          <w:bCs/>
        </w:rPr>
        <w:t>March quarter 2026</w:t>
      </w:r>
    </w:p>
    <w:p w14:paraId="1B3EC4AC" w14:textId="45778800" w:rsidR="004F5741" w:rsidRDefault="003416A1">
      <w:r>
        <w:t xml:space="preserve">Jobs and Skills Australia </w:t>
      </w:r>
      <w:proofErr w:type="gramStart"/>
      <w:r>
        <w:t>conducts</w:t>
      </w:r>
      <w:proofErr w:type="gramEnd"/>
      <w:r>
        <w:t xml:space="preserve"> the Recruitment Experiences and Outlook Survey (REOS) to monitor recruitment activity and conditions across Australia. Key national indicators from the survey are released monthly</w:t>
      </w:r>
      <w:r w:rsidR="005B098E">
        <w:t>. D</w:t>
      </w:r>
      <w:r>
        <w:t>etailed data disaggregated by state, area, industry, and occupation are released in this quarterly report. For definitions</w:t>
      </w:r>
      <w:r w:rsidR="005843E1">
        <w:t xml:space="preserve"> or</w:t>
      </w:r>
      <w:r>
        <w:t xml:space="preserve"> further information on th</w:t>
      </w:r>
      <w:r w:rsidR="005843E1">
        <w:t>is</w:t>
      </w:r>
      <w:r>
        <w:t xml:space="preserve"> data and the REOS, </w:t>
      </w:r>
      <w:r w:rsidR="00ED10BF">
        <w:t>see</w:t>
      </w:r>
      <w:r>
        <w:t xml:space="preserve"> the notes on the last page.</w:t>
      </w:r>
    </w:p>
    <w:p w14:paraId="520BAE42" w14:textId="22A874AB" w:rsidR="004F5741" w:rsidRDefault="003416A1">
      <w:pPr>
        <w:pStyle w:val="Heading3"/>
      </w:pPr>
      <w:bookmarkStart w:id="1" w:name="recruitment-rate---national-level"/>
      <w:r>
        <w:t>Recruitment rate - National level</w:t>
      </w:r>
    </w:p>
    <w:tbl>
      <w:tblPr>
        <w:tblW w:w="5000" w:type="pct"/>
        <w:tblLayout w:type="fixed"/>
        <w:tblLook w:val="0000" w:firstRow="0" w:lastRow="0" w:firstColumn="0" w:lastColumn="0" w:noHBand="0" w:noVBand="0"/>
      </w:tblPr>
      <w:tblGrid>
        <w:gridCol w:w="5783"/>
        <w:gridCol w:w="3855"/>
      </w:tblGrid>
      <w:tr w:rsidR="004F5741" w14:paraId="331EAC03" w14:textId="77777777">
        <w:tc>
          <w:tcPr>
            <w:tcW w:w="4752" w:type="dxa"/>
          </w:tcPr>
          <w:tbl>
            <w:tblPr>
              <w:tblW w:w="0" w:type="auto"/>
              <w:jc w:val="center"/>
              <w:tblLayout w:type="fixed"/>
              <w:tblLook w:val="0420" w:firstRow="1" w:lastRow="0" w:firstColumn="0" w:lastColumn="0" w:noHBand="0" w:noVBand="1"/>
            </w:tblPr>
            <w:tblGrid>
              <w:gridCol w:w="153"/>
              <w:gridCol w:w="153"/>
              <w:gridCol w:w="153"/>
              <w:gridCol w:w="153"/>
              <w:gridCol w:w="153"/>
              <w:gridCol w:w="153"/>
              <w:gridCol w:w="153"/>
              <w:gridCol w:w="153"/>
              <w:gridCol w:w="153"/>
              <w:gridCol w:w="153"/>
              <w:gridCol w:w="153"/>
              <w:gridCol w:w="153"/>
              <w:gridCol w:w="153"/>
            </w:tblGrid>
            <w:tr w:rsidR="00611243" w:rsidRPr="00611243" w14:paraId="35857AAC" w14:textId="77777777" w:rsidTr="00E45326">
              <w:trPr>
                <w:trHeight w:val="12"/>
                <w:tblHeader/>
                <w:jc w:val="center"/>
              </w:trPr>
              <w:tc>
                <w:tcPr>
                  <w:tcW w:w="153" w:type="dxa"/>
                  <w:shd w:val="clear" w:color="auto" w:fill="FFFFFF"/>
                  <w:tcMar>
                    <w:top w:w="0" w:type="dxa"/>
                    <w:left w:w="0" w:type="dxa"/>
                    <w:bottom w:w="0" w:type="dxa"/>
                    <w:right w:w="0" w:type="dxa"/>
                  </w:tcMar>
                  <w:textDirection w:val="tbRl"/>
                  <w:vAlign w:val="bottom"/>
                </w:tcPr>
                <w:p w14:paraId="0E3897DF" w14:textId="77777777" w:rsidR="00611243" w:rsidRPr="00611243" w:rsidRDefault="00611243" w:rsidP="00611243">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FFFFFF" w:themeColor="background1"/>
                      <w:sz w:val="1"/>
                      <w:szCs w:val="1"/>
                    </w:rPr>
                  </w:pPr>
                  <w:r w:rsidRPr="00611243">
                    <w:rPr>
                      <w:rFonts w:ascii="Arial" w:eastAsia="Arial" w:hAnsi="Arial" w:cs="Arial"/>
                      <w:b/>
                      <w:color w:val="FFFFFF" w:themeColor="background1"/>
                      <w:sz w:val="1"/>
                      <w:szCs w:val="1"/>
                    </w:rPr>
                    <w:t xml:space="preserve">Mar </w:t>
                  </w:r>
                  <w:proofErr w:type="spellStart"/>
                  <w:r w:rsidRPr="00611243">
                    <w:rPr>
                      <w:rFonts w:ascii="Arial" w:eastAsia="Arial" w:hAnsi="Arial" w:cs="Arial"/>
                      <w:b/>
                      <w:color w:val="FFFFFF" w:themeColor="background1"/>
                      <w:sz w:val="1"/>
                      <w:szCs w:val="1"/>
                    </w:rPr>
                    <w:t>qtr</w:t>
                  </w:r>
                  <w:proofErr w:type="spellEnd"/>
                  <w:r w:rsidRPr="00611243">
                    <w:rPr>
                      <w:rFonts w:ascii="Arial" w:eastAsia="Arial" w:hAnsi="Arial" w:cs="Arial"/>
                      <w:b/>
                      <w:color w:val="FFFFFF" w:themeColor="background1"/>
                      <w:sz w:val="1"/>
                      <w:szCs w:val="1"/>
                    </w:rPr>
                    <w:t xml:space="preserve"> 2023</w:t>
                  </w:r>
                </w:p>
              </w:tc>
              <w:tc>
                <w:tcPr>
                  <w:tcW w:w="153" w:type="dxa"/>
                  <w:shd w:val="clear" w:color="auto" w:fill="FFFFFF"/>
                  <w:tcMar>
                    <w:top w:w="0" w:type="dxa"/>
                    <w:left w:w="0" w:type="dxa"/>
                    <w:bottom w:w="0" w:type="dxa"/>
                    <w:right w:w="0" w:type="dxa"/>
                  </w:tcMar>
                  <w:textDirection w:val="tbRl"/>
                  <w:vAlign w:val="bottom"/>
                </w:tcPr>
                <w:p w14:paraId="2C2703C1" w14:textId="77777777" w:rsidR="00611243" w:rsidRPr="00611243" w:rsidRDefault="00611243" w:rsidP="00611243">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FFFFFF" w:themeColor="background1"/>
                      <w:sz w:val="1"/>
                      <w:szCs w:val="1"/>
                    </w:rPr>
                  </w:pPr>
                  <w:r w:rsidRPr="00611243">
                    <w:rPr>
                      <w:rFonts w:ascii="Arial" w:eastAsia="Arial" w:hAnsi="Arial" w:cs="Arial"/>
                      <w:b/>
                      <w:color w:val="FFFFFF" w:themeColor="background1"/>
                      <w:sz w:val="1"/>
                      <w:szCs w:val="1"/>
                    </w:rPr>
                    <w:t xml:space="preserve">Jun </w:t>
                  </w:r>
                  <w:proofErr w:type="spellStart"/>
                  <w:r w:rsidRPr="00611243">
                    <w:rPr>
                      <w:rFonts w:ascii="Arial" w:eastAsia="Arial" w:hAnsi="Arial" w:cs="Arial"/>
                      <w:b/>
                      <w:color w:val="FFFFFF" w:themeColor="background1"/>
                      <w:sz w:val="1"/>
                      <w:szCs w:val="1"/>
                    </w:rPr>
                    <w:t>qtr</w:t>
                  </w:r>
                  <w:proofErr w:type="spellEnd"/>
                  <w:r w:rsidRPr="00611243">
                    <w:rPr>
                      <w:rFonts w:ascii="Arial" w:eastAsia="Arial" w:hAnsi="Arial" w:cs="Arial"/>
                      <w:b/>
                      <w:color w:val="FFFFFF" w:themeColor="background1"/>
                      <w:sz w:val="1"/>
                      <w:szCs w:val="1"/>
                    </w:rPr>
                    <w:t xml:space="preserve"> 2023</w:t>
                  </w:r>
                </w:p>
              </w:tc>
              <w:tc>
                <w:tcPr>
                  <w:tcW w:w="153" w:type="dxa"/>
                  <w:shd w:val="clear" w:color="auto" w:fill="FFFFFF"/>
                  <w:tcMar>
                    <w:top w:w="0" w:type="dxa"/>
                    <w:left w:w="0" w:type="dxa"/>
                    <w:bottom w:w="0" w:type="dxa"/>
                    <w:right w:w="0" w:type="dxa"/>
                  </w:tcMar>
                  <w:textDirection w:val="tbRl"/>
                  <w:vAlign w:val="bottom"/>
                </w:tcPr>
                <w:p w14:paraId="6FC7D05D" w14:textId="77777777" w:rsidR="00611243" w:rsidRPr="00611243" w:rsidRDefault="00611243" w:rsidP="00611243">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FFFFFF" w:themeColor="background1"/>
                      <w:sz w:val="1"/>
                      <w:szCs w:val="1"/>
                    </w:rPr>
                  </w:pPr>
                  <w:r w:rsidRPr="00611243">
                    <w:rPr>
                      <w:rFonts w:ascii="Arial" w:eastAsia="Arial" w:hAnsi="Arial" w:cs="Arial"/>
                      <w:b/>
                      <w:color w:val="FFFFFF" w:themeColor="background1"/>
                      <w:sz w:val="1"/>
                      <w:szCs w:val="1"/>
                    </w:rPr>
                    <w:t xml:space="preserve">Sep </w:t>
                  </w:r>
                  <w:proofErr w:type="spellStart"/>
                  <w:r w:rsidRPr="00611243">
                    <w:rPr>
                      <w:rFonts w:ascii="Arial" w:eastAsia="Arial" w:hAnsi="Arial" w:cs="Arial"/>
                      <w:b/>
                      <w:color w:val="FFFFFF" w:themeColor="background1"/>
                      <w:sz w:val="1"/>
                      <w:szCs w:val="1"/>
                    </w:rPr>
                    <w:t>qtr</w:t>
                  </w:r>
                  <w:proofErr w:type="spellEnd"/>
                  <w:r w:rsidRPr="00611243">
                    <w:rPr>
                      <w:rFonts w:ascii="Arial" w:eastAsia="Arial" w:hAnsi="Arial" w:cs="Arial"/>
                      <w:b/>
                      <w:color w:val="FFFFFF" w:themeColor="background1"/>
                      <w:sz w:val="1"/>
                      <w:szCs w:val="1"/>
                    </w:rPr>
                    <w:t xml:space="preserve"> 2023</w:t>
                  </w:r>
                </w:p>
              </w:tc>
              <w:tc>
                <w:tcPr>
                  <w:tcW w:w="153" w:type="dxa"/>
                  <w:shd w:val="clear" w:color="auto" w:fill="FFFFFF"/>
                  <w:tcMar>
                    <w:top w:w="0" w:type="dxa"/>
                    <w:left w:w="0" w:type="dxa"/>
                    <w:bottom w:w="0" w:type="dxa"/>
                    <w:right w:w="0" w:type="dxa"/>
                  </w:tcMar>
                  <w:textDirection w:val="tbRl"/>
                  <w:vAlign w:val="bottom"/>
                </w:tcPr>
                <w:p w14:paraId="5F91640A" w14:textId="77777777" w:rsidR="00611243" w:rsidRPr="00611243" w:rsidRDefault="00611243" w:rsidP="00611243">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FFFFFF" w:themeColor="background1"/>
                      <w:sz w:val="1"/>
                      <w:szCs w:val="1"/>
                    </w:rPr>
                  </w:pPr>
                  <w:r w:rsidRPr="00611243">
                    <w:rPr>
                      <w:rFonts w:ascii="Arial" w:eastAsia="Arial" w:hAnsi="Arial" w:cs="Arial"/>
                      <w:b/>
                      <w:color w:val="FFFFFF" w:themeColor="background1"/>
                      <w:sz w:val="1"/>
                      <w:szCs w:val="1"/>
                    </w:rPr>
                    <w:t xml:space="preserve">Dec </w:t>
                  </w:r>
                  <w:proofErr w:type="spellStart"/>
                  <w:r w:rsidRPr="00611243">
                    <w:rPr>
                      <w:rFonts w:ascii="Arial" w:eastAsia="Arial" w:hAnsi="Arial" w:cs="Arial"/>
                      <w:b/>
                      <w:color w:val="FFFFFF" w:themeColor="background1"/>
                      <w:sz w:val="1"/>
                      <w:szCs w:val="1"/>
                    </w:rPr>
                    <w:t>qtr</w:t>
                  </w:r>
                  <w:proofErr w:type="spellEnd"/>
                  <w:r w:rsidRPr="00611243">
                    <w:rPr>
                      <w:rFonts w:ascii="Arial" w:eastAsia="Arial" w:hAnsi="Arial" w:cs="Arial"/>
                      <w:b/>
                      <w:color w:val="FFFFFF" w:themeColor="background1"/>
                      <w:sz w:val="1"/>
                      <w:szCs w:val="1"/>
                    </w:rPr>
                    <w:t xml:space="preserve"> 2023</w:t>
                  </w:r>
                </w:p>
              </w:tc>
              <w:tc>
                <w:tcPr>
                  <w:tcW w:w="153" w:type="dxa"/>
                  <w:shd w:val="clear" w:color="auto" w:fill="FFFFFF"/>
                  <w:tcMar>
                    <w:top w:w="0" w:type="dxa"/>
                    <w:left w:w="0" w:type="dxa"/>
                    <w:bottom w:w="0" w:type="dxa"/>
                    <w:right w:w="0" w:type="dxa"/>
                  </w:tcMar>
                  <w:textDirection w:val="tbRl"/>
                  <w:vAlign w:val="bottom"/>
                </w:tcPr>
                <w:p w14:paraId="67B7AEF8" w14:textId="77777777" w:rsidR="00611243" w:rsidRPr="00611243" w:rsidRDefault="00611243" w:rsidP="00611243">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FFFFFF" w:themeColor="background1"/>
                      <w:sz w:val="1"/>
                      <w:szCs w:val="1"/>
                    </w:rPr>
                  </w:pPr>
                  <w:r w:rsidRPr="00611243">
                    <w:rPr>
                      <w:rFonts w:ascii="Arial" w:eastAsia="Arial" w:hAnsi="Arial" w:cs="Arial"/>
                      <w:b/>
                      <w:color w:val="FFFFFF" w:themeColor="background1"/>
                      <w:sz w:val="1"/>
                      <w:szCs w:val="1"/>
                    </w:rPr>
                    <w:t xml:space="preserve">Mar </w:t>
                  </w:r>
                  <w:proofErr w:type="spellStart"/>
                  <w:r w:rsidRPr="00611243">
                    <w:rPr>
                      <w:rFonts w:ascii="Arial" w:eastAsia="Arial" w:hAnsi="Arial" w:cs="Arial"/>
                      <w:b/>
                      <w:color w:val="FFFFFF" w:themeColor="background1"/>
                      <w:sz w:val="1"/>
                      <w:szCs w:val="1"/>
                    </w:rPr>
                    <w:t>qtr</w:t>
                  </w:r>
                  <w:proofErr w:type="spellEnd"/>
                  <w:r w:rsidRPr="00611243">
                    <w:rPr>
                      <w:rFonts w:ascii="Arial" w:eastAsia="Arial" w:hAnsi="Arial" w:cs="Arial"/>
                      <w:b/>
                      <w:color w:val="FFFFFF" w:themeColor="background1"/>
                      <w:sz w:val="1"/>
                      <w:szCs w:val="1"/>
                    </w:rPr>
                    <w:t xml:space="preserve"> 2024</w:t>
                  </w:r>
                </w:p>
              </w:tc>
              <w:tc>
                <w:tcPr>
                  <w:tcW w:w="153" w:type="dxa"/>
                  <w:shd w:val="clear" w:color="auto" w:fill="FFFFFF"/>
                  <w:tcMar>
                    <w:top w:w="0" w:type="dxa"/>
                    <w:left w:w="0" w:type="dxa"/>
                    <w:bottom w:w="0" w:type="dxa"/>
                    <w:right w:w="0" w:type="dxa"/>
                  </w:tcMar>
                  <w:textDirection w:val="tbRl"/>
                  <w:vAlign w:val="bottom"/>
                </w:tcPr>
                <w:p w14:paraId="0CC04A0C" w14:textId="77777777" w:rsidR="00611243" w:rsidRPr="00611243" w:rsidRDefault="00611243" w:rsidP="00611243">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FFFFFF" w:themeColor="background1"/>
                      <w:sz w:val="1"/>
                      <w:szCs w:val="1"/>
                    </w:rPr>
                  </w:pPr>
                  <w:r w:rsidRPr="00611243">
                    <w:rPr>
                      <w:rFonts w:ascii="Arial" w:eastAsia="Arial" w:hAnsi="Arial" w:cs="Arial"/>
                      <w:b/>
                      <w:color w:val="FFFFFF" w:themeColor="background1"/>
                      <w:sz w:val="1"/>
                      <w:szCs w:val="1"/>
                    </w:rPr>
                    <w:t xml:space="preserve">Jun </w:t>
                  </w:r>
                  <w:proofErr w:type="spellStart"/>
                  <w:r w:rsidRPr="00611243">
                    <w:rPr>
                      <w:rFonts w:ascii="Arial" w:eastAsia="Arial" w:hAnsi="Arial" w:cs="Arial"/>
                      <w:b/>
                      <w:color w:val="FFFFFF" w:themeColor="background1"/>
                      <w:sz w:val="1"/>
                      <w:szCs w:val="1"/>
                    </w:rPr>
                    <w:t>qtr</w:t>
                  </w:r>
                  <w:proofErr w:type="spellEnd"/>
                  <w:r w:rsidRPr="00611243">
                    <w:rPr>
                      <w:rFonts w:ascii="Arial" w:eastAsia="Arial" w:hAnsi="Arial" w:cs="Arial"/>
                      <w:b/>
                      <w:color w:val="FFFFFF" w:themeColor="background1"/>
                      <w:sz w:val="1"/>
                      <w:szCs w:val="1"/>
                    </w:rPr>
                    <w:t xml:space="preserve"> 2024</w:t>
                  </w:r>
                </w:p>
              </w:tc>
              <w:tc>
                <w:tcPr>
                  <w:tcW w:w="153" w:type="dxa"/>
                  <w:shd w:val="clear" w:color="auto" w:fill="FFFFFF"/>
                  <w:tcMar>
                    <w:top w:w="0" w:type="dxa"/>
                    <w:left w:w="0" w:type="dxa"/>
                    <w:bottom w:w="0" w:type="dxa"/>
                    <w:right w:w="0" w:type="dxa"/>
                  </w:tcMar>
                  <w:textDirection w:val="tbRl"/>
                  <w:vAlign w:val="bottom"/>
                </w:tcPr>
                <w:p w14:paraId="47E55BB1" w14:textId="77777777" w:rsidR="00611243" w:rsidRPr="00611243" w:rsidRDefault="00611243" w:rsidP="00611243">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FFFFFF" w:themeColor="background1"/>
                      <w:sz w:val="1"/>
                      <w:szCs w:val="1"/>
                    </w:rPr>
                  </w:pPr>
                  <w:r w:rsidRPr="00611243">
                    <w:rPr>
                      <w:rFonts w:ascii="Arial" w:eastAsia="Arial" w:hAnsi="Arial" w:cs="Arial"/>
                      <w:b/>
                      <w:color w:val="FFFFFF" w:themeColor="background1"/>
                      <w:sz w:val="1"/>
                      <w:szCs w:val="1"/>
                    </w:rPr>
                    <w:t xml:space="preserve">Sep </w:t>
                  </w:r>
                  <w:proofErr w:type="spellStart"/>
                  <w:r w:rsidRPr="00611243">
                    <w:rPr>
                      <w:rFonts w:ascii="Arial" w:eastAsia="Arial" w:hAnsi="Arial" w:cs="Arial"/>
                      <w:b/>
                      <w:color w:val="FFFFFF" w:themeColor="background1"/>
                      <w:sz w:val="1"/>
                      <w:szCs w:val="1"/>
                    </w:rPr>
                    <w:t>qtr</w:t>
                  </w:r>
                  <w:proofErr w:type="spellEnd"/>
                  <w:r w:rsidRPr="00611243">
                    <w:rPr>
                      <w:rFonts w:ascii="Arial" w:eastAsia="Arial" w:hAnsi="Arial" w:cs="Arial"/>
                      <w:b/>
                      <w:color w:val="FFFFFF" w:themeColor="background1"/>
                      <w:sz w:val="1"/>
                      <w:szCs w:val="1"/>
                    </w:rPr>
                    <w:t xml:space="preserve"> 2024</w:t>
                  </w:r>
                </w:p>
              </w:tc>
              <w:tc>
                <w:tcPr>
                  <w:tcW w:w="153" w:type="dxa"/>
                  <w:shd w:val="clear" w:color="auto" w:fill="FFFFFF"/>
                  <w:tcMar>
                    <w:top w:w="0" w:type="dxa"/>
                    <w:left w:w="0" w:type="dxa"/>
                    <w:bottom w:w="0" w:type="dxa"/>
                    <w:right w:w="0" w:type="dxa"/>
                  </w:tcMar>
                  <w:textDirection w:val="tbRl"/>
                  <w:vAlign w:val="bottom"/>
                </w:tcPr>
                <w:p w14:paraId="44FB6B05" w14:textId="77777777" w:rsidR="00611243" w:rsidRPr="00611243" w:rsidRDefault="00611243" w:rsidP="00611243">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FFFFFF" w:themeColor="background1"/>
                      <w:sz w:val="1"/>
                      <w:szCs w:val="1"/>
                    </w:rPr>
                  </w:pPr>
                  <w:r w:rsidRPr="00611243">
                    <w:rPr>
                      <w:rFonts w:ascii="Arial" w:eastAsia="Arial" w:hAnsi="Arial" w:cs="Arial"/>
                      <w:b/>
                      <w:color w:val="FFFFFF" w:themeColor="background1"/>
                      <w:sz w:val="1"/>
                      <w:szCs w:val="1"/>
                    </w:rPr>
                    <w:t xml:space="preserve">Dec </w:t>
                  </w:r>
                  <w:proofErr w:type="spellStart"/>
                  <w:r w:rsidRPr="00611243">
                    <w:rPr>
                      <w:rFonts w:ascii="Arial" w:eastAsia="Arial" w:hAnsi="Arial" w:cs="Arial"/>
                      <w:b/>
                      <w:color w:val="FFFFFF" w:themeColor="background1"/>
                      <w:sz w:val="1"/>
                      <w:szCs w:val="1"/>
                    </w:rPr>
                    <w:t>qtr</w:t>
                  </w:r>
                  <w:proofErr w:type="spellEnd"/>
                  <w:r w:rsidRPr="00611243">
                    <w:rPr>
                      <w:rFonts w:ascii="Arial" w:eastAsia="Arial" w:hAnsi="Arial" w:cs="Arial"/>
                      <w:b/>
                      <w:color w:val="FFFFFF" w:themeColor="background1"/>
                      <w:sz w:val="1"/>
                      <w:szCs w:val="1"/>
                    </w:rPr>
                    <w:t xml:space="preserve"> 2024</w:t>
                  </w:r>
                </w:p>
              </w:tc>
              <w:tc>
                <w:tcPr>
                  <w:tcW w:w="153" w:type="dxa"/>
                  <w:shd w:val="clear" w:color="auto" w:fill="FFFFFF"/>
                  <w:tcMar>
                    <w:top w:w="0" w:type="dxa"/>
                    <w:left w:w="0" w:type="dxa"/>
                    <w:bottom w:w="0" w:type="dxa"/>
                    <w:right w:w="0" w:type="dxa"/>
                  </w:tcMar>
                  <w:textDirection w:val="tbRl"/>
                  <w:vAlign w:val="bottom"/>
                </w:tcPr>
                <w:p w14:paraId="7C4570DC" w14:textId="77777777" w:rsidR="00611243" w:rsidRPr="00611243" w:rsidRDefault="00611243" w:rsidP="00611243">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FFFFFF" w:themeColor="background1"/>
                      <w:sz w:val="1"/>
                      <w:szCs w:val="1"/>
                    </w:rPr>
                  </w:pPr>
                  <w:r w:rsidRPr="00611243">
                    <w:rPr>
                      <w:rFonts w:ascii="Arial" w:eastAsia="Arial" w:hAnsi="Arial" w:cs="Arial"/>
                      <w:b/>
                      <w:color w:val="FFFFFF" w:themeColor="background1"/>
                      <w:sz w:val="1"/>
                      <w:szCs w:val="1"/>
                    </w:rPr>
                    <w:t xml:space="preserve">Mar </w:t>
                  </w:r>
                  <w:proofErr w:type="spellStart"/>
                  <w:r w:rsidRPr="00611243">
                    <w:rPr>
                      <w:rFonts w:ascii="Arial" w:eastAsia="Arial" w:hAnsi="Arial" w:cs="Arial"/>
                      <w:b/>
                      <w:color w:val="FFFFFF" w:themeColor="background1"/>
                      <w:sz w:val="1"/>
                      <w:szCs w:val="1"/>
                    </w:rPr>
                    <w:t>qtr</w:t>
                  </w:r>
                  <w:proofErr w:type="spellEnd"/>
                  <w:r w:rsidRPr="00611243">
                    <w:rPr>
                      <w:rFonts w:ascii="Arial" w:eastAsia="Arial" w:hAnsi="Arial" w:cs="Arial"/>
                      <w:b/>
                      <w:color w:val="FFFFFF" w:themeColor="background1"/>
                      <w:sz w:val="1"/>
                      <w:szCs w:val="1"/>
                    </w:rPr>
                    <w:t xml:space="preserve"> 2025</w:t>
                  </w:r>
                </w:p>
              </w:tc>
              <w:tc>
                <w:tcPr>
                  <w:tcW w:w="153" w:type="dxa"/>
                  <w:shd w:val="clear" w:color="auto" w:fill="FFFFFF"/>
                  <w:tcMar>
                    <w:top w:w="0" w:type="dxa"/>
                    <w:left w:w="0" w:type="dxa"/>
                    <w:bottom w:w="0" w:type="dxa"/>
                    <w:right w:w="0" w:type="dxa"/>
                  </w:tcMar>
                  <w:textDirection w:val="tbRl"/>
                  <w:vAlign w:val="bottom"/>
                </w:tcPr>
                <w:p w14:paraId="0F07A428" w14:textId="77777777" w:rsidR="00611243" w:rsidRPr="00611243" w:rsidRDefault="00611243" w:rsidP="00611243">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FFFFFF" w:themeColor="background1"/>
                      <w:sz w:val="1"/>
                      <w:szCs w:val="1"/>
                    </w:rPr>
                  </w:pPr>
                  <w:r w:rsidRPr="00611243">
                    <w:rPr>
                      <w:rFonts w:ascii="Arial" w:eastAsia="Arial" w:hAnsi="Arial" w:cs="Arial"/>
                      <w:b/>
                      <w:color w:val="FFFFFF" w:themeColor="background1"/>
                      <w:sz w:val="1"/>
                      <w:szCs w:val="1"/>
                    </w:rPr>
                    <w:t xml:space="preserve">Jun </w:t>
                  </w:r>
                  <w:proofErr w:type="spellStart"/>
                  <w:r w:rsidRPr="00611243">
                    <w:rPr>
                      <w:rFonts w:ascii="Arial" w:eastAsia="Arial" w:hAnsi="Arial" w:cs="Arial"/>
                      <w:b/>
                      <w:color w:val="FFFFFF" w:themeColor="background1"/>
                      <w:sz w:val="1"/>
                      <w:szCs w:val="1"/>
                    </w:rPr>
                    <w:t>qtr</w:t>
                  </w:r>
                  <w:proofErr w:type="spellEnd"/>
                  <w:r w:rsidRPr="00611243">
                    <w:rPr>
                      <w:rFonts w:ascii="Arial" w:eastAsia="Arial" w:hAnsi="Arial" w:cs="Arial"/>
                      <w:b/>
                      <w:color w:val="FFFFFF" w:themeColor="background1"/>
                      <w:sz w:val="1"/>
                      <w:szCs w:val="1"/>
                    </w:rPr>
                    <w:t xml:space="preserve"> 2025</w:t>
                  </w:r>
                </w:p>
              </w:tc>
              <w:tc>
                <w:tcPr>
                  <w:tcW w:w="153" w:type="dxa"/>
                  <w:shd w:val="clear" w:color="auto" w:fill="FFFFFF"/>
                  <w:tcMar>
                    <w:top w:w="0" w:type="dxa"/>
                    <w:left w:w="0" w:type="dxa"/>
                    <w:bottom w:w="0" w:type="dxa"/>
                    <w:right w:w="0" w:type="dxa"/>
                  </w:tcMar>
                  <w:textDirection w:val="tbRl"/>
                  <w:vAlign w:val="bottom"/>
                </w:tcPr>
                <w:p w14:paraId="33314C4D" w14:textId="77777777" w:rsidR="00611243" w:rsidRPr="00611243" w:rsidRDefault="00611243" w:rsidP="00611243">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FFFFFF" w:themeColor="background1"/>
                      <w:sz w:val="1"/>
                      <w:szCs w:val="1"/>
                    </w:rPr>
                  </w:pPr>
                  <w:r w:rsidRPr="00611243">
                    <w:rPr>
                      <w:rFonts w:ascii="Arial" w:eastAsia="Arial" w:hAnsi="Arial" w:cs="Arial"/>
                      <w:b/>
                      <w:color w:val="FFFFFF" w:themeColor="background1"/>
                      <w:sz w:val="1"/>
                      <w:szCs w:val="1"/>
                    </w:rPr>
                    <w:t xml:space="preserve">Sep </w:t>
                  </w:r>
                  <w:proofErr w:type="spellStart"/>
                  <w:r w:rsidRPr="00611243">
                    <w:rPr>
                      <w:rFonts w:ascii="Arial" w:eastAsia="Arial" w:hAnsi="Arial" w:cs="Arial"/>
                      <w:b/>
                      <w:color w:val="FFFFFF" w:themeColor="background1"/>
                      <w:sz w:val="1"/>
                      <w:szCs w:val="1"/>
                    </w:rPr>
                    <w:t>qtr</w:t>
                  </w:r>
                  <w:proofErr w:type="spellEnd"/>
                  <w:r w:rsidRPr="00611243">
                    <w:rPr>
                      <w:rFonts w:ascii="Arial" w:eastAsia="Arial" w:hAnsi="Arial" w:cs="Arial"/>
                      <w:b/>
                      <w:color w:val="FFFFFF" w:themeColor="background1"/>
                      <w:sz w:val="1"/>
                      <w:szCs w:val="1"/>
                    </w:rPr>
                    <w:t xml:space="preserve"> 2025</w:t>
                  </w:r>
                </w:p>
              </w:tc>
              <w:tc>
                <w:tcPr>
                  <w:tcW w:w="153" w:type="dxa"/>
                  <w:shd w:val="clear" w:color="auto" w:fill="FFFFFF"/>
                  <w:tcMar>
                    <w:top w:w="0" w:type="dxa"/>
                    <w:left w:w="0" w:type="dxa"/>
                    <w:bottom w:w="0" w:type="dxa"/>
                    <w:right w:w="0" w:type="dxa"/>
                  </w:tcMar>
                  <w:textDirection w:val="tbRl"/>
                  <w:vAlign w:val="bottom"/>
                </w:tcPr>
                <w:p w14:paraId="0549018A" w14:textId="77777777" w:rsidR="00611243" w:rsidRPr="00611243" w:rsidRDefault="00611243" w:rsidP="00611243">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FFFFFF" w:themeColor="background1"/>
                      <w:sz w:val="1"/>
                      <w:szCs w:val="1"/>
                    </w:rPr>
                  </w:pPr>
                  <w:r w:rsidRPr="00611243">
                    <w:rPr>
                      <w:rFonts w:ascii="Arial" w:eastAsia="Arial" w:hAnsi="Arial" w:cs="Arial"/>
                      <w:b/>
                      <w:color w:val="FFFFFF" w:themeColor="background1"/>
                      <w:sz w:val="1"/>
                      <w:szCs w:val="1"/>
                    </w:rPr>
                    <w:t xml:space="preserve">Dec </w:t>
                  </w:r>
                  <w:proofErr w:type="spellStart"/>
                  <w:r w:rsidRPr="00611243">
                    <w:rPr>
                      <w:rFonts w:ascii="Arial" w:eastAsia="Arial" w:hAnsi="Arial" w:cs="Arial"/>
                      <w:b/>
                      <w:color w:val="FFFFFF" w:themeColor="background1"/>
                      <w:sz w:val="1"/>
                      <w:szCs w:val="1"/>
                    </w:rPr>
                    <w:t>qtr</w:t>
                  </w:r>
                  <w:proofErr w:type="spellEnd"/>
                  <w:r w:rsidRPr="00611243">
                    <w:rPr>
                      <w:rFonts w:ascii="Arial" w:eastAsia="Arial" w:hAnsi="Arial" w:cs="Arial"/>
                      <w:b/>
                      <w:color w:val="FFFFFF" w:themeColor="background1"/>
                      <w:sz w:val="1"/>
                      <w:szCs w:val="1"/>
                    </w:rPr>
                    <w:t xml:space="preserve"> 2025</w:t>
                  </w:r>
                </w:p>
              </w:tc>
              <w:tc>
                <w:tcPr>
                  <w:tcW w:w="153" w:type="dxa"/>
                  <w:shd w:val="clear" w:color="auto" w:fill="FFFFFF"/>
                  <w:tcMar>
                    <w:top w:w="0" w:type="dxa"/>
                    <w:left w:w="0" w:type="dxa"/>
                    <w:bottom w:w="0" w:type="dxa"/>
                    <w:right w:w="0" w:type="dxa"/>
                  </w:tcMar>
                  <w:textDirection w:val="tbRl"/>
                  <w:vAlign w:val="bottom"/>
                </w:tcPr>
                <w:p w14:paraId="5CCCBD42" w14:textId="77777777" w:rsidR="00611243" w:rsidRPr="00611243" w:rsidRDefault="00611243" w:rsidP="00611243">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FFFFFF" w:themeColor="background1"/>
                      <w:sz w:val="1"/>
                      <w:szCs w:val="1"/>
                    </w:rPr>
                  </w:pPr>
                  <w:r w:rsidRPr="00611243">
                    <w:rPr>
                      <w:rFonts w:ascii="Arial" w:eastAsia="Arial" w:hAnsi="Arial" w:cs="Arial"/>
                      <w:b/>
                      <w:color w:val="FFFFFF" w:themeColor="background1"/>
                      <w:sz w:val="1"/>
                      <w:szCs w:val="1"/>
                    </w:rPr>
                    <w:t xml:space="preserve">Mar </w:t>
                  </w:r>
                  <w:proofErr w:type="spellStart"/>
                  <w:r w:rsidRPr="00611243">
                    <w:rPr>
                      <w:rFonts w:ascii="Arial" w:eastAsia="Arial" w:hAnsi="Arial" w:cs="Arial"/>
                      <w:b/>
                      <w:color w:val="FFFFFF" w:themeColor="background1"/>
                      <w:sz w:val="1"/>
                      <w:szCs w:val="1"/>
                    </w:rPr>
                    <w:t>qtr</w:t>
                  </w:r>
                  <w:proofErr w:type="spellEnd"/>
                  <w:r w:rsidRPr="00611243">
                    <w:rPr>
                      <w:rFonts w:ascii="Arial" w:eastAsia="Arial" w:hAnsi="Arial" w:cs="Arial"/>
                      <w:b/>
                      <w:color w:val="FFFFFF" w:themeColor="background1"/>
                      <w:sz w:val="1"/>
                      <w:szCs w:val="1"/>
                    </w:rPr>
                    <w:t xml:space="preserve"> 2026</w:t>
                  </w:r>
                </w:p>
              </w:tc>
            </w:tr>
            <w:tr w:rsidR="00611243" w:rsidRPr="00611243" w14:paraId="75DE5E74" w14:textId="77777777" w:rsidTr="00E45326">
              <w:trPr>
                <w:trHeight w:val="12"/>
                <w:jc w:val="center"/>
              </w:trPr>
              <w:tc>
                <w:tcPr>
                  <w:tcW w:w="153" w:type="dxa"/>
                  <w:shd w:val="clear" w:color="auto" w:fill="FFFFFF"/>
                  <w:tcMar>
                    <w:top w:w="0" w:type="dxa"/>
                    <w:left w:w="0" w:type="dxa"/>
                    <w:bottom w:w="0" w:type="dxa"/>
                    <w:right w:w="0" w:type="dxa"/>
                  </w:tcMar>
                  <w:textDirection w:val="tbRl"/>
                  <w:vAlign w:val="bottom"/>
                </w:tcPr>
                <w:p w14:paraId="5CBFEF53" w14:textId="77777777" w:rsidR="00611243" w:rsidRPr="00611243" w:rsidRDefault="00611243" w:rsidP="00611243">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color w:val="FFFFFF" w:themeColor="background1"/>
                      <w:sz w:val="1"/>
                      <w:szCs w:val="1"/>
                    </w:rPr>
                  </w:pPr>
                  <w:r w:rsidRPr="00611243">
                    <w:rPr>
                      <w:rFonts w:ascii="Arial" w:eastAsia="Arial" w:hAnsi="Arial" w:cs="Arial"/>
                      <w:color w:val="FFFFFF" w:themeColor="background1"/>
                      <w:sz w:val="1"/>
                      <w:szCs w:val="1"/>
                    </w:rPr>
                    <w:t>55%</w:t>
                  </w:r>
                </w:p>
              </w:tc>
              <w:tc>
                <w:tcPr>
                  <w:tcW w:w="153" w:type="dxa"/>
                  <w:shd w:val="clear" w:color="auto" w:fill="FFFFFF"/>
                  <w:tcMar>
                    <w:top w:w="0" w:type="dxa"/>
                    <w:left w:w="0" w:type="dxa"/>
                    <w:bottom w:w="0" w:type="dxa"/>
                    <w:right w:w="0" w:type="dxa"/>
                  </w:tcMar>
                  <w:textDirection w:val="tbRl"/>
                  <w:vAlign w:val="bottom"/>
                </w:tcPr>
                <w:p w14:paraId="4A4D30FF" w14:textId="77777777" w:rsidR="00611243" w:rsidRPr="00611243" w:rsidRDefault="00611243" w:rsidP="00611243">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color w:val="FFFFFF" w:themeColor="background1"/>
                      <w:sz w:val="1"/>
                      <w:szCs w:val="1"/>
                    </w:rPr>
                  </w:pPr>
                  <w:r w:rsidRPr="00611243">
                    <w:rPr>
                      <w:rFonts w:ascii="Arial" w:eastAsia="Arial" w:hAnsi="Arial" w:cs="Arial"/>
                      <w:color w:val="FFFFFF" w:themeColor="background1"/>
                      <w:sz w:val="1"/>
                      <w:szCs w:val="1"/>
                    </w:rPr>
                    <w:t>50%</w:t>
                  </w:r>
                </w:p>
              </w:tc>
              <w:tc>
                <w:tcPr>
                  <w:tcW w:w="153" w:type="dxa"/>
                  <w:shd w:val="clear" w:color="auto" w:fill="FFFFFF"/>
                  <w:tcMar>
                    <w:top w:w="0" w:type="dxa"/>
                    <w:left w:w="0" w:type="dxa"/>
                    <w:bottom w:w="0" w:type="dxa"/>
                    <w:right w:w="0" w:type="dxa"/>
                  </w:tcMar>
                  <w:textDirection w:val="tbRl"/>
                  <w:vAlign w:val="bottom"/>
                </w:tcPr>
                <w:p w14:paraId="0E5D8B6B" w14:textId="77777777" w:rsidR="00611243" w:rsidRPr="00611243" w:rsidRDefault="00611243" w:rsidP="00611243">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color w:val="FFFFFF" w:themeColor="background1"/>
                      <w:sz w:val="1"/>
                      <w:szCs w:val="1"/>
                    </w:rPr>
                  </w:pPr>
                  <w:r w:rsidRPr="00611243">
                    <w:rPr>
                      <w:rFonts w:ascii="Arial" w:eastAsia="Arial" w:hAnsi="Arial" w:cs="Arial"/>
                      <w:color w:val="FFFFFF" w:themeColor="background1"/>
                      <w:sz w:val="1"/>
                      <w:szCs w:val="1"/>
                    </w:rPr>
                    <w:t>48%</w:t>
                  </w:r>
                </w:p>
              </w:tc>
              <w:tc>
                <w:tcPr>
                  <w:tcW w:w="153" w:type="dxa"/>
                  <w:shd w:val="clear" w:color="auto" w:fill="FFFFFF"/>
                  <w:tcMar>
                    <w:top w:w="0" w:type="dxa"/>
                    <w:left w:w="0" w:type="dxa"/>
                    <w:bottom w:w="0" w:type="dxa"/>
                    <w:right w:w="0" w:type="dxa"/>
                  </w:tcMar>
                  <w:textDirection w:val="tbRl"/>
                  <w:vAlign w:val="bottom"/>
                </w:tcPr>
                <w:p w14:paraId="35BA471D" w14:textId="77777777" w:rsidR="00611243" w:rsidRPr="00611243" w:rsidRDefault="00611243" w:rsidP="00611243">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color w:val="FFFFFF" w:themeColor="background1"/>
                      <w:sz w:val="1"/>
                      <w:szCs w:val="1"/>
                    </w:rPr>
                  </w:pPr>
                  <w:r w:rsidRPr="00611243">
                    <w:rPr>
                      <w:rFonts w:ascii="Arial" w:eastAsia="Arial" w:hAnsi="Arial" w:cs="Arial"/>
                      <w:color w:val="FFFFFF" w:themeColor="background1"/>
                      <w:sz w:val="1"/>
                      <w:szCs w:val="1"/>
                    </w:rPr>
                    <w:t>50%</w:t>
                  </w:r>
                </w:p>
              </w:tc>
              <w:tc>
                <w:tcPr>
                  <w:tcW w:w="153" w:type="dxa"/>
                  <w:shd w:val="clear" w:color="auto" w:fill="FFFFFF"/>
                  <w:tcMar>
                    <w:top w:w="0" w:type="dxa"/>
                    <w:left w:w="0" w:type="dxa"/>
                    <w:bottom w:w="0" w:type="dxa"/>
                    <w:right w:w="0" w:type="dxa"/>
                  </w:tcMar>
                  <w:textDirection w:val="tbRl"/>
                  <w:vAlign w:val="bottom"/>
                </w:tcPr>
                <w:p w14:paraId="4646E2B3" w14:textId="77777777" w:rsidR="00611243" w:rsidRPr="00611243" w:rsidRDefault="00611243" w:rsidP="00611243">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color w:val="FFFFFF" w:themeColor="background1"/>
                      <w:sz w:val="1"/>
                      <w:szCs w:val="1"/>
                    </w:rPr>
                  </w:pPr>
                  <w:r w:rsidRPr="00611243">
                    <w:rPr>
                      <w:rFonts w:ascii="Arial" w:eastAsia="Arial" w:hAnsi="Arial" w:cs="Arial"/>
                      <w:color w:val="FFFFFF" w:themeColor="background1"/>
                      <w:sz w:val="1"/>
                      <w:szCs w:val="1"/>
                    </w:rPr>
                    <w:t>49%</w:t>
                  </w:r>
                </w:p>
              </w:tc>
              <w:tc>
                <w:tcPr>
                  <w:tcW w:w="153" w:type="dxa"/>
                  <w:shd w:val="clear" w:color="auto" w:fill="FFFFFF"/>
                  <w:tcMar>
                    <w:top w:w="0" w:type="dxa"/>
                    <w:left w:w="0" w:type="dxa"/>
                    <w:bottom w:w="0" w:type="dxa"/>
                    <w:right w:w="0" w:type="dxa"/>
                  </w:tcMar>
                  <w:textDirection w:val="tbRl"/>
                  <w:vAlign w:val="bottom"/>
                </w:tcPr>
                <w:p w14:paraId="2873CB97" w14:textId="77777777" w:rsidR="00611243" w:rsidRPr="00611243" w:rsidRDefault="00611243" w:rsidP="00611243">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color w:val="FFFFFF" w:themeColor="background1"/>
                      <w:sz w:val="1"/>
                      <w:szCs w:val="1"/>
                    </w:rPr>
                  </w:pPr>
                  <w:r w:rsidRPr="00611243">
                    <w:rPr>
                      <w:rFonts w:ascii="Arial" w:eastAsia="Arial" w:hAnsi="Arial" w:cs="Arial"/>
                      <w:color w:val="FFFFFF" w:themeColor="background1"/>
                      <w:sz w:val="1"/>
                      <w:szCs w:val="1"/>
                    </w:rPr>
                    <w:t>45%</w:t>
                  </w:r>
                </w:p>
              </w:tc>
              <w:tc>
                <w:tcPr>
                  <w:tcW w:w="153" w:type="dxa"/>
                  <w:shd w:val="clear" w:color="auto" w:fill="FFFFFF"/>
                  <w:tcMar>
                    <w:top w:w="0" w:type="dxa"/>
                    <w:left w:w="0" w:type="dxa"/>
                    <w:bottom w:w="0" w:type="dxa"/>
                    <w:right w:w="0" w:type="dxa"/>
                  </w:tcMar>
                  <w:textDirection w:val="tbRl"/>
                  <w:vAlign w:val="bottom"/>
                </w:tcPr>
                <w:p w14:paraId="7D561C2B" w14:textId="77777777" w:rsidR="00611243" w:rsidRPr="00611243" w:rsidRDefault="00611243" w:rsidP="00611243">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color w:val="FFFFFF" w:themeColor="background1"/>
                      <w:sz w:val="1"/>
                      <w:szCs w:val="1"/>
                    </w:rPr>
                  </w:pPr>
                  <w:r w:rsidRPr="00611243">
                    <w:rPr>
                      <w:rFonts w:ascii="Arial" w:eastAsia="Arial" w:hAnsi="Arial" w:cs="Arial"/>
                      <w:color w:val="FFFFFF" w:themeColor="background1"/>
                      <w:sz w:val="1"/>
                      <w:szCs w:val="1"/>
                    </w:rPr>
                    <w:t>44%</w:t>
                  </w:r>
                </w:p>
              </w:tc>
              <w:tc>
                <w:tcPr>
                  <w:tcW w:w="153" w:type="dxa"/>
                  <w:shd w:val="clear" w:color="auto" w:fill="FFFFFF"/>
                  <w:tcMar>
                    <w:top w:w="0" w:type="dxa"/>
                    <w:left w:w="0" w:type="dxa"/>
                    <w:bottom w:w="0" w:type="dxa"/>
                    <w:right w:w="0" w:type="dxa"/>
                  </w:tcMar>
                  <w:textDirection w:val="tbRl"/>
                  <w:vAlign w:val="bottom"/>
                </w:tcPr>
                <w:p w14:paraId="6B83A64A" w14:textId="77777777" w:rsidR="00611243" w:rsidRPr="00611243" w:rsidRDefault="00611243" w:rsidP="00611243">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color w:val="FFFFFF" w:themeColor="background1"/>
                      <w:sz w:val="1"/>
                      <w:szCs w:val="1"/>
                    </w:rPr>
                  </w:pPr>
                  <w:r w:rsidRPr="00611243">
                    <w:rPr>
                      <w:rFonts w:ascii="Arial" w:eastAsia="Arial" w:hAnsi="Arial" w:cs="Arial"/>
                      <w:color w:val="FFFFFF" w:themeColor="background1"/>
                      <w:sz w:val="1"/>
                      <w:szCs w:val="1"/>
                    </w:rPr>
                    <w:t>43%</w:t>
                  </w:r>
                </w:p>
              </w:tc>
              <w:tc>
                <w:tcPr>
                  <w:tcW w:w="153" w:type="dxa"/>
                  <w:shd w:val="clear" w:color="auto" w:fill="FFFFFF"/>
                  <w:tcMar>
                    <w:top w:w="0" w:type="dxa"/>
                    <w:left w:w="0" w:type="dxa"/>
                    <w:bottom w:w="0" w:type="dxa"/>
                    <w:right w:w="0" w:type="dxa"/>
                  </w:tcMar>
                  <w:textDirection w:val="tbRl"/>
                  <w:vAlign w:val="bottom"/>
                </w:tcPr>
                <w:p w14:paraId="348F4AB6" w14:textId="77777777" w:rsidR="00611243" w:rsidRPr="00611243" w:rsidRDefault="00611243" w:rsidP="00611243">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color w:val="FFFFFF" w:themeColor="background1"/>
                      <w:sz w:val="1"/>
                      <w:szCs w:val="1"/>
                    </w:rPr>
                  </w:pPr>
                  <w:r w:rsidRPr="00611243">
                    <w:rPr>
                      <w:rFonts w:ascii="Arial" w:eastAsia="Arial" w:hAnsi="Arial" w:cs="Arial"/>
                      <w:color w:val="FFFFFF" w:themeColor="background1"/>
                      <w:sz w:val="1"/>
                      <w:szCs w:val="1"/>
                    </w:rPr>
                    <w:t>46%</w:t>
                  </w:r>
                </w:p>
              </w:tc>
              <w:tc>
                <w:tcPr>
                  <w:tcW w:w="153" w:type="dxa"/>
                  <w:shd w:val="clear" w:color="auto" w:fill="FFFFFF"/>
                  <w:tcMar>
                    <w:top w:w="0" w:type="dxa"/>
                    <w:left w:w="0" w:type="dxa"/>
                    <w:bottom w:w="0" w:type="dxa"/>
                    <w:right w:w="0" w:type="dxa"/>
                  </w:tcMar>
                  <w:textDirection w:val="tbRl"/>
                  <w:vAlign w:val="bottom"/>
                </w:tcPr>
                <w:p w14:paraId="7831FC42" w14:textId="77777777" w:rsidR="00611243" w:rsidRPr="00611243" w:rsidRDefault="00611243" w:rsidP="00611243">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color w:val="FFFFFF" w:themeColor="background1"/>
                      <w:sz w:val="1"/>
                      <w:szCs w:val="1"/>
                    </w:rPr>
                  </w:pPr>
                  <w:r w:rsidRPr="00611243">
                    <w:rPr>
                      <w:rFonts w:ascii="Arial" w:eastAsia="Arial" w:hAnsi="Arial" w:cs="Arial"/>
                      <w:color w:val="FFFFFF" w:themeColor="background1"/>
                      <w:sz w:val="1"/>
                      <w:szCs w:val="1"/>
                    </w:rPr>
                    <w:t>47%</w:t>
                  </w:r>
                </w:p>
              </w:tc>
              <w:tc>
                <w:tcPr>
                  <w:tcW w:w="153" w:type="dxa"/>
                  <w:shd w:val="clear" w:color="auto" w:fill="FFFFFF"/>
                  <w:tcMar>
                    <w:top w:w="0" w:type="dxa"/>
                    <w:left w:w="0" w:type="dxa"/>
                    <w:bottom w:w="0" w:type="dxa"/>
                    <w:right w:w="0" w:type="dxa"/>
                  </w:tcMar>
                  <w:textDirection w:val="tbRl"/>
                  <w:vAlign w:val="bottom"/>
                </w:tcPr>
                <w:p w14:paraId="30A76F81" w14:textId="77777777" w:rsidR="00611243" w:rsidRPr="00611243" w:rsidRDefault="00611243" w:rsidP="00611243">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color w:val="FFFFFF" w:themeColor="background1"/>
                      <w:sz w:val="1"/>
                      <w:szCs w:val="1"/>
                    </w:rPr>
                  </w:pPr>
                  <w:r w:rsidRPr="00611243">
                    <w:rPr>
                      <w:rFonts w:ascii="Arial" w:eastAsia="Arial" w:hAnsi="Arial" w:cs="Arial"/>
                      <w:color w:val="FFFFFF" w:themeColor="background1"/>
                      <w:sz w:val="1"/>
                      <w:szCs w:val="1"/>
                    </w:rPr>
                    <w:t>50%</w:t>
                  </w:r>
                </w:p>
              </w:tc>
              <w:tc>
                <w:tcPr>
                  <w:tcW w:w="153" w:type="dxa"/>
                  <w:shd w:val="clear" w:color="auto" w:fill="FFFFFF"/>
                  <w:tcMar>
                    <w:top w:w="0" w:type="dxa"/>
                    <w:left w:w="0" w:type="dxa"/>
                    <w:bottom w:w="0" w:type="dxa"/>
                    <w:right w:w="0" w:type="dxa"/>
                  </w:tcMar>
                  <w:textDirection w:val="tbRl"/>
                  <w:vAlign w:val="bottom"/>
                </w:tcPr>
                <w:p w14:paraId="226D87B3" w14:textId="77777777" w:rsidR="00611243" w:rsidRPr="00611243" w:rsidRDefault="00611243" w:rsidP="00611243">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color w:val="FFFFFF" w:themeColor="background1"/>
                      <w:sz w:val="1"/>
                      <w:szCs w:val="1"/>
                    </w:rPr>
                  </w:pPr>
                  <w:r w:rsidRPr="00611243">
                    <w:rPr>
                      <w:rFonts w:ascii="Arial" w:eastAsia="Arial" w:hAnsi="Arial" w:cs="Arial"/>
                      <w:color w:val="FFFFFF" w:themeColor="background1"/>
                      <w:sz w:val="1"/>
                      <w:szCs w:val="1"/>
                    </w:rPr>
                    <w:t>46%</w:t>
                  </w:r>
                </w:p>
              </w:tc>
              <w:tc>
                <w:tcPr>
                  <w:tcW w:w="153" w:type="dxa"/>
                  <w:shd w:val="clear" w:color="auto" w:fill="FFFFFF"/>
                  <w:tcMar>
                    <w:top w:w="0" w:type="dxa"/>
                    <w:left w:w="0" w:type="dxa"/>
                    <w:bottom w:w="0" w:type="dxa"/>
                    <w:right w:w="0" w:type="dxa"/>
                  </w:tcMar>
                  <w:textDirection w:val="tbRl"/>
                  <w:vAlign w:val="bottom"/>
                </w:tcPr>
                <w:p w14:paraId="5EFB9DB7" w14:textId="77777777" w:rsidR="00611243" w:rsidRPr="00611243" w:rsidRDefault="00611243" w:rsidP="00611243">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color w:val="FFFFFF" w:themeColor="background1"/>
                      <w:sz w:val="1"/>
                      <w:szCs w:val="1"/>
                    </w:rPr>
                  </w:pPr>
                  <w:r w:rsidRPr="00611243">
                    <w:rPr>
                      <w:rFonts w:ascii="Arial" w:eastAsia="Arial" w:hAnsi="Arial" w:cs="Arial"/>
                      <w:color w:val="FFFFFF" w:themeColor="background1"/>
                      <w:sz w:val="1"/>
                      <w:szCs w:val="1"/>
                    </w:rPr>
                    <w:t>49%</w:t>
                  </w:r>
                </w:p>
              </w:tc>
            </w:tr>
          </w:tbl>
          <w:p w14:paraId="25290786" w14:textId="07540124" w:rsidR="004F5741" w:rsidRDefault="001B13CF">
            <w:r>
              <w:rPr>
                <w:noProof/>
              </w:rPr>
              <w:drawing>
                <wp:anchor distT="0" distB="0" distL="114300" distR="114300" simplePos="0" relativeHeight="251655680" behindDoc="0" locked="0" layoutInCell="1" allowOverlap="1" wp14:anchorId="51D9D74B" wp14:editId="4B73612B">
                  <wp:simplePos x="0" y="0"/>
                  <wp:positionH relativeFrom="column">
                    <wp:posOffset>1039</wp:posOffset>
                  </wp:positionH>
                  <wp:positionV relativeFrom="paragraph">
                    <wp:posOffset>289</wp:posOffset>
                  </wp:positionV>
                  <wp:extent cx="3666766" cy="1466706"/>
                  <wp:effectExtent l="0" t="0" r="0" b="635"/>
                  <wp:wrapNone/>
                  <wp:docPr id="21"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 name="Picture">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666766" cy="1466706"/>
                          </a:xfrm>
                          <a:prstGeom prst="rect">
                            <a:avLst/>
                          </a:prstGeom>
                          <a:noFill/>
                          <a:ln w="9525">
                            <a:noFill/>
                            <a:headEnd/>
                            <a:tailEnd/>
                          </a:ln>
                        </pic:spPr>
                      </pic:pic>
                    </a:graphicData>
                  </a:graphic>
                </wp:anchor>
              </w:drawing>
            </w:r>
          </w:p>
        </w:tc>
        <w:tc>
          <w:tcPr>
            <w:tcW w:w="3168" w:type="dxa"/>
          </w:tcPr>
          <w:p w14:paraId="32126896" w14:textId="51D9888F" w:rsidR="004F5741" w:rsidRPr="005B098E" w:rsidRDefault="003416A1">
            <w:pPr>
              <w:pStyle w:val="ListBullet"/>
            </w:pPr>
            <w:r w:rsidRPr="005B098E">
              <w:t>The recruitment rate in the March quarter 2026 was 49%.</w:t>
            </w:r>
          </w:p>
          <w:p w14:paraId="07431238" w14:textId="77777777" w:rsidR="004F5741" w:rsidRDefault="003416A1">
            <w:pPr>
              <w:pStyle w:val="ListBullet"/>
            </w:pPr>
            <w:r w:rsidRPr="005B098E">
              <w:t>This was 3 percentage points higher than this time last year (46%).</w:t>
            </w:r>
          </w:p>
        </w:tc>
      </w:tr>
    </w:tbl>
    <w:p w14:paraId="24FD6D24" w14:textId="77777777" w:rsidR="00611243" w:rsidRDefault="00611243">
      <w:pPr>
        <w:pStyle w:val="Heading3"/>
      </w:pPr>
      <w:bookmarkStart w:id="2" w:name="X4a355641e0b300f4fc2389563a44126a22abccf"/>
      <w:bookmarkEnd w:id="1"/>
    </w:p>
    <w:p w14:paraId="3AB9B560" w14:textId="2BA646F8" w:rsidR="004F5741" w:rsidRDefault="003416A1">
      <w:pPr>
        <w:pStyle w:val="Heading3"/>
      </w:pPr>
      <w:r>
        <w:t>Recruitment difficulty rate - National level</w:t>
      </w:r>
    </w:p>
    <w:tbl>
      <w:tblPr>
        <w:tblW w:w="5000" w:type="pct"/>
        <w:tblLayout w:type="fixed"/>
        <w:tblLook w:val="0000" w:firstRow="0" w:lastRow="0" w:firstColumn="0" w:lastColumn="0" w:noHBand="0" w:noVBand="0"/>
      </w:tblPr>
      <w:tblGrid>
        <w:gridCol w:w="5783"/>
        <w:gridCol w:w="3855"/>
      </w:tblGrid>
      <w:tr w:rsidR="004F5741" w14:paraId="749D9328" w14:textId="77777777" w:rsidTr="21CDFAA3">
        <w:tc>
          <w:tcPr>
            <w:tcW w:w="4752" w:type="dxa"/>
          </w:tcPr>
          <w:tbl>
            <w:tblPr>
              <w:tblW w:w="0" w:type="auto"/>
              <w:jc w:val="center"/>
              <w:tblLayout w:type="fixed"/>
              <w:tblLook w:val="0420" w:firstRow="1" w:lastRow="0" w:firstColumn="0" w:lastColumn="0" w:noHBand="0" w:noVBand="1"/>
            </w:tblPr>
            <w:tblGrid>
              <w:gridCol w:w="153"/>
              <w:gridCol w:w="153"/>
              <w:gridCol w:w="153"/>
              <w:gridCol w:w="153"/>
              <w:gridCol w:w="153"/>
              <w:gridCol w:w="153"/>
              <w:gridCol w:w="153"/>
              <w:gridCol w:w="153"/>
              <w:gridCol w:w="153"/>
              <w:gridCol w:w="153"/>
              <w:gridCol w:w="153"/>
              <w:gridCol w:w="153"/>
              <w:gridCol w:w="153"/>
            </w:tblGrid>
            <w:tr w:rsidR="000A183F" w14:paraId="3A7CC9F2" w14:textId="77777777" w:rsidTr="00E45326">
              <w:trPr>
                <w:trHeight w:val="12"/>
                <w:tblHeader/>
                <w:jc w:val="center"/>
              </w:trPr>
              <w:tc>
                <w:tcPr>
                  <w:tcW w:w="153" w:type="dxa"/>
                  <w:tcMar>
                    <w:top w:w="0" w:type="dxa"/>
                    <w:left w:w="0" w:type="dxa"/>
                    <w:bottom w:w="0" w:type="dxa"/>
                    <w:right w:w="0" w:type="dxa"/>
                  </w:tcMar>
                  <w:textDirection w:val="tbRl"/>
                  <w:vAlign w:val="bottom"/>
                </w:tcPr>
                <w:p w14:paraId="3027DBB9" w14:textId="77777777" w:rsidR="000A183F" w:rsidRDefault="000A183F" w:rsidP="000A183F">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000000"/>
                      <w:sz w:val="1"/>
                      <w:szCs w:val="1"/>
                    </w:rPr>
                  </w:pPr>
                  <w:r>
                    <w:rPr>
                      <w:rFonts w:ascii="Arial" w:eastAsia="Arial" w:hAnsi="Arial" w:cs="Arial"/>
                      <w:b/>
                      <w:color w:val="000000"/>
                      <w:sz w:val="1"/>
                      <w:szCs w:val="1"/>
                    </w:rPr>
                    <w:t xml:space="preserve">Mar </w:t>
                  </w:r>
                  <w:proofErr w:type="spellStart"/>
                  <w:r>
                    <w:rPr>
                      <w:rFonts w:ascii="Arial" w:eastAsia="Arial" w:hAnsi="Arial" w:cs="Arial"/>
                      <w:b/>
                      <w:color w:val="000000"/>
                      <w:sz w:val="1"/>
                      <w:szCs w:val="1"/>
                    </w:rPr>
                    <w:t>qtr</w:t>
                  </w:r>
                  <w:proofErr w:type="spellEnd"/>
                  <w:r>
                    <w:rPr>
                      <w:rFonts w:ascii="Arial" w:eastAsia="Arial" w:hAnsi="Arial" w:cs="Arial"/>
                      <w:b/>
                      <w:color w:val="000000"/>
                      <w:sz w:val="1"/>
                      <w:szCs w:val="1"/>
                    </w:rPr>
                    <w:t xml:space="preserve"> 2023</w:t>
                  </w:r>
                </w:p>
              </w:tc>
              <w:tc>
                <w:tcPr>
                  <w:tcW w:w="153" w:type="dxa"/>
                  <w:tcMar>
                    <w:top w:w="0" w:type="dxa"/>
                    <w:left w:w="0" w:type="dxa"/>
                    <w:bottom w:w="0" w:type="dxa"/>
                    <w:right w:w="0" w:type="dxa"/>
                  </w:tcMar>
                  <w:textDirection w:val="tbRl"/>
                  <w:vAlign w:val="bottom"/>
                </w:tcPr>
                <w:p w14:paraId="042506AA" w14:textId="77777777" w:rsidR="000A183F" w:rsidRDefault="000A183F" w:rsidP="000A183F">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000000"/>
                      <w:sz w:val="1"/>
                      <w:szCs w:val="1"/>
                    </w:rPr>
                  </w:pPr>
                  <w:r>
                    <w:rPr>
                      <w:rFonts w:ascii="Arial" w:eastAsia="Arial" w:hAnsi="Arial" w:cs="Arial"/>
                      <w:b/>
                      <w:color w:val="000000"/>
                      <w:sz w:val="1"/>
                      <w:szCs w:val="1"/>
                    </w:rPr>
                    <w:t xml:space="preserve">Jun </w:t>
                  </w:r>
                  <w:proofErr w:type="spellStart"/>
                  <w:r>
                    <w:rPr>
                      <w:rFonts w:ascii="Arial" w:eastAsia="Arial" w:hAnsi="Arial" w:cs="Arial"/>
                      <w:b/>
                      <w:color w:val="000000"/>
                      <w:sz w:val="1"/>
                      <w:szCs w:val="1"/>
                    </w:rPr>
                    <w:t>qtr</w:t>
                  </w:r>
                  <w:proofErr w:type="spellEnd"/>
                  <w:r>
                    <w:rPr>
                      <w:rFonts w:ascii="Arial" w:eastAsia="Arial" w:hAnsi="Arial" w:cs="Arial"/>
                      <w:b/>
                      <w:color w:val="000000"/>
                      <w:sz w:val="1"/>
                      <w:szCs w:val="1"/>
                    </w:rPr>
                    <w:t xml:space="preserve"> 2023</w:t>
                  </w:r>
                </w:p>
              </w:tc>
              <w:tc>
                <w:tcPr>
                  <w:tcW w:w="153" w:type="dxa"/>
                  <w:tcMar>
                    <w:top w:w="0" w:type="dxa"/>
                    <w:left w:w="0" w:type="dxa"/>
                    <w:bottom w:w="0" w:type="dxa"/>
                    <w:right w:w="0" w:type="dxa"/>
                  </w:tcMar>
                  <w:textDirection w:val="tbRl"/>
                  <w:vAlign w:val="bottom"/>
                </w:tcPr>
                <w:p w14:paraId="1B7D574D" w14:textId="77777777" w:rsidR="000A183F" w:rsidRDefault="000A183F" w:rsidP="000A183F">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000000"/>
                      <w:sz w:val="1"/>
                      <w:szCs w:val="1"/>
                    </w:rPr>
                  </w:pPr>
                  <w:r>
                    <w:rPr>
                      <w:rFonts w:ascii="Arial" w:eastAsia="Arial" w:hAnsi="Arial" w:cs="Arial"/>
                      <w:b/>
                      <w:color w:val="000000"/>
                      <w:sz w:val="1"/>
                      <w:szCs w:val="1"/>
                    </w:rPr>
                    <w:t xml:space="preserve">Sep </w:t>
                  </w:r>
                  <w:proofErr w:type="spellStart"/>
                  <w:r>
                    <w:rPr>
                      <w:rFonts w:ascii="Arial" w:eastAsia="Arial" w:hAnsi="Arial" w:cs="Arial"/>
                      <w:b/>
                      <w:color w:val="000000"/>
                      <w:sz w:val="1"/>
                      <w:szCs w:val="1"/>
                    </w:rPr>
                    <w:t>qtr</w:t>
                  </w:r>
                  <w:proofErr w:type="spellEnd"/>
                  <w:r>
                    <w:rPr>
                      <w:rFonts w:ascii="Arial" w:eastAsia="Arial" w:hAnsi="Arial" w:cs="Arial"/>
                      <w:b/>
                      <w:color w:val="000000"/>
                      <w:sz w:val="1"/>
                      <w:szCs w:val="1"/>
                    </w:rPr>
                    <w:t xml:space="preserve"> 2023</w:t>
                  </w:r>
                </w:p>
              </w:tc>
              <w:tc>
                <w:tcPr>
                  <w:tcW w:w="153" w:type="dxa"/>
                  <w:tcMar>
                    <w:top w:w="0" w:type="dxa"/>
                    <w:left w:w="0" w:type="dxa"/>
                    <w:bottom w:w="0" w:type="dxa"/>
                    <w:right w:w="0" w:type="dxa"/>
                  </w:tcMar>
                  <w:textDirection w:val="tbRl"/>
                  <w:vAlign w:val="bottom"/>
                </w:tcPr>
                <w:p w14:paraId="328AF542" w14:textId="77777777" w:rsidR="000A183F" w:rsidRDefault="000A183F" w:rsidP="000A183F">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000000"/>
                      <w:sz w:val="1"/>
                      <w:szCs w:val="1"/>
                    </w:rPr>
                  </w:pPr>
                  <w:r>
                    <w:rPr>
                      <w:rFonts w:ascii="Arial" w:eastAsia="Arial" w:hAnsi="Arial" w:cs="Arial"/>
                      <w:b/>
                      <w:color w:val="000000"/>
                      <w:sz w:val="1"/>
                      <w:szCs w:val="1"/>
                    </w:rPr>
                    <w:t xml:space="preserve">Dec </w:t>
                  </w:r>
                  <w:proofErr w:type="spellStart"/>
                  <w:r>
                    <w:rPr>
                      <w:rFonts w:ascii="Arial" w:eastAsia="Arial" w:hAnsi="Arial" w:cs="Arial"/>
                      <w:b/>
                      <w:color w:val="000000"/>
                      <w:sz w:val="1"/>
                      <w:szCs w:val="1"/>
                    </w:rPr>
                    <w:t>qtr</w:t>
                  </w:r>
                  <w:proofErr w:type="spellEnd"/>
                  <w:r>
                    <w:rPr>
                      <w:rFonts w:ascii="Arial" w:eastAsia="Arial" w:hAnsi="Arial" w:cs="Arial"/>
                      <w:b/>
                      <w:color w:val="000000"/>
                      <w:sz w:val="1"/>
                      <w:szCs w:val="1"/>
                    </w:rPr>
                    <w:t xml:space="preserve"> 2023</w:t>
                  </w:r>
                </w:p>
              </w:tc>
              <w:tc>
                <w:tcPr>
                  <w:tcW w:w="153" w:type="dxa"/>
                  <w:tcMar>
                    <w:top w:w="0" w:type="dxa"/>
                    <w:left w:w="0" w:type="dxa"/>
                    <w:bottom w:w="0" w:type="dxa"/>
                    <w:right w:w="0" w:type="dxa"/>
                  </w:tcMar>
                  <w:textDirection w:val="tbRl"/>
                  <w:vAlign w:val="bottom"/>
                </w:tcPr>
                <w:p w14:paraId="17EFC3BA" w14:textId="77777777" w:rsidR="000A183F" w:rsidRDefault="000A183F" w:rsidP="000A183F">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000000"/>
                      <w:sz w:val="1"/>
                      <w:szCs w:val="1"/>
                    </w:rPr>
                  </w:pPr>
                  <w:r>
                    <w:rPr>
                      <w:rFonts w:ascii="Arial" w:eastAsia="Arial" w:hAnsi="Arial" w:cs="Arial"/>
                      <w:b/>
                      <w:color w:val="000000"/>
                      <w:sz w:val="1"/>
                      <w:szCs w:val="1"/>
                    </w:rPr>
                    <w:t xml:space="preserve">Mar </w:t>
                  </w:r>
                  <w:proofErr w:type="spellStart"/>
                  <w:r>
                    <w:rPr>
                      <w:rFonts w:ascii="Arial" w:eastAsia="Arial" w:hAnsi="Arial" w:cs="Arial"/>
                      <w:b/>
                      <w:color w:val="000000"/>
                      <w:sz w:val="1"/>
                      <w:szCs w:val="1"/>
                    </w:rPr>
                    <w:t>qtr</w:t>
                  </w:r>
                  <w:proofErr w:type="spellEnd"/>
                  <w:r>
                    <w:rPr>
                      <w:rFonts w:ascii="Arial" w:eastAsia="Arial" w:hAnsi="Arial" w:cs="Arial"/>
                      <w:b/>
                      <w:color w:val="000000"/>
                      <w:sz w:val="1"/>
                      <w:szCs w:val="1"/>
                    </w:rPr>
                    <w:t xml:space="preserve"> 2024</w:t>
                  </w:r>
                </w:p>
              </w:tc>
              <w:tc>
                <w:tcPr>
                  <w:tcW w:w="153" w:type="dxa"/>
                  <w:tcMar>
                    <w:top w:w="0" w:type="dxa"/>
                    <w:left w:w="0" w:type="dxa"/>
                    <w:bottom w:w="0" w:type="dxa"/>
                    <w:right w:w="0" w:type="dxa"/>
                  </w:tcMar>
                  <w:textDirection w:val="tbRl"/>
                  <w:vAlign w:val="bottom"/>
                </w:tcPr>
                <w:p w14:paraId="64347120" w14:textId="77777777" w:rsidR="000A183F" w:rsidRDefault="000A183F" w:rsidP="000A183F">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000000"/>
                      <w:sz w:val="1"/>
                      <w:szCs w:val="1"/>
                    </w:rPr>
                  </w:pPr>
                  <w:r>
                    <w:rPr>
                      <w:rFonts w:ascii="Arial" w:eastAsia="Arial" w:hAnsi="Arial" w:cs="Arial"/>
                      <w:b/>
                      <w:color w:val="000000"/>
                      <w:sz w:val="1"/>
                      <w:szCs w:val="1"/>
                    </w:rPr>
                    <w:t xml:space="preserve">Jun </w:t>
                  </w:r>
                  <w:proofErr w:type="spellStart"/>
                  <w:r>
                    <w:rPr>
                      <w:rFonts w:ascii="Arial" w:eastAsia="Arial" w:hAnsi="Arial" w:cs="Arial"/>
                      <w:b/>
                      <w:color w:val="000000"/>
                      <w:sz w:val="1"/>
                      <w:szCs w:val="1"/>
                    </w:rPr>
                    <w:t>qtr</w:t>
                  </w:r>
                  <w:proofErr w:type="spellEnd"/>
                  <w:r>
                    <w:rPr>
                      <w:rFonts w:ascii="Arial" w:eastAsia="Arial" w:hAnsi="Arial" w:cs="Arial"/>
                      <w:b/>
                      <w:color w:val="000000"/>
                      <w:sz w:val="1"/>
                      <w:szCs w:val="1"/>
                    </w:rPr>
                    <w:t xml:space="preserve"> 2024</w:t>
                  </w:r>
                </w:p>
              </w:tc>
              <w:tc>
                <w:tcPr>
                  <w:tcW w:w="153" w:type="dxa"/>
                  <w:tcMar>
                    <w:top w:w="0" w:type="dxa"/>
                    <w:left w:w="0" w:type="dxa"/>
                    <w:bottom w:w="0" w:type="dxa"/>
                    <w:right w:w="0" w:type="dxa"/>
                  </w:tcMar>
                  <w:textDirection w:val="tbRl"/>
                  <w:vAlign w:val="bottom"/>
                </w:tcPr>
                <w:p w14:paraId="4AE4C3CF" w14:textId="77777777" w:rsidR="000A183F" w:rsidRDefault="000A183F" w:rsidP="000A183F">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000000"/>
                      <w:sz w:val="1"/>
                      <w:szCs w:val="1"/>
                    </w:rPr>
                  </w:pPr>
                  <w:r>
                    <w:rPr>
                      <w:rFonts w:ascii="Arial" w:eastAsia="Arial" w:hAnsi="Arial" w:cs="Arial"/>
                      <w:b/>
                      <w:color w:val="000000"/>
                      <w:sz w:val="1"/>
                      <w:szCs w:val="1"/>
                    </w:rPr>
                    <w:t xml:space="preserve">Sep </w:t>
                  </w:r>
                  <w:proofErr w:type="spellStart"/>
                  <w:r>
                    <w:rPr>
                      <w:rFonts w:ascii="Arial" w:eastAsia="Arial" w:hAnsi="Arial" w:cs="Arial"/>
                      <w:b/>
                      <w:color w:val="000000"/>
                      <w:sz w:val="1"/>
                      <w:szCs w:val="1"/>
                    </w:rPr>
                    <w:t>qtr</w:t>
                  </w:r>
                  <w:proofErr w:type="spellEnd"/>
                  <w:r>
                    <w:rPr>
                      <w:rFonts w:ascii="Arial" w:eastAsia="Arial" w:hAnsi="Arial" w:cs="Arial"/>
                      <w:b/>
                      <w:color w:val="000000"/>
                      <w:sz w:val="1"/>
                      <w:szCs w:val="1"/>
                    </w:rPr>
                    <w:t xml:space="preserve"> 2024</w:t>
                  </w:r>
                </w:p>
              </w:tc>
              <w:tc>
                <w:tcPr>
                  <w:tcW w:w="153" w:type="dxa"/>
                  <w:tcMar>
                    <w:top w:w="0" w:type="dxa"/>
                    <w:left w:w="0" w:type="dxa"/>
                    <w:bottom w:w="0" w:type="dxa"/>
                    <w:right w:w="0" w:type="dxa"/>
                  </w:tcMar>
                  <w:textDirection w:val="tbRl"/>
                  <w:vAlign w:val="bottom"/>
                </w:tcPr>
                <w:p w14:paraId="4538C300" w14:textId="77777777" w:rsidR="000A183F" w:rsidRDefault="000A183F" w:rsidP="000A183F">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000000"/>
                      <w:sz w:val="1"/>
                      <w:szCs w:val="1"/>
                    </w:rPr>
                  </w:pPr>
                  <w:r>
                    <w:rPr>
                      <w:rFonts w:ascii="Arial" w:eastAsia="Arial" w:hAnsi="Arial" w:cs="Arial"/>
                      <w:b/>
                      <w:color w:val="000000"/>
                      <w:sz w:val="1"/>
                      <w:szCs w:val="1"/>
                    </w:rPr>
                    <w:t xml:space="preserve">Dec </w:t>
                  </w:r>
                  <w:proofErr w:type="spellStart"/>
                  <w:r>
                    <w:rPr>
                      <w:rFonts w:ascii="Arial" w:eastAsia="Arial" w:hAnsi="Arial" w:cs="Arial"/>
                      <w:b/>
                      <w:color w:val="000000"/>
                      <w:sz w:val="1"/>
                      <w:szCs w:val="1"/>
                    </w:rPr>
                    <w:t>qtr</w:t>
                  </w:r>
                  <w:proofErr w:type="spellEnd"/>
                  <w:r>
                    <w:rPr>
                      <w:rFonts w:ascii="Arial" w:eastAsia="Arial" w:hAnsi="Arial" w:cs="Arial"/>
                      <w:b/>
                      <w:color w:val="000000"/>
                      <w:sz w:val="1"/>
                      <w:szCs w:val="1"/>
                    </w:rPr>
                    <w:t xml:space="preserve"> 2024</w:t>
                  </w:r>
                </w:p>
              </w:tc>
              <w:tc>
                <w:tcPr>
                  <w:tcW w:w="153" w:type="dxa"/>
                  <w:tcMar>
                    <w:top w:w="0" w:type="dxa"/>
                    <w:left w:w="0" w:type="dxa"/>
                    <w:bottom w:w="0" w:type="dxa"/>
                    <w:right w:w="0" w:type="dxa"/>
                  </w:tcMar>
                  <w:textDirection w:val="tbRl"/>
                  <w:vAlign w:val="bottom"/>
                </w:tcPr>
                <w:p w14:paraId="2D9DB8EF" w14:textId="77777777" w:rsidR="000A183F" w:rsidRDefault="000A183F" w:rsidP="000A183F">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000000"/>
                      <w:sz w:val="1"/>
                      <w:szCs w:val="1"/>
                    </w:rPr>
                  </w:pPr>
                  <w:r>
                    <w:rPr>
                      <w:rFonts w:ascii="Arial" w:eastAsia="Arial" w:hAnsi="Arial" w:cs="Arial"/>
                      <w:b/>
                      <w:color w:val="000000"/>
                      <w:sz w:val="1"/>
                      <w:szCs w:val="1"/>
                    </w:rPr>
                    <w:t xml:space="preserve">Mar </w:t>
                  </w:r>
                  <w:proofErr w:type="spellStart"/>
                  <w:r>
                    <w:rPr>
                      <w:rFonts w:ascii="Arial" w:eastAsia="Arial" w:hAnsi="Arial" w:cs="Arial"/>
                      <w:b/>
                      <w:color w:val="000000"/>
                      <w:sz w:val="1"/>
                      <w:szCs w:val="1"/>
                    </w:rPr>
                    <w:t>qtr</w:t>
                  </w:r>
                  <w:proofErr w:type="spellEnd"/>
                  <w:r>
                    <w:rPr>
                      <w:rFonts w:ascii="Arial" w:eastAsia="Arial" w:hAnsi="Arial" w:cs="Arial"/>
                      <w:b/>
                      <w:color w:val="000000"/>
                      <w:sz w:val="1"/>
                      <w:szCs w:val="1"/>
                    </w:rPr>
                    <w:t xml:space="preserve"> 2025</w:t>
                  </w:r>
                </w:p>
              </w:tc>
              <w:tc>
                <w:tcPr>
                  <w:tcW w:w="153" w:type="dxa"/>
                  <w:tcMar>
                    <w:top w:w="0" w:type="dxa"/>
                    <w:left w:w="0" w:type="dxa"/>
                    <w:bottom w:w="0" w:type="dxa"/>
                    <w:right w:w="0" w:type="dxa"/>
                  </w:tcMar>
                  <w:textDirection w:val="tbRl"/>
                  <w:vAlign w:val="bottom"/>
                </w:tcPr>
                <w:p w14:paraId="16CC6BD0" w14:textId="77777777" w:rsidR="000A183F" w:rsidRDefault="000A183F" w:rsidP="000A183F">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000000"/>
                      <w:sz w:val="1"/>
                      <w:szCs w:val="1"/>
                    </w:rPr>
                  </w:pPr>
                  <w:r>
                    <w:rPr>
                      <w:rFonts w:ascii="Arial" w:eastAsia="Arial" w:hAnsi="Arial" w:cs="Arial"/>
                      <w:b/>
                      <w:color w:val="000000"/>
                      <w:sz w:val="1"/>
                      <w:szCs w:val="1"/>
                    </w:rPr>
                    <w:t xml:space="preserve">Jun </w:t>
                  </w:r>
                  <w:proofErr w:type="spellStart"/>
                  <w:r>
                    <w:rPr>
                      <w:rFonts w:ascii="Arial" w:eastAsia="Arial" w:hAnsi="Arial" w:cs="Arial"/>
                      <w:b/>
                      <w:color w:val="000000"/>
                      <w:sz w:val="1"/>
                      <w:szCs w:val="1"/>
                    </w:rPr>
                    <w:t>qtr</w:t>
                  </w:r>
                  <w:proofErr w:type="spellEnd"/>
                  <w:r>
                    <w:rPr>
                      <w:rFonts w:ascii="Arial" w:eastAsia="Arial" w:hAnsi="Arial" w:cs="Arial"/>
                      <w:b/>
                      <w:color w:val="000000"/>
                      <w:sz w:val="1"/>
                      <w:szCs w:val="1"/>
                    </w:rPr>
                    <w:t xml:space="preserve"> 2025</w:t>
                  </w:r>
                </w:p>
              </w:tc>
              <w:tc>
                <w:tcPr>
                  <w:tcW w:w="153" w:type="dxa"/>
                  <w:tcMar>
                    <w:top w:w="0" w:type="dxa"/>
                    <w:left w:w="0" w:type="dxa"/>
                    <w:bottom w:w="0" w:type="dxa"/>
                    <w:right w:w="0" w:type="dxa"/>
                  </w:tcMar>
                  <w:textDirection w:val="tbRl"/>
                  <w:vAlign w:val="bottom"/>
                </w:tcPr>
                <w:p w14:paraId="3B50CCE0" w14:textId="77777777" w:rsidR="000A183F" w:rsidRDefault="000A183F" w:rsidP="000A183F">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000000"/>
                      <w:sz w:val="1"/>
                      <w:szCs w:val="1"/>
                    </w:rPr>
                  </w:pPr>
                  <w:r>
                    <w:rPr>
                      <w:rFonts w:ascii="Arial" w:eastAsia="Arial" w:hAnsi="Arial" w:cs="Arial"/>
                      <w:b/>
                      <w:color w:val="000000"/>
                      <w:sz w:val="1"/>
                      <w:szCs w:val="1"/>
                    </w:rPr>
                    <w:t xml:space="preserve">Sep </w:t>
                  </w:r>
                  <w:proofErr w:type="spellStart"/>
                  <w:r>
                    <w:rPr>
                      <w:rFonts w:ascii="Arial" w:eastAsia="Arial" w:hAnsi="Arial" w:cs="Arial"/>
                      <w:b/>
                      <w:color w:val="000000"/>
                      <w:sz w:val="1"/>
                      <w:szCs w:val="1"/>
                    </w:rPr>
                    <w:t>qtr</w:t>
                  </w:r>
                  <w:proofErr w:type="spellEnd"/>
                  <w:r>
                    <w:rPr>
                      <w:rFonts w:ascii="Arial" w:eastAsia="Arial" w:hAnsi="Arial" w:cs="Arial"/>
                      <w:b/>
                      <w:color w:val="000000"/>
                      <w:sz w:val="1"/>
                      <w:szCs w:val="1"/>
                    </w:rPr>
                    <w:t xml:space="preserve"> 2025</w:t>
                  </w:r>
                </w:p>
              </w:tc>
              <w:tc>
                <w:tcPr>
                  <w:tcW w:w="153" w:type="dxa"/>
                  <w:tcMar>
                    <w:top w:w="0" w:type="dxa"/>
                    <w:left w:w="0" w:type="dxa"/>
                    <w:bottom w:w="0" w:type="dxa"/>
                    <w:right w:w="0" w:type="dxa"/>
                  </w:tcMar>
                  <w:textDirection w:val="tbRl"/>
                  <w:vAlign w:val="bottom"/>
                </w:tcPr>
                <w:p w14:paraId="25D07DB3" w14:textId="77777777" w:rsidR="000A183F" w:rsidRDefault="000A183F" w:rsidP="000A183F">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000000"/>
                      <w:sz w:val="1"/>
                      <w:szCs w:val="1"/>
                    </w:rPr>
                  </w:pPr>
                  <w:r>
                    <w:rPr>
                      <w:rFonts w:ascii="Arial" w:eastAsia="Arial" w:hAnsi="Arial" w:cs="Arial"/>
                      <w:b/>
                      <w:color w:val="000000"/>
                      <w:sz w:val="1"/>
                      <w:szCs w:val="1"/>
                    </w:rPr>
                    <w:t xml:space="preserve">Dec </w:t>
                  </w:r>
                  <w:proofErr w:type="spellStart"/>
                  <w:r>
                    <w:rPr>
                      <w:rFonts w:ascii="Arial" w:eastAsia="Arial" w:hAnsi="Arial" w:cs="Arial"/>
                      <w:b/>
                      <w:color w:val="000000"/>
                      <w:sz w:val="1"/>
                      <w:szCs w:val="1"/>
                    </w:rPr>
                    <w:t>qtr</w:t>
                  </w:r>
                  <w:proofErr w:type="spellEnd"/>
                  <w:r>
                    <w:rPr>
                      <w:rFonts w:ascii="Arial" w:eastAsia="Arial" w:hAnsi="Arial" w:cs="Arial"/>
                      <w:b/>
                      <w:color w:val="000000"/>
                      <w:sz w:val="1"/>
                      <w:szCs w:val="1"/>
                    </w:rPr>
                    <w:t xml:space="preserve"> 2025</w:t>
                  </w:r>
                </w:p>
              </w:tc>
              <w:tc>
                <w:tcPr>
                  <w:tcW w:w="153" w:type="dxa"/>
                  <w:tcMar>
                    <w:top w:w="0" w:type="dxa"/>
                    <w:left w:w="0" w:type="dxa"/>
                    <w:bottom w:w="0" w:type="dxa"/>
                    <w:right w:w="0" w:type="dxa"/>
                  </w:tcMar>
                  <w:textDirection w:val="tbRl"/>
                  <w:vAlign w:val="bottom"/>
                </w:tcPr>
                <w:p w14:paraId="4A730B14" w14:textId="77777777" w:rsidR="000A183F" w:rsidRDefault="000A183F" w:rsidP="000A183F">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000000"/>
                      <w:sz w:val="1"/>
                      <w:szCs w:val="1"/>
                    </w:rPr>
                  </w:pPr>
                  <w:r>
                    <w:rPr>
                      <w:rFonts w:ascii="Arial" w:eastAsia="Arial" w:hAnsi="Arial" w:cs="Arial"/>
                      <w:b/>
                      <w:color w:val="000000"/>
                      <w:sz w:val="1"/>
                      <w:szCs w:val="1"/>
                    </w:rPr>
                    <w:t xml:space="preserve">Mar </w:t>
                  </w:r>
                  <w:proofErr w:type="spellStart"/>
                  <w:r>
                    <w:rPr>
                      <w:rFonts w:ascii="Arial" w:eastAsia="Arial" w:hAnsi="Arial" w:cs="Arial"/>
                      <w:b/>
                      <w:color w:val="000000"/>
                      <w:sz w:val="1"/>
                      <w:szCs w:val="1"/>
                    </w:rPr>
                    <w:t>qtr</w:t>
                  </w:r>
                  <w:proofErr w:type="spellEnd"/>
                  <w:r>
                    <w:rPr>
                      <w:rFonts w:ascii="Arial" w:eastAsia="Arial" w:hAnsi="Arial" w:cs="Arial"/>
                      <w:b/>
                      <w:color w:val="000000"/>
                      <w:sz w:val="1"/>
                      <w:szCs w:val="1"/>
                    </w:rPr>
                    <w:t xml:space="preserve"> 2026</w:t>
                  </w:r>
                </w:p>
              </w:tc>
            </w:tr>
            <w:tr w:rsidR="000A183F" w14:paraId="3263B8B8" w14:textId="77777777" w:rsidTr="00E45326">
              <w:trPr>
                <w:trHeight w:val="12"/>
                <w:jc w:val="center"/>
              </w:trPr>
              <w:tc>
                <w:tcPr>
                  <w:tcW w:w="153" w:type="dxa"/>
                  <w:tcMar>
                    <w:top w:w="0" w:type="dxa"/>
                    <w:left w:w="0" w:type="dxa"/>
                    <w:bottom w:w="0" w:type="dxa"/>
                    <w:right w:w="0" w:type="dxa"/>
                  </w:tcMar>
                  <w:textDirection w:val="tbRl"/>
                  <w:vAlign w:val="bottom"/>
                </w:tcPr>
                <w:p w14:paraId="605C0DEC" w14:textId="77777777" w:rsidR="000A183F" w:rsidRDefault="000A183F" w:rsidP="000A183F">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color w:val="000000"/>
                      <w:sz w:val="1"/>
                      <w:szCs w:val="1"/>
                    </w:rPr>
                  </w:pPr>
                  <w:r>
                    <w:rPr>
                      <w:rFonts w:ascii="Arial" w:eastAsia="Arial" w:hAnsi="Arial" w:cs="Arial"/>
                      <w:color w:val="000000"/>
                      <w:sz w:val="1"/>
                      <w:szCs w:val="1"/>
                    </w:rPr>
                    <w:t>62%</w:t>
                  </w:r>
                </w:p>
              </w:tc>
              <w:tc>
                <w:tcPr>
                  <w:tcW w:w="153" w:type="dxa"/>
                  <w:tcMar>
                    <w:top w:w="0" w:type="dxa"/>
                    <w:left w:w="0" w:type="dxa"/>
                    <w:bottom w:w="0" w:type="dxa"/>
                    <w:right w:w="0" w:type="dxa"/>
                  </w:tcMar>
                  <w:textDirection w:val="tbRl"/>
                  <w:vAlign w:val="bottom"/>
                </w:tcPr>
                <w:p w14:paraId="468EFBBD" w14:textId="77777777" w:rsidR="000A183F" w:rsidRDefault="000A183F" w:rsidP="000A183F">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color w:val="000000"/>
                      <w:sz w:val="1"/>
                      <w:szCs w:val="1"/>
                    </w:rPr>
                  </w:pPr>
                  <w:r>
                    <w:rPr>
                      <w:rFonts w:ascii="Arial" w:eastAsia="Arial" w:hAnsi="Arial" w:cs="Arial"/>
                      <w:color w:val="000000"/>
                      <w:sz w:val="1"/>
                      <w:szCs w:val="1"/>
                    </w:rPr>
                    <w:t>64%</w:t>
                  </w:r>
                </w:p>
              </w:tc>
              <w:tc>
                <w:tcPr>
                  <w:tcW w:w="153" w:type="dxa"/>
                  <w:tcMar>
                    <w:top w:w="0" w:type="dxa"/>
                    <w:left w:w="0" w:type="dxa"/>
                    <w:bottom w:w="0" w:type="dxa"/>
                    <w:right w:w="0" w:type="dxa"/>
                  </w:tcMar>
                  <w:textDirection w:val="tbRl"/>
                  <w:vAlign w:val="bottom"/>
                </w:tcPr>
                <w:p w14:paraId="765C55CD" w14:textId="77777777" w:rsidR="000A183F" w:rsidRDefault="000A183F" w:rsidP="000A183F">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color w:val="000000"/>
                      <w:sz w:val="1"/>
                      <w:szCs w:val="1"/>
                    </w:rPr>
                  </w:pPr>
                  <w:r>
                    <w:rPr>
                      <w:rFonts w:ascii="Arial" w:eastAsia="Arial" w:hAnsi="Arial" w:cs="Arial"/>
                      <w:color w:val="000000"/>
                      <w:sz w:val="1"/>
                      <w:szCs w:val="1"/>
                    </w:rPr>
                    <w:t>60%</w:t>
                  </w:r>
                </w:p>
              </w:tc>
              <w:tc>
                <w:tcPr>
                  <w:tcW w:w="153" w:type="dxa"/>
                  <w:tcMar>
                    <w:top w:w="0" w:type="dxa"/>
                    <w:left w:w="0" w:type="dxa"/>
                    <w:bottom w:w="0" w:type="dxa"/>
                    <w:right w:w="0" w:type="dxa"/>
                  </w:tcMar>
                  <w:textDirection w:val="tbRl"/>
                  <w:vAlign w:val="bottom"/>
                </w:tcPr>
                <w:p w14:paraId="4F549900" w14:textId="77777777" w:rsidR="000A183F" w:rsidRDefault="000A183F" w:rsidP="000A183F">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color w:val="000000"/>
                      <w:sz w:val="1"/>
                      <w:szCs w:val="1"/>
                    </w:rPr>
                  </w:pPr>
                  <w:r>
                    <w:rPr>
                      <w:rFonts w:ascii="Arial" w:eastAsia="Arial" w:hAnsi="Arial" w:cs="Arial"/>
                      <w:color w:val="000000"/>
                      <w:sz w:val="1"/>
                      <w:szCs w:val="1"/>
                    </w:rPr>
                    <w:t>55%</w:t>
                  </w:r>
                </w:p>
              </w:tc>
              <w:tc>
                <w:tcPr>
                  <w:tcW w:w="153" w:type="dxa"/>
                  <w:tcMar>
                    <w:top w:w="0" w:type="dxa"/>
                    <w:left w:w="0" w:type="dxa"/>
                    <w:bottom w:w="0" w:type="dxa"/>
                    <w:right w:w="0" w:type="dxa"/>
                  </w:tcMar>
                  <w:textDirection w:val="tbRl"/>
                  <w:vAlign w:val="bottom"/>
                </w:tcPr>
                <w:p w14:paraId="7B7E74D4" w14:textId="77777777" w:rsidR="000A183F" w:rsidRDefault="000A183F" w:rsidP="000A183F">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color w:val="000000"/>
                      <w:sz w:val="1"/>
                      <w:szCs w:val="1"/>
                    </w:rPr>
                  </w:pPr>
                  <w:r>
                    <w:rPr>
                      <w:rFonts w:ascii="Arial" w:eastAsia="Arial" w:hAnsi="Arial" w:cs="Arial"/>
                      <w:color w:val="000000"/>
                      <w:sz w:val="1"/>
                      <w:szCs w:val="1"/>
                    </w:rPr>
                    <w:t>53%</w:t>
                  </w:r>
                </w:p>
              </w:tc>
              <w:tc>
                <w:tcPr>
                  <w:tcW w:w="153" w:type="dxa"/>
                  <w:tcMar>
                    <w:top w:w="0" w:type="dxa"/>
                    <w:left w:w="0" w:type="dxa"/>
                    <w:bottom w:w="0" w:type="dxa"/>
                    <w:right w:w="0" w:type="dxa"/>
                  </w:tcMar>
                  <w:textDirection w:val="tbRl"/>
                  <w:vAlign w:val="bottom"/>
                </w:tcPr>
                <w:p w14:paraId="3D54F56F" w14:textId="77777777" w:rsidR="000A183F" w:rsidRDefault="000A183F" w:rsidP="000A183F">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color w:val="000000"/>
                      <w:sz w:val="1"/>
                      <w:szCs w:val="1"/>
                    </w:rPr>
                  </w:pPr>
                  <w:r>
                    <w:rPr>
                      <w:rFonts w:ascii="Arial" w:eastAsia="Arial" w:hAnsi="Arial" w:cs="Arial"/>
                      <w:color w:val="000000"/>
                      <w:sz w:val="1"/>
                      <w:szCs w:val="1"/>
                    </w:rPr>
                    <w:t>55%</w:t>
                  </w:r>
                </w:p>
              </w:tc>
              <w:tc>
                <w:tcPr>
                  <w:tcW w:w="153" w:type="dxa"/>
                  <w:tcMar>
                    <w:top w:w="0" w:type="dxa"/>
                    <w:left w:w="0" w:type="dxa"/>
                    <w:bottom w:w="0" w:type="dxa"/>
                    <w:right w:w="0" w:type="dxa"/>
                  </w:tcMar>
                  <w:textDirection w:val="tbRl"/>
                  <w:vAlign w:val="bottom"/>
                </w:tcPr>
                <w:p w14:paraId="7F586615" w14:textId="77777777" w:rsidR="000A183F" w:rsidRDefault="000A183F" w:rsidP="000A183F">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color w:val="000000"/>
                      <w:sz w:val="1"/>
                      <w:szCs w:val="1"/>
                    </w:rPr>
                  </w:pPr>
                  <w:r>
                    <w:rPr>
                      <w:rFonts w:ascii="Arial" w:eastAsia="Arial" w:hAnsi="Arial" w:cs="Arial"/>
                      <w:color w:val="000000"/>
                      <w:sz w:val="1"/>
                      <w:szCs w:val="1"/>
                    </w:rPr>
                    <w:t>50%</w:t>
                  </w:r>
                </w:p>
              </w:tc>
              <w:tc>
                <w:tcPr>
                  <w:tcW w:w="153" w:type="dxa"/>
                  <w:tcMar>
                    <w:top w:w="0" w:type="dxa"/>
                    <w:left w:w="0" w:type="dxa"/>
                    <w:bottom w:w="0" w:type="dxa"/>
                    <w:right w:w="0" w:type="dxa"/>
                  </w:tcMar>
                  <w:textDirection w:val="tbRl"/>
                  <w:vAlign w:val="bottom"/>
                </w:tcPr>
                <w:p w14:paraId="7D512DC2" w14:textId="77777777" w:rsidR="000A183F" w:rsidRDefault="000A183F" w:rsidP="000A183F">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color w:val="000000"/>
                      <w:sz w:val="1"/>
                      <w:szCs w:val="1"/>
                    </w:rPr>
                  </w:pPr>
                  <w:r>
                    <w:rPr>
                      <w:rFonts w:ascii="Arial" w:eastAsia="Arial" w:hAnsi="Arial" w:cs="Arial"/>
                      <w:color w:val="000000"/>
                      <w:sz w:val="1"/>
                      <w:szCs w:val="1"/>
                    </w:rPr>
                    <w:t>50%</w:t>
                  </w:r>
                </w:p>
              </w:tc>
              <w:tc>
                <w:tcPr>
                  <w:tcW w:w="153" w:type="dxa"/>
                  <w:tcMar>
                    <w:top w:w="0" w:type="dxa"/>
                    <w:left w:w="0" w:type="dxa"/>
                    <w:bottom w:w="0" w:type="dxa"/>
                    <w:right w:w="0" w:type="dxa"/>
                  </w:tcMar>
                  <w:textDirection w:val="tbRl"/>
                  <w:vAlign w:val="bottom"/>
                </w:tcPr>
                <w:p w14:paraId="2E556EAD" w14:textId="77777777" w:rsidR="000A183F" w:rsidRDefault="000A183F" w:rsidP="000A183F">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color w:val="000000"/>
                      <w:sz w:val="1"/>
                      <w:szCs w:val="1"/>
                    </w:rPr>
                  </w:pPr>
                  <w:r>
                    <w:rPr>
                      <w:rFonts w:ascii="Arial" w:eastAsia="Arial" w:hAnsi="Arial" w:cs="Arial"/>
                      <w:color w:val="000000"/>
                      <w:sz w:val="1"/>
                      <w:szCs w:val="1"/>
                    </w:rPr>
                    <w:t>43%</w:t>
                  </w:r>
                </w:p>
              </w:tc>
              <w:tc>
                <w:tcPr>
                  <w:tcW w:w="153" w:type="dxa"/>
                  <w:tcMar>
                    <w:top w:w="0" w:type="dxa"/>
                    <w:left w:w="0" w:type="dxa"/>
                    <w:bottom w:w="0" w:type="dxa"/>
                    <w:right w:w="0" w:type="dxa"/>
                  </w:tcMar>
                  <w:textDirection w:val="tbRl"/>
                  <w:vAlign w:val="bottom"/>
                </w:tcPr>
                <w:p w14:paraId="1E83BEC9" w14:textId="77777777" w:rsidR="000A183F" w:rsidRDefault="000A183F" w:rsidP="000A183F">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color w:val="000000"/>
                      <w:sz w:val="1"/>
                      <w:szCs w:val="1"/>
                    </w:rPr>
                  </w:pPr>
                  <w:r>
                    <w:rPr>
                      <w:rFonts w:ascii="Arial" w:eastAsia="Arial" w:hAnsi="Arial" w:cs="Arial"/>
                      <w:color w:val="000000"/>
                      <w:sz w:val="1"/>
                      <w:szCs w:val="1"/>
                    </w:rPr>
                    <w:t>49%</w:t>
                  </w:r>
                </w:p>
              </w:tc>
              <w:tc>
                <w:tcPr>
                  <w:tcW w:w="153" w:type="dxa"/>
                  <w:tcMar>
                    <w:top w:w="0" w:type="dxa"/>
                    <w:left w:w="0" w:type="dxa"/>
                    <w:bottom w:w="0" w:type="dxa"/>
                    <w:right w:w="0" w:type="dxa"/>
                  </w:tcMar>
                  <w:textDirection w:val="tbRl"/>
                  <w:vAlign w:val="bottom"/>
                </w:tcPr>
                <w:p w14:paraId="3F3AF9FD" w14:textId="77777777" w:rsidR="000A183F" w:rsidRDefault="000A183F" w:rsidP="000A183F">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color w:val="000000"/>
                      <w:sz w:val="1"/>
                      <w:szCs w:val="1"/>
                    </w:rPr>
                  </w:pPr>
                  <w:r>
                    <w:rPr>
                      <w:rFonts w:ascii="Arial" w:eastAsia="Arial" w:hAnsi="Arial" w:cs="Arial"/>
                      <w:color w:val="000000"/>
                      <w:sz w:val="1"/>
                      <w:szCs w:val="1"/>
                    </w:rPr>
                    <w:t>42%</w:t>
                  </w:r>
                </w:p>
              </w:tc>
              <w:tc>
                <w:tcPr>
                  <w:tcW w:w="153" w:type="dxa"/>
                  <w:tcMar>
                    <w:top w:w="0" w:type="dxa"/>
                    <w:left w:w="0" w:type="dxa"/>
                    <w:bottom w:w="0" w:type="dxa"/>
                    <w:right w:w="0" w:type="dxa"/>
                  </w:tcMar>
                  <w:textDirection w:val="tbRl"/>
                  <w:vAlign w:val="bottom"/>
                </w:tcPr>
                <w:p w14:paraId="54953800" w14:textId="77777777" w:rsidR="000A183F" w:rsidRDefault="000A183F" w:rsidP="000A183F">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color w:val="000000"/>
                      <w:sz w:val="1"/>
                      <w:szCs w:val="1"/>
                    </w:rPr>
                  </w:pPr>
                  <w:r>
                    <w:rPr>
                      <w:rFonts w:ascii="Arial" w:eastAsia="Arial" w:hAnsi="Arial" w:cs="Arial"/>
                      <w:color w:val="000000"/>
                      <w:sz w:val="1"/>
                      <w:szCs w:val="1"/>
                    </w:rPr>
                    <w:t>41%</w:t>
                  </w:r>
                </w:p>
              </w:tc>
              <w:tc>
                <w:tcPr>
                  <w:tcW w:w="153" w:type="dxa"/>
                  <w:tcMar>
                    <w:top w:w="0" w:type="dxa"/>
                    <w:left w:w="0" w:type="dxa"/>
                    <w:bottom w:w="0" w:type="dxa"/>
                    <w:right w:w="0" w:type="dxa"/>
                  </w:tcMar>
                  <w:textDirection w:val="tbRl"/>
                  <w:vAlign w:val="bottom"/>
                </w:tcPr>
                <w:p w14:paraId="7B9230B6" w14:textId="77777777" w:rsidR="000A183F" w:rsidRDefault="000A183F" w:rsidP="000A183F">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color w:val="000000"/>
                      <w:sz w:val="1"/>
                      <w:szCs w:val="1"/>
                    </w:rPr>
                  </w:pPr>
                  <w:r>
                    <w:rPr>
                      <w:rFonts w:ascii="Arial" w:eastAsia="Arial" w:hAnsi="Arial" w:cs="Arial"/>
                      <w:color w:val="000000"/>
                      <w:sz w:val="1"/>
                      <w:szCs w:val="1"/>
                    </w:rPr>
                    <w:t>45%</w:t>
                  </w:r>
                </w:p>
              </w:tc>
            </w:tr>
          </w:tbl>
          <w:p w14:paraId="016FE5E4" w14:textId="77777777" w:rsidR="004F5741" w:rsidRDefault="003416A1">
            <w:r>
              <w:rPr>
                <w:noProof/>
              </w:rPr>
              <w:drawing>
                <wp:anchor distT="0" distB="0" distL="114300" distR="114300" simplePos="0" relativeHeight="251657728" behindDoc="0" locked="0" layoutInCell="1" allowOverlap="1" wp14:anchorId="09B128A1" wp14:editId="2463902E">
                  <wp:simplePos x="0" y="0"/>
                  <wp:positionH relativeFrom="column">
                    <wp:posOffset>-27074</wp:posOffset>
                  </wp:positionH>
                  <wp:positionV relativeFrom="paragraph">
                    <wp:posOffset>-54783</wp:posOffset>
                  </wp:positionV>
                  <wp:extent cx="3666766" cy="1466706"/>
                  <wp:effectExtent l="0" t="0" r="0" b="635"/>
                  <wp:wrapNone/>
                  <wp:docPr id="25"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Picture">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666766" cy="1466706"/>
                          </a:xfrm>
                          <a:prstGeom prst="rect">
                            <a:avLst/>
                          </a:prstGeom>
                          <a:noFill/>
                          <a:ln w="9525">
                            <a:noFill/>
                            <a:headEnd/>
                            <a:tailEnd/>
                          </a:ln>
                        </pic:spPr>
                      </pic:pic>
                    </a:graphicData>
                  </a:graphic>
                </wp:anchor>
              </w:drawing>
            </w:r>
          </w:p>
        </w:tc>
        <w:tc>
          <w:tcPr>
            <w:tcW w:w="3168" w:type="dxa"/>
          </w:tcPr>
          <w:p w14:paraId="3CD31047" w14:textId="6BE690F5" w:rsidR="004F5741" w:rsidRPr="005B098E" w:rsidRDefault="003416A1">
            <w:pPr>
              <w:pStyle w:val="ListBullet"/>
            </w:pPr>
            <w:r w:rsidRPr="005B098E">
              <w:t>The recruitment difficulty rate in the March quarter 2026 was 45%.</w:t>
            </w:r>
          </w:p>
          <w:p w14:paraId="08245355" w14:textId="3CE2E689" w:rsidR="004F5741" w:rsidRDefault="003416A1">
            <w:pPr>
              <w:pStyle w:val="ListBullet"/>
            </w:pPr>
            <w:r>
              <w:t xml:space="preserve">This was 2 percentage points higher than </w:t>
            </w:r>
            <w:r w:rsidR="00EF32DC">
              <w:t>a</w:t>
            </w:r>
            <w:r>
              <w:t xml:space="preserve"> year </w:t>
            </w:r>
            <w:r w:rsidR="00EF32DC">
              <w:t xml:space="preserve">earlier </w:t>
            </w:r>
            <w:r>
              <w:t>(43%).</w:t>
            </w:r>
          </w:p>
        </w:tc>
      </w:tr>
    </w:tbl>
    <w:p w14:paraId="43C6303E" w14:textId="77777777" w:rsidR="000A183F" w:rsidRDefault="000A183F">
      <w:pPr>
        <w:pStyle w:val="Heading3"/>
      </w:pPr>
      <w:bookmarkStart w:id="3" w:name="X8c19ec103ba5d6fba455cc53c1cb8fe0462cd38"/>
      <w:bookmarkEnd w:id="2"/>
    </w:p>
    <w:p w14:paraId="0508C74F" w14:textId="77777777" w:rsidR="0083540D" w:rsidRPr="0083540D" w:rsidRDefault="0083540D" w:rsidP="0083540D"/>
    <w:p w14:paraId="5C2356F9" w14:textId="1EFB4D60" w:rsidR="004F5741" w:rsidRDefault="003416A1">
      <w:pPr>
        <w:pStyle w:val="Heading3"/>
      </w:pPr>
      <w:r>
        <w:t>Expecting to increase staff - National level</w:t>
      </w:r>
    </w:p>
    <w:tbl>
      <w:tblPr>
        <w:tblW w:w="5000" w:type="pct"/>
        <w:tblLayout w:type="fixed"/>
        <w:tblLook w:val="0000" w:firstRow="0" w:lastRow="0" w:firstColumn="0" w:lastColumn="0" w:noHBand="0" w:noVBand="0"/>
      </w:tblPr>
      <w:tblGrid>
        <w:gridCol w:w="5783"/>
        <w:gridCol w:w="3855"/>
      </w:tblGrid>
      <w:tr w:rsidR="004F5741" w14:paraId="397BE5E5" w14:textId="77777777">
        <w:tc>
          <w:tcPr>
            <w:tcW w:w="4752" w:type="dxa"/>
          </w:tcPr>
          <w:tbl>
            <w:tblPr>
              <w:tblW w:w="0" w:type="auto"/>
              <w:jc w:val="center"/>
              <w:tblLayout w:type="fixed"/>
              <w:tblLook w:val="0420" w:firstRow="1" w:lastRow="0" w:firstColumn="0" w:lastColumn="0" w:noHBand="0" w:noVBand="1"/>
            </w:tblPr>
            <w:tblGrid>
              <w:gridCol w:w="153"/>
              <w:gridCol w:w="153"/>
              <w:gridCol w:w="153"/>
              <w:gridCol w:w="153"/>
              <w:gridCol w:w="153"/>
              <w:gridCol w:w="153"/>
              <w:gridCol w:w="153"/>
              <w:gridCol w:w="153"/>
              <w:gridCol w:w="153"/>
              <w:gridCol w:w="153"/>
              <w:gridCol w:w="153"/>
              <w:gridCol w:w="153"/>
              <w:gridCol w:w="153"/>
            </w:tblGrid>
            <w:tr w:rsidR="00382E20" w14:paraId="284BF550" w14:textId="77777777" w:rsidTr="00E45326">
              <w:trPr>
                <w:trHeight w:val="12"/>
                <w:tblHeader/>
                <w:jc w:val="center"/>
              </w:trPr>
              <w:tc>
                <w:tcPr>
                  <w:tcW w:w="153" w:type="dxa"/>
                  <w:tcMar>
                    <w:top w:w="0" w:type="dxa"/>
                    <w:left w:w="0" w:type="dxa"/>
                    <w:bottom w:w="0" w:type="dxa"/>
                    <w:right w:w="0" w:type="dxa"/>
                  </w:tcMar>
                  <w:textDirection w:val="tbRl"/>
                  <w:vAlign w:val="bottom"/>
                </w:tcPr>
                <w:p w14:paraId="3C74E73A" w14:textId="77777777" w:rsidR="00382E20" w:rsidRDefault="00382E20" w:rsidP="00382E20">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000000"/>
                      <w:sz w:val="1"/>
                      <w:szCs w:val="1"/>
                    </w:rPr>
                  </w:pPr>
                  <w:r>
                    <w:rPr>
                      <w:rFonts w:ascii="Arial" w:eastAsia="Arial" w:hAnsi="Arial" w:cs="Arial"/>
                      <w:b/>
                      <w:color w:val="000000"/>
                      <w:sz w:val="1"/>
                      <w:szCs w:val="1"/>
                    </w:rPr>
                    <w:t xml:space="preserve">Mar </w:t>
                  </w:r>
                  <w:proofErr w:type="spellStart"/>
                  <w:r>
                    <w:rPr>
                      <w:rFonts w:ascii="Arial" w:eastAsia="Arial" w:hAnsi="Arial" w:cs="Arial"/>
                      <w:b/>
                      <w:color w:val="000000"/>
                      <w:sz w:val="1"/>
                      <w:szCs w:val="1"/>
                    </w:rPr>
                    <w:t>qtr</w:t>
                  </w:r>
                  <w:proofErr w:type="spellEnd"/>
                  <w:r>
                    <w:rPr>
                      <w:rFonts w:ascii="Arial" w:eastAsia="Arial" w:hAnsi="Arial" w:cs="Arial"/>
                      <w:b/>
                      <w:color w:val="000000"/>
                      <w:sz w:val="1"/>
                      <w:szCs w:val="1"/>
                    </w:rPr>
                    <w:t xml:space="preserve"> 2023</w:t>
                  </w:r>
                </w:p>
              </w:tc>
              <w:tc>
                <w:tcPr>
                  <w:tcW w:w="153" w:type="dxa"/>
                  <w:tcMar>
                    <w:top w:w="0" w:type="dxa"/>
                    <w:left w:w="0" w:type="dxa"/>
                    <w:bottom w:w="0" w:type="dxa"/>
                    <w:right w:w="0" w:type="dxa"/>
                  </w:tcMar>
                  <w:textDirection w:val="tbRl"/>
                  <w:vAlign w:val="bottom"/>
                </w:tcPr>
                <w:p w14:paraId="6BD76353" w14:textId="77777777" w:rsidR="00382E20" w:rsidRDefault="00382E20" w:rsidP="00382E20">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000000"/>
                      <w:sz w:val="1"/>
                      <w:szCs w:val="1"/>
                    </w:rPr>
                  </w:pPr>
                  <w:r>
                    <w:rPr>
                      <w:rFonts w:ascii="Arial" w:eastAsia="Arial" w:hAnsi="Arial" w:cs="Arial"/>
                      <w:b/>
                      <w:color w:val="000000"/>
                      <w:sz w:val="1"/>
                      <w:szCs w:val="1"/>
                    </w:rPr>
                    <w:t xml:space="preserve">Jun </w:t>
                  </w:r>
                  <w:proofErr w:type="spellStart"/>
                  <w:r>
                    <w:rPr>
                      <w:rFonts w:ascii="Arial" w:eastAsia="Arial" w:hAnsi="Arial" w:cs="Arial"/>
                      <w:b/>
                      <w:color w:val="000000"/>
                      <w:sz w:val="1"/>
                      <w:szCs w:val="1"/>
                    </w:rPr>
                    <w:t>qtr</w:t>
                  </w:r>
                  <w:proofErr w:type="spellEnd"/>
                  <w:r>
                    <w:rPr>
                      <w:rFonts w:ascii="Arial" w:eastAsia="Arial" w:hAnsi="Arial" w:cs="Arial"/>
                      <w:b/>
                      <w:color w:val="000000"/>
                      <w:sz w:val="1"/>
                      <w:szCs w:val="1"/>
                    </w:rPr>
                    <w:t xml:space="preserve"> 2023</w:t>
                  </w:r>
                </w:p>
              </w:tc>
              <w:tc>
                <w:tcPr>
                  <w:tcW w:w="153" w:type="dxa"/>
                  <w:tcMar>
                    <w:top w:w="0" w:type="dxa"/>
                    <w:left w:w="0" w:type="dxa"/>
                    <w:bottom w:w="0" w:type="dxa"/>
                    <w:right w:w="0" w:type="dxa"/>
                  </w:tcMar>
                  <w:textDirection w:val="tbRl"/>
                  <w:vAlign w:val="bottom"/>
                </w:tcPr>
                <w:p w14:paraId="410A5D64" w14:textId="77777777" w:rsidR="00382E20" w:rsidRDefault="00382E20" w:rsidP="00382E20">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000000"/>
                      <w:sz w:val="1"/>
                      <w:szCs w:val="1"/>
                    </w:rPr>
                  </w:pPr>
                  <w:r>
                    <w:rPr>
                      <w:rFonts w:ascii="Arial" w:eastAsia="Arial" w:hAnsi="Arial" w:cs="Arial"/>
                      <w:b/>
                      <w:color w:val="000000"/>
                      <w:sz w:val="1"/>
                      <w:szCs w:val="1"/>
                    </w:rPr>
                    <w:t xml:space="preserve">Sep </w:t>
                  </w:r>
                  <w:proofErr w:type="spellStart"/>
                  <w:r>
                    <w:rPr>
                      <w:rFonts w:ascii="Arial" w:eastAsia="Arial" w:hAnsi="Arial" w:cs="Arial"/>
                      <w:b/>
                      <w:color w:val="000000"/>
                      <w:sz w:val="1"/>
                      <w:szCs w:val="1"/>
                    </w:rPr>
                    <w:t>qtr</w:t>
                  </w:r>
                  <w:proofErr w:type="spellEnd"/>
                  <w:r>
                    <w:rPr>
                      <w:rFonts w:ascii="Arial" w:eastAsia="Arial" w:hAnsi="Arial" w:cs="Arial"/>
                      <w:b/>
                      <w:color w:val="000000"/>
                      <w:sz w:val="1"/>
                      <w:szCs w:val="1"/>
                    </w:rPr>
                    <w:t xml:space="preserve"> 2023</w:t>
                  </w:r>
                </w:p>
              </w:tc>
              <w:tc>
                <w:tcPr>
                  <w:tcW w:w="153" w:type="dxa"/>
                  <w:tcMar>
                    <w:top w:w="0" w:type="dxa"/>
                    <w:left w:w="0" w:type="dxa"/>
                    <w:bottom w:w="0" w:type="dxa"/>
                    <w:right w:w="0" w:type="dxa"/>
                  </w:tcMar>
                  <w:textDirection w:val="tbRl"/>
                  <w:vAlign w:val="bottom"/>
                </w:tcPr>
                <w:p w14:paraId="45AD9115" w14:textId="77777777" w:rsidR="00382E20" w:rsidRDefault="00382E20" w:rsidP="00382E20">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000000"/>
                      <w:sz w:val="1"/>
                      <w:szCs w:val="1"/>
                    </w:rPr>
                  </w:pPr>
                  <w:r>
                    <w:rPr>
                      <w:rFonts w:ascii="Arial" w:eastAsia="Arial" w:hAnsi="Arial" w:cs="Arial"/>
                      <w:b/>
                      <w:color w:val="000000"/>
                      <w:sz w:val="1"/>
                      <w:szCs w:val="1"/>
                    </w:rPr>
                    <w:t xml:space="preserve">Dec </w:t>
                  </w:r>
                  <w:proofErr w:type="spellStart"/>
                  <w:r>
                    <w:rPr>
                      <w:rFonts w:ascii="Arial" w:eastAsia="Arial" w:hAnsi="Arial" w:cs="Arial"/>
                      <w:b/>
                      <w:color w:val="000000"/>
                      <w:sz w:val="1"/>
                      <w:szCs w:val="1"/>
                    </w:rPr>
                    <w:t>qtr</w:t>
                  </w:r>
                  <w:proofErr w:type="spellEnd"/>
                  <w:r>
                    <w:rPr>
                      <w:rFonts w:ascii="Arial" w:eastAsia="Arial" w:hAnsi="Arial" w:cs="Arial"/>
                      <w:b/>
                      <w:color w:val="000000"/>
                      <w:sz w:val="1"/>
                      <w:szCs w:val="1"/>
                    </w:rPr>
                    <w:t xml:space="preserve"> 2023</w:t>
                  </w:r>
                </w:p>
              </w:tc>
              <w:tc>
                <w:tcPr>
                  <w:tcW w:w="153" w:type="dxa"/>
                  <w:tcMar>
                    <w:top w:w="0" w:type="dxa"/>
                    <w:left w:w="0" w:type="dxa"/>
                    <w:bottom w:w="0" w:type="dxa"/>
                    <w:right w:w="0" w:type="dxa"/>
                  </w:tcMar>
                  <w:textDirection w:val="tbRl"/>
                  <w:vAlign w:val="bottom"/>
                </w:tcPr>
                <w:p w14:paraId="2EA39E9C" w14:textId="77777777" w:rsidR="00382E20" w:rsidRDefault="00382E20" w:rsidP="00382E20">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000000"/>
                      <w:sz w:val="1"/>
                      <w:szCs w:val="1"/>
                    </w:rPr>
                  </w:pPr>
                  <w:r>
                    <w:rPr>
                      <w:rFonts w:ascii="Arial" w:eastAsia="Arial" w:hAnsi="Arial" w:cs="Arial"/>
                      <w:b/>
                      <w:color w:val="000000"/>
                      <w:sz w:val="1"/>
                      <w:szCs w:val="1"/>
                    </w:rPr>
                    <w:t xml:space="preserve">Mar </w:t>
                  </w:r>
                  <w:proofErr w:type="spellStart"/>
                  <w:r>
                    <w:rPr>
                      <w:rFonts w:ascii="Arial" w:eastAsia="Arial" w:hAnsi="Arial" w:cs="Arial"/>
                      <w:b/>
                      <w:color w:val="000000"/>
                      <w:sz w:val="1"/>
                      <w:szCs w:val="1"/>
                    </w:rPr>
                    <w:t>qtr</w:t>
                  </w:r>
                  <w:proofErr w:type="spellEnd"/>
                  <w:r>
                    <w:rPr>
                      <w:rFonts w:ascii="Arial" w:eastAsia="Arial" w:hAnsi="Arial" w:cs="Arial"/>
                      <w:b/>
                      <w:color w:val="000000"/>
                      <w:sz w:val="1"/>
                      <w:szCs w:val="1"/>
                    </w:rPr>
                    <w:t xml:space="preserve"> 2024</w:t>
                  </w:r>
                </w:p>
              </w:tc>
              <w:tc>
                <w:tcPr>
                  <w:tcW w:w="153" w:type="dxa"/>
                  <w:tcMar>
                    <w:top w:w="0" w:type="dxa"/>
                    <w:left w:w="0" w:type="dxa"/>
                    <w:bottom w:w="0" w:type="dxa"/>
                    <w:right w:w="0" w:type="dxa"/>
                  </w:tcMar>
                  <w:textDirection w:val="tbRl"/>
                  <w:vAlign w:val="bottom"/>
                </w:tcPr>
                <w:p w14:paraId="56088131" w14:textId="77777777" w:rsidR="00382E20" w:rsidRDefault="00382E20" w:rsidP="00382E20">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000000"/>
                      <w:sz w:val="1"/>
                      <w:szCs w:val="1"/>
                    </w:rPr>
                  </w:pPr>
                  <w:r>
                    <w:rPr>
                      <w:rFonts w:ascii="Arial" w:eastAsia="Arial" w:hAnsi="Arial" w:cs="Arial"/>
                      <w:b/>
                      <w:color w:val="000000"/>
                      <w:sz w:val="1"/>
                      <w:szCs w:val="1"/>
                    </w:rPr>
                    <w:t xml:space="preserve">Jun </w:t>
                  </w:r>
                  <w:proofErr w:type="spellStart"/>
                  <w:r>
                    <w:rPr>
                      <w:rFonts w:ascii="Arial" w:eastAsia="Arial" w:hAnsi="Arial" w:cs="Arial"/>
                      <w:b/>
                      <w:color w:val="000000"/>
                      <w:sz w:val="1"/>
                      <w:szCs w:val="1"/>
                    </w:rPr>
                    <w:t>qtr</w:t>
                  </w:r>
                  <w:proofErr w:type="spellEnd"/>
                  <w:r>
                    <w:rPr>
                      <w:rFonts w:ascii="Arial" w:eastAsia="Arial" w:hAnsi="Arial" w:cs="Arial"/>
                      <w:b/>
                      <w:color w:val="000000"/>
                      <w:sz w:val="1"/>
                      <w:szCs w:val="1"/>
                    </w:rPr>
                    <w:t xml:space="preserve"> 2024</w:t>
                  </w:r>
                </w:p>
              </w:tc>
              <w:tc>
                <w:tcPr>
                  <w:tcW w:w="153" w:type="dxa"/>
                  <w:tcMar>
                    <w:top w:w="0" w:type="dxa"/>
                    <w:left w:w="0" w:type="dxa"/>
                    <w:bottom w:w="0" w:type="dxa"/>
                    <w:right w:w="0" w:type="dxa"/>
                  </w:tcMar>
                  <w:textDirection w:val="tbRl"/>
                  <w:vAlign w:val="bottom"/>
                </w:tcPr>
                <w:p w14:paraId="1F510952" w14:textId="77777777" w:rsidR="00382E20" w:rsidRDefault="00382E20" w:rsidP="00382E20">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000000"/>
                      <w:sz w:val="1"/>
                      <w:szCs w:val="1"/>
                    </w:rPr>
                  </w:pPr>
                  <w:r>
                    <w:rPr>
                      <w:rFonts w:ascii="Arial" w:eastAsia="Arial" w:hAnsi="Arial" w:cs="Arial"/>
                      <w:b/>
                      <w:color w:val="000000"/>
                      <w:sz w:val="1"/>
                      <w:szCs w:val="1"/>
                    </w:rPr>
                    <w:t xml:space="preserve">Sep </w:t>
                  </w:r>
                  <w:proofErr w:type="spellStart"/>
                  <w:r>
                    <w:rPr>
                      <w:rFonts w:ascii="Arial" w:eastAsia="Arial" w:hAnsi="Arial" w:cs="Arial"/>
                      <w:b/>
                      <w:color w:val="000000"/>
                      <w:sz w:val="1"/>
                      <w:szCs w:val="1"/>
                    </w:rPr>
                    <w:t>qtr</w:t>
                  </w:r>
                  <w:proofErr w:type="spellEnd"/>
                  <w:r>
                    <w:rPr>
                      <w:rFonts w:ascii="Arial" w:eastAsia="Arial" w:hAnsi="Arial" w:cs="Arial"/>
                      <w:b/>
                      <w:color w:val="000000"/>
                      <w:sz w:val="1"/>
                      <w:szCs w:val="1"/>
                    </w:rPr>
                    <w:t xml:space="preserve"> 2024</w:t>
                  </w:r>
                </w:p>
              </w:tc>
              <w:tc>
                <w:tcPr>
                  <w:tcW w:w="153" w:type="dxa"/>
                  <w:tcMar>
                    <w:top w:w="0" w:type="dxa"/>
                    <w:left w:w="0" w:type="dxa"/>
                    <w:bottom w:w="0" w:type="dxa"/>
                    <w:right w:w="0" w:type="dxa"/>
                  </w:tcMar>
                  <w:textDirection w:val="tbRl"/>
                  <w:vAlign w:val="bottom"/>
                </w:tcPr>
                <w:p w14:paraId="02DF6470" w14:textId="77777777" w:rsidR="00382E20" w:rsidRDefault="00382E20" w:rsidP="00382E20">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000000"/>
                      <w:sz w:val="1"/>
                      <w:szCs w:val="1"/>
                    </w:rPr>
                  </w:pPr>
                  <w:r>
                    <w:rPr>
                      <w:rFonts w:ascii="Arial" w:eastAsia="Arial" w:hAnsi="Arial" w:cs="Arial"/>
                      <w:b/>
                      <w:color w:val="000000"/>
                      <w:sz w:val="1"/>
                      <w:szCs w:val="1"/>
                    </w:rPr>
                    <w:t xml:space="preserve">Dec </w:t>
                  </w:r>
                  <w:proofErr w:type="spellStart"/>
                  <w:r>
                    <w:rPr>
                      <w:rFonts w:ascii="Arial" w:eastAsia="Arial" w:hAnsi="Arial" w:cs="Arial"/>
                      <w:b/>
                      <w:color w:val="000000"/>
                      <w:sz w:val="1"/>
                      <w:szCs w:val="1"/>
                    </w:rPr>
                    <w:t>qtr</w:t>
                  </w:r>
                  <w:proofErr w:type="spellEnd"/>
                  <w:r>
                    <w:rPr>
                      <w:rFonts w:ascii="Arial" w:eastAsia="Arial" w:hAnsi="Arial" w:cs="Arial"/>
                      <w:b/>
                      <w:color w:val="000000"/>
                      <w:sz w:val="1"/>
                      <w:szCs w:val="1"/>
                    </w:rPr>
                    <w:t xml:space="preserve"> 2024</w:t>
                  </w:r>
                </w:p>
              </w:tc>
              <w:tc>
                <w:tcPr>
                  <w:tcW w:w="153" w:type="dxa"/>
                  <w:tcMar>
                    <w:top w:w="0" w:type="dxa"/>
                    <w:left w:w="0" w:type="dxa"/>
                    <w:bottom w:w="0" w:type="dxa"/>
                    <w:right w:w="0" w:type="dxa"/>
                  </w:tcMar>
                  <w:textDirection w:val="tbRl"/>
                  <w:vAlign w:val="bottom"/>
                </w:tcPr>
                <w:p w14:paraId="4F1CC167" w14:textId="77777777" w:rsidR="00382E20" w:rsidRDefault="00382E20" w:rsidP="00382E20">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000000"/>
                      <w:sz w:val="1"/>
                      <w:szCs w:val="1"/>
                    </w:rPr>
                  </w:pPr>
                  <w:r>
                    <w:rPr>
                      <w:rFonts w:ascii="Arial" w:eastAsia="Arial" w:hAnsi="Arial" w:cs="Arial"/>
                      <w:b/>
                      <w:color w:val="000000"/>
                      <w:sz w:val="1"/>
                      <w:szCs w:val="1"/>
                    </w:rPr>
                    <w:t xml:space="preserve">Mar </w:t>
                  </w:r>
                  <w:proofErr w:type="spellStart"/>
                  <w:r>
                    <w:rPr>
                      <w:rFonts w:ascii="Arial" w:eastAsia="Arial" w:hAnsi="Arial" w:cs="Arial"/>
                      <w:b/>
                      <w:color w:val="000000"/>
                      <w:sz w:val="1"/>
                      <w:szCs w:val="1"/>
                    </w:rPr>
                    <w:t>qtr</w:t>
                  </w:r>
                  <w:proofErr w:type="spellEnd"/>
                  <w:r>
                    <w:rPr>
                      <w:rFonts w:ascii="Arial" w:eastAsia="Arial" w:hAnsi="Arial" w:cs="Arial"/>
                      <w:b/>
                      <w:color w:val="000000"/>
                      <w:sz w:val="1"/>
                      <w:szCs w:val="1"/>
                    </w:rPr>
                    <w:t xml:space="preserve"> 2025</w:t>
                  </w:r>
                </w:p>
              </w:tc>
              <w:tc>
                <w:tcPr>
                  <w:tcW w:w="153" w:type="dxa"/>
                  <w:tcMar>
                    <w:top w:w="0" w:type="dxa"/>
                    <w:left w:w="0" w:type="dxa"/>
                    <w:bottom w:w="0" w:type="dxa"/>
                    <w:right w:w="0" w:type="dxa"/>
                  </w:tcMar>
                  <w:textDirection w:val="tbRl"/>
                  <w:vAlign w:val="bottom"/>
                </w:tcPr>
                <w:p w14:paraId="1D346669" w14:textId="77777777" w:rsidR="00382E20" w:rsidRDefault="00382E20" w:rsidP="00382E20">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000000"/>
                      <w:sz w:val="1"/>
                      <w:szCs w:val="1"/>
                    </w:rPr>
                  </w:pPr>
                  <w:r>
                    <w:rPr>
                      <w:rFonts w:ascii="Arial" w:eastAsia="Arial" w:hAnsi="Arial" w:cs="Arial"/>
                      <w:b/>
                      <w:color w:val="000000"/>
                      <w:sz w:val="1"/>
                      <w:szCs w:val="1"/>
                    </w:rPr>
                    <w:t xml:space="preserve">Jun </w:t>
                  </w:r>
                  <w:proofErr w:type="spellStart"/>
                  <w:r>
                    <w:rPr>
                      <w:rFonts w:ascii="Arial" w:eastAsia="Arial" w:hAnsi="Arial" w:cs="Arial"/>
                      <w:b/>
                      <w:color w:val="000000"/>
                      <w:sz w:val="1"/>
                      <w:szCs w:val="1"/>
                    </w:rPr>
                    <w:t>qtr</w:t>
                  </w:r>
                  <w:proofErr w:type="spellEnd"/>
                  <w:r>
                    <w:rPr>
                      <w:rFonts w:ascii="Arial" w:eastAsia="Arial" w:hAnsi="Arial" w:cs="Arial"/>
                      <w:b/>
                      <w:color w:val="000000"/>
                      <w:sz w:val="1"/>
                      <w:szCs w:val="1"/>
                    </w:rPr>
                    <w:t xml:space="preserve"> 2025</w:t>
                  </w:r>
                </w:p>
              </w:tc>
              <w:tc>
                <w:tcPr>
                  <w:tcW w:w="153" w:type="dxa"/>
                  <w:tcMar>
                    <w:top w:w="0" w:type="dxa"/>
                    <w:left w:w="0" w:type="dxa"/>
                    <w:bottom w:w="0" w:type="dxa"/>
                    <w:right w:w="0" w:type="dxa"/>
                  </w:tcMar>
                  <w:textDirection w:val="tbRl"/>
                  <w:vAlign w:val="bottom"/>
                </w:tcPr>
                <w:p w14:paraId="7E499A64" w14:textId="77777777" w:rsidR="00382E20" w:rsidRDefault="00382E20" w:rsidP="00382E20">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000000"/>
                      <w:sz w:val="1"/>
                      <w:szCs w:val="1"/>
                    </w:rPr>
                  </w:pPr>
                  <w:r>
                    <w:rPr>
                      <w:rFonts w:ascii="Arial" w:eastAsia="Arial" w:hAnsi="Arial" w:cs="Arial"/>
                      <w:b/>
                      <w:color w:val="000000"/>
                      <w:sz w:val="1"/>
                      <w:szCs w:val="1"/>
                    </w:rPr>
                    <w:t xml:space="preserve">Sep </w:t>
                  </w:r>
                  <w:proofErr w:type="spellStart"/>
                  <w:r>
                    <w:rPr>
                      <w:rFonts w:ascii="Arial" w:eastAsia="Arial" w:hAnsi="Arial" w:cs="Arial"/>
                      <w:b/>
                      <w:color w:val="000000"/>
                      <w:sz w:val="1"/>
                      <w:szCs w:val="1"/>
                    </w:rPr>
                    <w:t>qtr</w:t>
                  </w:r>
                  <w:proofErr w:type="spellEnd"/>
                  <w:r>
                    <w:rPr>
                      <w:rFonts w:ascii="Arial" w:eastAsia="Arial" w:hAnsi="Arial" w:cs="Arial"/>
                      <w:b/>
                      <w:color w:val="000000"/>
                      <w:sz w:val="1"/>
                      <w:szCs w:val="1"/>
                    </w:rPr>
                    <w:t xml:space="preserve"> 2025</w:t>
                  </w:r>
                </w:p>
              </w:tc>
              <w:tc>
                <w:tcPr>
                  <w:tcW w:w="153" w:type="dxa"/>
                  <w:tcMar>
                    <w:top w:w="0" w:type="dxa"/>
                    <w:left w:w="0" w:type="dxa"/>
                    <w:bottom w:w="0" w:type="dxa"/>
                    <w:right w:w="0" w:type="dxa"/>
                  </w:tcMar>
                  <w:textDirection w:val="tbRl"/>
                  <w:vAlign w:val="bottom"/>
                </w:tcPr>
                <w:p w14:paraId="68B4DCC5" w14:textId="77777777" w:rsidR="00382E20" w:rsidRDefault="00382E20" w:rsidP="00382E20">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000000"/>
                      <w:sz w:val="1"/>
                      <w:szCs w:val="1"/>
                    </w:rPr>
                  </w:pPr>
                  <w:r>
                    <w:rPr>
                      <w:rFonts w:ascii="Arial" w:eastAsia="Arial" w:hAnsi="Arial" w:cs="Arial"/>
                      <w:b/>
                      <w:color w:val="000000"/>
                      <w:sz w:val="1"/>
                      <w:szCs w:val="1"/>
                    </w:rPr>
                    <w:t xml:space="preserve">Dec </w:t>
                  </w:r>
                  <w:proofErr w:type="spellStart"/>
                  <w:r>
                    <w:rPr>
                      <w:rFonts w:ascii="Arial" w:eastAsia="Arial" w:hAnsi="Arial" w:cs="Arial"/>
                      <w:b/>
                      <w:color w:val="000000"/>
                      <w:sz w:val="1"/>
                      <w:szCs w:val="1"/>
                    </w:rPr>
                    <w:t>qtr</w:t>
                  </w:r>
                  <w:proofErr w:type="spellEnd"/>
                  <w:r>
                    <w:rPr>
                      <w:rFonts w:ascii="Arial" w:eastAsia="Arial" w:hAnsi="Arial" w:cs="Arial"/>
                      <w:b/>
                      <w:color w:val="000000"/>
                      <w:sz w:val="1"/>
                      <w:szCs w:val="1"/>
                    </w:rPr>
                    <w:t xml:space="preserve"> 2025</w:t>
                  </w:r>
                </w:p>
              </w:tc>
              <w:tc>
                <w:tcPr>
                  <w:tcW w:w="153" w:type="dxa"/>
                  <w:tcMar>
                    <w:top w:w="0" w:type="dxa"/>
                    <w:left w:w="0" w:type="dxa"/>
                    <w:bottom w:w="0" w:type="dxa"/>
                    <w:right w:w="0" w:type="dxa"/>
                  </w:tcMar>
                  <w:textDirection w:val="tbRl"/>
                  <w:vAlign w:val="bottom"/>
                </w:tcPr>
                <w:p w14:paraId="7D8667E0" w14:textId="77777777" w:rsidR="00382E20" w:rsidRDefault="00382E20" w:rsidP="00382E20">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000000"/>
                      <w:sz w:val="1"/>
                      <w:szCs w:val="1"/>
                    </w:rPr>
                  </w:pPr>
                  <w:r>
                    <w:rPr>
                      <w:rFonts w:ascii="Arial" w:eastAsia="Arial" w:hAnsi="Arial" w:cs="Arial"/>
                      <w:b/>
                      <w:color w:val="000000"/>
                      <w:sz w:val="1"/>
                      <w:szCs w:val="1"/>
                    </w:rPr>
                    <w:t xml:space="preserve">Mar </w:t>
                  </w:r>
                  <w:proofErr w:type="spellStart"/>
                  <w:r>
                    <w:rPr>
                      <w:rFonts w:ascii="Arial" w:eastAsia="Arial" w:hAnsi="Arial" w:cs="Arial"/>
                      <w:b/>
                      <w:color w:val="000000"/>
                      <w:sz w:val="1"/>
                      <w:szCs w:val="1"/>
                    </w:rPr>
                    <w:t>qtr</w:t>
                  </w:r>
                  <w:proofErr w:type="spellEnd"/>
                  <w:r>
                    <w:rPr>
                      <w:rFonts w:ascii="Arial" w:eastAsia="Arial" w:hAnsi="Arial" w:cs="Arial"/>
                      <w:b/>
                      <w:color w:val="000000"/>
                      <w:sz w:val="1"/>
                      <w:szCs w:val="1"/>
                    </w:rPr>
                    <w:t xml:space="preserve"> 2026</w:t>
                  </w:r>
                </w:p>
              </w:tc>
            </w:tr>
            <w:tr w:rsidR="00382E20" w14:paraId="45CCB60E" w14:textId="77777777" w:rsidTr="00E45326">
              <w:trPr>
                <w:trHeight w:val="12"/>
                <w:jc w:val="center"/>
              </w:trPr>
              <w:tc>
                <w:tcPr>
                  <w:tcW w:w="153" w:type="dxa"/>
                  <w:tcMar>
                    <w:top w:w="0" w:type="dxa"/>
                    <w:left w:w="0" w:type="dxa"/>
                    <w:bottom w:w="0" w:type="dxa"/>
                    <w:right w:w="0" w:type="dxa"/>
                  </w:tcMar>
                  <w:textDirection w:val="tbRl"/>
                  <w:vAlign w:val="bottom"/>
                </w:tcPr>
                <w:p w14:paraId="050EB823" w14:textId="77777777" w:rsidR="00382E20" w:rsidRDefault="00382E20" w:rsidP="00382E20">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color w:val="000000"/>
                      <w:sz w:val="1"/>
                      <w:szCs w:val="1"/>
                    </w:rPr>
                  </w:pPr>
                  <w:r>
                    <w:rPr>
                      <w:rFonts w:ascii="Arial" w:eastAsia="Arial" w:hAnsi="Arial" w:cs="Arial"/>
                      <w:color w:val="000000"/>
                      <w:sz w:val="1"/>
                      <w:szCs w:val="1"/>
                    </w:rPr>
                    <w:t>28%</w:t>
                  </w:r>
                </w:p>
              </w:tc>
              <w:tc>
                <w:tcPr>
                  <w:tcW w:w="153" w:type="dxa"/>
                  <w:tcMar>
                    <w:top w:w="0" w:type="dxa"/>
                    <w:left w:w="0" w:type="dxa"/>
                    <w:bottom w:w="0" w:type="dxa"/>
                    <w:right w:w="0" w:type="dxa"/>
                  </w:tcMar>
                  <w:textDirection w:val="tbRl"/>
                  <w:vAlign w:val="bottom"/>
                </w:tcPr>
                <w:p w14:paraId="20BAC16D" w14:textId="77777777" w:rsidR="00382E20" w:rsidRDefault="00382E20" w:rsidP="00382E20">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color w:val="000000"/>
                      <w:sz w:val="1"/>
                      <w:szCs w:val="1"/>
                    </w:rPr>
                  </w:pPr>
                  <w:r>
                    <w:rPr>
                      <w:rFonts w:ascii="Arial" w:eastAsia="Arial" w:hAnsi="Arial" w:cs="Arial"/>
                      <w:color w:val="000000"/>
                      <w:sz w:val="1"/>
                      <w:szCs w:val="1"/>
                    </w:rPr>
                    <w:t>22%</w:t>
                  </w:r>
                </w:p>
              </w:tc>
              <w:tc>
                <w:tcPr>
                  <w:tcW w:w="153" w:type="dxa"/>
                  <w:tcMar>
                    <w:top w:w="0" w:type="dxa"/>
                    <w:left w:w="0" w:type="dxa"/>
                    <w:bottom w:w="0" w:type="dxa"/>
                    <w:right w:w="0" w:type="dxa"/>
                  </w:tcMar>
                  <w:textDirection w:val="tbRl"/>
                  <w:vAlign w:val="bottom"/>
                </w:tcPr>
                <w:p w14:paraId="379B3A9B" w14:textId="77777777" w:rsidR="00382E20" w:rsidRDefault="00382E20" w:rsidP="00382E20">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color w:val="000000"/>
                      <w:sz w:val="1"/>
                      <w:szCs w:val="1"/>
                    </w:rPr>
                  </w:pPr>
                  <w:r>
                    <w:rPr>
                      <w:rFonts w:ascii="Arial" w:eastAsia="Arial" w:hAnsi="Arial" w:cs="Arial"/>
                      <w:color w:val="000000"/>
                      <w:sz w:val="1"/>
                      <w:szCs w:val="1"/>
                    </w:rPr>
                    <w:t>24%</w:t>
                  </w:r>
                </w:p>
              </w:tc>
              <w:tc>
                <w:tcPr>
                  <w:tcW w:w="153" w:type="dxa"/>
                  <w:tcMar>
                    <w:top w:w="0" w:type="dxa"/>
                    <w:left w:w="0" w:type="dxa"/>
                    <w:bottom w:w="0" w:type="dxa"/>
                    <w:right w:w="0" w:type="dxa"/>
                  </w:tcMar>
                  <w:textDirection w:val="tbRl"/>
                  <w:vAlign w:val="bottom"/>
                </w:tcPr>
                <w:p w14:paraId="59241523" w14:textId="77777777" w:rsidR="00382E20" w:rsidRDefault="00382E20" w:rsidP="00382E20">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color w:val="000000"/>
                      <w:sz w:val="1"/>
                      <w:szCs w:val="1"/>
                    </w:rPr>
                  </w:pPr>
                  <w:r>
                    <w:rPr>
                      <w:rFonts w:ascii="Arial" w:eastAsia="Arial" w:hAnsi="Arial" w:cs="Arial"/>
                      <w:color w:val="000000"/>
                      <w:sz w:val="1"/>
                      <w:szCs w:val="1"/>
                    </w:rPr>
                    <w:t>21%</w:t>
                  </w:r>
                </w:p>
              </w:tc>
              <w:tc>
                <w:tcPr>
                  <w:tcW w:w="153" w:type="dxa"/>
                  <w:tcMar>
                    <w:top w:w="0" w:type="dxa"/>
                    <w:left w:w="0" w:type="dxa"/>
                    <w:bottom w:w="0" w:type="dxa"/>
                    <w:right w:w="0" w:type="dxa"/>
                  </w:tcMar>
                  <w:textDirection w:val="tbRl"/>
                  <w:vAlign w:val="bottom"/>
                </w:tcPr>
                <w:p w14:paraId="584BCED5" w14:textId="77777777" w:rsidR="00382E20" w:rsidRDefault="00382E20" w:rsidP="00382E20">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color w:val="000000"/>
                      <w:sz w:val="1"/>
                      <w:szCs w:val="1"/>
                    </w:rPr>
                  </w:pPr>
                  <w:r>
                    <w:rPr>
                      <w:rFonts w:ascii="Arial" w:eastAsia="Arial" w:hAnsi="Arial" w:cs="Arial"/>
                      <w:color w:val="000000"/>
                      <w:sz w:val="1"/>
                      <w:szCs w:val="1"/>
                    </w:rPr>
                    <w:t>24%</w:t>
                  </w:r>
                </w:p>
              </w:tc>
              <w:tc>
                <w:tcPr>
                  <w:tcW w:w="153" w:type="dxa"/>
                  <w:tcMar>
                    <w:top w:w="0" w:type="dxa"/>
                    <w:left w:w="0" w:type="dxa"/>
                    <w:bottom w:w="0" w:type="dxa"/>
                    <w:right w:w="0" w:type="dxa"/>
                  </w:tcMar>
                  <w:textDirection w:val="tbRl"/>
                  <w:vAlign w:val="bottom"/>
                </w:tcPr>
                <w:p w14:paraId="6F4AA987" w14:textId="77777777" w:rsidR="00382E20" w:rsidRDefault="00382E20" w:rsidP="00382E20">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color w:val="000000"/>
                      <w:sz w:val="1"/>
                      <w:szCs w:val="1"/>
                    </w:rPr>
                  </w:pPr>
                  <w:r>
                    <w:rPr>
                      <w:rFonts w:ascii="Arial" w:eastAsia="Arial" w:hAnsi="Arial" w:cs="Arial"/>
                      <w:color w:val="000000"/>
                      <w:sz w:val="1"/>
                      <w:szCs w:val="1"/>
                    </w:rPr>
                    <w:t>19%</w:t>
                  </w:r>
                </w:p>
              </w:tc>
              <w:tc>
                <w:tcPr>
                  <w:tcW w:w="153" w:type="dxa"/>
                  <w:tcMar>
                    <w:top w:w="0" w:type="dxa"/>
                    <w:left w:w="0" w:type="dxa"/>
                    <w:bottom w:w="0" w:type="dxa"/>
                    <w:right w:w="0" w:type="dxa"/>
                  </w:tcMar>
                  <w:textDirection w:val="tbRl"/>
                  <w:vAlign w:val="bottom"/>
                </w:tcPr>
                <w:p w14:paraId="1E568C51" w14:textId="77777777" w:rsidR="00382E20" w:rsidRDefault="00382E20" w:rsidP="00382E20">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color w:val="000000"/>
                      <w:sz w:val="1"/>
                      <w:szCs w:val="1"/>
                    </w:rPr>
                  </w:pPr>
                  <w:r>
                    <w:rPr>
                      <w:rFonts w:ascii="Arial" w:eastAsia="Arial" w:hAnsi="Arial" w:cs="Arial"/>
                      <w:color w:val="000000"/>
                      <w:sz w:val="1"/>
                      <w:szCs w:val="1"/>
                    </w:rPr>
                    <w:t>20%</w:t>
                  </w:r>
                </w:p>
              </w:tc>
              <w:tc>
                <w:tcPr>
                  <w:tcW w:w="153" w:type="dxa"/>
                  <w:tcMar>
                    <w:top w:w="0" w:type="dxa"/>
                    <w:left w:w="0" w:type="dxa"/>
                    <w:bottom w:w="0" w:type="dxa"/>
                    <w:right w:w="0" w:type="dxa"/>
                  </w:tcMar>
                  <w:textDirection w:val="tbRl"/>
                  <w:vAlign w:val="bottom"/>
                </w:tcPr>
                <w:p w14:paraId="7951C508" w14:textId="77777777" w:rsidR="00382E20" w:rsidRDefault="00382E20" w:rsidP="00382E20">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color w:val="000000"/>
                      <w:sz w:val="1"/>
                      <w:szCs w:val="1"/>
                    </w:rPr>
                  </w:pPr>
                  <w:r>
                    <w:rPr>
                      <w:rFonts w:ascii="Arial" w:eastAsia="Arial" w:hAnsi="Arial" w:cs="Arial"/>
                      <w:color w:val="000000"/>
                      <w:sz w:val="1"/>
                      <w:szCs w:val="1"/>
                    </w:rPr>
                    <w:t>19%</w:t>
                  </w:r>
                </w:p>
              </w:tc>
              <w:tc>
                <w:tcPr>
                  <w:tcW w:w="153" w:type="dxa"/>
                  <w:tcMar>
                    <w:top w:w="0" w:type="dxa"/>
                    <w:left w:w="0" w:type="dxa"/>
                    <w:bottom w:w="0" w:type="dxa"/>
                    <w:right w:w="0" w:type="dxa"/>
                  </w:tcMar>
                  <w:textDirection w:val="tbRl"/>
                  <w:vAlign w:val="bottom"/>
                </w:tcPr>
                <w:p w14:paraId="5100BA4B" w14:textId="77777777" w:rsidR="00382E20" w:rsidRDefault="00382E20" w:rsidP="00382E20">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color w:val="000000"/>
                      <w:sz w:val="1"/>
                      <w:szCs w:val="1"/>
                    </w:rPr>
                  </w:pPr>
                  <w:r>
                    <w:rPr>
                      <w:rFonts w:ascii="Arial" w:eastAsia="Arial" w:hAnsi="Arial" w:cs="Arial"/>
                      <w:color w:val="000000"/>
                      <w:sz w:val="1"/>
                      <w:szCs w:val="1"/>
                    </w:rPr>
                    <w:t>20%</w:t>
                  </w:r>
                </w:p>
              </w:tc>
              <w:tc>
                <w:tcPr>
                  <w:tcW w:w="153" w:type="dxa"/>
                  <w:tcMar>
                    <w:top w:w="0" w:type="dxa"/>
                    <w:left w:w="0" w:type="dxa"/>
                    <w:bottom w:w="0" w:type="dxa"/>
                    <w:right w:w="0" w:type="dxa"/>
                  </w:tcMar>
                  <w:textDirection w:val="tbRl"/>
                  <w:vAlign w:val="bottom"/>
                </w:tcPr>
                <w:p w14:paraId="23F7A8CA" w14:textId="77777777" w:rsidR="00382E20" w:rsidRDefault="00382E20" w:rsidP="00382E20">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color w:val="000000"/>
                      <w:sz w:val="1"/>
                      <w:szCs w:val="1"/>
                    </w:rPr>
                  </w:pPr>
                  <w:r>
                    <w:rPr>
                      <w:rFonts w:ascii="Arial" w:eastAsia="Arial" w:hAnsi="Arial" w:cs="Arial"/>
                      <w:color w:val="000000"/>
                      <w:sz w:val="1"/>
                      <w:szCs w:val="1"/>
                    </w:rPr>
                    <w:t>20%</w:t>
                  </w:r>
                </w:p>
              </w:tc>
              <w:tc>
                <w:tcPr>
                  <w:tcW w:w="153" w:type="dxa"/>
                  <w:tcMar>
                    <w:top w:w="0" w:type="dxa"/>
                    <w:left w:w="0" w:type="dxa"/>
                    <w:bottom w:w="0" w:type="dxa"/>
                    <w:right w:w="0" w:type="dxa"/>
                  </w:tcMar>
                  <w:textDirection w:val="tbRl"/>
                  <w:vAlign w:val="bottom"/>
                </w:tcPr>
                <w:p w14:paraId="6F13032E" w14:textId="77777777" w:rsidR="00382E20" w:rsidRDefault="00382E20" w:rsidP="00382E20">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color w:val="000000"/>
                      <w:sz w:val="1"/>
                      <w:szCs w:val="1"/>
                    </w:rPr>
                  </w:pPr>
                  <w:r>
                    <w:rPr>
                      <w:rFonts w:ascii="Arial" w:eastAsia="Arial" w:hAnsi="Arial" w:cs="Arial"/>
                      <w:color w:val="000000"/>
                      <w:sz w:val="1"/>
                      <w:szCs w:val="1"/>
                    </w:rPr>
                    <w:t>23%</w:t>
                  </w:r>
                </w:p>
              </w:tc>
              <w:tc>
                <w:tcPr>
                  <w:tcW w:w="153" w:type="dxa"/>
                  <w:tcMar>
                    <w:top w:w="0" w:type="dxa"/>
                    <w:left w:w="0" w:type="dxa"/>
                    <w:bottom w:w="0" w:type="dxa"/>
                    <w:right w:w="0" w:type="dxa"/>
                  </w:tcMar>
                  <w:textDirection w:val="tbRl"/>
                  <w:vAlign w:val="bottom"/>
                </w:tcPr>
                <w:p w14:paraId="476DE596" w14:textId="77777777" w:rsidR="00382E20" w:rsidRDefault="00382E20" w:rsidP="00382E20">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color w:val="000000"/>
                      <w:sz w:val="1"/>
                      <w:szCs w:val="1"/>
                    </w:rPr>
                  </w:pPr>
                  <w:r>
                    <w:rPr>
                      <w:rFonts w:ascii="Arial" w:eastAsia="Arial" w:hAnsi="Arial" w:cs="Arial"/>
                      <w:color w:val="000000"/>
                      <w:sz w:val="1"/>
                      <w:szCs w:val="1"/>
                    </w:rPr>
                    <w:t>20%</w:t>
                  </w:r>
                </w:p>
              </w:tc>
              <w:tc>
                <w:tcPr>
                  <w:tcW w:w="153" w:type="dxa"/>
                  <w:tcMar>
                    <w:top w:w="0" w:type="dxa"/>
                    <w:left w:w="0" w:type="dxa"/>
                    <w:bottom w:w="0" w:type="dxa"/>
                    <w:right w:w="0" w:type="dxa"/>
                  </w:tcMar>
                  <w:textDirection w:val="tbRl"/>
                  <w:vAlign w:val="bottom"/>
                </w:tcPr>
                <w:p w14:paraId="5E0D784B" w14:textId="77777777" w:rsidR="00382E20" w:rsidRDefault="00382E20" w:rsidP="00382E20">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color w:val="000000"/>
                      <w:sz w:val="1"/>
                      <w:szCs w:val="1"/>
                    </w:rPr>
                  </w:pPr>
                  <w:r>
                    <w:rPr>
                      <w:rFonts w:ascii="Arial" w:eastAsia="Arial" w:hAnsi="Arial" w:cs="Arial"/>
                      <w:color w:val="000000"/>
                      <w:sz w:val="1"/>
                      <w:szCs w:val="1"/>
                    </w:rPr>
                    <w:t>18%</w:t>
                  </w:r>
                </w:p>
              </w:tc>
            </w:tr>
          </w:tbl>
          <w:p w14:paraId="52CC6898" w14:textId="7B649675" w:rsidR="004F5741" w:rsidRDefault="00382E20">
            <w:r>
              <w:rPr>
                <w:noProof/>
              </w:rPr>
              <w:drawing>
                <wp:anchor distT="0" distB="0" distL="114300" distR="114300" simplePos="0" relativeHeight="251661824" behindDoc="0" locked="0" layoutInCell="1" allowOverlap="1" wp14:anchorId="2EB596B2" wp14:editId="1A9EFB39">
                  <wp:simplePos x="0" y="0"/>
                  <wp:positionH relativeFrom="column">
                    <wp:posOffset>-68291</wp:posOffset>
                  </wp:positionH>
                  <wp:positionV relativeFrom="paragraph">
                    <wp:posOffset>-69907</wp:posOffset>
                  </wp:positionV>
                  <wp:extent cx="3666766" cy="1466706"/>
                  <wp:effectExtent l="0" t="0" r="0" b="635"/>
                  <wp:wrapNone/>
                  <wp:docPr id="29"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9" name="Picture">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666766" cy="1466706"/>
                          </a:xfrm>
                          <a:prstGeom prst="rect">
                            <a:avLst/>
                          </a:prstGeom>
                          <a:noFill/>
                          <a:ln w="9525">
                            <a:noFill/>
                            <a:headEnd/>
                            <a:tailEnd/>
                          </a:ln>
                        </pic:spPr>
                      </pic:pic>
                    </a:graphicData>
                  </a:graphic>
                </wp:anchor>
              </w:drawing>
            </w:r>
          </w:p>
        </w:tc>
        <w:tc>
          <w:tcPr>
            <w:tcW w:w="3168" w:type="dxa"/>
          </w:tcPr>
          <w:p w14:paraId="06D57CC5" w14:textId="2913E5D3" w:rsidR="004F5741" w:rsidRPr="005B098E" w:rsidRDefault="003416A1">
            <w:pPr>
              <w:pStyle w:val="ListBullet"/>
            </w:pPr>
            <w:r w:rsidRPr="005B098E">
              <w:t>In the March quarter 2026, 18% of employers expected to increase staff. This was 2 percentage points lower than this time last year (20%).</w:t>
            </w:r>
          </w:p>
          <w:p w14:paraId="4720341C" w14:textId="77777777" w:rsidR="004F5741" w:rsidRDefault="003416A1">
            <w:pPr>
              <w:pStyle w:val="ListBullet"/>
            </w:pPr>
            <w:r w:rsidRPr="005B098E">
              <w:t>The proportion of employers who expected to decrease staff was 4% in the March quarter 2026.</w:t>
            </w:r>
          </w:p>
        </w:tc>
      </w:tr>
    </w:tbl>
    <w:p w14:paraId="612F6638" w14:textId="77777777" w:rsidR="004F5741" w:rsidRDefault="003416A1">
      <w:r>
        <w:br w:type="page"/>
      </w:r>
    </w:p>
    <w:p w14:paraId="72715EFD" w14:textId="77777777" w:rsidR="004F5741" w:rsidRDefault="003416A1">
      <w:pPr>
        <w:pStyle w:val="Heading2"/>
      </w:pPr>
      <w:bookmarkStart w:id="4" w:name="key-indicators-by-stateterritory"/>
      <w:bookmarkEnd w:id="3"/>
      <w:r>
        <w:lastRenderedPageBreak/>
        <w:t>Key indicators by state/territory</w:t>
      </w:r>
    </w:p>
    <w:p w14:paraId="0255F84A" w14:textId="1722EA61" w:rsidR="004F5741" w:rsidRPr="00A255E9" w:rsidRDefault="003416A1">
      <w:r>
        <w:t>In the March quarter 2026, Tasmania recorded the highest recruitment rate of the six states</w:t>
      </w:r>
      <w:r w:rsidR="00895123">
        <w:t xml:space="preserve"> (57%)</w:t>
      </w:r>
      <w:r>
        <w:t>. At 50%, Queensland recorded the highest recruitment difficulty</w:t>
      </w:r>
      <w:r w:rsidR="00A255E9">
        <w:t xml:space="preserve"> rate</w:t>
      </w:r>
      <w:r>
        <w:t>. Out of all states and territories, Northern Territory reported</w:t>
      </w:r>
      <w:r w:rsidR="00A255E9">
        <w:t xml:space="preserve"> </w:t>
      </w:r>
      <w:r>
        <w:t>the highest recruitment rate (65%)</w:t>
      </w:r>
      <w:r w:rsidR="006D3636">
        <w:t>, the</w:t>
      </w:r>
      <w:r>
        <w:t xml:space="preserve"> highest recruitment difficulty </w:t>
      </w:r>
      <w:r w:rsidR="00A255E9">
        <w:t xml:space="preserve">rate </w:t>
      </w:r>
      <w:r>
        <w:t xml:space="preserve">(61%) </w:t>
      </w:r>
      <w:r w:rsidR="00EE0F19">
        <w:t xml:space="preserve">and the highest optimism around future staffing (34%) </w:t>
      </w:r>
      <w:r>
        <w:t>in the March quarter 2026</w:t>
      </w:r>
      <w:r w:rsidR="000F44F9">
        <w:t xml:space="preserve">, noting the smaller sample size </w:t>
      </w:r>
      <w:r w:rsidR="00781DA6">
        <w:t xml:space="preserve">for </w:t>
      </w:r>
      <w:r w:rsidR="000F44F9">
        <w:t>this quarter</w:t>
      </w:r>
      <w:r>
        <w:t>.</w:t>
      </w:r>
    </w:p>
    <w:p w14:paraId="3722E369" w14:textId="77777777" w:rsidR="004F5741" w:rsidRDefault="003416A1">
      <w:pPr>
        <w:pStyle w:val="Heading3"/>
      </w:pPr>
      <w:bookmarkStart w:id="5" w:name="X50477ce018866478209aa58b7ce477139734e18"/>
      <w:r>
        <w:t>Table 1. Key indicators by state/territory, March quarter 2026</w:t>
      </w:r>
    </w:p>
    <w:tbl>
      <w:tblPr>
        <w:tblW w:w="0" w:type="auto"/>
        <w:jc w:val="center"/>
        <w:tblLayout w:type="fixed"/>
        <w:tblLook w:val="0420" w:firstRow="1" w:lastRow="0" w:firstColumn="0" w:lastColumn="0" w:noHBand="0" w:noVBand="1"/>
      </w:tblPr>
      <w:tblGrid>
        <w:gridCol w:w="1247"/>
        <w:gridCol w:w="1361"/>
        <w:gridCol w:w="1361"/>
        <w:gridCol w:w="1361"/>
        <w:gridCol w:w="1361"/>
        <w:gridCol w:w="1389"/>
        <w:gridCol w:w="1389"/>
      </w:tblGrid>
      <w:tr w:rsidR="004F5741" w14:paraId="2786EB1E" w14:textId="77777777">
        <w:trPr>
          <w:tblHeader/>
          <w:jc w:val="center"/>
        </w:trPr>
        <w:tc>
          <w:tcPr>
            <w:tcW w:w="1247" w:type="dxa"/>
            <w:tcBorders>
              <w:top w:val="single" w:sz="8" w:space="0" w:color="666666"/>
              <w:left w:val="single" w:sz="8" w:space="0" w:color="666666"/>
              <w:bottom w:val="none" w:sz="0" w:space="0" w:color="000000"/>
              <w:right w:val="single" w:sz="8" w:space="0" w:color="666666"/>
            </w:tcBorders>
            <w:shd w:val="clear" w:color="auto" w:fill="2C054E"/>
            <w:tcMar>
              <w:top w:w="0" w:type="dxa"/>
              <w:left w:w="0" w:type="dxa"/>
              <w:bottom w:w="0" w:type="dxa"/>
              <w:right w:w="0" w:type="dxa"/>
            </w:tcMar>
            <w:vAlign w:val="center"/>
          </w:tcPr>
          <w:p w14:paraId="507AF349" w14:textId="77777777" w:rsidR="004F5741" w:rsidRDefault="004F5741">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p>
        </w:tc>
        <w:tc>
          <w:tcPr>
            <w:tcW w:w="2722" w:type="dxa"/>
            <w:gridSpan w:val="2"/>
            <w:tcBorders>
              <w:top w:val="single" w:sz="8" w:space="0" w:color="666666"/>
              <w:left w:val="single" w:sz="8" w:space="0" w:color="666666"/>
              <w:bottom w:val="none" w:sz="0" w:space="0" w:color="000000"/>
              <w:right w:val="single" w:sz="8" w:space="0" w:color="666666"/>
            </w:tcBorders>
            <w:shd w:val="clear" w:color="auto" w:fill="2C054E"/>
            <w:tcMar>
              <w:top w:w="0" w:type="dxa"/>
              <w:left w:w="0" w:type="dxa"/>
              <w:bottom w:w="0" w:type="dxa"/>
              <w:right w:w="0" w:type="dxa"/>
            </w:tcMar>
            <w:vAlign w:val="center"/>
          </w:tcPr>
          <w:p w14:paraId="17D41495" w14:textId="77777777" w:rsidR="004F5741" w:rsidRDefault="003416A1">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Recruitment rate</w:t>
            </w:r>
          </w:p>
        </w:tc>
        <w:tc>
          <w:tcPr>
            <w:tcW w:w="2722" w:type="dxa"/>
            <w:gridSpan w:val="2"/>
            <w:tcBorders>
              <w:top w:val="single" w:sz="8" w:space="0" w:color="666666"/>
              <w:left w:val="single" w:sz="8" w:space="0" w:color="666666"/>
              <w:bottom w:val="none" w:sz="0" w:space="0" w:color="000000"/>
              <w:right w:val="single" w:sz="8" w:space="0" w:color="666666"/>
            </w:tcBorders>
            <w:shd w:val="clear" w:color="auto" w:fill="2C054E"/>
            <w:tcMar>
              <w:top w:w="0" w:type="dxa"/>
              <w:left w:w="0" w:type="dxa"/>
              <w:bottom w:w="0" w:type="dxa"/>
              <w:right w:w="0" w:type="dxa"/>
            </w:tcMar>
            <w:vAlign w:val="center"/>
          </w:tcPr>
          <w:p w14:paraId="3E266288" w14:textId="77777777" w:rsidR="004F5741" w:rsidRDefault="003416A1">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Recruitment difficulty rate</w:t>
            </w:r>
          </w:p>
        </w:tc>
        <w:tc>
          <w:tcPr>
            <w:tcW w:w="2778" w:type="dxa"/>
            <w:gridSpan w:val="2"/>
            <w:tcBorders>
              <w:top w:val="single" w:sz="8" w:space="0" w:color="666666"/>
              <w:left w:val="single" w:sz="8" w:space="0" w:color="666666"/>
              <w:bottom w:val="none" w:sz="0" w:space="0" w:color="000000"/>
              <w:right w:val="single" w:sz="8" w:space="0" w:color="666666"/>
            </w:tcBorders>
            <w:shd w:val="clear" w:color="auto" w:fill="2C054E"/>
            <w:tcMar>
              <w:top w:w="0" w:type="dxa"/>
              <w:left w:w="0" w:type="dxa"/>
              <w:bottom w:w="0" w:type="dxa"/>
              <w:right w:w="0" w:type="dxa"/>
            </w:tcMar>
            <w:vAlign w:val="center"/>
          </w:tcPr>
          <w:p w14:paraId="619EE368" w14:textId="77777777" w:rsidR="004F5741" w:rsidRDefault="003416A1">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Expect to increase staff</w:t>
            </w:r>
          </w:p>
        </w:tc>
      </w:tr>
      <w:tr w:rsidR="004F5741" w14:paraId="0F8BECB8" w14:textId="77777777">
        <w:trPr>
          <w:tblHeader/>
          <w:jc w:val="center"/>
        </w:trPr>
        <w:tc>
          <w:tcPr>
            <w:tcW w:w="1247" w:type="dxa"/>
            <w:tcBorders>
              <w:top w:val="none" w:sz="0" w:space="0" w:color="000000"/>
              <w:left w:val="single" w:sz="8" w:space="0" w:color="666666"/>
              <w:bottom w:val="single" w:sz="8" w:space="0" w:color="666666"/>
              <w:right w:val="single" w:sz="8" w:space="0" w:color="666666"/>
            </w:tcBorders>
            <w:shd w:val="clear" w:color="auto" w:fill="2C054E"/>
            <w:tcMar>
              <w:top w:w="0" w:type="dxa"/>
              <w:left w:w="0" w:type="dxa"/>
              <w:bottom w:w="0" w:type="dxa"/>
              <w:right w:w="0" w:type="dxa"/>
            </w:tcMar>
            <w:vAlign w:val="center"/>
          </w:tcPr>
          <w:p w14:paraId="7DF6ABAC" w14:textId="77777777" w:rsidR="004F5741" w:rsidRDefault="004F5741">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p>
        </w:tc>
        <w:tc>
          <w:tcPr>
            <w:tcW w:w="1361" w:type="dxa"/>
            <w:tcBorders>
              <w:top w:val="none" w:sz="0" w:space="0" w:color="000000"/>
              <w:left w:val="single" w:sz="8" w:space="0" w:color="666666"/>
              <w:bottom w:val="single" w:sz="8" w:space="0" w:color="666666"/>
              <w:right w:val="none" w:sz="0" w:space="0" w:color="000000"/>
            </w:tcBorders>
            <w:shd w:val="clear" w:color="auto" w:fill="2C054E"/>
            <w:tcMar>
              <w:top w:w="0" w:type="dxa"/>
              <w:left w:w="0" w:type="dxa"/>
              <w:bottom w:w="0" w:type="dxa"/>
              <w:right w:w="0" w:type="dxa"/>
            </w:tcMar>
            <w:vAlign w:val="center"/>
          </w:tcPr>
          <w:p w14:paraId="7B24D426" w14:textId="77777777" w:rsidR="004F5741" w:rsidRDefault="003416A1">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 of employers</w:t>
            </w:r>
          </w:p>
        </w:tc>
        <w:tc>
          <w:tcPr>
            <w:tcW w:w="1361" w:type="dxa"/>
            <w:tcBorders>
              <w:top w:val="none" w:sz="0" w:space="0" w:color="000000"/>
              <w:left w:val="none" w:sz="0" w:space="0" w:color="000000"/>
              <w:bottom w:val="single" w:sz="8" w:space="0" w:color="666666"/>
              <w:right w:val="single" w:sz="8" w:space="0" w:color="666666"/>
            </w:tcBorders>
            <w:shd w:val="clear" w:color="auto" w:fill="2C054E"/>
            <w:tcMar>
              <w:top w:w="0" w:type="dxa"/>
              <w:left w:w="0" w:type="dxa"/>
              <w:bottom w:w="0" w:type="dxa"/>
              <w:right w:w="0" w:type="dxa"/>
            </w:tcMar>
            <w:vAlign w:val="center"/>
          </w:tcPr>
          <w:p w14:paraId="4EEBC0F2" w14:textId="77777777" w:rsidR="004F5741" w:rsidRDefault="003416A1">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Annual change</w:t>
            </w:r>
            <w:r>
              <w:rPr>
                <w:rFonts w:ascii="Arial (Body)" w:eastAsia="Arial (Body)" w:hAnsi="Arial (Body)" w:cs="Arial (Body)"/>
                <w:b/>
                <w:color w:val="FFFFFF"/>
                <w:sz w:val="18"/>
                <w:szCs w:val="18"/>
              </w:rPr>
              <w:br/>
              <w:t>(% points)</w:t>
            </w:r>
          </w:p>
        </w:tc>
        <w:tc>
          <w:tcPr>
            <w:tcW w:w="1361" w:type="dxa"/>
            <w:tcBorders>
              <w:top w:val="none" w:sz="0" w:space="0" w:color="000000"/>
              <w:left w:val="single" w:sz="8" w:space="0" w:color="666666"/>
              <w:bottom w:val="single" w:sz="8" w:space="0" w:color="666666"/>
              <w:right w:val="none" w:sz="0" w:space="0" w:color="000000"/>
            </w:tcBorders>
            <w:shd w:val="clear" w:color="auto" w:fill="2C054E"/>
            <w:tcMar>
              <w:top w:w="0" w:type="dxa"/>
              <w:left w:w="0" w:type="dxa"/>
              <w:bottom w:w="0" w:type="dxa"/>
              <w:right w:w="0" w:type="dxa"/>
            </w:tcMar>
            <w:vAlign w:val="center"/>
          </w:tcPr>
          <w:p w14:paraId="4555E997" w14:textId="77777777" w:rsidR="004F5741" w:rsidRDefault="003416A1">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 of recruiting employers</w:t>
            </w:r>
          </w:p>
        </w:tc>
        <w:tc>
          <w:tcPr>
            <w:tcW w:w="1361" w:type="dxa"/>
            <w:tcBorders>
              <w:top w:val="none" w:sz="0" w:space="0" w:color="000000"/>
              <w:left w:val="none" w:sz="0" w:space="0" w:color="000000"/>
              <w:bottom w:val="single" w:sz="8" w:space="0" w:color="666666"/>
              <w:right w:val="single" w:sz="8" w:space="0" w:color="666666"/>
            </w:tcBorders>
            <w:shd w:val="clear" w:color="auto" w:fill="2C054E"/>
            <w:tcMar>
              <w:top w:w="0" w:type="dxa"/>
              <w:left w:w="0" w:type="dxa"/>
              <w:bottom w:w="0" w:type="dxa"/>
              <w:right w:w="0" w:type="dxa"/>
            </w:tcMar>
            <w:vAlign w:val="center"/>
          </w:tcPr>
          <w:p w14:paraId="0BEF325B" w14:textId="77777777" w:rsidR="004F5741" w:rsidRDefault="003416A1">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Annual change</w:t>
            </w:r>
            <w:r>
              <w:rPr>
                <w:rFonts w:ascii="Arial (Body)" w:eastAsia="Arial (Body)" w:hAnsi="Arial (Body)" w:cs="Arial (Body)"/>
                <w:b/>
                <w:color w:val="FFFFFF"/>
                <w:sz w:val="18"/>
                <w:szCs w:val="18"/>
              </w:rPr>
              <w:br/>
              <w:t>(% points)</w:t>
            </w:r>
          </w:p>
        </w:tc>
        <w:tc>
          <w:tcPr>
            <w:tcW w:w="1389" w:type="dxa"/>
            <w:tcBorders>
              <w:top w:val="none" w:sz="0" w:space="0" w:color="000000"/>
              <w:left w:val="single" w:sz="8" w:space="0" w:color="666666"/>
              <w:bottom w:val="single" w:sz="8" w:space="0" w:color="666666"/>
              <w:right w:val="none" w:sz="0" w:space="0" w:color="000000"/>
            </w:tcBorders>
            <w:shd w:val="clear" w:color="auto" w:fill="2C054E"/>
            <w:tcMar>
              <w:top w:w="0" w:type="dxa"/>
              <w:left w:w="0" w:type="dxa"/>
              <w:bottom w:w="0" w:type="dxa"/>
              <w:right w:w="0" w:type="dxa"/>
            </w:tcMar>
            <w:vAlign w:val="center"/>
          </w:tcPr>
          <w:p w14:paraId="726B8122" w14:textId="77777777" w:rsidR="004F5741" w:rsidRDefault="003416A1">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 of employers</w:t>
            </w:r>
          </w:p>
        </w:tc>
        <w:tc>
          <w:tcPr>
            <w:tcW w:w="1389" w:type="dxa"/>
            <w:tcBorders>
              <w:top w:val="none" w:sz="0" w:space="0" w:color="000000"/>
              <w:left w:val="none" w:sz="0" w:space="0" w:color="000000"/>
              <w:bottom w:val="single" w:sz="8" w:space="0" w:color="666666"/>
              <w:right w:val="single" w:sz="8" w:space="0" w:color="666666"/>
            </w:tcBorders>
            <w:shd w:val="clear" w:color="auto" w:fill="2C054E"/>
            <w:tcMar>
              <w:top w:w="0" w:type="dxa"/>
              <w:left w:w="0" w:type="dxa"/>
              <w:bottom w:w="0" w:type="dxa"/>
              <w:right w:w="0" w:type="dxa"/>
            </w:tcMar>
            <w:vAlign w:val="center"/>
          </w:tcPr>
          <w:p w14:paraId="2145D869" w14:textId="77777777" w:rsidR="004F5741" w:rsidRDefault="003416A1">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Annual change</w:t>
            </w:r>
            <w:r>
              <w:rPr>
                <w:rFonts w:ascii="Arial (Body)" w:eastAsia="Arial (Body)" w:hAnsi="Arial (Body)" w:cs="Arial (Body)"/>
                <w:b/>
                <w:color w:val="FFFFFF"/>
                <w:sz w:val="18"/>
                <w:szCs w:val="18"/>
              </w:rPr>
              <w:br/>
              <w:t>(% points)</w:t>
            </w:r>
          </w:p>
        </w:tc>
      </w:tr>
      <w:tr w:rsidR="004F5741" w14:paraId="0069A1AD" w14:textId="77777777">
        <w:trPr>
          <w:trHeight w:hRule="exact" w:val="272"/>
          <w:jc w:val="center"/>
        </w:trPr>
        <w:tc>
          <w:tcPr>
            <w:tcW w:w="1247" w:type="dxa"/>
            <w:tcBorders>
              <w:top w:val="single" w:sz="8" w:space="0" w:color="666666"/>
              <w:left w:val="single" w:sz="8" w:space="0" w:color="666666"/>
              <w:bottom w:val="none" w:sz="0" w:space="0" w:color="000000"/>
              <w:right w:val="single" w:sz="8" w:space="0" w:color="666666"/>
            </w:tcBorders>
            <w:shd w:val="clear" w:color="auto" w:fill="FFFFFF"/>
            <w:tcMar>
              <w:top w:w="0" w:type="dxa"/>
              <w:left w:w="0" w:type="dxa"/>
              <w:bottom w:w="0" w:type="dxa"/>
              <w:right w:w="0" w:type="dxa"/>
            </w:tcMar>
            <w:vAlign w:val="center"/>
          </w:tcPr>
          <w:p w14:paraId="060507A5"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NSW</w:t>
            </w:r>
          </w:p>
        </w:tc>
        <w:tc>
          <w:tcPr>
            <w:tcW w:w="1361" w:type="dxa"/>
            <w:tcBorders>
              <w:top w:val="single" w:sz="8" w:space="0" w:color="666666"/>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0A02EC48"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48%</w:t>
            </w:r>
          </w:p>
        </w:tc>
        <w:tc>
          <w:tcPr>
            <w:tcW w:w="1361" w:type="dxa"/>
            <w:tcBorders>
              <w:top w:val="single" w:sz="8" w:space="0" w:color="666666"/>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2D2F477F"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 pts</w:t>
            </w:r>
          </w:p>
        </w:tc>
        <w:tc>
          <w:tcPr>
            <w:tcW w:w="1361" w:type="dxa"/>
            <w:tcBorders>
              <w:top w:val="single" w:sz="8" w:space="0" w:color="666666"/>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09D6959A"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43%</w:t>
            </w:r>
          </w:p>
        </w:tc>
        <w:tc>
          <w:tcPr>
            <w:tcW w:w="1361" w:type="dxa"/>
            <w:tcBorders>
              <w:top w:val="single" w:sz="8" w:space="0" w:color="666666"/>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0835ECD8"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0 pts</w:t>
            </w:r>
          </w:p>
        </w:tc>
        <w:tc>
          <w:tcPr>
            <w:tcW w:w="1389" w:type="dxa"/>
            <w:tcBorders>
              <w:top w:val="single" w:sz="8" w:space="0" w:color="666666"/>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17CBE147"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19%</w:t>
            </w:r>
          </w:p>
        </w:tc>
        <w:tc>
          <w:tcPr>
            <w:tcW w:w="1389" w:type="dxa"/>
            <w:tcBorders>
              <w:top w:val="single" w:sz="8" w:space="0" w:color="666666"/>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038E2D39"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 pts</w:t>
            </w:r>
          </w:p>
        </w:tc>
      </w:tr>
      <w:tr w:rsidR="004F5741" w14:paraId="5E860783" w14:textId="77777777">
        <w:trPr>
          <w:trHeight w:hRule="exact" w:val="272"/>
          <w:jc w:val="center"/>
        </w:trPr>
        <w:tc>
          <w:tcPr>
            <w:tcW w:w="1247" w:type="dxa"/>
            <w:tcBorders>
              <w:top w:val="none" w:sz="0" w:space="0" w:color="000000"/>
              <w:left w:val="single" w:sz="8" w:space="0" w:color="666666"/>
              <w:bottom w:val="none" w:sz="0" w:space="0" w:color="000000"/>
              <w:right w:val="single" w:sz="8" w:space="0" w:color="666666"/>
            </w:tcBorders>
            <w:shd w:val="clear" w:color="auto" w:fill="D9D9D9"/>
            <w:tcMar>
              <w:top w:w="0" w:type="dxa"/>
              <w:left w:w="0" w:type="dxa"/>
              <w:bottom w:w="0" w:type="dxa"/>
              <w:right w:w="0" w:type="dxa"/>
            </w:tcMar>
            <w:vAlign w:val="center"/>
          </w:tcPr>
          <w:p w14:paraId="6F6C25A3"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VIC</w:t>
            </w:r>
          </w:p>
        </w:tc>
        <w:tc>
          <w:tcPr>
            <w:tcW w:w="1361"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22ECDC79"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44%</w:t>
            </w:r>
          </w:p>
        </w:tc>
        <w:tc>
          <w:tcPr>
            <w:tcW w:w="1361"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73D2D25D"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 pts</w:t>
            </w:r>
          </w:p>
        </w:tc>
        <w:tc>
          <w:tcPr>
            <w:tcW w:w="1361"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79DD33C4"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43%</w:t>
            </w:r>
          </w:p>
        </w:tc>
        <w:tc>
          <w:tcPr>
            <w:tcW w:w="1361"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3617DB51"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0 pts</w:t>
            </w:r>
          </w:p>
        </w:tc>
        <w:tc>
          <w:tcPr>
            <w:tcW w:w="1389"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4C4588AB"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18%</w:t>
            </w:r>
          </w:p>
        </w:tc>
        <w:tc>
          <w:tcPr>
            <w:tcW w:w="1389"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2298E496"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 pts</w:t>
            </w:r>
          </w:p>
        </w:tc>
      </w:tr>
      <w:tr w:rsidR="004F5741" w14:paraId="340DAE70" w14:textId="77777777">
        <w:trPr>
          <w:trHeight w:hRule="exact" w:val="272"/>
          <w:jc w:val="center"/>
        </w:trPr>
        <w:tc>
          <w:tcPr>
            <w:tcW w:w="1247" w:type="dxa"/>
            <w:tcBorders>
              <w:top w:val="none" w:sz="0" w:space="0" w:color="000000"/>
              <w:left w:val="single" w:sz="8" w:space="0" w:color="666666"/>
              <w:bottom w:val="none" w:sz="0" w:space="0" w:color="000000"/>
              <w:right w:val="single" w:sz="8" w:space="0" w:color="666666"/>
            </w:tcBorders>
            <w:shd w:val="clear" w:color="auto" w:fill="FFFFFF"/>
            <w:tcMar>
              <w:top w:w="0" w:type="dxa"/>
              <w:left w:w="0" w:type="dxa"/>
              <w:bottom w:w="0" w:type="dxa"/>
              <w:right w:w="0" w:type="dxa"/>
            </w:tcMar>
            <w:vAlign w:val="center"/>
          </w:tcPr>
          <w:p w14:paraId="56DB0F32"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QLD</w:t>
            </w:r>
          </w:p>
        </w:tc>
        <w:tc>
          <w:tcPr>
            <w:tcW w:w="1361"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2CE2CC81"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55%</w:t>
            </w:r>
          </w:p>
        </w:tc>
        <w:tc>
          <w:tcPr>
            <w:tcW w:w="1361"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13CC3474"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 pts</w:t>
            </w:r>
          </w:p>
        </w:tc>
        <w:tc>
          <w:tcPr>
            <w:tcW w:w="1361"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1C04F37A"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50%</w:t>
            </w:r>
          </w:p>
        </w:tc>
        <w:tc>
          <w:tcPr>
            <w:tcW w:w="1361"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04FD3EAE"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 pts</w:t>
            </w:r>
          </w:p>
        </w:tc>
        <w:tc>
          <w:tcPr>
            <w:tcW w:w="1389"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025A44E6"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19%</w:t>
            </w:r>
          </w:p>
        </w:tc>
        <w:tc>
          <w:tcPr>
            <w:tcW w:w="1389"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5C11DB0F"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-3 pts</w:t>
            </w:r>
          </w:p>
        </w:tc>
      </w:tr>
      <w:tr w:rsidR="004F5741" w14:paraId="79E805DA" w14:textId="77777777">
        <w:trPr>
          <w:trHeight w:hRule="exact" w:val="272"/>
          <w:jc w:val="center"/>
        </w:trPr>
        <w:tc>
          <w:tcPr>
            <w:tcW w:w="1247" w:type="dxa"/>
            <w:tcBorders>
              <w:top w:val="none" w:sz="0" w:space="0" w:color="000000"/>
              <w:left w:val="single" w:sz="8" w:space="0" w:color="666666"/>
              <w:bottom w:val="none" w:sz="0" w:space="0" w:color="000000"/>
              <w:right w:val="single" w:sz="8" w:space="0" w:color="666666"/>
            </w:tcBorders>
            <w:shd w:val="clear" w:color="auto" w:fill="D9D9D9"/>
            <w:tcMar>
              <w:top w:w="0" w:type="dxa"/>
              <w:left w:w="0" w:type="dxa"/>
              <w:bottom w:w="0" w:type="dxa"/>
              <w:right w:w="0" w:type="dxa"/>
            </w:tcMar>
            <w:vAlign w:val="center"/>
          </w:tcPr>
          <w:p w14:paraId="0BE9BCF5"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SA</w:t>
            </w:r>
          </w:p>
        </w:tc>
        <w:tc>
          <w:tcPr>
            <w:tcW w:w="1361"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2102B44F"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46%</w:t>
            </w:r>
          </w:p>
        </w:tc>
        <w:tc>
          <w:tcPr>
            <w:tcW w:w="1361"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7FCC021A"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-6 pts</w:t>
            </w:r>
          </w:p>
        </w:tc>
        <w:tc>
          <w:tcPr>
            <w:tcW w:w="1361"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5079A39E"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45%*</w:t>
            </w:r>
          </w:p>
        </w:tc>
        <w:tc>
          <w:tcPr>
            <w:tcW w:w="1361"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6586CE1F"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3 pts*</w:t>
            </w:r>
          </w:p>
        </w:tc>
        <w:tc>
          <w:tcPr>
            <w:tcW w:w="1389"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7F9E6069"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13%</w:t>
            </w:r>
          </w:p>
        </w:tc>
        <w:tc>
          <w:tcPr>
            <w:tcW w:w="1389"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79E5A496"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 pts</w:t>
            </w:r>
          </w:p>
        </w:tc>
      </w:tr>
      <w:tr w:rsidR="004F5741" w14:paraId="1A99932D" w14:textId="77777777">
        <w:trPr>
          <w:trHeight w:hRule="exact" w:val="272"/>
          <w:jc w:val="center"/>
        </w:trPr>
        <w:tc>
          <w:tcPr>
            <w:tcW w:w="1247" w:type="dxa"/>
            <w:tcBorders>
              <w:top w:val="none" w:sz="0" w:space="0" w:color="000000"/>
              <w:left w:val="single" w:sz="8" w:space="0" w:color="666666"/>
              <w:bottom w:val="none" w:sz="0" w:space="0" w:color="000000"/>
              <w:right w:val="single" w:sz="8" w:space="0" w:color="666666"/>
            </w:tcBorders>
            <w:shd w:val="clear" w:color="auto" w:fill="FFFFFF"/>
            <w:tcMar>
              <w:top w:w="0" w:type="dxa"/>
              <w:left w:w="0" w:type="dxa"/>
              <w:bottom w:w="0" w:type="dxa"/>
              <w:right w:w="0" w:type="dxa"/>
            </w:tcMar>
            <w:vAlign w:val="center"/>
          </w:tcPr>
          <w:p w14:paraId="553563AC"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WA</w:t>
            </w:r>
          </w:p>
        </w:tc>
        <w:tc>
          <w:tcPr>
            <w:tcW w:w="1361"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7C3D917A"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54%</w:t>
            </w:r>
          </w:p>
        </w:tc>
        <w:tc>
          <w:tcPr>
            <w:tcW w:w="1361"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6102E6E9"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 pts</w:t>
            </w:r>
          </w:p>
        </w:tc>
        <w:tc>
          <w:tcPr>
            <w:tcW w:w="1361"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47616092"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48%</w:t>
            </w:r>
          </w:p>
        </w:tc>
        <w:tc>
          <w:tcPr>
            <w:tcW w:w="1361"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7DC29867"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 pts</w:t>
            </w:r>
          </w:p>
        </w:tc>
        <w:tc>
          <w:tcPr>
            <w:tcW w:w="1389"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2D5D9FAE"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12%</w:t>
            </w:r>
          </w:p>
        </w:tc>
        <w:tc>
          <w:tcPr>
            <w:tcW w:w="1389"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7BC39E37"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-10 pts</w:t>
            </w:r>
          </w:p>
        </w:tc>
      </w:tr>
      <w:tr w:rsidR="004F5741" w14:paraId="7629E9DF" w14:textId="77777777">
        <w:trPr>
          <w:trHeight w:hRule="exact" w:val="272"/>
          <w:jc w:val="center"/>
        </w:trPr>
        <w:tc>
          <w:tcPr>
            <w:tcW w:w="1247" w:type="dxa"/>
            <w:tcBorders>
              <w:top w:val="none" w:sz="0" w:space="0" w:color="000000"/>
              <w:left w:val="single" w:sz="8" w:space="0" w:color="666666"/>
              <w:bottom w:val="none" w:sz="0" w:space="0" w:color="000000"/>
              <w:right w:val="single" w:sz="8" w:space="0" w:color="666666"/>
            </w:tcBorders>
            <w:shd w:val="clear" w:color="auto" w:fill="D9D9D9"/>
            <w:tcMar>
              <w:top w:w="0" w:type="dxa"/>
              <w:left w:w="0" w:type="dxa"/>
              <w:bottom w:w="0" w:type="dxa"/>
              <w:right w:w="0" w:type="dxa"/>
            </w:tcMar>
            <w:vAlign w:val="center"/>
          </w:tcPr>
          <w:p w14:paraId="10AFEE1B"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TAS</w:t>
            </w:r>
          </w:p>
        </w:tc>
        <w:tc>
          <w:tcPr>
            <w:tcW w:w="1361"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484E4398"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57%</w:t>
            </w:r>
          </w:p>
        </w:tc>
        <w:tc>
          <w:tcPr>
            <w:tcW w:w="1361"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7D840A7D"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10 pts</w:t>
            </w:r>
          </w:p>
        </w:tc>
        <w:tc>
          <w:tcPr>
            <w:tcW w:w="1361"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4D93494E"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38%*</w:t>
            </w:r>
          </w:p>
        </w:tc>
        <w:tc>
          <w:tcPr>
            <w:tcW w:w="1361"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267024C2"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 pts*</w:t>
            </w:r>
          </w:p>
        </w:tc>
        <w:tc>
          <w:tcPr>
            <w:tcW w:w="1389"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373EDDC6"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24%</w:t>
            </w:r>
          </w:p>
        </w:tc>
        <w:tc>
          <w:tcPr>
            <w:tcW w:w="1389"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01CED0B9"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9 pts</w:t>
            </w:r>
          </w:p>
        </w:tc>
      </w:tr>
      <w:tr w:rsidR="004F5741" w14:paraId="6C4A76A5" w14:textId="77777777">
        <w:trPr>
          <w:trHeight w:hRule="exact" w:val="272"/>
          <w:jc w:val="center"/>
        </w:trPr>
        <w:tc>
          <w:tcPr>
            <w:tcW w:w="1247" w:type="dxa"/>
            <w:tcBorders>
              <w:top w:val="none" w:sz="0" w:space="0" w:color="000000"/>
              <w:left w:val="single" w:sz="8" w:space="0" w:color="666666"/>
              <w:bottom w:val="none" w:sz="0" w:space="0" w:color="000000"/>
              <w:right w:val="single" w:sz="8" w:space="0" w:color="666666"/>
            </w:tcBorders>
            <w:shd w:val="clear" w:color="auto" w:fill="FFFFFF"/>
            <w:tcMar>
              <w:top w:w="0" w:type="dxa"/>
              <w:left w:w="0" w:type="dxa"/>
              <w:bottom w:w="0" w:type="dxa"/>
              <w:right w:w="0" w:type="dxa"/>
            </w:tcMar>
            <w:vAlign w:val="center"/>
          </w:tcPr>
          <w:p w14:paraId="40FE17B6"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NT</w:t>
            </w:r>
            <w:r>
              <w:rPr>
                <w:rFonts w:ascii="Arial (Body)" w:eastAsia="Arial (Body)" w:hAnsi="Arial (Body)" w:cs="Arial (Body)"/>
                <w:color w:val="000000"/>
                <w:sz w:val="20"/>
                <w:szCs w:val="20"/>
                <w:vertAlign w:val="superscript"/>
              </w:rPr>
              <w:t>#</w:t>
            </w:r>
          </w:p>
        </w:tc>
        <w:tc>
          <w:tcPr>
            <w:tcW w:w="1361"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6EE069B8"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65%*</w:t>
            </w:r>
          </w:p>
        </w:tc>
        <w:tc>
          <w:tcPr>
            <w:tcW w:w="1361"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3244B86C"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 pts*</w:t>
            </w:r>
          </w:p>
        </w:tc>
        <w:tc>
          <w:tcPr>
            <w:tcW w:w="1361"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1163D563"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61%*</w:t>
            </w:r>
          </w:p>
        </w:tc>
        <w:tc>
          <w:tcPr>
            <w:tcW w:w="1361"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3DFDFBC0"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 pts*</w:t>
            </w:r>
          </w:p>
        </w:tc>
        <w:tc>
          <w:tcPr>
            <w:tcW w:w="1389"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53AFC4D9"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34%*</w:t>
            </w:r>
          </w:p>
        </w:tc>
        <w:tc>
          <w:tcPr>
            <w:tcW w:w="1389"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191F9958"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 pts*</w:t>
            </w:r>
          </w:p>
        </w:tc>
      </w:tr>
      <w:tr w:rsidR="004F5741" w14:paraId="08958C99" w14:textId="77777777">
        <w:trPr>
          <w:trHeight w:hRule="exact" w:val="272"/>
          <w:jc w:val="center"/>
        </w:trPr>
        <w:tc>
          <w:tcPr>
            <w:tcW w:w="1247" w:type="dxa"/>
            <w:tcBorders>
              <w:top w:val="none" w:sz="0" w:space="0" w:color="000000"/>
              <w:left w:val="single" w:sz="8" w:space="0" w:color="666666"/>
              <w:bottom w:val="single" w:sz="8" w:space="0" w:color="666666"/>
              <w:right w:val="single" w:sz="8" w:space="0" w:color="666666"/>
            </w:tcBorders>
            <w:shd w:val="clear" w:color="auto" w:fill="D9D9D9"/>
            <w:tcMar>
              <w:top w:w="0" w:type="dxa"/>
              <w:left w:w="0" w:type="dxa"/>
              <w:bottom w:w="0" w:type="dxa"/>
              <w:right w:w="0" w:type="dxa"/>
            </w:tcMar>
            <w:vAlign w:val="center"/>
          </w:tcPr>
          <w:p w14:paraId="7FB68230"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ACT</w:t>
            </w:r>
            <w:r>
              <w:rPr>
                <w:rFonts w:ascii="Arial (Body)" w:eastAsia="Arial (Body)" w:hAnsi="Arial (Body)" w:cs="Arial (Body)"/>
                <w:color w:val="000000"/>
                <w:sz w:val="20"/>
                <w:szCs w:val="20"/>
                <w:vertAlign w:val="superscript"/>
              </w:rPr>
              <w:t>#</w:t>
            </w:r>
          </w:p>
        </w:tc>
        <w:tc>
          <w:tcPr>
            <w:tcW w:w="1361" w:type="dxa"/>
            <w:tcBorders>
              <w:top w:val="none" w:sz="0" w:space="0" w:color="000000"/>
              <w:left w:val="single" w:sz="8" w:space="0" w:color="666666"/>
              <w:bottom w:val="single" w:sz="8" w:space="0" w:color="666666"/>
              <w:right w:val="none" w:sz="0" w:space="0" w:color="000000"/>
            </w:tcBorders>
            <w:shd w:val="clear" w:color="auto" w:fill="D9D9D9"/>
            <w:tcMar>
              <w:top w:w="0" w:type="dxa"/>
              <w:left w:w="0" w:type="dxa"/>
              <w:bottom w:w="0" w:type="dxa"/>
              <w:right w:w="0" w:type="dxa"/>
            </w:tcMar>
            <w:vAlign w:val="center"/>
          </w:tcPr>
          <w:p w14:paraId="17AD5B29"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47%</w:t>
            </w:r>
          </w:p>
        </w:tc>
        <w:tc>
          <w:tcPr>
            <w:tcW w:w="1361" w:type="dxa"/>
            <w:tcBorders>
              <w:top w:val="none" w:sz="0" w:space="0" w:color="000000"/>
              <w:left w:val="none" w:sz="0" w:space="0" w:color="000000"/>
              <w:bottom w:val="single" w:sz="8" w:space="0" w:color="666666"/>
              <w:right w:val="single" w:sz="8" w:space="0" w:color="666666"/>
            </w:tcBorders>
            <w:shd w:val="clear" w:color="auto" w:fill="D9D9D9"/>
            <w:tcMar>
              <w:top w:w="0" w:type="dxa"/>
              <w:left w:w="0" w:type="dxa"/>
              <w:bottom w:w="0" w:type="dxa"/>
              <w:right w:w="0" w:type="dxa"/>
            </w:tcMar>
            <w:vAlign w:val="center"/>
          </w:tcPr>
          <w:p w14:paraId="708EE0C6"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 pts</w:t>
            </w:r>
          </w:p>
        </w:tc>
        <w:tc>
          <w:tcPr>
            <w:tcW w:w="1361" w:type="dxa"/>
            <w:tcBorders>
              <w:top w:val="none" w:sz="0" w:space="0" w:color="000000"/>
              <w:left w:val="single" w:sz="8" w:space="0" w:color="666666"/>
              <w:bottom w:val="single" w:sz="8" w:space="0" w:color="666666"/>
              <w:right w:val="none" w:sz="0" w:space="0" w:color="000000"/>
            </w:tcBorders>
            <w:shd w:val="clear" w:color="auto" w:fill="D9D9D9"/>
            <w:tcMar>
              <w:top w:w="0" w:type="dxa"/>
              <w:left w:w="0" w:type="dxa"/>
              <w:bottom w:w="0" w:type="dxa"/>
              <w:right w:w="0" w:type="dxa"/>
            </w:tcMar>
            <w:vAlign w:val="center"/>
          </w:tcPr>
          <w:p w14:paraId="34520491"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50%*</w:t>
            </w:r>
          </w:p>
        </w:tc>
        <w:tc>
          <w:tcPr>
            <w:tcW w:w="1361" w:type="dxa"/>
            <w:tcBorders>
              <w:top w:val="none" w:sz="0" w:space="0" w:color="000000"/>
              <w:left w:val="none" w:sz="0" w:space="0" w:color="000000"/>
              <w:bottom w:val="single" w:sz="8" w:space="0" w:color="666666"/>
              <w:right w:val="single" w:sz="8" w:space="0" w:color="666666"/>
            </w:tcBorders>
            <w:shd w:val="clear" w:color="auto" w:fill="D9D9D9"/>
            <w:tcMar>
              <w:top w:w="0" w:type="dxa"/>
              <w:left w:w="0" w:type="dxa"/>
              <w:bottom w:w="0" w:type="dxa"/>
              <w:right w:w="0" w:type="dxa"/>
            </w:tcMar>
            <w:vAlign w:val="center"/>
          </w:tcPr>
          <w:p w14:paraId="4985F33C"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19 pts*</w:t>
            </w:r>
          </w:p>
        </w:tc>
        <w:tc>
          <w:tcPr>
            <w:tcW w:w="1389" w:type="dxa"/>
            <w:tcBorders>
              <w:top w:val="none" w:sz="0" w:space="0" w:color="000000"/>
              <w:left w:val="single" w:sz="8" w:space="0" w:color="666666"/>
              <w:bottom w:val="single" w:sz="8" w:space="0" w:color="666666"/>
              <w:right w:val="none" w:sz="0" w:space="0" w:color="000000"/>
            </w:tcBorders>
            <w:shd w:val="clear" w:color="auto" w:fill="D9D9D9"/>
            <w:tcMar>
              <w:top w:w="0" w:type="dxa"/>
              <w:left w:w="0" w:type="dxa"/>
              <w:bottom w:w="0" w:type="dxa"/>
              <w:right w:w="0" w:type="dxa"/>
            </w:tcMar>
            <w:vAlign w:val="center"/>
          </w:tcPr>
          <w:p w14:paraId="32D1265B"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15%</w:t>
            </w:r>
          </w:p>
        </w:tc>
        <w:tc>
          <w:tcPr>
            <w:tcW w:w="1389" w:type="dxa"/>
            <w:tcBorders>
              <w:top w:val="none" w:sz="0" w:space="0" w:color="000000"/>
              <w:left w:val="none" w:sz="0" w:space="0" w:color="000000"/>
              <w:bottom w:val="single" w:sz="8" w:space="0" w:color="666666"/>
              <w:right w:val="single" w:sz="8" w:space="0" w:color="666666"/>
            </w:tcBorders>
            <w:shd w:val="clear" w:color="auto" w:fill="D9D9D9"/>
            <w:tcMar>
              <w:top w:w="0" w:type="dxa"/>
              <w:left w:w="0" w:type="dxa"/>
              <w:bottom w:w="0" w:type="dxa"/>
              <w:right w:w="0" w:type="dxa"/>
            </w:tcMar>
            <w:vAlign w:val="center"/>
          </w:tcPr>
          <w:p w14:paraId="1CB93792"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-3 pts</w:t>
            </w:r>
          </w:p>
        </w:tc>
      </w:tr>
    </w:tbl>
    <w:p w14:paraId="6C3F71AB" w14:textId="77777777" w:rsidR="004F5741" w:rsidRDefault="003416A1">
      <w:pPr>
        <w:pStyle w:val="FooterText"/>
      </w:pPr>
      <w:r>
        <w:t># Due to smaller sample sizes, data for the NT and ACT are based on six-month average data (</w:t>
      </w:r>
      <w:r>
        <w:rPr>
          <w:b/>
          <w:bCs/>
        </w:rPr>
        <w:t>Dec</w:t>
      </w:r>
      <w:r>
        <w:t xml:space="preserve"> qtr. to </w:t>
      </w:r>
      <w:r>
        <w:rPr>
          <w:b/>
          <w:bCs/>
        </w:rPr>
        <w:t>Mar</w:t>
      </w:r>
      <w:r>
        <w:t xml:space="preserve"> qtr.).</w:t>
      </w:r>
      <w:r>
        <w:br/>
        <w:t>* Interpret with caution due to low sample size.</w:t>
      </w:r>
    </w:p>
    <w:p w14:paraId="58F88DC7" w14:textId="55BEBFBC" w:rsidR="004F5741" w:rsidRDefault="003416A1" w:rsidP="0038692E">
      <w:pPr>
        <w:pStyle w:val="Heading3"/>
        <w:spacing w:before="240"/>
      </w:pPr>
      <w:bookmarkStart w:id="6" w:name="X1bbbacbb4e0ea5fa67ca63146a49d139f428c45"/>
      <w:bookmarkEnd w:id="5"/>
      <w:r>
        <w:t>Figure 1. Recruitment rate by state, March quarter 202</w:t>
      </w:r>
      <w:r w:rsidR="00747F79">
        <w:t>5</w:t>
      </w:r>
      <w:r>
        <w:t xml:space="preserve"> - March quarter 2026</w:t>
      </w:r>
    </w:p>
    <w:p w14:paraId="5263F16B" w14:textId="77777777" w:rsidR="004F5741" w:rsidRDefault="003416A1">
      <w:r>
        <w:rPr>
          <w:noProof/>
        </w:rPr>
        <w:drawing>
          <wp:inline distT="0" distB="0" distL="0" distR="0" wp14:anchorId="7A6634EA" wp14:editId="13898E3E">
            <wp:extent cx="6108700" cy="872671"/>
            <wp:effectExtent l="0" t="0" r="0" b="0"/>
            <wp:docPr id="34" name="Picture" descr="  Mar qtr 2025 Jun qtr 2025 Sep qtr 2025 Dec qtr 2025 Mar qtr 2026&#10;NSW 44% 47% 49% 42% 48%&#10;QLD 53% 54% 57% 58% 55%&#10;SA 52% 45% 45% 48% 46%&#10;TAS 47% 51% 42% 43%* 57%&#10;VIC 39% 41% 46% 41% 44%&#10;WA 50% 54% 56% 49% 54%&#10;"/>
            <wp:cNvGraphicFramePr/>
            <a:graphic xmlns:a="http://schemas.openxmlformats.org/drawingml/2006/main">
              <a:graphicData uri="http://schemas.openxmlformats.org/drawingml/2006/picture">
                <pic:pic xmlns:pic="http://schemas.openxmlformats.org/drawingml/2006/picture">
                  <pic:nvPicPr>
                    <pic:cNvPr id="34" name="Picture" descr="  Mar qtr 2025 Jun qtr 2025 Sep qtr 2025 Dec qtr 2025 Mar qtr 2026&#10;NSW 44% 47% 49% 42% 48%&#10;QLD 53% 54% 57% 58% 55%&#10;SA 52% 45% 45% 48% 46%&#10;TAS 47% 51% 42% 43%* 57%&#10;VIC 39% 41% 46% 41% 44%&#10;WA 50% 54% 56% 49% 54%&#10;"/>
                    <pic:cNvPicPr>
                      <a:picLocks noChangeAspect="1" noChangeArrowheads="1"/>
                    </pic:cNvPicPr>
                  </pic:nvPicPr>
                  <pic:blipFill>
                    <a:blip r:embed="rId13"/>
                    <a:stretch>
                      <a:fillRect/>
                    </a:stretch>
                  </pic:blipFill>
                  <pic:spPr bwMode="auto">
                    <a:xfrm>
                      <a:off x="0" y="0"/>
                      <a:ext cx="6108700" cy="872671"/>
                    </a:xfrm>
                    <a:prstGeom prst="rect">
                      <a:avLst/>
                    </a:prstGeom>
                    <a:noFill/>
                    <a:ln w="9525">
                      <a:noFill/>
                      <a:headEnd/>
                      <a:tailEnd/>
                    </a:ln>
                  </pic:spPr>
                </pic:pic>
              </a:graphicData>
            </a:graphic>
          </wp:inline>
        </w:drawing>
      </w:r>
    </w:p>
    <w:p w14:paraId="5F3185D0" w14:textId="35F4DD47" w:rsidR="004F5741" w:rsidRDefault="003416A1" w:rsidP="0038692E">
      <w:pPr>
        <w:pStyle w:val="Heading3"/>
        <w:spacing w:before="240"/>
      </w:pPr>
      <w:bookmarkStart w:id="7" w:name="X05426159103a24f834d3131df20bdabec3910f7"/>
      <w:bookmarkEnd w:id="6"/>
      <w:r>
        <w:t>Figure 2. Recruitment difficulty rate by state, March quarter 202</w:t>
      </w:r>
      <w:r w:rsidR="00747F79">
        <w:t>5</w:t>
      </w:r>
      <w:r>
        <w:t xml:space="preserve"> - March quarter 2026</w:t>
      </w:r>
    </w:p>
    <w:p w14:paraId="09E764A4" w14:textId="3739DBB3" w:rsidR="004F5741" w:rsidRDefault="0038692E" w:rsidP="0038692E">
      <w:pPr>
        <w:pStyle w:val="Source"/>
      </w:pPr>
      <w:r>
        <w:rPr>
          <w:noProof/>
        </w:rPr>
        <w:drawing>
          <wp:inline distT="0" distB="0" distL="0" distR="0" wp14:anchorId="41AE4469" wp14:editId="6F1EBFE1">
            <wp:extent cx="6108700" cy="872671"/>
            <wp:effectExtent l="0" t="0" r="0" b="0"/>
            <wp:docPr id="38" name="Picture"/>
            <wp:cNvGraphicFramePr/>
            <a:graphic xmlns:a="http://schemas.openxmlformats.org/drawingml/2006/main">
              <a:graphicData uri="http://schemas.openxmlformats.org/drawingml/2006/picture">
                <pic:pic xmlns:pic="http://schemas.openxmlformats.org/drawingml/2006/picture">
                  <pic:nvPicPr>
                    <pic:cNvPr id="39" name="Picture" descr="reos_quarterly_report_files/figure-docx/unnamed-chunk-6-1.png"/>
                    <pic:cNvPicPr>
                      <a:picLocks noChangeAspect="1" noChangeArrowheads="1"/>
                    </pic:cNvPicPr>
                  </pic:nvPicPr>
                  <pic:blipFill>
                    <a:blip r:embed="rId14"/>
                    <a:stretch>
                      <a:fillRect/>
                    </a:stretch>
                  </pic:blipFill>
                  <pic:spPr bwMode="auto">
                    <a:xfrm>
                      <a:off x="0" y="0"/>
                      <a:ext cx="6108700" cy="872671"/>
                    </a:xfrm>
                    <a:prstGeom prst="rect">
                      <a:avLst/>
                    </a:prstGeom>
                    <a:noFill/>
                    <a:ln w="9525">
                      <a:noFill/>
                      <a:headEnd/>
                      <a:tailEnd/>
                    </a:ln>
                  </pic:spPr>
                </pic:pic>
              </a:graphicData>
            </a:graphic>
          </wp:inline>
        </w:drawing>
      </w:r>
      <w:r>
        <w:t xml:space="preserve"> </w:t>
      </w:r>
      <w:r w:rsidRPr="21CDFAA3">
        <w:rPr>
          <w:i/>
          <w:iCs/>
        </w:rPr>
        <w:t>Note: No data are shown for Tasmania in the December quarter 2025 due to a small sample size</w:t>
      </w:r>
    </w:p>
    <w:p w14:paraId="0D0CA685" w14:textId="740284EA" w:rsidR="004F5741" w:rsidRDefault="003416A1" w:rsidP="0038692E">
      <w:pPr>
        <w:pStyle w:val="Heading3"/>
        <w:spacing w:before="240"/>
      </w:pPr>
      <w:bookmarkStart w:id="8" w:name="X4af0a5101e09e1e402c82090e0a768dd36b445e"/>
      <w:bookmarkEnd w:id="7"/>
      <w:r>
        <w:t>Figure 3. Expecting to increase staff numbers over the next 3 months by state, March quarter 202</w:t>
      </w:r>
      <w:r w:rsidR="00747F79">
        <w:t>5</w:t>
      </w:r>
      <w:r>
        <w:t xml:space="preserve"> - March quarter 2026</w:t>
      </w:r>
    </w:p>
    <w:p w14:paraId="395D05F9" w14:textId="77777777" w:rsidR="004F5741" w:rsidRDefault="003416A1">
      <w:r>
        <w:rPr>
          <w:noProof/>
        </w:rPr>
        <w:drawing>
          <wp:inline distT="0" distB="0" distL="0" distR="0" wp14:anchorId="78CCF567" wp14:editId="1455917B">
            <wp:extent cx="6108700" cy="1327978"/>
            <wp:effectExtent l="0" t="0" r="0" b="0"/>
            <wp:docPr id="42" name="Picture" descr="  Mar qtr 2025 Jun qtr 2025 Sep qtr 2025 Dec qtr 2025 Mar qtr 2026&#10;NSW 18% 21% 24% 20% 19%&#10;QLD 22% 22% 26% 25% 19%&#10;SA 17% 18% 20% 16% 13%&#10;TAS 15% 20% 17% 25%* 24%&#10;VIC 19% 18% 20% 17% 18%&#10;WA 22% 21% 22% 19% 12%&#10;"/>
            <wp:cNvGraphicFramePr/>
            <a:graphic xmlns:a="http://schemas.openxmlformats.org/drawingml/2006/main">
              <a:graphicData uri="http://schemas.openxmlformats.org/drawingml/2006/picture">
                <pic:pic xmlns:pic="http://schemas.openxmlformats.org/drawingml/2006/picture">
                  <pic:nvPicPr>
                    <pic:cNvPr id="42" name="Picture" descr="  Mar qtr 2025 Jun qtr 2025 Sep qtr 2025 Dec qtr 2025 Mar qtr 2026&#10;NSW 18% 21% 24% 20% 19%&#10;QLD 22% 22% 26% 25% 19%&#10;SA 17% 18% 20% 16% 13%&#10;TAS 15% 20% 17% 25%* 24%&#10;VIC 19% 18% 20% 17% 18%&#10;WA 22% 21% 22% 19% 12%&#10;"/>
                    <pic:cNvPicPr>
                      <a:picLocks noChangeAspect="1" noChangeArrowheads="1"/>
                    </pic:cNvPicPr>
                  </pic:nvPicPr>
                  <pic:blipFill>
                    <a:blip r:embed="rId15"/>
                    <a:stretch>
                      <a:fillRect/>
                    </a:stretch>
                  </pic:blipFill>
                  <pic:spPr bwMode="auto">
                    <a:xfrm>
                      <a:off x="0" y="0"/>
                      <a:ext cx="6108700" cy="1327978"/>
                    </a:xfrm>
                    <a:prstGeom prst="rect">
                      <a:avLst/>
                    </a:prstGeom>
                    <a:noFill/>
                    <a:ln w="9525">
                      <a:noFill/>
                      <a:headEnd/>
                      <a:tailEnd/>
                    </a:ln>
                  </pic:spPr>
                </pic:pic>
              </a:graphicData>
            </a:graphic>
          </wp:inline>
        </w:drawing>
      </w:r>
    </w:p>
    <w:p w14:paraId="40BAEA23" w14:textId="77777777" w:rsidR="004F5741" w:rsidRDefault="003416A1">
      <w:r>
        <w:br w:type="page"/>
      </w:r>
    </w:p>
    <w:p w14:paraId="5DB521E5" w14:textId="77777777" w:rsidR="004F5741" w:rsidRDefault="003416A1">
      <w:pPr>
        <w:pStyle w:val="Heading2"/>
      </w:pPr>
      <w:bookmarkStart w:id="9" w:name="X0ba486d3eaa8c132582e3a3ee7374f58d958a82"/>
      <w:bookmarkEnd w:id="4"/>
      <w:bookmarkEnd w:id="8"/>
      <w:r>
        <w:lastRenderedPageBreak/>
        <w:t>Key indicators by remoteness classification</w:t>
      </w:r>
      <w:r>
        <w:rPr>
          <w:rStyle w:val="FootnoteReference"/>
        </w:rPr>
        <w:footnoteReference w:id="1"/>
      </w:r>
      <w:r>
        <w:t xml:space="preserve"> (ARIA location)</w:t>
      </w:r>
    </w:p>
    <w:p w14:paraId="08E23E96" w14:textId="51C9CC08" w:rsidR="004F5741" w:rsidRPr="00A255E9" w:rsidRDefault="003416A1">
      <w:r>
        <w:t>In the March quarter 2026, Outer Regional, Remote and Very Remote Australia recorded the highest recruitment rate of the</w:t>
      </w:r>
      <w:r w:rsidR="00A255E9">
        <w:t xml:space="preserve"> ARIA</w:t>
      </w:r>
      <w:r>
        <w:t xml:space="preserve"> regions</w:t>
      </w:r>
      <w:r w:rsidR="004C7FFD">
        <w:t xml:space="preserve"> (54%) </w:t>
      </w:r>
      <w:r w:rsidR="000F44F9">
        <w:t xml:space="preserve">and the </w:t>
      </w:r>
      <w:r>
        <w:t>highest rate of recruitment difficulty</w:t>
      </w:r>
      <w:r w:rsidR="000F44F9">
        <w:t xml:space="preserve"> (52%). Future staffing expectations fell in all three regions compared with a year ago.</w:t>
      </w:r>
    </w:p>
    <w:p w14:paraId="6A87C5A6" w14:textId="77777777" w:rsidR="004F5741" w:rsidRDefault="003416A1">
      <w:pPr>
        <w:pStyle w:val="Heading3"/>
      </w:pPr>
      <w:bookmarkStart w:id="10" w:name="X7db6adad2de964dcae60c4f023a0eabe6c7826e"/>
      <w:r>
        <w:t>Table 2. Key indicators by ARIA location, March quarter 2026</w:t>
      </w:r>
    </w:p>
    <w:tbl>
      <w:tblPr>
        <w:tblW w:w="0" w:type="auto"/>
        <w:jc w:val="center"/>
        <w:tblLayout w:type="fixed"/>
        <w:tblLook w:val="0420" w:firstRow="1" w:lastRow="0" w:firstColumn="0" w:lastColumn="0" w:noHBand="0" w:noVBand="1"/>
      </w:tblPr>
      <w:tblGrid>
        <w:gridCol w:w="2268"/>
        <w:gridCol w:w="1247"/>
        <w:gridCol w:w="1247"/>
        <w:gridCol w:w="1247"/>
        <w:gridCol w:w="1247"/>
        <w:gridCol w:w="1247"/>
        <w:gridCol w:w="1247"/>
      </w:tblGrid>
      <w:tr w:rsidR="004F5741" w14:paraId="1C46A95B" w14:textId="77777777">
        <w:trPr>
          <w:tblHeader/>
          <w:jc w:val="center"/>
        </w:trPr>
        <w:tc>
          <w:tcPr>
            <w:tcW w:w="2268" w:type="dxa"/>
            <w:tcBorders>
              <w:top w:val="single" w:sz="8" w:space="0" w:color="666666"/>
              <w:left w:val="single" w:sz="8" w:space="0" w:color="666666"/>
              <w:bottom w:val="none" w:sz="0" w:space="0" w:color="000000"/>
              <w:right w:val="single" w:sz="8" w:space="0" w:color="666666"/>
            </w:tcBorders>
            <w:shd w:val="clear" w:color="auto" w:fill="2C054E"/>
            <w:tcMar>
              <w:top w:w="0" w:type="dxa"/>
              <w:left w:w="0" w:type="dxa"/>
              <w:bottom w:w="0" w:type="dxa"/>
              <w:right w:w="0" w:type="dxa"/>
            </w:tcMar>
            <w:vAlign w:val="center"/>
          </w:tcPr>
          <w:p w14:paraId="75B6643E" w14:textId="77777777" w:rsidR="004F5741" w:rsidRDefault="004F5741">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Body)" w:eastAsia="Arial (Body)" w:hAnsi="Arial (Body)" w:cs="Arial (Body)"/>
                <w:b/>
                <w:color w:val="FFFFFF"/>
                <w:sz w:val="18"/>
                <w:szCs w:val="18"/>
              </w:rPr>
            </w:pPr>
          </w:p>
        </w:tc>
        <w:tc>
          <w:tcPr>
            <w:tcW w:w="2494" w:type="dxa"/>
            <w:gridSpan w:val="2"/>
            <w:tcBorders>
              <w:top w:val="single" w:sz="8" w:space="0" w:color="666666"/>
              <w:left w:val="single" w:sz="8" w:space="0" w:color="666666"/>
              <w:bottom w:val="none" w:sz="0" w:space="0" w:color="000000"/>
              <w:right w:val="single" w:sz="8" w:space="0" w:color="666666"/>
            </w:tcBorders>
            <w:shd w:val="clear" w:color="auto" w:fill="2C054E"/>
            <w:tcMar>
              <w:top w:w="0" w:type="dxa"/>
              <w:left w:w="0" w:type="dxa"/>
              <w:bottom w:w="0" w:type="dxa"/>
              <w:right w:w="0" w:type="dxa"/>
            </w:tcMar>
            <w:vAlign w:val="center"/>
          </w:tcPr>
          <w:p w14:paraId="713090C9" w14:textId="77777777" w:rsidR="004F5741" w:rsidRDefault="003416A1">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Recruitment rate</w:t>
            </w:r>
          </w:p>
        </w:tc>
        <w:tc>
          <w:tcPr>
            <w:tcW w:w="2494" w:type="dxa"/>
            <w:gridSpan w:val="2"/>
            <w:tcBorders>
              <w:top w:val="single" w:sz="8" w:space="0" w:color="666666"/>
              <w:left w:val="single" w:sz="8" w:space="0" w:color="666666"/>
              <w:bottom w:val="none" w:sz="0" w:space="0" w:color="000000"/>
              <w:right w:val="single" w:sz="8" w:space="0" w:color="666666"/>
            </w:tcBorders>
            <w:shd w:val="clear" w:color="auto" w:fill="2C054E"/>
            <w:tcMar>
              <w:top w:w="0" w:type="dxa"/>
              <w:left w:w="0" w:type="dxa"/>
              <w:bottom w:w="0" w:type="dxa"/>
              <w:right w:w="0" w:type="dxa"/>
            </w:tcMar>
            <w:vAlign w:val="center"/>
          </w:tcPr>
          <w:p w14:paraId="6F2F6F5F" w14:textId="77777777" w:rsidR="004F5741" w:rsidRDefault="003416A1">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Recruitment difficulty rate</w:t>
            </w:r>
          </w:p>
        </w:tc>
        <w:tc>
          <w:tcPr>
            <w:tcW w:w="2494" w:type="dxa"/>
            <w:gridSpan w:val="2"/>
            <w:tcBorders>
              <w:top w:val="single" w:sz="8" w:space="0" w:color="666666"/>
              <w:left w:val="single" w:sz="8" w:space="0" w:color="666666"/>
              <w:bottom w:val="none" w:sz="0" w:space="0" w:color="000000"/>
              <w:right w:val="single" w:sz="8" w:space="0" w:color="666666"/>
            </w:tcBorders>
            <w:shd w:val="clear" w:color="auto" w:fill="2C054E"/>
            <w:tcMar>
              <w:top w:w="0" w:type="dxa"/>
              <w:left w:w="0" w:type="dxa"/>
              <w:bottom w:w="0" w:type="dxa"/>
              <w:right w:w="0" w:type="dxa"/>
            </w:tcMar>
            <w:vAlign w:val="center"/>
          </w:tcPr>
          <w:p w14:paraId="09D06F33" w14:textId="77777777" w:rsidR="004F5741" w:rsidRDefault="003416A1">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Expect to increase staff</w:t>
            </w:r>
          </w:p>
        </w:tc>
      </w:tr>
      <w:tr w:rsidR="004F5741" w14:paraId="51226880" w14:textId="77777777">
        <w:trPr>
          <w:tblHeader/>
          <w:jc w:val="center"/>
        </w:trPr>
        <w:tc>
          <w:tcPr>
            <w:tcW w:w="2268" w:type="dxa"/>
            <w:tcBorders>
              <w:top w:val="none" w:sz="0" w:space="0" w:color="000000"/>
              <w:left w:val="single" w:sz="8" w:space="0" w:color="666666"/>
              <w:bottom w:val="single" w:sz="8" w:space="0" w:color="666666"/>
              <w:right w:val="single" w:sz="8" w:space="0" w:color="666666"/>
            </w:tcBorders>
            <w:shd w:val="clear" w:color="auto" w:fill="2C054E"/>
            <w:tcMar>
              <w:top w:w="0" w:type="dxa"/>
              <w:left w:w="0" w:type="dxa"/>
              <w:bottom w:w="0" w:type="dxa"/>
              <w:right w:w="0" w:type="dxa"/>
            </w:tcMar>
            <w:vAlign w:val="center"/>
          </w:tcPr>
          <w:p w14:paraId="5DDBD9E1" w14:textId="77777777" w:rsidR="004F5741" w:rsidRDefault="004F5741">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Body)" w:eastAsia="Arial (Body)" w:hAnsi="Arial (Body)" w:cs="Arial (Body)"/>
                <w:b/>
                <w:color w:val="FFFFFF"/>
                <w:sz w:val="18"/>
                <w:szCs w:val="18"/>
              </w:rPr>
            </w:pPr>
          </w:p>
        </w:tc>
        <w:tc>
          <w:tcPr>
            <w:tcW w:w="1247" w:type="dxa"/>
            <w:tcBorders>
              <w:top w:val="none" w:sz="0" w:space="0" w:color="000000"/>
              <w:left w:val="single" w:sz="8" w:space="0" w:color="666666"/>
              <w:bottom w:val="single" w:sz="8" w:space="0" w:color="666666"/>
              <w:right w:val="none" w:sz="0" w:space="0" w:color="000000"/>
            </w:tcBorders>
            <w:shd w:val="clear" w:color="auto" w:fill="2C054E"/>
            <w:tcMar>
              <w:top w:w="0" w:type="dxa"/>
              <w:left w:w="0" w:type="dxa"/>
              <w:bottom w:w="0" w:type="dxa"/>
              <w:right w:w="0" w:type="dxa"/>
            </w:tcMar>
            <w:vAlign w:val="center"/>
          </w:tcPr>
          <w:p w14:paraId="56427410" w14:textId="77777777" w:rsidR="004F5741" w:rsidRDefault="003416A1">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 of employers</w:t>
            </w:r>
          </w:p>
        </w:tc>
        <w:tc>
          <w:tcPr>
            <w:tcW w:w="1247" w:type="dxa"/>
            <w:tcBorders>
              <w:top w:val="none" w:sz="0" w:space="0" w:color="000000"/>
              <w:left w:val="none" w:sz="0" w:space="0" w:color="000000"/>
              <w:bottom w:val="single" w:sz="8" w:space="0" w:color="666666"/>
              <w:right w:val="single" w:sz="8" w:space="0" w:color="666666"/>
            </w:tcBorders>
            <w:shd w:val="clear" w:color="auto" w:fill="2C054E"/>
            <w:tcMar>
              <w:top w:w="0" w:type="dxa"/>
              <w:left w:w="0" w:type="dxa"/>
              <w:bottom w:w="0" w:type="dxa"/>
              <w:right w:w="0" w:type="dxa"/>
            </w:tcMar>
            <w:vAlign w:val="center"/>
          </w:tcPr>
          <w:p w14:paraId="4E6B7629" w14:textId="77777777" w:rsidR="004F5741" w:rsidRDefault="003416A1">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Annual change</w:t>
            </w:r>
            <w:r>
              <w:rPr>
                <w:rFonts w:ascii="Arial (Body)" w:eastAsia="Arial (Body)" w:hAnsi="Arial (Body)" w:cs="Arial (Body)"/>
                <w:b/>
                <w:color w:val="FFFFFF"/>
                <w:sz w:val="18"/>
                <w:szCs w:val="18"/>
              </w:rPr>
              <w:br/>
              <w:t>(% points)</w:t>
            </w:r>
          </w:p>
        </w:tc>
        <w:tc>
          <w:tcPr>
            <w:tcW w:w="1247" w:type="dxa"/>
            <w:tcBorders>
              <w:top w:val="none" w:sz="0" w:space="0" w:color="000000"/>
              <w:left w:val="single" w:sz="8" w:space="0" w:color="666666"/>
              <w:bottom w:val="single" w:sz="8" w:space="0" w:color="666666"/>
              <w:right w:val="none" w:sz="0" w:space="0" w:color="000000"/>
            </w:tcBorders>
            <w:shd w:val="clear" w:color="auto" w:fill="2C054E"/>
            <w:tcMar>
              <w:top w:w="0" w:type="dxa"/>
              <w:left w:w="0" w:type="dxa"/>
              <w:bottom w:w="0" w:type="dxa"/>
              <w:right w:w="0" w:type="dxa"/>
            </w:tcMar>
            <w:vAlign w:val="center"/>
          </w:tcPr>
          <w:p w14:paraId="0BA0CF66" w14:textId="77777777" w:rsidR="004F5741" w:rsidRDefault="003416A1">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 of recruiting employers</w:t>
            </w:r>
          </w:p>
        </w:tc>
        <w:tc>
          <w:tcPr>
            <w:tcW w:w="1247" w:type="dxa"/>
            <w:tcBorders>
              <w:top w:val="none" w:sz="0" w:space="0" w:color="000000"/>
              <w:left w:val="none" w:sz="0" w:space="0" w:color="000000"/>
              <w:bottom w:val="single" w:sz="8" w:space="0" w:color="666666"/>
              <w:right w:val="single" w:sz="8" w:space="0" w:color="666666"/>
            </w:tcBorders>
            <w:shd w:val="clear" w:color="auto" w:fill="2C054E"/>
            <w:tcMar>
              <w:top w:w="0" w:type="dxa"/>
              <w:left w:w="0" w:type="dxa"/>
              <w:bottom w:w="0" w:type="dxa"/>
              <w:right w:w="0" w:type="dxa"/>
            </w:tcMar>
            <w:vAlign w:val="center"/>
          </w:tcPr>
          <w:p w14:paraId="334140FD" w14:textId="77777777" w:rsidR="004F5741" w:rsidRDefault="003416A1">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Annual change</w:t>
            </w:r>
            <w:r>
              <w:rPr>
                <w:rFonts w:ascii="Arial (Body)" w:eastAsia="Arial (Body)" w:hAnsi="Arial (Body)" w:cs="Arial (Body)"/>
                <w:b/>
                <w:color w:val="FFFFFF"/>
                <w:sz w:val="18"/>
                <w:szCs w:val="18"/>
              </w:rPr>
              <w:br/>
              <w:t>(% points)</w:t>
            </w:r>
          </w:p>
        </w:tc>
        <w:tc>
          <w:tcPr>
            <w:tcW w:w="1247" w:type="dxa"/>
            <w:tcBorders>
              <w:top w:val="none" w:sz="0" w:space="0" w:color="000000"/>
              <w:left w:val="single" w:sz="8" w:space="0" w:color="666666"/>
              <w:bottom w:val="single" w:sz="8" w:space="0" w:color="666666"/>
              <w:right w:val="none" w:sz="0" w:space="0" w:color="000000"/>
            </w:tcBorders>
            <w:shd w:val="clear" w:color="auto" w:fill="2C054E"/>
            <w:tcMar>
              <w:top w:w="0" w:type="dxa"/>
              <w:left w:w="0" w:type="dxa"/>
              <w:bottom w:w="0" w:type="dxa"/>
              <w:right w:w="0" w:type="dxa"/>
            </w:tcMar>
            <w:vAlign w:val="center"/>
          </w:tcPr>
          <w:p w14:paraId="696707F1" w14:textId="77777777" w:rsidR="004F5741" w:rsidRDefault="003416A1">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 of employers</w:t>
            </w:r>
          </w:p>
        </w:tc>
        <w:tc>
          <w:tcPr>
            <w:tcW w:w="1247" w:type="dxa"/>
            <w:tcBorders>
              <w:top w:val="none" w:sz="0" w:space="0" w:color="000000"/>
              <w:left w:val="none" w:sz="0" w:space="0" w:color="000000"/>
              <w:bottom w:val="single" w:sz="8" w:space="0" w:color="666666"/>
              <w:right w:val="single" w:sz="8" w:space="0" w:color="666666"/>
            </w:tcBorders>
            <w:shd w:val="clear" w:color="auto" w:fill="2C054E"/>
            <w:tcMar>
              <w:top w:w="0" w:type="dxa"/>
              <w:left w:w="0" w:type="dxa"/>
              <w:bottom w:w="0" w:type="dxa"/>
              <w:right w:w="0" w:type="dxa"/>
            </w:tcMar>
            <w:vAlign w:val="center"/>
          </w:tcPr>
          <w:p w14:paraId="30A8A72E" w14:textId="77777777" w:rsidR="004F5741" w:rsidRDefault="003416A1">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Annual change</w:t>
            </w:r>
            <w:r>
              <w:rPr>
                <w:rFonts w:ascii="Arial (Body)" w:eastAsia="Arial (Body)" w:hAnsi="Arial (Body)" w:cs="Arial (Body)"/>
                <w:b/>
                <w:color w:val="FFFFFF"/>
                <w:sz w:val="18"/>
                <w:szCs w:val="18"/>
              </w:rPr>
              <w:br/>
              <w:t>(% points)</w:t>
            </w:r>
          </w:p>
        </w:tc>
      </w:tr>
      <w:tr w:rsidR="004F5741" w14:paraId="7AF03BAA" w14:textId="77777777">
        <w:trPr>
          <w:trHeight w:hRule="exact" w:val="272"/>
          <w:jc w:val="center"/>
        </w:trPr>
        <w:tc>
          <w:tcPr>
            <w:tcW w:w="2268" w:type="dxa"/>
            <w:tcBorders>
              <w:top w:val="single" w:sz="8" w:space="0" w:color="666666"/>
              <w:left w:val="single" w:sz="8" w:space="0" w:color="666666"/>
              <w:bottom w:val="none" w:sz="0" w:space="0" w:color="000000"/>
              <w:right w:val="single" w:sz="8" w:space="0" w:color="666666"/>
            </w:tcBorders>
            <w:shd w:val="clear" w:color="auto" w:fill="FFFFFF"/>
            <w:tcMar>
              <w:top w:w="0" w:type="dxa"/>
              <w:left w:w="0" w:type="dxa"/>
              <w:bottom w:w="0" w:type="dxa"/>
              <w:right w:w="0" w:type="dxa"/>
            </w:tcMar>
            <w:vAlign w:val="center"/>
          </w:tcPr>
          <w:p w14:paraId="300FD9B5"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Major Cities of Australia</w:t>
            </w:r>
          </w:p>
        </w:tc>
        <w:tc>
          <w:tcPr>
            <w:tcW w:w="1247" w:type="dxa"/>
            <w:tcBorders>
              <w:top w:val="single" w:sz="8" w:space="0" w:color="666666"/>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6B1FBB1C"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48%</w:t>
            </w:r>
          </w:p>
        </w:tc>
        <w:tc>
          <w:tcPr>
            <w:tcW w:w="1247" w:type="dxa"/>
            <w:tcBorders>
              <w:top w:val="single" w:sz="8" w:space="0" w:color="666666"/>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3B5A1084"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 pts</w:t>
            </w:r>
          </w:p>
        </w:tc>
        <w:tc>
          <w:tcPr>
            <w:tcW w:w="1247" w:type="dxa"/>
            <w:tcBorders>
              <w:top w:val="single" w:sz="8" w:space="0" w:color="666666"/>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09386ECC"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44%</w:t>
            </w:r>
          </w:p>
        </w:tc>
        <w:tc>
          <w:tcPr>
            <w:tcW w:w="1247" w:type="dxa"/>
            <w:tcBorders>
              <w:top w:val="single" w:sz="8" w:space="0" w:color="666666"/>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54FF4F97"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3 pts</w:t>
            </w:r>
          </w:p>
        </w:tc>
        <w:tc>
          <w:tcPr>
            <w:tcW w:w="1247" w:type="dxa"/>
            <w:tcBorders>
              <w:top w:val="single" w:sz="8" w:space="0" w:color="666666"/>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619D38A2"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18%</w:t>
            </w:r>
          </w:p>
        </w:tc>
        <w:tc>
          <w:tcPr>
            <w:tcW w:w="1247" w:type="dxa"/>
            <w:tcBorders>
              <w:top w:val="single" w:sz="8" w:space="0" w:color="666666"/>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67928474"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 pts</w:t>
            </w:r>
          </w:p>
        </w:tc>
      </w:tr>
      <w:tr w:rsidR="004F5741" w14:paraId="120384F6" w14:textId="77777777">
        <w:trPr>
          <w:trHeight w:hRule="exact" w:val="272"/>
          <w:jc w:val="center"/>
        </w:trPr>
        <w:tc>
          <w:tcPr>
            <w:tcW w:w="2268" w:type="dxa"/>
            <w:tcBorders>
              <w:top w:val="none" w:sz="0" w:space="0" w:color="000000"/>
              <w:left w:val="single" w:sz="8" w:space="0" w:color="666666"/>
              <w:bottom w:val="none" w:sz="0" w:space="0" w:color="000000"/>
              <w:right w:val="single" w:sz="8" w:space="0" w:color="666666"/>
            </w:tcBorders>
            <w:shd w:val="clear" w:color="auto" w:fill="D9D9D9"/>
            <w:tcMar>
              <w:top w:w="0" w:type="dxa"/>
              <w:left w:w="0" w:type="dxa"/>
              <w:bottom w:w="0" w:type="dxa"/>
              <w:right w:w="0" w:type="dxa"/>
            </w:tcMar>
            <w:vAlign w:val="center"/>
          </w:tcPr>
          <w:p w14:paraId="6D2DEDAE"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Inner Regional Australia</w:t>
            </w:r>
          </w:p>
        </w:tc>
        <w:tc>
          <w:tcPr>
            <w:tcW w:w="1247"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16040F0B"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51%</w:t>
            </w:r>
          </w:p>
        </w:tc>
        <w:tc>
          <w:tcPr>
            <w:tcW w:w="1247"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34C1E2F4"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 pts</w:t>
            </w:r>
          </w:p>
        </w:tc>
        <w:tc>
          <w:tcPr>
            <w:tcW w:w="1247"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0D2C68D6"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46%</w:t>
            </w:r>
          </w:p>
        </w:tc>
        <w:tc>
          <w:tcPr>
            <w:tcW w:w="1247"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7BBE8413"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-6 pts</w:t>
            </w:r>
          </w:p>
        </w:tc>
        <w:tc>
          <w:tcPr>
            <w:tcW w:w="1247"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56DDBECB"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16%</w:t>
            </w:r>
          </w:p>
        </w:tc>
        <w:tc>
          <w:tcPr>
            <w:tcW w:w="1247"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13ED4F2F"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 pts</w:t>
            </w:r>
          </w:p>
        </w:tc>
      </w:tr>
      <w:tr w:rsidR="004F5741" w14:paraId="5D05A3BC" w14:textId="77777777">
        <w:trPr>
          <w:trHeight w:hRule="exact" w:val="272"/>
          <w:jc w:val="center"/>
        </w:trPr>
        <w:tc>
          <w:tcPr>
            <w:tcW w:w="2268" w:type="dxa"/>
            <w:tcBorders>
              <w:top w:val="none" w:sz="0" w:space="0" w:color="000000"/>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2C107E67"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Outer Regional, Remote and Very Remote Australia</w:t>
            </w:r>
          </w:p>
        </w:tc>
        <w:tc>
          <w:tcPr>
            <w:tcW w:w="1247" w:type="dxa"/>
            <w:tcBorders>
              <w:top w:val="none" w:sz="0" w:space="0" w:color="000000"/>
              <w:left w:val="single" w:sz="8" w:space="0" w:color="666666"/>
              <w:bottom w:val="single" w:sz="8" w:space="0" w:color="666666"/>
              <w:right w:val="none" w:sz="0" w:space="0" w:color="000000"/>
            </w:tcBorders>
            <w:shd w:val="clear" w:color="auto" w:fill="FFFFFF"/>
            <w:tcMar>
              <w:top w:w="0" w:type="dxa"/>
              <w:left w:w="0" w:type="dxa"/>
              <w:bottom w:w="0" w:type="dxa"/>
              <w:right w:w="0" w:type="dxa"/>
            </w:tcMar>
            <w:vAlign w:val="center"/>
          </w:tcPr>
          <w:p w14:paraId="0FCDEF44"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54%</w:t>
            </w:r>
          </w:p>
        </w:tc>
        <w:tc>
          <w:tcPr>
            <w:tcW w:w="1247" w:type="dxa"/>
            <w:tcBorders>
              <w:top w:val="none" w:sz="0" w:space="0" w:color="000000"/>
              <w:left w:val="none" w:sz="0" w:space="0" w:color="000000"/>
              <w:bottom w:val="single" w:sz="8" w:space="0" w:color="666666"/>
              <w:right w:val="single" w:sz="8" w:space="0" w:color="666666"/>
            </w:tcBorders>
            <w:shd w:val="clear" w:color="auto" w:fill="FFFFFF"/>
            <w:tcMar>
              <w:top w:w="0" w:type="dxa"/>
              <w:left w:w="0" w:type="dxa"/>
              <w:bottom w:w="0" w:type="dxa"/>
              <w:right w:w="0" w:type="dxa"/>
            </w:tcMar>
            <w:vAlign w:val="center"/>
          </w:tcPr>
          <w:p w14:paraId="6A60BFDE"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0 pts</w:t>
            </w:r>
          </w:p>
        </w:tc>
        <w:tc>
          <w:tcPr>
            <w:tcW w:w="1247" w:type="dxa"/>
            <w:tcBorders>
              <w:top w:val="none" w:sz="0" w:space="0" w:color="000000"/>
              <w:left w:val="single" w:sz="8" w:space="0" w:color="666666"/>
              <w:bottom w:val="single" w:sz="8" w:space="0" w:color="666666"/>
              <w:right w:val="none" w:sz="0" w:space="0" w:color="000000"/>
            </w:tcBorders>
            <w:shd w:val="clear" w:color="auto" w:fill="FFFFFF"/>
            <w:tcMar>
              <w:top w:w="0" w:type="dxa"/>
              <w:left w:w="0" w:type="dxa"/>
              <w:bottom w:w="0" w:type="dxa"/>
              <w:right w:w="0" w:type="dxa"/>
            </w:tcMar>
            <w:vAlign w:val="center"/>
          </w:tcPr>
          <w:p w14:paraId="1CADA262"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52%</w:t>
            </w:r>
          </w:p>
        </w:tc>
        <w:tc>
          <w:tcPr>
            <w:tcW w:w="1247" w:type="dxa"/>
            <w:tcBorders>
              <w:top w:val="none" w:sz="0" w:space="0" w:color="000000"/>
              <w:left w:val="none" w:sz="0" w:space="0" w:color="000000"/>
              <w:bottom w:val="single" w:sz="8" w:space="0" w:color="666666"/>
              <w:right w:val="single" w:sz="8" w:space="0" w:color="666666"/>
            </w:tcBorders>
            <w:shd w:val="clear" w:color="auto" w:fill="FFFFFF"/>
            <w:tcMar>
              <w:top w:w="0" w:type="dxa"/>
              <w:left w:w="0" w:type="dxa"/>
              <w:bottom w:w="0" w:type="dxa"/>
              <w:right w:w="0" w:type="dxa"/>
            </w:tcMar>
            <w:vAlign w:val="center"/>
          </w:tcPr>
          <w:p w14:paraId="4C3B514F"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11 pts</w:t>
            </w:r>
          </w:p>
        </w:tc>
        <w:tc>
          <w:tcPr>
            <w:tcW w:w="1247" w:type="dxa"/>
            <w:tcBorders>
              <w:top w:val="none" w:sz="0" w:space="0" w:color="000000"/>
              <w:left w:val="single" w:sz="8" w:space="0" w:color="666666"/>
              <w:bottom w:val="single" w:sz="8" w:space="0" w:color="666666"/>
              <w:right w:val="none" w:sz="0" w:space="0" w:color="000000"/>
            </w:tcBorders>
            <w:shd w:val="clear" w:color="auto" w:fill="FFFFFF"/>
            <w:tcMar>
              <w:top w:w="0" w:type="dxa"/>
              <w:left w:w="0" w:type="dxa"/>
              <w:bottom w:w="0" w:type="dxa"/>
              <w:right w:w="0" w:type="dxa"/>
            </w:tcMar>
            <w:vAlign w:val="center"/>
          </w:tcPr>
          <w:p w14:paraId="1AAB1706"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18%</w:t>
            </w:r>
          </w:p>
        </w:tc>
        <w:tc>
          <w:tcPr>
            <w:tcW w:w="1247" w:type="dxa"/>
            <w:tcBorders>
              <w:top w:val="none" w:sz="0" w:space="0" w:color="000000"/>
              <w:left w:val="none" w:sz="0" w:space="0" w:color="000000"/>
              <w:bottom w:val="single" w:sz="8" w:space="0" w:color="666666"/>
              <w:right w:val="single" w:sz="8" w:space="0" w:color="666666"/>
            </w:tcBorders>
            <w:shd w:val="clear" w:color="auto" w:fill="FFFFFF"/>
            <w:tcMar>
              <w:top w:w="0" w:type="dxa"/>
              <w:left w:w="0" w:type="dxa"/>
              <w:bottom w:w="0" w:type="dxa"/>
              <w:right w:w="0" w:type="dxa"/>
            </w:tcMar>
            <w:vAlign w:val="center"/>
          </w:tcPr>
          <w:p w14:paraId="309EF40F"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 pts</w:t>
            </w:r>
          </w:p>
        </w:tc>
      </w:tr>
    </w:tbl>
    <w:p w14:paraId="3C675DA8" w14:textId="77777777" w:rsidR="004F5741" w:rsidRDefault="003416A1">
      <w:pPr>
        <w:pStyle w:val="FooterText"/>
      </w:pPr>
      <w:r>
        <w:t>* Interpret with caution due to low sample size. Accessibility and Remoteness Index of Australia (ARIA) classifications of Outer Regional Australia, Remote Australia, and Very Remote Australia have been combined into one category to increase sample size.</w:t>
      </w:r>
    </w:p>
    <w:p w14:paraId="6480C142" w14:textId="4DFD361F" w:rsidR="004F5741" w:rsidRDefault="003416A1">
      <w:pPr>
        <w:pStyle w:val="Heading3"/>
      </w:pPr>
      <w:bookmarkStart w:id="11" w:name="X59e91a666e0db0fdc79ff72b577d7fec67082a5"/>
      <w:bookmarkEnd w:id="10"/>
      <w:r>
        <w:t>Figure 4. Recruitment rate by ARIA location, March quarter 202</w:t>
      </w:r>
      <w:r w:rsidR="00E6525C">
        <w:t>5</w:t>
      </w:r>
      <w:r>
        <w:t xml:space="preserve"> - March quarter 2026</w:t>
      </w:r>
    </w:p>
    <w:p w14:paraId="3A82E8E7" w14:textId="77777777" w:rsidR="004F5741" w:rsidRDefault="003416A1">
      <w:r>
        <w:rPr>
          <w:noProof/>
        </w:rPr>
        <w:drawing>
          <wp:inline distT="0" distB="0" distL="0" distR="0" wp14:anchorId="23166632" wp14:editId="78878EC4">
            <wp:extent cx="6108700" cy="1047205"/>
            <wp:effectExtent l="0" t="0" r="0" b="0"/>
            <wp:docPr id="49" name="Picture" descr="  Mar qtr 2025 Jun qtr 2025 Sep qtr 2025 Dec qtr 2025 Mar qtr 2026&#10;Inner Regional Australia 47% 47% 47% 48% 51%&#10;Major Cities of Australia 44% 46% 50% 45% 48%&#10;Outer Regional, Remote and Very Remote Australia 54% 55% 58% 54% 54%&#10;"/>
            <wp:cNvGraphicFramePr/>
            <a:graphic xmlns:a="http://schemas.openxmlformats.org/drawingml/2006/main">
              <a:graphicData uri="http://schemas.openxmlformats.org/drawingml/2006/picture">
                <pic:pic xmlns:pic="http://schemas.openxmlformats.org/drawingml/2006/picture">
                  <pic:nvPicPr>
                    <pic:cNvPr id="49" name="Picture" descr="  Mar qtr 2025 Jun qtr 2025 Sep qtr 2025 Dec qtr 2025 Mar qtr 2026&#10;Inner Regional Australia 47% 47% 47% 48% 51%&#10;Major Cities of Australia 44% 46% 50% 45% 48%&#10;Outer Regional, Remote and Very Remote Australia 54% 55% 58% 54% 54%&#10;"/>
                    <pic:cNvPicPr>
                      <a:picLocks noChangeAspect="1" noChangeArrowheads="1"/>
                    </pic:cNvPicPr>
                  </pic:nvPicPr>
                  <pic:blipFill>
                    <a:blip r:embed="rId16"/>
                    <a:stretch>
                      <a:fillRect/>
                    </a:stretch>
                  </pic:blipFill>
                  <pic:spPr bwMode="auto">
                    <a:xfrm>
                      <a:off x="0" y="0"/>
                      <a:ext cx="6108700" cy="1047205"/>
                    </a:xfrm>
                    <a:prstGeom prst="rect">
                      <a:avLst/>
                    </a:prstGeom>
                    <a:noFill/>
                    <a:ln w="9525">
                      <a:noFill/>
                      <a:headEnd/>
                      <a:tailEnd/>
                    </a:ln>
                  </pic:spPr>
                </pic:pic>
              </a:graphicData>
            </a:graphic>
          </wp:inline>
        </w:drawing>
      </w:r>
    </w:p>
    <w:p w14:paraId="4B2DBD49" w14:textId="7E7D90ED" w:rsidR="004F5741" w:rsidRDefault="003416A1">
      <w:pPr>
        <w:pStyle w:val="Heading3"/>
      </w:pPr>
      <w:bookmarkStart w:id="12" w:name="X468e75e6939efb1bbc7d6b5fc8a46840ecbbac7"/>
      <w:bookmarkEnd w:id="11"/>
      <w:r>
        <w:t>Figure 5. Recruitment difficulty rate by ARIA location, March quarter 202</w:t>
      </w:r>
      <w:r w:rsidR="00E6525C">
        <w:t>5</w:t>
      </w:r>
      <w:r>
        <w:t xml:space="preserve"> - March quarter 2026</w:t>
      </w:r>
    </w:p>
    <w:p w14:paraId="34C36B6B" w14:textId="77777777" w:rsidR="004F5741" w:rsidRDefault="003416A1">
      <w:r>
        <w:rPr>
          <w:noProof/>
        </w:rPr>
        <w:drawing>
          <wp:inline distT="0" distB="0" distL="0" distR="0" wp14:anchorId="23E9C29E" wp14:editId="666C3B2C">
            <wp:extent cx="6108700" cy="1047205"/>
            <wp:effectExtent l="0" t="0" r="0" b="0"/>
            <wp:docPr id="53" name="Picture" descr="                           Mar qtr 2025    Jun qtr 2025 Sep qtr 2025 Dec qtr 2025 Mar qtr 2026&#10;Inner Regional Australia 52%    53% 45% 44% 46%&#10;Major Cities of Australia 41%   47% 40% 39% 44%&#10;Outer Regional, Remote and Very Remote Australia 41% 56% 49% 52% 52%&#10;"/>
            <wp:cNvGraphicFramePr/>
            <a:graphic xmlns:a="http://schemas.openxmlformats.org/drawingml/2006/main">
              <a:graphicData uri="http://schemas.openxmlformats.org/drawingml/2006/picture">
                <pic:pic xmlns:pic="http://schemas.openxmlformats.org/drawingml/2006/picture">
                  <pic:nvPicPr>
                    <pic:cNvPr id="53" name="Picture" descr="                           Mar qtr 2025    Jun qtr 2025 Sep qtr 2025 Dec qtr 2025 Mar qtr 2026&#10;Inner Regional Australia 52%    53% 45% 44% 46%&#10;Major Cities of Australia 41%   47% 40% 39% 44%&#10;Outer Regional, Remote and Very Remote Australia 41% 56% 49% 52% 52%&#10;"/>
                    <pic:cNvPicPr>
                      <a:picLocks noChangeAspect="1" noChangeArrowheads="1"/>
                    </pic:cNvPicPr>
                  </pic:nvPicPr>
                  <pic:blipFill>
                    <a:blip r:embed="rId17"/>
                    <a:stretch>
                      <a:fillRect/>
                    </a:stretch>
                  </pic:blipFill>
                  <pic:spPr bwMode="auto">
                    <a:xfrm>
                      <a:off x="0" y="0"/>
                      <a:ext cx="6108700" cy="1047205"/>
                    </a:xfrm>
                    <a:prstGeom prst="rect">
                      <a:avLst/>
                    </a:prstGeom>
                    <a:noFill/>
                    <a:ln w="9525">
                      <a:noFill/>
                      <a:headEnd/>
                      <a:tailEnd/>
                    </a:ln>
                  </pic:spPr>
                </pic:pic>
              </a:graphicData>
            </a:graphic>
          </wp:inline>
        </w:drawing>
      </w:r>
    </w:p>
    <w:p w14:paraId="47FCAFCD" w14:textId="22F162D3" w:rsidR="004F5741" w:rsidRDefault="003416A1">
      <w:pPr>
        <w:pStyle w:val="Heading3"/>
      </w:pPr>
      <w:bookmarkStart w:id="13" w:name="X92640bb96d318b7a123dc9ac5ab6e8634afc2a9"/>
      <w:bookmarkEnd w:id="12"/>
      <w:r>
        <w:t>Figure 6. Expecting to increase staff numbers over the next 3 months by ARIA location, March quarter 202</w:t>
      </w:r>
      <w:r w:rsidR="00E6525C">
        <w:t>5</w:t>
      </w:r>
      <w:r>
        <w:t xml:space="preserve"> - March quarter 2026</w:t>
      </w:r>
    </w:p>
    <w:p w14:paraId="43F133B3" w14:textId="77777777" w:rsidR="004F5741" w:rsidRDefault="003416A1">
      <w:r>
        <w:rPr>
          <w:noProof/>
        </w:rPr>
        <w:drawing>
          <wp:inline distT="0" distB="0" distL="0" distR="0" wp14:anchorId="6698C4CE" wp14:editId="6E3C3009">
            <wp:extent cx="6108700" cy="1570808"/>
            <wp:effectExtent l="0" t="0" r="0" b="0"/>
            <wp:docPr id="57" name="Picture" descr="  Mar qtr 2025 Jun qtr 2025 Sep qtr 2025 Dec qtr 2025 Mar qtr 2026&#10;Inner Regional Australia 20% 21% 22% 24% 16%&#10;Major Cities of Australia 19% 19% 23% 18% 18%&#10;Outer Regional, Remote and Very Remote Australia 23% 28% 22% 26% 18%&#10;"/>
            <wp:cNvGraphicFramePr/>
            <a:graphic xmlns:a="http://schemas.openxmlformats.org/drawingml/2006/main">
              <a:graphicData uri="http://schemas.openxmlformats.org/drawingml/2006/picture">
                <pic:pic xmlns:pic="http://schemas.openxmlformats.org/drawingml/2006/picture">
                  <pic:nvPicPr>
                    <pic:cNvPr id="57" name="Picture" descr="  Mar qtr 2025 Jun qtr 2025 Sep qtr 2025 Dec qtr 2025 Mar qtr 2026&#10;Inner Regional Australia 20% 21% 22% 24% 16%&#10;Major Cities of Australia 19% 19% 23% 18% 18%&#10;Outer Regional, Remote and Very Remote Australia 23% 28% 22% 26% 18%&#10;"/>
                    <pic:cNvPicPr>
                      <a:picLocks noChangeAspect="1" noChangeArrowheads="1"/>
                    </pic:cNvPicPr>
                  </pic:nvPicPr>
                  <pic:blipFill>
                    <a:blip r:embed="rId18"/>
                    <a:stretch>
                      <a:fillRect/>
                    </a:stretch>
                  </pic:blipFill>
                  <pic:spPr bwMode="auto">
                    <a:xfrm>
                      <a:off x="0" y="0"/>
                      <a:ext cx="6108700" cy="1570808"/>
                    </a:xfrm>
                    <a:prstGeom prst="rect">
                      <a:avLst/>
                    </a:prstGeom>
                    <a:noFill/>
                    <a:ln w="9525">
                      <a:noFill/>
                      <a:headEnd/>
                      <a:tailEnd/>
                    </a:ln>
                  </pic:spPr>
                </pic:pic>
              </a:graphicData>
            </a:graphic>
          </wp:inline>
        </w:drawing>
      </w:r>
    </w:p>
    <w:p w14:paraId="175926E8" w14:textId="77777777" w:rsidR="004F5741" w:rsidRDefault="003416A1">
      <w:r>
        <w:br w:type="page"/>
      </w:r>
    </w:p>
    <w:p w14:paraId="523653B1" w14:textId="77777777" w:rsidR="004F5741" w:rsidRDefault="003416A1">
      <w:pPr>
        <w:pStyle w:val="Heading2"/>
      </w:pPr>
      <w:bookmarkStart w:id="14" w:name="key-indicators-by-selected-industries"/>
      <w:bookmarkEnd w:id="9"/>
      <w:bookmarkEnd w:id="13"/>
      <w:r>
        <w:lastRenderedPageBreak/>
        <w:t>Key indicators by selected industries</w:t>
      </w:r>
    </w:p>
    <w:p w14:paraId="09359D19" w14:textId="68A734E2" w:rsidR="004F5741" w:rsidRPr="0026778C" w:rsidRDefault="003416A1" w:rsidP="21CDFAA3">
      <w:pPr>
        <w:rPr>
          <w:rFonts w:ascii="Arial (Body)" w:eastAsia="Arial (Body)" w:hAnsi="Arial (Body)" w:cs="Arial (Body)"/>
          <w:color w:val="000000" w:themeColor="text1"/>
        </w:rPr>
      </w:pPr>
      <w:r>
        <w:t>In the March quarter 2026, Accommodation and Food Services recorded the highest recruitment rate of the selected industries</w:t>
      </w:r>
      <w:r w:rsidR="005550A3">
        <w:t xml:space="preserve"> (67%)</w:t>
      </w:r>
      <w:r>
        <w:t xml:space="preserve">. </w:t>
      </w:r>
      <w:r w:rsidR="002F3DAE">
        <w:t xml:space="preserve">Construction and Professional, Scientific and Technical services shared </w:t>
      </w:r>
      <w:r w:rsidR="002D60DB">
        <w:t>the highest recruitment difficulty rate across industries, both at 58% this quarter</w:t>
      </w:r>
      <w:r w:rsidR="00A71057">
        <w:t>.</w:t>
      </w:r>
      <w:r w:rsidR="00DD25AB">
        <w:t xml:space="preserve"> Compared to a year ago, </w:t>
      </w:r>
      <w:r w:rsidR="00DD25AB" w:rsidRPr="21CDFAA3">
        <w:rPr>
          <w:rFonts w:ascii="Arial (Body)" w:eastAsia="Arial (Body)" w:hAnsi="Arial (Body)" w:cs="Arial (Body)"/>
          <w:color w:val="000000" w:themeColor="text1"/>
        </w:rPr>
        <w:t xml:space="preserve">Health Care and Social Assistance experienced </w:t>
      </w:r>
      <w:r w:rsidR="00020BE6" w:rsidRPr="21CDFAA3">
        <w:rPr>
          <w:rFonts w:ascii="Arial (Body)" w:eastAsia="Arial (Body)" w:hAnsi="Arial (Body)" w:cs="Arial (Body)"/>
          <w:color w:val="000000" w:themeColor="text1"/>
        </w:rPr>
        <w:t>the highest increase in future staffing optimism (</w:t>
      </w:r>
      <w:r w:rsidR="00CF2C62" w:rsidRPr="21CDFAA3">
        <w:rPr>
          <w:rFonts w:ascii="Arial (Body)" w:eastAsia="Arial (Body)" w:hAnsi="Arial (Body)" w:cs="Arial (Body)"/>
          <w:color w:val="000000" w:themeColor="text1"/>
        </w:rPr>
        <w:t xml:space="preserve">at 25%, 6 percentage points </w:t>
      </w:r>
      <w:r w:rsidR="00BD52EF" w:rsidRPr="21CDFAA3">
        <w:rPr>
          <w:rFonts w:ascii="Arial (Body)" w:eastAsia="Arial (Body)" w:hAnsi="Arial (Body)" w:cs="Arial (Body)"/>
          <w:color w:val="000000" w:themeColor="text1"/>
        </w:rPr>
        <w:t>higher</w:t>
      </w:r>
      <w:r w:rsidR="0026778C" w:rsidRPr="21CDFAA3">
        <w:rPr>
          <w:rFonts w:ascii="Arial (Body)" w:eastAsia="Arial (Body)" w:hAnsi="Arial (Body)" w:cs="Arial (Body)"/>
          <w:color w:val="000000" w:themeColor="text1"/>
        </w:rPr>
        <w:t xml:space="preserve"> than this</w:t>
      </w:r>
      <w:r w:rsidR="00BD52EF" w:rsidRPr="21CDFAA3">
        <w:rPr>
          <w:rFonts w:ascii="Arial (Body)" w:eastAsia="Arial (Body)" w:hAnsi="Arial (Body)" w:cs="Arial (Body)"/>
          <w:color w:val="000000" w:themeColor="text1"/>
        </w:rPr>
        <w:t xml:space="preserve"> time last year)</w:t>
      </w:r>
      <w:r w:rsidR="0026778C" w:rsidRPr="21CDFAA3">
        <w:rPr>
          <w:rFonts w:ascii="Arial (Body)" w:eastAsia="Arial (Body)" w:hAnsi="Arial (Body)" w:cs="Arial (Body)"/>
          <w:color w:val="000000" w:themeColor="text1"/>
        </w:rPr>
        <w:t>.</w:t>
      </w:r>
    </w:p>
    <w:p w14:paraId="68D87BDB" w14:textId="77777777" w:rsidR="004F5741" w:rsidRPr="002F3DAE" w:rsidRDefault="003416A1">
      <w:pPr>
        <w:pStyle w:val="Heading3"/>
      </w:pPr>
      <w:bookmarkStart w:id="15" w:name="X17511af84925fc011c1c0d550a48f1d5d7318d0"/>
      <w:r w:rsidRPr="002F3DAE">
        <w:t>Table 3. Key indicators by industry, March quarter 2026</w:t>
      </w:r>
    </w:p>
    <w:tbl>
      <w:tblPr>
        <w:tblW w:w="0" w:type="auto"/>
        <w:jc w:val="center"/>
        <w:tblLayout w:type="fixed"/>
        <w:tblLook w:val="0420" w:firstRow="1" w:lastRow="0" w:firstColumn="0" w:lastColumn="0" w:noHBand="0" w:noVBand="1"/>
      </w:tblPr>
      <w:tblGrid>
        <w:gridCol w:w="2268"/>
        <w:gridCol w:w="1247"/>
        <w:gridCol w:w="1247"/>
        <w:gridCol w:w="1247"/>
        <w:gridCol w:w="1247"/>
        <w:gridCol w:w="1247"/>
        <w:gridCol w:w="1247"/>
      </w:tblGrid>
      <w:tr w:rsidR="004F5741" w14:paraId="544E6804" w14:textId="77777777" w:rsidTr="21CDFAA3">
        <w:trPr>
          <w:tblHeader/>
          <w:jc w:val="center"/>
        </w:trPr>
        <w:tc>
          <w:tcPr>
            <w:tcW w:w="2268" w:type="dxa"/>
            <w:tcBorders>
              <w:top w:val="single" w:sz="8" w:space="0" w:color="666666"/>
              <w:left w:val="single" w:sz="8" w:space="0" w:color="666666"/>
              <w:bottom w:val="none" w:sz="0" w:space="0" w:color="000000" w:themeColor="text1"/>
              <w:right w:val="single" w:sz="8" w:space="0" w:color="666666"/>
            </w:tcBorders>
            <w:shd w:val="clear" w:color="auto" w:fill="2C054E"/>
            <w:tcMar>
              <w:top w:w="0" w:type="dxa"/>
              <w:left w:w="0" w:type="dxa"/>
              <w:bottom w:w="0" w:type="dxa"/>
              <w:right w:w="0" w:type="dxa"/>
            </w:tcMar>
            <w:vAlign w:val="center"/>
          </w:tcPr>
          <w:p w14:paraId="54146E1A" w14:textId="77777777" w:rsidR="004F5741" w:rsidRDefault="004F5741">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Body)" w:eastAsia="Arial (Body)" w:hAnsi="Arial (Body)" w:cs="Arial (Body)"/>
                <w:b/>
                <w:color w:val="FFFFFF"/>
                <w:sz w:val="18"/>
                <w:szCs w:val="18"/>
              </w:rPr>
            </w:pPr>
          </w:p>
        </w:tc>
        <w:tc>
          <w:tcPr>
            <w:tcW w:w="2494" w:type="dxa"/>
            <w:gridSpan w:val="2"/>
            <w:tcBorders>
              <w:top w:val="single" w:sz="8" w:space="0" w:color="666666"/>
              <w:left w:val="single" w:sz="8" w:space="0" w:color="666666"/>
              <w:bottom w:val="none" w:sz="0" w:space="0" w:color="000000" w:themeColor="text1"/>
              <w:right w:val="single" w:sz="8" w:space="0" w:color="666666"/>
            </w:tcBorders>
            <w:shd w:val="clear" w:color="auto" w:fill="2C054E"/>
            <w:tcMar>
              <w:top w:w="0" w:type="dxa"/>
              <w:left w:w="0" w:type="dxa"/>
              <w:bottom w:w="0" w:type="dxa"/>
              <w:right w:w="0" w:type="dxa"/>
            </w:tcMar>
            <w:vAlign w:val="center"/>
          </w:tcPr>
          <w:p w14:paraId="2ED0CAB7" w14:textId="77777777" w:rsidR="004F5741" w:rsidRDefault="003416A1">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Recruitment rate</w:t>
            </w:r>
          </w:p>
        </w:tc>
        <w:tc>
          <w:tcPr>
            <w:tcW w:w="2494" w:type="dxa"/>
            <w:gridSpan w:val="2"/>
            <w:tcBorders>
              <w:top w:val="single" w:sz="8" w:space="0" w:color="666666"/>
              <w:left w:val="single" w:sz="8" w:space="0" w:color="666666"/>
              <w:bottom w:val="none" w:sz="0" w:space="0" w:color="000000" w:themeColor="text1"/>
              <w:right w:val="single" w:sz="8" w:space="0" w:color="666666"/>
            </w:tcBorders>
            <w:shd w:val="clear" w:color="auto" w:fill="2C054E"/>
            <w:tcMar>
              <w:top w:w="0" w:type="dxa"/>
              <w:left w:w="0" w:type="dxa"/>
              <w:bottom w:w="0" w:type="dxa"/>
              <w:right w:w="0" w:type="dxa"/>
            </w:tcMar>
            <w:vAlign w:val="center"/>
          </w:tcPr>
          <w:p w14:paraId="1AFD9E35" w14:textId="77777777" w:rsidR="004F5741" w:rsidRDefault="003416A1">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Recruitment difficulty rate</w:t>
            </w:r>
          </w:p>
        </w:tc>
        <w:tc>
          <w:tcPr>
            <w:tcW w:w="2494" w:type="dxa"/>
            <w:gridSpan w:val="2"/>
            <w:tcBorders>
              <w:top w:val="single" w:sz="8" w:space="0" w:color="666666"/>
              <w:left w:val="single" w:sz="8" w:space="0" w:color="666666"/>
              <w:bottom w:val="none" w:sz="0" w:space="0" w:color="000000" w:themeColor="text1"/>
              <w:right w:val="single" w:sz="8" w:space="0" w:color="666666"/>
            </w:tcBorders>
            <w:shd w:val="clear" w:color="auto" w:fill="2C054E"/>
            <w:tcMar>
              <w:top w:w="0" w:type="dxa"/>
              <w:left w:w="0" w:type="dxa"/>
              <w:bottom w:w="0" w:type="dxa"/>
              <w:right w:w="0" w:type="dxa"/>
            </w:tcMar>
            <w:vAlign w:val="center"/>
          </w:tcPr>
          <w:p w14:paraId="0EAB14EC" w14:textId="77777777" w:rsidR="004F5741" w:rsidRDefault="003416A1">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Expect to increase staff</w:t>
            </w:r>
          </w:p>
        </w:tc>
      </w:tr>
      <w:tr w:rsidR="004F5741" w14:paraId="180F3AA5" w14:textId="77777777" w:rsidTr="21CDFAA3">
        <w:trPr>
          <w:tblHeader/>
          <w:jc w:val="center"/>
        </w:trPr>
        <w:tc>
          <w:tcPr>
            <w:tcW w:w="2268" w:type="dxa"/>
            <w:tcBorders>
              <w:top w:val="none" w:sz="0" w:space="0" w:color="000000" w:themeColor="text1"/>
              <w:left w:val="single" w:sz="8" w:space="0" w:color="666666"/>
              <w:bottom w:val="single" w:sz="8" w:space="0" w:color="666666"/>
              <w:right w:val="single" w:sz="8" w:space="0" w:color="666666"/>
            </w:tcBorders>
            <w:shd w:val="clear" w:color="auto" w:fill="2C054E"/>
            <w:tcMar>
              <w:top w:w="0" w:type="dxa"/>
              <w:left w:w="0" w:type="dxa"/>
              <w:bottom w:w="0" w:type="dxa"/>
              <w:right w:w="0" w:type="dxa"/>
            </w:tcMar>
            <w:vAlign w:val="center"/>
          </w:tcPr>
          <w:p w14:paraId="5EF949D4" w14:textId="77777777" w:rsidR="004F5741" w:rsidRDefault="004F5741">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Body)" w:eastAsia="Arial (Body)" w:hAnsi="Arial (Body)" w:cs="Arial (Body)"/>
                <w:b/>
                <w:color w:val="FFFFFF"/>
                <w:sz w:val="18"/>
                <w:szCs w:val="18"/>
              </w:rPr>
            </w:pPr>
          </w:p>
        </w:tc>
        <w:tc>
          <w:tcPr>
            <w:tcW w:w="1247" w:type="dxa"/>
            <w:tcBorders>
              <w:top w:val="none" w:sz="0" w:space="0" w:color="000000" w:themeColor="text1"/>
              <w:left w:val="single" w:sz="8" w:space="0" w:color="666666"/>
              <w:bottom w:val="single" w:sz="8" w:space="0" w:color="666666"/>
              <w:right w:val="none" w:sz="0" w:space="0" w:color="000000" w:themeColor="text1"/>
            </w:tcBorders>
            <w:shd w:val="clear" w:color="auto" w:fill="2C054E"/>
            <w:tcMar>
              <w:top w:w="0" w:type="dxa"/>
              <w:left w:w="0" w:type="dxa"/>
              <w:bottom w:w="0" w:type="dxa"/>
              <w:right w:w="0" w:type="dxa"/>
            </w:tcMar>
            <w:vAlign w:val="center"/>
          </w:tcPr>
          <w:p w14:paraId="1C9224D5" w14:textId="77777777" w:rsidR="004F5741" w:rsidRDefault="003416A1">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 of employers</w:t>
            </w:r>
          </w:p>
        </w:tc>
        <w:tc>
          <w:tcPr>
            <w:tcW w:w="1247" w:type="dxa"/>
            <w:tcBorders>
              <w:top w:val="none" w:sz="0" w:space="0" w:color="000000" w:themeColor="text1"/>
              <w:left w:val="none" w:sz="0" w:space="0" w:color="000000" w:themeColor="text1"/>
              <w:bottom w:val="single" w:sz="8" w:space="0" w:color="666666"/>
              <w:right w:val="single" w:sz="8" w:space="0" w:color="666666"/>
            </w:tcBorders>
            <w:shd w:val="clear" w:color="auto" w:fill="2C054E"/>
            <w:tcMar>
              <w:top w:w="0" w:type="dxa"/>
              <w:left w:w="0" w:type="dxa"/>
              <w:bottom w:w="0" w:type="dxa"/>
              <w:right w:w="0" w:type="dxa"/>
            </w:tcMar>
            <w:vAlign w:val="center"/>
          </w:tcPr>
          <w:p w14:paraId="2D9BB88D" w14:textId="77777777" w:rsidR="004F5741" w:rsidRDefault="003416A1">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Annual change</w:t>
            </w:r>
            <w:r>
              <w:rPr>
                <w:rFonts w:ascii="Arial (Body)" w:eastAsia="Arial (Body)" w:hAnsi="Arial (Body)" w:cs="Arial (Body)"/>
                <w:b/>
                <w:color w:val="FFFFFF"/>
                <w:sz w:val="18"/>
                <w:szCs w:val="18"/>
              </w:rPr>
              <w:br/>
              <w:t>(% points)</w:t>
            </w:r>
          </w:p>
        </w:tc>
        <w:tc>
          <w:tcPr>
            <w:tcW w:w="1247" w:type="dxa"/>
            <w:tcBorders>
              <w:top w:val="none" w:sz="0" w:space="0" w:color="000000" w:themeColor="text1"/>
              <w:left w:val="single" w:sz="8" w:space="0" w:color="666666"/>
              <w:bottom w:val="single" w:sz="8" w:space="0" w:color="666666"/>
              <w:right w:val="none" w:sz="0" w:space="0" w:color="000000" w:themeColor="text1"/>
            </w:tcBorders>
            <w:shd w:val="clear" w:color="auto" w:fill="2C054E"/>
            <w:tcMar>
              <w:top w:w="0" w:type="dxa"/>
              <w:left w:w="0" w:type="dxa"/>
              <w:bottom w:w="0" w:type="dxa"/>
              <w:right w:w="0" w:type="dxa"/>
            </w:tcMar>
            <w:vAlign w:val="center"/>
          </w:tcPr>
          <w:p w14:paraId="4A03C367" w14:textId="77777777" w:rsidR="004F5741" w:rsidRDefault="003416A1">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 of recruiting employers</w:t>
            </w:r>
          </w:p>
        </w:tc>
        <w:tc>
          <w:tcPr>
            <w:tcW w:w="1247" w:type="dxa"/>
            <w:tcBorders>
              <w:top w:val="none" w:sz="0" w:space="0" w:color="000000" w:themeColor="text1"/>
              <w:left w:val="none" w:sz="0" w:space="0" w:color="000000" w:themeColor="text1"/>
              <w:bottom w:val="single" w:sz="8" w:space="0" w:color="666666"/>
              <w:right w:val="single" w:sz="8" w:space="0" w:color="666666"/>
            </w:tcBorders>
            <w:shd w:val="clear" w:color="auto" w:fill="2C054E"/>
            <w:tcMar>
              <w:top w:w="0" w:type="dxa"/>
              <w:left w:w="0" w:type="dxa"/>
              <w:bottom w:w="0" w:type="dxa"/>
              <w:right w:w="0" w:type="dxa"/>
            </w:tcMar>
            <w:vAlign w:val="center"/>
          </w:tcPr>
          <w:p w14:paraId="0D6C1984" w14:textId="77777777" w:rsidR="004F5741" w:rsidRDefault="003416A1">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Annual change</w:t>
            </w:r>
            <w:r>
              <w:rPr>
                <w:rFonts w:ascii="Arial (Body)" w:eastAsia="Arial (Body)" w:hAnsi="Arial (Body)" w:cs="Arial (Body)"/>
                <w:b/>
                <w:color w:val="FFFFFF"/>
                <w:sz w:val="18"/>
                <w:szCs w:val="18"/>
              </w:rPr>
              <w:br/>
              <w:t>(% points)</w:t>
            </w:r>
          </w:p>
        </w:tc>
        <w:tc>
          <w:tcPr>
            <w:tcW w:w="1247" w:type="dxa"/>
            <w:tcBorders>
              <w:top w:val="none" w:sz="0" w:space="0" w:color="000000" w:themeColor="text1"/>
              <w:left w:val="single" w:sz="8" w:space="0" w:color="666666"/>
              <w:bottom w:val="single" w:sz="8" w:space="0" w:color="666666"/>
              <w:right w:val="none" w:sz="0" w:space="0" w:color="000000" w:themeColor="text1"/>
            </w:tcBorders>
            <w:shd w:val="clear" w:color="auto" w:fill="2C054E"/>
            <w:tcMar>
              <w:top w:w="0" w:type="dxa"/>
              <w:left w:w="0" w:type="dxa"/>
              <w:bottom w:w="0" w:type="dxa"/>
              <w:right w:w="0" w:type="dxa"/>
            </w:tcMar>
            <w:vAlign w:val="center"/>
          </w:tcPr>
          <w:p w14:paraId="071BA14B" w14:textId="77777777" w:rsidR="004F5741" w:rsidRDefault="003416A1">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 of employers</w:t>
            </w:r>
          </w:p>
        </w:tc>
        <w:tc>
          <w:tcPr>
            <w:tcW w:w="1247" w:type="dxa"/>
            <w:tcBorders>
              <w:top w:val="none" w:sz="0" w:space="0" w:color="000000" w:themeColor="text1"/>
              <w:left w:val="none" w:sz="0" w:space="0" w:color="000000" w:themeColor="text1"/>
              <w:bottom w:val="single" w:sz="8" w:space="0" w:color="666666"/>
              <w:right w:val="single" w:sz="8" w:space="0" w:color="666666"/>
            </w:tcBorders>
            <w:shd w:val="clear" w:color="auto" w:fill="2C054E"/>
            <w:tcMar>
              <w:top w:w="0" w:type="dxa"/>
              <w:left w:w="0" w:type="dxa"/>
              <w:bottom w:w="0" w:type="dxa"/>
              <w:right w:w="0" w:type="dxa"/>
            </w:tcMar>
            <w:vAlign w:val="center"/>
          </w:tcPr>
          <w:p w14:paraId="4A076089" w14:textId="77777777" w:rsidR="004F5741" w:rsidRDefault="003416A1">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Annual change</w:t>
            </w:r>
            <w:r>
              <w:rPr>
                <w:rFonts w:ascii="Arial (Body)" w:eastAsia="Arial (Body)" w:hAnsi="Arial (Body)" w:cs="Arial (Body)"/>
                <w:b/>
                <w:color w:val="FFFFFF"/>
                <w:sz w:val="18"/>
                <w:szCs w:val="18"/>
              </w:rPr>
              <w:br/>
              <w:t>(% points)</w:t>
            </w:r>
          </w:p>
        </w:tc>
      </w:tr>
      <w:tr w:rsidR="004F5741" w14:paraId="4F1C03B4" w14:textId="77777777" w:rsidTr="21CDFAA3">
        <w:trPr>
          <w:trHeight w:hRule="exact" w:val="272"/>
          <w:jc w:val="center"/>
        </w:trPr>
        <w:tc>
          <w:tcPr>
            <w:tcW w:w="2268" w:type="dxa"/>
            <w:tcBorders>
              <w:top w:val="single" w:sz="8" w:space="0" w:color="666666"/>
              <w:left w:val="single" w:sz="8" w:space="0" w:color="666666"/>
              <w:bottom w:val="none" w:sz="0" w:space="0" w:color="000000" w:themeColor="text1"/>
              <w:right w:val="single" w:sz="8" w:space="0" w:color="666666"/>
            </w:tcBorders>
            <w:shd w:val="clear" w:color="auto" w:fill="FFFFFF" w:themeFill="background1"/>
            <w:tcMar>
              <w:top w:w="0" w:type="dxa"/>
              <w:left w:w="0" w:type="dxa"/>
              <w:bottom w:w="0" w:type="dxa"/>
              <w:right w:w="0" w:type="dxa"/>
            </w:tcMar>
            <w:vAlign w:val="center"/>
          </w:tcPr>
          <w:p w14:paraId="1B497B60"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Manufacturing</w:t>
            </w:r>
          </w:p>
        </w:tc>
        <w:tc>
          <w:tcPr>
            <w:tcW w:w="1247" w:type="dxa"/>
            <w:tcBorders>
              <w:top w:val="single" w:sz="8" w:space="0" w:color="666666"/>
              <w:left w:val="single" w:sz="8" w:space="0" w:color="666666"/>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D0EC486"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43%</w:t>
            </w:r>
          </w:p>
        </w:tc>
        <w:tc>
          <w:tcPr>
            <w:tcW w:w="1247" w:type="dxa"/>
            <w:tcBorders>
              <w:top w:val="single" w:sz="8" w:space="0" w:color="666666"/>
              <w:left w:val="none" w:sz="0" w:space="0" w:color="000000" w:themeColor="text1"/>
              <w:bottom w:val="none" w:sz="0" w:space="0" w:color="000000" w:themeColor="text1"/>
              <w:right w:val="single" w:sz="8" w:space="0" w:color="666666"/>
            </w:tcBorders>
            <w:shd w:val="clear" w:color="auto" w:fill="FFFFFF" w:themeFill="background1"/>
            <w:tcMar>
              <w:top w:w="0" w:type="dxa"/>
              <w:left w:w="0" w:type="dxa"/>
              <w:bottom w:w="0" w:type="dxa"/>
              <w:right w:w="0" w:type="dxa"/>
            </w:tcMar>
            <w:vAlign w:val="center"/>
          </w:tcPr>
          <w:p w14:paraId="6A9640CA"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 pts</w:t>
            </w:r>
          </w:p>
        </w:tc>
        <w:tc>
          <w:tcPr>
            <w:tcW w:w="1247" w:type="dxa"/>
            <w:tcBorders>
              <w:top w:val="single" w:sz="8" w:space="0" w:color="666666"/>
              <w:left w:val="single" w:sz="8" w:space="0" w:color="666666"/>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14065D1"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50%*</w:t>
            </w:r>
          </w:p>
        </w:tc>
        <w:tc>
          <w:tcPr>
            <w:tcW w:w="1247" w:type="dxa"/>
            <w:tcBorders>
              <w:top w:val="single" w:sz="8" w:space="0" w:color="666666"/>
              <w:left w:val="none" w:sz="0" w:space="0" w:color="000000" w:themeColor="text1"/>
              <w:bottom w:val="none" w:sz="0" w:space="0" w:color="000000" w:themeColor="text1"/>
              <w:right w:val="single" w:sz="8" w:space="0" w:color="666666"/>
            </w:tcBorders>
            <w:shd w:val="clear" w:color="auto" w:fill="FFFFFF" w:themeFill="background1"/>
            <w:tcMar>
              <w:top w:w="0" w:type="dxa"/>
              <w:left w:w="0" w:type="dxa"/>
              <w:bottom w:w="0" w:type="dxa"/>
              <w:right w:w="0" w:type="dxa"/>
            </w:tcMar>
            <w:vAlign w:val="center"/>
          </w:tcPr>
          <w:p w14:paraId="3E8ED400"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 pts*</w:t>
            </w:r>
          </w:p>
        </w:tc>
        <w:tc>
          <w:tcPr>
            <w:tcW w:w="1247" w:type="dxa"/>
            <w:tcBorders>
              <w:top w:val="single" w:sz="8" w:space="0" w:color="666666"/>
              <w:left w:val="single" w:sz="8" w:space="0" w:color="666666"/>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867CC03"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14%</w:t>
            </w:r>
          </w:p>
        </w:tc>
        <w:tc>
          <w:tcPr>
            <w:tcW w:w="1247" w:type="dxa"/>
            <w:tcBorders>
              <w:top w:val="single" w:sz="8" w:space="0" w:color="666666"/>
              <w:left w:val="none" w:sz="0" w:space="0" w:color="000000" w:themeColor="text1"/>
              <w:bottom w:val="none" w:sz="0" w:space="0" w:color="000000" w:themeColor="text1"/>
              <w:right w:val="single" w:sz="8" w:space="0" w:color="666666"/>
            </w:tcBorders>
            <w:shd w:val="clear" w:color="auto" w:fill="FFFFFF" w:themeFill="background1"/>
            <w:tcMar>
              <w:top w:w="0" w:type="dxa"/>
              <w:left w:w="0" w:type="dxa"/>
              <w:bottom w:w="0" w:type="dxa"/>
              <w:right w:w="0" w:type="dxa"/>
            </w:tcMar>
            <w:vAlign w:val="center"/>
          </w:tcPr>
          <w:p w14:paraId="110A318F"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-8 pts</w:t>
            </w:r>
          </w:p>
        </w:tc>
      </w:tr>
      <w:tr w:rsidR="004F5741" w14:paraId="5DC97C96" w14:textId="77777777" w:rsidTr="21CDFAA3">
        <w:trPr>
          <w:trHeight w:hRule="exact" w:val="272"/>
          <w:jc w:val="center"/>
        </w:trPr>
        <w:tc>
          <w:tcPr>
            <w:tcW w:w="2268" w:type="dxa"/>
            <w:tcBorders>
              <w:top w:val="none" w:sz="0" w:space="0" w:color="000000" w:themeColor="text1"/>
              <w:left w:val="single" w:sz="8" w:space="0" w:color="666666"/>
              <w:bottom w:val="none" w:sz="0" w:space="0" w:color="000000" w:themeColor="text1"/>
              <w:right w:val="single" w:sz="8" w:space="0" w:color="666666"/>
            </w:tcBorders>
            <w:shd w:val="clear" w:color="auto" w:fill="D9D9D9" w:themeFill="background1" w:themeFillShade="D9"/>
            <w:tcMar>
              <w:top w:w="0" w:type="dxa"/>
              <w:left w:w="0" w:type="dxa"/>
              <w:bottom w:w="0" w:type="dxa"/>
              <w:right w:w="0" w:type="dxa"/>
            </w:tcMar>
            <w:vAlign w:val="center"/>
          </w:tcPr>
          <w:p w14:paraId="00C6F88C"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Construction</w:t>
            </w:r>
          </w:p>
        </w:tc>
        <w:tc>
          <w:tcPr>
            <w:tcW w:w="1247" w:type="dxa"/>
            <w:tcBorders>
              <w:top w:val="none" w:sz="0" w:space="0" w:color="000000" w:themeColor="text1"/>
              <w:left w:val="single" w:sz="8" w:space="0" w:color="666666"/>
              <w:bottom w:val="none" w:sz="0" w:space="0" w:color="000000" w:themeColor="text1"/>
              <w:right w:val="none" w:sz="0" w:space="0" w:color="000000" w:themeColor="text1"/>
            </w:tcBorders>
            <w:shd w:val="clear" w:color="auto" w:fill="D9D9D9" w:themeFill="background1" w:themeFillShade="D9"/>
            <w:tcMar>
              <w:top w:w="0" w:type="dxa"/>
              <w:left w:w="0" w:type="dxa"/>
              <w:bottom w:w="0" w:type="dxa"/>
              <w:right w:w="0" w:type="dxa"/>
            </w:tcMar>
            <w:vAlign w:val="center"/>
          </w:tcPr>
          <w:p w14:paraId="6C39B267"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52%</w:t>
            </w:r>
          </w:p>
        </w:tc>
        <w:tc>
          <w:tcPr>
            <w:tcW w:w="1247" w:type="dxa"/>
            <w:tcBorders>
              <w:top w:val="none" w:sz="0" w:space="0" w:color="000000" w:themeColor="text1"/>
              <w:left w:val="none" w:sz="0" w:space="0" w:color="000000" w:themeColor="text1"/>
              <w:bottom w:val="none" w:sz="0" w:space="0" w:color="000000" w:themeColor="text1"/>
              <w:right w:val="single" w:sz="8" w:space="0" w:color="666666"/>
            </w:tcBorders>
            <w:shd w:val="clear" w:color="auto" w:fill="D9D9D9" w:themeFill="background1" w:themeFillShade="D9"/>
            <w:tcMar>
              <w:top w:w="0" w:type="dxa"/>
              <w:left w:w="0" w:type="dxa"/>
              <w:bottom w:w="0" w:type="dxa"/>
              <w:right w:w="0" w:type="dxa"/>
            </w:tcMar>
            <w:vAlign w:val="center"/>
          </w:tcPr>
          <w:p w14:paraId="7C7E0550"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10 pts</w:t>
            </w:r>
          </w:p>
        </w:tc>
        <w:tc>
          <w:tcPr>
            <w:tcW w:w="1247" w:type="dxa"/>
            <w:tcBorders>
              <w:top w:val="none" w:sz="0" w:space="0" w:color="000000" w:themeColor="text1"/>
              <w:left w:val="single" w:sz="8" w:space="0" w:color="666666"/>
              <w:bottom w:val="none" w:sz="0" w:space="0" w:color="000000" w:themeColor="text1"/>
              <w:right w:val="none" w:sz="0" w:space="0" w:color="000000" w:themeColor="text1"/>
            </w:tcBorders>
            <w:shd w:val="clear" w:color="auto" w:fill="D9D9D9" w:themeFill="background1" w:themeFillShade="D9"/>
            <w:tcMar>
              <w:top w:w="0" w:type="dxa"/>
              <w:left w:w="0" w:type="dxa"/>
              <w:bottom w:w="0" w:type="dxa"/>
              <w:right w:w="0" w:type="dxa"/>
            </w:tcMar>
            <w:vAlign w:val="center"/>
          </w:tcPr>
          <w:p w14:paraId="099EC906"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58%*</w:t>
            </w:r>
          </w:p>
        </w:tc>
        <w:tc>
          <w:tcPr>
            <w:tcW w:w="1247" w:type="dxa"/>
            <w:tcBorders>
              <w:top w:val="none" w:sz="0" w:space="0" w:color="000000" w:themeColor="text1"/>
              <w:left w:val="none" w:sz="0" w:space="0" w:color="000000" w:themeColor="text1"/>
              <w:bottom w:val="none" w:sz="0" w:space="0" w:color="000000" w:themeColor="text1"/>
              <w:right w:val="single" w:sz="8" w:space="0" w:color="666666"/>
            </w:tcBorders>
            <w:shd w:val="clear" w:color="auto" w:fill="D9D9D9" w:themeFill="background1" w:themeFillShade="D9"/>
            <w:tcMar>
              <w:top w:w="0" w:type="dxa"/>
              <w:left w:w="0" w:type="dxa"/>
              <w:bottom w:w="0" w:type="dxa"/>
              <w:right w:w="0" w:type="dxa"/>
            </w:tcMar>
            <w:vAlign w:val="center"/>
          </w:tcPr>
          <w:p w14:paraId="2B92A181"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16 pts*</w:t>
            </w:r>
          </w:p>
        </w:tc>
        <w:tc>
          <w:tcPr>
            <w:tcW w:w="1247" w:type="dxa"/>
            <w:tcBorders>
              <w:top w:val="none" w:sz="0" w:space="0" w:color="000000" w:themeColor="text1"/>
              <w:left w:val="single" w:sz="8" w:space="0" w:color="666666"/>
              <w:bottom w:val="none" w:sz="0" w:space="0" w:color="000000" w:themeColor="text1"/>
              <w:right w:val="none" w:sz="0" w:space="0" w:color="000000" w:themeColor="text1"/>
            </w:tcBorders>
            <w:shd w:val="clear" w:color="auto" w:fill="D9D9D9" w:themeFill="background1" w:themeFillShade="D9"/>
            <w:tcMar>
              <w:top w:w="0" w:type="dxa"/>
              <w:left w:w="0" w:type="dxa"/>
              <w:bottom w:w="0" w:type="dxa"/>
              <w:right w:w="0" w:type="dxa"/>
            </w:tcMar>
            <w:vAlign w:val="center"/>
          </w:tcPr>
          <w:p w14:paraId="334A9FCA"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21%</w:t>
            </w:r>
          </w:p>
        </w:tc>
        <w:tc>
          <w:tcPr>
            <w:tcW w:w="1247" w:type="dxa"/>
            <w:tcBorders>
              <w:top w:val="none" w:sz="0" w:space="0" w:color="000000" w:themeColor="text1"/>
              <w:left w:val="none" w:sz="0" w:space="0" w:color="000000" w:themeColor="text1"/>
              <w:bottom w:val="none" w:sz="0" w:space="0" w:color="000000" w:themeColor="text1"/>
              <w:right w:val="single" w:sz="8" w:space="0" w:color="666666"/>
            </w:tcBorders>
            <w:shd w:val="clear" w:color="auto" w:fill="D9D9D9" w:themeFill="background1" w:themeFillShade="D9"/>
            <w:tcMar>
              <w:top w:w="0" w:type="dxa"/>
              <w:left w:w="0" w:type="dxa"/>
              <w:bottom w:w="0" w:type="dxa"/>
              <w:right w:w="0" w:type="dxa"/>
            </w:tcMar>
            <w:vAlign w:val="center"/>
          </w:tcPr>
          <w:p w14:paraId="50E0DEA0"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 pts</w:t>
            </w:r>
          </w:p>
        </w:tc>
      </w:tr>
      <w:tr w:rsidR="004F5741" w14:paraId="0D3B4BB1" w14:textId="77777777" w:rsidTr="21CDFAA3">
        <w:trPr>
          <w:trHeight w:hRule="exact" w:val="272"/>
          <w:jc w:val="center"/>
        </w:trPr>
        <w:tc>
          <w:tcPr>
            <w:tcW w:w="2268" w:type="dxa"/>
            <w:tcBorders>
              <w:top w:val="none" w:sz="0" w:space="0" w:color="000000" w:themeColor="text1"/>
              <w:left w:val="single" w:sz="8" w:space="0" w:color="666666"/>
              <w:bottom w:val="none" w:sz="0" w:space="0" w:color="000000" w:themeColor="text1"/>
              <w:right w:val="single" w:sz="8" w:space="0" w:color="666666"/>
            </w:tcBorders>
            <w:shd w:val="clear" w:color="auto" w:fill="FFFFFF" w:themeFill="background1"/>
            <w:tcMar>
              <w:top w:w="0" w:type="dxa"/>
              <w:left w:w="0" w:type="dxa"/>
              <w:bottom w:w="0" w:type="dxa"/>
              <w:right w:w="0" w:type="dxa"/>
            </w:tcMar>
            <w:vAlign w:val="center"/>
          </w:tcPr>
          <w:p w14:paraId="15BD65E1"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Wholesale Trade</w:t>
            </w:r>
          </w:p>
        </w:tc>
        <w:tc>
          <w:tcPr>
            <w:tcW w:w="1247" w:type="dxa"/>
            <w:tcBorders>
              <w:top w:val="none" w:sz="0" w:space="0" w:color="000000" w:themeColor="text1"/>
              <w:left w:val="single" w:sz="8" w:space="0" w:color="666666"/>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DFA24FC"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42%</w:t>
            </w:r>
          </w:p>
        </w:tc>
        <w:tc>
          <w:tcPr>
            <w:tcW w:w="1247" w:type="dxa"/>
            <w:tcBorders>
              <w:top w:val="none" w:sz="0" w:space="0" w:color="000000" w:themeColor="text1"/>
              <w:left w:val="none" w:sz="0" w:space="0" w:color="000000" w:themeColor="text1"/>
              <w:bottom w:val="none" w:sz="0" w:space="0" w:color="000000" w:themeColor="text1"/>
              <w:right w:val="single" w:sz="8" w:space="0" w:color="666666"/>
            </w:tcBorders>
            <w:shd w:val="clear" w:color="auto" w:fill="FFFFFF" w:themeFill="background1"/>
            <w:tcMar>
              <w:top w:w="0" w:type="dxa"/>
              <w:left w:w="0" w:type="dxa"/>
              <w:bottom w:w="0" w:type="dxa"/>
              <w:right w:w="0" w:type="dxa"/>
            </w:tcMar>
            <w:vAlign w:val="center"/>
          </w:tcPr>
          <w:p w14:paraId="20698C86"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6 pts</w:t>
            </w:r>
          </w:p>
        </w:tc>
        <w:tc>
          <w:tcPr>
            <w:tcW w:w="1247" w:type="dxa"/>
            <w:tcBorders>
              <w:top w:val="none" w:sz="0" w:space="0" w:color="000000" w:themeColor="text1"/>
              <w:left w:val="single" w:sz="8" w:space="0" w:color="666666"/>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C40B445"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50%*</w:t>
            </w:r>
          </w:p>
        </w:tc>
        <w:tc>
          <w:tcPr>
            <w:tcW w:w="1247" w:type="dxa"/>
            <w:tcBorders>
              <w:top w:val="none" w:sz="0" w:space="0" w:color="000000" w:themeColor="text1"/>
              <w:left w:val="none" w:sz="0" w:space="0" w:color="000000" w:themeColor="text1"/>
              <w:bottom w:val="none" w:sz="0" w:space="0" w:color="000000" w:themeColor="text1"/>
              <w:right w:val="single" w:sz="8" w:space="0" w:color="666666"/>
            </w:tcBorders>
            <w:shd w:val="clear" w:color="auto" w:fill="FFFFFF" w:themeFill="background1"/>
            <w:tcMar>
              <w:top w:w="0" w:type="dxa"/>
              <w:left w:w="0" w:type="dxa"/>
              <w:bottom w:w="0" w:type="dxa"/>
              <w:right w:w="0" w:type="dxa"/>
            </w:tcMar>
            <w:vAlign w:val="center"/>
          </w:tcPr>
          <w:p w14:paraId="29506866"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11 pts*</w:t>
            </w:r>
          </w:p>
        </w:tc>
        <w:tc>
          <w:tcPr>
            <w:tcW w:w="1247" w:type="dxa"/>
            <w:tcBorders>
              <w:top w:val="none" w:sz="0" w:space="0" w:color="000000" w:themeColor="text1"/>
              <w:left w:val="single" w:sz="8" w:space="0" w:color="666666"/>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CC1E6C7"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16%</w:t>
            </w:r>
          </w:p>
        </w:tc>
        <w:tc>
          <w:tcPr>
            <w:tcW w:w="1247" w:type="dxa"/>
            <w:tcBorders>
              <w:top w:val="none" w:sz="0" w:space="0" w:color="000000" w:themeColor="text1"/>
              <w:left w:val="none" w:sz="0" w:space="0" w:color="000000" w:themeColor="text1"/>
              <w:bottom w:val="none" w:sz="0" w:space="0" w:color="000000" w:themeColor="text1"/>
              <w:right w:val="single" w:sz="8" w:space="0" w:color="666666"/>
            </w:tcBorders>
            <w:shd w:val="clear" w:color="auto" w:fill="FFFFFF" w:themeFill="background1"/>
            <w:tcMar>
              <w:top w:w="0" w:type="dxa"/>
              <w:left w:w="0" w:type="dxa"/>
              <w:bottom w:w="0" w:type="dxa"/>
              <w:right w:w="0" w:type="dxa"/>
            </w:tcMar>
            <w:vAlign w:val="center"/>
          </w:tcPr>
          <w:p w14:paraId="05BF0BFB"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0 pts</w:t>
            </w:r>
          </w:p>
        </w:tc>
      </w:tr>
      <w:tr w:rsidR="004F5741" w14:paraId="6913E26C" w14:textId="77777777" w:rsidTr="21CDFAA3">
        <w:trPr>
          <w:trHeight w:hRule="exact" w:val="272"/>
          <w:jc w:val="center"/>
        </w:trPr>
        <w:tc>
          <w:tcPr>
            <w:tcW w:w="2268" w:type="dxa"/>
            <w:tcBorders>
              <w:top w:val="none" w:sz="0" w:space="0" w:color="000000" w:themeColor="text1"/>
              <w:left w:val="single" w:sz="8" w:space="0" w:color="666666"/>
              <w:bottom w:val="none" w:sz="0" w:space="0" w:color="000000" w:themeColor="text1"/>
              <w:right w:val="single" w:sz="8" w:space="0" w:color="666666"/>
            </w:tcBorders>
            <w:shd w:val="clear" w:color="auto" w:fill="D9D9D9" w:themeFill="background1" w:themeFillShade="D9"/>
            <w:tcMar>
              <w:top w:w="0" w:type="dxa"/>
              <w:left w:w="0" w:type="dxa"/>
              <w:bottom w:w="0" w:type="dxa"/>
              <w:right w:w="0" w:type="dxa"/>
            </w:tcMar>
            <w:vAlign w:val="center"/>
          </w:tcPr>
          <w:p w14:paraId="36D37EEC"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Retail Trade</w:t>
            </w:r>
          </w:p>
        </w:tc>
        <w:tc>
          <w:tcPr>
            <w:tcW w:w="1247" w:type="dxa"/>
            <w:tcBorders>
              <w:top w:val="none" w:sz="0" w:space="0" w:color="000000" w:themeColor="text1"/>
              <w:left w:val="single" w:sz="8" w:space="0" w:color="666666"/>
              <w:bottom w:val="none" w:sz="0" w:space="0" w:color="000000" w:themeColor="text1"/>
              <w:right w:val="none" w:sz="0" w:space="0" w:color="000000" w:themeColor="text1"/>
            </w:tcBorders>
            <w:shd w:val="clear" w:color="auto" w:fill="D9D9D9" w:themeFill="background1" w:themeFillShade="D9"/>
            <w:tcMar>
              <w:top w:w="0" w:type="dxa"/>
              <w:left w:w="0" w:type="dxa"/>
              <w:bottom w:w="0" w:type="dxa"/>
              <w:right w:w="0" w:type="dxa"/>
            </w:tcMar>
            <w:vAlign w:val="center"/>
          </w:tcPr>
          <w:p w14:paraId="6AB8F15C"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51%</w:t>
            </w:r>
          </w:p>
        </w:tc>
        <w:tc>
          <w:tcPr>
            <w:tcW w:w="1247" w:type="dxa"/>
            <w:tcBorders>
              <w:top w:val="none" w:sz="0" w:space="0" w:color="000000" w:themeColor="text1"/>
              <w:left w:val="none" w:sz="0" w:space="0" w:color="000000" w:themeColor="text1"/>
              <w:bottom w:val="none" w:sz="0" w:space="0" w:color="000000" w:themeColor="text1"/>
              <w:right w:val="single" w:sz="8" w:space="0" w:color="666666"/>
            </w:tcBorders>
            <w:shd w:val="clear" w:color="auto" w:fill="D9D9D9" w:themeFill="background1" w:themeFillShade="D9"/>
            <w:tcMar>
              <w:top w:w="0" w:type="dxa"/>
              <w:left w:w="0" w:type="dxa"/>
              <w:bottom w:w="0" w:type="dxa"/>
              <w:right w:w="0" w:type="dxa"/>
            </w:tcMar>
            <w:vAlign w:val="center"/>
          </w:tcPr>
          <w:p w14:paraId="54103727"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13 pts</w:t>
            </w:r>
          </w:p>
        </w:tc>
        <w:tc>
          <w:tcPr>
            <w:tcW w:w="1247" w:type="dxa"/>
            <w:tcBorders>
              <w:top w:val="none" w:sz="0" w:space="0" w:color="000000" w:themeColor="text1"/>
              <w:left w:val="single" w:sz="8" w:space="0" w:color="666666"/>
              <w:bottom w:val="none" w:sz="0" w:space="0" w:color="000000" w:themeColor="text1"/>
              <w:right w:val="none" w:sz="0" w:space="0" w:color="000000" w:themeColor="text1"/>
            </w:tcBorders>
            <w:shd w:val="clear" w:color="auto" w:fill="D9D9D9" w:themeFill="background1" w:themeFillShade="D9"/>
            <w:tcMar>
              <w:top w:w="0" w:type="dxa"/>
              <w:left w:w="0" w:type="dxa"/>
              <w:bottom w:w="0" w:type="dxa"/>
              <w:right w:w="0" w:type="dxa"/>
            </w:tcMar>
            <w:vAlign w:val="center"/>
          </w:tcPr>
          <w:p w14:paraId="0D20C01E"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38%</w:t>
            </w:r>
          </w:p>
        </w:tc>
        <w:tc>
          <w:tcPr>
            <w:tcW w:w="1247" w:type="dxa"/>
            <w:tcBorders>
              <w:top w:val="none" w:sz="0" w:space="0" w:color="000000" w:themeColor="text1"/>
              <w:left w:val="none" w:sz="0" w:space="0" w:color="000000" w:themeColor="text1"/>
              <w:bottom w:val="none" w:sz="0" w:space="0" w:color="000000" w:themeColor="text1"/>
              <w:right w:val="single" w:sz="8" w:space="0" w:color="666666"/>
            </w:tcBorders>
            <w:shd w:val="clear" w:color="auto" w:fill="D9D9D9" w:themeFill="background1" w:themeFillShade="D9"/>
            <w:tcMar>
              <w:top w:w="0" w:type="dxa"/>
              <w:left w:w="0" w:type="dxa"/>
              <w:bottom w:w="0" w:type="dxa"/>
              <w:right w:w="0" w:type="dxa"/>
            </w:tcMar>
            <w:vAlign w:val="center"/>
          </w:tcPr>
          <w:p w14:paraId="3C76F66C"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-12 pts</w:t>
            </w:r>
          </w:p>
        </w:tc>
        <w:tc>
          <w:tcPr>
            <w:tcW w:w="1247" w:type="dxa"/>
            <w:tcBorders>
              <w:top w:val="none" w:sz="0" w:space="0" w:color="000000" w:themeColor="text1"/>
              <w:left w:val="single" w:sz="8" w:space="0" w:color="666666"/>
              <w:bottom w:val="none" w:sz="0" w:space="0" w:color="000000" w:themeColor="text1"/>
              <w:right w:val="none" w:sz="0" w:space="0" w:color="000000" w:themeColor="text1"/>
            </w:tcBorders>
            <w:shd w:val="clear" w:color="auto" w:fill="D9D9D9" w:themeFill="background1" w:themeFillShade="D9"/>
            <w:tcMar>
              <w:top w:w="0" w:type="dxa"/>
              <w:left w:w="0" w:type="dxa"/>
              <w:bottom w:w="0" w:type="dxa"/>
              <w:right w:w="0" w:type="dxa"/>
            </w:tcMar>
            <w:vAlign w:val="center"/>
          </w:tcPr>
          <w:p w14:paraId="3AD85790"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12%</w:t>
            </w:r>
          </w:p>
        </w:tc>
        <w:tc>
          <w:tcPr>
            <w:tcW w:w="1247" w:type="dxa"/>
            <w:tcBorders>
              <w:top w:val="none" w:sz="0" w:space="0" w:color="000000" w:themeColor="text1"/>
              <w:left w:val="none" w:sz="0" w:space="0" w:color="000000" w:themeColor="text1"/>
              <w:bottom w:val="none" w:sz="0" w:space="0" w:color="000000" w:themeColor="text1"/>
              <w:right w:val="single" w:sz="8" w:space="0" w:color="666666"/>
            </w:tcBorders>
            <w:shd w:val="clear" w:color="auto" w:fill="D9D9D9" w:themeFill="background1" w:themeFillShade="D9"/>
            <w:tcMar>
              <w:top w:w="0" w:type="dxa"/>
              <w:left w:w="0" w:type="dxa"/>
              <w:bottom w:w="0" w:type="dxa"/>
              <w:right w:w="0" w:type="dxa"/>
            </w:tcMar>
            <w:vAlign w:val="center"/>
          </w:tcPr>
          <w:p w14:paraId="18A41059"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-6 pts</w:t>
            </w:r>
          </w:p>
        </w:tc>
      </w:tr>
      <w:tr w:rsidR="004F5741" w14:paraId="7EFFA26E" w14:textId="77777777" w:rsidTr="00D226DB">
        <w:trPr>
          <w:trHeight w:hRule="exact" w:val="474"/>
          <w:jc w:val="center"/>
        </w:trPr>
        <w:tc>
          <w:tcPr>
            <w:tcW w:w="2268" w:type="dxa"/>
            <w:tcBorders>
              <w:top w:val="none" w:sz="0" w:space="0" w:color="000000" w:themeColor="text1"/>
              <w:left w:val="single" w:sz="8" w:space="0" w:color="666666"/>
              <w:bottom w:val="none" w:sz="0" w:space="0" w:color="000000" w:themeColor="text1"/>
              <w:right w:val="single" w:sz="8" w:space="0" w:color="666666"/>
            </w:tcBorders>
            <w:shd w:val="clear" w:color="auto" w:fill="FFFFFF" w:themeFill="background1"/>
            <w:tcMar>
              <w:top w:w="0" w:type="dxa"/>
              <w:left w:w="0" w:type="dxa"/>
              <w:bottom w:w="0" w:type="dxa"/>
              <w:right w:w="0" w:type="dxa"/>
            </w:tcMar>
            <w:vAlign w:val="center"/>
          </w:tcPr>
          <w:p w14:paraId="3AE23D00"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Accommodation and Food Services</w:t>
            </w:r>
          </w:p>
        </w:tc>
        <w:tc>
          <w:tcPr>
            <w:tcW w:w="1247" w:type="dxa"/>
            <w:tcBorders>
              <w:top w:val="none" w:sz="0" w:space="0" w:color="000000" w:themeColor="text1"/>
              <w:left w:val="single" w:sz="8" w:space="0" w:color="666666"/>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44AF4D5"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67%</w:t>
            </w:r>
          </w:p>
        </w:tc>
        <w:tc>
          <w:tcPr>
            <w:tcW w:w="1247" w:type="dxa"/>
            <w:tcBorders>
              <w:top w:val="none" w:sz="0" w:space="0" w:color="000000" w:themeColor="text1"/>
              <w:left w:val="none" w:sz="0" w:space="0" w:color="000000" w:themeColor="text1"/>
              <w:bottom w:val="none" w:sz="0" w:space="0" w:color="000000" w:themeColor="text1"/>
              <w:right w:val="single" w:sz="8" w:space="0" w:color="666666"/>
            </w:tcBorders>
            <w:shd w:val="clear" w:color="auto" w:fill="FFFFFF" w:themeFill="background1"/>
            <w:tcMar>
              <w:top w:w="0" w:type="dxa"/>
              <w:left w:w="0" w:type="dxa"/>
              <w:bottom w:w="0" w:type="dxa"/>
              <w:right w:w="0" w:type="dxa"/>
            </w:tcMar>
            <w:vAlign w:val="center"/>
          </w:tcPr>
          <w:p w14:paraId="1A9F3BF7"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 pts</w:t>
            </w:r>
          </w:p>
        </w:tc>
        <w:tc>
          <w:tcPr>
            <w:tcW w:w="1247" w:type="dxa"/>
            <w:tcBorders>
              <w:top w:val="none" w:sz="0" w:space="0" w:color="000000" w:themeColor="text1"/>
              <w:left w:val="single" w:sz="8" w:space="0" w:color="666666"/>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9CC2920"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34%*</w:t>
            </w:r>
          </w:p>
        </w:tc>
        <w:tc>
          <w:tcPr>
            <w:tcW w:w="1247" w:type="dxa"/>
            <w:tcBorders>
              <w:top w:val="none" w:sz="0" w:space="0" w:color="000000" w:themeColor="text1"/>
              <w:left w:val="none" w:sz="0" w:space="0" w:color="000000" w:themeColor="text1"/>
              <w:bottom w:val="none" w:sz="0" w:space="0" w:color="000000" w:themeColor="text1"/>
              <w:right w:val="single" w:sz="8" w:space="0" w:color="666666"/>
            </w:tcBorders>
            <w:shd w:val="clear" w:color="auto" w:fill="FFFFFF" w:themeFill="background1"/>
            <w:tcMar>
              <w:top w:w="0" w:type="dxa"/>
              <w:left w:w="0" w:type="dxa"/>
              <w:bottom w:w="0" w:type="dxa"/>
              <w:right w:w="0" w:type="dxa"/>
            </w:tcMar>
            <w:vAlign w:val="center"/>
          </w:tcPr>
          <w:p w14:paraId="5852ABE2"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7 pts*</w:t>
            </w:r>
          </w:p>
        </w:tc>
        <w:tc>
          <w:tcPr>
            <w:tcW w:w="1247" w:type="dxa"/>
            <w:tcBorders>
              <w:top w:val="none" w:sz="0" w:space="0" w:color="000000" w:themeColor="text1"/>
              <w:left w:val="single" w:sz="8" w:space="0" w:color="666666"/>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698CF38"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24%</w:t>
            </w:r>
          </w:p>
        </w:tc>
        <w:tc>
          <w:tcPr>
            <w:tcW w:w="1247" w:type="dxa"/>
            <w:tcBorders>
              <w:top w:val="none" w:sz="0" w:space="0" w:color="000000" w:themeColor="text1"/>
              <w:left w:val="none" w:sz="0" w:space="0" w:color="000000" w:themeColor="text1"/>
              <w:bottom w:val="none" w:sz="0" w:space="0" w:color="000000" w:themeColor="text1"/>
              <w:right w:val="single" w:sz="8" w:space="0" w:color="666666"/>
            </w:tcBorders>
            <w:shd w:val="clear" w:color="auto" w:fill="FFFFFF" w:themeFill="background1"/>
            <w:tcMar>
              <w:top w:w="0" w:type="dxa"/>
              <w:left w:w="0" w:type="dxa"/>
              <w:bottom w:w="0" w:type="dxa"/>
              <w:right w:w="0" w:type="dxa"/>
            </w:tcMar>
            <w:vAlign w:val="center"/>
          </w:tcPr>
          <w:p w14:paraId="5F529A8B"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 pts</w:t>
            </w:r>
          </w:p>
        </w:tc>
      </w:tr>
      <w:tr w:rsidR="004F5741" w14:paraId="4452AD07" w14:textId="77777777" w:rsidTr="21CDFAA3">
        <w:trPr>
          <w:trHeight w:hRule="exact" w:val="501"/>
          <w:jc w:val="center"/>
        </w:trPr>
        <w:tc>
          <w:tcPr>
            <w:tcW w:w="2268" w:type="dxa"/>
            <w:tcBorders>
              <w:top w:val="none" w:sz="0" w:space="0" w:color="000000" w:themeColor="text1"/>
              <w:left w:val="single" w:sz="8" w:space="0" w:color="666666"/>
              <w:bottom w:val="none" w:sz="0" w:space="0" w:color="000000" w:themeColor="text1"/>
              <w:right w:val="single" w:sz="8" w:space="0" w:color="666666"/>
            </w:tcBorders>
            <w:shd w:val="clear" w:color="auto" w:fill="D9D9D9" w:themeFill="background1" w:themeFillShade="D9"/>
            <w:tcMar>
              <w:top w:w="0" w:type="dxa"/>
              <w:left w:w="0" w:type="dxa"/>
              <w:bottom w:w="0" w:type="dxa"/>
              <w:right w:w="0" w:type="dxa"/>
            </w:tcMar>
            <w:vAlign w:val="center"/>
          </w:tcPr>
          <w:p w14:paraId="3007514B"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Professional, Scientific and Technical Services</w:t>
            </w:r>
          </w:p>
        </w:tc>
        <w:tc>
          <w:tcPr>
            <w:tcW w:w="1247" w:type="dxa"/>
            <w:tcBorders>
              <w:top w:val="none" w:sz="0" w:space="0" w:color="000000" w:themeColor="text1"/>
              <w:left w:val="single" w:sz="8" w:space="0" w:color="666666"/>
              <w:bottom w:val="none" w:sz="0" w:space="0" w:color="000000" w:themeColor="text1"/>
              <w:right w:val="none" w:sz="0" w:space="0" w:color="000000" w:themeColor="text1"/>
            </w:tcBorders>
            <w:shd w:val="clear" w:color="auto" w:fill="D9D9D9" w:themeFill="background1" w:themeFillShade="D9"/>
            <w:tcMar>
              <w:top w:w="0" w:type="dxa"/>
              <w:left w:w="0" w:type="dxa"/>
              <w:bottom w:w="0" w:type="dxa"/>
              <w:right w:w="0" w:type="dxa"/>
            </w:tcMar>
            <w:vAlign w:val="center"/>
          </w:tcPr>
          <w:p w14:paraId="23C6837D"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41%</w:t>
            </w:r>
          </w:p>
        </w:tc>
        <w:tc>
          <w:tcPr>
            <w:tcW w:w="1247" w:type="dxa"/>
            <w:tcBorders>
              <w:top w:val="none" w:sz="0" w:space="0" w:color="000000" w:themeColor="text1"/>
              <w:left w:val="none" w:sz="0" w:space="0" w:color="000000" w:themeColor="text1"/>
              <w:bottom w:val="none" w:sz="0" w:space="0" w:color="000000" w:themeColor="text1"/>
              <w:right w:val="single" w:sz="8" w:space="0" w:color="666666"/>
            </w:tcBorders>
            <w:shd w:val="clear" w:color="auto" w:fill="D9D9D9" w:themeFill="background1" w:themeFillShade="D9"/>
            <w:tcMar>
              <w:top w:w="0" w:type="dxa"/>
              <w:left w:w="0" w:type="dxa"/>
              <w:bottom w:w="0" w:type="dxa"/>
              <w:right w:w="0" w:type="dxa"/>
            </w:tcMar>
            <w:vAlign w:val="center"/>
          </w:tcPr>
          <w:p w14:paraId="11AF12B4"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0 pts</w:t>
            </w:r>
          </w:p>
        </w:tc>
        <w:tc>
          <w:tcPr>
            <w:tcW w:w="1247" w:type="dxa"/>
            <w:tcBorders>
              <w:top w:val="none" w:sz="0" w:space="0" w:color="000000" w:themeColor="text1"/>
              <w:left w:val="single" w:sz="8" w:space="0" w:color="666666"/>
              <w:bottom w:val="none" w:sz="0" w:space="0" w:color="000000" w:themeColor="text1"/>
              <w:right w:val="none" w:sz="0" w:space="0" w:color="000000" w:themeColor="text1"/>
            </w:tcBorders>
            <w:shd w:val="clear" w:color="auto" w:fill="D9D9D9" w:themeFill="background1" w:themeFillShade="D9"/>
            <w:tcMar>
              <w:top w:w="0" w:type="dxa"/>
              <w:left w:w="0" w:type="dxa"/>
              <w:bottom w:w="0" w:type="dxa"/>
              <w:right w:w="0" w:type="dxa"/>
            </w:tcMar>
            <w:vAlign w:val="center"/>
          </w:tcPr>
          <w:p w14:paraId="046D3107"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58%*</w:t>
            </w:r>
          </w:p>
        </w:tc>
        <w:tc>
          <w:tcPr>
            <w:tcW w:w="1247" w:type="dxa"/>
            <w:tcBorders>
              <w:top w:val="none" w:sz="0" w:space="0" w:color="000000" w:themeColor="text1"/>
              <w:left w:val="none" w:sz="0" w:space="0" w:color="000000" w:themeColor="text1"/>
              <w:bottom w:val="none" w:sz="0" w:space="0" w:color="000000" w:themeColor="text1"/>
              <w:right w:val="single" w:sz="8" w:space="0" w:color="666666"/>
            </w:tcBorders>
            <w:shd w:val="clear" w:color="auto" w:fill="D9D9D9" w:themeFill="background1" w:themeFillShade="D9"/>
            <w:tcMar>
              <w:top w:w="0" w:type="dxa"/>
              <w:left w:w="0" w:type="dxa"/>
              <w:bottom w:w="0" w:type="dxa"/>
              <w:right w:w="0" w:type="dxa"/>
            </w:tcMar>
            <w:vAlign w:val="center"/>
          </w:tcPr>
          <w:p w14:paraId="6BFE7E68"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8 pts*</w:t>
            </w:r>
          </w:p>
        </w:tc>
        <w:tc>
          <w:tcPr>
            <w:tcW w:w="1247" w:type="dxa"/>
            <w:tcBorders>
              <w:top w:val="none" w:sz="0" w:space="0" w:color="000000" w:themeColor="text1"/>
              <w:left w:val="single" w:sz="8" w:space="0" w:color="666666"/>
              <w:bottom w:val="none" w:sz="0" w:space="0" w:color="000000" w:themeColor="text1"/>
              <w:right w:val="none" w:sz="0" w:space="0" w:color="000000" w:themeColor="text1"/>
            </w:tcBorders>
            <w:shd w:val="clear" w:color="auto" w:fill="D9D9D9" w:themeFill="background1" w:themeFillShade="D9"/>
            <w:tcMar>
              <w:top w:w="0" w:type="dxa"/>
              <w:left w:w="0" w:type="dxa"/>
              <w:bottom w:w="0" w:type="dxa"/>
              <w:right w:w="0" w:type="dxa"/>
            </w:tcMar>
            <w:vAlign w:val="center"/>
          </w:tcPr>
          <w:p w14:paraId="1D4443B6"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22%</w:t>
            </w:r>
          </w:p>
        </w:tc>
        <w:tc>
          <w:tcPr>
            <w:tcW w:w="1247" w:type="dxa"/>
            <w:tcBorders>
              <w:top w:val="none" w:sz="0" w:space="0" w:color="000000" w:themeColor="text1"/>
              <w:left w:val="none" w:sz="0" w:space="0" w:color="000000" w:themeColor="text1"/>
              <w:bottom w:val="none" w:sz="0" w:space="0" w:color="000000" w:themeColor="text1"/>
              <w:right w:val="single" w:sz="8" w:space="0" w:color="666666"/>
            </w:tcBorders>
            <w:shd w:val="clear" w:color="auto" w:fill="D9D9D9" w:themeFill="background1" w:themeFillShade="D9"/>
            <w:tcMar>
              <w:top w:w="0" w:type="dxa"/>
              <w:left w:w="0" w:type="dxa"/>
              <w:bottom w:w="0" w:type="dxa"/>
              <w:right w:w="0" w:type="dxa"/>
            </w:tcMar>
            <w:vAlign w:val="center"/>
          </w:tcPr>
          <w:p w14:paraId="5EE64E32"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 pts</w:t>
            </w:r>
          </w:p>
        </w:tc>
      </w:tr>
      <w:tr w:rsidR="004F5741" w14:paraId="097C5FC3" w14:textId="77777777" w:rsidTr="21CDFAA3">
        <w:trPr>
          <w:trHeight w:hRule="exact" w:val="506"/>
          <w:jc w:val="center"/>
        </w:trPr>
        <w:tc>
          <w:tcPr>
            <w:tcW w:w="2268" w:type="dxa"/>
            <w:tcBorders>
              <w:top w:val="none" w:sz="0" w:space="0" w:color="000000" w:themeColor="text1"/>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2C4CFB8"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Health Care and Social Assistance</w:t>
            </w:r>
          </w:p>
        </w:tc>
        <w:tc>
          <w:tcPr>
            <w:tcW w:w="1247" w:type="dxa"/>
            <w:tcBorders>
              <w:top w:val="none" w:sz="0" w:space="0" w:color="000000" w:themeColor="text1"/>
              <w:left w:val="single" w:sz="8" w:space="0" w:color="666666"/>
              <w:bottom w:val="single" w:sz="8" w:space="0" w:color="666666"/>
              <w:right w:val="none" w:sz="0" w:space="0" w:color="000000" w:themeColor="text1"/>
            </w:tcBorders>
            <w:shd w:val="clear" w:color="auto" w:fill="FFFFFF" w:themeFill="background1"/>
            <w:tcMar>
              <w:top w:w="0" w:type="dxa"/>
              <w:left w:w="0" w:type="dxa"/>
              <w:bottom w:w="0" w:type="dxa"/>
              <w:right w:w="0" w:type="dxa"/>
            </w:tcMar>
            <w:vAlign w:val="center"/>
          </w:tcPr>
          <w:p w14:paraId="43618815"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51%</w:t>
            </w:r>
          </w:p>
        </w:tc>
        <w:tc>
          <w:tcPr>
            <w:tcW w:w="1247" w:type="dxa"/>
            <w:tcBorders>
              <w:top w:val="none" w:sz="0" w:space="0" w:color="000000" w:themeColor="text1"/>
              <w:left w:val="none" w:sz="0" w:space="0" w:color="000000" w:themeColor="text1"/>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0FAE56FD"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 pts</w:t>
            </w:r>
          </w:p>
        </w:tc>
        <w:tc>
          <w:tcPr>
            <w:tcW w:w="1247" w:type="dxa"/>
            <w:tcBorders>
              <w:top w:val="none" w:sz="0" w:space="0" w:color="000000" w:themeColor="text1"/>
              <w:left w:val="single" w:sz="8" w:space="0" w:color="666666"/>
              <w:bottom w:val="single" w:sz="8" w:space="0" w:color="666666"/>
              <w:right w:val="none" w:sz="0" w:space="0" w:color="000000" w:themeColor="text1"/>
            </w:tcBorders>
            <w:shd w:val="clear" w:color="auto" w:fill="FFFFFF" w:themeFill="background1"/>
            <w:tcMar>
              <w:top w:w="0" w:type="dxa"/>
              <w:left w:w="0" w:type="dxa"/>
              <w:bottom w:w="0" w:type="dxa"/>
              <w:right w:w="0" w:type="dxa"/>
            </w:tcMar>
            <w:vAlign w:val="center"/>
          </w:tcPr>
          <w:p w14:paraId="2E4BD4B8"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50%*</w:t>
            </w:r>
          </w:p>
        </w:tc>
        <w:tc>
          <w:tcPr>
            <w:tcW w:w="1247" w:type="dxa"/>
            <w:tcBorders>
              <w:top w:val="none" w:sz="0" w:space="0" w:color="000000" w:themeColor="text1"/>
              <w:left w:val="none" w:sz="0" w:space="0" w:color="000000" w:themeColor="text1"/>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E2C6226"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15 pts*</w:t>
            </w:r>
          </w:p>
        </w:tc>
        <w:tc>
          <w:tcPr>
            <w:tcW w:w="1247" w:type="dxa"/>
            <w:tcBorders>
              <w:top w:val="none" w:sz="0" w:space="0" w:color="000000" w:themeColor="text1"/>
              <w:left w:val="single" w:sz="8" w:space="0" w:color="666666"/>
              <w:bottom w:val="single" w:sz="8" w:space="0" w:color="666666"/>
              <w:right w:val="none" w:sz="0" w:space="0" w:color="000000" w:themeColor="text1"/>
            </w:tcBorders>
            <w:shd w:val="clear" w:color="auto" w:fill="FFFFFF" w:themeFill="background1"/>
            <w:tcMar>
              <w:top w:w="0" w:type="dxa"/>
              <w:left w:w="0" w:type="dxa"/>
              <w:bottom w:w="0" w:type="dxa"/>
              <w:right w:w="0" w:type="dxa"/>
            </w:tcMar>
            <w:vAlign w:val="center"/>
          </w:tcPr>
          <w:p w14:paraId="77BE1455"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23%</w:t>
            </w:r>
          </w:p>
        </w:tc>
        <w:tc>
          <w:tcPr>
            <w:tcW w:w="1247" w:type="dxa"/>
            <w:tcBorders>
              <w:top w:val="none" w:sz="0" w:space="0" w:color="000000" w:themeColor="text1"/>
              <w:left w:val="none" w:sz="0" w:space="0" w:color="000000" w:themeColor="text1"/>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21EFA7D"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6 pts</w:t>
            </w:r>
          </w:p>
        </w:tc>
      </w:tr>
    </w:tbl>
    <w:p w14:paraId="037260DC" w14:textId="7F5A2A84" w:rsidR="004F5741" w:rsidRDefault="003416A1">
      <w:pPr>
        <w:pStyle w:val="FooterText"/>
      </w:pPr>
      <w:r>
        <w:t>*</w:t>
      </w:r>
      <w:r w:rsidR="003D3E08">
        <w:t xml:space="preserve"> </w:t>
      </w:r>
      <w:r>
        <w:t>Interpret with caution due to low sample size.</w:t>
      </w:r>
    </w:p>
    <w:p w14:paraId="55FA810E" w14:textId="33E20998" w:rsidR="004F5741" w:rsidRDefault="003416A1" w:rsidP="0038692E">
      <w:pPr>
        <w:pStyle w:val="Heading3"/>
        <w:spacing w:before="120"/>
      </w:pPr>
      <w:bookmarkStart w:id="16" w:name="X67575fb01aa512c5b0f95e4524c3bb502278913"/>
      <w:bookmarkEnd w:id="15"/>
      <w:r>
        <w:t>Figure 7. Recruitment rate by industry, March quarter 202</w:t>
      </w:r>
      <w:r w:rsidR="00FF5AF9">
        <w:t>5</w:t>
      </w:r>
      <w:r>
        <w:t xml:space="preserve"> - March quarter 2026</w:t>
      </w:r>
    </w:p>
    <w:p w14:paraId="0635EB94" w14:textId="77777777" w:rsidR="004F5741" w:rsidRDefault="003416A1">
      <w:r>
        <w:rPr>
          <w:noProof/>
        </w:rPr>
        <w:drawing>
          <wp:inline distT="0" distB="0" distL="0" distR="0" wp14:anchorId="0F485D9C" wp14:editId="5FF8E7A9">
            <wp:extent cx="6108065" cy="1691640"/>
            <wp:effectExtent l="0" t="0" r="6985" b="3810"/>
            <wp:docPr id="63" name="Picture" descr="  Mar qtr 2025 Jun qtr 2025 Sep qtr 2025 Dec qtr 2025 Mar qtr 2026&#10;Accommodation and Food Services 62% 67% 75% 72% 67%&#10;Construction 42% 43% 49% 48% 52%&#10;Health Care and Social Assistance 52% 55% 56% 59% 51%&#10;Manufacturing 48% 44% 46% 41% 43%&#10;Professional, Scientific and Technical Services 41% 45% 45% 36% 41%&#10;Retail Trade 38% 45% 43% 41% 51%&#10;Wholesale Trade 36% 36% 44% 40%* 42%&#10;"/>
            <wp:cNvGraphicFramePr/>
            <a:graphic xmlns:a="http://schemas.openxmlformats.org/drawingml/2006/main">
              <a:graphicData uri="http://schemas.openxmlformats.org/drawingml/2006/picture">
                <pic:pic xmlns:pic="http://schemas.openxmlformats.org/drawingml/2006/picture">
                  <pic:nvPicPr>
                    <pic:cNvPr id="63" name="Picture" descr="  Mar qtr 2025 Jun qtr 2025 Sep qtr 2025 Dec qtr 2025 Mar qtr 2026&#10;Accommodation and Food Services 62% 67% 75% 72% 67%&#10;Construction 42% 43% 49% 48% 52%&#10;Health Care and Social Assistance 52% 55% 56% 59% 51%&#10;Manufacturing 48% 44% 46% 41% 43%&#10;Professional, Scientific and Technical Services 41% 45% 45% 36% 41%&#10;Retail Trade 38% 45% 43% 41% 51%&#10;Wholesale Trade 36% 36% 44% 40%* 42%&#10;"/>
                    <pic:cNvPicPr>
                      <a:picLocks noChangeAspect="1" noChangeArrowheads="1"/>
                    </pic:cNvPicPr>
                  </pic:nvPicPr>
                  <pic:blipFill>
                    <a:blip r:embed="rId19"/>
                    <a:stretch>
                      <a:fillRect/>
                    </a:stretch>
                  </pic:blipFill>
                  <pic:spPr bwMode="auto">
                    <a:xfrm>
                      <a:off x="0" y="0"/>
                      <a:ext cx="6110307" cy="1692261"/>
                    </a:xfrm>
                    <a:prstGeom prst="rect">
                      <a:avLst/>
                    </a:prstGeom>
                    <a:noFill/>
                    <a:ln w="9525">
                      <a:noFill/>
                      <a:headEnd/>
                      <a:tailEnd/>
                    </a:ln>
                  </pic:spPr>
                </pic:pic>
              </a:graphicData>
            </a:graphic>
          </wp:inline>
        </w:drawing>
      </w:r>
    </w:p>
    <w:p w14:paraId="5D9B390C" w14:textId="15F61443" w:rsidR="004F5741" w:rsidRDefault="003416A1" w:rsidP="0038692E">
      <w:pPr>
        <w:pStyle w:val="Heading3"/>
        <w:spacing w:before="120"/>
      </w:pPr>
      <w:bookmarkStart w:id="17" w:name="X562f0eba1ede4e8a9912de73ab99b739d6494f4"/>
      <w:bookmarkEnd w:id="16"/>
      <w:r>
        <w:t>Figure 8. Recruitment difficulty rate by industry, March quarter 202</w:t>
      </w:r>
      <w:r w:rsidR="00FF5AF9">
        <w:t>5</w:t>
      </w:r>
      <w:r>
        <w:t xml:space="preserve"> - March quarter 2026</w:t>
      </w:r>
    </w:p>
    <w:p w14:paraId="12E1D959" w14:textId="1C740078" w:rsidR="004F5741" w:rsidRPr="001C3B74" w:rsidRDefault="0038692E" w:rsidP="21CDFAA3">
      <w:pPr>
        <w:pStyle w:val="Source"/>
        <w:rPr>
          <w:rFonts w:ascii="Arial" w:eastAsia="Arial Nova" w:hAnsi="Arial" w:cs="Times New Roman"/>
          <w:b/>
          <w:bCs/>
          <w:sz w:val="32"/>
          <w:szCs w:val="32"/>
        </w:rPr>
      </w:pPr>
      <w:r>
        <w:rPr>
          <w:noProof/>
        </w:rPr>
        <w:drawing>
          <wp:inline distT="0" distB="0" distL="0" distR="0" wp14:anchorId="414A828A" wp14:editId="3440F9F6">
            <wp:extent cx="6108172" cy="1859280"/>
            <wp:effectExtent l="0" t="0" r="6985" b="7620"/>
            <wp:docPr id="67" name="Picture"/>
            <wp:cNvGraphicFramePr/>
            <a:graphic xmlns:a="http://schemas.openxmlformats.org/drawingml/2006/main">
              <a:graphicData uri="http://schemas.openxmlformats.org/drawingml/2006/picture">
                <pic:pic xmlns:pic="http://schemas.openxmlformats.org/drawingml/2006/picture">
                  <pic:nvPicPr>
                    <pic:cNvPr id="68" name="Picture" descr="reos_quarterly_report_files/figure-docx/unnamed-chunk-14-1.png"/>
                    <pic:cNvPicPr>
                      <a:picLocks noChangeAspect="1" noChangeArrowheads="1"/>
                    </pic:cNvPicPr>
                  </pic:nvPicPr>
                  <pic:blipFill>
                    <a:blip r:embed="rId20"/>
                    <a:stretch>
                      <a:fillRect/>
                    </a:stretch>
                  </pic:blipFill>
                  <pic:spPr bwMode="auto">
                    <a:xfrm>
                      <a:off x="0" y="0"/>
                      <a:ext cx="6109663" cy="1859734"/>
                    </a:xfrm>
                    <a:prstGeom prst="rect">
                      <a:avLst/>
                    </a:prstGeom>
                    <a:noFill/>
                    <a:ln w="9525">
                      <a:noFill/>
                      <a:headEnd/>
                      <a:tailEnd/>
                    </a:ln>
                  </pic:spPr>
                </pic:pic>
              </a:graphicData>
            </a:graphic>
          </wp:inline>
        </w:drawing>
      </w:r>
      <w:r w:rsidRPr="00D226DB">
        <w:t>Note: No data are shown for Wholesale Trade in the December quarter 2025 due to a small sample size</w:t>
      </w:r>
      <w:r w:rsidR="00FF5AF9">
        <w:t>.</w:t>
      </w:r>
      <w:r>
        <w:t xml:space="preserve"> </w:t>
      </w:r>
      <w:bookmarkStart w:id="18" w:name="Xa961730ee7ee83e9208168883591054957cb186"/>
      <w:bookmarkEnd w:id="14"/>
      <w:bookmarkEnd w:id="17"/>
      <w:r w:rsidR="003416A1">
        <w:br w:type="page"/>
      </w:r>
      <w:r w:rsidR="003416A1" w:rsidRPr="001C3B74">
        <w:rPr>
          <w:rFonts w:ascii="Arial" w:eastAsia="Arial Nova" w:hAnsi="Arial" w:cs="Times New Roman"/>
          <w:b/>
          <w:bCs/>
          <w:sz w:val="32"/>
          <w:szCs w:val="32"/>
        </w:rPr>
        <w:lastRenderedPageBreak/>
        <w:t>Key indicators by selected occupation groups</w:t>
      </w:r>
    </w:p>
    <w:p w14:paraId="7D5BEFE3" w14:textId="2F20B757" w:rsidR="004F5741" w:rsidRPr="00FE5AAD" w:rsidRDefault="003416A1">
      <w:r>
        <w:t>In the March quarter 2026, Technicians and Trades Workers</w:t>
      </w:r>
      <w:r w:rsidR="002B76E3">
        <w:t xml:space="preserve"> </w:t>
      </w:r>
      <w:r>
        <w:t>recorded the highest rate of recruitment difficulty</w:t>
      </w:r>
      <w:r w:rsidR="002B76E3">
        <w:t xml:space="preserve"> (63%)</w:t>
      </w:r>
      <w:r>
        <w:t xml:space="preserve">. At </w:t>
      </w:r>
      <w:r w:rsidR="002D60DB">
        <w:t>59%,</w:t>
      </w:r>
      <w:r>
        <w:t xml:space="preserve"> employers recruiting for</w:t>
      </w:r>
      <w:r w:rsidR="00DF4BF8">
        <w:t xml:space="preserve"> Technicians and Trades Workers </w:t>
      </w:r>
      <w:r w:rsidR="004A1133">
        <w:t xml:space="preserve">and </w:t>
      </w:r>
      <w:r>
        <w:t xml:space="preserve">Machinery Operators and Drivers </w:t>
      </w:r>
      <w:r w:rsidR="00FE5AAD">
        <w:t xml:space="preserve">both </w:t>
      </w:r>
      <w:r>
        <w:t>had the highest proportion of vacancies unfilled for longer than a month.</w:t>
      </w:r>
      <w:r w:rsidR="00C12837">
        <w:t xml:space="preserve"> These two occupation groups also experienced</w:t>
      </w:r>
      <w:r w:rsidR="007E0422">
        <w:t xml:space="preserve"> the </w:t>
      </w:r>
      <w:r w:rsidR="00DF4BF8">
        <w:t xml:space="preserve">highest difficulty levels, at </w:t>
      </w:r>
      <w:r w:rsidR="00F917C8">
        <w:t>63% and 54%, respectively.</w:t>
      </w:r>
    </w:p>
    <w:p w14:paraId="4B0EDF62" w14:textId="77777777" w:rsidR="004F5741" w:rsidRDefault="003416A1">
      <w:pPr>
        <w:pStyle w:val="Heading3"/>
      </w:pPr>
      <w:bookmarkStart w:id="19" w:name="X2c0f37b8cc490b0224666481d27a78cf8a6ff9c"/>
      <w:r>
        <w:t>Table 4. Key indicators by occupation, March quarter 2026</w:t>
      </w:r>
    </w:p>
    <w:tbl>
      <w:tblPr>
        <w:tblW w:w="0" w:type="auto"/>
        <w:jc w:val="center"/>
        <w:tblLayout w:type="fixed"/>
        <w:tblLook w:val="0420" w:firstRow="1" w:lastRow="0" w:firstColumn="0" w:lastColumn="0" w:noHBand="0" w:noVBand="1"/>
      </w:tblPr>
      <w:tblGrid>
        <w:gridCol w:w="3969"/>
        <w:gridCol w:w="1361"/>
        <w:gridCol w:w="1361"/>
        <w:gridCol w:w="1361"/>
        <w:gridCol w:w="1361"/>
      </w:tblGrid>
      <w:tr w:rsidR="004F5741" w14:paraId="646775B7" w14:textId="77777777">
        <w:trPr>
          <w:tblHeader/>
          <w:jc w:val="center"/>
        </w:trPr>
        <w:tc>
          <w:tcPr>
            <w:tcW w:w="3969" w:type="dxa"/>
            <w:tcBorders>
              <w:top w:val="single" w:sz="8" w:space="0" w:color="666666"/>
              <w:left w:val="single" w:sz="8" w:space="0" w:color="666666"/>
              <w:bottom w:val="none" w:sz="0" w:space="0" w:color="000000"/>
              <w:right w:val="single" w:sz="8" w:space="0" w:color="666666"/>
            </w:tcBorders>
            <w:shd w:val="clear" w:color="auto" w:fill="2C054E"/>
            <w:tcMar>
              <w:top w:w="0" w:type="dxa"/>
              <w:left w:w="0" w:type="dxa"/>
              <w:bottom w:w="0" w:type="dxa"/>
              <w:right w:w="0" w:type="dxa"/>
            </w:tcMar>
            <w:vAlign w:val="center"/>
          </w:tcPr>
          <w:p w14:paraId="149C9FA0" w14:textId="77777777" w:rsidR="004F5741" w:rsidRDefault="004F5741">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Body)" w:eastAsia="Arial (Body)" w:hAnsi="Arial (Body)" w:cs="Arial (Body)"/>
                <w:b/>
                <w:color w:val="FFFFFF"/>
                <w:sz w:val="18"/>
                <w:szCs w:val="18"/>
              </w:rPr>
            </w:pPr>
          </w:p>
        </w:tc>
        <w:tc>
          <w:tcPr>
            <w:tcW w:w="2722" w:type="dxa"/>
            <w:gridSpan w:val="2"/>
            <w:tcBorders>
              <w:top w:val="single" w:sz="8" w:space="0" w:color="666666"/>
              <w:left w:val="single" w:sz="8" w:space="0" w:color="666666"/>
              <w:bottom w:val="none" w:sz="0" w:space="0" w:color="000000"/>
              <w:right w:val="single" w:sz="8" w:space="0" w:color="666666"/>
            </w:tcBorders>
            <w:shd w:val="clear" w:color="auto" w:fill="2C054E"/>
            <w:tcMar>
              <w:top w:w="0" w:type="dxa"/>
              <w:left w:w="0" w:type="dxa"/>
              <w:bottom w:w="0" w:type="dxa"/>
              <w:right w:w="0" w:type="dxa"/>
            </w:tcMar>
            <w:vAlign w:val="center"/>
          </w:tcPr>
          <w:p w14:paraId="57A47B9D" w14:textId="77777777" w:rsidR="004F5741" w:rsidRDefault="003416A1">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Recruitment difficulty rate</w:t>
            </w:r>
          </w:p>
        </w:tc>
        <w:tc>
          <w:tcPr>
            <w:tcW w:w="2722" w:type="dxa"/>
            <w:gridSpan w:val="2"/>
            <w:tcBorders>
              <w:top w:val="single" w:sz="8" w:space="0" w:color="666666"/>
              <w:left w:val="single" w:sz="8" w:space="0" w:color="666666"/>
              <w:bottom w:val="none" w:sz="0" w:space="0" w:color="000000"/>
              <w:right w:val="single" w:sz="8" w:space="0" w:color="666666"/>
            </w:tcBorders>
            <w:shd w:val="clear" w:color="auto" w:fill="2C054E"/>
            <w:tcMar>
              <w:top w:w="0" w:type="dxa"/>
              <w:left w:w="0" w:type="dxa"/>
              <w:bottom w:w="0" w:type="dxa"/>
              <w:right w:w="0" w:type="dxa"/>
            </w:tcMar>
            <w:vAlign w:val="center"/>
          </w:tcPr>
          <w:p w14:paraId="5C27229B" w14:textId="77777777" w:rsidR="004F5741" w:rsidRDefault="003416A1">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Vacancies taking longer</w:t>
            </w:r>
            <w:r>
              <w:rPr>
                <w:rFonts w:ascii="Arial (Body)" w:eastAsia="Arial (Body)" w:hAnsi="Arial (Body)" w:cs="Arial (Body)"/>
                <w:b/>
                <w:color w:val="FFFFFF"/>
                <w:sz w:val="18"/>
                <w:szCs w:val="18"/>
              </w:rPr>
              <w:br/>
              <w:t xml:space="preserve"> than 1 month to fill</w:t>
            </w:r>
          </w:p>
        </w:tc>
      </w:tr>
      <w:tr w:rsidR="004F5741" w14:paraId="093B63BA" w14:textId="77777777">
        <w:trPr>
          <w:tblHeader/>
          <w:jc w:val="center"/>
        </w:trPr>
        <w:tc>
          <w:tcPr>
            <w:tcW w:w="3969" w:type="dxa"/>
            <w:tcBorders>
              <w:top w:val="none" w:sz="0" w:space="0" w:color="000000"/>
              <w:left w:val="single" w:sz="8" w:space="0" w:color="666666"/>
              <w:bottom w:val="single" w:sz="8" w:space="0" w:color="666666"/>
              <w:right w:val="single" w:sz="8" w:space="0" w:color="666666"/>
            </w:tcBorders>
            <w:shd w:val="clear" w:color="auto" w:fill="2C054E"/>
            <w:tcMar>
              <w:top w:w="0" w:type="dxa"/>
              <w:left w:w="0" w:type="dxa"/>
              <w:bottom w:w="0" w:type="dxa"/>
              <w:right w:w="0" w:type="dxa"/>
            </w:tcMar>
            <w:vAlign w:val="center"/>
          </w:tcPr>
          <w:p w14:paraId="701BCC69" w14:textId="77777777" w:rsidR="004F5741" w:rsidRDefault="004F5741">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Body)" w:eastAsia="Arial (Body)" w:hAnsi="Arial (Body)" w:cs="Arial (Body)"/>
                <w:b/>
                <w:color w:val="FFFFFF"/>
                <w:sz w:val="18"/>
                <w:szCs w:val="18"/>
              </w:rPr>
            </w:pPr>
          </w:p>
        </w:tc>
        <w:tc>
          <w:tcPr>
            <w:tcW w:w="1361" w:type="dxa"/>
            <w:tcBorders>
              <w:top w:val="none" w:sz="0" w:space="0" w:color="000000"/>
              <w:left w:val="single" w:sz="8" w:space="0" w:color="666666"/>
              <w:bottom w:val="single" w:sz="8" w:space="0" w:color="666666"/>
              <w:right w:val="none" w:sz="0" w:space="0" w:color="000000"/>
            </w:tcBorders>
            <w:shd w:val="clear" w:color="auto" w:fill="2C054E"/>
            <w:tcMar>
              <w:top w:w="0" w:type="dxa"/>
              <w:left w:w="0" w:type="dxa"/>
              <w:bottom w:w="0" w:type="dxa"/>
              <w:right w:w="0" w:type="dxa"/>
            </w:tcMar>
            <w:vAlign w:val="center"/>
          </w:tcPr>
          <w:p w14:paraId="757DDDAA" w14:textId="77777777" w:rsidR="004F5741" w:rsidRDefault="003416A1">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 of recruiting employers</w:t>
            </w:r>
          </w:p>
        </w:tc>
        <w:tc>
          <w:tcPr>
            <w:tcW w:w="1361" w:type="dxa"/>
            <w:tcBorders>
              <w:top w:val="none" w:sz="0" w:space="0" w:color="000000"/>
              <w:left w:val="none" w:sz="0" w:space="0" w:color="000000"/>
              <w:bottom w:val="single" w:sz="8" w:space="0" w:color="666666"/>
              <w:right w:val="single" w:sz="8" w:space="0" w:color="666666"/>
            </w:tcBorders>
            <w:shd w:val="clear" w:color="auto" w:fill="2C054E"/>
            <w:tcMar>
              <w:top w:w="0" w:type="dxa"/>
              <w:left w:w="0" w:type="dxa"/>
              <w:bottom w:w="0" w:type="dxa"/>
              <w:right w:w="0" w:type="dxa"/>
            </w:tcMar>
            <w:vAlign w:val="center"/>
          </w:tcPr>
          <w:p w14:paraId="78ADB6F8" w14:textId="77777777" w:rsidR="004F5741" w:rsidRDefault="003416A1">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Annual change</w:t>
            </w:r>
            <w:r>
              <w:rPr>
                <w:rFonts w:ascii="Arial (Body)" w:eastAsia="Arial (Body)" w:hAnsi="Arial (Body)" w:cs="Arial (Body)"/>
                <w:b/>
                <w:color w:val="FFFFFF"/>
                <w:sz w:val="18"/>
                <w:szCs w:val="18"/>
              </w:rPr>
              <w:br/>
              <w:t>(% points)</w:t>
            </w:r>
          </w:p>
        </w:tc>
        <w:tc>
          <w:tcPr>
            <w:tcW w:w="1361" w:type="dxa"/>
            <w:tcBorders>
              <w:top w:val="none" w:sz="0" w:space="0" w:color="000000"/>
              <w:left w:val="single" w:sz="8" w:space="0" w:color="666666"/>
              <w:bottom w:val="single" w:sz="8" w:space="0" w:color="666666"/>
              <w:right w:val="none" w:sz="0" w:space="0" w:color="000000"/>
            </w:tcBorders>
            <w:shd w:val="clear" w:color="auto" w:fill="2C054E"/>
            <w:tcMar>
              <w:top w:w="0" w:type="dxa"/>
              <w:left w:w="0" w:type="dxa"/>
              <w:bottom w:w="0" w:type="dxa"/>
              <w:right w:w="0" w:type="dxa"/>
            </w:tcMar>
            <w:vAlign w:val="center"/>
          </w:tcPr>
          <w:p w14:paraId="3B513DCF" w14:textId="77777777" w:rsidR="004F5741" w:rsidRDefault="003416A1">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 of recruiting employers</w:t>
            </w:r>
          </w:p>
        </w:tc>
        <w:tc>
          <w:tcPr>
            <w:tcW w:w="1361" w:type="dxa"/>
            <w:tcBorders>
              <w:top w:val="none" w:sz="0" w:space="0" w:color="000000"/>
              <w:left w:val="none" w:sz="0" w:space="0" w:color="000000"/>
              <w:bottom w:val="single" w:sz="8" w:space="0" w:color="666666"/>
              <w:right w:val="single" w:sz="8" w:space="0" w:color="666666"/>
            </w:tcBorders>
            <w:shd w:val="clear" w:color="auto" w:fill="2C054E"/>
            <w:tcMar>
              <w:top w:w="0" w:type="dxa"/>
              <w:left w:w="0" w:type="dxa"/>
              <w:bottom w:w="0" w:type="dxa"/>
              <w:right w:w="0" w:type="dxa"/>
            </w:tcMar>
            <w:vAlign w:val="center"/>
          </w:tcPr>
          <w:p w14:paraId="36BCEF76" w14:textId="77777777" w:rsidR="004F5741" w:rsidRDefault="003416A1">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Arial (Body)" w:eastAsia="Arial (Body)" w:hAnsi="Arial (Body)" w:cs="Arial (Body)"/>
                <w:b/>
                <w:color w:val="FFFFFF"/>
                <w:sz w:val="18"/>
                <w:szCs w:val="18"/>
              </w:rPr>
            </w:pPr>
            <w:r>
              <w:rPr>
                <w:rFonts w:ascii="Arial (Body)" w:eastAsia="Arial (Body)" w:hAnsi="Arial (Body)" w:cs="Arial (Body)"/>
                <w:b/>
                <w:color w:val="FFFFFF"/>
                <w:sz w:val="18"/>
                <w:szCs w:val="18"/>
              </w:rPr>
              <w:t>Annual change</w:t>
            </w:r>
            <w:r>
              <w:rPr>
                <w:rFonts w:ascii="Arial (Body)" w:eastAsia="Arial (Body)" w:hAnsi="Arial (Body)" w:cs="Arial (Body)"/>
                <w:b/>
                <w:color w:val="FFFFFF"/>
                <w:sz w:val="18"/>
                <w:szCs w:val="18"/>
              </w:rPr>
              <w:br/>
              <w:t>(% points)</w:t>
            </w:r>
          </w:p>
        </w:tc>
      </w:tr>
      <w:tr w:rsidR="004F5741" w14:paraId="0E1DC758" w14:textId="77777777">
        <w:trPr>
          <w:trHeight w:hRule="exact" w:val="272"/>
          <w:jc w:val="center"/>
        </w:trPr>
        <w:tc>
          <w:tcPr>
            <w:tcW w:w="3969" w:type="dxa"/>
            <w:tcBorders>
              <w:top w:val="single" w:sz="8" w:space="0" w:color="666666"/>
              <w:left w:val="single" w:sz="8" w:space="0" w:color="666666"/>
              <w:bottom w:val="none" w:sz="0" w:space="0" w:color="000000"/>
              <w:right w:val="single" w:sz="8" w:space="0" w:color="666666"/>
            </w:tcBorders>
            <w:shd w:val="clear" w:color="auto" w:fill="FFFFFF"/>
            <w:tcMar>
              <w:top w:w="0" w:type="dxa"/>
              <w:left w:w="0" w:type="dxa"/>
              <w:bottom w:w="0" w:type="dxa"/>
              <w:right w:w="0" w:type="dxa"/>
            </w:tcMar>
            <w:vAlign w:val="center"/>
          </w:tcPr>
          <w:p w14:paraId="466D9296"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Professionals</w:t>
            </w:r>
          </w:p>
        </w:tc>
        <w:tc>
          <w:tcPr>
            <w:tcW w:w="1361" w:type="dxa"/>
            <w:tcBorders>
              <w:top w:val="single" w:sz="8" w:space="0" w:color="666666"/>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749D7149"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45%*</w:t>
            </w:r>
          </w:p>
        </w:tc>
        <w:tc>
          <w:tcPr>
            <w:tcW w:w="1361" w:type="dxa"/>
            <w:tcBorders>
              <w:top w:val="single" w:sz="8" w:space="0" w:color="666666"/>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570FF3D5"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-6 pts*</w:t>
            </w:r>
          </w:p>
        </w:tc>
        <w:tc>
          <w:tcPr>
            <w:tcW w:w="1361" w:type="dxa"/>
            <w:tcBorders>
              <w:top w:val="single" w:sz="8" w:space="0" w:color="666666"/>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1A0A0507"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46%*</w:t>
            </w:r>
          </w:p>
        </w:tc>
        <w:tc>
          <w:tcPr>
            <w:tcW w:w="1361" w:type="dxa"/>
            <w:tcBorders>
              <w:top w:val="single" w:sz="8" w:space="0" w:color="666666"/>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0D6F9E6F"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-6 pts*</w:t>
            </w:r>
          </w:p>
        </w:tc>
      </w:tr>
      <w:tr w:rsidR="004F5741" w14:paraId="2D4D870E" w14:textId="77777777">
        <w:trPr>
          <w:trHeight w:hRule="exact" w:val="272"/>
          <w:jc w:val="center"/>
        </w:trPr>
        <w:tc>
          <w:tcPr>
            <w:tcW w:w="3969" w:type="dxa"/>
            <w:tcBorders>
              <w:top w:val="none" w:sz="0" w:space="0" w:color="000000"/>
              <w:left w:val="single" w:sz="8" w:space="0" w:color="666666"/>
              <w:bottom w:val="none" w:sz="0" w:space="0" w:color="000000"/>
              <w:right w:val="single" w:sz="8" w:space="0" w:color="666666"/>
            </w:tcBorders>
            <w:shd w:val="clear" w:color="auto" w:fill="D9D9D9"/>
            <w:tcMar>
              <w:top w:w="0" w:type="dxa"/>
              <w:left w:w="0" w:type="dxa"/>
              <w:bottom w:w="0" w:type="dxa"/>
              <w:right w:w="0" w:type="dxa"/>
            </w:tcMar>
            <w:vAlign w:val="center"/>
          </w:tcPr>
          <w:p w14:paraId="2775253B"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Technicians and Trades Workers</w:t>
            </w:r>
          </w:p>
        </w:tc>
        <w:tc>
          <w:tcPr>
            <w:tcW w:w="1361"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54220CFE"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63%</w:t>
            </w:r>
          </w:p>
        </w:tc>
        <w:tc>
          <w:tcPr>
            <w:tcW w:w="1361"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39594DD5"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 pts</w:t>
            </w:r>
          </w:p>
        </w:tc>
        <w:tc>
          <w:tcPr>
            <w:tcW w:w="1361"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320BAAE3"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59%</w:t>
            </w:r>
          </w:p>
        </w:tc>
        <w:tc>
          <w:tcPr>
            <w:tcW w:w="1361"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04A79D63"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7 pts</w:t>
            </w:r>
          </w:p>
        </w:tc>
      </w:tr>
      <w:tr w:rsidR="004F5741" w14:paraId="2BC50DCF" w14:textId="77777777">
        <w:trPr>
          <w:trHeight w:hRule="exact" w:val="272"/>
          <w:jc w:val="center"/>
        </w:trPr>
        <w:tc>
          <w:tcPr>
            <w:tcW w:w="3969" w:type="dxa"/>
            <w:tcBorders>
              <w:top w:val="none" w:sz="0" w:space="0" w:color="000000"/>
              <w:left w:val="single" w:sz="8" w:space="0" w:color="666666"/>
              <w:bottom w:val="none" w:sz="0" w:space="0" w:color="000000"/>
              <w:right w:val="single" w:sz="8" w:space="0" w:color="666666"/>
            </w:tcBorders>
            <w:shd w:val="clear" w:color="auto" w:fill="FFFFFF"/>
            <w:tcMar>
              <w:top w:w="0" w:type="dxa"/>
              <w:left w:w="0" w:type="dxa"/>
              <w:bottom w:w="0" w:type="dxa"/>
              <w:right w:w="0" w:type="dxa"/>
            </w:tcMar>
            <w:vAlign w:val="center"/>
          </w:tcPr>
          <w:p w14:paraId="1242DE62"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Community and Personal Service Workers</w:t>
            </w:r>
          </w:p>
        </w:tc>
        <w:tc>
          <w:tcPr>
            <w:tcW w:w="1361"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2A5A1538"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44%</w:t>
            </w:r>
          </w:p>
        </w:tc>
        <w:tc>
          <w:tcPr>
            <w:tcW w:w="1361"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5CECC0FC"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16 pts</w:t>
            </w:r>
          </w:p>
        </w:tc>
        <w:tc>
          <w:tcPr>
            <w:tcW w:w="1361"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01B473DE"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30%*</w:t>
            </w:r>
          </w:p>
        </w:tc>
        <w:tc>
          <w:tcPr>
            <w:tcW w:w="1361"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02CDC9D8"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14 pts*</w:t>
            </w:r>
          </w:p>
        </w:tc>
      </w:tr>
      <w:tr w:rsidR="004F5741" w14:paraId="1D6B02D3" w14:textId="77777777">
        <w:trPr>
          <w:trHeight w:hRule="exact" w:val="272"/>
          <w:jc w:val="center"/>
        </w:trPr>
        <w:tc>
          <w:tcPr>
            <w:tcW w:w="3969" w:type="dxa"/>
            <w:tcBorders>
              <w:top w:val="none" w:sz="0" w:space="0" w:color="000000"/>
              <w:left w:val="single" w:sz="8" w:space="0" w:color="666666"/>
              <w:bottom w:val="none" w:sz="0" w:space="0" w:color="000000"/>
              <w:right w:val="single" w:sz="8" w:space="0" w:color="666666"/>
            </w:tcBorders>
            <w:shd w:val="clear" w:color="auto" w:fill="D9D9D9"/>
            <w:tcMar>
              <w:top w:w="0" w:type="dxa"/>
              <w:left w:w="0" w:type="dxa"/>
              <w:bottom w:w="0" w:type="dxa"/>
              <w:right w:w="0" w:type="dxa"/>
            </w:tcMar>
            <w:vAlign w:val="center"/>
          </w:tcPr>
          <w:p w14:paraId="41AF7A5D"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Clerical and Administrative Workers</w:t>
            </w:r>
          </w:p>
        </w:tc>
        <w:tc>
          <w:tcPr>
            <w:tcW w:w="1361"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03F60E84"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38%*</w:t>
            </w:r>
          </w:p>
        </w:tc>
        <w:tc>
          <w:tcPr>
            <w:tcW w:w="1361"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1197916F"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9 pts*</w:t>
            </w:r>
          </w:p>
        </w:tc>
        <w:tc>
          <w:tcPr>
            <w:tcW w:w="1361"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7EB2FAA1"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30%*</w:t>
            </w:r>
          </w:p>
        </w:tc>
        <w:tc>
          <w:tcPr>
            <w:tcW w:w="1361"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3345F23E"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 pts*</w:t>
            </w:r>
          </w:p>
        </w:tc>
      </w:tr>
      <w:tr w:rsidR="004F5741" w14:paraId="0EC8678B" w14:textId="77777777">
        <w:trPr>
          <w:trHeight w:hRule="exact" w:val="272"/>
          <w:jc w:val="center"/>
        </w:trPr>
        <w:tc>
          <w:tcPr>
            <w:tcW w:w="3969" w:type="dxa"/>
            <w:tcBorders>
              <w:top w:val="none" w:sz="0" w:space="0" w:color="000000"/>
              <w:left w:val="single" w:sz="8" w:space="0" w:color="666666"/>
              <w:bottom w:val="none" w:sz="0" w:space="0" w:color="000000"/>
              <w:right w:val="single" w:sz="8" w:space="0" w:color="666666"/>
            </w:tcBorders>
            <w:shd w:val="clear" w:color="auto" w:fill="FFFFFF"/>
            <w:tcMar>
              <w:top w:w="0" w:type="dxa"/>
              <w:left w:w="0" w:type="dxa"/>
              <w:bottom w:w="0" w:type="dxa"/>
              <w:right w:w="0" w:type="dxa"/>
            </w:tcMar>
            <w:vAlign w:val="center"/>
          </w:tcPr>
          <w:p w14:paraId="2D582B60"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Sales Workers</w:t>
            </w:r>
          </w:p>
        </w:tc>
        <w:tc>
          <w:tcPr>
            <w:tcW w:w="1361"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2A84C9BC"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33%</w:t>
            </w:r>
          </w:p>
        </w:tc>
        <w:tc>
          <w:tcPr>
            <w:tcW w:w="1361"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433BEC31"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0 pts</w:t>
            </w:r>
          </w:p>
        </w:tc>
        <w:tc>
          <w:tcPr>
            <w:tcW w:w="1361" w:type="dxa"/>
            <w:tcBorders>
              <w:top w:val="none" w:sz="0" w:space="0" w:color="000000"/>
              <w:left w:val="single" w:sz="8" w:space="0" w:color="666666"/>
              <w:bottom w:val="none" w:sz="0" w:space="0" w:color="000000"/>
              <w:right w:val="none" w:sz="0" w:space="0" w:color="000000"/>
            </w:tcBorders>
            <w:shd w:val="clear" w:color="auto" w:fill="FFFFFF"/>
            <w:tcMar>
              <w:top w:w="0" w:type="dxa"/>
              <w:left w:w="0" w:type="dxa"/>
              <w:bottom w:w="0" w:type="dxa"/>
              <w:right w:w="0" w:type="dxa"/>
            </w:tcMar>
            <w:vAlign w:val="center"/>
          </w:tcPr>
          <w:p w14:paraId="6CE0E4CC"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28%</w:t>
            </w:r>
          </w:p>
        </w:tc>
        <w:tc>
          <w:tcPr>
            <w:tcW w:w="1361" w:type="dxa"/>
            <w:tcBorders>
              <w:top w:val="none" w:sz="0" w:space="0" w:color="000000"/>
              <w:left w:val="none" w:sz="0" w:space="0" w:color="000000"/>
              <w:bottom w:val="none" w:sz="0" w:space="0" w:color="000000"/>
              <w:right w:val="single" w:sz="8" w:space="0" w:color="666666"/>
            </w:tcBorders>
            <w:shd w:val="clear" w:color="auto" w:fill="FFFFFF"/>
            <w:tcMar>
              <w:top w:w="0" w:type="dxa"/>
              <w:left w:w="0" w:type="dxa"/>
              <w:bottom w:w="0" w:type="dxa"/>
              <w:right w:w="0" w:type="dxa"/>
            </w:tcMar>
            <w:vAlign w:val="center"/>
          </w:tcPr>
          <w:p w14:paraId="0AB64D84"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0 pts</w:t>
            </w:r>
          </w:p>
        </w:tc>
      </w:tr>
      <w:tr w:rsidR="004F5741" w14:paraId="6F34AC92" w14:textId="77777777">
        <w:trPr>
          <w:trHeight w:hRule="exact" w:val="272"/>
          <w:jc w:val="center"/>
        </w:trPr>
        <w:tc>
          <w:tcPr>
            <w:tcW w:w="3969" w:type="dxa"/>
            <w:tcBorders>
              <w:top w:val="none" w:sz="0" w:space="0" w:color="000000"/>
              <w:left w:val="single" w:sz="8" w:space="0" w:color="666666"/>
              <w:bottom w:val="none" w:sz="0" w:space="0" w:color="000000"/>
              <w:right w:val="single" w:sz="8" w:space="0" w:color="666666"/>
            </w:tcBorders>
            <w:shd w:val="clear" w:color="auto" w:fill="D9D9D9"/>
            <w:tcMar>
              <w:top w:w="0" w:type="dxa"/>
              <w:left w:w="0" w:type="dxa"/>
              <w:bottom w:w="0" w:type="dxa"/>
              <w:right w:w="0" w:type="dxa"/>
            </w:tcMar>
            <w:vAlign w:val="center"/>
          </w:tcPr>
          <w:p w14:paraId="393907E1"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Machinery Operators and Drivers</w:t>
            </w:r>
          </w:p>
        </w:tc>
        <w:tc>
          <w:tcPr>
            <w:tcW w:w="1361"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5BF0080C"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54%*</w:t>
            </w:r>
          </w:p>
        </w:tc>
        <w:tc>
          <w:tcPr>
            <w:tcW w:w="1361"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22718EE0"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8 pts*</w:t>
            </w:r>
          </w:p>
        </w:tc>
        <w:tc>
          <w:tcPr>
            <w:tcW w:w="1361" w:type="dxa"/>
            <w:tcBorders>
              <w:top w:val="none" w:sz="0" w:space="0" w:color="000000"/>
              <w:left w:val="single" w:sz="8" w:space="0" w:color="666666"/>
              <w:bottom w:val="none" w:sz="0" w:space="0" w:color="000000"/>
              <w:right w:val="none" w:sz="0" w:space="0" w:color="000000"/>
            </w:tcBorders>
            <w:shd w:val="clear" w:color="auto" w:fill="D9D9D9"/>
            <w:tcMar>
              <w:top w:w="0" w:type="dxa"/>
              <w:left w:w="0" w:type="dxa"/>
              <w:bottom w:w="0" w:type="dxa"/>
              <w:right w:w="0" w:type="dxa"/>
            </w:tcMar>
            <w:vAlign w:val="center"/>
          </w:tcPr>
          <w:p w14:paraId="7982EB08"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59%*</w:t>
            </w:r>
          </w:p>
        </w:tc>
        <w:tc>
          <w:tcPr>
            <w:tcW w:w="1361" w:type="dxa"/>
            <w:tcBorders>
              <w:top w:val="none" w:sz="0" w:space="0" w:color="000000"/>
              <w:left w:val="none" w:sz="0" w:space="0" w:color="000000"/>
              <w:bottom w:val="none" w:sz="0" w:space="0" w:color="000000"/>
              <w:right w:val="single" w:sz="8" w:space="0" w:color="666666"/>
            </w:tcBorders>
            <w:shd w:val="clear" w:color="auto" w:fill="D9D9D9"/>
            <w:tcMar>
              <w:top w:w="0" w:type="dxa"/>
              <w:left w:w="0" w:type="dxa"/>
              <w:bottom w:w="0" w:type="dxa"/>
              <w:right w:w="0" w:type="dxa"/>
            </w:tcMar>
            <w:vAlign w:val="center"/>
          </w:tcPr>
          <w:p w14:paraId="2E7F92EF"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25 pts*</w:t>
            </w:r>
          </w:p>
        </w:tc>
      </w:tr>
      <w:tr w:rsidR="004F5741" w14:paraId="4F956AE7" w14:textId="77777777">
        <w:trPr>
          <w:trHeight w:hRule="exact" w:val="272"/>
          <w:jc w:val="center"/>
        </w:trPr>
        <w:tc>
          <w:tcPr>
            <w:tcW w:w="3969" w:type="dxa"/>
            <w:tcBorders>
              <w:top w:val="none" w:sz="0" w:space="0" w:color="000000"/>
              <w:left w:val="single" w:sz="8" w:space="0" w:color="666666"/>
              <w:bottom w:val="single" w:sz="8" w:space="0" w:color="666666"/>
              <w:right w:val="single" w:sz="8" w:space="0" w:color="666666"/>
            </w:tcBorders>
            <w:shd w:val="clear" w:color="auto" w:fill="FFFFFF"/>
            <w:tcMar>
              <w:top w:w="0" w:type="dxa"/>
              <w:left w:w="0" w:type="dxa"/>
              <w:bottom w:w="0" w:type="dxa"/>
              <w:right w:w="0" w:type="dxa"/>
            </w:tcMar>
            <w:vAlign w:val="center"/>
          </w:tcPr>
          <w:p w14:paraId="52CD3D65"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rPr>
                <w:rFonts w:ascii="Arial (Body)" w:eastAsia="Arial (Body)" w:hAnsi="Arial (Body)" w:cs="Arial (Body)"/>
                <w:color w:val="000000"/>
                <w:sz w:val="20"/>
                <w:szCs w:val="20"/>
              </w:rPr>
            </w:pPr>
            <w:r>
              <w:rPr>
                <w:rFonts w:ascii="Arial (Body)" w:eastAsia="Arial (Body)" w:hAnsi="Arial (Body)" w:cs="Arial (Body)"/>
                <w:color w:val="000000"/>
                <w:sz w:val="20"/>
                <w:szCs w:val="20"/>
              </w:rPr>
              <w:t>Labourers</w:t>
            </w:r>
          </w:p>
        </w:tc>
        <w:tc>
          <w:tcPr>
            <w:tcW w:w="1361" w:type="dxa"/>
            <w:tcBorders>
              <w:top w:val="none" w:sz="0" w:space="0" w:color="000000"/>
              <w:left w:val="single" w:sz="8" w:space="0" w:color="666666"/>
              <w:bottom w:val="single" w:sz="8" w:space="0" w:color="666666"/>
              <w:right w:val="none" w:sz="0" w:space="0" w:color="000000"/>
            </w:tcBorders>
            <w:shd w:val="clear" w:color="auto" w:fill="FFFFFF"/>
            <w:tcMar>
              <w:top w:w="0" w:type="dxa"/>
              <w:left w:w="0" w:type="dxa"/>
              <w:bottom w:w="0" w:type="dxa"/>
              <w:right w:w="0" w:type="dxa"/>
            </w:tcMar>
            <w:vAlign w:val="center"/>
          </w:tcPr>
          <w:p w14:paraId="26B93C4F"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42%*</w:t>
            </w:r>
          </w:p>
        </w:tc>
        <w:tc>
          <w:tcPr>
            <w:tcW w:w="1361" w:type="dxa"/>
            <w:tcBorders>
              <w:top w:val="none" w:sz="0" w:space="0" w:color="000000"/>
              <w:left w:val="none" w:sz="0" w:space="0" w:color="000000"/>
              <w:bottom w:val="single" w:sz="8" w:space="0" w:color="666666"/>
              <w:right w:val="single" w:sz="8" w:space="0" w:color="666666"/>
            </w:tcBorders>
            <w:shd w:val="clear" w:color="auto" w:fill="FFFFFF"/>
            <w:tcMar>
              <w:top w:w="0" w:type="dxa"/>
              <w:left w:w="0" w:type="dxa"/>
              <w:bottom w:w="0" w:type="dxa"/>
              <w:right w:w="0" w:type="dxa"/>
            </w:tcMar>
            <w:vAlign w:val="center"/>
          </w:tcPr>
          <w:p w14:paraId="2B4B7CC4"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-3 pts*</w:t>
            </w:r>
          </w:p>
        </w:tc>
        <w:tc>
          <w:tcPr>
            <w:tcW w:w="1361" w:type="dxa"/>
            <w:tcBorders>
              <w:top w:val="none" w:sz="0" w:space="0" w:color="000000"/>
              <w:left w:val="single" w:sz="8" w:space="0" w:color="666666"/>
              <w:bottom w:val="single" w:sz="8" w:space="0" w:color="666666"/>
              <w:right w:val="none" w:sz="0" w:space="0" w:color="000000"/>
            </w:tcBorders>
            <w:shd w:val="clear" w:color="auto" w:fill="FFFFFF"/>
            <w:tcMar>
              <w:top w:w="0" w:type="dxa"/>
              <w:left w:w="0" w:type="dxa"/>
              <w:bottom w:w="0" w:type="dxa"/>
              <w:right w:w="0" w:type="dxa"/>
            </w:tcMar>
            <w:vAlign w:val="center"/>
          </w:tcPr>
          <w:p w14:paraId="09FE2B6C"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30%*</w:t>
            </w:r>
          </w:p>
        </w:tc>
        <w:tc>
          <w:tcPr>
            <w:tcW w:w="1361" w:type="dxa"/>
            <w:tcBorders>
              <w:top w:val="none" w:sz="0" w:space="0" w:color="000000"/>
              <w:left w:val="none" w:sz="0" w:space="0" w:color="000000"/>
              <w:bottom w:val="single" w:sz="8" w:space="0" w:color="666666"/>
              <w:right w:val="single" w:sz="8" w:space="0" w:color="666666"/>
            </w:tcBorders>
            <w:shd w:val="clear" w:color="auto" w:fill="FFFFFF"/>
            <w:tcMar>
              <w:top w:w="0" w:type="dxa"/>
              <w:left w:w="0" w:type="dxa"/>
              <w:bottom w:w="0" w:type="dxa"/>
              <w:right w:w="0" w:type="dxa"/>
            </w:tcMar>
            <w:vAlign w:val="center"/>
          </w:tcPr>
          <w:p w14:paraId="76D474E5" w14:textId="77777777" w:rsidR="004F5741" w:rsidRDefault="003416A1">
            <w:pPr>
              <w:pBdr>
                <w:top w:val="none" w:sz="0" w:space="0" w:color="000000"/>
                <w:left w:val="none" w:sz="0" w:space="0" w:color="000000"/>
                <w:bottom w:val="none" w:sz="0" w:space="0" w:color="000000"/>
                <w:right w:val="none" w:sz="0" w:space="0" w:color="000000"/>
              </w:pBdr>
              <w:spacing w:after="0" w:line="240" w:lineRule="auto"/>
              <w:jc w:val="center"/>
              <w:rPr>
                <w:rFonts w:ascii="Arial (Body)" w:eastAsia="Arial (Body)" w:hAnsi="Arial (Body)" w:cs="Arial (Body)"/>
                <w:color w:val="000000"/>
                <w:sz w:val="20"/>
                <w:szCs w:val="20"/>
              </w:rPr>
            </w:pPr>
            <w:r>
              <w:rPr>
                <w:rFonts w:ascii="Arial (Body)" w:eastAsia="Arial (Body)" w:hAnsi="Arial (Body)" w:cs="Arial (Body)"/>
                <w:color w:val="000000"/>
                <w:sz w:val="20"/>
                <w:szCs w:val="20"/>
              </w:rPr>
              <w:t>-7 pts*</w:t>
            </w:r>
          </w:p>
        </w:tc>
      </w:tr>
    </w:tbl>
    <w:p w14:paraId="3233078C" w14:textId="36BA90D6" w:rsidR="004F5741" w:rsidRDefault="003416A1">
      <w:pPr>
        <w:pStyle w:val="FooterText"/>
      </w:pPr>
      <w:r>
        <w:t>*</w:t>
      </w:r>
      <w:r w:rsidR="003D3E08">
        <w:t xml:space="preserve"> </w:t>
      </w:r>
      <w:r>
        <w:t>Interpret with caution due to low sample size.</w:t>
      </w:r>
    </w:p>
    <w:p w14:paraId="6AB5415A" w14:textId="15A9F63A" w:rsidR="004F5741" w:rsidRDefault="003416A1">
      <w:pPr>
        <w:pStyle w:val="Heading3"/>
      </w:pPr>
      <w:bookmarkStart w:id="20" w:name="Xece41241ef8ef377433d1d84f945dd892df6af3"/>
      <w:bookmarkEnd w:id="19"/>
      <w:r>
        <w:t>Figure 9. Recruitment difficulty rate by occupation, March quarter 202</w:t>
      </w:r>
      <w:r w:rsidR="003D3E08">
        <w:t>5</w:t>
      </w:r>
      <w:r>
        <w:t xml:space="preserve"> - March quarter 2026</w:t>
      </w:r>
    </w:p>
    <w:p w14:paraId="4698FC13" w14:textId="77777777" w:rsidR="004F5741" w:rsidRDefault="003416A1">
      <w:r>
        <w:rPr>
          <w:noProof/>
        </w:rPr>
        <w:drawing>
          <wp:inline distT="0" distB="0" distL="0" distR="0" wp14:anchorId="3F5B3619" wp14:editId="4265F1A0">
            <wp:extent cx="6108700" cy="1658075"/>
            <wp:effectExtent l="0" t="0" r="0" b="0"/>
            <wp:docPr id="73" name="Picture" descr="  Mar qtr 2025 Jun qtr 2025 Sep qtr 2025 Dec qtr 2025 Mar qtr 2026&#10;Clerical and Administrative Workers 29%* 43%* 35%* 29%* 38%*&#10;Community and Personal Service Workers 28% 45% 40% 31% 44%&#10;Labourers 45% 43% 40% 52%* 42%*&#10;Machinery Operators and Drivers 46%* 47%* 44%* 42%* 54%*&#10;Professionals 51% 61%* 45% 45%* 45%*&#10;Sales Workers 33% 37% 24% 30% 33%&#10;Technicians and Trades Workers 61% 67% 61% 60% 63%&#10;"/>
            <wp:cNvGraphicFramePr/>
            <a:graphic xmlns:a="http://schemas.openxmlformats.org/drawingml/2006/main">
              <a:graphicData uri="http://schemas.openxmlformats.org/drawingml/2006/picture">
                <pic:pic xmlns:pic="http://schemas.openxmlformats.org/drawingml/2006/picture">
                  <pic:nvPicPr>
                    <pic:cNvPr id="73" name="Picture" descr="  Mar qtr 2025 Jun qtr 2025 Sep qtr 2025 Dec qtr 2025 Mar qtr 2026&#10;Clerical and Administrative Workers 29%* 43%* 35%* 29%* 38%*&#10;Community and Personal Service Workers 28% 45% 40% 31% 44%&#10;Labourers 45% 43% 40% 52%* 42%*&#10;Machinery Operators and Drivers 46%* 47%* 44%* 42%* 54%*&#10;Professionals 51% 61%* 45% 45%* 45%*&#10;Sales Workers 33% 37% 24% 30% 33%&#10;Technicians and Trades Workers 61% 67% 61% 60% 63%&#10;"/>
                    <pic:cNvPicPr>
                      <a:picLocks noChangeAspect="1" noChangeArrowheads="1"/>
                    </pic:cNvPicPr>
                  </pic:nvPicPr>
                  <pic:blipFill>
                    <a:blip r:embed="rId21"/>
                    <a:stretch>
                      <a:fillRect/>
                    </a:stretch>
                  </pic:blipFill>
                  <pic:spPr bwMode="auto">
                    <a:xfrm>
                      <a:off x="0" y="0"/>
                      <a:ext cx="6108700" cy="1658075"/>
                    </a:xfrm>
                    <a:prstGeom prst="rect">
                      <a:avLst/>
                    </a:prstGeom>
                    <a:noFill/>
                    <a:ln w="9525">
                      <a:noFill/>
                      <a:headEnd/>
                      <a:tailEnd/>
                    </a:ln>
                  </pic:spPr>
                </pic:pic>
              </a:graphicData>
            </a:graphic>
          </wp:inline>
        </w:drawing>
      </w:r>
    </w:p>
    <w:p w14:paraId="760B51B2" w14:textId="1E316E04" w:rsidR="004F5741" w:rsidRDefault="003416A1">
      <w:pPr>
        <w:pStyle w:val="Heading3"/>
      </w:pPr>
      <w:bookmarkStart w:id="21" w:name="X35848af075bb2dc65c9d792917b10485df178db"/>
      <w:bookmarkEnd w:id="20"/>
      <w:r>
        <w:t>Figure 10. Vacancies taking longer than 1 month to fill, by occupation group, March quarter 202</w:t>
      </w:r>
      <w:r w:rsidR="003D3E08">
        <w:t>5</w:t>
      </w:r>
      <w:r>
        <w:t xml:space="preserve"> - March quarter 2026</w:t>
      </w:r>
    </w:p>
    <w:p w14:paraId="2B4A0FFA" w14:textId="77777777" w:rsidR="004F5741" w:rsidRDefault="003416A1">
      <w:r>
        <w:rPr>
          <w:noProof/>
        </w:rPr>
        <w:drawing>
          <wp:inline distT="0" distB="0" distL="0" distR="0" wp14:anchorId="474E2161" wp14:editId="4BE74387">
            <wp:extent cx="6108700" cy="2094411"/>
            <wp:effectExtent l="0" t="0" r="0" b="0"/>
            <wp:docPr id="77" name="Picture" descr="  Mar qtr 2025 Jun qtr 2025 Sep qtr 2025 Dec qtr 2025 Mar qtr 2026&#10;Clerical and Administrative Workers 26%* 31%* 38%* 33%* 30%*&#10;Community and Personal Service Workers 16%* 29%* 36% 33% 30%*&#10;Labourers 37%* 31%* 30%* 29%* 30%*&#10;Machinery Operators and Drivers 34%* 34%* 34%* 31%* 59%*&#10;Professionals 52%* 61%* 56% 64%* 46%*&#10;Sales Workers 28% 27% 25% 27%* 28%&#10;Technicians and Trades Workers 52% 61% 54% 55% 59%&#10;"/>
            <wp:cNvGraphicFramePr/>
            <a:graphic xmlns:a="http://schemas.openxmlformats.org/drawingml/2006/main">
              <a:graphicData uri="http://schemas.openxmlformats.org/drawingml/2006/picture">
                <pic:pic xmlns:pic="http://schemas.openxmlformats.org/drawingml/2006/picture">
                  <pic:nvPicPr>
                    <pic:cNvPr id="77" name="Picture" descr="  Mar qtr 2025 Jun qtr 2025 Sep qtr 2025 Dec qtr 2025 Mar qtr 2026&#10;Clerical and Administrative Workers 26%* 31%* 38%* 33%* 30%*&#10;Community and Personal Service Workers 16%* 29%* 36% 33% 30%*&#10;Labourers 37%* 31%* 30%* 29%* 30%*&#10;Machinery Operators and Drivers 34%* 34%* 34%* 31%* 59%*&#10;Professionals 52%* 61%* 56% 64%* 46%*&#10;Sales Workers 28% 27% 25% 27%* 28%&#10;Technicians and Trades Workers 52% 61% 54% 55% 59%&#10;"/>
                    <pic:cNvPicPr>
                      <a:picLocks noChangeAspect="1" noChangeArrowheads="1"/>
                    </pic:cNvPicPr>
                  </pic:nvPicPr>
                  <pic:blipFill>
                    <a:blip r:embed="rId22"/>
                    <a:stretch>
                      <a:fillRect/>
                    </a:stretch>
                  </pic:blipFill>
                  <pic:spPr bwMode="auto">
                    <a:xfrm>
                      <a:off x="0" y="0"/>
                      <a:ext cx="6108700" cy="2094411"/>
                    </a:xfrm>
                    <a:prstGeom prst="rect">
                      <a:avLst/>
                    </a:prstGeom>
                    <a:noFill/>
                    <a:ln w="9525">
                      <a:noFill/>
                      <a:headEnd/>
                      <a:tailEnd/>
                    </a:ln>
                  </pic:spPr>
                </pic:pic>
              </a:graphicData>
            </a:graphic>
          </wp:inline>
        </w:drawing>
      </w:r>
    </w:p>
    <w:p w14:paraId="5353BC77" w14:textId="77777777" w:rsidR="004F5741" w:rsidRDefault="003416A1">
      <w:r>
        <w:br w:type="page"/>
      </w:r>
    </w:p>
    <w:p w14:paraId="4E72087B" w14:textId="77777777" w:rsidR="004F5741" w:rsidRDefault="003416A1">
      <w:pPr>
        <w:pStyle w:val="Heading4"/>
      </w:pPr>
      <w:bookmarkStart w:id="22" w:name="reos-background-and-notes"/>
      <w:r>
        <w:lastRenderedPageBreak/>
        <w:t>REOS Background and Notes</w:t>
      </w:r>
    </w:p>
    <w:p w14:paraId="07BC3C11" w14:textId="76CE7819" w:rsidR="004F5741" w:rsidRDefault="003416A1">
      <w:r>
        <w:t xml:space="preserve">Jobs and Skills Australia </w:t>
      </w:r>
      <w:proofErr w:type="gramStart"/>
      <w:r>
        <w:t>conducts</w:t>
      </w:r>
      <w:proofErr w:type="gramEnd"/>
      <w:r>
        <w:t xml:space="preserve"> the Recruitment Experiences and Outlook Survey (REOS), a telephone administered survey of </w:t>
      </w:r>
      <w:r w:rsidR="000F44F9">
        <w:t>around</w:t>
      </w:r>
      <w:r>
        <w:t xml:space="preserve"> 1,000 employers each month (except for December and January, during which fewer employers are surveyed). While the results are indicative of recruitment activity, they may be subject to seasonal factors and other volatility and should therefore be used with a degree of caution. In addition, the survey is targeted towards employers with 5 or more </w:t>
      </w:r>
      <w:proofErr w:type="gramStart"/>
      <w:r>
        <w:t>employees, and</w:t>
      </w:r>
      <w:proofErr w:type="gramEnd"/>
      <w:r>
        <w:t xml:space="preserve"> excludes many government organisations. More detail is available at </w:t>
      </w:r>
      <w:hyperlink r:id="rId23">
        <w:r>
          <w:rPr>
            <w:rStyle w:val="Hyperlink"/>
          </w:rPr>
          <w:t>https://www.jobsandskills.gov.au/work/reos-survey-methodology</w:t>
        </w:r>
      </w:hyperlink>
      <w:r>
        <w:t xml:space="preserve">. REOS data are published on the </w:t>
      </w:r>
      <w:hyperlink r:id="rId24">
        <w:r>
          <w:rPr>
            <w:rStyle w:val="Hyperlink"/>
          </w:rPr>
          <w:t>Jobs and Skills Australia website</w:t>
        </w:r>
      </w:hyperlink>
      <w:r>
        <w:t>.</w:t>
      </w:r>
    </w:p>
    <w:p w14:paraId="5B59026F" w14:textId="77777777" w:rsidR="004F5741" w:rsidRDefault="003416A1">
      <w:r>
        <w:t>Data in this releas</w:t>
      </w:r>
      <w:r w:rsidRPr="00FE5AAD">
        <w:t xml:space="preserve">e should be referenced as: </w:t>
      </w:r>
      <w:r w:rsidRPr="00FE5AAD">
        <w:rPr>
          <w:i/>
          <w:iCs/>
        </w:rPr>
        <w:t>Jobs and Skills Australia, Recruitment Experiences and Outlook Survey: March quarter 2026.</w:t>
      </w:r>
    </w:p>
    <w:p w14:paraId="00BF4740" w14:textId="77777777" w:rsidR="004F5741" w:rsidRDefault="003416A1">
      <w:pPr>
        <w:pStyle w:val="Heading5"/>
      </w:pPr>
      <w:bookmarkStart w:id="23" w:name="data-notations"/>
      <w:r>
        <w:t>Data notations</w:t>
      </w:r>
    </w:p>
    <w:p w14:paraId="451D1D72" w14:textId="77777777" w:rsidR="004F5741" w:rsidRDefault="003416A1">
      <w:r>
        <w:t>* Interpret with caution due to low sample size.</w:t>
      </w:r>
    </w:p>
    <w:p w14:paraId="08FF64ED" w14:textId="77777777" w:rsidR="004F5741" w:rsidRDefault="003416A1">
      <w:pPr>
        <w:pStyle w:val="Heading5"/>
      </w:pPr>
      <w:bookmarkStart w:id="24" w:name="recruitment-rate"/>
      <w:bookmarkEnd w:id="23"/>
      <w:r>
        <w:t>Recruitment rate</w:t>
      </w:r>
    </w:p>
    <w:p w14:paraId="48CF941D" w14:textId="77777777" w:rsidR="004F5741" w:rsidRDefault="003416A1">
      <w:r>
        <w:t>The proportion of employers either currently recruiting or who had recruited in the previous month. It is calculated by dividing the number of employers who recruited or were attempting to recruit by the number of employers that responded to the survey (excluding ‘unsure’ responses).</w:t>
      </w:r>
    </w:p>
    <w:p w14:paraId="5E720954" w14:textId="77777777" w:rsidR="004F5741" w:rsidRDefault="003416A1">
      <w:pPr>
        <w:pStyle w:val="Heading5"/>
      </w:pPr>
      <w:bookmarkStart w:id="25" w:name="recruitment-difficulty-rate"/>
      <w:bookmarkEnd w:id="24"/>
      <w:r>
        <w:t>Recruitment difficulty rate</w:t>
      </w:r>
    </w:p>
    <w:p w14:paraId="57DCD1D4" w14:textId="77777777" w:rsidR="004F5741" w:rsidRDefault="003416A1">
      <w:r>
        <w:t xml:space="preserve">The proportion of recruiting employers who </w:t>
      </w:r>
      <w:proofErr w:type="gramStart"/>
      <w:r>
        <w:t>experienced difficulty</w:t>
      </w:r>
      <w:proofErr w:type="gramEnd"/>
      <w:r>
        <w:t xml:space="preserve"> hiring staff. This indicator focusses on the most recent recruitment round in the month prior to being surveyed. The indicator is calculated as: employers who recruited and reported difficulty, divided by all employers who recruited (excluding ‘unsure’ responses).</w:t>
      </w:r>
    </w:p>
    <w:p w14:paraId="4D6A8496" w14:textId="77777777" w:rsidR="004F5741" w:rsidRDefault="003416A1">
      <w:pPr>
        <w:pStyle w:val="Heading5"/>
      </w:pPr>
      <w:bookmarkStart w:id="26" w:name="X5d6f6205376ab4383f9a3cb7ad08abebabe46a8"/>
      <w:bookmarkEnd w:id="25"/>
      <w:r>
        <w:t>Expectations to increase staffing levels over the next 3 months</w:t>
      </w:r>
    </w:p>
    <w:p w14:paraId="0A6D4EC7" w14:textId="77777777" w:rsidR="004F5741" w:rsidRDefault="003416A1">
      <w:r>
        <w:t>This is calculated as the percentage of employers who expect to increase staff over the next 3 months, divided by all employers. Expectations to decrease staff is also collected.</w:t>
      </w:r>
    </w:p>
    <w:p w14:paraId="606AE758" w14:textId="77777777" w:rsidR="00FE5AAD" w:rsidRDefault="003416A1" w:rsidP="00FE5AAD">
      <w:pPr>
        <w:pStyle w:val="Heading5"/>
      </w:pPr>
      <w:bookmarkStart w:id="27" w:name="X300be1631779daff421434e5047446bb326aa5d"/>
      <w:bookmarkEnd w:id="26"/>
      <w:r>
        <w:t>Vacancies taking longer than 1 month to fill</w:t>
      </w:r>
    </w:p>
    <w:p w14:paraId="601BAB35" w14:textId="253AEB8B" w:rsidR="004F5741" w:rsidRPr="00C62980" w:rsidRDefault="003416A1" w:rsidP="00FE5AAD">
      <w:pPr>
        <w:pStyle w:val="Heading5"/>
        <w:rPr>
          <w:color w:val="000000" w:themeColor="text1"/>
        </w:rPr>
      </w:pPr>
      <w:r w:rsidRPr="00C62980">
        <w:rPr>
          <w:b w:val="0"/>
          <w:bCs w:val="0"/>
          <w:color w:val="000000" w:themeColor="text1"/>
        </w:rPr>
        <w:t>The proportion of recruiting employers unable to fill all their vacancies within a month. It excludes employers with unfilled vacancies who have been recruiting for less than a month</w:t>
      </w:r>
      <w:r w:rsidRPr="00C62980">
        <w:rPr>
          <w:color w:val="000000" w:themeColor="text1"/>
        </w:rPr>
        <w:t>.</w:t>
      </w:r>
    </w:p>
    <w:p w14:paraId="2083FEB3" w14:textId="77777777" w:rsidR="004F5741" w:rsidRDefault="003416A1">
      <w:pPr>
        <w:pStyle w:val="Heading6"/>
      </w:pPr>
      <w:bookmarkStart w:id="28" w:name="recent-reos-releases"/>
      <w:r>
        <w:t>Recent REOS releases</w:t>
      </w:r>
    </w:p>
    <w:p w14:paraId="02CEE8D4" w14:textId="77777777" w:rsidR="004F5741" w:rsidRDefault="003416A1">
      <w:r>
        <w:t xml:space="preserve">The </w:t>
      </w:r>
      <w:hyperlink r:id="rId25">
        <w:r>
          <w:rPr>
            <w:rStyle w:val="Hyperlink"/>
          </w:rPr>
          <w:t>Jobs and Skills Australia website</w:t>
        </w:r>
      </w:hyperlink>
      <w:r>
        <w:t xml:space="preserve"> includes:</w:t>
      </w:r>
    </w:p>
    <w:p w14:paraId="56C6D1A6" w14:textId="77777777" w:rsidR="004F5741" w:rsidRPr="00C62980" w:rsidRDefault="003416A1">
      <w:pPr>
        <w:numPr>
          <w:ilvl w:val="0"/>
          <w:numId w:val="27"/>
        </w:numPr>
      </w:pPr>
      <w:r w:rsidRPr="00C62980">
        <w:t>The March 2026 monthly REOS report, including a more detailed excel datafile. The datafile includes both the monthly results as well as the quarterly series. The quarterly estimates are aggregated results for the 3 months within each quarter.</w:t>
      </w:r>
    </w:p>
    <w:p w14:paraId="2465B5D6" w14:textId="394741D3" w:rsidR="004F5741" w:rsidRPr="00C62980" w:rsidRDefault="003416A1">
      <w:pPr>
        <w:numPr>
          <w:ilvl w:val="0"/>
          <w:numId w:val="27"/>
        </w:numPr>
      </w:pPr>
      <w:r w:rsidRPr="00C62980">
        <w:t xml:space="preserve">REOS Spotlight series featuring analysis on topics of interest not covered in the regular monthly. Recent spotlight releases cover </w:t>
      </w:r>
      <w:r w:rsidR="001B13CF">
        <w:t>successful methods of recruitment, and entry level jobs across city, coastal, inland and remote regions.</w:t>
      </w:r>
    </w:p>
    <w:p w14:paraId="5501A4CA" w14:textId="45591DDE" w:rsidR="004F5741" w:rsidRDefault="003416A1">
      <w:r w:rsidRPr="00C62980">
        <w:t xml:space="preserve">For queries, contact: </w:t>
      </w:r>
      <w:hyperlink r:id="rId26">
        <w:r w:rsidRPr="00C62980">
          <w:rPr>
            <w:rStyle w:val="Hyperlink"/>
          </w:rPr>
          <w:t>REOS@jobsandskills.gov.au</w:t>
        </w:r>
      </w:hyperlink>
      <w:bookmarkEnd w:id="0"/>
      <w:bookmarkEnd w:id="18"/>
      <w:bookmarkEnd w:id="21"/>
      <w:bookmarkEnd w:id="22"/>
      <w:bookmarkEnd w:id="27"/>
      <w:bookmarkEnd w:id="28"/>
    </w:p>
    <w:sectPr w:rsidR="004F5741" w:rsidSect="00FD3745">
      <w:footerReference w:type="default" r:id="rId27"/>
      <w:headerReference w:type="first" r:id="rId28"/>
      <w:footerReference w:type="first" r:id="rId29"/>
      <w:pgSz w:w="11906" w:h="16838"/>
      <w:pgMar w:top="1361" w:right="1134" w:bottom="1134" w:left="113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FA07E" w14:textId="77777777" w:rsidR="002F7C0B" w:rsidRDefault="002F7C0B">
      <w:pPr>
        <w:spacing w:after="0" w:line="240" w:lineRule="auto"/>
      </w:pPr>
      <w:r>
        <w:separator/>
      </w:r>
    </w:p>
  </w:endnote>
  <w:endnote w:type="continuationSeparator" w:id="0">
    <w:p w14:paraId="454C8963" w14:textId="77777777" w:rsidR="002F7C0B" w:rsidRDefault="002F7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ody)">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BFED" w14:textId="06D125AC" w:rsidR="004860A5" w:rsidRPr="00B14460" w:rsidRDefault="000116AD" w:rsidP="00E172F9">
    <w:pPr>
      <w:pStyle w:val="Footer"/>
    </w:pPr>
    <w:r w:rsidRPr="00991526">
      <w:t xml:space="preserve">Jobs and Skills Australia – </w:t>
    </w:r>
    <w:r>
      <w:t>Recruitment Experiences and Outlook Survey</w:t>
    </w:r>
    <w:r w:rsidR="005B098E">
      <w:t>: March quarter 2026</w:t>
    </w:r>
    <w:r w:rsidR="004860A5" w:rsidRPr="00B14460">
      <w:tab/>
    </w:r>
    <w:sdt>
      <w:sdtPr>
        <w:id w:val="-2122141121"/>
        <w:docPartObj>
          <w:docPartGallery w:val="Page Numbers (Bottom of Page)"/>
          <w:docPartUnique/>
        </w:docPartObj>
      </w:sdtPr>
      <w:sdtEndPr>
        <w:rPr>
          <w:noProof/>
        </w:rPr>
      </w:sdtEndPr>
      <w:sdtContent>
        <w:r w:rsidR="004860A5" w:rsidRPr="00B14460">
          <w:fldChar w:fldCharType="begin"/>
        </w:r>
        <w:r w:rsidR="004860A5" w:rsidRPr="00B14460">
          <w:instrText xml:space="preserve"> PAGE   \* MERGEFORMAT </w:instrText>
        </w:r>
        <w:r w:rsidR="004860A5" w:rsidRPr="00B14460">
          <w:fldChar w:fldCharType="separate"/>
        </w:r>
        <w:r w:rsidR="004860A5">
          <w:t>1</w:t>
        </w:r>
        <w:r w:rsidR="004860A5" w:rsidRPr="00B14460">
          <w:rPr>
            <w:noProof/>
          </w:rPr>
          <w:fldChar w:fldCharType="end"/>
        </w:r>
      </w:sdtContent>
    </w:sdt>
  </w:p>
  <w:p w14:paraId="0B4EB121" w14:textId="77777777" w:rsidR="003708C1" w:rsidRPr="004860A5" w:rsidRDefault="003708C1" w:rsidP="00E17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DFC7" w14:textId="1777AD5C" w:rsidR="00753665" w:rsidRPr="005B098E" w:rsidRDefault="000355EB" w:rsidP="00E172F9">
    <w:pPr>
      <w:pStyle w:val="Footer"/>
      <w:rPr>
        <w:b/>
        <w:bCs/>
      </w:rPr>
    </w:pPr>
    <w:r w:rsidRPr="00991526">
      <w:t xml:space="preserve">Jobs and Skills Australia – </w:t>
    </w:r>
    <w:r>
      <w:t xml:space="preserve">Recruitment Experiences </w:t>
    </w:r>
    <w:r w:rsidRPr="005B098E">
      <w:t xml:space="preserve">and Outlook Survey: </w:t>
    </w:r>
    <w:r w:rsidR="005B098E" w:rsidRPr="005B098E">
      <w:t>March quarter 2026</w:t>
    </w:r>
    <w:r w:rsidR="00E24280" w:rsidRPr="00B14460">
      <w:tab/>
    </w:r>
    <w:sdt>
      <w:sdtPr>
        <w:id w:val="1346446715"/>
        <w:docPartObj>
          <w:docPartGallery w:val="Page Numbers (Bottom of Page)"/>
          <w:docPartUnique/>
        </w:docPartObj>
      </w:sdtPr>
      <w:sdtEndPr>
        <w:rPr>
          <w:noProof/>
        </w:rPr>
      </w:sdtEndPr>
      <w:sdtContent>
        <w:r w:rsidR="00753665" w:rsidRPr="00B14460">
          <w:fldChar w:fldCharType="begin"/>
        </w:r>
        <w:r w:rsidR="00753665" w:rsidRPr="00B14460">
          <w:instrText xml:space="preserve"> PAGE   \* MERGEFORMAT </w:instrText>
        </w:r>
        <w:r w:rsidR="00753665" w:rsidRPr="00B14460">
          <w:fldChar w:fldCharType="separate"/>
        </w:r>
        <w:r w:rsidR="00753665" w:rsidRPr="00B14460">
          <w:rPr>
            <w:noProof/>
          </w:rPr>
          <w:t>2</w:t>
        </w:r>
        <w:r w:rsidR="00753665" w:rsidRPr="00B1446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A0F31" w14:textId="77777777" w:rsidR="002F7C0B" w:rsidRDefault="002F7C0B">
      <w:pPr>
        <w:spacing w:after="0" w:line="240" w:lineRule="auto"/>
      </w:pPr>
      <w:r>
        <w:separator/>
      </w:r>
    </w:p>
  </w:footnote>
  <w:footnote w:type="continuationSeparator" w:id="0">
    <w:p w14:paraId="65E66543" w14:textId="77777777" w:rsidR="002F7C0B" w:rsidRDefault="002F7C0B">
      <w:pPr>
        <w:spacing w:after="0" w:line="240" w:lineRule="auto"/>
      </w:pPr>
      <w:r>
        <w:continuationSeparator/>
      </w:r>
    </w:p>
  </w:footnote>
  <w:footnote w:id="1">
    <w:p w14:paraId="1F048A52" w14:textId="77777777" w:rsidR="004F5741" w:rsidRDefault="003416A1">
      <w:pPr>
        <w:pStyle w:val="FootnoteText"/>
      </w:pPr>
      <w:r>
        <w:rPr>
          <w:rStyle w:val="FootnoteReference"/>
        </w:rPr>
        <w:footnoteRef/>
      </w:r>
      <w:r>
        <w:t xml:space="preserve"> Australian Bureau of Statistics, Remoteness Areas, Australian Statistical Geography Standard (ASGS) Edition 3, https://www.abs.gov.au/statistics/standards/australian-statistical-geography-standard-asgs-edition-3/jul2021-jun2026/remoteness-structure/remoteness-areas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F262" w14:textId="77777777" w:rsidR="00533B48" w:rsidRDefault="00D02127" w:rsidP="00E172F9">
    <w:pPr>
      <w:pStyle w:val="Header"/>
    </w:pPr>
    <w:r>
      <w:rPr>
        <w:noProof/>
      </w:rPr>
      <w:drawing>
        <wp:anchor distT="0" distB="0" distL="114300" distR="114300" simplePos="0" relativeHeight="251659264" behindDoc="0" locked="0" layoutInCell="1" allowOverlap="1" wp14:anchorId="7390375D" wp14:editId="2B48F111">
          <wp:simplePos x="0" y="0"/>
          <wp:positionH relativeFrom="page">
            <wp:align>right</wp:align>
          </wp:positionH>
          <wp:positionV relativeFrom="paragraph">
            <wp:posOffset>-6350</wp:posOffset>
          </wp:positionV>
          <wp:extent cx="7550596" cy="1624330"/>
          <wp:effectExtent l="0" t="0" r="0" b="0"/>
          <wp:wrapNone/>
          <wp:docPr id="67662978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84876" name="Graphic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0596" cy="1624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0ABC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6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E45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5E7D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C2A15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4410687E"/>
    <w:lvl w:ilvl="0">
      <w:start w:val="1"/>
      <w:numFmt w:val="decimal"/>
      <w:pStyle w:val="ListNumber"/>
      <w:lvlText w:val="%1."/>
      <w:lvlJc w:val="left"/>
      <w:pPr>
        <w:tabs>
          <w:tab w:val="num" w:pos="360"/>
        </w:tabs>
        <w:ind w:left="360" w:hanging="360"/>
      </w:pPr>
    </w:lvl>
  </w:abstractNum>
  <w:abstractNum w:abstractNumId="6" w15:restartNumberingAfterBreak="0">
    <w:nsid w:val="0000A990"/>
    <w:multiLevelType w:val="multilevel"/>
    <w:tmpl w:val="19A06B6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7" w15:restartNumberingAfterBreak="0">
    <w:nsid w:val="0000A991"/>
    <w:multiLevelType w:val="multilevel"/>
    <w:tmpl w:val="635C1D8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8" w15:restartNumberingAfterBreak="0">
    <w:nsid w:val="097C163D"/>
    <w:multiLevelType w:val="hybridMultilevel"/>
    <w:tmpl w:val="594C2E34"/>
    <w:lvl w:ilvl="0" w:tplc="0C090001">
      <w:start w:val="1"/>
      <w:numFmt w:val="bullet"/>
      <w:lvlText w:val=""/>
      <w:lvlJc w:val="left"/>
      <w:pPr>
        <w:ind w:left="720" w:hanging="360"/>
      </w:pPr>
      <w:rPr>
        <w:rFonts w:ascii="Symbol" w:hAnsi="Symbol" w:hint="default"/>
      </w:rPr>
    </w:lvl>
    <w:lvl w:ilvl="1" w:tplc="70D2A66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A96197"/>
    <w:multiLevelType w:val="hybridMultilevel"/>
    <w:tmpl w:val="309672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D585F53"/>
    <w:multiLevelType w:val="multilevel"/>
    <w:tmpl w:val="8E1096D0"/>
    <w:name w:val="ListBullets"/>
    <w:lvl w:ilvl="0">
      <w:start w:val="1"/>
      <w:numFmt w:val="bullet"/>
      <w:pStyle w:val="ListBullet"/>
      <w:lvlText w:val="•"/>
      <w:lvlJc w:val="left"/>
      <w:pPr>
        <w:ind w:left="340" w:hanging="340"/>
      </w:pPr>
      <w:rPr>
        <w:rFonts w:ascii="Calibri" w:hAnsi="Calibri" w:hint="default"/>
        <w:color w:val="auto"/>
      </w:rPr>
    </w:lvl>
    <w:lvl w:ilvl="1">
      <w:start w:val="1"/>
      <w:numFmt w:val="bullet"/>
      <w:pStyle w:val="ListBullet2"/>
      <w:lvlText w:val="–"/>
      <w:lvlJc w:val="left"/>
      <w:pPr>
        <w:ind w:left="680" w:hanging="340"/>
      </w:pPr>
      <w:rPr>
        <w:rFonts w:ascii="Arial" w:hAnsi="Arial" w:hint="default"/>
        <w:color w:val="auto"/>
      </w:rPr>
    </w:lvl>
    <w:lvl w:ilvl="2">
      <w:start w:val="1"/>
      <w:numFmt w:val="bullet"/>
      <w:pStyle w:val="ListBullet3"/>
      <w:lvlText w:val="○"/>
      <w:lvlJc w:val="left"/>
      <w:pPr>
        <w:ind w:left="1020" w:hanging="340"/>
      </w:pPr>
      <w:rPr>
        <w:rFonts w:ascii="Times New Roman" w:hAnsi="Times New Roman" w:cs="Times New Roman" w:hint="default"/>
        <w:color w:val="auto"/>
      </w:rPr>
    </w:lvl>
    <w:lvl w:ilvl="3">
      <w:start w:val="1"/>
      <w:numFmt w:val="bullet"/>
      <w:pStyle w:val="ListBullet4"/>
      <w:lvlText w:val="•"/>
      <w:lvlJc w:val="left"/>
      <w:pPr>
        <w:ind w:left="1360" w:hanging="340"/>
      </w:pPr>
      <w:rPr>
        <w:rFonts w:ascii="Arial" w:hAnsi="Arial" w:hint="default"/>
        <w:color w:val="auto"/>
      </w:rPr>
    </w:lvl>
    <w:lvl w:ilvl="4">
      <w:start w:val="1"/>
      <w:numFmt w:val="none"/>
      <w:lvlText w:val=""/>
      <w:lvlJc w:val="left"/>
      <w:pPr>
        <w:tabs>
          <w:tab w:val="num" w:pos="1712"/>
        </w:tabs>
        <w:ind w:left="1700" w:hanging="340"/>
      </w:pPr>
      <w:rPr>
        <w:rFonts w:hint="default"/>
      </w:rPr>
    </w:lvl>
    <w:lvl w:ilvl="5">
      <w:start w:val="1"/>
      <w:numFmt w:val="none"/>
      <w:lvlText w:val=""/>
      <w:lvlJc w:val="left"/>
      <w:pPr>
        <w:tabs>
          <w:tab w:val="num" w:pos="2069"/>
        </w:tabs>
        <w:ind w:left="2040" w:hanging="340"/>
      </w:pPr>
      <w:rPr>
        <w:rFonts w:hint="default"/>
      </w:rPr>
    </w:lvl>
    <w:lvl w:ilvl="6">
      <w:start w:val="1"/>
      <w:numFmt w:val="none"/>
      <w:lvlText w:val=""/>
      <w:lvlJc w:val="left"/>
      <w:pPr>
        <w:tabs>
          <w:tab w:val="num" w:pos="2426"/>
        </w:tabs>
        <w:ind w:left="2380" w:hanging="340"/>
      </w:pPr>
      <w:rPr>
        <w:rFonts w:hint="default"/>
      </w:rPr>
    </w:lvl>
    <w:lvl w:ilvl="7">
      <w:start w:val="1"/>
      <w:numFmt w:val="none"/>
      <w:lvlText w:val=""/>
      <w:lvlJc w:val="left"/>
      <w:pPr>
        <w:tabs>
          <w:tab w:val="num" w:pos="2783"/>
        </w:tabs>
        <w:ind w:left="2720" w:hanging="340"/>
      </w:pPr>
      <w:rPr>
        <w:rFonts w:hint="default"/>
      </w:rPr>
    </w:lvl>
    <w:lvl w:ilvl="8">
      <w:start w:val="1"/>
      <w:numFmt w:val="none"/>
      <w:lvlText w:val=""/>
      <w:lvlJc w:val="left"/>
      <w:pPr>
        <w:tabs>
          <w:tab w:val="num" w:pos="3140"/>
        </w:tabs>
        <w:ind w:left="3060" w:hanging="340"/>
      </w:pPr>
      <w:rPr>
        <w:rFonts w:hint="default"/>
      </w:rPr>
    </w:lvl>
  </w:abstractNum>
  <w:abstractNum w:abstractNumId="11" w15:restartNumberingAfterBreak="0">
    <w:nsid w:val="203965E4"/>
    <w:multiLevelType w:val="hybridMultilevel"/>
    <w:tmpl w:val="4FF6FF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D85117"/>
    <w:multiLevelType w:val="hybridMultilevel"/>
    <w:tmpl w:val="3D4AC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667452"/>
    <w:multiLevelType w:val="multilevel"/>
    <w:tmpl w:val="873ED2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376F56A1"/>
    <w:multiLevelType w:val="multilevel"/>
    <w:tmpl w:val="285CD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8FF4DB1"/>
    <w:multiLevelType w:val="hybridMultilevel"/>
    <w:tmpl w:val="9AF29B68"/>
    <w:lvl w:ilvl="0" w:tplc="FFFFFFFF">
      <w:start w:val="1"/>
      <w:numFmt w:val="bullet"/>
      <w:lvlText w:val=""/>
      <w:lvlJc w:val="left"/>
      <w:pPr>
        <w:ind w:left="720" w:hanging="360"/>
      </w:pPr>
      <w:rPr>
        <w:rFonts w:ascii="Symbol" w:hAnsi="Symbol" w:hint="default"/>
      </w:rPr>
    </w:lvl>
    <w:lvl w:ilvl="1" w:tplc="8CC0444E">
      <w:start w:val="1"/>
      <w:numFmt w:val="bullet"/>
      <w:pStyle w:val="KeyPointsBullet2"/>
      <w:lvlText w:val="o"/>
      <w:lvlJc w:val="left"/>
      <w:pPr>
        <w:ind w:left="1440" w:hanging="306"/>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A196449"/>
    <w:multiLevelType w:val="hybridMultilevel"/>
    <w:tmpl w:val="37D08D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DF2811"/>
    <w:multiLevelType w:val="hybridMultilevel"/>
    <w:tmpl w:val="C2CCB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7E5955"/>
    <w:multiLevelType w:val="hybridMultilevel"/>
    <w:tmpl w:val="F85A60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EB691B"/>
    <w:multiLevelType w:val="multilevel"/>
    <w:tmpl w:val="2362D8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A80D02"/>
    <w:multiLevelType w:val="hybridMultilevel"/>
    <w:tmpl w:val="158ABB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6642B94"/>
    <w:multiLevelType w:val="hybridMultilevel"/>
    <w:tmpl w:val="1310B5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F0583E"/>
    <w:multiLevelType w:val="hybridMultilevel"/>
    <w:tmpl w:val="C0D2DD8A"/>
    <w:lvl w:ilvl="0" w:tplc="87DA3FD6">
      <w:start w:val="1"/>
      <w:numFmt w:val="bullet"/>
      <w:pStyle w:val="KeyPoints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2B0659"/>
    <w:multiLevelType w:val="multilevel"/>
    <w:tmpl w:val="5CDE4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37269666">
    <w:abstractNumId w:val="23"/>
  </w:num>
  <w:num w:numId="2" w16cid:durableId="1668050683">
    <w:abstractNumId w:val="14"/>
  </w:num>
  <w:num w:numId="3" w16cid:durableId="1683042470">
    <w:abstractNumId w:val="8"/>
  </w:num>
  <w:num w:numId="4" w16cid:durableId="133523604">
    <w:abstractNumId w:val="19"/>
  </w:num>
  <w:num w:numId="5" w16cid:durableId="1994024302">
    <w:abstractNumId w:val="20"/>
  </w:num>
  <w:num w:numId="6" w16cid:durableId="1358852113">
    <w:abstractNumId w:val="13"/>
  </w:num>
  <w:num w:numId="7" w16cid:durableId="2047246184">
    <w:abstractNumId w:val="10"/>
  </w:num>
  <w:num w:numId="8" w16cid:durableId="1985233239">
    <w:abstractNumId w:val="4"/>
  </w:num>
  <w:num w:numId="9" w16cid:durableId="2105372984">
    <w:abstractNumId w:val="5"/>
  </w:num>
  <w:num w:numId="10" w16cid:durableId="935869809">
    <w:abstractNumId w:val="3"/>
  </w:num>
  <w:num w:numId="11" w16cid:durableId="1109662273">
    <w:abstractNumId w:val="2"/>
  </w:num>
  <w:num w:numId="12" w16cid:durableId="2049716342">
    <w:abstractNumId w:val="1"/>
  </w:num>
  <w:num w:numId="13" w16cid:durableId="1578317811">
    <w:abstractNumId w:val="0"/>
  </w:num>
  <w:num w:numId="14" w16cid:durableId="1127550344">
    <w:abstractNumId w:val="12"/>
  </w:num>
  <w:num w:numId="15" w16cid:durableId="406730085">
    <w:abstractNumId w:val="9"/>
  </w:num>
  <w:num w:numId="16" w16cid:durableId="1528132923">
    <w:abstractNumId w:val="5"/>
  </w:num>
  <w:num w:numId="17" w16cid:durableId="147867168">
    <w:abstractNumId w:val="3"/>
  </w:num>
  <w:num w:numId="18" w16cid:durableId="345447166">
    <w:abstractNumId w:val="16"/>
  </w:num>
  <w:num w:numId="19" w16cid:durableId="2065375454">
    <w:abstractNumId w:val="11"/>
  </w:num>
  <w:num w:numId="20" w16cid:durableId="1699503169">
    <w:abstractNumId w:val="21"/>
  </w:num>
  <w:num w:numId="21" w16cid:durableId="328756096">
    <w:abstractNumId w:val="18"/>
  </w:num>
  <w:num w:numId="22" w16cid:durableId="799568518">
    <w:abstractNumId w:val="17"/>
  </w:num>
  <w:num w:numId="23" w16cid:durableId="2124297512">
    <w:abstractNumId w:val="22"/>
  </w:num>
  <w:num w:numId="24" w16cid:durableId="1338774360">
    <w:abstractNumId w:val="15"/>
  </w:num>
  <w:num w:numId="25" w16cid:durableId="1467701309">
    <w:abstractNumId w:val="7"/>
  </w:num>
  <w:num w:numId="26" w16cid:durableId="1245534304">
    <w:abstractNumId w:val="6"/>
  </w:num>
  <w:num w:numId="27" w16cid:durableId="20046251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removePersonalInformation/>
  <w:removeDateAndTime/>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18"/>
    <w:rsid w:val="00003E8E"/>
    <w:rsid w:val="0000790B"/>
    <w:rsid w:val="00010D33"/>
    <w:rsid w:val="000116AD"/>
    <w:rsid w:val="00020BE6"/>
    <w:rsid w:val="00025BD0"/>
    <w:rsid w:val="000261A3"/>
    <w:rsid w:val="00030D36"/>
    <w:rsid w:val="00031607"/>
    <w:rsid w:val="00031FA2"/>
    <w:rsid w:val="0003316F"/>
    <w:rsid w:val="000355EB"/>
    <w:rsid w:val="00036E0A"/>
    <w:rsid w:val="00037EB9"/>
    <w:rsid w:val="000404CE"/>
    <w:rsid w:val="0004100D"/>
    <w:rsid w:val="00041073"/>
    <w:rsid w:val="00042611"/>
    <w:rsid w:val="00044C84"/>
    <w:rsid w:val="00044D4F"/>
    <w:rsid w:val="000456EA"/>
    <w:rsid w:val="00050537"/>
    <w:rsid w:val="00051CBE"/>
    <w:rsid w:val="000541F7"/>
    <w:rsid w:val="0005518A"/>
    <w:rsid w:val="00055E93"/>
    <w:rsid w:val="0005610B"/>
    <w:rsid w:val="000572BD"/>
    <w:rsid w:val="000656C5"/>
    <w:rsid w:val="000667D2"/>
    <w:rsid w:val="000757F0"/>
    <w:rsid w:val="000768A0"/>
    <w:rsid w:val="000847ED"/>
    <w:rsid w:val="00084BA3"/>
    <w:rsid w:val="000924AF"/>
    <w:rsid w:val="000959D8"/>
    <w:rsid w:val="00095E11"/>
    <w:rsid w:val="00096E2E"/>
    <w:rsid w:val="00097BB6"/>
    <w:rsid w:val="000A145A"/>
    <w:rsid w:val="000A183F"/>
    <w:rsid w:val="000A1D6A"/>
    <w:rsid w:val="000A1E27"/>
    <w:rsid w:val="000A7F1E"/>
    <w:rsid w:val="000B6324"/>
    <w:rsid w:val="000C0BA2"/>
    <w:rsid w:val="000C47F7"/>
    <w:rsid w:val="000C7DD7"/>
    <w:rsid w:val="000D04EA"/>
    <w:rsid w:val="000D13FA"/>
    <w:rsid w:val="000D5FCE"/>
    <w:rsid w:val="000D6745"/>
    <w:rsid w:val="000E1B1B"/>
    <w:rsid w:val="000E38BA"/>
    <w:rsid w:val="000E7042"/>
    <w:rsid w:val="000F1722"/>
    <w:rsid w:val="000F3A61"/>
    <w:rsid w:val="000F44F9"/>
    <w:rsid w:val="000F5169"/>
    <w:rsid w:val="000F6225"/>
    <w:rsid w:val="00101FBF"/>
    <w:rsid w:val="00105370"/>
    <w:rsid w:val="00105D29"/>
    <w:rsid w:val="00112443"/>
    <w:rsid w:val="001129A3"/>
    <w:rsid w:val="001134ED"/>
    <w:rsid w:val="00121C35"/>
    <w:rsid w:val="00123868"/>
    <w:rsid w:val="00123DFA"/>
    <w:rsid w:val="00124D9E"/>
    <w:rsid w:val="001252E0"/>
    <w:rsid w:val="00125C36"/>
    <w:rsid w:val="001279A4"/>
    <w:rsid w:val="001306D6"/>
    <w:rsid w:val="00131796"/>
    <w:rsid w:val="0013559D"/>
    <w:rsid w:val="0013610D"/>
    <w:rsid w:val="00140E24"/>
    <w:rsid w:val="001431E8"/>
    <w:rsid w:val="00143208"/>
    <w:rsid w:val="00146BBB"/>
    <w:rsid w:val="001516BF"/>
    <w:rsid w:val="00152694"/>
    <w:rsid w:val="001534EA"/>
    <w:rsid w:val="0015748D"/>
    <w:rsid w:val="00164614"/>
    <w:rsid w:val="0016618F"/>
    <w:rsid w:val="00167762"/>
    <w:rsid w:val="00172296"/>
    <w:rsid w:val="0017574A"/>
    <w:rsid w:val="0018560A"/>
    <w:rsid w:val="001921C3"/>
    <w:rsid w:val="00192BED"/>
    <w:rsid w:val="00195DA0"/>
    <w:rsid w:val="00196520"/>
    <w:rsid w:val="00196D27"/>
    <w:rsid w:val="001A22A8"/>
    <w:rsid w:val="001A4FB2"/>
    <w:rsid w:val="001B13CF"/>
    <w:rsid w:val="001B1EB2"/>
    <w:rsid w:val="001B3988"/>
    <w:rsid w:val="001B7035"/>
    <w:rsid w:val="001B7F1C"/>
    <w:rsid w:val="001C0CB2"/>
    <w:rsid w:val="001C0D18"/>
    <w:rsid w:val="001C381D"/>
    <w:rsid w:val="001C3B74"/>
    <w:rsid w:val="001C6BA8"/>
    <w:rsid w:val="001C73D7"/>
    <w:rsid w:val="001C7821"/>
    <w:rsid w:val="001D1AB8"/>
    <w:rsid w:val="001D2B39"/>
    <w:rsid w:val="001D569B"/>
    <w:rsid w:val="001E2351"/>
    <w:rsid w:val="001E3A83"/>
    <w:rsid w:val="001E4423"/>
    <w:rsid w:val="001E58C4"/>
    <w:rsid w:val="001F0154"/>
    <w:rsid w:val="001F14F0"/>
    <w:rsid w:val="001F2809"/>
    <w:rsid w:val="001F36D6"/>
    <w:rsid w:val="001F59D3"/>
    <w:rsid w:val="001F7744"/>
    <w:rsid w:val="001F7A6F"/>
    <w:rsid w:val="00201984"/>
    <w:rsid w:val="00206249"/>
    <w:rsid w:val="002179BB"/>
    <w:rsid w:val="00224EF3"/>
    <w:rsid w:val="00225E72"/>
    <w:rsid w:val="00233A75"/>
    <w:rsid w:val="00233D78"/>
    <w:rsid w:val="00241150"/>
    <w:rsid w:val="0024392D"/>
    <w:rsid w:val="00244550"/>
    <w:rsid w:val="00244D35"/>
    <w:rsid w:val="00246365"/>
    <w:rsid w:val="00251F93"/>
    <w:rsid w:val="002618DF"/>
    <w:rsid w:val="00261D00"/>
    <w:rsid w:val="00262F1E"/>
    <w:rsid w:val="002633D9"/>
    <w:rsid w:val="00265883"/>
    <w:rsid w:val="002660C3"/>
    <w:rsid w:val="0026778C"/>
    <w:rsid w:val="00280AC6"/>
    <w:rsid w:val="00281D3D"/>
    <w:rsid w:val="00282368"/>
    <w:rsid w:val="002824C3"/>
    <w:rsid w:val="0028576B"/>
    <w:rsid w:val="00294394"/>
    <w:rsid w:val="002948AB"/>
    <w:rsid w:val="002950ED"/>
    <w:rsid w:val="00296166"/>
    <w:rsid w:val="002A4B17"/>
    <w:rsid w:val="002A78CB"/>
    <w:rsid w:val="002B2528"/>
    <w:rsid w:val="002B58AB"/>
    <w:rsid w:val="002B5FD1"/>
    <w:rsid w:val="002B7212"/>
    <w:rsid w:val="002B76E3"/>
    <w:rsid w:val="002C0D2C"/>
    <w:rsid w:val="002C22C6"/>
    <w:rsid w:val="002C2DC3"/>
    <w:rsid w:val="002C30E8"/>
    <w:rsid w:val="002C678C"/>
    <w:rsid w:val="002D300C"/>
    <w:rsid w:val="002D60DB"/>
    <w:rsid w:val="002D68E2"/>
    <w:rsid w:val="002D721E"/>
    <w:rsid w:val="002E0E18"/>
    <w:rsid w:val="002E12CF"/>
    <w:rsid w:val="002E5B03"/>
    <w:rsid w:val="002E6E2F"/>
    <w:rsid w:val="002E7FE3"/>
    <w:rsid w:val="002F0ECD"/>
    <w:rsid w:val="002F379C"/>
    <w:rsid w:val="002F3DAE"/>
    <w:rsid w:val="002F3EB5"/>
    <w:rsid w:val="002F537A"/>
    <w:rsid w:val="002F5690"/>
    <w:rsid w:val="002F7C0B"/>
    <w:rsid w:val="0030136B"/>
    <w:rsid w:val="003060CC"/>
    <w:rsid w:val="00306575"/>
    <w:rsid w:val="00306C0E"/>
    <w:rsid w:val="00310CA1"/>
    <w:rsid w:val="00313B29"/>
    <w:rsid w:val="00314E27"/>
    <w:rsid w:val="00317353"/>
    <w:rsid w:val="00317619"/>
    <w:rsid w:val="0032103C"/>
    <w:rsid w:val="00322502"/>
    <w:rsid w:val="00323B9A"/>
    <w:rsid w:val="00327AB4"/>
    <w:rsid w:val="003306F3"/>
    <w:rsid w:val="003360BD"/>
    <w:rsid w:val="00337F73"/>
    <w:rsid w:val="003416A1"/>
    <w:rsid w:val="0035027B"/>
    <w:rsid w:val="0035114D"/>
    <w:rsid w:val="0035131B"/>
    <w:rsid w:val="00354118"/>
    <w:rsid w:val="00362D5B"/>
    <w:rsid w:val="00364CA3"/>
    <w:rsid w:val="00366923"/>
    <w:rsid w:val="003676D3"/>
    <w:rsid w:val="003708C1"/>
    <w:rsid w:val="00370C83"/>
    <w:rsid w:val="00371F25"/>
    <w:rsid w:val="00373FDC"/>
    <w:rsid w:val="00374E1D"/>
    <w:rsid w:val="003818AB"/>
    <w:rsid w:val="003825CD"/>
    <w:rsid w:val="00382E20"/>
    <w:rsid w:val="00382E36"/>
    <w:rsid w:val="00385322"/>
    <w:rsid w:val="00385788"/>
    <w:rsid w:val="00385ABF"/>
    <w:rsid w:val="0038692E"/>
    <w:rsid w:val="0039115D"/>
    <w:rsid w:val="003926FD"/>
    <w:rsid w:val="003960FB"/>
    <w:rsid w:val="003A2110"/>
    <w:rsid w:val="003A2337"/>
    <w:rsid w:val="003A30D1"/>
    <w:rsid w:val="003A6867"/>
    <w:rsid w:val="003B474F"/>
    <w:rsid w:val="003B7CE0"/>
    <w:rsid w:val="003C3E37"/>
    <w:rsid w:val="003D074C"/>
    <w:rsid w:val="003D13A9"/>
    <w:rsid w:val="003D3E08"/>
    <w:rsid w:val="003D48E5"/>
    <w:rsid w:val="003E0796"/>
    <w:rsid w:val="003E0B70"/>
    <w:rsid w:val="003E0E55"/>
    <w:rsid w:val="003E2525"/>
    <w:rsid w:val="003E3395"/>
    <w:rsid w:val="003F35A1"/>
    <w:rsid w:val="003F491A"/>
    <w:rsid w:val="00414265"/>
    <w:rsid w:val="00414A4A"/>
    <w:rsid w:val="00415DA8"/>
    <w:rsid w:val="00416544"/>
    <w:rsid w:val="00417118"/>
    <w:rsid w:val="004221F7"/>
    <w:rsid w:val="00422AD4"/>
    <w:rsid w:val="00431BE4"/>
    <w:rsid w:val="00431BFC"/>
    <w:rsid w:val="0043329B"/>
    <w:rsid w:val="00433679"/>
    <w:rsid w:val="004351AF"/>
    <w:rsid w:val="00440C82"/>
    <w:rsid w:val="004415F0"/>
    <w:rsid w:val="004420E5"/>
    <w:rsid w:val="004440ED"/>
    <w:rsid w:val="00447153"/>
    <w:rsid w:val="00455A07"/>
    <w:rsid w:val="004561D1"/>
    <w:rsid w:val="00456915"/>
    <w:rsid w:val="00456ED2"/>
    <w:rsid w:val="00465736"/>
    <w:rsid w:val="004773D3"/>
    <w:rsid w:val="00482576"/>
    <w:rsid w:val="00483618"/>
    <w:rsid w:val="00484C00"/>
    <w:rsid w:val="00484F7F"/>
    <w:rsid w:val="004860A5"/>
    <w:rsid w:val="00490C06"/>
    <w:rsid w:val="004959E6"/>
    <w:rsid w:val="004A1133"/>
    <w:rsid w:val="004A3BB6"/>
    <w:rsid w:val="004B09C1"/>
    <w:rsid w:val="004B4855"/>
    <w:rsid w:val="004C427B"/>
    <w:rsid w:val="004C4B5E"/>
    <w:rsid w:val="004C705B"/>
    <w:rsid w:val="004C7FFD"/>
    <w:rsid w:val="004D22A5"/>
    <w:rsid w:val="004D3224"/>
    <w:rsid w:val="004D3A08"/>
    <w:rsid w:val="004D7521"/>
    <w:rsid w:val="004E0B8B"/>
    <w:rsid w:val="004F2369"/>
    <w:rsid w:val="004F5741"/>
    <w:rsid w:val="004F5892"/>
    <w:rsid w:val="005013B3"/>
    <w:rsid w:val="00501D30"/>
    <w:rsid w:val="00501F38"/>
    <w:rsid w:val="00506BAD"/>
    <w:rsid w:val="00506CD7"/>
    <w:rsid w:val="005109B7"/>
    <w:rsid w:val="00513C8F"/>
    <w:rsid w:val="0051412A"/>
    <w:rsid w:val="0051507F"/>
    <w:rsid w:val="00516F6A"/>
    <w:rsid w:val="005252E3"/>
    <w:rsid w:val="00532929"/>
    <w:rsid w:val="005333BA"/>
    <w:rsid w:val="00533B48"/>
    <w:rsid w:val="00536467"/>
    <w:rsid w:val="005411A8"/>
    <w:rsid w:val="005429E9"/>
    <w:rsid w:val="00542D94"/>
    <w:rsid w:val="00543D06"/>
    <w:rsid w:val="00544242"/>
    <w:rsid w:val="005446B5"/>
    <w:rsid w:val="0054470F"/>
    <w:rsid w:val="005453B0"/>
    <w:rsid w:val="005470AE"/>
    <w:rsid w:val="005533B5"/>
    <w:rsid w:val="005550A3"/>
    <w:rsid w:val="00557487"/>
    <w:rsid w:val="00560872"/>
    <w:rsid w:val="00560D0E"/>
    <w:rsid w:val="00563DF5"/>
    <w:rsid w:val="005654B7"/>
    <w:rsid w:val="00567E50"/>
    <w:rsid w:val="0057143D"/>
    <w:rsid w:val="00572133"/>
    <w:rsid w:val="0057684A"/>
    <w:rsid w:val="005777F5"/>
    <w:rsid w:val="00580A30"/>
    <w:rsid w:val="00580BC0"/>
    <w:rsid w:val="00582E90"/>
    <w:rsid w:val="005843E1"/>
    <w:rsid w:val="005871E9"/>
    <w:rsid w:val="0059077E"/>
    <w:rsid w:val="0059230C"/>
    <w:rsid w:val="00592584"/>
    <w:rsid w:val="005964AC"/>
    <w:rsid w:val="00597E9D"/>
    <w:rsid w:val="00597EF7"/>
    <w:rsid w:val="005A03CE"/>
    <w:rsid w:val="005A2862"/>
    <w:rsid w:val="005B098E"/>
    <w:rsid w:val="005B09B7"/>
    <w:rsid w:val="005B2318"/>
    <w:rsid w:val="005B2B33"/>
    <w:rsid w:val="005B5A7A"/>
    <w:rsid w:val="005B60AC"/>
    <w:rsid w:val="005B67AE"/>
    <w:rsid w:val="005C5BF0"/>
    <w:rsid w:val="005C6471"/>
    <w:rsid w:val="005C668B"/>
    <w:rsid w:val="005D467D"/>
    <w:rsid w:val="005D4AEC"/>
    <w:rsid w:val="005D640A"/>
    <w:rsid w:val="005E18D8"/>
    <w:rsid w:val="005E30E3"/>
    <w:rsid w:val="005E340A"/>
    <w:rsid w:val="005F1E8D"/>
    <w:rsid w:val="005F1FDA"/>
    <w:rsid w:val="005F246D"/>
    <w:rsid w:val="005F4DC0"/>
    <w:rsid w:val="005F61CF"/>
    <w:rsid w:val="00600280"/>
    <w:rsid w:val="006029D6"/>
    <w:rsid w:val="00605221"/>
    <w:rsid w:val="006066C4"/>
    <w:rsid w:val="00607390"/>
    <w:rsid w:val="00611243"/>
    <w:rsid w:val="00613BE7"/>
    <w:rsid w:val="006232EC"/>
    <w:rsid w:val="00626A43"/>
    <w:rsid w:val="00631632"/>
    <w:rsid w:val="006327A3"/>
    <w:rsid w:val="00635255"/>
    <w:rsid w:val="0063534E"/>
    <w:rsid w:val="0064002D"/>
    <w:rsid w:val="00642A9A"/>
    <w:rsid w:val="00643913"/>
    <w:rsid w:val="00652349"/>
    <w:rsid w:val="00655BCA"/>
    <w:rsid w:val="0065687D"/>
    <w:rsid w:val="006572CA"/>
    <w:rsid w:val="006606E0"/>
    <w:rsid w:val="006670A4"/>
    <w:rsid w:val="00676F14"/>
    <w:rsid w:val="00677034"/>
    <w:rsid w:val="00677A7E"/>
    <w:rsid w:val="00680C94"/>
    <w:rsid w:val="0068647D"/>
    <w:rsid w:val="00693BA4"/>
    <w:rsid w:val="00693E00"/>
    <w:rsid w:val="00694606"/>
    <w:rsid w:val="00695C1D"/>
    <w:rsid w:val="00696296"/>
    <w:rsid w:val="006973C4"/>
    <w:rsid w:val="006B202B"/>
    <w:rsid w:val="006B2C4E"/>
    <w:rsid w:val="006B328B"/>
    <w:rsid w:val="006B74CB"/>
    <w:rsid w:val="006C06BF"/>
    <w:rsid w:val="006C127D"/>
    <w:rsid w:val="006C6E0B"/>
    <w:rsid w:val="006D2345"/>
    <w:rsid w:val="006D3281"/>
    <w:rsid w:val="006D3636"/>
    <w:rsid w:val="006D69B3"/>
    <w:rsid w:val="006E10CE"/>
    <w:rsid w:val="006E1136"/>
    <w:rsid w:val="006E5C82"/>
    <w:rsid w:val="006F7520"/>
    <w:rsid w:val="00702CB5"/>
    <w:rsid w:val="00703260"/>
    <w:rsid w:val="00710A67"/>
    <w:rsid w:val="00710DAA"/>
    <w:rsid w:val="007117F1"/>
    <w:rsid w:val="007119BB"/>
    <w:rsid w:val="00717636"/>
    <w:rsid w:val="007177A7"/>
    <w:rsid w:val="00720E6A"/>
    <w:rsid w:val="0072616C"/>
    <w:rsid w:val="007276AD"/>
    <w:rsid w:val="007325F3"/>
    <w:rsid w:val="0073410B"/>
    <w:rsid w:val="00734B20"/>
    <w:rsid w:val="0073513A"/>
    <w:rsid w:val="00736123"/>
    <w:rsid w:val="007371B3"/>
    <w:rsid w:val="007374F9"/>
    <w:rsid w:val="0074492F"/>
    <w:rsid w:val="00746381"/>
    <w:rsid w:val="00746A43"/>
    <w:rsid w:val="00747F79"/>
    <w:rsid w:val="007532A4"/>
    <w:rsid w:val="00753665"/>
    <w:rsid w:val="0075466C"/>
    <w:rsid w:val="00754AB9"/>
    <w:rsid w:val="00767C3A"/>
    <w:rsid w:val="00777605"/>
    <w:rsid w:val="00781DA6"/>
    <w:rsid w:val="00782490"/>
    <w:rsid w:val="007907A7"/>
    <w:rsid w:val="007947CC"/>
    <w:rsid w:val="007949B6"/>
    <w:rsid w:val="00795897"/>
    <w:rsid w:val="00796DB7"/>
    <w:rsid w:val="007A3180"/>
    <w:rsid w:val="007A3F61"/>
    <w:rsid w:val="007A5668"/>
    <w:rsid w:val="007A6A39"/>
    <w:rsid w:val="007A7572"/>
    <w:rsid w:val="007B0EC1"/>
    <w:rsid w:val="007B100A"/>
    <w:rsid w:val="007B21A5"/>
    <w:rsid w:val="007B2AD6"/>
    <w:rsid w:val="007B31FD"/>
    <w:rsid w:val="007B3938"/>
    <w:rsid w:val="007C6AEC"/>
    <w:rsid w:val="007D29B8"/>
    <w:rsid w:val="007D5425"/>
    <w:rsid w:val="007D799D"/>
    <w:rsid w:val="007E0422"/>
    <w:rsid w:val="007E199A"/>
    <w:rsid w:val="007E4979"/>
    <w:rsid w:val="007F4310"/>
    <w:rsid w:val="007F44F4"/>
    <w:rsid w:val="007F6552"/>
    <w:rsid w:val="007F7DBD"/>
    <w:rsid w:val="00802F0D"/>
    <w:rsid w:val="0081036F"/>
    <w:rsid w:val="0081136A"/>
    <w:rsid w:val="00811B37"/>
    <w:rsid w:val="00813464"/>
    <w:rsid w:val="00814D30"/>
    <w:rsid w:val="008168FD"/>
    <w:rsid w:val="00831448"/>
    <w:rsid w:val="0083540D"/>
    <w:rsid w:val="00840DAA"/>
    <w:rsid w:val="0084197B"/>
    <w:rsid w:val="0084740A"/>
    <w:rsid w:val="008547C1"/>
    <w:rsid w:val="00856083"/>
    <w:rsid w:val="00857878"/>
    <w:rsid w:val="00857E1B"/>
    <w:rsid w:val="008634C2"/>
    <w:rsid w:val="00864EEA"/>
    <w:rsid w:val="00865E4F"/>
    <w:rsid w:val="00866663"/>
    <w:rsid w:val="00867AAD"/>
    <w:rsid w:val="00870CF0"/>
    <w:rsid w:val="0087200B"/>
    <w:rsid w:val="00873BE7"/>
    <w:rsid w:val="0087706C"/>
    <w:rsid w:val="00877929"/>
    <w:rsid w:val="008810D4"/>
    <w:rsid w:val="00882BA1"/>
    <w:rsid w:val="00883915"/>
    <w:rsid w:val="00886A15"/>
    <w:rsid w:val="00895123"/>
    <w:rsid w:val="008A2249"/>
    <w:rsid w:val="008A51DB"/>
    <w:rsid w:val="008A56A3"/>
    <w:rsid w:val="008A6964"/>
    <w:rsid w:val="008B3E8F"/>
    <w:rsid w:val="008B565E"/>
    <w:rsid w:val="008C0056"/>
    <w:rsid w:val="008C21E1"/>
    <w:rsid w:val="008D2FB2"/>
    <w:rsid w:val="008D3A26"/>
    <w:rsid w:val="008D4444"/>
    <w:rsid w:val="008D76F6"/>
    <w:rsid w:val="008E6380"/>
    <w:rsid w:val="008F0F33"/>
    <w:rsid w:val="008F2F17"/>
    <w:rsid w:val="008F2F5C"/>
    <w:rsid w:val="008F3930"/>
    <w:rsid w:val="008F48CA"/>
    <w:rsid w:val="008F5797"/>
    <w:rsid w:val="009062AE"/>
    <w:rsid w:val="0090706B"/>
    <w:rsid w:val="00907928"/>
    <w:rsid w:val="00912A1C"/>
    <w:rsid w:val="009169D1"/>
    <w:rsid w:val="00923B0D"/>
    <w:rsid w:val="0092478E"/>
    <w:rsid w:val="0093060B"/>
    <w:rsid w:val="0093146A"/>
    <w:rsid w:val="00935F08"/>
    <w:rsid w:val="00937A11"/>
    <w:rsid w:val="009417F7"/>
    <w:rsid w:val="009426F3"/>
    <w:rsid w:val="009472D1"/>
    <w:rsid w:val="00950693"/>
    <w:rsid w:val="009550E3"/>
    <w:rsid w:val="00957793"/>
    <w:rsid w:val="00963C9F"/>
    <w:rsid w:val="00963F49"/>
    <w:rsid w:val="0096517C"/>
    <w:rsid w:val="00966619"/>
    <w:rsid w:val="00972FAD"/>
    <w:rsid w:val="00973117"/>
    <w:rsid w:val="009773F2"/>
    <w:rsid w:val="00984AEC"/>
    <w:rsid w:val="00984FDC"/>
    <w:rsid w:val="00991526"/>
    <w:rsid w:val="00991DED"/>
    <w:rsid w:val="00997F6C"/>
    <w:rsid w:val="009A0E76"/>
    <w:rsid w:val="009A5BC4"/>
    <w:rsid w:val="009A7A02"/>
    <w:rsid w:val="009B0A21"/>
    <w:rsid w:val="009B0BC5"/>
    <w:rsid w:val="009B34AC"/>
    <w:rsid w:val="009B3907"/>
    <w:rsid w:val="009B45CE"/>
    <w:rsid w:val="009B5887"/>
    <w:rsid w:val="009C38C0"/>
    <w:rsid w:val="009C3CB0"/>
    <w:rsid w:val="009C413F"/>
    <w:rsid w:val="009C4CA6"/>
    <w:rsid w:val="009C56D1"/>
    <w:rsid w:val="009C6B4B"/>
    <w:rsid w:val="009D18C2"/>
    <w:rsid w:val="009D3693"/>
    <w:rsid w:val="009D5A36"/>
    <w:rsid w:val="009E183E"/>
    <w:rsid w:val="009E34D5"/>
    <w:rsid w:val="009E4054"/>
    <w:rsid w:val="009E53E8"/>
    <w:rsid w:val="009F15FD"/>
    <w:rsid w:val="009F4D35"/>
    <w:rsid w:val="009F7A5A"/>
    <w:rsid w:val="00A05331"/>
    <w:rsid w:val="00A063E8"/>
    <w:rsid w:val="00A070B7"/>
    <w:rsid w:val="00A07270"/>
    <w:rsid w:val="00A104DD"/>
    <w:rsid w:val="00A13691"/>
    <w:rsid w:val="00A13924"/>
    <w:rsid w:val="00A14752"/>
    <w:rsid w:val="00A2461C"/>
    <w:rsid w:val="00A255E9"/>
    <w:rsid w:val="00A26978"/>
    <w:rsid w:val="00A3043E"/>
    <w:rsid w:val="00A31976"/>
    <w:rsid w:val="00A36110"/>
    <w:rsid w:val="00A36734"/>
    <w:rsid w:val="00A369AC"/>
    <w:rsid w:val="00A43021"/>
    <w:rsid w:val="00A4449C"/>
    <w:rsid w:val="00A4461A"/>
    <w:rsid w:val="00A459DE"/>
    <w:rsid w:val="00A50D02"/>
    <w:rsid w:val="00A5508E"/>
    <w:rsid w:val="00A62216"/>
    <w:rsid w:val="00A6280D"/>
    <w:rsid w:val="00A65102"/>
    <w:rsid w:val="00A65913"/>
    <w:rsid w:val="00A70A4D"/>
    <w:rsid w:val="00A71057"/>
    <w:rsid w:val="00A7229C"/>
    <w:rsid w:val="00A7445E"/>
    <w:rsid w:val="00A74E0F"/>
    <w:rsid w:val="00A76EE1"/>
    <w:rsid w:val="00A8003F"/>
    <w:rsid w:val="00A80E09"/>
    <w:rsid w:val="00A81698"/>
    <w:rsid w:val="00A83DD5"/>
    <w:rsid w:val="00A851E3"/>
    <w:rsid w:val="00A858A9"/>
    <w:rsid w:val="00A9012A"/>
    <w:rsid w:val="00A93CC5"/>
    <w:rsid w:val="00A93DF6"/>
    <w:rsid w:val="00A97783"/>
    <w:rsid w:val="00AA4840"/>
    <w:rsid w:val="00AA7C1B"/>
    <w:rsid w:val="00AB3B75"/>
    <w:rsid w:val="00AC08D2"/>
    <w:rsid w:val="00AC1BEE"/>
    <w:rsid w:val="00AC3E56"/>
    <w:rsid w:val="00AC4BDA"/>
    <w:rsid w:val="00AC720D"/>
    <w:rsid w:val="00AD062B"/>
    <w:rsid w:val="00AD0C81"/>
    <w:rsid w:val="00AD1B33"/>
    <w:rsid w:val="00AD23DE"/>
    <w:rsid w:val="00AD24B5"/>
    <w:rsid w:val="00AD2AB5"/>
    <w:rsid w:val="00AE045C"/>
    <w:rsid w:val="00AE1EED"/>
    <w:rsid w:val="00AE3C17"/>
    <w:rsid w:val="00AE5B1B"/>
    <w:rsid w:val="00AE68CA"/>
    <w:rsid w:val="00AF14B2"/>
    <w:rsid w:val="00AF2783"/>
    <w:rsid w:val="00AF57B3"/>
    <w:rsid w:val="00AF7F4E"/>
    <w:rsid w:val="00B00EDD"/>
    <w:rsid w:val="00B01574"/>
    <w:rsid w:val="00B04E3B"/>
    <w:rsid w:val="00B05CE0"/>
    <w:rsid w:val="00B10FC9"/>
    <w:rsid w:val="00B11937"/>
    <w:rsid w:val="00B12498"/>
    <w:rsid w:val="00B14460"/>
    <w:rsid w:val="00B17DC8"/>
    <w:rsid w:val="00B21E09"/>
    <w:rsid w:val="00B26C3D"/>
    <w:rsid w:val="00B275AC"/>
    <w:rsid w:val="00B27734"/>
    <w:rsid w:val="00B32201"/>
    <w:rsid w:val="00B32CA1"/>
    <w:rsid w:val="00B349E7"/>
    <w:rsid w:val="00B366DB"/>
    <w:rsid w:val="00B37667"/>
    <w:rsid w:val="00B44B46"/>
    <w:rsid w:val="00B44BFF"/>
    <w:rsid w:val="00B50DDE"/>
    <w:rsid w:val="00B5117D"/>
    <w:rsid w:val="00B532DB"/>
    <w:rsid w:val="00B545CC"/>
    <w:rsid w:val="00B54794"/>
    <w:rsid w:val="00B56C5A"/>
    <w:rsid w:val="00B57FB6"/>
    <w:rsid w:val="00B633B7"/>
    <w:rsid w:val="00B659BB"/>
    <w:rsid w:val="00B72A6C"/>
    <w:rsid w:val="00B72B74"/>
    <w:rsid w:val="00B81572"/>
    <w:rsid w:val="00B85D21"/>
    <w:rsid w:val="00B92ED2"/>
    <w:rsid w:val="00B94111"/>
    <w:rsid w:val="00B94F0A"/>
    <w:rsid w:val="00B95FED"/>
    <w:rsid w:val="00BA18F6"/>
    <w:rsid w:val="00BA224C"/>
    <w:rsid w:val="00BA2D2A"/>
    <w:rsid w:val="00BA3731"/>
    <w:rsid w:val="00BA4854"/>
    <w:rsid w:val="00BA724C"/>
    <w:rsid w:val="00BB2ACB"/>
    <w:rsid w:val="00BC21F0"/>
    <w:rsid w:val="00BC4488"/>
    <w:rsid w:val="00BD46BF"/>
    <w:rsid w:val="00BD4A6A"/>
    <w:rsid w:val="00BD52EF"/>
    <w:rsid w:val="00BD5583"/>
    <w:rsid w:val="00BE0236"/>
    <w:rsid w:val="00BE0FFD"/>
    <w:rsid w:val="00BE13B4"/>
    <w:rsid w:val="00BE2AB7"/>
    <w:rsid w:val="00BE4369"/>
    <w:rsid w:val="00BE4587"/>
    <w:rsid w:val="00BE45D9"/>
    <w:rsid w:val="00BE5400"/>
    <w:rsid w:val="00BE68F3"/>
    <w:rsid w:val="00BE6B2A"/>
    <w:rsid w:val="00BF1EBD"/>
    <w:rsid w:val="00BF3528"/>
    <w:rsid w:val="00BF7294"/>
    <w:rsid w:val="00C03955"/>
    <w:rsid w:val="00C04862"/>
    <w:rsid w:val="00C12837"/>
    <w:rsid w:val="00C148E9"/>
    <w:rsid w:val="00C21468"/>
    <w:rsid w:val="00C23A4F"/>
    <w:rsid w:val="00C26A48"/>
    <w:rsid w:val="00C2731D"/>
    <w:rsid w:val="00C27FFB"/>
    <w:rsid w:val="00C313AC"/>
    <w:rsid w:val="00C327EF"/>
    <w:rsid w:val="00C405E9"/>
    <w:rsid w:val="00C40E20"/>
    <w:rsid w:val="00C46EDE"/>
    <w:rsid w:val="00C47FA9"/>
    <w:rsid w:val="00C55730"/>
    <w:rsid w:val="00C571F2"/>
    <w:rsid w:val="00C62812"/>
    <w:rsid w:val="00C62980"/>
    <w:rsid w:val="00C6447C"/>
    <w:rsid w:val="00C702DB"/>
    <w:rsid w:val="00C734D0"/>
    <w:rsid w:val="00C81264"/>
    <w:rsid w:val="00C83737"/>
    <w:rsid w:val="00C84B60"/>
    <w:rsid w:val="00C91F4E"/>
    <w:rsid w:val="00C920DC"/>
    <w:rsid w:val="00C972F3"/>
    <w:rsid w:val="00CA3148"/>
    <w:rsid w:val="00CA5864"/>
    <w:rsid w:val="00CA72E6"/>
    <w:rsid w:val="00CD0493"/>
    <w:rsid w:val="00CD1F0C"/>
    <w:rsid w:val="00CD1F19"/>
    <w:rsid w:val="00CD7684"/>
    <w:rsid w:val="00CE03A4"/>
    <w:rsid w:val="00CE03C4"/>
    <w:rsid w:val="00CE1816"/>
    <w:rsid w:val="00CE6EEC"/>
    <w:rsid w:val="00CE71A4"/>
    <w:rsid w:val="00CF277F"/>
    <w:rsid w:val="00CF2C62"/>
    <w:rsid w:val="00CF3F10"/>
    <w:rsid w:val="00CF46DC"/>
    <w:rsid w:val="00CF51E0"/>
    <w:rsid w:val="00CF60FD"/>
    <w:rsid w:val="00CF78B0"/>
    <w:rsid w:val="00D00DFD"/>
    <w:rsid w:val="00D02127"/>
    <w:rsid w:val="00D03812"/>
    <w:rsid w:val="00D045C6"/>
    <w:rsid w:val="00D048F7"/>
    <w:rsid w:val="00D05054"/>
    <w:rsid w:val="00D10492"/>
    <w:rsid w:val="00D11271"/>
    <w:rsid w:val="00D125F6"/>
    <w:rsid w:val="00D21F38"/>
    <w:rsid w:val="00D226DB"/>
    <w:rsid w:val="00D226DE"/>
    <w:rsid w:val="00D226F1"/>
    <w:rsid w:val="00D238E3"/>
    <w:rsid w:val="00D241DE"/>
    <w:rsid w:val="00D2549B"/>
    <w:rsid w:val="00D266E9"/>
    <w:rsid w:val="00D26A23"/>
    <w:rsid w:val="00D31218"/>
    <w:rsid w:val="00D31FDA"/>
    <w:rsid w:val="00D32BA7"/>
    <w:rsid w:val="00D37892"/>
    <w:rsid w:val="00D4055A"/>
    <w:rsid w:val="00D4302A"/>
    <w:rsid w:val="00D443F2"/>
    <w:rsid w:val="00D45D49"/>
    <w:rsid w:val="00D500BB"/>
    <w:rsid w:val="00D52350"/>
    <w:rsid w:val="00D56072"/>
    <w:rsid w:val="00D56910"/>
    <w:rsid w:val="00D56B38"/>
    <w:rsid w:val="00D57167"/>
    <w:rsid w:val="00D634E8"/>
    <w:rsid w:val="00D65093"/>
    <w:rsid w:val="00D658D0"/>
    <w:rsid w:val="00D70222"/>
    <w:rsid w:val="00D70F8A"/>
    <w:rsid w:val="00D71EFE"/>
    <w:rsid w:val="00D73EA4"/>
    <w:rsid w:val="00D773CE"/>
    <w:rsid w:val="00D82891"/>
    <w:rsid w:val="00D8323E"/>
    <w:rsid w:val="00D8583A"/>
    <w:rsid w:val="00D92118"/>
    <w:rsid w:val="00D933C7"/>
    <w:rsid w:val="00D968D6"/>
    <w:rsid w:val="00D96A1E"/>
    <w:rsid w:val="00DA0029"/>
    <w:rsid w:val="00DA2438"/>
    <w:rsid w:val="00DA4E2B"/>
    <w:rsid w:val="00DA58C4"/>
    <w:rsid w:val="00DA622C"/>
    <w:rsid w:val="00DB1AD6"/>
    <w:rsid w:val="00DC1C0B"/>
    <w:rsid w:val="00DC229F"/>
    <w:rsid w:val="00DC69D9"/>
    <w:rsid w:val="00DC6A05"/>
    <w:rsid w:val="00DC6BC0"/>
    <w:rsid w:val="00DD1CD9"/>
    <w:rsid w:val="00DD25AB"/>
    <w:rsid w:val="00DD32CF"/>
    <w:rsid w:val="00DD3DF5"/>
    <w:rsid w:val="00DD4A34"/>
    <w:rsid w:val="00DD4A41"/>
    <w:rsid w:val="00DE10BD"/>
    <w:rsid w:val="00DE176C"/>
    <w:rsid w:val="00DE2335"/>
    <w:rsid w:val="00DE251A"/>
    <w:rsid w:val="00DE4605"/>
    <w:rsid w:val="00DE5233"/>
    <w:rsid w:val="00DE64B7"/>
    <w:rsid w:val="00DF1DCE"/>
    <w:rsid w:val="00DF408B"/>
    <w:rsid w:val="00DF4BF8"/>
    <w:rsid w:val="00DF6D4D"/>
    <w:rsid w:val="00E06893"/>
    <w:rsid w:val="00E0792F"/>
    <w:rsid w:val="00E148F7"/>
    <w:rsid w:val="00E172F9"/>
    <w:rsid w:val="00E175AD"/>
    <w:rsid w:val="00E20046"/>
    <w:rsid w:val="00E21A5F"/>
    <w:rsid w:val="00E21F96"/>
    <w:rsid w:val="00E2211A"/>
    <w:rsid w:val="00E24103"/>
    <w:rsid w:val="00E24280"/>
    <w:rsid w:val="00E255B8"/>
    <w:rsid w:val="00E30A47"/>
    <w:rsid w:val="00E3109C"/>
    <w:rsid w:val="00E32512"/>
    <w:rsid w:val="00E326D6"/>
    <w:rsid w:val="00E32F69"/>
    <w:rsid w:val="00E36FA9"/>
    <w:rsid w:val="00E37A4A"/>
    <w:rsid w:val="00E419B6"/>
    <w:rsid w:val="00E47E48"/>
    <w:rsid w:val="00E53D3D"/>
    <w:rsid w:val="00E55A0E"/>
    <w:rsid w:val="00E56D6D"/>
    <w:rsid w:val="00E570C0"/>
    <w:rsid w:val="00E57ACE"/>
    <w:rsid w:val="00E61856"/>
    <w:rsid w:val="00E6525C"/>
    <w:rsid w:val="00E7418D"/>
    <w:rsid w:val="00E754A5"/>
    <w:rsid w:val="00E75D6A"/>
    <w:rsid w:val="00E7719C"/>
    <w:rsid w:val="00E80980"/>
    <w:rsid w:val="00E81981"/>
    <w:rsid w:val="00E82EEB"/>
    <w:rsid w:val="00E8392F"/>
    <w:rsid w:val="00E85606"/>
    <w:rsid w:val="00E92AC5"/>
    <w:rsid w:val="00E93EC5"/>
    <w:rsid w:val="00E96FB9"/>
    <w:rsid w:val="00E97F1F"/>
    <w:rsid w:val="00EA04CB"/>
    <w:rsid w:val="00EA2C32"/>
    <w:rsid w:val="00EA4CE1"/>
    <w:rsid w:val="00EB66D9"/>
    <w:rsid w:val="00EB6B00"/>
    <w:rsid w:val="00EB6B22"/>
    <w:rsid w:val="00ED10BF"/>
    <w:rsid w:val="00ED1D58"/>
    <w:rsid w:val="00ED2051"/>
    <w:rsid w:val="00ED3BBC"/>
    <w:rsid w:val="00ED4298"/>
    <w:rsid w:val="00ED538C"/>
    <w:rsid w:val="00EE0F19"/>
    <w:rsid w:val="00EE49FB"/>
    <w:rsid w:val="00EF226E"/>
    <w:rsid w:val="00EF23C6"/>
    <w:rsid w:val="00EF32DC"/>
    <w:rsid w:val="00EF44B8"/>
    <w:rsid w:val="00F00D42"/>
    <w:rsid w:val="00F01D0D"/>
    <w:rsid w:val="00F01D6B"/>
    <w:rsid w:val="00F0241D"/>
    <w:rsid w:val="00F06BC4"/>
    <w:rsid w:val="00F10A19"/>
    <w:rsid w:val="00F119C3"/>
    <w:rsid w:val="00F11DE4"/>
    <w:rsid w:val="00F134E9"/>
    <w:rsid w:val="00F14743"/>
    <w:rsid w:val="00F154E4"/>
    <w:rsid w:val="00F2332D"/>
    <w:rsid w:val="00F23CF8"/>
    <w:rsid w:val="00F2586E"/>
    <w:rsid w:val="00F32D7A"/>
    <w:rsid w:val="00F3374D"/>
    <w:rsid w:val="00F40DA7"/>
    <w:rsid w:val="00F42FC9"/>
    <w:rsid w:val="00F43668"/>
    <w:rsid w:val="00F4374D"/>
    <w:rsid w:val="00F45ED9"/>
    <w:rsid w:val="00F544BD"/>
    <w:rsid w:val="00F54586"/>
    <w:rsid w:val="00F61B23"/>
    <w:rsid w:val="00F627D7"/>
    <w:rsid w:val="00F63A24"/>
    <w:rsid w:val="00F64820"/>
    <w:rsid w:val="00F70446"/>
    <w:rsid w:val="00F739F5"/>
    <w:rsid w:val="00F76AA6"/>
    <w:rsid w:val="00F81D28"/>
    <w:rsid w:val="00F8257B"/>
    <w:rsid w:val="00F917C8"/>
    <w:rsid w:val="00F919CE"/>
    <w:rsid w:val="00F97459"/>
    <w:rsid w:val="00F97B7E"/>
    <w:rsid w:val="00FA08D3"/>
    <w:rsid w:val="00FA4B6E"/>
    <w:rsid w:val="00FC25C0"/>
    <w:rsid w:val="00FC5299"/>
    <w:rsid w:val="00FD1FBC"/>
    <w:rsid w:val="00FD3745"/>
    <w:rsid w:val="00FD6456"/>
    <w:rsid w:val="00FD7BD3"/>
    <w:rsid w:val="00FE3847"/>
    <w:rsid w:val="00FE3A05"/>
    <w:rsid w:val="00FE5AAD"/>
    <w:rsid w:val="00FE75EA"/>
    <w:rsid w:val="00FF05CC"/>
    <w:rsid w:val="00FF23F5"/>
    <w:rsid w:val="00FF53A9"/>
    <w:rsid w:val="00FF5AF9"/>
    <w:rsid w:val="21CDFAA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1E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2F9"/>
    <w:pPr>
      <w:keepNext/>
      <w:keepLines/>
      <w:spacing w:after="120" w:line="276" w:lineRule="auto"/>
      <w:outlineLvl w:val="1"/>
    </w:pPr>
    <w:rPr>
      <w:rFonts w:cstheme="minorHAnsi"/>
    </w:rPr>
  </w:style>
  <w:style w:type="paragraph" w:styleId="Heading1">
    <w:name w:val="heading 1"/>
    <w:basedOn w:val="Normal"/>
    <w:next w:val="Normal"/>
    <w:link w:val="Heading1Char"/>
    <w:uiPriority w:val="9"/>
    <w:qFormat/>
    <w:rsid w:val="00C62812"/>
    <w:pPr>
      <w:spacing w:before="1320"/>
      <w:outlineLvl w:val="0"/>
    </w:pPr>
    <w:rPr>
      <w:rFonts w:ascii="Arial" w:eastAsia="Times New Roman" w:hAnsi="Arial" w:cs="Times New Roman"/>
      <w:b/>
      <w:color w:val="4B0885"/>
      <w:sz w:val="40"/>
      <w:szCs w:val="40"/>
    </w:rPr>
  </w:style>
  <w:style w:type="paragraph" w:styleId="Heading2">
    <w:name w:val="heading 2"/>
    <w:basedOn w:val="KeyPoints"/>
    <w:next w:val="Normal"/>
    <w:link w:val="Heading2Char"/>
    <w:uiPriority w:val="9"/>
    <w:unhideWhenUsed/>
    <w:qFormat/>
    <w:rsid w:val="00C62812"/>
    <w:pPr>
      <w:spacing w:before="240"/>
      <w:ind w:right="0"/>
    </w:pPr>
    <w:rPr>
      <w:rFonts w:ascii="Arial" w:eastAsia="Arial Nova" w:hAnsi="Arial" w:cs="Times New Roman"/>
      <w:b/>
      <w:bCs/>
      <w:sz w:val="32"/>
      <w:szCs w:val="32"/>
    </w:rPr>
  </w:style>
  <w:style w:type="paragraph" w:styleId="Heading3">
    <w:name w:val="heading 3"/>
    <w:basedOn w:val="Caption"/>
    <w:next w:val="Normal"/>
    <w:link w:val="Heading3Char"/>
    <w:uiPriority w:val="9"/>
    <w:unhideWhenUsed/>
    <w:qFormat/>
    <w:rsid w:val="00C62812"/>
    <w:pPr>
      <w:spacing w:after="200"/>
      <w:outlineLvl w:val="2"/>
    </w:pPr>
    <w:rPr>
      <w:sz w:val="18"/>
      <w:szCs w:val="18"/>
    </w:rPr>
  </w:style>
  <w:style w:type="paragraph" w:styleId="Heading4">
    <w:name w:val="heading 4"/>
    <w:basedOn w:val="Normal"/>
    <w:next w:val="Normal"/>
    <w:link w:val="Heading4Char"/>
    <w:uiPriority w:val="9"/>
    <w:unhideWhenUsed/>
    <w:qFormat/>
    <w:rsid w:val="00244D35"/>
    <w:pPr>
      <w:pBdr>
        <w:bottom w:val="single" w:sz="4" w:space="1" w:color="666666"/>
      </w:pBdr>
      <w:spacing w:before="240"/>
      <w:outlineLvl w:val="3"/>
    </w:pPr>
    <w:rPr>
      <w:rFonts w:ascii="Arial" w:eastAsia="Times New Roman" w:hAnsi="Arial" w:cs="Times New Roman"/>
      <w:b/>
      <w:color w:val="4B0885"/>
      <w:sz w:val="26"/>
      <w:szCs w:val="24"/>
    </w:rPr>
  </w:style>
  <w:style w:type="paragraph" w:styleId="Heading5">
    <w:name w:val="heading 5"/>
    <w:basedOn w:val="Normal"/>
    <w:next w:val="Normal"/>
    <w:link w:val="Heading5Char"/>
    <w:uiPriority w:val="9"/>
    <w:unhideWhenUsed/>
    <w:qFormat/>
    <w:rsid w:val="00AD062B"/>
    <w:pPr>
      <w:keepNext w:val="0"/>
      <w:keepLines w:val="0"/>
      <w:spacing w:before="240" w:after="0"/>
      <w:outlineLvl w:val="4"/>
    </w:pPr>
    <w:rPr>
      <w:rFonts w:ascii="Arial" w:eastAsia="Arial Nova" w:hAnsi="Arial" w:cs="Arial"/>
      <w:b/>
      <w:bCs/>
      <w:color w:val="012749"/>
    </w:rPr>
  </w:style>
  <w:style w:type="paragraph" w:styleId="Heading6">
    <w:name w:val="heading 6"/>
    <w:basedOn w:val="Normal"/>
    <w:next w:val="Normal"/>
    <w:link w:val="Heading6Char"/>
    <w:uiPriority w:val="9"/>
    <w:unhideWhenUsed/>
    <w:qFormat/>
    <w:rsid w:val="00AD062B"/>
    <w:pPr>
      <w:spacing w:before="240" w:after="0"/>
      <w:outlineLvl w:val="5"/>
    </w:pPr>
    <w:rPr>
      <w:rFonts w:ascii="Arial" w:eastAsia="Times New Roman" w:hAnsi="Arial" w:cs="Times New Roman"/>
      <w:b/>
      <w:color w:val="4B0885"/>
      <w:sz w:val="26"/>
      <w:szCs w:val="24"/>
    </w:rPr>
  </w:style>
  <w:style w:type="paragraph" w:styleId="Heading7">
    <w:name w:val="heading 7"/>
    <w:basedOn w:val="Normal"/>
    <w:next w:val="Normal"/>
    <w:link w:val="Heading7Char"/>
    <w:uiPriority w:val="9"/>
    <w:unhideWhenUsed/>
    <w:rsid w:val="00642A9A"/>
    <w:pPr>
      <w:spacing w:before="240" w:after="0"/>
      <w:outlineLvl w:val="6"/>
    </w:pPr>
    <w:rPr>
      <w:rFonts w:asciiTheme="majorHAnsi" w:eastAsiaTheme="majorEastAsia" w:hAnsiTheme="majorHAnsi" w:cstheme="majorBidi"/>
      <w:i/>
      <w:iCs/>
      <w:color w:val="341461" w:themeColor="accent1" w:themeShade="7F"/>
    </w:rPr>
  </w:style>
  <w:style w:type="paragraph" w:styleId="Heading8">
    <w:name w:val="heading 8"/>
    <w:basedOn w:val="Normal"/>
    <w:next w:val="Normal"/>
    <w:link w:val="Heading8Char"/>
    <w:uiPriority w:val="9"/>
    <w:semiHidden/>
    <w:unhideWhenUsed/>
    <w:rsid w:val="00642A9A"/>
    <w:pPr>
      <w:spacing w:before="2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2A9A"/>
    <w:pPr>
      <w:spacing w:before="2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UnresolvedMention">
    <w:name w:val="Unresolved Mention"/>
    <w:basedOn w:val="DefaultParagraphFont"/>
    <w:uiPriority w:val="99"/>
    <w:semiHidden/>
    <w:unhideWhenUsed/>
    <w:rsid w:val="00E82EEB"/>
    <w:rPr>
      <w:color w:val="605E5C"/>
      <w:shd w:val="clear" w:color="auto" w:fill="E1DFDD"/>
    </w:rPr>
  </w:style>
  <w:style w:type="paragraph" w:styleId="Footer">
    <w:name w:val="footer"/>
    <w:basedOn w:val="Normal"/>
    <w:link w:val="FooterChar"/>
    <w:uiPriority w:val="99"/>
    <w:unhideWhenUsed/>
    <w:rsid w:val="00991526"/>
    <w:pPr>
      <w:tabs>
        <w:tab w:val="right" w:pos="9026"/>
      </w:tabs>
      <w:spacing w:before="20" w:after="0" w:line="240" w:lineRule="auto"/>
    </w:pPr>
    <w:rPr>
      <w:sz w:val="17"/>
      <w:szCs w:val="17"/>
    </w:rPr>
  </w:style>
  <w:style w:type="character" w:customStyle="1" w:styleId="FooterChar">
    <w:name w:val="Footer Char"/>
    <w:basedOn w:val="DefaultParagraphFont"/>
    <w:link w:val="Footer"/>
    <w:uiPriority w:val="99"/>
    <w:rsid w:val="00991526"/>
    <w:rPr>
      <w:color w:val="000000" w:themeColor="text1"/>
      <w:sz w:val="17"/>
      <w:szCs w:val="17"/>
    </w:rPr>
  </w:style>
  <w:style w:type="paragraph" w:styleId="Title">
    <w:name w:val="Title"/>
    <w:basedOn w:val="Normal"/>
    <w:next w:val="Normal"/>
    <w:link w:val="TitleChar"/>
    <w:uiPriority w:val="1"/>
    <w:rsid w:val="00233A75"/>
    <w:pPr>
      <w:spacing w:before="2600" w:after="240" w:line="252" w:lineRule="auto"/>
    </w:pPr>
    <w:rPr>
      <w:rFonts w:asciiTheme="majorHAnsi" w:eastAsiaTheme="majorEastAsia" w:hAnsiTheme="majorHAnsi" w:cstheme="majorBidi"/>
      <w:b/>
      <w:color w:val="FFFFFF" w:themeColor="background1"/>
      <w:spacing w:val="-2"/>
      <w:kern w:val="28"/>
      <w:sz w:val="80"/>
      <w:szCs w:val="80"/>
    </w:rPr>
  </w:style>
  <w:style w:type="character" w:customStyle="1" w:styleId="TitleChar">
    <w:name w:val="Title Char"/>
    <w:basedOn w:val="DefaultParagraphFont"/>
    <w:link w:val="Title"/>
    <w:uiPriority w:val="1"/>
    <w:rsid w:val="00233A75"/>
    <w:rPr>
      <w:rFonts w:asciiTheme="majorHAnsi" w:eastAsiaTheme="majorEastAsia" w:hAnsiTheme="majorHAnsi" w:cstheme="majorBidi"/>
      <w:b/>
      <w:color w:val="FFFFFF" w:themeColor="background1"/>
      <w:spacing w:val="-2"/>
      <w:kern w:val="28"/>
      <w:sz w:val="80"/>
      <w:szCs w:val="80"/>
    </w:rPr>
  </w:style>
  <w:style w:type="character" w:customStyle="1" w:styleId="Heading1Char">
    <w:name w:val="Heading 1 Char"/>
    <w:basedOn w:val="DefaultParagraphFont"/>
    <w:link w:val="Heading1"/>
    <w:uiPriority w:val="9"/>
    <w:rsid w:val="00C62812"/>
    <w:rPr>
      <w:rFonts w:ascii="Arial" w:eastAsia="Times New Roman" w:hAnsi="Arial" w:cs="Times New Roman"/>
      <w:b/>
      <w:color w:val="4B0885"/>
      <w:sz w:val="40"/>
      <w:szCs w:val="40"/>
    </w:rPr>
  </w:style>
  <w:style w:type="paragraph" w:styleId="TOCHeading">
    <w:name w:val="TOC Heading"/>
    <w:basedOn w:val="Heading1"/>
    <w:next w:val="Normal"/>
    <w:uiPriority w:val="39"/>
    <w:unhideWhenUsed/>
    <w:qFormat/>
    <w:rsid w:val="007177A7"/>
    <w:pPr>
      <w:outlineLvl w:val="9"/>
    </w:pPr>
    <w:rPr>
      <w:lang w:val="en-US"/>
    </w:rPr>
  </w:style>
  <w:style w:type="paragraph" w:styleId="ListParagraph">
    <w:name w:val="List Paragraph"/>
    <w:basedOn w:val="Normal"/>
    <w:uiPriority w:val="34"/>
    <w:qFormat/>
    <w:rsid w:val="00E148F7"/>
    <w:pPr>
      <w:ind w:left="720"/>
      <w:contextualSpacing/>
    </w:pPr>
  </w:style>
  <w:style w:type="table" w:styleId="TableGrid">
    <w:name w:val="Table Grid"/>
    <w:basedOn w:val="TableNormal"/>
    <w:uiPriority w:val="39"/>
    <w:rsid w:val="00F4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DBD"/>
    <w:rPr>
      <w:sz w:val="16"/>
      <w:szCs w:val="16"/>
    </w:rPr>
  </w:style>
  <w:style w:type="paragraph" w:styleId="CommentText">
    <w:name w:val="annotation text"/>
    <w:basedOn w:val="Normal"/>
    <w:link w:val="CommentTextChar"/>
    <w:uiPriority w:val="99"/>
    <w:unhideWhenUsed/>
    <w:rsid w:val="007F7DBD"/>
    <w:pPr>
      <w:spacing w:line="240" w:lineRule="auto"/>
    </w:pPr>
    <w:rPr>
      <w:sz w:val="20"/>
      <w:szCs w:val="20"/>
    </w:rPr>
  </w:style>
  <w:style w:type="character" w:customStyle="1" w:styleId="CommentTextChar">
    <w:name w:val="Comment Text Char"/>
    <w:basedOn w:val="DefaultParagraphFont"/>
    <w:link w:val="CommentText"/>
    <w:uiPriority w:val="99"/>
    <w:rsid w:val="007F7DBD"/>
    <w:rPr>
      <w:sz w:val="20"/>
      <w:szCs w:val="20"/>
    </w:rPr>
  </w:style>
  <w:style w:type="paragraph" w:styleId="CommentSubject">
    <w:name w:val="annotation subject"/>
    <w:basedOn w:val="CommentText"/>
    <w:next w:val="CommentText"/>
    <w:link w:val="CommentSubjectChar"/>
    <w:uiPriority w:val="99"/>
    <w:semiHidden/>
    <w:unhideWhenUsed/>
    <w:rsid w:val="007F7DBD"/>
    <w:rPr>
      <w:b/>
      <w:bCs/>
    </w:rPr>
  </w:style>
  <w:style w:type="character" w:customStyle="1" w:styleId="CommentSubjectChar">
    <w:name w:val="Comment Subject Char"/>
    <w:basedOn w:val="CommentTextChar"/>
    <w:link w:val="CommentSubject"/>
    <w:uiPriority w:val="99"/>
    <w:semiHidden/>
    <w:rsid w:val="007F7DBD"/>
    <w:rPr>
      <w:b/>
      <w:bCs/>
      <w:sz w:val="20"/>
      <w:szCs w:val="20"/>
    </w:rPr>
  </w:style>
  <w:style w:type="paragraph" w:styleId="NoSpacing">
    <w:name w:val="No Spacing"/>
    <w:uiPriority w:val="1"/>
    <w:qFormat/>
    <w:rsid w:val="00A62216"/>
    <w:pPr>
      <w:spacing w:after="0" w:line="240" w:lineRule="auto"/>
    </w:pPr>
  </w:style>
  <w:style w:type="table" w:styleId="PlainTable4">
    <w:name w:val="Plain Table 4"/>
    <w:basedOn w:val="TableNormal"/>
    <w:uiPriority w:val="44"/>
    <w:rsid w:val="006066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qFormat/>
    <w:rsid w:val="00795897"/>
    <w:pPr>
      <w:numPr>
        <w:numId w:val="7"/>
      </w:numPr>
      <w:spacing w:before="40" w:after="20"/>
      <w:ind w:left="284" w:hanging="284"/>
    </w:pPr>
    <w:rPr>
      <w:rFonts w:eastAsia="SimSun" w:cs="Times New Roman"/>
      <w:szCs w:val="20"/>
      <w:lang w:val="en-GB" w:eastAsia="en-GB"/>
    </w:rPr>
  </w:style>
  <w:style w:type="character" w:customStyle="1" w:styleId="Heading2Char">
    <w:name w:val="Heading 2 Char"/>
    <w:basedOn w:val="DefaultParagraphFont"/>
    <w:link w:val="Heading2"/>
    <w:uiPriority w:val="9"/>
    <w:rsid w:val="00C62812"/>
    <w:rPr>
      <w:rFonts w:ascii="Arial" w:eastAsia="Arial Nova" w:hAnsi="Arial" w:cs="Times New Roman"/>
      <w:b/>
      <w:bCs/>
      <w:sz w:val="32"/>
      <w:szCs w:val="32"/>
    </w:rPr>
  </w:style>
  <w:style w:type="paragraph" w:styleId="TOC1">
    <w:name w:val="toc 1"/>
    <w:basedOn w:val="Normal"/>
    <w:next w:val="Normal"/>
    <w:uiPriority w:val="39"/>
    <w:unhideWhenUsed/>
    <w:rsid w:val="00A3043E"/>
    <w:rPr>
      <w:b/>
      <w:color w:val="4B0885" w:themeColor="text2"/>
    </w:rPr>
  </w:style>
  <w:style w:type="character" w:customStyle="1" w:styleId="Heading3Char">
    <w:name w:val="Heading 3 Char"/>
    <w:basedOn w:val="DefaultParagraphFont"/>
    <w:link w:val="Heading3"/>
    <w:uiPriority w:val="9"/>
    <w:rsid w:val="00C62812"/>
    <w:rPr>
      <w:rFonts w:cstheme="minorHAnsi"/>
      <w:b/>
      <w:bCs/>
      <w:sz w:val="18"/>
      <w:szCs w:val="18"/>
    </w:rPr>
  </w:style>
  <w:style w:type="paragraph" w:styleId="TOC2">
    <w:name w:val="toc 2"/>
    <w:basedOn w:val="Normal"/>
    <w:next w:val="Normal"/>
    <w:uiPriority w:val="39"/>
    <w:unhideWhenUsed/>
    <w:rsid w:val="00233A75"/>
    <w:pPr>
      <w:ind w:left="227"/>
    </w:pPr>
  </w:style>
  <w:style w:type="paragraph" w:styleId="TOC4">
    <w:name w:val="toc 4"/>
    <w:basedOn w:val="Normal"/>
    <w:next w:val="Normal"/>
    <w:autoRedefine/>
    <w:uiPriority w:val="39"/>
    <w:unhideWhenUsed/>
    <w:rsid w:val="007B2AD6"/>
    <w:pPr>
      <w:tabs>
        <w:tab w:val="right" w:leader="dot" w:pos="9016"/>
      </w:tabs>
      <w:ind w:left="220"/>
    </w:pPr>
  </w:style>
  <w:style w:type="paragraph" w:styleId="TOC3">
    <w:name w:val="toc 3"/>
    <w:basedOn w:val="Normal"/>
    <w:next w:val="Normal"/>
    <w:uiPriority w:val="39"/>
    <w:unhideWhenUsed/>
    <w:rsid w:val="00233A75"/>
    <w:pPr>
      <w:tabs>
        <w:tab w:val="right" w:leader="dot" w:pos="9016"/>
      </w:tabs>
      <w:ind w:left="454"/>
    </w:pPr>
  </w:style>
  <w:style w:type="paragraph" w:styleId="TOC5">
    <w:name w:val="toc 5"/>
    <w:basedOn w:val="Normal"/>
    <w:next w:val="Normal"/>
    <w:autoRedefine/>
    <w:uiPriority w:val="39"/>
    <w:unhideWhenUsed/>
    <w:rsid w:val="007B2AD6"/>
    <w:pPr>
      <w:tabs>
        <w:tab w:val="right" w:leader="dot" w:pos="9016"/>
      </w:tabs>
      <w:ind w:left="220"/>
    </w:pPr>
  </w:style>
  <w:style w:type="character" w:styleId="Hyperlink">
    <w:name w:val="Hyperlink"/>
    <w:basedOn w:val="DefaultParagraphFont"/>
    <w:uiPriority w:val="99"/>
    <w:unhideWhenUsed/>
    <w:rsid w:val="00A93DF6"/>
    <w:rPr>
      <w:color w:val="013D74" w:themeColor="hyperlink"/>
      <w:u w:val="single"/>
    </w:rPr>
  </w:style>
  <w:style w:type="paragraph" w:styleId="ListBullet2">
    <w:name w:val="List Bullet 2"/>
    <w:basedOn w:val="Normal"/>
    <w:qFormat/>
    <w:rsid w:val="00795897"/>
    <w:pPr>
      <w:numPr>
        <w:ilvl w:val="1"/>
        <w:numId w:val="7"/>
      </w:numPr>
      <w:spacing w:after="60"/>
      <w:ind w:left="568" w:hanging="284"/>
    </w:pPr>
    <w:rPr>
      <w:rFonts w:eastAsia="SimSun" w:cs="Times New Roman"/>
      <w:spacing w:val="-1"/>
      <w:szCs w:val="20"/>
      <w:lang w:val="en-GB" w:eastAsia="en-GB"/>
    </w:rPr>
  </w:style>
  <w:style w:type="paragraph" w:styleId="ListBullet3">
    <w:name w:val="List Bullet 3"/>
    <w:basedOn w:val="Normal"/>
    <w:rsid w:val="00BE68F3"/>
    <w:pPr>
      <w:numPr>
        <w:ilvl w:val="2"/>
        <w:numId w:val="7"/>
      </w:numPr>
      <w:spacing w:line="240" w:lineRule="atLeast"/>
    </w:pPr>
    <w:rPr>
      <w:rFonts w:eastAsia="SimSun" w:cs="Times New Roman"/>
      <w:spacing w:val="-1"/>
      <w:szCs w:val="20"/>
      <w:lang w:val="en-GB" w:eastAsia="en-GB"/>
    </w:rPr>
  </w:style>
  <w:style w:type="paragraph" w:styleId="ListBullet4">
    <w:name w:val="List Bullet 4"/>
    <w:basedOn w:val="ListBullet3"/>
    <w:semiHidden/>
    <w:rsid w:val="00597EF7"/>
    <w:pPr>
      <w:numPr>
        <w:ilvl w:val="3"/>
      </w:numPr>
    </w:pPr>
  </w:style>
  <w:style w:type="character" w:customStyle="1" w:styleId="Heading4Char">
    <w:name w:val="Heading 4 Char"/>
    <w:basedOn w:val="DefaultParagraphFont"/>
    <w:link w:val="Heading4"/>
    <w:uiPriority w:val="9"/>
    <w:rsid w:val="00244D35"/>
    <w:rPr>
      <w:rFonts w:ascii="Arial" w:eastAsia="Times New Roman" w:hAnsi="Arial" w:cs="Times New Roman"/>
      <w:b/>
      <w:color w:val="4B0885"/>
      <w:sz w:val="26"/>
      <w:szCs w:val="24"/>
    </w:rPr>
  </w:style>
  <w:style w:type="character" w:customStyle="1" w:styleId="Heading5Char">
    <w:name w:val="Heading 5 Char"/>
    <w:basedOn w:val="DefaultParagraphFont"/>
    <w:link w:val="Heading5"/>
    <w:uiPriority w:val="9"/>
    <w:rsid w:val="00AD062B"/>
    <w:rPr>
      <w:rFonts w:ascii="Arial" w:eastAsia="Arial Nova" w:hAnsi="Arial" w:cs="Arial"/>
      <w:b/>
      <w:bCs/>
      <w:color w:val="012749"/>
    </w:rPr>
  </w:style>
  <w:style w:type="character" w:customStyle="1" w:styleId="Heading6Char">
    <w:name w:val="Heading 6 Char"/>
    <w:basedOn w:val="DefaultParagraphFont"/>
    <w:link w:val="Heading6"/>
    <w:uiPriority w:val="9"/>
    <w:rsid w:val="00AD062B"/>
    <w:rPr>
      <w:rFonts w:ascii="Arial" w:eastAsia="Times New Roman" w:hAnsi="Arial" w:cs="Times New Roman"/>
      <w:b/>
      <w:color w:val="4B0885"/>
      <w:sz w:val="26"/>
      <w:szCs w:val="24"/>
    </w:rPr>
  </w:style>
  <w:style w:type="character" w:customStyle="1" w:styleId="Heading7Char">
    <w:name w:val="Heading 7 Char"/>
    <w:basedOn w:val="DefaultParagraphFont"/>
    <w:link w:val="Heading7"/>
    <w:uiPriority w:val="9"/>
    <w:rsid w:val="00642A9A"/>
    <w:rPr>
      <w:rFonts w:asciiTheme="majorHAnsi" w:eastAsiaTheme="majorEastAsia" w:hAnsiTheme="majorHAnsi" w:cstheme="majorBidi"/>
      <w:i/>
      <w:iCs/>
      <w:color w:val="341461" w:themeColor="accent1" w:themeShade="7F"/>
    </w:rPr>
  </w:style>
  <w:style w:type="paragraph" w:styleId="Header">
    <w:name w:val="header"/>
    <w:basedOn w:val="Normal"/>
    <w:link w:val="HeaderChar"/>
    <w:uiPriority w:val="99"/>
    <w:unhideWhenUsed/>
    <w:rsid w:val="00C40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E20"/>
    <w:rPr>
      <w:rFonts w:ascii="Arial" w:hAnsi="Arial"/>
      <w:color w:val="000000" w:themeColor="text1"/>
    </w:rPr>
  </w:style>
  <w:style w:type="paragraph" w:styleId="Caption">
    <w:name w:val="caption"/>
    <w:basedOn w:val="Normal"/>
    <w:next w:val="Normal"/>
    <w:uiPriority w:val="35"/>
    <w:unhideWhenUsed/>
    <w:qFormat/>
    <w:rsid w:val="004860A5"/>
    <w:pPr>
      <w:spacing w:before="320" w:after="720" w:line="240" w:lineRule="auto"/>
    </w:pPr>
    <w:rPr>
      <w:b/>
      <w:bCs/>
    </w:rPr>
  </w:style>
  <w:style w:type="paragraph" w:styleId="Subtitle">
    <w:name w:val="Subtitle"/>
    <w:basedOn w:val="Normal"/>
    <w:next w:val="Normal"/>
    <w:link w:val="SubtitleChar"/>
    <w:uiPriority w:val="1"/>
    <w:rsid w:val="00233A75"/>
    <w:pPr>
      <w:numPr>
        <w:ilvl w:val="1"/>
      </w:numPr>
      <w:spacing w:before="480" w:after="160"/>
    </w:pPr>
    <w:rPr>
      <w:rFonts w:asciiTheme="majorHAnsi" w:eastAsiaTheme="minorEastAsia" w:hAnsiTheme="majorHAnsi"/>
      <w:color w:val="FFFFFF" w:themeColor="background1"/>
      <w:sz w:val="48"/>
      <w:szCs w:val="48"/>
    </w:rPr>
  </w:style>
  <w:style w:type="character" w:customStyle="1" w:styleId="SubtitleChar">
    <w:name w:val="Subtitle Char"/>
    <w:basedOn w:val="DefaultParagraphFont"/>
    <w:link w:val="Subtitle"/>
    <w:uiPriority w:val="1"/>
    <w:rsid w:val="00233A75"/>
    <w:rPr>
      <w:rFonts w:asciiTheme="majorHAnsi" w:eastAsiaTheme="minorEastAsia" w:hAnsiTheme="majorHAnsi"/>
      <w:color w:val="FFFFFF" w:themeColor="background1"/>
      <w:sz w:val="48"/>
      <w:szCs w:val="48"/>
    </w:rPr>
  </w:style>
  <w:style w:type="paragraph" w:customStyle="1" w:styleId="Spacer">
    <w:name w:val="Spacer"/>
    <w:basedOn w:val="NoSpacing"/>
    <w:next w:val="Normal"/>
    <w:qFormat/>
    <w:rsid w:val="00506CD7"/>
    <w:pPr>
      <w:tabs>
        <w:tab w:val="left" w:pos="2906"/>
      </w:tabs>
    </w:pPr>
    <w:rPr>
      <w:rFonts w:ascii="Times New Roman" w:hAnsi="Times New Roman" w:cs="Times New Roman"/>
      <w:bCs/>
      <w:noProof/>
      <w:color w:val="1EF741" w:themeColor="accent6" w:themeTint="99"/>
      <w:spacing w:val="-5"/>
      <w:sz w:val="6"/>
      <w:szCs w:val="23"/>
    </w:rPr>
  </w:style>
  <w:style w:type="character" w:styleId="PlaceholderText">
    <w:name w:val="Placeholder Text"/>
    <w:basedOn w:val="DefaultParagraphFont"/>
    <w:uiPriority w:val="99"/>
    <w:semiHidden/>
    <w:rsid w:val="00C6447C"/>
    <w:rPr>
      <w:color w:val="808080"/>
    </w:rPr>
  </w:style>
  <w:style w:type="paragraph" w:customStyle="1" w:styleId="Source">
    <w:name w:val="Source"/>
    <w:basedOn w:val="Normal"/>
    <w:next w:val="Normal"/>
    <w:qFormat/>
    <w:rsid w:val="00414265"/>
    <w:pPr>
      <w:spacing w:line="240" w:lineRule="auto"/>
    </w:pPr>
    <w:rPr>
      <w:sz w:val="14"/>
      <w:szCs w:val="14"/>
    </w:rPr>
  </w:style>
  <w:style w:type="paragraph" w:styleId="MacroText">
    <w:name w:val="macro"/>
    <w:link w:val="MacroTextChar"/>
    <w:uiPriority w:val="99"/>
    <w:unhideWhenUsed/>
    <w:rsid w:val="00AF278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rsid w:val="00AF2783"/>
    <w:rPr>
      <w:rFonts w:ascii="Consolas" w:hAnsi="Consolas"/>
      <w:sz w:val="20"/>
      <w:szCs w:val="20"/>
    </w:rPr>
  </w:style>
  <w:style w:type="table" w:customStyle="1" w:styleId="JSATable1">
    <w:name w:val="JSA Table 1"/>
    <w:basedOn w:val="TableNormal"/>
    <w:uiPriority w:val="99"/>
    <w:rsid w:val="00D73EA4"/>
    <w:pPr>
      <w:spacing w:after="0" w:line="240" w:lineRule="auto"/>
    </w:pPr>
    <w:tblPr>
      <w:tblStyleRowBandSize w:val="1"/>
      <w:tblBorders>
        <w:bottom w:val="single" w:sz="4" w:space="0" w:color="4B0885"/>
      </w:tblBorders>
    </w:tblPr>
    <w:tblStylePr w:type="firstRow">
      <w:tblPr/>
      <w:tcPr>
        <w:shd w:val="clear" w:color="auto" w:fill="2F005F"/>
      </w:tcPr>
    </w:tblStylePr>
    <w:tblStylePr w:type="band2Horz">
      <w:tblPr/>
      <w:tcPr>
        <w:shd w:val="clear" w:color="auto" w:fill="E6E6E6"/>
      </w:tcPr>
    </w:tblStylePr>
  </w:style>
  <w:style w:type="table" w:customStyle="1" w:styleId="JSATable2">
    <w:name w:val="JSA Table 2"/>
    <w:basedOn w:val="TableNormal"/>
    <w:uiPriority w:val="99"/>
    <w:rsid w:val="00A74E0F"/>
    <w:pPr>
      <w:spacing w:after="0" w:line="240" w:lineRule="auto"/>
    </w:pPr>
    <w:tblPr>
      <w:tblStyleRowBandSize w:val="1"/>
      <w:tblBorders>
        <w:bottom w:val="single" w:sz="4" w:space="0" w:color="A584C2"/>
      </w:tblBorders>
    </w:tblPr>
    <w:tblStylePr w:type="firstRow">
      <w:rPr>
        <w:rFonts w:asciiTheme="majorHAnsi" w:hAnsiTheme="majorHAnsi"/>
        <w:color w:val="FFFFFF" w:themeColor="background1"/>
        <w:sz w:val="22"/>
      </w:rPr>
      <w:tblPr/>
      <w:tcPr>
        <w:shd w:val="clear" w:color="auto" w:fill="012749" w:themeFill="accent3"/>
      </w:tcPr>
    </w:tblStylePr>
    <w:tblStylePr w:type="band2Horz">
      <w:tblPr/>
      <w:tcPr>
        <w:shd w:val="clear" w:color="auto" w:fill="E6E6E6"/>
      </w:tcPr>
    </w:tblStylePr>
  </w:style>
  <w:style w:type="paragraph" w:styleId="Index7">
    <w:name w:val="index 7"/>
    <w:basedOn w:val="Normal"/>
    <w:next w:val="Normal"/>
    <w:autoRedefine/>
    <w:uiPriority w:val="99"/>
    <w:semiHidden/>
    <w:unhideWhenUsed/>
    <w:rsid w:val="00244550"/>
    <w:pPr>
      <w:spacing w:before="240" w:after="0" w:line="240" w:lineRule="auto"/>
      <w:ind w:left="1542" w:hanging="221"/>
    </w:pPr>
  </w:style>
  <w:style w:type="character" w:customStyle="1" w:styleId="Heading8Char">
    <w:name w:val="Heading 8 Char"/>
    <w:basedOn w:val="DefaultParagraphFont"/>
    <w:link w:val="Heading8"/>
    <w:uiPriority w:val="9"/>
    <w:semiHidden/>
    <w:rsid w:val="00642A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2A9A"/>
    <w:rPr>
      <w:rFonts w:asciiTheme="majorHAnsi" w:eastAsiaTheme="majorEastAsia" w:hAnsiTheme="majorHAnsi" w:cstheme="majorBidi"/>
      <w:i/>
      <w:iCs/>
      <w:color w:val="272727" w:themeColor="text1" w:themeTint="D8"/>
      <w:sz w:val="21"/>
      <w:szCs w:val="21"/>
    </w:rPr>
  </w:style>
  <w:style w:type="character" w:customStyle="1" w:styleId="StrongandEmphasis">
    <w:name w:val="Strong and Emphasis"/>
    <w:basedOn w:val="DefaultParagraphFont"/>
    <w:uiPriority w:val="1"/>
    <w:qFormat/>
    <w:rsid w:val="009C56D1"/>
    <w:rPr>
      <w:b/>
      <w:i/>
    </w:rPr>
  </w:style>
  <w:style w:type="paragraph" w:styleId="ListNumber">
    <w:name w:val="List Number"/>
    <w:basedOn w:val="Normal"/>
    <w:uiPriority w:val="99"/>
    <w:unhideWhenUsed/>
    <w:rsid w:val="004B09C1"/>
    <w:pPr>
      <w:numPr>
        <w:numId w:val="16"/>
      </w:numPr>
      <w:contextualSpacing/>
    </w:pPr>
  </w:style>
  <w:style w:type="paragraph" w:styleId="ListNumber2">
    <w:name w:val="List Number 2"/>
    <w:basedOn w:val="Normal"/>
    <w:uiPriority w:val="99"/>
    <w:unhideWhenUsed/>
    <w:rsid w:val="004B09C1"/>
    <w:pPr>
      <w:numPr>
        <w:numId w:val="17"/>
      </w:numPr>
      <w:contextualSpacing/>
    </w:pPr>
  </w:style>
  <w:style w:type="character" w:styleId="FootnoteReference">
    <w:name w:val="footnote reference"/>
    <w:basedOn w:val="DefaultParagraphFont"/>
    <w:uiPriority w:val="99"/>
    <w:unhideWhenUsed/>
    <w:rsid w:val="004B09C1"/>
    <w:rPr>
      <w:vertAlign w:val="superscript"/>
    </w:rPr>
  </w:style>
  <w:style w:type="paragraph" w:styleId="FootnoteText">
    <w:name w:val="footnote text"/>
    <w:basedOn w:val="Normal"/>
    <w:link w:val="FootnoteTextChar"/>
    <w:uiPriority w:val="99"/>
    <w:unhideWhenUsed/>
    <w:rsid w:val="00105D29"/>
    <w:pPr>
      <w:spacing w:after="0" w:line="240" w:lineRule="auto"/>
    </w:pPr>
    <w:rPr>
      <w:sz w:val="12"/>
      <w:szCs w:val="12"/>
    </w:rPr>
  </w:style>
  <w:style w:type="character" w:customStyle="1" w:styleId="FootnoteTextChar">
    <w:name w:val="Footnote Text Char"/>
    <w:basedOn w:val="DefaultParagraphFont"/>
    <w:link w:val="FootnoteText"/>
    <w:uiPriority w:val="99"/>
    <w:rsid w:val="00105D29"/>
    <w:rPr>
      <w:sz w:val="12"/>
      <w:szCs w:val="12"/>
    </w:rPr>
  </w:style>
  <w:style w:type="table" w:customStyle="1" w:styleId="IVISummarySheet">
    <w:name w:val="IVI Summary Sheet"/>
    <w:basedOn w:val="TableNormal"/>
    <w:uiPriority w:val="99"/>
    <w:rsid w:val="00560872"/>
    <w:pPr>
      <w:spacing w:after="0" w:line="240" w:lineRule="auto"/>
      <w:jc w:val="right"/>
    </w:pPr>
    <w:tblPr>
      <w:tblStyleRowBandSize w:val="1"/>
      <w:tblBorders>
        <w:top w:val="single" w:sz="4" w:space="0" w:color="7F7F7F"/>
        <w:left w:val="single" w:sz="4" w:space="0" w:color="7F7F7F"/>
        <w:bottom w:val="single" w:sz="4" w:space="0" w:color="7F7F7F"/>
        <w:right w:val="single" w:sz="4" w:space="0" w:color="7F7F7F"/>
        <w:insideV w:val="single" w:sz="4" w:space="0" w:color="7F7F7F"/>
      </w:tblBorders>
    </w:tblPr>
    <w:tcPr>
      <w:vAlign w:val="center"/>
    </w:tcPr>
    <w:tblStylePr w:type="firstRow">
      <w:pPr>
        <w:jc w:val="right"/>
      </w:pPr>
      <w:rPr>
        <w:b/>
        <w:color w:val="FFFFFF" w:themeColor="background1"/>
      </w:rPr>
      <w:tblPr/>
      <w:tcPr>
        <w:tcBorders>
          <w:left w:val="nil"/>
          <w:right w:val="nil"/>
          <w:insideV w:val="nil"/>
        </w:tcBorders>
        <w:shd w:val="clear" w:color="auto" w:fill="2C054E"/>
        <w:vAlign w:val="bottom"/>
      </w:tcPr>
    </w:tblStylePr>
    <w:tblStylePr w:type="firstCol">
      <w:pPr>
        <w:jc w:val="left"/>
      </w:pPr>
    </w:tblStylePr>
    <w:tblStylePr w:type="band1Horz">
      <w:tblPr/>
      <w:tcPr>
        <w:shd w:val="clear" w:color="auto" w:fill="F1F4F9"/>
      </w:tcPr>
    </w:tblStylePr>
    <w:tblStylePr w:type="band2Horz">
      <w:tblPr/>
      <w:tcPr>
        <w:shd w:val="clear" w:color="auto" w:fill="FFFFFF" w:themeFill="background1"/>
      </w:tcPr>
    </w:tblStylePr>
  </w:style>
  <w:style w:type="table" w:styleId="TableGridLight">
    <w:name w:val="Grid Table Light"/>
    <w:basedOn w:val="TableNormal"/>
    <w:uiPriority w:val="40"/>
    <w:rsid w:val="00DA58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IVISummarySheet"/>
    <w:uiPriority w:val="99"/>
    <w:rsid w:val="0074492F"/>
    <w:tblPr/>
    <w:tblStylePr w:type="firstRow">
      <w:pPr>
        <w:jc w:val="right"/>
      </w:pPr>
      <w:rPr>
        <w:b w:val="0"/>
        <w:color w:val="FFFFFF" w:themeColor="background1"/>
        <w:sz w:val="2"/>
      </w:rPr>
      <w:tblPr/>
      <w:tcPr>
        <w:tcBorders>
          <w:top w:val="nil"/>
          <w:left w:val="nil"/>
          <w:bottom w:val="single" w:sz="4" w:space="0" w:color="7F7F7F"/>
          <w:right w:val="nil"/>
          <w:insideH w:val="nil"/>
          <w:insideV w:val="nil"/>
          <w:tl2br w:val="nil"/>
          <w:tr2bl w:val="nil"/>
        </w:tcBorders>
        <w:shd w:val="clear" w:color="auto" w:fill="FFFFFF" w:themeFill="background1"/>
        <w:vAlign w:val="bottom"/>
      </w:tcPr>
    </w:tblStylePr>
    <w:tblStylePr w:type="firstCol">
      <w:pPr>
        <w:jc w:val="left"/>
      </w:pPr>
    </w:tblStylePr>
    <w:tblStylePr w:type="band1Horz">
      <w:tblPr/>
      <w:tcPr>
        <w:shd w:val="clear" w:color="auto" w:fill="F1F4F9"/>
      </w:tcPr>
    </w:tblStylePr>
    <w:tblStylePr w:type="band2Horz">
      <w:tblPr/>
      <w:tcPr>
        <w:shd w:val="clear" w:color="auto" w:fill="FFFFFF" w:themeFill="background1"/>
      </w:tcPr>
    </w:tblStylePr>
  </w:style>
  <w:style w:type="paragraph" w:styleId="Revision">
    <w:name w:val="Revision"/>
    <w:hidden/>
    <w:uiPriority w:val="99"/>
    <w:semiHidden/>
    <w:rsid w:val="00E75D6A"/>
    <w:pPr>
      <w:spacing w:after="0" w:line="240" w:lineRule="auto"/>
    </w:pPr>
    <w:rPr>
      <w:sz w:val="18"/>
      <w:szCs w:val="18"/>
    </w:rPr>
  </w:style>
  <w:style w:type="paragraph" w:customStyle="1" w:styleId="KeyPoints">
    <w:name w:val="Key Points"/>
    <w:basedOn w:val="Normal"/>
    <w:link w:val="KeyPointsChar"/>
    <w:qFormat/>
    <w:rsid w:val="00F42FC9"/>
    <w:pPr>
      <w:ind w:right="2835"/>
      <w:jc w:val="both"/>
    </w:pPr>
  </w:style>
  <w:style w:type="character" w:customStyle="1" w:styleId="KeyPointsChar">
    <w:name w:val="Key Points Char"/>
    <w:basedOn w:val="DefaultParagraphFont"/>
    <w:link w:val="KeyPoints"/>
    <w:rsid w:val="00F42FC9"/>
    <w:rPr>
      <w:sz w:val="18"/>
      <w:szCs w:val="18"/>
    </w:rPr>
  </w:style>
  <w:style w:type="paragraph" w:customStyle="1" w:styleId="KeyPointsBullet1">
    <w:name w:val="Key Points Bullet 1"/>
    <w:basedOn w:val="KeyPoints"/>
    <w:link w:val="KeyPointsBullet1Char"/>
    <w:qFormat/>
    <w:rsid w:val="00F42FC9"/>
    <w:pPr>
      <w:numPr>
        <w:numId w:val="23"/>
      </w:numPr>
      <w:spacing w:before="40" w:after="20"/>
      <w:ind w:left="357" w:hanging="357"/>
    </w:pPr>
  </w:style>
  <w:style w:type="character" w:customStyle="1" w:styleId="KeyPointsBullet1Char">
    <w:name w:val="Key Points Bullet 1 Char"/>
    <w:basedOn w:val="KeyPointsChar"/>
    <w:link w:val="KeyPointsBullet1"/>
    <w:rsid w:val="00F42FC9"/>
    <w:rPr>
      <w:sz w:val="18"/>
      <w:szCs w:val="18"/>
    </w:rPr>
  </w:style>
  <w:style w:type="paragraph" w:customStyle="1" w:styleId="KeyPointsBullet2">
    <w:name w:val="Key Points Bullet 2"/>
    <w:basedOn w:val="KeyPointsBullet1"/>
    <w:link w:val="KeyPointsBullet2Char"/>
    <w:qFormat/>
    <w:rsid w:val="00F42FC9"/>
    <w:pPr>
      <w:numPr>
        <w:ilvl w:val="1"/>
        <w:numId w:val="24"/>
      </w:numPr>
      <w:spacing w:before="0" w:after="60"/>
      <w:ind w:left="589"/>
    </w:pPr>
  </w:style>
  <w:style w:type="character" w:customStyle="1" w:styleId="KeyPointsBullet2Char">
    <w:name w:val="Key Points Bullet 2 Char"/>
    <w:basedOn w:val="KeyPointsBullet1Char"/>
    <w:link w:val="KeyPointsBullet2"/>
    <w:rsid w:val="00F42FC9"/>
    <w:rPr>
      <w:sz w:val="18"/>
      <w:szCs w:val="18"/>
    </w:rPr>
  </w:style>
  <w:style w:type="paragraph" w:customStyle="1" w:styleId="FooterText">
    <w:name w:val="Footer Text"/>
    <w:basedOn w:val="Source"/>
    <w:link w:val="FooterTextChar"/>
    <w:qFormat/>
    <w:rsid w:val="00C62812"/>
    <w:rPr>
      <w:sz w:val="16"/>
      <w:szCs w:val="16"/>
    </w:rPr>
  </w:style>
  <w:style w:type="character" w:customStyle="1" w:styleId="FooterTextChar">
    <w:name w:val="Footer Text Char"/>
    <w:basedOn w:val="DefaultParagraphFont"/>
    <w:link w:val="FooterText"/>
    <w:rsid w:val="00C62812"/>
    <w:rPr>
      <w:rFonts w:cstheme="minorHAnsi"/>
      <w:sz w:val="16"/>
      <w:szCs w:val="16"/>
    </w:rPr>
  </w:style>
  <w:style w:type="table" w:styleId="GridTable3">
    <w:name w:val="Grid Table 3"/>
    <w:basedOn w:val="TableNormal"/>
    <w:uiPriority w:val="48"/>
    <w:rsid w:val="00C6281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SourceCode">
    <w:name w:val="Source Code"/>
    <w:basedOn w:val="Normal"/>
    <w:pPr>
      <w:shd w:val="clear" w:color="auto" w:fill="F1F3F5"/>
      <w:wordWrap w:val="0"/>
    </w:pPr>
  </w:style>
  <w:style w:type="character" w:customStyle="1" w:styleId="KeywordTok">
    <w:name w:val="KeywordTok"/>
    <w:rPr>
      <w:b/>
      <w:color w:val="003B4F"/>
      <w:shd w:val="clear" w:color="auto" w:fill="F1F3F5"/>
    </w:rPr>
  </w:style>
  <w:style w:type="character" w:customStyle="1" w:styleId="DataTypeTok">
    <w:name w:val="DataTypeTok"/>
    <w:rPr>
      <w:color w:val="AD0000"/>
      <w:shd w:val="clear" w:color="auto" w:fill="F1F3F5"/>
    </w:rPr>
  </w:style>
  <w:style w:type="character" w:customStyle="1" w:styleId="DecValTok">
    <w:name w:val="DecValTok"/>
    <w:rPr>
      <w:color w:val="AD0000"/>
      <w:shd w:val="clear" w:color="auto" w:fill="F1F3F5"/>
    </w:rPr>
  </w:style>
  <w:style w:type="character" w:customStyle="1" w:styleId="BaseNTok">
    <w:name w:val="BaseNTok"/>
    <w:rPr>
      <w:color w:val="AD0000"/>
      <w:shd w:val="clear" w:color="auto" w:fill="F1F3F5"/>
    </w:rPr>
  </w:style>
  <w:style w:type="character" w:customStyle="1" w:styleId="FloatTok">
    <w:name w:val="FloatTok"/>
    <w:rPr>
      <w:color w:val="AD0000"/>
      <w:shd w:val="clear" w:color="auto" w:fill="F1F3F5"/>
    </w:rPr>
  </w:style>
  <w:style w:type="character" w:customStyle="1" w:styleId="ConstantTok">
    <w:name w:val="ConstantTok"/>
    <w:rPr>
      <w:color w:val="8F5902"/>
      <w:shd w:val="clear" w:color="auto" w:fill="F1F3F5"/>
    </w:rPr>
  </w:style>
  <w:style w:type="character" w:customStyle="1" w:styleId="CharTok">
    <w:name w:val="CharTok"/>
    <w:rPr>
      <w:color w:val="20794D"/>
      <w:shd w:val="clear" w:color="auto" w:fill="F1F3F5"/>
    </w:rPr>
  </w:style>
  <w:style w:type="character" w:customStyle="1" w:styleId="SpecialCharTok">
    <w:name w:val="SpecialCharTok"/>
    <w:rPr>
      <w:color w:val="5E5E5E"/>
      <w:shd w:val="clear" w:color="auto" w:fill="F1F3F5"/>
    </w:rPr>
  </w:style>
  <w:style w:type="character" w:customStyle="1" w:styleId="StringTok">
    <w:name w:val="StringTok"/>
    <w:rPr>
      <w:color w:val="20794D"/>
      <w:shd w:val="clear" w:color="auto" w:fill="F1F3F5"/>
    </w:rPr>
  </w:style>
  <w:style w:type="character" w:customStyle="1" w:styleId="VerbatimStringTok">
    <w:name w:val="VerbatimStringTok"/>
    <w:rPr>
      <w:color w:val="20794D"/>
      <w:shd w:val="clear" w:color="auto" w:fill="F1F3F5"/>
    </w:rPr>
  </w:style>
  <w:style w:type="character" w:customStyle="1" w:styleId="SpecialStringTok">
    <w:name w:val="SpecialStringTok"/>
    <w:rPr>
      <w:color w:val="20794D"/>
      <w:shd w:val="clear" w:color="auto" w:fill="F1F3F5"/>
    </w:rPr>
  </w:style>
  <w:style w:type="character" w:customStyle="1" w:styleId="ImportTok">
    <w:name w:val="ImportTok"/>
    <w:rPr>
      <w:color w:val="00769E"/>
      <w:shd w:val="clear" w:color="auto" w:fill="F1F3F5"/>
    </w:rPr>
  </w:style>
  <w:style w:type="character" w:customStyle="1" w:styleId="CommentTok">
    <w:name w:val="CommentTok"/>
    <w:rPr>
      <w:color w:val="5E5E5E"/>
      <w:shd w:val="clear" w:color="auto" w:fill="F1F3F5"/>
    </w:rPr>
  </w:style>
  <w:style w:type="character" w:customStyle="1" w:styleId="DocumentationTok">
    <w:name w:val="DocumentationTok"/>
    <w:rPr>
      <w:i/>
      <w:color w:val="5E5E5E"/>
      <w:shd w:val="clear" w:color="auto" w:fill="F1F3F5"/>
    </w:rPr>
  </w:style>
  <w:style w:type="character" w:customStyle="1" w:styleId="AnnotationTok">
    <w:name w:val="AnnotationTok"/>
    <w:rPr>
      <w:color w:val="5E5E5E"/>
      <w:shd w:val="clear" w:color="auto" w:fill="F1F3F5"/>
    </w:rPr>
  </w:style>
  <w:style w:type="character" w:customStyle="1" w:styleId="CommentVarTok">
    <w:name w:val="CommentVarTok"/>
    <w:rPr>
      <w:i/>
      <w:color w:val="5E5E5E"/>
      <w:shd w:val="clear" w:color="auto" w:fill="F1F3F5"/>
    </w:rPr>
  </w:style>
  <w:style w:type="character" w:customStyle="1" w:styleId="OtherTok">
    <w:name w:val="OtherTok"/>
    <w:rPr>
      <w:color w:val="003B4F"/>
      <w:shd w:val="clear" w:color="auto" w:fill="F1F3F5"/>
    </w:rPr>
  </w:style>
  <w:style w:type="character" w:customStyle="1" w:styleId="FunctionTok">
    <w:name w:val="FunctionTok"/>
    <w:rPr>
      <w:color w:val="4758AB"/>
      <w:shd w:val="clear" w:color="auto" w:fill="F1F3F5"/>
    </w:rPr>
  </w:style>
  <w:style w:type="character" w:customStyle="1" w:styleId="VariableTok">
    <w:name w:val="VariableTok"/>
    <w:rPr>
      <w:color w:val="111111"/>
      <w:shd w:val="clear" w:color="auto" w:fill="F1F3F5"/>
    </w:rPr>
  </w:style>
  <w:style w:type="character" w:customStyle="1" w:styleId="ControlFlowTok">
    <w:name w:val="ControlFlowTok"/>
    <w:rPr>
      <w:b/>
      <w:color w:val="003B4F"/>
      <w:shd w:val="clear" w:color="auto" w:fill="F1F3F5"/>
    </w:rPr>
  </w:style>
  <w:style w:type="character" w:customStyle="1" w:styleId="OperatorTok">
    <w:name w:val="OperatorTok"/>
    <w:rPr>
      <w:color w:val="5E5E5E"/>
      <w:shd w:val="clear" w:color="auto" w:fill="F1F3F5"/>
    </w:rPr>
  </w:style>
  <w:style w:type="character" w:customStyle="1" w:styleId="BuiltInTok">
    <w:name w:val="BuiltInTok"/>
    <w:rPr>
      <w:color w:val="003B4F"/>
      <w:shd w:val="clear" w:color="auto" w:fill="F1F3F5"/>
    </w:rPr>
  </w:style>
  <w:style w:type="character" w:customStyle="1" w:styleId="ExtensionTok">
    <w:name w:val="ExtensionTok"/>
    <w:rPr>
      <w:color w:val="003B4F"/>
      <w:shd w:val="clear" w:color="auto" w:fill="F1F3F5"/>
    </w:rPr>
  </w:style>
  <w:style w:type="character" w:customStyle="1" w:styleId="PreprocessorTok">
    <w:name w:val="PreprocessorTok"/>
    <w:rPr>
      <w:color w:val="AD0000"/>
      <w:shd w:val="clear" w:color="auto" w:fill="F1F3F5"/>
    </w:rPr>
  </w:style>
  <w:style w:type="character" w:customStyle="1" w:styleId="AttributeTok">
    <w:name w:val="AttributeTok"/>
    <w:rPr>
      <w:color w:val="657422"/>
      <w:shd w:val="clear" w:color="auto" w:fill="F1F3F5"/>
    </w:rPr>
  </w:style>
  <w:style w:type="character" w:customStyle="1" w:styleId="RegionMarkerTok">
    <w:name w:val="RegionMarkerTok"/>
    <w:rPr>
      <w:color w:val="003B4F"/>
      <w:shd w:val="clear" w:color="auto" w:fill="F1F3F5"/>
    </w:rPr>
  </w:style>
  <w:style w:type="character" w:customStyle="1" w:styleId="InformationTok">
    <w:name w:val="InformationTok"/>
    <w:rPr>
      <w:color w:val="5E5E5E"/>
      <w:shd w:val="clear" w:color="auto" w:fill="F1F3F5"/>
    </w:rPr>
  </w:style>
  <w:style w:type="character" w:customStyle="1" w:styleId="WarningTok">
    <w:name w:val="WarningTok"/>
    <w:rPr>
      <w:i/>
      <w:color w:val="5E5E5E"/>
      <w:shd w:val="clear" w:color="auto" w:fill="F1F3F5"/>
    </w:rPr>
  </w:style>
  <w:style w:type="character" w:customStyle="1" w:styleId="AlertTok">
    <w:name w:val="AlertTok"/>
    <w:rPr>
      <w:color w:val="AD0000"/>
      <w:shd w:val="clear" w:color="auto" w:fill="F1F3F5"/>
    </w:rPr>
  </w:style>
  <w:style w:type="character" w:customStyle="1" w:styleId="ErrorTok">
    <w:name w:val="ErrorTok"/>
    <w:rPr>
      <w:color w:val="AD0000"/>
      <w:shd w:val="clear" w:color="auto" w:fill="F1F3F5"/>
    </w:rPr>
  </w:style>
  <w:style w:type="character" w:customStyle="1" w:styleId="NormalTok">
    <w:name w:val="NormalTok"/>
    <w:rPr>
      <w:color w:val="003B4F"/>
      <w:shd w:val="clear" w:color="auto"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334394">
      <w:bodyDiv w:val="1"/>
      <w:marLeft w:val="0"/>
      <w:marRight w:val="0"/>
      <w:marTop w:val="0"/>
      <w:marBottom w:val="0"/>
      <w:divBdr>
        <w:top w:val="none" w:sz="0" w:space="0" w:color="auto"/>
        <w:left w:val="none" w:sz="0" w:space="0" w:color="auto"/>
        <w:bottom w:val="none" w:sz="0" w:space="0" w:color="auto"/>
        <w:right w:val="none" w:sz="0" w:space="0" w:color="auto"/>
      </w:divBdr>
    </w:div>
    <w:div w:id="649486237">
      <w:bodyDiv w:val="1"/>
      <w:marLeft w:val="0"/>
      <w:marRight w:val="0"/>
      <w:marTop w:val="0"/>
      <w:marBottom w:val="0"/>
      <w:divBdr>
        <w:top w:val="none" w:sz="0" w:space="0" w:color="auto"/>
        <w:left w:val="none" w:sz="0" w:space="0" w:color="auto"/>
        <w:bottom w:val="none" w:sz="0" w:space="0" w:color="auto"/>
        <w:right w:val="none" w:sz="0" w:space="0" w:color="auto"/>
      </w:divBdr>
    </w:div>
    <w:div w:id="865950480">
      <w:bodyDiv w:val="1"/>
      <w:marLeft w:val="0"/>
      <w:marRight w:val="0"/>
      <w:marTop w:val="0"/>
      <w:marBottom w:val="0"/>
      <w:divBdr>
        <w:top w:val="none" w:sz="0" w:space="0" w:color="auto"/>
        <w:left w:val="none" w:sz="0" w:space="0" w:color="auto"/>
        <w:bottom w:val="none" w:sz="0" w:space="0" w:color="auto"/>
        <w:right w:val="none" w:sz="0" w:space="0" w:color="auto"/>
      </w:divBdr>
    </w:div>
    <w:div w:id="867451769">
      <w:bodyDiv w:val="1"/>
      <w:marLeft w:val="0"/>
      <w:marRight w:val="0"/>
      <w:marTop w:val="0"/>
      <w:marBottom w:val="0"/>
      <w:divBdr>
        <w:top w:val="none" w:sz="0" w:space="0" w:color="auto"/>
        <w:left w:val="none" w:sz="0" w:space="0" w:color="auto"/>
        <w:bottom w:val="none" w:sz="0" w:space="0" w:color="auto"/>
        <w:right w:val="none" w:sz="0" w:space="0" w:color="auto"/>
      </w:divBdr>
    </w:div>
    <w:div w:id="1505318704">
      <w:bodyDiv w:val="1"/>
      <w:marLeft w:val="0"/>
      <w:marRight w:val="0"/>
      <w:marTop w:val="0"/>
      <w:marBottom w:val="0"/>
      <w:divBdr>
        <w:top w:val="none" w:sz="0" w:space="0" w:color="auto"/>
        <w:left w:val="none" w:sz="0" w:space="0" w:color="auto"/>
        <w:bottom w:val="none" w:sz="0" w:space="0" w:color="auto"/>
        <w:right w:val="none" w:sz="0" w:space="0" w:color="auto"/>
      </w:divBdr>
    </w:div>
    <w:div w:id="1565097570">
      <w:bodyDiv w:val="1"/>
      <w:marLeft w:val="0"/>
      <w:marRight w:val="0"/>
      <w:marTop w:val="0"/>
      <w:marBottom w:val="0"/>
      <w:divBdr>
        <w:top w:val="none" w:sz="0" w:space="0" w:color="auto"/>
        <w:left w:val="none" w:sz="0" w:space="0" w:color="auto"/>
        <w:bottom w:val="none" w:sz="0" w:space="0" w:color="auto"/>
        <w:right w:val="none" w:sz="0" w:space="0" w:color="auto"/>
      </w:divBdr>
    </w:div>
    <w:div w:id="1664355830">
      <w:bodyDiv w:val="1"/>
      <w:marLeft w:val="0"/>
      <w:marRight w:val="0"/>
      <w:marTop w:val="0"/>
      <w:marBottom w:val="0"/>
      <w:divBdr>
        <w:top w:val="none" w:sz="0" w:space="0" w:color="auto"/>
        <w:left w:val="none" w:sz="0" w:space="0" w:color="auto"/>
        <w:bottom w:val="none" w:sz="0" w:space="0" w:color="auto"/>
        <w:right w:val="none" w:sz="0" w:space="0" w:color="auto"/>
      </w:divBdr>
    </w:div>
    <w:div w:id="1898853904">
      <w:bodyDiv w:val="1"/>
      <w:marLeft w:val="0"/>
      <w:marRight w:val="0"/>
      <w:marTop w:val="0"/>
      <w:marBottom w:val="0"/>
      <w:divBdr>
        <w:top w:val="none" w:sz="0" w:space="0" w:color="auto"/>
        <w:left w:val="none" w:sz="0" w:space="0" w:color="auto"/>
        <w:bottom w:val="none" w:sz="0" w:space="0" w:color="auto"/>
        <w:right w:val="none" w:sz="0" w:space="0" w:color="auto"/>
      </w:divBdr>
    </w:div>
    <w:div w:id="1913470334">
      <w:bodyDiv w:val="1"/>
      <w:marLeft w:val="0"/>
      <w:marRight w:val="0"/>
      <w:marTop w:val="0"/>
      <w:marBottom w:val="0"/>
      <w:divBdr>
        <w:top w:val="none" w:sz="0" w:space="0" w:color="auto"/>
        <w:left w:val="none" w:sz="0" w:space="0" w:color="auto"/>
        <w:bottom w:val="none" w:sz="0" w:space="0" w:color="auto"/>
        <w:right w:val="none" w:sz="0" w:space="0" w:color="auto"/>
      </w:divBdr>
    </w:div>
    <w:div w:id="192953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mailto:REOS@jobsandskills.gov.au" TargetMode="Externa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s://www.jobsandskills.gov.au/data/recruitment-experiences-and-outlook-survey"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jobsandskills.gov.au/data/recruitment-experiences-and-outlook-survey" TargetMode="Externa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yperlink" Target="https://www.jobsandskills.gov.au/work/reos-survey-methodology"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5.svg"/><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1192E8"/>
      </a:accent4>
      <a:accent5>
        <a:srgbClr val="B91C1C"/>
      </a:accent5>
      <a:accent6>
        <a:srgbClr val="047817"/>
      </a:accent6>
      <a:hlink>
        <a:srgbClr val="013D74"/>
      </a:hlink>
      <a:folHlink>
        <a:srgbClr val="4B088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A91863C7D9954BA1F4F386208110F6" ma:contentTypeVersion="15" ma:contentTypeDescription="Create a new document." ma:contentTypeScope="" ma:versionID="451638914d851b9dce00bb5fea30fa55">
  <xsd:schema xmlns:xsd="http://www.w3.org/2001/XMLSchema" xmlns:xs="http://www.w3.org/2001/XMLSchema" xmlns:p="http://schemas.microsoft.com/office/2006/metadata/properties" xmlns:ns2="9dfe89d7-2ec0-4be8-939e-bdd4e1d37eec" xmlns:ns3="dc8401f9-8cbc-434f-a6c0-231b01611467" targetNamespace="http://schemas.microsoft.com/office/2006/metadata/properties" ma:root="true" ma:fieldsID="a00dd43ed05c394f4bf8d437ecb1cf34" ns2:_="" ns3:_="">
    <xsd:import namespace="9dfe89d7-2ec0-4be8-939e-bdd4e1d37eec"/>
    <xsd:import namespace="dc8401f9-8cbc-434f-a6c0-231b016114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e89d7-2ec0-4be8-939e-bdd4e1d37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401f9-8cbc-434f-a6c0-231b0161146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226a68-58b0-4109-aeba-134a44beebb5}" ma:internalName="TaxCatchAll" ma:showField="CatchAllData" ma:web="dc8401f9-8cbc-434f-a6c0-231b016114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fe89d7-2ec0-4be8-939e-bdd4e1d37eec">
      <Terms xmlns="http://schemas.microsoft.com/office/infopath/2007/PartnerControls"/>
    </lcf76f155ced4ddcb4097134ff3c332f>
    <TaxCatchAll xmlns="dc8401f9-8cbc-434f-a6c0-231b016114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C3DCC-30F4-4CDB-8FE3-EA83D653F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e89d7-2ec0-4be8-939e-bdd4e1d37eec"/>
    <ds:schemaRef ds:uri="dc8401f9-8cbc-434f-a6c0-231b01611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7C7172-FF50-4C98-BF9E-FD30D80E7A09}">
  <ds:schemaRefs>
    <ds:schemaRef ds:uri="http://schemas.microsoft.com/office/2006/metadata/properties"/>
    <ds:schemaRef ds:uri="http://schemas.microsoft.com/office/infopath/2007/PartnerControls"/>
    <ds:schemaRef ds:uri="9dfe89d7-2ec0-4be8-939e-bdd4e1d37eec"/>
    <ds:schemaRef ds:uri="dc8401f9-8cbc-434f-a6c0-231b01611467"/>
  </ds:schemaRefs>
</ds:datastoreItem>
</file>

<file path=customXml/itemProps3.xml><?xml version="1.0" encoding="utf-8"?>
<ds:datastoreItem xmlns:ds="http://schemas.openxmlformats.org/officeDocument/2006/customXml" ds:itemID="{7C9CF8E5-6AEB-468A-800A-FFDABC7EDF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1751</Words>
  <Characters>8774</Characters>
  <Application>Microsoft Office Word</Application>
  <DocSecurity>0</DocSecurity>
  <Lines>731</Lines>
  <Paragraphs>404</Paragraphs>
  <ScaleCrop>false</ScaleCrop>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2</cp:revision>
  <dcterms:created xsi:type="dcterms:W3CDTF">2026-04-17T01:31:00Z</dcterms:created>
  <dcterms:modified xsi:type="dcterms:W3CDTF">2026-04-21T08:12:00Z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2026-04-17T01:31:05Z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05866321-0ce7-4c9a-aff9-a3385cdc7179</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0x0101007AA91863C7D9954BA1F4F386208110F6</vt:lpwstr>
  </property>
  <property fmtid="{D5CDD505-2E9C-101B-9397-08002B2CF9AE}" pid="11" name="MediaServiceImageTags">
    <vt:lpwstr/>
  </property>
  <property fmtid="{D5CDD505-2E9C-101B-9397-08002B2CF9AE}" pid="12" name="docLang">
    <vt:lpwstr>en</vt:lpwstr>
  </property>
</Properties>
</file>