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4EA2" w14:textId="77777777" w:rsidR="00AA5442" w:rsidRPr="0026301A" w:rsidRDefault="00AA5442" w:rsidP="00AA5442">
      <w:pPr>
        <w:pStyle w:val="BodyText"/>
        <w:sectPr w:rsidR="00AA5442" w:rsidRPr="0026301A"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6301A">
        <w:rPr>
          <w:noProof/>
        </w:rPr>
        <w:drawing>
          <wp:inline distT="0" distB="0" distL="0" distR="0" wp14:anchorId="166FD134" wp14:editId="5AB97EFF">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sidRPr="0026301A">
        <w:rPr>
          <w:noProof/>
        </w:rPr>
        <w:drawing>
          <wp:anchor distT="0" distB="0" distL="114300" distR="114300" simplePos="0" relativeHeight="251658240" behindDoc="1" locked="1" layoutInCell="1" allowOverlap="1" wp14:anchorId="1949E4F1" wp14:editId="42E09F08">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737C3E7E" w14:textId="530DED73" w:rsidR="00AA5442" w:rsidRPr="0026301A" w:rsidRDefault="00AA5442" w:rsidP="00AA5442">
      <w:pPr>
        <w:pStyle w:val="BodyText"/>
      </w:pPr>
    </w:p>
    <w:sdt>
      <w:sdtPr>
        <w:alias w:val="&lt; Title &gt;"/>
        <w:tag w:val=""/>
        <w:id w:val="162979263"/>
        <w:placeholder>
          <w:docPart w:val="70B6AD0F2B1443FAB76607116CEFD4AD"/>
        </w:placeholder>
        <w:dataBinding w:prefixMappings="xmlns:ns0='http://purl.org/dc/elements/1.1/' xmlns:ns1='http://schemas.openxmlformats.org/package/2006/metadata/core-properties' " w:xpath="/ns1:coreProperties[1]/ns0:title[1]" w:storeItemID="{6C3C8BC8-F283-45AE-878A-BAB7291924A1}"/>
        <w:text/>
      </w:sdtPr>
      <w:sdtEndPr/>
      <w:sdtContent>
        <w:p w14:paraId="007656F9" w14:textId="08474313" w:rsidR="00AA5442" w:rsidRPr="0026301A" w:rsidRDefault="00460416" w:rsidP="00AA5442">
          <w:pPr>
            <w:pStyle w:val="Title"/>
          </w:pPr>
          <w:r w:rsidRPr="0026301A">
            <w:t>2025 Occupation Shortage List</w:t>
          </w:r>
        </w:p>
      </w:sdtContent>
    </w:sdt>
    <w:p w14:paraId="56F330D9" w14:textId="51EB0C50" w:rsidR="00AA5442" w:rsidRPr="0026301A" w:rsidRDefault="00460416" w:rsidP="00AA5442">
      <w:pPr>
        <w:pStyle w:val="Subtitle"/>
      </w:pPr>
      <w:r w:rsidRPr="0026301A">
        <w:t>Key Findings Report</w:t>
      </w:r>
    </w:p>
    <w:p w14:paraId="4AA5DCFC" w14:textId="79D99E62" w:rsidR="00AA5442" w:rsidRPr="0026301A" w:rsidRDefault="00460416" w:rsidP="00AA5442">
      <w:pPr>
        <w:pStyle w:val="DocumentDetails"/>
      </w:pPr>
      <w:r w:rsidRPr="0026301A">
        <w:t>October 2025</w:t>
      </w:r>
    </w:p>
    <w:p w14:paraId="581B80EB" w14:textId="77777777" w:rsidR="00A67B12" w:rsidRPr="0026301A" w:rsidRDefault="00A67B12" w:rsidP="00A67B12">
      <w:pPr>
        <w:pStyle w:val="BodyText"/>
        <w:sectPr w:rsidR="00A67B12" w:rsidRPr="0026301A" w:rsidSect="00106E26">
          <w:type w:val="continuous"/>
          <w:pgSz w:w="11907" w:h="16839" w:code="9"/>
          <w:pgMar w:top="1440" w:right="1440" w:bottom="1440" w:left="1440" w:header="720" w:footer="720" w:gutter="0"/>
          <w:cols w:space="720"/>
          <w:titlePg/>
          <w:docGrid w:linePitch="360"/>
        </w:sectPr>
      </w:pPr>
    </w:p>
    <w:p w14:paraId="322D9B40" w14:textId="77777777" w:rsidR="00452A9D" w:rsidRPr="0026301A" w:rsidRDefault="00452A9D" w:rsidP="00104750">
      <w:pPr>
        <w:pStyle w:val="TOCHeading"/>
      </w:pPr>
      <w:r w:rsidRPr="0026301A">
        <w:lastRenderedPageBreak/>
        <w:t>Contents</w:t>
      </w:r>
    </w:p>
    <w:p w14:paraId="6B733BFB" w14:textId="5FD276E9" w:rsidR="0026301A" w:rsidRDefault="00505781">
      <w:pPr>
        <w:pStyle w:val="TOC1"/>
        <w:rPr>
          <w:rFonts w:asciiTheme="minorHAnsi" w:eastAsiaTheme="minorEastAsia" w:hAnsiTheme="minorHAnsi"/>
          <w:b w:val="0"/>
          <w:noProof/>
          <w:color w:val="auto"/>
          <w:kern w:val="2"/>
          <w:sz w:val="24"/>
          <w:szCs w:val="24"/>
          <w:lang w:eastAsia="en-AU"/>
          <w14:ligatures w14:val="standardContextual"/>
        </w:rPr>
      </w:pPr>
      <w:r w:rsidRPr="0026301A">
        <w:rPr>
          <w:color w:val="6929C4"/>
        </w:rPr>
        <w:fldChar w:fldCharType="begin"/>
      </w:r>
      <w:r w:rsidRPr="0026301A">
        <w:rPr>
          <w:color w:val="6929C4"/>
        </w:rPr>
        <w:instrText xml:space="preserve"> TOC \o "2-3" \h \z \t "Heading 1,1,Appendix Heading 1,1,Appendix Heading 2,2,Appendix Heading 3,1,Heading 1 (unnumbered),1,EndNote Bibliography Title,1" </w:instrText>
      </w:r>
      <w:r w:rsidRPr="0026301A">
        <w:rPr>
          <w:color w:val="6929C4"/>
        </w:rPr>
        <w:fldChar w:fldCharType="separate"/>
      </w:r>
      <w:hyperlink w:anchor="_Toc226611469" w:history="1">
        <w:r w:rsidR="0026301A" w:rsidRPr="00025EDC">
          <w:rPr>
            <w:rStyle w:val="Hyperlink"/>
            <w:noProof/>
          </w:rPr>
          <w:t>Introduction</w:t>
        </w:r>
        <w:r w:rsidR="0026301A">
          <w:rPr>
            <w:noProof/>
            <w:webHidden/>
          </w:rPr>
          <w:tab/>
        </w:r>
        <w:r w:rsidR="0026301A">
          <w:rPr>
            <w:noProof/>
            <w:webHidden/>
          </w:rPr>
          <w:fldChar w:fldCharType="begin"/>
        </w:r>
        <w:r w:rsidR="0026301A">
          <w:rPr>
            <w:noProof/>
            <w:webHidden/>
          </w:rPr>
          <w:instrText xml:space="preserve"> PAGEREF _Toc226611469 \h </w:instrText>
        </w:r>
        <w:r w:rsidR="0026301A">
          <w:rPr>
            <w:noProof/>
            <w:webHidden/>
          </w:rPr>
        </w:r>
        <w:r w:rsidR="0026301A">
          <w:rPr>
            <w:noProof/>
            <w:webHidden/>
          </w:rPr>
          <w:fldChar w:fldCharType="separate"/>
        </w:r>
        <w:r w:rsidR="00FF7A7F">
          <w:rPr>
            <w:noProof/>
            <w:webHidden/>
          </w:rPr>
          <w:t>3</w:t>
        </w:r>
        <w:r w:rsidR="0026301A">
          <w:rPr>
            <w:noProof/>
            <w:webHidden/>
          </w:rPr>
          <w:fldChar w:fldCharType="end"/>
        </w:r>
      </w:hyperlink>
    </w:p>
    <w:p w14:paraId="3ED0E9C5" w14:textId="0A1F1392" w:rsidR="0026301A" w:rsidRDefault="0026301A">
      <w:pPr>
        <w:pStyle w:val="TOC2"/>
        <w:rPr>
          <w:rFonts w:asciiTheme="minorHAnsi" w:eastAsiaTheme="minorEastAsia" w:hAnsiTheme="minorHAnsi"/>
          <w:b w:val="0"/>
          <w:noProof/>
          <w:kern w:val="2"/>
          <w:sz w:val="24"/>
          <w:szCs w:val="24"/>
          <w:lang w:eastAsia="en-AU"/>
          <w14:ligatures w14:val="standardContextual"/>
        </w:rPr>
      </w:pPr>
      <w:hyperlink w:anchor="_Toc226611470" w:history="1">
        <w:r w:rsidRPr="00025EDC">
          <w:rPr>
            <w:rStyle w:val="Hyperlink"/>
            <w:noProof/>
          </w:rPr>
          <w:t>Overview</w:t>
        </w:r>
        <w:r>
          <w:rPr>
            <w:noProof/>
            <w:webHidden/>
          </w:rPr>
          <w:tab/>
        </w:r>
        <w:r>
          <w:rPr>
            <w:noProof/>
            <w:webHidden/>
          </w:rPr>
          <w:fldChar w:fldCharType="begin"/>
        </w:r>
        <w:r>
          <w:rPr>
            <w:noProof/>
            <w:webHidden/>
          </w:rPr>
          <w:instrText xml:space="preserve"> PAGEREF _Toc226611470 \h </w:instrText>
        </w:r>
        <w:r>
          <w:rPr>
            <w:noProof/>
            <w:webHidden/>
          </w:rPr>
        </w:r>
        <w:r>
          <w:rPr>
            <w:noProof/>
            <w:webHidden/>
          </w:rPr>
          <w:fldChar w:fldCharType="separate"/>
        </w:r>
        <w:r w:rsidR="00FF7A7F">
          <w:rPr>
            <w:noProof/>
            <w:webHidden/>
          </w:rPr>
          <w:t>3</w:t>
        </w:r>
        <w:r>
          <w:rPr>
            <w:noProof/>
            <w:webHidden/>
          </w:rPr>
          <w:fldChar w:fldCharType="end"/>
        </w:r>
      </w:hyperlink>
    </w:p>
    <w:p w14:paraId="6FA4FF75" w14:textId="29F29EAB" w:rsidR="0026301A" w:rsidRDefault="0026301A">
      <w:pPr>
        <w:pStyle w:val="TOC1"/>
        <w:rPr>
          <w:rFonts w:asciiTheme="minorHAnsi" w:eastAsiaTheme="minorEastAsia" w:hAnsiTheme="minorHAnsi"/>
          <w:b w:val="0"/>
          <w:noProof/>
          <w:color w:val="auto"/>
          <w:kern w:val="2"/>
          <w:sz w:val="24"/>
          <w:szCs w:val="24"/>
          <w:lang w:eastAsia="en-AU"/>
          <w14:ligatures w14:val="standardContextual"/>
        </w:rPr>
      </w:pPr>
      <w:hyperlink w:anchor="_Toc226611471" w:history="1">
        <w:r w:rsidRPr="00025EDC">
          <w:rPr>
            <w:rStyle w:val="Hyperlink"/>
            <w:noProof/>
          </w:rPr>
          <w:t>2025 OSL results</w:t>
        </w:r>
        <w:r>
          <w:rPr>
            <w:noProof/>
            <w:webHidden/>
          </w:rPr>
          <w:tab/>
        </w:r>
        <w:r>
          <w:rPr>
            <w:noProof/>
            <w:webHidden/>
          </w:rPr>
          <w:fldChar w:fldCharType="begin"/>
        </w:r>
        <w:r>
          <w:rPr>
            <w:noProof/>
            <w:webHidden/>
          </w:rPr>
          <w:instrText xml:space="preserve"> PAGEREF _Toc226611471 \h </w:instrText>
        </w:r>
        <w:r>
          <w:rPr>
            <w:noProof/>
            <w:webHidden/>
          </w:rPr>
        </w:r>
        <w:r>
          <w:rPr>
            <w:noProof/>
            <w:webHidden/>
          </w:rPr>
          <w:fldChar w:fldCharType="separate"/>
        </w:r>
        <w:r w:rsidR="00FF7A7F">
          <w:rPr>
            <w:noProof/>
            <w:webHidden/>
          </w:rPr>
          <w:t>4</w:t>
        </w:r>
        <w:r>
          <w:rPr>
            <w:noProof/>
            <w:webHidden/>
          </w:rPr>
          <w:fldChar w:fldCharType="end"/>
        </w:r>
      </w:hyperlink>
    </w:p>
    <w:p w14:paraId="27E923FE" w14:textId="1CA4E4CB" w:rsidR="0026301A" w:rsidRDefault="0026301A">
      <w:pPr>
        <w:pStyle w:val="TOC2"/>
        <w:rPr>
          <w:rFonts w:asciiTheme="minorHAnsi" w:eastAsiaTheme="minorEastAsia" w:hAnsiTheme="minorHAnsi"/>
          <w:b w:val="0"/>
          <w:noProof/>
          <w:kern w:val="2"/>
          <w:sz w:val="24"/>
          <w:szCs w:val="24"/>
          <w:lang w:eastAsia="en-AU"/>
          <w14:ligatures w14:val="standardContextual"/>
        </w:rPr>
      </w:pPr>
      <w:hyperlink w:anchor="_Toc226611472" w:history="1">
        <w:r w:rsidRPr="00025EDC">
          <w:rPr>
            <w:rStyle w:val="Hyperlink"/>
            <w:noProof/>
          </w:rPr>
          <w:t>National level findings</w:t>
        </w:r>
        <w:r>
          <w:rPr>
            <w:noProof/>
            <w:webHidden/>
          </w:rPr>
          <w:tab/>
        </w:r>
        <w:r>
          <w:rPr>
            <w:noProof/>
            <w:webHidden/>
          </w:rPr>
          <w:fldChar w:fldCharType="begin"/>
        </w:r>
        <w:r>
          <w:rPr>
            <w:noProof/>
            <w:webHidden/>
          </w:rPr>
          <w:instrText xml:space="preserve"> PAGEREF _Toc226611472 \h </w:instrText>
        </w:r>
        <w:r>
          <w:rPr>
            <w:noProof/>
            <w:webHidden/>
          </w:rPr>
        </w:r>
        <w:r>
          <w:rPr>
            <w:noProof/>
            <w:webHidden/>
          </w:rPr>
          <w:fldChar w:fldCharType="separate"/>
        </w:r>
        <w:r w:rsidR="00FF7A7F">
          <w:rPr>
            <w:noProof/>
            <w:webHidden/>
          </w:rPr>
          <w:t>4</w:t>
        </w:r>
        <w:r>
          <w:rPr>
            <w:noProof/>
            <w:webHidden/>
          </w:rPr>
          <w:fldChar w:fldCharType="end"/>
        </w:r>
      </w:hyperlink>
    </w:p>
    <w:p w14:paraId="36167DBF" w14:textId="39635E01" w:rsidR="0026301A" w:rsidRDefault="0026301A">
      <w:pPr>
        <w:pStyle w:val="TOC2"/>
        <w:rPr>
          <w:rFonts w:asciiTheme="minorHAnsi" w:eastAsiaTheme="minorEastAsia" w:hAnsiTheme="minorHAnsi"/>
          <w:b w:val="0"/>
          <w:noProof/>
          <w:kern w:val="2"/>
          <w:sz w:val="24"/>
          <w:szCs w:val="24"/>
          <w:lang w:eastAsia="en-AU"/>
          <w14:ligatures w14:val="standardContextual"/>
        </w:rPr>
      </w:pPr>
      <w:hyperlink w:anchor="_Toc226611473" w:history="1">
        <w:r w:rsidRPr="00025EDC">
          <w:rPr>
            <w:rStyle w:val="Hyperlink"/>
            <w:noProof/>
          </w:rPr>
          <w:t>Summary of select OSL indicators</w:t>
        </w:r>
        <w:r>
          <w:rPr>
            <w:noProof/>
            <w:webHidden/>
          </w:rPr>
          <w:tab/>
        </w:r>
        <w:r>
          <w:rPr>
            <w:noProof/>
            <w:webHidden/>
          </w:rPr>
          <w:fldChar w:fldCharType="begin"/>
        </w:r>
        <w:r>
          <w:rPr>
            <w:noProof/>
            <w:webHidden/>
          </w:rPr>
          <w:instrText xml:space="preserve"> PAGEREF _Toc226611473 \h </w:instrText>
        </w:r>
        <w:r>
          <w:rPr>
            <w:noProof/>
            <w:webHidden/>
          </w:rPr>
        </w:r>
        <w:r>
          <w:rPr>
            <w:noProof/>
            <w:webHidden/>
          </w:rPr>
          <w:fldChar w:fldCharType="separate"/>
        </w:r>
        <w:r w:rsidR="00FF7A7F">
          <w:rPr>
            <w:noProof/>
            <w:webHidden/>
          </w:rPr>
          <w:t>9</w:t>
        </w:r>
        <w:r>
          <w:rPr>
            <w:noProof/>
            <w:webHidden/>
          </w:rPr>
          <w:fldChar w:fldCharType="end"/>
        </w:r>
      </w:hyperlink>
    </w:p>
    <w:p w14:paraId="17E2E440" w14:textId="69E7EE2E" w:rsidR="0026301A" w:rsidRDefault="0026301A">
      <w:pPr>
        <w:pStyle w:val="TOC3"/>
        <w:rPr>
          <w:rFonts w:asciiTheme="minorHAnsi" w:eastAsiaTheme="minorEastAsia" w:hAnsiTheme="minorHAnsi"/>
          <w:noProof/>
          <w:kern w:val="2"/>
          <w:sz w:val="24"/>
          <w:szCs w:val="24"/>
          <w:lang w:eastAsia="en-AU"/>
          <w14:ligatures w14:val="standardContextual"/>
        </w:rPr>
      </w:pPr>
      <w:hyperlink w:anchor="_Toc226611474" w:history="1">
        <w:r w:rsidRPr="00025EDC">
          <w:rPr>
            <w:rStyle w:val="Hyperlink"/>
            <w:noProof/>
          </w:rPr>
          <w:t>Labour market indicators suggest easing conditions</w:t>
        </w:r>
        <w:r>
          <w:rPr>
            <w:noProof/>
            <w:webHidden/>
          </w:rPr>
          <w:tab/>
        </w:r>
        <w:r>
          <w:rPr>
            <w:noProof/>
            <w:webHidden/>
          </w:rPr>
          <w:fldChar w:fldCharType="begin"/>
        </w:r>
        <w:r>
          <w:rPr>
            <w:noProof/>
            <w:webHidden/>
          </w:rPr>
          <w:instrText xml:space="preserve"> PAGEREF _Toc226611474 \h </w:instrText>
        </w:r>
        <w:r>
          <w:rPr>
            <w:noProof/>
            <w:webHidden/>
          </w:rPr>
        </w:r>
        <w:r>
          <w:rPr>
            <w:noProof/>
            <w:webHidden/>
          </w:rPr>
          <w:fldChar w:fldCharType="separate"/>
        </w:r>
        <w:r w:rsidR="00FF7A7F">
          <w:rPr>
            <w:noProof/>
            <w:webHidden/>
          </w:rPr>
          <w:t>9</w:t>
        </w:r>
        <w:r>
          <w:rPr>
            <w:noProof/>
            <w:webHidden/>
          </w:rPr>
          <w:fldChar w:fldCharType="end"/>
        </w:r>
      </w:hyperlink>
    </w:p>
    <w:p w14:paraId="765B393F" w14:textId="590BD4F0" w:rsidR="0026301A" w:rsidRDefault="0026301A">
      <w:pPr>
        <w:pStyle w:val="TOC3"/>
        <w:rPr>
          <w:rFonts w:asciiTheme="minorHAnsi" w:eastAsiaTheme="minorEastAsia" w:hAnsiTheme="minorHAnsi"/>
          <w:noProof/>
          <w:kern w:val="2"/>
          <w:sz w:val="24"/>
          <w:szCs w:val="24"/>
          <w:lang w:eastAsia="en-AU"/>
          <w14:ligatures w14:val="standardContextual"/>
        </w:rPr>
      </w:pPr>
      <w:hyperlink w:anchor="_Toc226611475" w:history="1">
        <w:r w:rsidRPr="00025EDC">
          <w:rPr>
            <w:rStyle w:val="Hyperlink"/>
            <w:noProof/>
          </w:rPr>
          <w:t>Predicted occupation fill rates have improved over time</w:t>
        </w:r>
        <w:r>
          <w:rPr>
            <w:noProof/>
            <w:webHidden/>
          </w:rPr>
          <w:tab/>
        </w:r>
        <w:r>
          <w:rPr>
            <w:noProof/>
            <w:webHidden/>
          </w:rPr>
          <w:fldChar w:fldCharType="begin"/>
        </w:r>
        <w:r>
          <w:rPr>
            <w:noProof/>
            <w:webHidden/>
          </w:rPr>
          <w:instrText xml:space="preserve"> PAGEREF _Toc226611475 \h </w:instrText>
        </w:r>
        <w:r>
          <w:rPr>
            <w:noProof/>
            <w:webHidden/>
          </w:rPr>
        </w:r>
        <w:r>
          <w:rPr>
            <w:noProof/>
            <w:webHidden/>
          </w:rPr>
          <w:fldChar w:fldCharType="separate"/>
        </w:r>
        <w:r w:rsidR="00FF7A7F">
          <w:rPr>
            <w:noProof/>
            <w:webHidden/>
          </w:rPr>
          <w:t>10</w:t>
        </w:r>
        <w:r>
          <w:rPr>
            <w:noProof/>
            <w:webHidden/>
          </w:rPr>
          <w:fldChar w:fldCharType="end"/>
        </w:r>
      </w:hyperlink>
    </w:p>
    <w:p w14:paraId="24B02976" w14:textId="0DC83D3B" w:rsidR="0026301A" w:rsidRDefault="0026301A">
      <w:pPr>
        <w:pStyle w:val="TOC3"/>
        <w:rPr>
          <w:rFonts w:asciiTheme="minorHAnsi" w:eastAsiaTheme="minorEastAsia" w:hAnsiTheme="minorHAnsi"/>
          <w:noProof/>
          <w:kern w:val="2"/>
          <w:sz w:val="24"/>
          <w:szCs w:val="24"/>
          <w:lang w:eastAsia="en-AU"/>
          <w14:ligatures w14:val="standardContextual"/>
        </w:rPr>
      </w:pPr>
      <w:hyperlink w:anchor="_Toc226611476" w:history="1">
        <w:r w:rsidRPr="00025EDC">
          <w:rPr>
            <w:rStyle w:val="Hyperlink"/>
            <w:noProof/>
          </w:rPr>
          <w:t>OSL Stakeholder Survey supports the labour market indicators</w:t>
        </w:r>
        <w:r>
          <w:rPr>
            <w:noProof/>
            <w:webHidden/>
          </w:rPr>
          <w:tab/>
        </w:r>
        <w:r>
          <w:rPr>
            <w:noProof/>
            <w:webHidden/>
          </w:rPr>
          <w:fldChar w:fldCharType="begin"/>
        </w:r>
        <w:r>
          <w:rPr>
            <w:noProof/>
            <w:webHidden/>
          </w:rPr>
          <w:instrText xml:space="preserve"> PAGEREF _Toc226611476 \h </w:instrText>
        </w:r>
        <w:r>
          <w:rPr>
            <w:noProof/>
            <w:webHidden/>
          </w:rPr>
        </w:r>
        <w:r>
          <w:rPr>
            <w:noProof/>
            <w:webHidden/>
          </w:rPr>
          <w:fldChar w:fldCharType="separate"/>
        </w:r>
        <w:r w:rsidR="00FF7A7F">
          <w:rPr>
            <w:noProof/>
            <w:webHidden/>
          </w:rPr>
          <w:t>11</w:t>
        </w:r>
        <w:r>
          <w:rPr>
            <w:noProof/>
            <w:webHidden/>
          </w:rPr>
          <w:fldChar w:fldCharType="end"/>
        </w:r>
      </w:hyperlink>
    </w:p>
    <w:p w14:paraId="15336C36" w14:textId="523DBB18" w:rsidR="0026301A" w:rsidRDefault="0026301A">
      <w:pPr>
        <w:pStyle w:val="TOC3"/>
        <w:rPr>
          <w:rFonts w:asciiTheme="minorHAnsi" w:eastAsiaTheme="minorEastAsia" w:hAnsiTheme="minorHAnsi"/>
          <w:noProof/>
          <w:kern w:val="2"/>
          <w:sz w:val="24"/>
          <w:szCs w:val="24"/>
          <w:lang w:eastAsia="en-AU"/>
          <w14:ligatures w14:val="standardContextual"/>
        </w:rPr>
      </w:pPr>
      <w:hyperlink w:anchor="_Toc226611477" w:history="1">
        <w:r w:rsidRPr="00025EDC">
          <w:rPr>
            <w:rStyle w:val="Hyperlink"/>
            <w:noProof/>
          </w:rPr>
          <w:t>Indicators suggest improved or more balanced supply of workers</w:t>
        </w:r>
        <w:r>
          <w:rPr>
            <w:noProof/>
            <w:webHidden/>
          </w:rPr>
          <w:tab/>
        </w:r>
        <w:r>
          <w:rPr>
            <w:noProof/>
            <w:webHidden/>
          </w:rPr>
          <w:fldChar w:fldCharType="begin"/>
        </w:r>
        <w:r>
          <w:rPr>
            <w:noProof/>
            <w:webHidden/>
          </w:rPr>
          <w:instrText xml:space="preserve"> PAGEREF _Toc226611477 \h </w:instrText>
        </w:r>
        <w:r>
          <w:rPr>
            <w:noProof/>
            <w:webHidden/>
          </w:rPr>
        </w:r>
        <w:r>
          <w:rPr>
            <w:noProof/>
            <w:webHidden/>
          </w:rPr>
          <w:fldChar w:fldCharType="separate"/>
        </w:r>
        <w:r w:rsidR="00FF7A7F">
          <w:rPr>
            <w:noProof/>
            <w:webHidden/>
          </w:rPr>
          <w:t>12</w:t>
        </w:r>
        <w:r>
          <w:rPr>
            <w:noProof/>
            <w:webHidden/>
          </w:rPr>
          <w:fldChar w:fldCharType="end"/>
        </w:r>
      </w:hyperlink>
    </w:p>
    <w:p w14:paraId="70CB0D02" w14:textId="0EE43637" w:rsidR="0026301A" w:rsidRDefault="0026301A">
      <w:pPr>
        <w:pStyle w:val="TOC1"/>
        <w:tabs>
          <w:tab w:val="left" w:pos="1680"/>
        </w:tabs>
        <w:rPr>
          <w:rFonts w:asciiTheme="minorHAnsi" w:eastAsiaTheme="minorEastAsia" w:hAnsiTheme="minorHAnsi"/>
          <w:b w:val="0"/>
          <w:noProof/>
          <w:color w:val="auto"/>
          <w:kern w:val="2"/>
          <w:sz w:val="24"/>
          <w:szCs w:val="24"/>
          <w:lang w:eastAsia="en-AU"/>
          <w14:ligatures w14:val="standardContextual"/>
        </w:rPr>
      </w:pPr>
      <w:hyperlink w:anchor="_Toc226611478" w:history="1">
        <w:r w:rsidRPr="00025EDC">
          <w:rPr>
            <w:rStyle w:val="Hyperlink"/>
            <w:noProof/>
            <w:lang w:eastAsia="en-GB"/>
          </w:rPr>
          <w:t>Appendix A</w:t>
        </w:r>
        <w:r>
          <w:rPr>
            <w:rFonts w:asciiTheme="minorHAnsi" w:eastAsiaTheme="minorEastAsia" w:hAnsiTheme="minorHAnsi"/>
            <w:b w:val="0"/>
            <w:noProof/>
            <w:color w:val="auto"/>
            <w:kern w:val="2"/>
            <w:sz w:val="24"/>
            <w:szCs w:val="24"/>
            <w:lang w:eastAsia="en-AU"/>
            <w14:ligatures w14:val="standardContextual"/>
          </w:rPr>
          <w:tab/>
        </w:r>
        <w:r w:rsidRPr="00025EDC">
          <w:rPr>
            <w:rStyle w:val="Hyperlink"/>
            <w:noProof/>
          </w:rPr>
          <w:t>Results on ANZSCO 2022</w:t>
        </w:r>
        <w:r>
          <w:rPr>
            <w:noProof/>
            <w:webHidden/>
          </w:rPr>
          <w:tab/>
        </w:r>
        <w:r>
          <w:rPr>
            <w:noProof/>
            <w:webHidden/>
          </w:rPr>
          <w:fldChar w:fldCharType="begin"/>
        </w:r>
        <w:r>
          <w:rPr>
            <w:noProof/>
            <w:webHidden/>
          </w:rPr>
          <w:instrText xml:space="preserve"> PAGEREF _Toc226611478 \h </w:instrText>
        </w:r>
        <w:r>
          <w:rPr>
            <w:noProof/>
            <w:webHidden/>
          </w:rPr>
        </w:r>
        <w:r>
          <w:rPr>
            <w:noProof/>
            <w:webHidden/>
          </w:rPr>
          <w:fldChar w:fldCharType="separate"/>
        </w:r>
        <w:r w:rsidR="00FF7A7F">
          <w:rPr>
            <w:noProof/>
            <w:webHidden/>
          </w:rPr>
          <w:t>14</w:t>
        </w:r>
        <w:r>
          <w:rPr>
            <w:noProof/>
            <w:webHidden/>
          </w:rPr>
          <w:fldChar w:fldCharType="end"/>
        </w:r>
      </w:hyperlink>
    </w:p>
    <w:p w14:paraId="38BF0B2D" w14:textId="0507E79E" w:rsidR="0026301A" w:rsidRDefault="0026301A">
      <w:pPr>
        <w:pStyle w:val="TOC2"/>
        <w:tabs>
          <w:tab w:val="left" w:pos="960"/>
        </w:tabs>
        <w:rPr>
          <w:rFonts w:asciiTheme="minorHAnsi" w:eastAsiaTheme="minorEastAsia" w:hAnsiTheme="minorHAnsi"/>
          <w:b w:val="0"/>
          <w:noProof/>
          <w:kern w:val="2"/>
          <w:sz w:val="24"/>
          <w:szCs w:val="24"/>
          <w:lang w:eastAsia="en-AU"/>
          <w14:ligatures w14:val="standardContextual"/>
        </w:rPr>
      </w:pPr>
      <w:hyperlink w:anchor="_Toc226611479" w:history="1">
        <w:r w:rsidRPr="00025EDC">
          <w:rPr>
            <w:rStyle w:val="Hyperlink"/>
            <w:noProof/>
          </w:rPr>
          <w:t>A.1.</w:t>
        </w:r>
        <w:r>
          <w:rPr>
            <w:rFonts w:asciiTheme="minorHAnsi" w:eastAsiaTheme="minorEastAsia" w:hAnsiTheme="minorHAnsi"/>
            <w:b w:val="0"/>
            <w:noProof/>
            <w:kern w:val="2"/>
            <w:sz w:val="24"/>
            <w:szCs w:val="24"/>
            <w:lang w:eastAsia="en-AU"/>
            <w14:ligatures w14:val="standardContextual"/>
          </w:rPr>
          <w:tab/>
        </w:r>
        <w:r w:rsidRPr="00025EDC">
          <w:rPr>
            <w:rStyle w:val="Hyperlink"/>
            <w:noProof/>
          </w:rPr>
          <w:t>Key figures and tables on ANZSCO 2022 basis</w:t>
        </w:r>
        <w:r>
          <w:rPr>
            <w:noProof/>
            <w:webHidden/>
          </w:rPr>
          <w:tab/>
        </w:r>
        <w:r>
          <w:rPr>
            <w:noProof/>
            <w:webHidden/>
          </w:rPr>
          <w:fldChar w:fldCharType="begin"/>
        </w:r>
        <w:r>
          <w:rPr>
            <w:noProof/>
            <w:webHidden/>
          </w:rPr>
          <w:instrText xml:space="preserve"> PAGEREF _Toc226611479 \h </w:instrText>
        </w:r>
        <w:r>
          <w:rPr>
            <w:noProof/>
            <w:webHidden/>
          </w:rPr>
        </w:r>
        <w:r>
          <w:rPr>
            <w:noProof/>
            <w:webHidden/>
          </w:rPr>
          <w:fldChar w:fldCharType="separate"/>
        </w:r>
        <w:r w:rsidR="00FF7A7F">
          <w:rPr>
            <w:noProof/>
            <w:webHidden/>
          </w:rPr>
          <w:t>14</w:t>
        </w:r>
        <w:r>
          <w:rPr>
            <w:noProof/>
            <w:webHidden/>
          </w:rPr>
          <w:fldChar w:fldCharType="end"/>
        </w:r>
      </w:hyperlink>
    </w:p>
    <w:p w14:paraId="532151E4" w14:textId="141C8428" w:rsidR="003E3CBE" w:rsidRPr="0026301A" w:rsidRDefault="00505781" w:rsidP="003E3CBE">
      <w:r w:rsidRPr="0026301A">
        <w:rPr>
          <w:color w:val="6929C4"/>
        </w:rPr>
        <w:fldChar w:fldCharType="end"/>
      </w:r>
    </w:p>
    <w:p w14:paraId="43B37406" w14:textId="0C224D21" w:rsidR="00B95F06" w:rsidRPr="0026301A" w:rsidRDefault="00B95F06" w:rsidP="00B95F06">
      <w:pPr>
        <w:pStyle w:val="TOCHeading"/>
      </w:pPr>
      <w:r w:rsidRPr="0026301A">
        <w:t>Figures</w:t>
      </w:r>
    </w:p>
    <w:p w14:paraId="06EA172F" w14:textId="24E02046" w:rsidR="00231400" w:rsidRPr="0026301A"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26301A">
        <w:fldChar w:fldCharType="begin"/>
      </w:r>
      <w:r w:rsidRPr="0026301A">
        <w:instrText xml:space="preserve"> TOC \h \z \c "Figure" </w:instrText>
      </w:r>
      <w:r w:rsidRPr="0026301A">
        <w:fldChar w:fldCharType="separate"/>
      </w:r>
      <w:hyperlink w:anchor="_Toc211349844" w:history="1">
        <w:r w:rsidR="00231400" w:rsidRPr="0026301A">
          <w:rPr>
            <w:rStyle w:val="Hyperlink"/>
            <w:noProof/>
          </w:rPr>
          <w:t>Figure 1: Percentage of occupations in shortage (%), 2021 to 2025 OSLs, OSCA basis</w:t>
        </w:r>
        <w:r w:rsidR="00231400" w:rsidRPr="0026301A">
          <w:rPr>
            <w:noProof/>
            <w:webHidden/>
          </w:rPr>
          <w:tab/>
        </w:r>
        <w:r w:rsidR="00231400" w:rsidRPr="0026301A">
          <w:rPr>
            <w:noProof/>
            <w:webHidden/>
          </w:rPr>
          <w:fldChar w:fldCharType="begin"/>
        </w:r>
        <w:r w:rsidR="00231400" w:rsidRPr="0026301A">
          <w:rPr>
            <w:noProof/>
            <w:webHidden/>
          </w:rPr>
          <w:instrText xml:space="preserve"> PAGEREF _Toc211349844 \h </w:instrText>
        </w:r>
        <w:r w:rsidR="00231400" w:rsidRPr="0026301A">
          <w:rPr>
            <w:noProof/>
            <w:webHidden/>
          </w:rPr>
        </w:r>
        <w:r w:rsidR="00231400" w:rsidRPr="0026301A">
          <w:rPr>
            <w:noProof/>
            <w:webHidden/>
          </w:rPr>
          <w:fldChar w:fldCharType="separate"/>
        </w:r>
        <w:r w:rsidR="00FF7A7F">
          <w:rPr>
            <w:noProof/>
            <w:webHidden/>
          </w:rPr>
          <w:t>4</w:t>
        </w:r>
        <w:r w:rsidR="00231400" w:rsidRPr="0026301A">
          <w:rPr>
            <w:noProof/>
            <w:webHidden/>
          </w:rPr>
          <w:fldChar w:fldCharType="end"/>
        </w:r>
      </w:hyperlink>
    </w:p>
    <w:p w14:paraId="5D881B59" w14:textId="30ED5397"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5" w:history="1">
        <w:r w:rsidRPr="0026301A">
          <w:rPr>
            <w:rStyle w:val="Hyperlink"/>
            <w:noProof/>
          </w:rPr>
          <w:t>Figure 2: Percentage of occupations in shortage (%), by major group, 2021 to 2025 OSLs, OSCA basis</w:t>
        </w:r>
        <w:r w:rsidRPr="0026301A">
          <w:rPr>
            <w:noProof/>
            <w:webHidden/>
          </w:rPr>
          <w:tab/>
        </w:r>
        <w:r w:rsidRPr="0026301A">
          <w:rPr>
            <w:noProof/>
            <w:webHidden/>
          </w:rPr>
          <w:fldChar w:fldCharType="begin"/>
        </w:r>
        <w:r w:rsidRPr="0026301A">
          <w:rPr>
            <w:noProof/>
            <w:webHidden/>
          </w:rPr>
          <w:instrText xml:space="preserve"> PAGEREF _Toc211349845 \h </w:instrText>
        </w:r>
        <w:r w:rsidRPr="0026301A">
          <w:rPr>
            <w:noProof/>
            <w:webHidden/>
          </w:rPr>
        </w:r>
        <w:r w:rsidRPr="0026301A">
          <w:rPr>
            <w:noProof/>
            <w:webHidden/>
          </w:rPr>
          <w:fldChar w:fldCharType="separate"/>
        </w:r>
        <w:r w:rsidR="00FF7A7F">
          <w:rPr>
            <w:noProof/>
            <w:webHidden/>
          </w:rPr>
          <w:t>6</w:t>
        </w:r>
        <w:r w:rsidRPr="0026301A">
          <w:rPr>
            <w:noProof/>
            <w:webHidden/>
          </w:rPr>
          <w:fldChar w:fldCharType="end"/>
        </w:r>
      </w:hyperlink>
    </w:p>
    <w:p w14:paraId="498E04CA" w14:textId="473D0CED"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6" w:history="1">
        <w:r w:rsidRPr="0026301A">
          <w:rPr>
            <w:rStyle w:val="Hyperlink"/>
            <w:noProof/>
          </w:rPr>
          <w:t>Figure 3: Percentage points (ppt) contribution by each major group to the overall change in occupations in shortage from 2024 to 2025 OSLs, OSCA basis</w:t>
        </w:r>
        <w:r w:rsidRPr="0026301A">
          <w:rPr>
            <w:noProof/>
            <w:webHidden/>
          </w:rPr>
          <w:tab/>
        </w:r>
        <w:r w:rsidRPr="0026301A">
          <w:rPr>
            <w:noProof/>
            <w:webHidden/>
          </w:rPr>
          <w:fldChar w:fldCharType="begin"/>
        </w:r>
        <w:r w:rsidRPr="0026301A">
          <w:rPr>
            <w:noProof/>
            <w:webHidden/>
          </w:rPr>
          <w:instrText xml:space="preserve"> PAGEREF _Toc211349846 \h </w:instrText>
        </w:r>
        <w:r w:rsidRPr="0026301A">
          <w:rPr>
            <w:noProof/>
            <w:webHidden/>
          </w:rPr>
        </w:r>
        <w:r w:rsidRPr="0026301A">
          <w:rPr>
            <w:noProof/>
            <w:webHidden/>
          </w:rPr>
          <w:fldChar w:fldCharType="separate"/>
        </w:r>
        <w:r w:rsidR="00FF7A7F">
          <w:rPr>
            <w:noProof/>
            <w:webHidden/>
          </w:rPr>
          <w:t>7</w:t>
        </w:r>
        <w:r w:rsidRPr="0026301A">
          <w:rPr>
            <w:noProof/>
            <w:webHidden/>
          </w:rPr>
          <w:fldChar w:fldCharType="end"/>
        </w:r>
      </w:hyperlink>
    </w:p>
    <w:p w14:paraId="685AA2F4" w14:textId="1C0AD881"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7" w:history="1">
        <w:r w:rsidRPr="0026301A">
          <w:rPr>
            <w:rStyle w:val="Hyperlink"/>
            <w:noProof/>
          </w:rPr>
          <w:t>Figure 4: Percentage of occupations in shortage (%), by Skill Level, 2021 to 2025 OSLs, OSCA basis</w:t>
        </w:r>
        <w:r w:rsidRPr="0026301A">
          <w:rPr>
            <w:noProof/>
            <w:webHidden/>
          </w:rPr>
          <w:tab/>
        </w:r>
        <w:r w:rsidRPr="0026301A">
          <w:rPr>
            <w:noProof/>
            <w:webHidden/>
          </w:rPr>
          <w:fldChar w:fldCharType="begin"/>
        </w:r>
        <w:r w:rsidRPr="0026301A">
          <w:rPr>
            <w:noProof/>
            <w:webHidden/>
          </w:rPr>
          <w:instrText xml:space="preserve"> PAGEREF _Toc211349847 \h </w:instrText>
        </w:r>
        <w:r w:rsidRPr="0026301A">
          <w:rPr>
            <w:noProof/>
            <w:webHidden/>
          </w:rPr>
        </w:r>
        <w:r w:rsidRPr="0026301A">
          <w:rPr>
            <w:noProof/>
            <w:webHidden/>
          </w:rPr>
          <w:fldChar w:fldCharType="separate"/>
        </w:r>
        <w:r w:rsidR="00FF7A7F">
          <w:rPr>
            <w:noProof/>
            <w:webHidden/>
          </w:rPr>
          <w:t>8</w:t>
        </w:r>
        <w:r w:rsidRPr="0026301A">
          <w:rPr>
            <w:noProof/>
            <w:webHidden/>
          </w:rPr>
          <w:fldChar w:fldCharType="end"/>
        </w:r>
      </w:hyperlink>
    </w:p>
    <w:p w14:paraId="782A6838" w14:textId="6594D384"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8" w:history="1">
        <w:r w:rsidRPr="0026301A">
          <w:rPr>
            <w:rStyle w:val="Hyperlink"/>
            <w:noProof/>
          </w:rPr>
          <w:t>Figure 5: Fill rate, recruitment difficulty rate and IVI, Index values (no.), 2023 to 2025</w:t>
        </w:r>
        <w:r w:rsidRPr="0026301A">
          <w:rPr>
            <w:noProof/>
            <w:webHidden/>
          </w:rPr>
          <w:tab/>
        </w:r>
        <w:r w:rsidRPr="0026301A">
          <w:rPr>
            <w:noProof/>
            <w:webHidden/>
          </w:rPr>
          <w:fldChar w:fldCharType="begin"/>
        </w:r>
        <w:r w:rsidRPr="0026301A">
          <w:rPr>
            <w:noProof/>
            <w:webHidden/>
          </w:rPr>
          <w:instrText xml:space="preserve"> PAGEREF _Toc211349848 \h </w:instrText>
        </w:r>
        <w:r w:rsidRPr="0026301A">
          <w:rPr>
            <w:noProof/>
            <w:webHidden/>
          </w:rPr>
        </w:r>
        <w:r w:rsidRPr="0026301A">
          <w:rPr>
            <w:noProof/>
            <w:webHidden/>
          </w:rPr>
          <w:fldChar w:fldCharType="separate"/>
        </w:r>
        <w:r w:rsidR="00FF7A7F">
          <w:rPr>
            <w:noProof/>
            <w:webHidden/>
          </w:rPr>
          <w:t>9</w:t>
        </w:r>
        <w:r w:rsidRPr="0026301A">
          <w:rPr>
            <w:noProof/>
            <w:webHidden/>
          </w:rPr>
          <w:fldChar w:fldCharType="end"/>
        </w:r>
      </w:hyperlink>
    </w:p>
    <w:p w14:paraId="0DED16AC" w14:textId="5FAB8177"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9" w:history="1">
        <w:r w:rsidRPr="0026301A">
          <w:rPr>
            <w:rStyle w:val="Hyperlink"/>
            <w:noProof/>
          </w:rPr>
          <w:t>Figure 6: Boxplots of predicted fill rates (%) for the 2023, 2024 and 2025 OSLs</w:t>
        </w:r>
        <w:r w:rsidRPr="0026301A">
          <w:rPr>
            <w:noProof/>
            <w:webHidden/>
          </w:rPr>
          <w:tab/>
        </w:r>
        <w:r w:rsidRPr="0026301A">
          <w:rPr>
            <w:noProof/>
            <w:webHidden/>
          </w:rPr>
          <w:fldChar w:fldCharType="begin"/>
        </w:r>
        <w:r w:rsidRPr="0026301A">
          <w:rPr>
            <w:noProof/>
            <w:webHidden/>
          </w:rPr>
          <w:instrText xml:space="preserve"> PAGEREF _Toc211349849 \h </w:instrText>
        </w:r>
        <w:r w:rsidRPr="0026301A">
          <w:rPr>
            <w:noProof/>
            <w:webHidden/>
          </w:rPr>
        </w:r>
        <w:r w:rsidRPr="0026301A">
          <w:rPr>
            <w:noProof/>
            <w:webHidden/>
          </w:rPr>
          <w:fldChar w:fldCharType="separate"/>
        </w:r>
        <w:r w:rsidR="00FF7A7F">
          <w:rPr>
            <w:noProof/>
            <w:webHidden/>
          </w:rPr>
          <w:t>10</w:t>
        </w:r>
        <w:r w:rsidRPr="0026301A">
          <w:rPr>
            <w:noProof/>
            <w:webHidden/>
          </w:rPr>
          <w:fldChar w:fldCharType="end"/>
        </w:r>
      </w:hyperlink>
    </w:p>
    <w:p w14:paraId="5B8B6E5E" w14:textId="7ECC57EE"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0" w:history="1">
        <w:r w:rsidRPr="0026301A">
          <w:rPr>
            <w:rStyle w:val="Hyperlink"/>
            <w:noProof/>
          </w:rPr>
          <w:t>Figure 7: Number of applicants, qualified applicants and suitable applicants per vacancy (No.), 2020-21 to 2024-25</w:t>
        </w:r>
        <w:r w:rsidRPr="0026301A">
          <w:rPr>
            <w:noProof/>
            <w:webHidden/>
          </w:rPr>
          <w:tab/>
        </w:r>
        <w:r w:rsidRPr="0026301A">
          <w:rPr>
            <w:noProof/>
            <w:webHidden/>
          </w:rPr>
          <w:fldChar w:fldCharType="begin"/>
        </w:r>
        <w:r w:rsidRPr="0026301A">
          <w:rPr>
            <w:noProof/>
            <w:webHidden/>
          </w:rPr>
          <w:instrText xml:space="preserve"> PAGEREF _Toc211349850 \h </w:instrText>
        </w:r>
        <w:r w:rsidRPr="0026301A">
          <w:rPr>
            <w:noProof/>
            <w:webHidden/>
          </w:rPr>
        </w:r>
        <w:r w:rsidRPr="0026301A">
          <w:rPr>
            <w:noProof/>
            <w:webHidden/>
          </w:rPr>
          <w:fldChar w:fldCharType="separate"/>
        </w:r>
        <w:r w:rsidR="00FF7A7F">
          <w:rPr>
            <w:noProof/>
            <w:webHidden/>
          </w:rPr>
          <w:t>12</w:t>
        </w:r>
        <w:r w:rsidRPr="0026301A">
          <w:rPr>
            <w:noProof/>
            <w:webHidden/>
          </w:rPr>
          <w:fldChar w:fldCharType="end"/>
        </w:r>
      </w:hyperlink>
    </w:p>
    <w:p w14:paraId="0F15FA99" w14:textId="09621502"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1" w:history="1">
        <w:r w:rsidRPr="0026301A">
          <w:rPr>
            <w:rStyle w:val="Hyperlink"/>
            <w:noProof/>
          </w:rPr>
          <w:t>Figure 8: Percentage of unit groups, by LSI category, 2023–24 and 2024–25</w:t>
        </w:r>
        <w:r w:rsidRPr="0026301A">
          <w:rPr>
            <w:noProof/>
            <w:webHidden/>
          </w:rPr>
          <w:tab/>
        </w:r>
        <w:r w:rsidRPr="0026301A">
          <w:rPr>
            <w:noProof/>
            <w:webHidden/>
          </w:rPr>
          <w:fldChar w:fldCharType="begin"/>
        </w:r>
        <w:r w:rsidRPr="0026301A">
          <w:rPr>
            <w:noProof/>
            <w:webHidden/>
          </w:rPr>
          <w:instrText xml:space="preserve"> PAGEREF _Toc211349851 \h </w:instrText>
        </w:r>
        <w:r w:rsidRPr="0026301A">
          <w:rPr>
            <w:noProof/>
            <w:webHidden/>
          </w:rPr>
        </w:r>
        <w:r w:rsidRPr="0026301A">
          <w:rPr>
            <w:noProof/>
            <w:webHidden/>
          </w:rPr>
          <w:fldChar w:fldCharType="separate"/>
        </w:r>
        <w:r w:rsidR="00FF7A7F">
          <w:rPr>
            <w:noProof/>
            <w:webHidden/>
          </w:rPr>
          <w:t>13</w:t>
        </w:r>
        <w:r w:rsidRPr="0026301A">
          <w:rPr>
            <w:noProof/>
            <w:webHidden/>
          </w:rPr>
          <w:fldChar w:fldCharType="end"/>
        </w:r>
      </w:hyperlink>
    </w:p>
    <w:p w14:paraId="073615AD" w14:textId="4EF80BF3" w:rsidR="00231400" w:rsidRPr="0026301A" w:rsidRDefault="003E3CBE">
      <w:pPr>
        <w:pStyle w:val="TableofFigures"/>
        <w:tabs>
          <w:tab w:val="right" w:leader="dot" w:pos="9017"/>
        </w:tabs>
        <w:rPr>
          <w:noProof/>
        </w:rPr>
      </w:pPr>
      <w:r w:rsidRPr="0026301A">
        <w:rPr>
          <w:rFonts w:eastAsiaTheme="majorEastAsia" w:cstheme="majorBidi"/>
          <w:b/>
          <w:bCs/>
          <w:color w:val="4B0985"/>
          <w:sz w:val="48"/>
          <w:szCs w:val="28"/>
        </w:rPr>
        <w:fldChar w:fldCharType="end"/>
      </w:r>
      <w:r w:rsidR="00BD4C41" w:rsidRPr="0026301A">
        <w:rPr>
          <w:rFonts w:eastAsiaTheme="majorEastAsia" w:cstheme="majorBidi"/>
          <w:b/>
          <w:bCs/>
          <w:color w:val="4B0985"/>
          <w:sz w:val="48"/>
          <w:szCs w:val="28"/>
        </w:rPr>
        <w:fldChar w:fldCharType="begin"/>
      </w:r>
      <w:r w:rsidR="00BD4C41" w:rsidRPr="0026301A">
        <w:rPr>
          <w:rFonts w:eastAsiaTheme="majorEastAsia" w:cstheme="majorBidi"/>
          <w:b/>
          <w:bCs/>
          <w:color w:val="4B0985"/>
          <w:sz w:val="48"/>
          <w:szCs w:val="28"/>
        </w:rPr>
        <w:instrText xml:space="preserve"> TOC \h \z \c "Figure A" </w:instrText>
      </w:r>
      <w:r w:rsidR="00BD4C41" w:rsidRPr="0026301A">
        <w:rPr>
          <w:rFonts w:eastAsiaTheme="majorEastAsia" w:cstheme="majorBidi"/>
          <w:b/>
          <w:bCs/>
          <w:color w:val="4B0985"/>
          <w:sz w:val="48"/>
          <w:szCs w:val="28"/>
        </w:rPr>
        <w:fldChar w:fldCharType="separate"/>
      </w:r>
      <w:hyperlink w:anchor="_Toc211349852" w:history="1">
        <w:r w:rsidR="00231400" w:rsidRPr="0026301A">
          <w:rPr>
            <w:rStyle w:val="Hyperlink"/>
            <w:noProof/>
          </w:rPr>
          <w:t>Figure A1: Percentage of occupations in shortage (%), 2021 to 2025 OSLs, ANZSCO 2022</w:t>
        </w:r>
        <w:r w:rsidR="00231400" w:rsidRPr="0026301A">
          <w:rPr>
            <w:noProof/>
            <w:webHidden/>
          </w:rPr>
          <w:tab/>
        </w:r>
        <w:r w:rsidR="00231400" w:rsidRPr="0026301A">
          <w:rPr>
            <w:noProof/>
            <w:webHidden/>
          </w:rPr>
          <w:fldChar w:fldCharType="begin"/>
        </w:r>
        <w:r w:rsidR="00231400" w:rsidRPr="0026301A">
          <w:rPr>
            <w:noProof/>
            <w:webHidden/>
          </w:rPr>
          <w:instrText xml:space="preserve"> PAGEREF _Toc211349852 \h </w:instrText>
        </w:r>
        <w:r w:rsidR="00231400" w:rsidRPr="0026301A">
          <w:rPr>
            <w:noProof/>
            <w:webHidden/>
          </w:rPr>
        </w:r>
        <w:r w:rsidR="00231400" w:rsidRPr="0026301A">
          <w:rPr>
            <w:noProof/>
            <w:webHidden/>
          </w:rPr>
          <w:fldChar w:fldCharType="separate"/>
        </w:r>
        <w:r w:rsidR="00FF7A7F">
          <w:rPr>
            <w:noProof/>
            <w:webHidden/>
          </w:rPr>
          <w:t>14</w:t>
        </w:r>
        <w:r w:rsidR="00231400" w:rsidRPr="0026301A">
          <w:rPr>
            <w:noProof/>
            <w:webHidden/>
          </w:rPr>
          <w:fldChar w:fldCharType="end"/>
        </w:r>
      </w:hyperlink>
    </w:p>
    <w:p w14:paraId="40EA455F" w14:textId="20C24520"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3" w:history="1">
        <w:r w:rsidRPr="0026301A">
          <w:rPr>
            <w:rStyle w:val="Hyperlink"/>
            <w:noProof/>
          </w:rPr>
          <w:t>Figure A2: Percentage of occupations in shortage (%), by major group, 2021 to 2025 OSLs  ANZSCO 2022</w:t>
        </w:r>
        <w:r w:rsidRPr="0026301A">
          <w:rPr>
            <w:noProof/>
            <w:webHidden/>
          </w:rPr>
          <w:tab/>
        </w:r>
        <w:r w:rsidRPr="0026301A">
          <w:rPr>
            <w:noProof/>
            <w:webHidden/>
          </w:rPr>
          <w:fldChar w:fldCharType="begin"/>
        </w:r>
        <w:r w:rsidRPr="0026301A">
          <w:rPr>
            <w:noProof/>
            <w:webHidden/>
          </w:rPr>
          <w:instrText xml:space="preserve"> PAGEREF _Toc211349853 \h </w:instrText>
        </w:r>
        <w:r w:rsidRPr="0026301A">
          <w:rPr>
            <w:noProof/>
            <w:webHidden/>
          </w:rPr>
        </w:r>
        <w:r w:rsidRPr="0026301A">
          <w:rPr>
            <w:noProof/>
            <w:webHidden/>
          </w:rPr>
          <w:fldChar w:fldCharType="separate"/>
        </w:r>
        <w:r w:rsidR="00FF7A7F">
          <w:rPr>
            <w:noProof/>
            <w:webHidden/>
          </w:rPr>
          <w:t>15</w:t>
        </w:r>
        <w:r w:rsidRPr="0026301A">
          <w:rPr>
            <w:noProof/>
            <w:webHidden/>
          </w:rPr>
          <w:fldChar w:fldCharType="end"/>
        </w:r>
      </w:hyperlink>
    </w:p>
    <w:p w14:paraId="767417D6" w14:textId="2B7F72F2"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4" w:history="1">
        <w:r w:rsidRPr="0026301A">
          <w:rPr>
            <w:rStyle w:val="Hyperlink"/>
            <w:noProof/>
          </w:rPr>
          <w:t>Figure A3: Percentage of occupations in shortage (%), by Skill Level, 2021 to 2025 OSLs, ANZSCO 2022</w:t>
        </w:r>
        <w:r w:rsidRPr="0026301A">
          <w:rPr>
            <w:noProof/>
            <w:webHidden/>
          </w:rPr>
          <w:tab/>
        </w:r>
        <w:r w:rsidRPr="0026301A">
          <w:rPr>
            <w:noProof/>
            <w:webHidden/>
          </w:rPr>
          <w:fldChar w:fldCharType="begin"/>
        </w:r>
        <w:r w:rsidRPr="0026301A">
          <w:rPr>
            <w:noProof/>
            <w:webHidden/>
          </w:rPr>
          <w:instrText xml:space="preserve"> PAGEREF _Toc211349854 \h </w:instrText>
        </w:r>
        <w:r w:rsidRPr="0026301A">
          <w:rPr>
            <w:noProof/>
            <w:webHidden/>
          </w:rPr>
        </w:r>
        <w:r w:rsidRPr="0026301A">
          <w:rPr>
            <w:noProof/>
            <w:webHidden/>
          </w:rPr>
          <w:fldChar w:fldCharType="separate"/>
        </w:r>
        <w:r w:rsidR="00FF7A7F">
          <w:rPr>
            <w:noProof/>
            <w:webHidden/>
          </w:rPr>
          <w:t>16</w:t>
        </w:r>
        <w:r w:rsidRPr="0026301A">
          <w:rPr>
            <w:noProof/>
            <w:webHidden/>
          </w:rPr>
          <w:fldChar w:fldCharType="end"/>
        </w:r>
      </w:hyperlink>
    </w:p>
    <w:p w14:paraId="07B71B31" w14:textId="0E5F82D9" w:rsidR="00270F51" w:rsidRPr="0026301A" w:rsidRDefault="00BD4C41" w:rsidP="00602204">
      <w:pPr>
        <w:pStyle w:val="TableofFigures"/>
        <w:rPr>
          <w:rFonts w:eastAsiaTheme="majorEastAsia" w:cstheme="majorBidi"/>
          <w:b/>
          <w:bCs/>
          <w:color w:val="4B0985"/>
          <w:sz w:val="48"/>
          <w:szCs w:val="28"/>
        </w:rPr>
      </w:pPr>
      <w:r w:rsidRPr="0026301A">
        <w:fldChar w:fldCharType="end"/>
      </w:r>
      <w:r w:rsidR="00270F51" w:rsidRPr="0026301A">
        <w:br w:type="page"/>
      </w:r>
    </w:p>
    <w:p w14:paraId="5786083D" w14:textId="01392117" w:rsidR="00E91ECF" w:rsidRPr="0026301A" w:rsidRDefault="00E91ECF" w:rsidP="00E91ECF">
      <w:pPr>
        <w:pStyle w:val="TOCHeading"/>
      </w:pPr>
      <w:r w:rsidRPr="0026301A">
        <w:lastRenderedPageBreak/>
        <w:t>Tables</w:t>
      </w:r>
    </w:p>
    <w:p w14:paraId="7075A3D2" w14:textId="0E1D3BBE" w:rsidR="00231400" w:rsidRPr="0026301A"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26301A">
        <w:fldChar w:fldCharType="begin"/>
      </w:r>
      <w:r w:rsidRPr="0026301A">
        <w:instrText xml:space="preserve"> TOC \h \z \c "Table" </w:instrText>
      </w:r>
      <w:r w:rsidRPr="0026301A">
        <w:fldChar w:fldCharType="separate"/>
      </w:r>
      <w:hyperlink w:anchor="_Toc211349855" w:history="1">
        <w:r w:rsidR="00231400" w:rsidRPr="0026301A">
          <w:rPr>
            <w:rStyle w:val="Hyperlink"/>
            <w:noProof/>
          </w:rPr>
          <w:t>Table 1: Summary of occupation rating change between 2024 and 2025 OSLs, OSCA basis</w:t>
        </w:r>
        <w:r w:rsidR="00231400" w:rsidRPr="0026301A">
          <w:rPr>
            <w:noProof/>
            <w:webHidden/>
          </w:rPr>
          <w:tab/>
        </w:r>
        <w:r w:rsidR="00231400" w:rsidRPr="0026301A">
          <w:rPr>
            <w:noProof/>
            <w:webHidden/>
          </w:rPr>
          <w:fldChar w:fldCharType="begin"/>
        </w:r>
        <w:r w:rsidR="00231400" w:rsidRPr="0026301A">
          <w:rPr>
            <w:noProof/>
            <w:webHidden/>
          </w:rPr>
          <w:instrText xml:space="preserve"> PAGEREF _Toc211349855 \h </w:instrText>
        </w:r>
        <w:r w:rsidR="00231400" w:rsidRPr="0026301A">
          <w:rPr>
            <w:noProof/>
            <w:webHidden/>
          </w:rPr>
        </w:r>
        <w:r w:rsidR="00231400" w:rsidRPr="0026301A">
          <w:rPr>
            <w:noProof/>
            <w:webHidden/>
          </w:rPr>
          <w:fldChar w:fldCharType="separate"/>
        </w:r>
        <w:r w:rsidR="00FF7A7F">
          <w:rPr>
            <w:noProof/>
            <w:webHidden/>
          </w:rPr>
          <w:t>4</w:t>
        </w:r>
        <w:r w:rsidR="00231400" w:rsidRPr="0026301A">
          <w:rPr>
            <w:noProof/>
            <w:webHidden/>
          </w:rPr>
          <w:fldChar w:fldCharType="end"/>
        </w:r>
      </w:hyperlink>
    </w:p>
    <w:p w14:paraId="6C1AAE5D" w14:textId="45EB3A7B"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6" w:history="1">
        <w:r w:rsidRPr="0026301A">
          <w:rPr>
            <w:rStyle w:val="Hyperlink"/>
            <w:noProof/>
          </w:rPr>
          <w:t>Table 2: Number of occupations in persistent shortage, by major group, 2021 to 2025 OSLs, OSCA basis</w:t>
        </w:r>
        <w:r w:rsidRPr="0026301A">
          <w:rPr>
            <w:noProof/>
            <w:webHidden/>
          </w:rPr>
          <w:tab/>
        </w:r>
        <w:r w:rsidRPr="0026301A">
          <w:rPr>
            <w:noProof/>
            <w:webHidden/>
          </w:rPr>
          <w:fldChar w:fldCharType="begin"/>
        </w:r>
        <w:r w:rsidRPr="0026301A">
          <w:rPr>
            <w:noProof/>
            <w:webHidden/>
          </w:rPr>
          <w:instrText xml:space="preserve"> PAGEREF _Toc211349856 \h </w:instrText>
        </w:r>
        <w:r w:rsidRPr="0026301A">
          <w:rPr>
            <w:noProof/>
            <w:webHidden/>
          </w:rPr>
        </w:r>
        <w:r w:rsidRPr="0026301A">
          <w:rPr>
            <w:noProof/>
            <w:webHidden/>
          </w:rPr>
          <w:fldChar w:fldCharType="separate"/>
        </w:r>
        <w:r w:rsidR="00FF7A7F">
          <w:rPr>
            <w:noProof/>
            <w:webHidden/>
          </w:rPr>
          <w:t>5</w:t>
        </w:r>
        <w:r w:rsidRPr="0026301A">
          <w:rPr>
            <w:noProof/>
            <w:webHidden/>
          </w:rPr>
          <w:fldChar w:fldCharType="end"/>
        </w:r>
      </w:hyperlink>
    </w:p>
    <w:p w14:paraId="56A02862" w14:textId="6E8B658A"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7" w:history="1">
        <w:r w:rsidRPr="0026301A">
          <w:rPr>
            <w:rStyle w:val="Hyperlink"/>
            <w:noProof/>
          </w:rPr>
          <w:t>Table 3: Fill rat</w:t>
        </w:r>
        <w:r w:rsidRPr="0026301A">
          <w:rPr>
            <w:rStyle w:val="Hyperlink"/>
            <w:noProof/>
          </w:rPr>
          <w:t>e</w:t>
        </w:r>
        <w:r w:rsidRPr="0026301A">
          <w:rPr>
            <w:rStyle w:val="Hyperlink"/>
            <w:noProof/>
          </w:rPr>
          <w:t>s from 2025 OSL Stakeholder Survey responses, by worker supply and demand</w:t>
        </w:r>
        <w:r w:rsidRPr="0026301A">
          <w:rPr>
            <w:noProof/>
            <w:webHidden/>
          </w:rPr>
          <w:tab/>
        </w:r>
        <w:r w:rsidRPr="0026301A">
          <w:rPr>
            <w:noProof/>
            <w:webHidden/>
          </w:rPr>
          <w:fldChar w:fldCharType="begin"/>
        </w:r>
        <w:r w:rsidRPr="0026301A">
          <w:rPr>
            <w:noProof/>
            <w:webHidden/>
          </w:rPr>
          <w:instrText xml:space="preserve"> PAGEREF _Toc211349857 \h </w:instrText>
        </w:r>
        <w:r w:rsidRPr="0026301A">
          <w:rPr>
            <w:noProof/>
            <w:webHidden/>
          </w:rPr>
        </w:r>
        <w:r w:rsidRPr="0026301A">
          <w:rPr>
            <w:noProof/>
            <w:webHidden/>
          </w:rPr>
          <w:fldChar w:fldCharType="separate"/>
        </w:r>
        <w:r w:rsidR="00FF7A7F">
          <w:rPr>
            <w:noProof/>
            <w:webHidden/>
          </w:rPr>
          <w:t>11</w:t>
        </w:r>
        <w:r w:rsidRPr="0026301A">
          <w:rPr>
            <w:noProof/>
            <w:webHidden/>
          </w:rPr>
          <w:fldChar w:fldCharType="end"/>
        </w:r>
      </w:hyperlink>
    </w:p>
    <w:p w14:paraId="594E1737" w14:textId="05DCBB9D" w:rsidR="00231400" w:rsidRPr="0026301A" w:rsidRDefault="003E3CBE">
      <w:pPr>
        <w:pStyle w:val="TableofFigures"/>
        <w:tabs>
          <w:tab w:val="right" w:leader="dot" w:pos="9017"/>
        </w:tabs>
        <w:rPr>
          <w:noProof/>
        </w:rPr>
      </w:pPr>
      <w:r w:rsidRPr="0026301A">
        <w:fldChar w:fldCharType="end"/>
      </w:r>
      <w:r w:rsidR="00BD4C41" w:rsidRPr="0026301A">
        <w:fldChar w:fldCharType="begin"/>
      </w:r>
      <w:r w:rsidR="00BD4C41" w:rsidRPr="0026301A">
        <w:instrText xml:space="preserve"> TOC \h \z \c "Table A" </w:instrText>
      </w:r>
      <w:r w:rsidR="00BD4C41" w:rsidRPr="0026301A">
        <w:fldChar w:fldCharType="separate"/>
      </w:r>
      <w:hyperlink w:anchor="_Toc211349858" w:history="1">
        <w:r w:rsidR="00231400" w:rsidRPr="0026301A">
          <w:rPr>
            <w:rStyle w:val="Hyperlink"/>
            <w:noProof/>
          </w:rPr>
          <w:t xml:space="preserve">Table A1: </w:t>
        </w:r>
        <w:r w:rsidR="00231400" w:rsidRPr="0026301A">
          <w:rPr>
            <w:rStyle w:val="Hyperlink"/>
            <w:noProof/>
          </w:rPr>
          <w:t>S</w:t>
        </w:r>
        <w:r w:rsidR="00231400" w:rsidRPr="0026301A">
          <w:rPr>
            <w:rStyle w:val="Hyperlink"/>
            <w:noProof/>
          </w:rPr>
          <w:t>ummary of occupatio</w:t>
        </w:r>
        <w:r w:rsidR="00231400" w:rsidRPr="0026301A">
          <w:rPr>
            <w:rStyle w:val="Hyperlink"/>
            <w:noProof/>
          </w:rPr>
          <w:t>n</w:t>
        </w:r>
        <w:r w:rsidR="00231400" w:rsidRPr="0026301A">
          <w:rPr>
            <w:rStyle w:val="Hyperlink"/>
            <w:noProof/>
          </w:rPr>
          <w:t xml:space="preserve"> rating change between 2024 and 2025 OSLs, ANZSCO 2022</w:t>
        </w:r>
        <w:r w:rsidR="00231400" w:rsidRPr="0026301A">
          <w:rPr>
            <w:noProof/>
            <w:webHidden/>
          </w:rPr>
          <w:tab/>
        </w:r>
        <w:r w:rsidR="00231400" w:rsidRPr="0026301A">
          <w:rPr>
            <w:noProof/>
            <w:webHidden/>
          </w:rPr>
          <w:fldChar w:fldCharType="begin"/>
        </w:r>
        <w:r w:rsidR="00231400" w:rsidRPr="0026301A">
          <w:rPr>
            <w:noProof/>
            <w:webHidden/>
          </w:rPr>
          <w:instrText xml:space="preserve"> PAGEREF _Toc211349858 \h </w:instrText>
        </w:r>
        <w:r w:rsidR="00231400" w:rsidRPr="0026301A">
          <w:rPr>
            <w:noProof/>
            <w:webHidden/>
          </w:rPr>
        </w:r>
        <w:r w:rsidR="00231400" w:rsidRPr="0026301A">
          <w:rPr>
            <w:noProof/>
            <w:webHidden/>
          </w:rPr>
          <w:fldChar w:fldCharType="separate"/>
        </w:r>
        <w:r w:rsidR="00FF7A7F">
          <w:rPr>
            <w:noProof/>
            <w:webHidden/>
          </w:rPr>
          <w:t>14</w:t>
        </w:r>
        <w:r w:rsidR="00231400" w:rsidRPr="0026301A">
          <w:rPr>
            <w:noProof/>
            <w:webHidden/>
          </w:rPr>
          <w:fldChar w:fldCharType="end"/>
        </w:r>
      </w:hyperlink>
    </w:p>
    <w:p w14:paraId="23DD8EFF" w14:textId="6E4BCC5C" w:rsidR="00231400" w:rsidRPr="0026301A"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9" w:history="1">
        <w:r w:rsidRPr="0026301A">
          <w:rPr>
            <w:rStyle w:val="Hyperlink"/>
            <w:noProof/>
          </w:rPr>
          <w:t>Table A2: Number of occupations in persistent shortage, by major group, 2021 to 2025 OSLs,  AN</w:t>
        </w:r>
        <w:r w:rsidRPr="0026301A">
          <w:rPr>
            <w:rStyle w:val="Hyperlink"/>
            <w:noProof/>
          </w:rPr>
          <w:t>Z</w:t>
        </w:r>
        <w:r w:rsidRPr="0026301A">
          <w:rPr>
            <w:rStyle w:val="Hyperlink"/>
            <w:noProof/>
          </w:rPr>
          <w:t>SCO 2022</w:t>
        </w:r>
        <w:r w:rsidRPr="0026301A">
          <w:rPr>
            <w:noProof/>
            <w:webHidden/>
          </w:rPr>
          <w:tab/>
        </w:r>
        <w:r w:rsidRPr="0026301A">
          <w:rPr>
            <w:noProof/>
            <w:webHidden/>
          </w:rPr>
          <w:fldChar w:fldCharType="begin"/>
        </w:r>
        <w:r w:rsidRPr="0026301A">
          <w:rPr>
            <w:noProof/>
            <w:webHidden/>
          </w:rPr>
          <w:instrText xml:space="preserve"> PAGEREF _Toc211349859 \h </w:instrText>
        </w:r>
        <w:r w:rsidRPr="0026301A">
          <w:rPr>
            <w:noProof/>
            <w:webHidden/>
          </w:rPr>
        </w:r>
        <w:r w:rsidRPr="0026301A">
          <w:rPr>
            <w:noProof/>
            <w:webHidden/>
          </w:rPr>
          <w:fldChar w:fldCharType="separate"/>
        </w:r>
        <w:r w:rsidR="00FF7A7F">
          <w:rPr>
            <w:noProof/>
            <w:webHidden/>
          </w:rPr>
          <w:t>15</w:t>
        </w:r>
        <w:r w:rsidRPr="0026301A">
          <w:rPr>
            <w:noProof/>
            <w:webHidden/>
          </w:rPr>
          <w:fldChar w:fldCharType="end"/>
        </w:r>
      </w:hyperlink>
    </w:p>
    <w:p w14:paraId="191737E4" w14:textId="1CBAB547" w:rsidR="003E3CBE" w:rsidRPr="0026301A" w:rsidRDefault="00BD4C41" w:rsidP="00E03B0F">
      <w:pPr>
        <w:sectPr w:rsidR="003E3CBE" w:rsidRPr="0026301A"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r w:rsidRPr="0026301A">
        <w:fldChar w:fldCharType="end"/>
      </w:r>
    </w:p>
    <w:p w14:paraId="2DBB4B29" w14:textId="36D1F8AC" w:rsidR="003E3CBE" w:rsidRPr="0026301A" w:rsidRDefault="003E3CBE" w:rsidP="00044EF4">
      <w:pPr>
        <w:pStyle w:val="Heading1"/>
      </w:pPr>
      <w:bookmarkStart w:id="0" w:name="_Toc201559943"/>
      <w:bookmarkStart w:id="1" w:name="_Toc226611469"/>
      <w:r w:rsidRPr="0026301A">
        <w:lastRenderedPageBreak/>
        <w:t>Introduction</w:t>
      </w:r>
      <w:bookmarkStart w:id="2" w:name="_Toc142323448"/>
      <w:bookmarkStart w:id="3" w:name="_Toc174355988"/>
      <w:bookmarkStart w:id="4" w:name="_Toc194052692"/>
      <w:bookmarkEnd w:id="0"/>
      <w:bookmarkEnd w:id="1"/>
      <w:r w:rsidRPr="0026301A">
        <w:t xml:space="preserve"> </w:t>
      </w:r>
    </w:p>
    <w:p w14:paraId="053F20D1" w14:textId="77777777" w:rsidR="003E3CBE" w:rsidRPr="0026301A" w:rsidRDefault="003E3CBE" w:rsidP="003E3CBE">
      <w:pPr>
        <w:pStyle w:val="Heading2"/>
      </w:pPr>
      <w:bookmarkStart w:id="5" w:name="_Toc180136431"/>
      <w:bookmarkStart w:id="6" w:name="_Toc201559944"/>
      <w:bookmarkStart w:id="7" w:name="_Toc226611470"/>
      <w:r w:rsidRPr="0026301A">
        <w:t>Overview</w:t>
      </w:r>
      <w:bookmarkEnd w:id="5"/>
      <w:bookmarkEnd w:id="6"/>
      <w:bookmarkEnd w:id="7"/>
    </w:p>
    <w:p w14:paraId="24AA28FC" w14:textId="496A2F82" w:rsidR="00D062DC" w:rsidRPr="0026301A" w:rsidRDefault="00D062DC" w:rsidP="00D062DC">
      <w:pPr>
        <w:pStyle w:val="BodyText"/>
      </w:pPr>
      <w:r w:rsidRPr="0026301A">
        <w:t>The 2025 O</w:t>
      </w:r>
      <w:r w:rsidR="004A24B0" w:rsidRPr="0026301A">
        <w:t xml:space="preserve">ccupation </w:t>
      </w:r>
      <w:r w:rsidRPr="0026301A">
        <w:t>S</w:t>
      </w:r>
      <w:r w:rsidR="004A24B0" w:rsidRPr="0026301A">
        <w:t xml:space="preserve">hortage </w:t>
      </w:r>
      <w:r w:rsidRPr="0026301A">
        <w:t>L</w:t>
      </w:r>
      <w:r w:rsidR="004A24B0" w:rsidRPr="0026301A">
        <w:t>ist (OSL)</w:t>
      </w:r>
      <w:r w:rsidRPr="0026301A">
        <w:t xml:space="preserve"> Key Findings Report provides an overview of the 2025 OSL results, including a summary of select OSL indicators that underpin those results. </w:t>
      </w:r>
    </w:p>
    <w:p w14:paraId="6430FB7C" w14:textId="34AA8B4E" w:rsidR="00FF7EA0" w:rsidRPr="0026301A" w:rsidRDefault="000502D2" w:rsidP="004A24B0">
      <w:pPr>
        <w:pStyle w:val="BodyText"/>
      </w:pPr>
      <w:r w:rsidRPr="0026301A">
        <w:t>This report has been prepared to assist government, Jobs and Skills Councils and bodies representing industry, employees, regions and researchers involved in workforce planning, policy development, and labour market analysis. Following that, t</w:t>
      </w:r>
      <w:r w:rsidR="004A24B0" w:rsidRPr="0026301A">
        <w:t xml:space="preserve">he findings and insights derived from the OSL </w:t>
      </w:r>
      <w:r w:rsidRPr="0026301A">
        <w:t xml:space="preserve">may be </w:t>
      </w:r>
      <w:r w:rsidR="004A24B0" w:rsidRPr="0026301A">
        <w:t xml:space="preserve">useful for informing, along with other sources of information, labour market policies </w:t>
      </w:r>
      <w:r w:rsidRPr="0026301A">
        <w:t xml:space="preserve">and </w:t>
      </w:r>
      <w:r w:rsidR="00971757" w:rsidRPr="0026301A">
        <w:t>analysis</w:t>
      </w:r>
      <w:r w:rsidR="004A24B0" w:rsidRPr="0026301A">
        <w:t>.</w:t>
      </w:r>
    </w:p>
    <w:p w14:paraId="62B1E1F8" w14:textId="0A1D0E5D" w:rsidR="00E861F6" w:rsidRPr="0026301A" w:rsidRDefault="003E3CBE" w:rsidP="00192924">
      <w:pPr>
        <w:pStyle w:val="BodyText"/>
      </w:pPr>
      <w:r w:rsidRPr="0026301A">
        <w:t xml:space="preserve">The OSL, produced by Jobs and Skills Australia, provides a list of occupations in shortage in Australia and in each state and territory. The OSL is released annually and is a point-in-time assessment of occupations in the labour market. </w:t>
      </w:r>
    </w:p>
    <w:p w14:paraId="3799DD6F" w14:textId="77777777" w:rsidR="00AD21F8" w:rsidRPr="0026301A" w:rsidRDefault="00A36BA1" w:rsidP="00917535">
      <w:pPr>
        <w:pStyle w:val="BodyText"/>
      </w:pPr>
      <w:r w:rsidRPr="0026301A">
        <w:t xml:space="preserve">For 2025, two versions of the OSL </w:t>
      </w:r>
      <w:r w:rsidR="00AD21F8" w:rsidRPr="0026301A">
        <w:t xml:space="preserve">were produced. </w:t>
      </w:r>
    </w:p>
    <w:p w14:paraId="67871615" w14:textId="125D4AFA" w:rsidR="00AD21F8" w:rsidRPr="0026301A" w:rsidRDefault="00D232DC" w:rsidP="00AD21F8">
      <w:pPr>
        <w:pStyle w:val="ListBullet"/>
      </w:pPr>
      <w:r w:rsidRPr="0026301A">
        <w:t xml:space="preserve">The </w:t>
      </w:r>
      <w:r w:rsidR="00727DDC" w:rsidRPr="0026301A">
        <w:t>OSL r</w:t>
      </w:r>
      <w:r w:rsidR="00917535" w:rsidRPr="0026301A">
        <w:t>esults</w:t>
      </w:r>
      <w:r w:rsidR="009676EB" w:rsidRPr="0026301A">
        <w:t>,</w:t>
      </w:r>
      <w:r w:rsidR="00917535" w:rsidRPr="0026301A">
        <w:t xml:space="preserve"> </w:t>
      </w:r>
      <w:r w:rsidR="00625400" w:rsidRPr="0026301A">
        <w:t>in the main body of the report</w:t>
      </w:r>
      <w:r w:rsidR="009676EB" w:rsidRPr="0026301A">
        <w:t>,</w:t>
      </w:r>
      <w:r w:rsidR="00625400" w:rsidRPr="0026301A">
        <w:t xml:space="preserve"> </w:t>
      </w:r>
      <w:r w:rsidR="008A3C42" w:rsidRPr="0026301A">
        <w:t xml:space="preserve">are based </w:t>
      </w:r>
      <w:r w:rsidR="00917535" w:rsidRPr="0026301A">
        <w:t xml:space="preserve">on the </w:t>
      </w:r>
      <w:r w:rsidR="008D17C7" w:rsidRPr="0026301A">
        <w:t xml:space="preserve">Occupation Standard Classification for Australia (OSCA) </w:t>
      </w:r>
      <w:r w:rsidR="00796AC4" w:rsidRPr="0026301A">
        <w:t xml:space="preserve">2024 </w:t>
      </w:r>
      <w:r w:rsidR="008D17C7" w:rsidRPr="0026301A">
        <w:t>framework.</w:t>
      </w:r>
      <w:r w:rsidR="008D17C7" w:rsidRPr="0026301A">
        <w:rPr>
          <w:rStyle w:val="FootnoteReference"/>
        </w:rPr>
        <w:footnoteReference w:id="1"/>
      </w:r>
      <w:r w:rsidR="001F1B67" w:rsidRPr="0026301A">
        <w:rPr>
          <w:rStyle w:val="FootnoteReference"/>
        </w:rPr>
        <w:t>,</w:t>
      </w:r>
      <w:r w:rsidR="008D17C7" w:rsidRPr="0026301A">
        <w:rPr>
          <w:rStyle w:val="FootnoteReference"/>
        </w:rPr>
        <w:footnoteReference w:id="2"/>
      </w:r>
      <w:r w:rsidR="001F1B67" w:rsidRPr="0026301A">
        <w:rPr>
          <w:rStyle w:val="FootnoteReference"/>
        </w:rPr>
        <w:t>,</w:t>
      </w:r>
      <w:r w:rsidR="0032010A" w:rsidRPr="0026301A">
        <w:rPr>
          <w:rStyle w:val="FootnoteReference"/>
        </w:rPr>
        <w:footnoteReference w:id="3"/>
      </w:r>
      <w:r w:rsidR="0032010A" w:rsidRPr="0026301A">
        <w:t xml:space="preserve"> </w:t>
      </w:r>
      <w:r w:rsidR="00F52EFD" w:rsidRPr="0026301A">
        <w:t xml:space="preserve">This </w:t>
      </w:r>
      <w:r w:rsidR="006D0DA5" w:rsidRPr="0026301A">
        <w:t>was</w:t>
      </w:r>
      <w:r w:rsidR="00F52EFD" w:rsidRPr="0026301A">
        <w:t xml:space="preserve"> </w:t>
      </w:r>
      <w:r w:rsidR="006D0DA5" w:rsidRPr="0026301A">
        <w:t xml:space="preserve">due to </w:t>
      </w:r>
      <w:r w:rsidR="00F52EFD" w:rsidRPr="0026301A">
        <w:rPr>
          <w:rFonts w:cs="Arial"/>
        </w:rPr>
        <w:t xml:space="preserve">OSL </w:t>
      </w:r>
      <w:r w:rsidR="006D0DA5" w:rsidRPr="0026301A">
        <w:rPr>
          <w:rFonts w:cs="Arial"/>
        </w:rPr>
        <w:t xml:space="preserve">being </w:t>
      </w:r>
      <w:r w:rsidR="00F52EFD" w:rsidRPr="0026301A">
        <w:rPr>
          <w:rFonts w:cs="Arial"/>
        </w:rPr>
        <w:t xml:space="preserve">embedded in elements of </w:t>
      </w:r>
      <w:r w:rsidR="00F52EFD" w:rsidRPr="0026301A">
        <w:t xml:space="preserve">Government policy linked to skilled migration and apprenticeship incentives. But strong assumptions on </w:t>
      </w:r>
      <w:r w:rsidR="00F52EFD" w:rsidRPr="0026301A">
        <w:rPr>
          <w:rFonts w:cs="Arial"/>
        </w:rPr>
        <w:t>mapping ANZSCO to OSCA were used as little OSCA-based data exists.</w:t>
      </w:r>
    </w:p>
    <w:p w14:paraId="160A38A0" w14:textId="7CEC32D8" w:rsidR="00ED77C4" w:rsidRPr="0026301A" w:rsidRDefault="008D17C7" w:rsidP="00A1592D">
      <w:pPr>
        <w:pStyle w:val="ListBullet"/>
      </w:pPr>
      <w:r w:rsidRPr="0026301A">
        <w:t>T</w:t>
      </w:r>
      <w:r w:rsidR="00917535" w:rsidRPr="0026301A">
        <w:t>he A</w:t>
      </w:r>
      <w:r w:rsidR="001B4362" w:rsidRPr="0026301A">
        <w:t xml:space="preserve">ustralian and </w:t>
      </w:r>
      <w:r w:rsidR="00917535" w:rsidRPr="0026301A">
        <w:t>N</w:t>
      </w:r>
      <w:r w:rsidR="001B4362" w:rsidRPr="0026301A">
        <w:t xml:space="preserve">ew </w:t>
      </w:r>
      <w:r w:rsidR="00917535" w:rsidRPr="0026301A">
        <w:t>Z</w:t>
      </w:r>
      <w:r w:rsidR="001B4362" w:rsidRPr="0026301A">
        <w:t xml:space="preserve">ealand </w:t>
      </w:r>
      <w:r w:rsidR="00917535" w:rsidRPr="0026301A">
        <w:t>S</w:t>
      </w:r>
      <w:r w:rsidR="001B4362" w:rsidRPr="0026301A">
        <w:t xml:space="preserve">tandard </w:t>
      </w:r>
      <w:r w:rsidR="00917535" w:rsidRPr="0026301A">
        <w:t>C</w:t>
      </w:r>
      <w:r w:rsidR="001B4362" w:rsidRPr="0026301A">
        <w:t xml:space="preserve">lassification of </w:t>
      </w:r>
      <w:r w:rsidR="00917535" w:rsidRPr="0026301A">
        <w:t>O</w:t>
      </w:r>
      <w:r w:rsidR="001B4362" w:rsidRPr="0026301A">
        <w:t>ccupation</w:t>
      </w:r>
      <w:r w:rsidR="007C2FE5" w:rsidRPr="0026301A">
        <w:t xml:space="preserve"> (ANZSCO)</w:t>
      </w:r>
      <w:r w:rsidR="00917535" w:rsidRPr="0026301A">
        <w:t xml:space="preserve"> </w:t>
      </w:r>
      <w:r w:rsidR="00796AC4" w:rsidRPr="0026301A">
        <w:t>2022</w:t>
      </w:r>
      <w:r w:rsidR="00AD2B46" w:rsidRPr="0026301A">
        <w:t xml:space="preserve"> based</w:t>
      </w:r>
      <w:r w:rsidR="00796AC4" w:rsidRPr="0026301A">
        <w:t xml:space="preserve"> </w:t>
      </w:r>
      <w:r w:rsidR="00917535" w:rsidRPr="0026301A">
        <w:t>result</w:t>
      </w:r>
      <w:r w:rsidR="00084E6A" w:rsidRPr="0026301A">
        <w:t>s</w:t>
      </w:r>
      <w:r w:rsidR="00917535" w:rsidRPr="0026301A">
        <w:t xml:space="preserve"> are </w:t>
      </w:r>
      <w:r w:rsidR="00435D22" w:rsidRPr="0026301A">
        <w:t xml:space="preserve">provided </w:t>
      </w:r>
      <w:r w:rsidR="00917535" w:rsidRPr="0026301A">
        <w:t>in Appendix</w:t>
      </w:r>
      <w:r w:rsidRPr="0026301A">
        <w:t xml:space="preserve"> </w:t>
      </w:r>
      <w:r w:rsidR="00621519" w:rsidRPr="0026301A">
        <w:t>A</w:t>
      </w:r>
      <w:r w:rsidR="00917535" w:rsidRPr="0026301A">
        <w:t>.</w:t>
      </w:r>
      <w:r w:rsidR="008D777D" w:rsidRPr="0026301A">
        <w:rPr>
          <w:rStyle w:val="FootnoteReference"/>
        </w:rPr>
        <w:footnoteReference w:id="4"/>
      </w:r>
      <w:r w:rsidR="00917535" w:rsidRPr="0026301A">
        <w:t xml:space="preserve"> </w:t>
      </w:r>
      <w:r w:rsidR="000740D5" w:rsidRPr="0026301A">
        <w:t xml:space="preserve">This version of the OSL was produced, primarily, for in-depth analyses. </w:t>
      </w:r>
      <w:r w:rsidR="00127B9B" w:rsidRPr="0026301A">
        <w:t xml:space="preserve">ANZSCO </w:t>
      </w:r>
      <w:r w:rsidR="00CE15CE" w:rsidRPr="0026301A">
        <w:t>is</w:t>
      </w:r>
      <w:r w:rsidR="00127B9B" w:rsidRPr="0026301A">
        <w:t xml:space="preserve"> </w:t>
      </w:r>
      <w:r w:rsidR="00644D0A" w:rsidRPr="0026301A">
        <w:t>well established</w:t>
      </w:r>
      <w:r w:rsidR="008B43D4" w:rsidRPr="0026301A">
        <w:t>,</w:t>
      </w:r>
      <w:r w:rsidR="007D5219" w:rsidRPr="0026301A">
        <w:t xml:space="preserve"> integrated with </w:t>
      </w:r>
      <w:r w:rsidR="00777C09" w:rsidRPr="0026301A">
        <w:t xml:space="preserve">multiple </w:t>
      </w:r>
      <w:r w:rsidR="0065196D" w:rsidRPr="0026301A">
        <w:t>data sourc</w:t>
      </w:r>
      <w:r w:rsidR="001B282B" w:rsidRPr="0026301A">
        <w:t>es,</w:t>
      </w:r>
      <w:r w:rsidR="008B43D4" w:rsidRPr="0026301A">
        <w:t xml:space="preserve"> and </w:t>
      </w:r>
      <w:r w:rsidR="00544289" w:rsidRPr="0026301A">
        <w:t>supports</w:t>
      </w:r>
      <w:r w:rsidR="000F12C5" w:rsidRPr="0026301A">
        <w:t xml:space="preserve"> consisten</w:t>
      </w:r>
      <w:r w:rsidR="00544289" w:rsidRPr="0026301A">
        <w:t>t trend</w:t>
      </w:r>
      <w:r w:rsidR="00D43DD7" w:rsidRPr="0026301A">
        <w:t xml:space="preserve"> compar</w:t>
      </w:r>
      <w:r w:rsidR="00942D1D" w:rsidRPr="0026301A">
        <w:t>ison</w:t>
      </w:r>
      <w:r w:rsidR="00777C09" w:rsidRPr="0026301A">
        <w:t>s</w:t>
      </w:r>
      <w:r w:rsidR="00942D1D" w:rsidRPr="0026301A">
        <w:t xml:space="preserve"> </w:t>
      </w:r>
      <w:r w:rsidR="000D4AF9" w:rsidRPr="0026301A">
        <w:t>over</w:t>
      </w:r>
      <w:r w:rsidR="00942D1D" w:rsidRPr="0026301A">
        <w:t xml:space="preserve"> </w:t>
      </w:r>
      <w:r w:rsidR="000D4AF9" w:rsidRPr="0026301A">
        <w:t>time</w:t>
      </w:r>
      <w:r w:rsidR="00CB7B37" w:rsidRPr="0026301A">
        <w:t xml:space="preserve">. </w:t>
      </w:r>
    </w:p>
    <w:p w14:paraId="43E5DDD1" w14:textId="6E90C98C" w:rsidR="00917535" w:rsidRPr="0026301A" w:rsidRDefault="00917535" w:rsidP="00917535">
      <w:pPr>
        <w:pStyle w:val="BodyText"/>
      </w:pPr>
      <w:r w:rsidRPr="0026301A">
        <w:t>Only skill levels 1 to 4</w:t>
      </w:r>
      <w:r w:rsidR="0003035F" w:rsidRPr="0026301A">
        <w:t>,</w:t>
      </w:r>
      <w:r w:rsidRPr="0026301A">
        <w:t xml:space="preserve"> as defined by OSCA and ANZSCO</w:t>
      </w:r>
      <w:r w:rsidR="0003035F" w:rsidRPr="0026301A">
        <w:t>,</w:t>
      </w:r>
      <w:r w:rsidRPr="0026301A">
        <w:t xml:space="preserve"> are in scope of the OSL because of their stronger links to post-compulsory education and training.</w:t>
      </w:r>
      <w:r w:rsidRPr="0026301A">
        <w:rPr>
          <w:rStyle w:val="FootnoteReference"/>
        </w:rPr>
        <w:footnoteReference w:id="5"/>
      </w:r>
      <w:r w:rsidRPr="0026301A">
        <w:t xml:space="preserve"> </w:t>
      </w:r>
    </w:p>
    <w:p w14:paraId="749E2B35" w14:textId="2FF9EAB2" w:rsidR="00624097" w:rsidRPr="0026301A" w:rsidRDefault="00624097">
      <w:pPr>
        <w:spacing w:before="0" w:after="200" w:line="276" w:lineRule="auto"/>
        <w:rPr>
          <w:rFonts w:eastAsia="Times New Roman" w:cs="Arial"/>
          <w:b/>
          <w:bCs/>
          <w:color w:val="4B0985"/>
          <w:sz w:val="48"/>
          <w:szCs w:val="32"/>
          <w:lang w:eastAsia="en-AU"/>
        </w:rPr>
      </w:pPr>
      <w:r w:rsidRPr="0026301A">
        <w:br w:type="page"/>
      </w:r>
    </w:p>
    <w:p w14:paraId="5357DAB2" w14:textId="77777777" w:rsidR="003E3CBE" w:rsidRPr="0026301A" w:rsidRDefault="003E3CBE" w:rsidP="00664D3F">
      <w:pPr>
        <w:pStyle w:val="Heading1"/>
      </w:pPr>
      <w:bookmarkStart w:id="8" w:name="SERA_Fill_Rates"/>
      <w:bookmarkStart w:id="9" w:name="_Toc194052694"/>
      <w:bookmarkStart w:id="10" w:name="_Toc201559948"/>
      <w:bookmarkStart w:id="11" w:name="_Toc226611471"/>
      <w:bookmarkEnd w:id="2"/>
      <w:bookmarkEnd w:id="3"/>
      <w:bookmarkEnd w:id="4"/>
      <w:bookmarkEnd w:id="8"/>
      <w:r w:rsidRPr="0026301A">
        <w:lastRenderedPageBreak/>
        <w:t>2025 OSL results</w:t>
      </w:r>
      <w:bookmarkEnd w:id="9"/>
      <w:bookmarkEnd w:id="10"/>
      <w:bookmarkEnd w:id="11"/>
    </w:p>
    <w:p w14:paraId="6C6DCDC8" w14:textId="35E1F144" w:rsidR="003E3CBE" w:rsidRPr="0026301A" w:rsidRDefault="00044EF4" w:rsidP="00044EF4">
      <w:pPr>
        <w:pStyle w:val="Heading2"/>
      </w:pPr>
      <w:bookmarkStart w:id="12" w:name="_Toc142323452"/>
      <w:bookmarkStart w:id="13" w:name="_Toc174355991"/>
      <w:bookmarkStart w:id="14" w:name="_Toc194052695"/>
      <w:bookmarkStart w:id="15" w:name="_Toc201559949"/>
      <w:bookmarkStart w:id="16" w:name="_Toc226611472"/>
      <w:r w:rsidRPr="0026301A">
        <w:t>N</w:t>
      </w:r>
      <w:r w:rsidR="003E3CBE" w:rsidRPr="0026301A">
        <w:t>ational level findings</w:t>
      </w:r>
      <w:bookmarkEnd w:id="12"/>
      <w:bookmarkEnd w:id="13"/>
      <w:bookmarkEnd w:id="14"/>
      <w:bookmarkEnd w:id="15"/>
      <w:bookmarkEnd w:id="16"/>
    </w:p>
    <w:p w14:paraId="4B7C59CE" w14:textId="2AAC3098" w:rsidR="003E3CBE" w:rsidRPr="0026301A" w:rsidRDefault="00B36CFC" w:rsidP="00192924">
      <w:pPr>
        <w:pStyle w:val="BodyText"/>
      </w:pPr>
      <w:r w:rsidRPr="0026301A">
        <w:t>In t</w:t>
      </w:r>
      <w:r w:rsidR="003E3CBE" w:rsidRPr="0026301A">
        <w:t>he 202</w:t>
      </w:r>
      <w:r w:rsidR="00522A65" w:rsidRPr="0026301A">
        <w:t>5</w:t>
      </w:r>
      <w:r w:rsidR="003E3CBE" w:rsidRPr="0026301A">
        <w:t xml:space="preserve"> OSL</w:t>
      </w:r>
      <w:r w:rsidRPr="0026301A">
        <w:t>,</w:t>
      </w:r>
      <w:r w:rsidR="003E3CBE" w:rsidRPr="0026301A">
        <w:t xml:space="preserve"> </w:t>
      </w:r>
      <w:r w:rsidR="000974F4" w:rsidRPr="0026301A">
        <w:t>29</w:t>
      </w:r>
      <w:r w:rsidR="003E3CBE" w:rsidRPr="0026301A">
        <w:t>% of occupations (</w:t>
      </w:r>
      <w:r w:rsidR="00FE7B1D" w:rsidRPr="0026301A">
        <w:t>293</w:t>
      </w:r>
      <w:r w:rsidR="003E3CBE" w:rsidRPr="0026301A">
        <w:t xml:space="preserve"> out of </w:t>
      </w:r>
      <w:r w:rsidR="00522A65" w:rsidRPr="0026301A">
        <w:t>1022</w:t>
      </w:r>
      <w:r w:rsidR="003E3CBE" w:rsidRPr="0026301A">
        <w:t xml:space="preserve"> assessed) </w:t>
      </w:r>
      <w:r w:rsidR="00CA1B16" w:rsidRPr="0026301A">
        <w:t xml:space="preserve">were </w:t>
      </w:r>
      <w:r w:rsidR="003E3CBE" w:rsidRPr="0026301A">
        <w:t xml:space="preserve">in national </w:t>
      </w:r>
      <w:r w:rsidR="00210547" w:rsidRPr="0026301A">
        <w:t>s</w:t>
      </w:r>
      <w:r w:rsidR="003E3CBE" w:rsidRPr="0026301A">
        <w:t>hortage (</w:t>
      </w:r>
      <w:r w:rsidR="0043014C" w:rsidRPr="0026301A">
        <w:fldChar w:fldCharType="begin"/>
      </w:r>
      <w:r w:rsidR="0043014C" w:rsidRPr="0026301A">
        <w:instrText xml:space="preserve"> REF _Ref176192289 \h </w:instrText>
      </w:r>
      <w:r w:rsidR="0026301A">
        <w:instrText xml:space="preserve"> \* MERGEFORMAT </w:instrText>
      </w:r>
      <w:r w:rsidR="0043014C" w:rsidRPr="0026301A">
        <w:fldChar w:fldCharType="separate"/>
      </w:r>
      <w:r w:rsidR="00FF7A7F" w:rsidRPr="0026301A">
        <w:t xml:space="preserve">Figure </w:t>
      </w:r>
      <w:r w:rsidR="00FF7A7F">
        <w:rPr>
          <w:noProof/>
        </w:rPr>
        <w:t>1</w:t>
      </w:r>
      <w:r w:rsidR="0043014C" w:rsidRPr="0026301A">
        <w:fldChar w:fldCharType="end"/>
      </w:r>
      <w:r w:rsidR="003E3CBE" w:rsidRPr="0026301A">
        <w:t>).</w:t>
      </w:r>
      <w:r w:rsidR="003E3CBE" w:rsidRPr="0026301A">
        <w:rPr>
          <w:rStyle w:val="FootnoteReference"/>
        </w:rPr>
        <w:footnoteReference w:id="6"/>
      </w:r>
      <w:r w:rsidR="003E3CBE" w:rsidRPr="0026301A">
        <w:t xml:space="preserve"> This</w:t>
      </w:r>
      <w:r w:rsidR="003E3CBE" w:rsidRPr="0026301A" w:rsidDel="00CA1D4C">
        <w:t xml:space="preserve"> </w:t>
      </w:r>
      <w:r w:rsidR="003E3CBE" w:rsidRPr="0026301A">
        <w:t xml:space="preserve">is </w:t>
      </w:r>
      <w:r w:rsidR="00FE7B1D" w:rsidRPr="0026301A">
        <w:t>4</w:t>
      </w:r>
      <w:r w:rsidR="003E3CBE" w:rsidRPr="0026301A">
        <w:t xml:space="preserve"> percentage points l</w:t>
      </w:r>
      <w:r w:rsidR="00522A65" w:rsidRPr="0026301A">
        <w:t xml:space="preserve">ower </w:t>
      </w:r>
      <w:r w:rsidR="003E3CBE" w:rsidRPr="0026301A">
        <w:t>than in 202</w:t>
      </w:r>
      <w:r w:rsidR="00522A65" w:rsidRPr="0026301A">
        <w:t>4</w:t>
      </w:r>
      <w:r w:rsidR="003E3CBE" w:rsidRPr="0026301A">
        <w:t xml:space="preserve"> (3</w:t>
      </w:r>
      <w:r w:rsidR="00522A65" w:rsidRPr="0026301A">
        <w:t>3</w:t>
      </w:r>
      <w:r w:rsidR="003E3CBE" w:rsidRPr="0026301A">
        <w:t xml:space="preserve">%) </w:t>
      </w:r>
      <w:r w:rsidR="00522A65" w:rsidRPr="0026301A">
        <w:t xml:space="preserve">and </w:t>
      </w:r>
      <w:r w:rsidR="00DF08F3" w:rsidRPr="0026301A">
        <w:t>more than 7</w:t>
      </w:r>
      <w:r w:rsidR="003E3CBE" w:rsidRPr="0026301A">
        <w:t xml:space="preserve"> percentage point</w:t>
      </w:r>
      <w:r w:rsidR="00522A65" w:rsidRPr="0026301A">
        <w:t>s</w:t>
      </w:r>
      <w:r w:rsidR="003E3CBE" w:rsidRPr="0026301A">
        <w:t xml:space="preserve"> </w:t>
      </w:r>
      <w:r w:rsidR="00522A65" w:rsidRPr="0026301A">
        <w:t xml:space="preserve">lower </w:t>
      </w:r>
      <w:r w:rsidR="003E3CBE" w:rsidRPr="0026301A">
        <w:t xml:space="preserve">than the </w:t>
      </w:r>
      <w:r w:rsidR="00780248" w:rsidRPr="0026301A">
        <w:t xml:space="preserve">peak </w:t>
      </w:r>
      <w:r w:rsidR="00E61A09" w:rsidRPr="0026301A">
        <w:t xml:space="preserve">reached in </w:t>
      </w:r>
      <w:r w:rsidR="003E3CBE" w:rsidRPr="0026301A">
        <w:t>202</w:t>
      </w:r>
      <w:r w:rsidR="00522A65" w:rsidRPr="0026301A">
        <w:t>3</w:t>
      </w:r>
      <w:r w:rsidR="003E3CBE" w:rsidRPr="0026301A">
        <w:t xml:space="preserve"> (3</w:t>
      </w:r>
      <w:r w:rsidR="006C6753" w:rsidRPr="0026301A">
        <w:t>6</w:t>
      </w:r>
      <w:r w:rsidR="003E3CBE" w:rsidRPr="0026301A">
        <w:t>%).</w:t>
      </w:r>
      <w:r w:rsidR="007A40C0" w:rsidRPr="0026301A">
        <w:rPr>
          <w:rStyle w:val="FootnoteReference"/>
        </w:rPr>
        <w:footnoteReference w:id="7"/>
      </w:r>
      <w:r w:rsidR="003E3CBE" w:rsidRPr="0026301A">
        <w:t xml:space="preserve"> </w:t>
      </w:r>
    </w:p>
    <w:p w14:paraId="044E6B1A" w14:textId="28F96BCF" w:rsidR="003E3CBE" w:rsidRPr="0026301A" w:rsidRDefault="00CC6A78" w:rsidP="00CC6A78">
      <w:pPr>
        <w:pStyle w:val="Caption"/>
      </w:pPr>
      <w:bookmarkStart w:id="17" w:name="_Ref176192289"/>
      <w:bookmarkStart w:id="18" w:name="_Ref171432224"/>
      <w:bookmarkStart w:id="19" w:name="_Toc211349844"/>
      <w:r w:rsidRPr="0026301A">
        <w:t xml:space="preserve">Figure </w:t>
      </w:r>
      <w:r w:rsidR="003E3CBE" w:rsidRPr="0026301A">
        <w:fldChar w:fldCharType="begin"/>
      </w:r>
      <w:r w:rsidR="003E3CBE" w:rsidRPr="0026301A">
        <w:instrText xml:space="preserve"> SEQ Figure \* ARABIC </w:instrText>
      </w:r>
      <w:r w:rsidR="003E3CBE" w:rsidRPr="0026301A">
        <w:fldChar w:fldCharType="separate"/>
      </w:r>
      <w:r w:rsidR="00FF7A7F">
        <w:rPr>
          <w:noProof/>
        </w:rPr>
        <w:t>1</w:t>
      </w:r>
      <w:r w:rsidR="003E3CBE" w:rsidRPr="0026301A">
        <w:fldChar w:fldCharType="end"/>
      </w:r>
      <w:bookmarkEnd w:id="17"/>
      <w:r w:rsidR="003E3CBE" w:rsidRPr="0026301A">
        <w:t xml:space="preserve">: </w:t>
      </w:r>
      <w:bookmarkEnd w:id="18"/>
      <w:r w:rsidR="003E3CBE" w:rsidRPr="0026301A">
        <w:t xml:space="preserve">Percentage of occupations in </w:t>
      </w:r>
      <w:r w:rsidR="00554B36" w:rsidRPr="0026301A">
        <w:t>s</w:t>
      </w:r>
      <w:r w:rsidR="003E3CBE" w:rsidRPr="0026301A">
        <w:t>hortage (%)</w:t>
      </w:r>
      <w:r w:rsidR="00554B36" w:rsidRPr="0026301A">
        <w:t>,</w:t>
      </w:r>
      <w:r w:rsidR="003E3CBE" w:rsidRPr="0026301A" w:rsidDel="00554B36">
        <w:t xml:space="preserve"> </w:t>
      </w:r>
      <w:r w:rsidR="000C3479" w:rsidRPr="0026301A">
        <w:t>2021 to 2025 OSLs</w:t>
      </w:r>
      <w:r w:rsidR="005C3BEC" w:rsidRPr="0026301A">
        <w:t>, OSCA basis</w:t>
      </w:r>
      <w:bookmarkEnd w:id="19"/>
      <w:r w:rsidR="008F2FC1" w:rsidRPr="0026301A" w:rsidDel="008F2FC1">
        <w:rPr>
          <w:rStyle w:val="FootnoteReference"/>
        </w:rPr>
        <w:t xml:space="preserve"> </w:t>
      </w:r>
    </w:p>
    <w:p w14:paraId="7F3E77CD" w14:textId="12E565BB" w:rsidR="002B0548" w:rsidRPr="0026301A" w:rsidRDefault="00B16EC9" w:rsidP="00A1592D">
      <w:pPr>
        <w:pStyle w:val="Source"/>
      </w:pPr>
      <w:r w:rsidRPr="0026301A">
        <w:rPr>
          <w:noProof/>
        </w:rPr>
        <w:drawing>
          <wp:inline distT="0" distB="0" distL="0" distR="0" wp14:anchorId="5FE8BEDB" wp14:editId="23CD8D9B">
            <wp:extent cx="5732145" cy="2811600"/>
            <wp:effectExtent l="0" t="0" r="1905" b="8255"/>
            <wp:docPr id="265706097" name="Chart 1" descr="Figure 1 shows the percentage of occupations in shortage in 2021-25 OSLs: 29% of occupations in shortage for 2025, 33% for 2024, 36% for 2023, 31% for 2022 and 22% for 2021. ">
              <a:extLst xmlns:a="http://schemas.openxmlformats.org/drawingml/2006/main">
                <a:ext uri="{FF2B5EF4-FFF2-40B4-BE49-F238E27FC236}">
                  <a16:creationId xmlns:a16="http://schemas.microsoft.com/office/drawing/2014/main" id="{873B4F3D-4400-4C8F-8D42-275EE1CBF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E3CBE" w:rsidRPr="0026301A">
        <w:t>Source: Jobs and Skills Australia, O</w:t>
      </w:r>
      <w:r w:rsidR="00FB1FA9" w:rsidRPr="0026301A">
        <w:t>SL</w:t>
      </w:r>
      <w:r w:rsidR="003E3CBE" w:rsidRPr="0026301A">
        <w:t>,</w:t>
      </w:r>
      <w:r w:rsidR="000C3479" w:rsidRPr="0026301A">
        <w:t xml:space="preserve"> 2021</w:t>
      </w:r>
      <w:r w:rsidR="00653578" w:rsidRPr="0026301A">
        <w:t xml:space="preserve"> to </w:t>
      </w:r>
      <w:r w:rsidR="000974F4" w:rsidRPr="0026301A">
        <w:t>20</w:t>
      </w:r>
      <w:r w:rsidR="000C3479" w:rsidRPr="0026301A">
        <w:t>25.</w:t>
      </w:r>
      <w:r w:rsidR="007C67EF" w:rsidRPr="0026301A">
        <w:br/>
      </w:r>
      <w:r w:rsidR="002B0548" w:rsidRPr="0026301A">
        <w:rPr>
          <w:rFonts w:cs="Arial"/>
        </w:rPr>
        <w:t xml:space="preserve">Note: </w:t>
      </w:r>
      <w:r w:rsidR="00B77C9B" w:rsidRPr="0026301A">
        <w:rPr>
          <w:rFonts w:cs="Arial"/>
        </w:rPr>
        <w:t>The figure presents current and past results all on an OSCA basis to support like-for-like comparison.</w:t>
      </w:r>
      <w:r w:rsidR="00B77C9B" w:rsidRPr="0026301A" w:rsidDel="005E04C6">
        <w:rPr>
          <w:rFonts w:cs="Arial"/>
        </w:rPr>
        <w:t xml:space="preserve"> </w:t>
      </w:r>
    </w:p>
    <w:p w14:paraId="066E5629" w14:textId="6D53B3C5" w:rsidR="007A3401" w:rsidRPr="0026301A" w:rsidRDefault="00673090">
      <w:pPr>
        <w:pStyle w:val="BodyText"/>
      </w:pPr>
      <w:r w:rsidRPr="0026301A">
        <w:t xml:space="preserve">In 2025, 29 occupations were newly in </w:t>
      </w:r>
      <w:r w:rsidR="00340DF3" w:rsidRPr="0026301A">
        <w:t>s</w:t>
      </w:r>
      <w:r w:rsidRPr="0026301A">
        <w:t>hortage</w:t>
      </w:r>
      <w:r w:rsidRPr="0026301A" w:rsidDel="00644209">
        <w:t xml:space="preserve"> </w:t>
      </w:r>
      <w:r w:rsidRPr="0026301A">
        <w:t xml:space="preserve">compared to 2024 </w:t>
      </w:r>
      <w:r w:rsidR="00322F44" w:rsidRPr="0026301A">
        <w:t>(</w:t>
      </w:r>
      <w:r w:rsidR="00513130" w:rsidRPr="0026301A">
        <w:fldChar w:fldCharType="begin"/>
      </w:r>
      <w:r w:rsidR="00513130" w:rsidRPr="0026301A">
        <w:instrText xml:space="preserve"> REF _Ref207792591 \h </w:instrText>
      </w:r>
      <w:r w:rsidR="0026301A">
        <w:instrText xml:space="preserve"> \* MERGEFORMAT </w:instrText>
      </w:r>
      <w:r w:rsidR="00513130" w:rsidRPr="0026301A">
        <w:fldChar w:fldCharType="separate"/>
      </w:r>
      <w:r w:rsidR="00FF7A7F" w:rsidRPr="0026301A">
        <w:t xml:space="preserve">Table </w:t>
      </w:r>
      <w:r w:rsidR="00FF7A7F">
        <w:rPr>
          <w:noProof/>
        </w:rPr>
        <w:t>1</w:t>
      </w:r>
      <w:r w:rsidR="00513130" w:rsidRPr="0026301A">
        <w:fldChar w:fldCharType="end"/>
      </w:r>
      <w:r w:rsidR="00E746A9" w:rsidRPr="0026301A">
        <w:t>)</w:t>
      </w:r>
      <w:r w:rsidR="00B5401F" w:rsidRPr="0026301A">
        <w:t>.</w:t>
      </w:r>
      <w:r w:rsidRPr="0026301A">
        <w:t xml:space="preserve"> </w:t>
      </w:r>
      <w:r w:rsidR="00DD6E3F" w:rsidRPr="0026301A">
        <w:t>The</w:t>
      </w:r>
      <w:r w:rsidR="00721A40" w:rsidRPr="0026301A">
        <w:t>se</w:t>
      </w:r>
      <w:r w:rsidR="00DD6E3F" w:rsidRPr="0026301A">
        <w:t xml:space="preserve"> occupations were a</w:t>
      </w:r>
      <w:r w:rsidR="0091257B" w:rsidRPr="0026301A">
        <w:rPr>
          <w:noProof/>
        </w:rPr>
        <w:t xml:space="preserve"> </w:t>
      </w:r>
      <w:r w:rsidR="00DD6E3F" w:rsidRPr="0026301A">
        <w:t xml:space="preserve">mix of </w:t>
      </w:r>
      <w:r w:rsidR="006B60DC" w:rsidRPr="0026301A">
        <w:t xml:space="preserve">roles related to </w:t>
      </w:r>
      <w:r w:rsidR="00DD6E3F" w:rsidRPr="0026301A">
        <w:t>health, s</w:t>
      </w:r>
      <w:r w:rsidR="006B60DC" w:rsidRPr="0026301A">
        <w:t>cience, technicians and trades</w:t>
      </w:r>
      <w:r w:rsidR="00512C10" w:rsidRPr="0026301A">
        <w:t>,</w:t>
      </w:r>
      <w:r w:rsidR="006B60DC" w:rsidRPr="0026301A">
        <w:t xml:space="preserve"> and machinery operators and drivers. </w:t>
      </w:r>
    </w:p>
    <w:p w14:paraId="54645222" w14:textId="511316C2" w:rsidR="00673090" w:rsidRPr="0026301A" w:rsidRDefault="00687FB5" w:rsidP="00687FB5">
      <w:pPr>
        <w:pStyle w:val="Caption"/>
      </w:pPr>
      <w:bookmarkStart w:id="20" w:name="_Ref207792591"/>
      <w:bookmarkStart w:id="21" w:name="_Toc211349855"/>
      <w:r w:rsidRPr="0026301A">
        <w:t xml:space="preserve">Table </w:t>
      </w:r>
      <w:r w:rsidR="00673090" w:rsidRPr="0026301A">
        <w:fldChar w:fldCharType="begin"/>
      </w:r>
      <w:r w:rsidR="00673090" w:rsidRPr="0026301A">
        <w:instrText xml:space="preserve"> SEQ Table \* ARABIC </w:instrText>
      </w:r>
      <w:r w:rsidR="00673090" w:rsidRPr="0026301A">
        <w:fldChar w:fldCharType="separate"/>
      </w:r>
      <w:r w:rsidR="00FF7A7F">
        <w:rPr>
          <w:noProof/>
        </w:rPr>
        <w:t>1</w:t>
      </w:r>
      <w:r w:rsidR="00673090" w:rsidRPr="0026301A">
        <w:fldChar w:fldCharType="end"/>
      </w:r>
      <w:bookmarkEnd w:id="20"/>
      <w:r w:rsidR="00673090" w:rsidRPr="0026301A">
        <w:t>: Summary of occupation rating change</w:t>
      </w:r>
      <w:r w:rsidR="0057407E" w:rsidRPr="0026301A">
        <w:t xml:space="preserve"> </w:t>
      </w:r>
      <w:r w:rsidR="00673090" w:rsidRPr="0026301A">
        <w:t>between 2024 and 2025 OSLs</w:t>
      </w:r>
      <w:r w:rsidR="005C3BEC" w:rsidRPr="0026301A">
        <w:t>, OSCA basis</w:t>
      </w:r>
      <w:bookmarkEnd w:id="21"/>
    </w:p>
    <w:tbl>
      <w:tblPr>
        <w:tblStyle w:val="CustomTablebasic"/>
        <w:tblW w:w="5000" w:type="pct"/>
        <w:tblLook w:val="0020" w:firstRow="1" w:lastRow="0" w:firstColumn="0" w:lastColumn="0" w:noHBand="0" w:noVBand="0"/>
      </w:tblPr>
      <w:tblGrid>
        <w:gridCol w:w="4635"/>
        <w:gridCol w:w="2280"/>
        <w:gridCol w:w="2112"/>
      </w:tblGrid>
      <w:tr w:rsidR="007972FF" w:rsidRPr="0026301A" w14:paraId="08841F6D" w14:textId="77777777" w:rsidTr="00DB0678">
        <w:trPr>
          <w:cnfStyle w:val="100000000000" w:firstRow="1" w:lastRow="0" w:firstColumn="0" w:lastColumn="0" w:oddVBand="0" w:evenVBand="0" w:oddHBand="0" w:evenHBand="0" w:firstRowFirstColumn="0" w:firstRowLastColumn="0" w:lastRowFirstColumn="0" w:lastRowLastColumn="0"/>
        </w:trPr>
        <w:tc>
          <w:tcPr>
            <w:tcW w:w="2567" w:type="pct"/>
          </w:tcPr>
          <w:p w14:paraId="27AFBBE5" w14:textId="77777777" w:rsidR="00673090" w:rsidRPr="0026301A" w:rsidRDefault="00673090" w:rsidP="00673090">
            <w:pPr>
              <w:pStyle w:val="TableHeading1"/>
            </w:pPr>
            <w:r w:rsidRPr="0026301A">
              <w:t>Change from 2024 to 2025</w:t>
            </w:r>
          </w:p>
        </w:tc>
        <w:tc>
          <w:tcPr>
            <w:tcW w:w="1263" w:type="pct"/>
          </w:tcPr>
          <w:p w14:paraId="1BC7F5FE" w14:textId="77777777" w:rsidR="00673090" w:rsidRPr="0026301A" w:rsidRDefault="00673090" w:rsidP="00673090">
            <w:pPr>
              <w:pStyle w:val="TableHeading1"/>
            </w:pPr>
            <w:r w:rsidRPr="0026301A">
              <w:t>Occupations (No.)</w:t>
            </w:r>
          </w:p>
        </w:tc>
        <w:tc>
          <w:tcPr>
            <w:tcW w:w="1170" w:type="pct"/>
          </w:tcPr>
          <w:p w14:paraId="6134D4C8" w14:textId="77777777" w:rsidR="00673090" w:rsidRPr="0026301A" w:rsidRDefault="00673090" w:rsidP="00673090">
            <w:pPr>
              <w:pStyle w:val="TableHeading1"/>
            </w:pPr>
            <w:r w:rsidRPr="0026301A">
              <w:t>Occupations (%)</w:t>
            </w:r>
          </w:p>
        </w:tc>
      </w:tr>
      <w:tr w:rsidR="00673090" w:rsidRPr="0026301A" w14:paraId="1BAF08BC" w14:textId="77777777" w:rsidTr="00DB0678">
        <w:tc>
          <w:tcPr>
            <w:tcW w:w="2567" w:type="pct"/>
          </w:tcPr>
          <w:p w14:paraId="57A14C3A" w14:textId="1AC6A770" w:rsidR="00673090" w:rsidRPr="0026301A" w:rsidRDefault="00673090" w:rsidP="00673090">
            <w:pPr>
              <w:pStyle w:val="TableBodyText"/>
            </w:pPr>
            <w:r w:rsidRPr="0026301A">
              <w:t xml:space="preserve">Still in </w:t>
            </w:r>
            <w:r w:rsidR="00C11259" w:rsidRPr="0026301A">
              <w:t>s</w:t>
            </w:r>
            <w:r w:rsidRPr="0026301A">
              <w:t>hortage</w:t>
            </w:r>
          </w:p>
        </w:tc>
        <w:tc>
          <w:tcPr>
            <w:tcW w:w="1263" w:type="pct"/>
            <w:vAlign w:val="bottom"/>
          </w:tcPr>
          <w:p w14:paraId="61F61EBE" w14:textId="77777777" w:rsidR="00673090" w:rsidRPr="0026301A" w:rsidRDefault="00673090" w:rsidP="00192924">
            <w:pPr>
              <w:pStyle w:val="TableBodyTextright"/>
            </w:pPr>
            <w:r w:rsidRPr="0026301A">
              <w:t>264</w:t>
            </w:r>
          </w:p>
        </w:tc>
        <w:tc>
          <w:tcPr>
            <w:tcW w:w="1170" w:type="pct"/>
            <w:vAlign w:val="bottom"/>
          </w:tcPr>
          <w:p w14:paraId="3A06386A" w14:textId="77777777" w:rsidR="00673090" w:rsidRPr="0026301A" w:rsidRDefault="00673090" w:rsidP="00192924">
            <w:pPr>
              <w:pStyle w:val="TableBodyTextright"/>
            </w:pPr>
            <w:r w:rsidRPr="0026301A">
              <w:t>26%</w:t>
            </w:r>
          </w:p>
        </w:tc>
      </w:tr>
      <w:tr w:rsidR="00426851" w:rsidRPr="0026301A" w14:paraId="37B1543D"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24EEE00D" w14:textId="61F77DC9" w:rsidR="00673090" w:rsidRPr="0026301A" w:rsidRDefault="00673090" w:rsidP="00673090">
            <w:pPr>
              <w:pStyle w:val="TableBodyText"/>
            </w:pPr>
            <w:r w:rsidRPr="0026301A">
              <w:t xml:space="preserve">No </w:t>
            </w:r>
            <w:r w:rsidR="00C11259" w:rsidRPr="0026301A">
              <w:t>s</w:t>
            </w:r>
            <w:r w:rsidRPr="0026301A">
              <w:t xml:space="preserve">hortage (2024) to </w:t>
            </w:r>
            <w:r w:rsidR="00C11259" w:rsidRPr="0026301A">
              <w:t>s</w:t>
            </w:r>
            <w:r w:rsidRPr="0026301A">
              <w:t>hortage (2025)</w:t>
            </w:r>
          </w:p>
        </w:tc>
        <w:tc>
          <w:tcPr>
            <w:tcW w:w="1263" w:type="pct"/>
            <w:vAlign w:val="center"/>
          </w:tcPr>
          <w:p w14:paraId="7B161EB2" w14:textId="77777777" w:rsidR="00673090" w:rsidRPr="0026301A" w:rsidRDefault="00673090" w:rsidP="00192924">
            <w:pPr>
              <w:pStyle w:val="TableBodyTextright"/>
            </w:pPr>
            <w:r w:rsidRPr="0026301A">
              <w:t>29</w:t>
            </w:r>
          </w:p>
        </w:tc>
        <w:tc>
          <w:tcPr>
            <w:tcW w:w="1170" w:type="pct"/>
            <w:vAlign w:val="center"/>
          </w:tcPr>
          <w:p w14:paraId="1AA499EA" w14:textId="77777777" w:rsidR="00673090" w:rsidRPr="0026301A" w:rsidRDefault="00673090" w:rsidP="00192924">
            <w:pPr>
              <w:pStyle w:val="TableBodyTextright"/>
            </w:pPr>
            <w:r w:rsidRPr="0026301A">
              <w:t>3%</w:t>
            </w:r>
          </w:p>
        </w:tc>
      </w:tr>
      <w:tr w:rsidR="00673090" w:rsidRPr="0026301A" w14:paraId="30A45D1B" w14:textId="77777777" w:rsidTr="00DB0678">
        <w:tc>
          <w:tcPr>
            <w:tcW w:w="2567" w:type="pct"/>
          </w:tcPr>
          <w:p w14:paraId="28F984C6" w14:textId="2EC11251" w:rsidR="00673090" w:rsidRPr="0026301A" w:rsidRDefault="00673090" w:rsidP="00673090">
            <w:pPr>
              <w:pStyle w:val="TableBodyText"/>
            </w:pPr>
            <w:r w:rsidRPr="0026301A">
              <w:t xml:space="preserve">Shortage (2024) to </w:t>
            </w:r>
            <w:r w:rsidR="00FB1FA9" w:rsidRPr="0026301A">
              <w:t>n</w:t>
            </w:r>
            <w:r w:rsidRPr="0026301A">
              <w:t xml:space="preserve">o </w:t>
            </w:r>
            <w:r w:rsidR="00C11259" w:rsidRPr="0026301A">
              <w:t>s</w:t>
            </w:r>
            <w:r w:rsidRPr="0026301A">
              <w:t>hortage (2025)</w:t>
            </w:r>
          </w:p>
        </w:tc>
        <w:tc>
          <w:tcPr>
            <w:tcW w:w="1263" w:type="pct"/>
            <w:vAlign w:val="bottom"/>
          </w:tcPr>
          <w:p w14:paraId="076766E4" w14:textId="77777777" w:rsidR="00673090" w:rsidRPr="0026301A" w:rsidRDefault="00673090" w:rsidP="00192924">
            <w:pPr>
              <w:pStyle w:val="TableBodyTextright"/>
            </w:pPr>
            <w:r w:rsidRPr="0026301A">
              <w:t>69</w:t>
            </w:r>
          </w:p>
        </w:tc>
        <w:tc>
          <w:tcPr>
            <w:tcW w:w="1170" w:type="pct"/>
            <w:vAlign w:val="bottom"/>
          </w:tcPr>
          <w:p w14:paraId="24E2ECD5" w14:textId="77777777" w:rsidR="00673090" w:rsidRPr="0026301A" w:rsidRDefault="00673090" w:rsidP="00192924">
            <w:pPr>
              <w:pStyle w:val="TableBodyTextright"/>
            </w:pPr>
            <w:r w:rsidRPr="0026301A">
              <w:t>7%</w:t>
            </w:r>
          </w:p>
        </w:tc>
      </w:tr>
      <w:tr w:rsidR="00426851" w:rsidRPr="0026301A" w14:paraId="0EC9D590"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2C94915A" w14:textId="7FFBC001" w:rsidR="00673090" w:rsidRPr="0026301A" w:rsidRDefault="00673090" w:rsidP="00673090">
            <w:pPr>
              <w:pStyle w:val="TableBodyText"/>
            </w:pPr>
            <w:r w:rsidRPr="0026301A">
              <w:t xml:space="preserve">Still in </w:t>
            </w:r>
            <w:r w:rsidR="00C11259" w:rsidRPr="0026301A">
              <w:t>n</w:t>
            </w:r>
            <w:r w:rsidRPr="0026301A">
              <w:t xml:space="preserve">o </w:t>
            </w:r>
            <w:r w:rsidR="00C11259" w:rsidRPr="0026301A">
              <w:t>s</w:t>
            </w:r>
            <w:r w:rsidRPr="0026301A">
              <w:t>hortage</w:t>
            </w:r>
          </w:p>
        </w:tc>
        <w:tc>
          <w:tcPr>
            <w:tcW w:w="1263" w:type="pct"/>
            <w:vAlign w:val="center"/>
          </w:tcPr>
          <w:p w14:paraId="5A98FA8B" w14:textId="77777777" w:rsidR="00673090" w:rsidRPr="0026301A" w:rsidRDefault="00673090" w:rsidP="00192924">
            <w:pPr>
              <w:pStyle w:val="TableBodyTextright"/>
            </w:pPr>
            <w:r w:rsidRPr="0026301A">
              <w:t>660</w:t>
            </w:r>
          </w:p>
        </w:tc>
        <w:tc>
          <w:tcPr>
            <w:tcW w:w="1170" w:type="pct"/>
            <w:vAlign w:val="center"/>
          </w:tcPr>
          <w:p w14:paraId="39D07FF6" w14:textId="77777777" w:rsidR="00673090" w:rsidRPr="0026301A" w:rsidRDefault="00673090" w:rsidP="00192924">
            <w:pPr>
              <w:pStyle w:val="TableBodyTextright"/>
            </w:pPr>
            <w:r w:rsidRPr="0026301A">
              <w:t>65%</w:t>
            </w:r>
          </w:p>
        </w:tc>
      </w:tr>
      <w:tr w:rsidR="00673090" w:rsidRPr="0026301A" w14:paraId="28197DF6" w14:textId="77777777" w:rsidTr="00DB0678">
        <w:tc>
          <w:tcPr>
            <w:tcW w:w="2567" w:type="pct"/>
          </w:tcPr>
          <w:p w14:paraId="7012BCF1" w14:textId="77777777" w:rsidR="00673090" w:rsidRPr="0026301A" w:rsidRDefault="00673090" w:rsidP="00673090">
            <w:pPr>
              <w:pStyle w:val="TableBodyText"/>
            </w:pPr>
            <w:r w:rsidRPr="0026301A">
              <w:t>All occupations</w:t>
            </w:r>
          </w:p>
        </w:tc>
        <w:tc>
          <w:tcPr>
            <w:tcW w:w="1263" w:type="pct"/>
            <w:vAlign w:val="bottom"/>
          </w:tcPr>
          <w:p w14:paraId="19E75C45" w14:textId="1718FE4F" w:rsidR="00673090" w:rsidRPr="0026301A" w:rsidRDefault="00673090" w:rsidP="00192924">
            <w:pPr>
              <w:pStyle w:val="TableBodyTextright"/>
            </w:pPr>
            <w:r w:rsidRPr="0026301A">
              <w:t>1</w:t>
            </w:r>
            <w:r w:rsidR="009C2AE9" w:rsidRPr="0026301A">
              <w:t>,</w:t>
            </w:r>
            <w:r w:rsidRPr="0026301A">
              <w:t>022</w:t>
            </w:r>
          </w:p>
        </w:tc>
        <w:tc>
          <w:tcPr>
            <w:tcW w:w="1170" w:type="pct"/>
            <w:vAlign w:val="bottom"/>
          </w:tcPr>
          <w:p w14:paraId="5BCB7A23" w14:textId="77777777" w:rsidR="00673090" w:rsidRPr="0026301A" w:rsidRDefault="00673090" w:rsidP="00192924">
            <w:pPr>
              <w:pStyle w:val="TableBodyTextright"/>
            </w:pPr>
            <w:r w:rsidRPr="0026301A">
              <w:t>100%</w:t>
            </w:r>
          </w:p>
        </w:tc>
      </w:tr>
    </w:tbl>
    <w:p w14:paraId="071712E4" w14:textId="66D1B590" w:rsidR="002B0548" w:rsidRPr="0026301A" w:rsidRDefault="00673090" w:rsidP="00A1592D">
      <w:pPr>
        <w:pStyle w:val="Source"/>
      </w:pPr>
      <w:r w:rsidRPr="0026301A">
        <w:t>Source: Jobs and Skills Australia, O</w:t>
      </w:r>
      <w:r w:rsidR="00FB1FA9" w:rsidRPr="0026301A">
        <w:t>SL</w:t>
      </w:r>
      <w:r w:rsidRPr="0026301A">
        <w:t>, 2024</w:t>
      </w:r>
      <w:r w:rsidR="00CA590E" w:rsidRPr="0026301A">
        <w:t xml:space="preserve"> to </w:t>
      </w:r>
      <w:r w:rsidRPr="0026301A">
        <w:t>2025.</w:t>
      </w:r>
      <w:r w:rsidR="003F22B2" w:rsidRPr="0026301A">
        <w:br/>
      </w:r>
      <w:r w:rsidR="002B0548" w:rsidRPr="0026301A">
        <w:rPr>
          <w:rFonts w:cs="Arial"/>
        </w:rPr>
        <w:t xml:space="preserve">Note: The table presents </w:t>
      </w:r>
      <w:r w:rsidR="005E04C6" w:rsidRPr="0026301A">
        <w:rPr>
          <w:rFonts w:cs="Arial"/>
        </w:rPr>
        <w:t>current and past results all on an OSCA basis</w:t>
      </w:r>
      <w:r w:rsidR="00B77C9B" w:rsidRPr="0026301A">
        <w:rPr>
          <w:rFonts w:cs="Arial"/>
        </w:rPr>
        <w:t xml:space="preserve"> to support like-for-like comparison. </w:t>
      </w:r>
    </w:p>
    <w:p w14:paraId="3C43FDFF" w14:textId="213F2159" w:rsidR="00257499" w:rsidRPr="0026301A" w:rsidRDefault="005C57E4" w:rsidP="00192924">
      <w:pPr>
        <w:pStyle w:val="BodyText"/>
      </w:pPr>
      <w:r w:rsidRPr="0026301A">
        <w:lastRenderedPageBreak/>
        <w:t xml:space="preserve">In </w:t>
      </w:r>
      <w:r w:rsidR="00CD1DA7" w:rsidRPr="0026301A">
        <w:t xml:space="preserve">the </w:t>
      </w:r>
      <w:r w:rsidRPr="0026301A">
        <w:t xml:space="preserve">opposite direction, 69 occupations </w:t>
      </w:r>
      <w:r w:rsidR="00512C10" w:rsidRPr="0026301A">
        <w:t>changed</w:t>
      </w:r>
      <w:r w:rsidRPr="0026301A">
        <w:t xml:space="preserve"> from </w:t>
      </w:r>
      <w:r w:rsidR="00512C10" w:rsidRPr="0026301A">
        <w:t xml:space="preserve">a </w:t>
      </w:r>
      <w:r w:rsidRPr="0026301A">
        <w:t xml:space="preserve">shortage in 2024 to no shortage in 2025. </w:t>
      </w:r>
      <w:bookmarkStart w:id="22" w:name="_Hlk211247225"/>
      <w:r w:rsidRPr="0026301A">
        <w:t xml:space="preserve">Among the 69, 31 occupations were from the Professionals major group, with a cluster of </w:t>
      </w:r>
      <w:r w:rsidR="008F5161" w:rsidRPr="0026301A">
        <w:t xml:space="preserve">business, </w:t>
      </w:r>
      <w:r w:rsidRPr="0026301A">
        <w:t>finance</w:t>
      </w:r>
      <w:r w:rsidR="008F5161" w:rsidRPr="0026301A">
        <w:t xml:space="preserve">, engineering </w:t>
      </w:r>
      <w:r w:rsidRPr="0026301A">
        <w:t xml:space="preserve">and ICT roles. </w:t>
      </w:r>
      <w:bookmarkEnd w:id="22"/>
    </w:p>
    <w:p w14:paraId="2A4011BA" w14:textId="733970CB" w:rsidR="005C57E4" w:rsidRPr="0026301A" w:rsidRDefault="0091749D" w:rsidP="005C57E4">
      <w:pPr>
        <w:pStyle w:val="BodyText"/>
      </w:pPr>
      <w:r w:rsidRPr="0026301A">
        <w:t>The results for these roles are consistent with various sectors in the labour market that are integrating artificial intelligence technology. The finance and technology sectors, especially, have been more progressed in digital skills development, including generative AI tools, with emphasis on ensuring workers can effectively operate in AI-augmented roles</w:t>
      </w:r>
      <w:r w:rsidR="005C57E4" w:rsidRPr="0026301A">
        <w:t>.</w:t>
      </w:r>
      <w:r w:rsidR="005C57E4" w:rsidRPr="0026301A">
        <w:rPr>
          <w:rStyle w:val="FootnoteReference"/>
        </w:rPr>
        <w:footnoteReference w:id="8"/>
      </w:r>
    </w:p>
    <w:p w14:paraId="4B2A64E4" w14:textId="09D70264" w:rsidR="00673090" w:rsidRPr="0026301A" w:rsidRDefault="00464DEC" w:rsidP="00192924">
      <w:pPr>
        <w:pStyle w:val="BodyText"/>
      </w:pPr>
      <w:r w:rsidRPr="0026301A">
        <w:t xml:space="preserve">Just over a quarter </w:t>
      </w:r>
      <w:r w:rsidR="005F6F3A" w:rsidRPr="0026301A">
        <w:t xml:space="preserve">of occupations </w:t>
      </w:r>
      <w:r w:rsidRPr="0026301A">
        <w:t>(</w:t>
      </w:r>
      <w:r w:rsidR="00673090" w:rsidRPr="0026301A">
        <w:t>26%</w:t>
      </w:r>
      <w:r w:rsidRPr="0026301A">
        <w:t xml:space="preserve"> or 264)</w:t>
      </w:r>
      <w:r w:rsidR="00673090" w:rsidRPr="0026301A">
        <w:t xml:space="preserve"> were in </w:t>
      </w:r>
      <w:r w:rsidR="005F6F3A" w:rsidRPr="0026301A">
        <w:t>s</w:t>
      </w:r>
      <w:r w:rsidR="00673090" w:rsidRPr="0026301A">
        <w:t>hortage in both 2024 and 2025:</w:t>
      </w:r>
    </w:p>
    <w:p w14:paraId="346D5346" w14:textId="684D65EB" w:rsidR="00673090" w:rsidRPr="0026301A" w:rsidRDefault="00C47AE7" w:rsidP="00673090">
      <w:pPr>
        <w:pStyle w:val="ListBullet"/>
        <w:numPr>
          <w:ilvl w:val="0"/>
          <w:numId w:val="4"/>
        </w:numPr>
      </w:pPr>
      <w:r w:rsidRPr="0026301A">
        <w:t xml:space="preserve">Almost half </w:t>
      </w:r>
      <w:r w:rsidR="00673090" w:rsidRPr="0026301A">
        <w:t>(</w:t>
      </w:r>
      <w:r w:rsidR="00551E89" w:rsidRPr="0026301A">
        <w:t xml:space="preserve">46% or </w:t>
      </w:r>
      <w:r w:rsidR="00673090" w:rsidRPr="0026301A">
        <w:t xml:space="preserve">122) were Professionals </w:t>
      </w:r>
      <w:r w:rsidR="00DE6FAB" w:rsidRPr="0026301A">
        <w:t>occupations</w:t>
      </w:r>
      <w:r w:rsidR="00FA3D90" w:rsidRPr="0026301A">
        <w:t>,</w:t>
      </w:r>
      <w:r w:rsidR="00DE6FAB" w:rsidRPr="0026301A">
        <w:t xml:space="preserve"> with </w:t>
      </w:r>
      <w:r w:rsidR="00B93CC1" w:rsidRPr="0026301A">
        <w:t xml:space="preserve">many </w:t>
      </w:r>
      <w:r w:rsidR="00C014B5" w:rsidRPr="0026301A">
        <w:t xml:space="preserve">in </w:t>
      </w:r>
      <w:r w:rsidR="00673090" w:rsidRPr="0026301A">
        <w:t>health</w:t>
      </w:r>
      <w:r w:rsidR="00B275D3" w:rsidRPr="0026301A">
        <w:t xml:space="preserve">, </w:t>
      </w:r>
      <w:r w:rsidR="00DA1652" w:rsidRPr="0026301A">
        <w:t>education</w:t>
      </w:r>
      <w:r w:rsidR="00B275D3" w:rsidRPr="0026301A">
        <w:t>,</w:t>
      </w:r>
      <w:r w:rsidR="007368F2" w:rsidRPr="0026301A">
        <w:t xml:space="preserve"> </w:t>
      </w:r>
      <w:r w:rsidR="003D5B65" w:rsidRPr="0026301A">
        <w:t>engineering,</w:t>
      </w:r>
      <w:r w:rsidR="003905AB" w:rsidRPr="0026301A">
        <w:t xml:space="preserve"> and science.</w:t>
      </w:r>
      <w:r w:rsidR="00BA2813" w:rsidRPr="0026301A">
        <w:rPr>
          <w:rStyle w:val="FootnoteReference"/>
        </w:rPr>
        <w:footnoteReference w:id="9"/>
      </w:r>
      <w:r w:rsidR="003905AB" w:rsidRPr="0026301A">
        <w:t xml:space="preserve"> </w:t>
      </w:r>
    </w:p>
    <w:p w14:paraId="6120731A" w14:textId="7AD26C47" w:rsidR="00673090" w:rsidRPr="0026301A" w:rsidRDefault="00673090" w:rsidP="00673090">
      <w:pPr>
        <w:pStyle w:val="ListBullet"/>
        <w:numPr>
          <w:ilvl w:val="0"/>
          <w:numId w:val="4"/>
        </w:numPr>
      </w:pPr>
      <w:r w:rsidRPr="0026301A">
        <w:t>A</w:t>
      </w:r>
      <w:r w:rsidR="0011542B" w:rsidRPr="0026301A">
        <w:t>bout 2 in 5 (</w:t>
      </w:r>
      <w:r w:rsidRPr="0026301A">
        <w:t>38%</w:t>
      </w:r>
      <w:r w:rsidR="0011542B" w:rsidRPr="0026301A">
        <w:t xml:space="preserve"> or 99</w:t>
      </w:r>
      <w:r w:rsidRPr="0026301A">
        <w:t xml:space="preserve">) were Technicians and Trades Workers </w:t>
      </w:r>
      <w:r w:rsidR="00DE6FAB" w:rsidRPr="0026301A">
        <w:t>occupations</w:t>
      </w:r>
      <w:r w:rsidR="00BA7908" w:rsidRPr="0026301A">
        <w:t xml:space="preserve"> with</w:t>
      </w:r>
      <w:r w:rsidRPr="0026301A">
        <w:t xml:space="preserve"> </w:t>
      </w:r>
      <w:r w:rsidR="00BA7908" w:rsidRPr="0026301A">
        <w:t>a</w:t>
      </w:r>
      <w:r w:rsidR="00EA3110" w:rsidRPr="0026301A">
        <w:t xml:space="preserve"> lot </w:t>
      </w:r>
      <w:r w:rsidR="00BA7908" w:rsidRPr="0026301A">
        <w:t xml:space="preserve">from </w:t>
      </w:r>
      <w:r w:rsidR="008C6E29" w:rsidRPr="0026301A">
        <w:t xml:space="preserve">construction trades </w:t>
      </w:r>
      <w:r w:rsidR="00BA7908" w:rsidRPr="0026301A">
        <w:t>workers</w:t>
      </w:r>
      <w:r w:rsidR="00AF1966" w:rsidRPr="0026301A">
        <w:t xml:space="preserve"> and those </w:t>
      </w:r>
      <w:r w:rsidR="00EE2176" w:rsidRPr="0026301A">
        <w:t>important</w:t>
      </w:r>
      <w:r w:rsidR="00AF1966" w:rsidRPr="0026301A">
        <w:t xml:space="preserve"> to clean energy transition</w:t>
      </w:r>
      <w:r w:rsidR="00BA7908" w:rsidRPr="0026301A">
        <w:t>.</w:t>
      </w:r>
    </w:p>
    <w:p w14:paraId="34ECA202" w14:textId="37D57E9B" w:rsidR="00673090" w:rsidRPr="0026301A" w:rsidRDefault="00673090" w:rsidP="00673090">
      <w:pPr>
        <w:pStyle w:val="ListBullet"/>
        <w:numPr>
          <w:ilvl w:val="0"/>
          <w:numId w:val="4"/>
        </w:numPr>
      </w:pPr>
      <w:r w:rsidRPr="0026301A">
        <w:t xml:space="preserve">Most of the remaining 43 occupations </w:t>
      </w:r>
      <w:r w:rsidR="00B3428B" w:rsidRPr="0026301A">
        <w:t xml:space="preserve">were from </w:t>
      </w:r>
      <w:r w:rsidRPr="0026301A">
        <w:t>Community and Personal Service Workers, and Machinery Operators and Drivers.</w:t>
      </w:r>
      <w:r w:rsidR="007B2AFE" w:rsidRPr="0026301A">
        <w:t xml:space="preserve"> </w:t>
      </w:r>
      <w:r w:rsidR="002852FA" w:rsidRPr="0026301A">
        <w:t>The</w:t>
      </w:r>
      <w:r w:rsidR="00EB6E23" w:rsidRPr="0026301A">
        <w:t>se</w:t>
      </w:r>
      <w:r w:rsidR="007B2AFE" w:rsidRPr="0026301A">
        <w:t xml:space="preserve"> included</w:t>
      </w:r>
      <w:r w:rsidR="00EE2176" w:rsidRPr="0026301A">
        <w:t xml:space="preserve"> </w:t>
      </w:r>
      <w:r w:rsidR="007B2AFE" w:rsidRPr="0026301A">
        <w:t>v</w:t>
      </w:r>
      <w:r w:rsidR="00DD0A83" w:rsidRPr="0026301A">
        <w:t xml:space="preserve">arious care roles </w:t>
      </w:r>
      <w:r w:rsidR="007B2AFE" w:rsidRPr="0026301A">
        <w:t xml:space="preserve">and occupations in construction from </w:t>
      </w:r>
      <w:r w:rsidR="00796B16" w:rsidRPr="0026301A">
        <w:t>these</w:t>
      </w:r>
      <w:r w:rsidR="007B2AFE" w:rsidRPr="0026301A">
        <w:t xml:space="preserve"> respective major groups</w:t>
      </w:r>
      <w:r w:rsidR="00117BC1" w:rsidRPr="0026301A">
        <w:t>.</w:t>
      </w:r>
    </w:p>
    <w:p w14:paraId="11F4F669" w14:textId="6D713A20" w:rsidR="00087239" w:rsidRPr="0026301A" w:rsidRDefault="00087239" w:rsidP="00087239">
      <w:pPr>
        <w:pStyle w:val="BodyText"/>
      </w:pPr>
      <w:r w:rsidRPr="0026301A">
        <w:fldChar w:fldCharType="begin"/>
      </w:r>
      <w:r w:rsidRPr="0026301A">
        <w:instrText xml:space="preserve"> REF _Ref207792693 \h </w:instrText>
      </w:r>
      <w:r w:rsidR="0026301A">
        <w:instrText xml:space="preserve"> \* MERGEFORMAT </w:instrText>
      </w:r>
      <w:r w:rsidRPr="0026301A">
        <w:fldChar w:fldCharType="separate"/>
      </w:r>
      <w:r w:rsidR="00FF7A7F" w:rsidRPr="0026301A">
        <w:t xml:space="preserve">Table </w:t>
      </w:r>
      <w:r w:rsidR="00FF7A7F">
        <w:rPr>
          <w:noProof/>
        </w:rPr>
        <w:t>2</w:t>
      </w:r>
      <w:r w:rsidRPr="0026301A">
        <w:fldChar w:fldCharType="end"/>
      </w:r>
      <w:r w:rsidRPr="0026301A">
        <w:t xml:space="preserve"> shows that there were 1</w:t>
      </w:r>
      <w:r w:rsidR="00A22B3E" w:rsidRPr="0026301A">
        <w:t>39</w:t>
      </w:r>
      <w:r w:rsidRPr="0026301A">
        <w:t xml:space="preserve"> occupations in persistent shortage from 2021 to 2025.</w:t>
      </w:r>
      <w:r w:rsidRPr="0026301A">
        <w:rPr>
          <w:rStyle w:val="FootnoteReference"/>
        </w:rPr>
        <w:t xml:space="preserve"> </w:t>
      </w:r>
      <w:r w:rsidRPr="0026301A">
        <w:rPr>
          <w:rStyle w:val="FootnoteReference"/>
        </w:rPr>
        <w:footnoteReference w:id="10"/>
      </w:r>
    </w:p>
    <w:p w14:paraId="01E9ECBD" w14:textId="73AF6082" w:rsidR="00673090" w:rsidRPr="0026301A" w:rsidRDefault="00673090" w:rsidP="00673090">
      <w:pPr>
        <w:pStyle w:val="Caption"/>
      </w:pPr>
      <w:bookmarkStart w:id="23" w:name="_Ref207792693"/>
      <w:bookmarkStart w:id="24" w:name="_Toc211349856"/>
      <w:r w:rsidRPr="0026301A">
        <w:t xml:space="preserve">Table </w:t>
      </w:r>
      <w:r w:rsidRPr="0026301A">
        <w:fldChar w:fldCharType="begin"/>
      </w:r>
      <w:r w:rsidRPr="0026301A">
        <w:instrText xml:space="preserve"> SEQ Table \* ARABIC </w:instrText>
      </w:r>
      <w:r w:rsidRPr="0026301A">
        <w:fldChar w:fldCharType="separate"/>
      </w:r>
      <w:r w:rsidR="00FF7A7F">
        <w:rPr>
          <w:noProof/>
        </w:rPr>
        <w:t>2</w:t>
      </w:r>
      <w:r w:rsidRPr="0026301A">
        <w:fldChar w:fldCharType="end"/>
      </w:r>
      <w:bookmarkEnd w:id="23"/>
      <w:r w:rsidRPr="0026301A">
        <w:t xml:space="preserve">: </w:t>
      </w:r>
      <w:r w:rsidR="005277E4" w:rsidRPr="0026301A">
        <w:t>N</w:t>
      </w:r>
      <w:r w:rsidR="00D27A67" w:rsidRPr="0026301A">
        <w:t xml:space="preserve">umber of occupations </w:t>
      </w:r>
      <w:r w:rsidRPr="0026301A">
        <w:t xml:space="preserve">in persistent </w:t>
      </w:r>
      <w:r w:rsidR="00D27A67" w:rsidRPr="0026301A">
        <w:t>s</w:t>
      </w:r>
      <w:r w:rsidRPr="0026301A">
        <w:t>hortage</w:t>
      </w:r>
      <w:r w:rsidR="00D27A67" w:rsidRPr="0026301A">
        <w:t>,</w:t>
      </w:r>
      <w:r w:rsidRPr="0026301A">
        <w:t xml:space="preserve"> </w:t>
      </w:r>
      <w:r w:rsidR="005277E4" w:rsidRPr="0026301A">
        <w:t xml:space="preserve">by major group, </w:t>
      </w:r>
      <w:r w:rsidRPr="0026301A">
        <w:t>2021</w:t>
      </w:r>
      <w:r w:rsidR="00653578" w:rsidRPr="0026301A">
        <w:t xml:space="preserve"> to </w:t>
      </w:r>
      <w:r w:rsidRPr="0026301A">
        <w:t>2025 OSLs</w:t>
      </w:r>
      <w:r w:rsidR="005C3BEC" w:rsidRPr="0026301A">
        <w:t>, OSCA basis</w:t>
      </w:r>
      <w:bookmarkEnd w:id="24"/>
    </w:p>
    <w:tbl>
      <w:tblPr>
        <w:tblStyle w:val="CustomTablebasic"/>
        <w:tblW w:w="5000" w:type="pct"/>
        <w:tblLook w:val="0020" w:firstRow="1" w:lastRow="0" w:firstColumn="0" w:lastColumn="0" w:noHBand="0" w:noVBand="0"/>
      </w:tblPr>
      <w:tblGrid>
        <w:gridCol w:w="4860"/>
        <w:gridCol w:w="2163"/>
        <w:gridCol w:w="2004"/>
      </w:tblGrid>
      <w:tr w:rsidR="007972FF" w:rsidRPr="0026301A" w14:paraId="3A1AF6DF" w14:textId="77777777" w:rsidTr="00DB0678">
        <w:trPr>
          <w:cnfStyle w:val="100000000000" w:firstRow="1" w:lastRow="0" w:firstColumn="0" w:lastColumn="0" w:oddVBand="0" w:evenVBand="0" w:oddHBand="0" w:evenHBand="0" w:firstRowFirstColumn="0" w:firstRowLastColumn="0" w:lastRowFirstColumn="0" w:lastRowLastColumn="0"/>
        </w:trPr>
        <w:tc>
          <w:tcPr>
            <w:tcW w:w="2692" w:type="pct"/>
          </w:tcPr>
          <w:p w14:paraId="062BCE21" w14:textId="4ECFF4C4" w:rsidR="00673090" w:rsidRPr="0026301A" w:rsidRDefault="00673090" w:rsidP="00673090">
            <w:pPr>
              <w:pStyle w:val="TableHeading1"/>
            </w:pPr>
            <w:r w:rsidRPr="0026301A">
              <w:t xml:space="preserve">In </w:t>
            </w:r>
            <w:r w:rsidR="00C11259" w:rsidRPr="0026301A">
              <w:t>s</w:t>
            </w:r>
            <w:r w:rsidRPr="0026301A">
              <w:t>hortage from 2021 to 2025</w:t>
            </w:r>
          </w:p>
        </w:tc>
        <w:tc>
          <w:tcPr>
            <w:tcW w:w="1198" w:type="pct"/>
          </w:tcPr>
          <w:p w14:paraId="598F75B2" w14:textId="77777777" w:rsidR="00673090" w:rsidRPr="0026301A" w:rsidRDefault="00673090" w:rsidP="00673090">
            <w:pPr>
              <w:pStyle w:val="TableHeading1"/>
            </w:pPr>
            <w:r w:rsidRPr="0026301A">
              <w:t>Occupations (No.)</w:t>
            </w:r>
          </w:p>
        </w:tc>
        <w:tc>
          <w:tcPr>
            <w:tcW w:w="1110" w:type="pct"/>
          </w:tcPr>
          <w:p w14:paraId="6FA316DA" w14:textId="77777777" w:rsidR="00673090" w:rsidRPr="0026301A" w:rsidRDefault="00673090" w:rsidP="00673090">
            <w:pPr>
              <w:pStyle w:val="TableHeading1"/>
            </w:pPr>
            <w:r w:rsidRPr="0026301A">
              <w:t>Occupations (%)</w:t>
            </w:r>
          </w:p>
        </w:tc>
      </w:tr>
      <w:tr w:rsidR="00673090" w:rsidRPr="0026301A" w14:paraId="7D216E53" w14:textId="77777777" w:rsidTr="00DB0678">
        <w:tc>
          <w:tcPr>
            <w:tcW w:w="2692" w:type="pct"/>
          </w:tcPr>
          <w:p w14:paraId="383798A2" w14:textId="77777777" w:rsidR="00673090" w:rsidRPr="0026301A" w:rsidRDefault="00673090" w:rsidP="00673090">
            <w:pPr>
              <w:pStyle w:val="TableBodyText"/>
            </w:pPr>
            <w:r w:rsidRPr="0026301A">
              <w:t>Managers</w:t>
            </w:r>
          </w:p>
        </w:tc>
        <w:tc>
          <w:tcPr>
            <w:tcW w:w="1198" w:type="pct"/>
            <w:vAlign w:val="center"/>
          </w:tcPr>
          <w:p w14:paraId="47E750D3" w14:textId="77777777" w:rsidR="00673090" w:rsidRPr="0026301A" w:rsidRDefault="00673090" w:rsidP="00192924">
            <w:pPr>
              <w:pStyle w:val="TableBodyTextright"/>
            </w:pPr>
            <w:r w:rsidRPr="0026301A">
              <w:t>2</w:t>
            </w:r>
          </w:p>
        </w:tc>
        <w:tc>
          <w:tcPr>
            <w:tcW w:w="1110" w:type="pct"/>
            <w:vAlign w:val="center"/>
          </w:tcPr>
          <w:p w14:paraId="10147D8E" w14:textId="77777777" w:rsidR="00673090" w:rsidRPr="0026301A" w:rsidRDefault="00673090" w:rsidP="00192924">
            <w:pPr>
              <w:pStyle w:val="TableBodyTextright"/>
            </w:pPr>
            <w:r w:rsidRPr="0026301A">
              <w:t>1%</w:t>
            </w:r>
          </w:p>
        </w:tc>
      </w:tr>
      <w:tr w:rsidR="00426851" w:rsidRPr="0026301A" w14:paraId="3C331B34"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069259C5" w14:textId="77777777" w:rsidR="00673090" w:rsidRPr="0026301A" w:rsidRDefault="00673090" w:rsidP="00673090">
            <w:pPr>
              <w:pStyle w:val="TableBodyText"/>
            </w:pPr>
            <w:r w:rsidRPr="0026301A">
              <w:t>Professionals</w:t>
            </w:r>
          </w:p>
        </w:tc>
        <w:tc>
          <w:tcPr>
            <w:tcW w:w="1198" w:type="pct"/>
            <w:vAlign w:val="center"/>
          </w:tcPr>
          <w:p w14:paraId="378A9888" w14:textId="1F1160A6" w:rsidR="00673090" w:rsidRPr="0026301A" w:rsidRDefault="00673090" w:rsidP="00192924">
            <w:pPr>
              <w:pStyle w:val="TableBodyTextright"/>
            </w:pPr>
            <w:r w:rsidRPr="0026301A">
              <w:t>5</w:t>
            </w:r>
            <w:r w:rsidR="00D047B5" w:rsidRPr="0026301A">
              <w:t>2</w:t>
            </w:r>
          </w:p>
        </w:tc>
        <w:tc>
          <w:tcPr>
            <w:tcW w:w="1110" w:type="pct"/>
            <w:vAlign w:val="center"/>
          </w:tcPr>
          <w:p w14:paraId="5B0A7B90" w14:textId="78B595A5" w:rsidR="00673090" w:rsidRPr="0026301A" w:rsidRDefault="00673090" w:rsidP="00192924">
            <w:pPr>
              <w:pStyle w:val="TableBodyTextright"/>
            </w:pPr>
            <w:r w:rsidRPr="0026301A">
              <w:t>3</w:t>
            </w:r>
            <w:r w:rsidR="00D047B5" w:rsidRPr="0026301A">
              <w:t>7</w:t>
            </w:r>
            <w:r w:rsidRPr="0026301A">
              <w:t>%</w:t>
            </w:r>
          </w:p>
        </w:tc>
      </w:tr>
      <w:tr w:rsidR="00673090" w:rsidRPr="0026301A" w14:paraId="0AD3ECF3" w14:textId="77777777" w:rsidTr="00DB0678">
        <w:tc>
          <w:tcPr>
            <w:tcW w:w="2692" w:type="pct"/>
          </w:tcPr>
          <w:p w14:paraId="0FA77635" w14:textId="77777777" w:rsidR="00673090" w:rsidRPr="0026301A" w:rsidRDefault="00673090" w:rsidP="00673090">
            <w:pPr>
              <w:pStyle w:val="TableBodyText"/>
            </w:pPr>
            <w:r w:rsidRPr="0026301A">
              <w:t>Technicians and Trades Workers</w:t>
            </w:r>
          </w:p>
        </w:tc>
        <w:tc>
          <w:tcPr>
            <w:tcW w:w="1198" w:type="pct"/>
            <w:vAlign w:val="center"/>
          </w:tcPr>
          <w:p w14:paraId="266E7A57" w14:textId="77777777" w:rsidR="00673090" w:rsidRPr="0026301A" w:rsidRDefault="00673090" w:rsidP="00192924">
            <w:pPr>
              <w:pStyle w:val="TableBodyTextright"/>
            </w:pPr>
            <w:r w:rsidRPr="0026301A">
              <w:t>71</w:t>
            </w:r>
          </w:p>
        </w:tc>
        <w:tc>
          <w:tcPr>
            <w:tcW w:w="1110" w:type="pct"/>
            <w:vAlign w:val="center"/>
          </w:tcPr>
          <w:p w14:paraId="77582016" w14:textId="77777777" w:rsidR="00673090" w:rsidRPr="0026301A" w:rsidRDefault="00673090" w:rsidP="00192924">
            <w:pPr>
              <w:pStyle w:val="TableBodyTextright"/>
            </w:pPr>
            <w:r w:rsidRPr="0026301A">
              <w:t>51%</w:t>
            </w:r>
          </w:p>
        </w:tc>
      </w:tr>
      <w:tr w:rsidR="00426851" w:rsidRPr="0026301A" w14:paraId="5034FB69"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7F35CA9D" w14:textId="77777777" w:rsidR="00673090" w:rsidRPr="0026301A" w:rsidRDefault="00673090" w:rsidP="00673090">
            <w:pPr>
              <w:pStyle w:val="TableBodyText"/>
            </w:pPr>
            <w:r w:rsidRPr="0026301A">
              <w:t>Community and Personal Service Workers</w:t>
            </w:r>
          </w:p>
        </w:tc>
        <w:tc>
          <w:tcPr>
            <w:tcW w:w="1198" w:type="pct"/>
            <w:vAlign w:val="center"/>
          </w:tcPr>
          <w:p w14:paraId="4DAAECE9" w14:textId="77777777" w:rsidR="00673090" w:rsidRPr="0026301A" w:rsidRDefault="00673090" w:rsidP="00192924">
            <w:pPr>
              <w:pStyle w:val="TableBodyTextright"/>
            </w:pPr>
            <w:r w:rsidRPr="0026301A">
              <w:t>7</w:t>
            </w:r>
          </w:p>
        </w:tc>
        <w:tc>
          <w:tcPr>
            <w:tcW w:w="1110" w:type="pct"/>
            <w:vAlign w:val="center"/>
          </w:tcPr>
          <w:p w14:paraId="314F747F" w14:textId="77777777" w:rsidR="00673090" w:rsidRPr="0026301A" w:rsidRDefault="00673090" w:rsidP="00192924">
            <w:pPr>
              <w:pStyle w:val="TableBodyTextright"/>
            </w:pPr>
            <w:r w:rsidRPr="0026301A">
              <w:t>5%</w:t>
            </w:r>
          </w:p>
        </w:tc>
      </w:tr>
      <w:tr w:rsidR="00673090" w:rsidRPr="0026301A" w14:paraId="485EB072" w14:textId="77777777" w:rsidTr="00DB0678">
        <w:tc>
          <w:tcPr>
            <w:tcW w:w="2692" w:type="pct"/>
          </w:tcPr>
          <w:p w14:paraId="7E0960FD" w14:textId="77777777" w:rsidR="00673090" w:rsidRPr="0026301A" w:rsidRDefault="00673090" w:rsidP="00673090">
            <w:pPr>
              <w:pStyle w:val="TableBodyText"/>
            </w:pPr>
            <w:r w:rsidRPr="0026301A">
              <w:t>Machinery Operators and Drivers</w:t>
            </w:r>
          </w:p>
        </w:tc>
        <w:tc>
          <w:tcPr>
            <w:tcW w:w="1198" w:type="pct"/>
            <w:vAlign w:val="center"/>
          </w:tcPr>
          <w:p w14:paraId="48DABDD3" w14:textId="77777777" w:rsidR="00673090" w:rsidRPr="0026301A" w:rsidRDefault="00673090" w:rsidP="00192924">
            <w:pPr>
              <w:pStyle w:val="TableBodyTextright"/>
            </w:pPr>
            <w:r w:rsidRPr="0026301A">
              <w:t>7</w:t>
            </w:r>
          </w:p>
        </w:tc>
        <w:tc>
          <w:tcPr>
            <w:tcW w:w="1110" w:type="pct"/>
            <w:vAlign w:val="center"/>
          </w:tcPr>
          <w:p w14:paraId="0AB1217F" w14:textId="77777777" w:rsidR="00673090" w:rsidRPr="0026301A" w:rsidRDefault="00673090" w:rsidP="00192924">
            <w:pPr>
              <w:pStyle w:val="TableBodyTextright"/>
            </w:pPr>
            <w:r w:rsidRPr="0026301A">
              <w:t>5%</w:t>
            </w:r>
          </w:p>
        </w:tc>
      </w:tr>
      <w:tr w:rsidR="00426851" w:rsidRPr="0026301A" w14:paraId="360C3671"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70CE8D6B" w14:textId="77777777" w:rsidR="00673090" w:rsidRPr="0026301A" w:rsidRDefault="00673090" w:rsidP="00673090">
            <w:pPr>
              <w:pStyle w:val="TableBodyText"/>
            </w:pPr>
            <w:r w:rsidRPr="0026301A">
              <w:t>All occupations</w:t>
            </w:r>
          </w:p>
        </w:tc>
        <w:tc>
          <w:tcPr>
            <w:tcW w:w="1198" w:type="pct"/>
            <w:vAlign w:val="center"/>
          </w:tcPr>
          <w:p w14:paraId="3F1438A2" w14:textId="115213A3" w:rsidR="00673090" w:rsidRPr="0026301A" w:rsidRDefault="00673090" w:rsidP="00192924">
            <w:pPr>
              <w:pStyle w:val="TableBodyTextright"/>
            </w:pPr>
            <w:r w:rsidRPr="0026301A">
              <w:t>1</w:t>
            </w:r>
            <w:r w:rsidR="00D047B5" w:rsidRPr="0026301A">
              <w:t>39</w:t>
            </w:r>
          </w:p>
        </w:tc>
        <w:tc>
          <w:tcPr>
            <w:tcW w:w="1110" w:type="pct"/>
            <w:vAlign w:val="center"/>
          </w:tcPr>
          <w:p w14:paraId="05CD74F3" w14:textId="77777777" w:rsidR="00673090" w:rsidRPr="0026301A" w:rsidRDefault="00673090" w:rsidP="00192924">
            <w:pPr>
              <w:pStyle w:val="TableBodyTextright"/>
            </w:pPr>
            <w:r w:rsidRPr="0026301A">
              <w:t>100%</w:t>
            </w:r>
          </w:p>
        </w:tc>
      </w:tr>
    </w:tbl>
    <w:p w14:paraId="0D914E51" w14:textId="39B381A2" w:rsidR="00673090" w:rsidRPr="0026301A" w:rsidRDefault="00673090" w:rsidP="00673090">
      <w:pPr>
        <w:pStyle w:val="Source"/>
      </w:pPr>
      <w:r w:rsidRPr="0026301A">
        <w:t>Source: Jobs and Skills Australia, O</w:t>
      </w:r>
      <w:r w:rsidR="0041234C" w:rsidRPr="0026301A">
        <w:t>SL</w:t>
      </w:r>
      <w:r w:rsidRPr="0026301A">
        <w:t>, 2021</w:t>
      </w:r>
      <w:r w:rsidR="00653578" w:rsidRPr="0026301A">
        <w:t xml:space="preserve"> to </w:t>
      </w:r>
      <w:r w:rsidRPr="0026301A">
        <w:t>2025.</w:t>
      </w:r>
      <w:r w:rsidR="00320DDF" w:rsidRPr="0026301A">
        <w:t xml:space="preserve"> </w:t>
      </w:r>
      <w:r w:rsidR="007036C7" w:rsidRPr="0026301A">
        <w:br/>
        <w:t xml:space="preserve">Note: </w:t>
      </w:r>
      <w:r w:rsidR="00320DDF" w:rsidRPr="0026301A">
        <w:t>No occupations in the Clerical and Administrative Workers, Sales Workers, or Labourers occupational major groups were in persistent shortage.</w:t>
      </w:r>
      <w:r w:rsidR="007036C7" w:rsidRPr="0026301A">
        <w:t xml:space="preserve"> </w:t>
      </w:r>
      <w:r w:rsidR="007036C7" w:rsidRPr="0026301A">
        <w:rPr>
          <w:rFonts w:cs="Arial"/>
        </w:rPr>
        <w:t>The table presents current and past results all on an OSCA basis to support like-for-like comparison.</w:t>
      </w:r>
    </w:p>
    <w:p w14:paraId="656AE2A7" w14:textId="6EB69D26" w:rsidR="008712EC" w:rsidRPr="0026301A" w:rsidRDefault="009A792D" w:rsidP="008712EC">
      <w:pPr>
        <w:pStyle w:val="ListBullet"/>
      </w:pPr>
      <w:r w:rsidRPr="0026301A">
        <w:t xml:space="preserve">Technicians and Trades Workers made up </w:t>
      </w:r>
      <w:r w:rsidR="00673090" w:rsidRPr="0026301A">
        <w:t>51% (71 out of 1</w:t>
      </w:r>
      <w:r w:rsidR="006A2E63" w:rsidRPr="0026301A">
        <w:t>39</w:t>
      </w:r>
      <w:r w:rsidR="00673090" w:rsidRPr="0026301A">
        <w:t>)</w:t>
      </w:r>
      <w:r w:rsidR="007F79D2" w:rsidRPr="0026301A">
        <w:t xml:space="preserve">, </w:t>
      </w:r>
      <w:r w:rsidR="005F0CFF" w:rsidRPr="0026301A">
        <w:t>particularly</w:t>
      </w:r>
      <w:r w:rsidR="007F79D2" w:rsidRPr="0026301A">
        <w:t xml:space="preserve"> </w:t>
      </w:r>
      <w:r w:rsidR="003E4653" w:rsidRPr="0026301A">
        <w:t xml:space="preserve">those </w:t>
      </w:r>
      <w:r w:rsidR="0074582D" w:rsidRPr="0026301A">
        <w:t xml:space="preserve">related to </w:t>
      </w:r>
      <w:r w:rsidR="007F79D2" w:rsidRPr="0026301A">
        <w:t>construction</w:t>
      </w:r>
      <w:r w:rsidR="008F5161" w:rsidRPr="0026301A">
        <w:t xml:space="preserve">, </w:t>
      </w:r>
      <w:r w:rsidR="003D5B65" w:rsidRPr="0026301A">
        <w:t>engineering,</w:t>
      </w:r>
      <w:r w:rsidR="007F79D2" w:rsidRPr="0026301A">
        <w:t xml:space="preserve"> and automotive trades</w:t>
      </w:r>
      <w:r w:rsidR="00B04CFA" w:rsidRPr="0026301A">
        <w:t xml:space="preserve">. </w:t>
      </w:r>
    </w:p>
    <w:p w14:paraId="025EB465" w14:textId="486ACB54" w:rsidR="008712EC" w:rsidRPr="0026301A" w:rsidRDefault="00B04CFA" w:rsidP="008712EC">
      <w:pPr>
        <w:pStyle w:val="ListBullet"/>
      </w:pPr>
      <w:r w:rsidRPr="0026301A">
        <w:t>P</w:t>
      </w:r>
      <w:r w:rsidR="00B34D14" w:rsidRPr="0026301A">
        <w:t>r</w:t>
      </w:r>
      <w:r w:rsidR="009A792D" w:rsidRPr="0026301A">
        <w:t xml:space="preserve">ofessionals made up </w:t>
      </w:r>
      <w:r w:rsidR="00114BB6" w:rsidRPr="0026301A">
        <w:t>3</w:t>
      </w:r>
      <w:r w:rsidR="006A2E63" w:rsidRPr="0026301A">
        <w:t>7</w:t>
      </w:r>
      <w:r w:rsidR="00114BB6" w:rsidRPr="0026301A">
        <w:t>% (5</w:t>
      </w:r>
      <w:r w:rsidR="006A2E63" w:rsidRPr="0026301A">
        <w:t>2</w:t>
      </w:r>
      <w:r w:rsidR="00114BB6" w:rsidRPr="0026301A">
        <w:t xml:space="preserve"> out of 1</w:t>
      </w:r>
      <w:r w:rsidR="006A2E63" w:rsidRPr="0026301A">
        <w:t>39</w:t>
      </w:r>
      <w:r w:rsidR="00114BB6" w:rsidRPr="0026301A">
        <w:t>)</w:t>
      </w:r>
      <w:r w:rsidRPr="0026301A">
        <w:t xml:space="preserve">, with </w:t>
      </w:r>
      <w:r w:rsidR="00B34D14" w:rsidRPr="0026301A">
        <w:t xml:space="preserve">various </w:t>
      </w:r>
      <w:r w:rsidRPr="0026301A">
        <w:t xml:space="preserve">roles in health, </w:t>
      </w:r>
      <w:r w:rsidR="00163480" w:rsidRPr="0026301A">
        <w:t xml:space="preserve">early childhood education, </w:t>
      </w:r>
      <w:r w:rsidR="003905AB" w:rsidRPr="0026301A">
        <w:t xml:space="preserve">and roles in engineering and science. </w:t>
      </w:r>
    </w:p>
    <w:p w14:paraId="43D8FDC1" w14:textId="498EB265" w:rsidR="00673090" w:rsidRPr="0026301A" w:rsidRDefault="00912528" w:rsidP="00192924">
      <w:pPr>
        <w:pStyle w:val="ListBullet"/>
      </w:pPr>
      <w:r w:rsidRPr="0026301A">
        <w:t xml:space="preserve">Care roles and nurses employed in the care sector were the key occupations in </w:t>
      </w:r>
      <w:r w:rsidR="00A3761C" w:rsidRPr="0026301A">
        <w:t xml:space="preserve">persistent shortage </w:t>
      </w:r>
      <w:r w:rsidR="00BE32F7" w:rsidRPr="0026301A">
        <w:t xml:space="preserve">within Community and Personal Service Workers. </w:t>
      </w:r>
    </w:p>
    <w:p w14:paraId="64DB19CE" w14:textId="0D617C4D" w:rsidR="00673090" w:rsidRPr="0026301A" w:rsidRDefault="00673090" w:rsidP="00192924">
      <w:pPr>
        <w:pStyle w:val="BodyText"/>
      </w:pPr>
      <w:r w:rsidRPr="0026301A">
        <w:t xml:space="preserve">In 2025, 21 occupations were in </w:t>
      </w:r>
      <w:r w:rsidR="003C0377" w:rsidRPr="0026301A">
        <w:t>r</w:t>
      </w:r>
      <w:r w:rsidRPr="0026301A">
        <w:t xml:space="preserve">egional </w:t>
      </w:r>
      <w:r w:rsidR="003C0377" w:rsidRPr="0026301A">
        <w:t>s</w:t>
      </w:r>
      <w:r w:rsidRPr="0026301A">
        <w:t>hortage</w:t>
      </w:r>
      <w:r w:rsidR="002B4190" w:rsidRPr="0026301A">
        <w:t>,</w:t>
      </w:r>
      <w:r w:rsidR="00236F42" w:rsidRPr="0026301A">
        <w:t xml:space="preserve"> </w:t>
      </w:r>
      <w:r w:rsidR="00042CD4" w:rsidRPr="0026301A">
        <w:t>without an equivalent shortage in capital cities</w:t>
      </w:r>
      <w:r w:rsidR="002B4190" w:rsidRPr="0026301A">
        <w:t>,</w:t>
      </w:r>
      <w:r w:rsidR="00042CD4" w:rsidRPr="0026301A">
        <w:t xml:space="preserve"> </w:t>
      </w:r>
      <w:r w:rsidR="00236F42" w:rsidRPr="0026301A">
        <w:t xml:space="preserve">compared to </w:t>
      </w:r>
      <w:r w:rsidR="00831FC3" w:rsidRPr="0026301A">
        <w:t>12</w:t>
      </w:r>
      <w:r w:rsidR="00236F42" w:rsidRPr="0026301A">
        <w:t xml:space="preserve"> in 2024</w:t>
      </w:r>
      <w:r w:rsidR="00811F5B" w:rsidRPr="0026301A">
        <w:t xml:space="preserve">. </w:t>
      </w:r>
    </w:p>
    <w:p w14:paraId="2B2C6BF5" w14:textId="156649AC" w:rsidR="00E45DCE" w:rsidRPr="0026301A" w:rsidRDefault="00B86C97" w:rsidP="0046702B">
      <w:pPr>
        <w:pStyle w:val="BodyText"/>
      </w:pPr>
      <w:r w:rsidRPr="0026301A">
        <w:lastRenderedPageBreak/>
        <w:t xml:space="preserve">Outcomes </w:t>
      </w:r>
      <w:r w:rsidR="00673090" w:rsidRPr="0026301A">
        <w:t xml:space="preserve">for states and territories </w:t>
      </w:r>
      <w:r w:rsidR="00A90542" w:rsidRPr="0026301A">
        <w:t>(state)</w:t>
      </w:r>
      <w:r w:rsidR="007D3E2C" w:rsidRPr="0026301A">
        <w:t xml:space="preserve">, particularly where these differed from the national </w:t>
      </w:r>
      <w:r w:rsidR="00C41FE9" w:rsidRPr="0026301A">
        <w:t>outcome</w:t>
      </w:r>
      <w:r w:rsidR="007D3E2C" w:rsidRPr="0026301A">
        <w:t>,</w:t>
      </w:r>
      <w:r w:rsidR="00A90542" w:rsidRPr="0026301A">
        <w:t xml:space="preserve"> </w:t>
      </w:r>
      <w:r w:rsidR="0074318F" w:rsidRPr="0026301A">
        <w:t xml:space="preserve">were </w:t>
      </w:r>
      <w:r w:rsidR="00673090" w:rsidRPr="0026301A">
        <w:t>based on the feedback received from Jobs and Skills Councils,</w:t>
      </w:r>
      <w:r w:rsidR="00673090" w:rsidRPr="0026301A" w:rsidDel="00271980">
        <w:t xml:space="preserve"> </w:t>
      </w:r>
      <w:r w:rsidR="003A5C19" w:rsidRPr="0026301A">
        <w:t>C</w:t>
      </w:r>
      <w:r w:rsidR="00673090" w:rsidRPr="0026301A">
        <w:t xml:space="preserve">ommonwealth </w:t>
      </w:r>
      <w:r w:rsidR="007101E0" w:rsidRPr="0026301A">
        <w:t>G</w:t>
      </w:r>
      <w:r w:rsidR="00673090" w:rsidRPr="0026301A">
        <w:t xml:space="preserve">overnment </w:t>
      </w:r>
      <w:r w:rsidR="00DF097E" w:rsidRPr="0026301A">
        <w:t>depa</w:t>
      </w:r>
      <w:r w:rsidR="00BB39D4" w:rsidRPr="0026301A">
        <w:t>r</w:t>
      </w:r>
      <w:r w:rsidR="00DF097E" w:rsidRPr="0026301A">
        <w:t xml:space="preserve">tments </w:t>
      </w:r>
      <w:r w:rsidR="00673090" w:rsidRPr="0026301A">
        <w:t>and state government stakeholders.</w:t>
      </w:r>
      <w:r w:rsidR="00673090" w:rsidRPr="0026301A">
        <w:rPr>
          <w:rStyle w:val="FootnoteReference"/>
        </w:rPr>
        <w:footnoteReference w:id="11"/>
      </w:r>
      <w:r w:rsidR="00673090" w:rsidRPr="0026301A">
        <w:t xml:space="preserve"> </w:t>
      </w:r>
    </w:p>
    <w:p w14:paraId="1A291BC6" w14:textId="34E9DF67" w:rsidR="00305C85" w:rsidRPr="0026301A" w:rsidRDefault="00A90542" w:rsidP="0046702B">
      <w:pPr>
        <w:pStyle w:val="BodyText"/>
      </w:pPr>
      <w:r w:rsidRPr="0026301A">
        <w:t xml:space="preserve">State </w:t>
      </w:r>
      <w:r w:rsidR="000D65D1" w:rsidRPr="0026301A">
        <w:t xml:space="preserve">results </w:t>
      </w:r>
      <w:r w:rsidRPr="0026301A">
        <w:t>g</w:t>
      </w:r>
      <w:r w:rsidR="00673090" w:rsidRPr="0026301A">
        <w:t>enerally</w:t>
      </w:r>
      <w:r w:rsidRPr="0026301A">
        <w:t xml:space="preserve"> </w:t>
      </w:r>
      <w:r w:rsidR="00647F4F" w:rsidRPr="0026301A">
        <w:t xml:space="preserve">align with </w:t>
      </w:r>
      <w:r w:rsidR="00CD4B24" w:rsidRPr="0026301A">
        <w:t>national level outcomes</w:t>
      </w:r>
      <w:r w:rsidR="00EB0E46" w:rsidRPr="0026301A">
        <w:t>, with v</w:t>
      </w:r>
      <w:r w:rsidR="00673090" w:rsidRPr="0026301A">
        <w:t>ariations reflect</w:t>
      </w:r>
      <w:r w:rsidR="00EB0E46" w:rsidRPr="0026301A">
        <w:t>ing</w:t>
      </w:r>
      <w:r w:rsidR="00305C85" w:rsidRPr="0026301A">
        <w:t>:</w:t>
      </w:r>
    </w:p>
    <w:p w14:paraId="37D66B92" w14:textId="0467D834" w:rsidR="00305C85" w:rsidRPr="0026301A" w:rsidRDefault="00673090" w:rsidP="0046702B">
      <w:pPr>
        <w:pStyle w:val="ListBullet"/>
      </w:pPr>
      <w:r w:rsidRPr="0026301A">
        <w:t>unique labour market characteristics of states</w:t>
      </w:r>
    </w:p>
    <w:p w14:paraId="6B9DE350" w14:textId="2FED47DB" w:rsidR="00E45DCE" w:rsidRPr="0026301A" w:rsidRDefault="00673090" w:rsidP="005B755C">
      <w:pPr>
        <w:pStyle w:val="ListBullet"/>
      </w:pPr>
      <w:r w:rsidRPr="0026301A">
        <w:t xml:space="preserve">different methodologies </w:t>
      </w:r>
      <w:r w:rsidR="007365A3" w:rsidRPr="0026301A">
        <w:t xml:space="preserve">and </w:t>
      </w:r>
      <w:r w:rsidR="00981F96" w:rsidRPr="0026301A">
        <w:t xml:space="preserve">consultation mechanisms </w:t>
      </w:r>
      <w:r w:rsidRPr="0026301A">
        <w:t xml:space="preserve">used by each stakeholder </w:t>
      </w:r>
      <w:r w:rsidR="00420330" w:rsidRPr="0026301A">
        <w:t xml:space="preserve">who </w:t>
      </w:r>
      <w:r w:rsidR="00305C85" w:rsidRPr="0026301A">
        <w:t>provi</w:t>
      </w:r>
      <w:r w:rsidR="00A93257" w:rsidRPr="0026301A">
        <w:t>ded</w:t>
      </w:r>
      <w:r w:rsidR="00305C85" w:rsidRPr="0026301A" w:rsidDel="00A93257">
        <w:t xml:space="preserve"> </w:t>
      </w:r>
      <w:r w:rsidR="00305C85" w:rsidRPr="0026301A">
        <w:t>feedback</w:t>
      </w:r>
      <w:r w:rsidR="000B6B8A" w:rsidRPr="0026301A">
        <w:t>.</w:t>
      </w:r>
    </w:p>
    <w:p w14:paraId="53521BD8" w14:textId="60E403E2" w:rsidR="00E71E5C" w:rsidRPr="0026301A" w:rsidRDefault="00E71E5C" w:rsidP="005F259A">
      <w:pPr>
        <w:pStyle w:val="BodyText"/>
      </w:pPr>
      <w:bookmarkStart w:id="25" w:name="_Ref207885563"/>
      <w:bookmarkStart w:id="26" w:name="_Ref207872530"/>
      <w:bookmarkStart w:id="27" w:name="_Ref207872578"/>
      <w:r w:rsidRPr="0026301A">
        <w:t>There were fewer shortages across most major groups (</w:t>
      </w:r>
      <w:r w:rsidR="00B5401F" w:rsidRPr="0026301A">
        <w:fldChar w:fldCharType="begin"/>
      </w:r>
      <w:r w:rsidR="00B5401F" w:rsidRPr="0026301A">
        <w:instrText xml:space="preserve"> REF _Ref211348563 \h </w:instrText>
      </w:r>
      <w:r w:rsidR="005F259A" w:rsidRPr="0026301A">
        <w:instrText xml:space="preserve"> \* MERGEFORMAT </w:instrText>
      </w:r>
      <w:r w:rsidR="00B5401F" w:rsidRPr="0026301A">
        <w:fldChar w:fldCharType="separate"/>
      </w:r>
      <w:r w:rsidR="00FF7A7F" w:rsidRPr="0026301A">
        <w:t xml:space="preserve">Figure </w:t>
      </w:r>
      <w:r w:rsidR="00FF7A7F">
        <w:t>2</w:t>
      </w:r>
      <w:r w:rsidR="00B5401F" w:rsidRPr="0026301A">
        <w:fldChar w:fldCharType="end"/>
      </w:r>
      <w:r w:rsidRPr="0026301A">
        <w:t>)</w:t>
      </w:r>
      <w:r w:rsidR="00576985" w:rsidRPr="0026301A">
        <w:t xml:space="preserve"> in 2025 compared to 2024</w:t>
      </w:r>
      <w:r w:rsidRPr="0026301A">
        <w:t>.</w:t>
      </w:r>
      <w:r w:rsidR="008A5082" w:rsidRPr="0026301A">
        <w:t xml:space="preserve"> </w:t>
      </w:r>
      <w:r w:rsidR="00F804AF" w:rsidRPr="0026301A">
        <w:t xml:space="preserve">However, </w:t>
      </w:r>
      <w:r w:rsidR="008A5082" w:rsidRPr="0026301A">
        <w:t xml:space="preserve">the overall decline of 12% in national level shortage from 2024 to 2025 (333 to 293) was largely </w:t>
      </w:r>
      <w:r w:rsidR="00F804AF" w:rsidRPr="0026301A">
        <w:t xml:space="preserve">driven by a reduction in shortages for </w:t>
      </w:r>
      <w:r w:rsidR="008A5082" w:rsidRPr="0026301A">
        <w:t xml:space="preserve">Professionals. </w:t>
      </w:r>
    </w:p>
    <w:p w14:paraId="4F49821F" w14:textId="2356B29E" w:rsidR="00673090" w:rsidRPr="0026301A" w:rsidRDefault="00C01054" w:rsidP="005F259A">
      <w:pPr>
        <w:pStyle w:val="Caption"/>
      </w:pPr>
      <w:bookmarkStart w:id="28" w:name="_Ref211348563"/>
      <w:bookmarkStart w:id="29" w:name="_Toc211349845"/>
      <w:r w:rsidRPr="0026301A">
        <w:t xml:space="preserve">Figure </w:t>
      </w:r>
      <w:r w:rsidRPr="0026301A">
        <w:fldChar w:fldCharType="begin"/>
      </w:r>
      <w:r w:rsidRPr="0026301A">
        <w:instrText xml:space="preserve"> SEQ Figure \* ARABIC </w:instrText>
      </w:r>
      <w:r w:rsidRPr="0026301A">
        <w:fldChar w:fldCharType="separate"/>
      </w:r>
      <w:r w:rsidR="00FF7A7F">
        <w:rPr>
          <w:noProof/>
        </w:rPr>
        <w:t>2</w:t>
      </w:r>
      <w:r w:rsidRPr="0026301A">
        <w:fldChar w:fldCharType="end"/>
      </w:r>
      <w:bookmarkEnd w:id="25"/>
      <w:bookmarkEnd w:id="28"/>
      <w:r w:rsidRPr="0026301A">
        <w:t xml:space="preserve">: </w:t>
      </w:r>
      <w:bookmarkEnd w:id="26"/>
      <w:bookmarkEnd w:id="27"/>
      <w:r w:rsidR="00781D49" w:rsidRPr="0026301A">
        <w:t xml:space="preserve">Percentage of occupations in </w:t>
      </w:r>
      <w:r w:rsidR="0041234C" w:rsidRPr="0026301A">
        <w:t>s</w:t>
      </w:r>
      <w:r w:rsidR="00781D49" w:rsidRPr="0026301A">
        <w:t>hortage (%), by major group, 2021 to 2025 OSLs</w:t>
      </w:r>
      <w:r w:rsidR="00923206" w:rsidRPr="0026301A">
        <w:t>, OSCA basis</w:t>
      </w:r>
      <w:r w:rsidR="006208CE" w:rsidRPr="0026301A">
        <w:rPr>
          <w:rStyle w:val="FootnoteReference"/>
        </w:rPr>
        <w:footnoteReference w:id="12"/>
      </w:r>
      <w:bookmarkEnd w:id="29"/>
      <w:r w:rsidR="00673090" w:rsidRPr="0026301A">
        <w:t xml:space="preserve"> </w:t>
      </w:r>
    </w:p>
    <w:p w14:paraId="5211BFEB" w14:textId="72A12F6A" w:rsidR="00ED71A9" w:rsidRPr="0026301A" w:rsidRDefault="00E641EF" w:rsidP="005F1905">
      <w:pPr>
        <w:pStyle w:val="Source"/>
      </w:pPr>
      <w:r w:rsidRPr="0026301A">
        <w:rPr>
          <w:noProof/>
        </w:rPr>
        <w:drawing>
          <wp:inline distT="0" distB="0" distL="0" distR="0" wp14:anchorId="193ADB20" wp14:editId="00D37DA0">
            <wp:extent cx="5732145" cy="3474000"/>
            <wp:effectExtent l="0" t="0" r="1905" b="0"/>
            <wp:docPr id="185050570" name="Chart 1" descr="Figure 2 shows the percentage of shortages by major groups in 2024-2025 OSLs.  In 2025, Professionals (39%) and Technicians and Trades Workers (49%) major groups had the highest percentage of occupations in Shortage. Similar to 2024, Machinery Operators and Drivers ranked as the third highest, with 28% of occupations in Shortage. ">
              <a:extLst xmlns:a="http://schemas.openxmlformats.org/drawingml/2006/main">
                <a:ext uri="{FF2B5EF4-FFF2-40B4-BE49-F238E27FC236}">
                  <a16:creationId xmlns:a16="http://schemas.microsoft.com/office/drawing/2014/main" id="{78918DFC-B80C-FEB1-7985-B75D5AF86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34B85" w:rsidRPr="0026301A">
        <w:t xml:space="preserve"> </w:t>
      </w:r>
      <w:r w:rsidR="00673090" w:rsidRPr="0026301A">
        <w:br/>
        <w:t>Source: Jobs and Skills Australia, O</w:t>
      </w:r>
      <w:r w:rsidR="0041234C" w:rsidRPr="0026301A">
        <w:t>SL</w:t>
      </w:r>
      <w:r w:rsidR="00673090" w:rsidRPr="0026301A">
        <w:t>, 2021</w:t>
      </w:r>
      <w:r w:rsidR="00653578" w:rsidRPr="0026301A">
        <w:t xml:space="preserve"> to </w:t>
      </w:r>
      <w:r w:rsidR="00673090" w:rsidRPr="0026301A">
        <w:t>2025.</w:t>
      </w:r>
      <w:r w:rsidR="00BB797E" w:rsidRPr="0026301A">
        <w:br/>
        <w:t>Note:</w:t>
      </w:r>
      <w:r w:rsidR="00C53E58" w:rsidRPr="0026301A">
        <w:t xml:space="preserve"> </w:t>
      </w:r>
      <w:r w:rsidR="00C643B7" w:rsidRPr="0026301A">
        <w:rPr>
          <w:rFonts w:cs="Arial"/>
        </w:rPr>
        <w:t>The figure presents current and past results all on an OSCA basis to support like-for-like comparison.</w:t>
      </w:r>
      <w:r w:rsidR="00C643B7" w:rsidRPr="0026301A" w:rsidDel="00C643B7">
        <w:t xml:space="preserve"> </w:t>
      </w:r>
      <w:r w:rsidR="00C53E58" w:rsidRPr="0026301A">
        <w:t xml:space="preserve">The percentage of occupations in shortage for Labourers appears </w:t>
      </w:r>
      <w:r w:rsidR="005A5A82" w:rsidRPr="0026301A">
        <w:t>4</w:t>
      </w:r>
      <w:r w:rsidR="007437A3" w:rsidRPr="0026301A">
        <w:t xml:space="preserve"> to </w:t>
      </w:r>
      <w:r w:rsidR="00B140EC" w:rsidRPr="0026301A">
        <w:t>6</w:t>
      </w:r>
      <w:r w:rsidR="002679DC" w:rsidRPr="0026301A">
        <w:t xml:space="preserve"> percentage points</w:t>
      </w:r>
      <w:r w:rsidR="00C53E58" w:rsidRPr="0026301A">
        <w:t xml:space="preserve"> higher in 2022 and 2023 </w:t>
      </w:r>
      <w:r w:rsidR="007437A3" w:rsidRPr="0026301A">
        <w:t xml:space="preserve">in </w:t>
      </w:r>
      <w:r w:rsidR="00B12A3C" w:rsidRPr="0026301A">
        <w:t xml:space="preserve">the </w:t>
      </w:r>
      <w:r w:rsidR="007437A3" w:rsidRPr="0026301A">
        <w:t xml:space="preserve">OSCA version </w:t>
      </w:r>
      <w:r w:rsidR="00C53E58" w:rsidRPr="0026301A">
        <w:t>than the ANZSCO 2022 version. This is due to relatively few Labourers occupations within scope of the OSL (39 and 44 occupations on ANZSCO 2022 and OSCA 2024, respectively)</w:t>
      </w:r>
      <w:r w:rsidR="0098048E" w:rsidRPr="0026301A">
        <w:t>.</w:t>
      </w:r>
      <w:r w:rsidR="00C53E58" w:rsidRPr="0026301A">
        <w:t xml:space="preserve"> </w:t>
      </w:r>
      <w:r w:rsidR="00CE33A3" w:rsidRPr="0026301A">
        <w:t>Thus,</w:t>
      </w:r>
      <w:r w:rsidR="00C53E58" w:rsidRPr="0026301A">
        <w:t xml:space="preserve"> small differences between the number of occupations in shortage between the </w:t>
      </w:r>
      <w:r w:rsidR="004C4028" w:rsidRPr="0026301A">
        <w:t>2</w:t>
      </w:r>
      <w:r w:rsidR="00C53E58" w:rsidRPr="0026301A" w:rsidDel="004736E2">
        <w:t xml:space="preserve"> </w:t>
      </w:r>
      <w:r w:rsidR="004736E2" w:rsidRPr="0026301A">
        <w:t xml:space="preserve">frameworks </w:t>
      </w:r>
      <w:r w:rsidR="00C53E58" w:rsidRPr="0026301A">
        <w:t>may yield large differences in percentages.</w:t>
      </w:r>
      <w:r w:rsidR="00ED71A9" w:rsidRPr="0026301A">
        <w:t xml:space="preserve"> </w:t>
      </w:r>
    </w:p>
    <w:p w14:paraId="392E3691" w14:textId="77777777" w:rsidR="008A5082" w:rsidRPr="0026301A" w:rsidRDefault="008A5082">
      <w:pPr>
        <w:spacing w:before="0" w:after="200" w:line="276" w:lineRule="auto"/>
      </w:pPr>
      <w:bookmarkStart w:id="30" w:name="_Ref207884725"/>
      <w:r w:rsidRPr="0026301A">
        <w:br w:type="page"/>
      </w:r>
    </w:p>
    <w:p w14:paraId="7276D082" w14:textId="7F782D92" w:rsidR="0074693A" w:rsidRPr="0026301A" w:rsidRDefault="00412E93">
      <w:pPr>
        <w:spacing w:before="0" w:after="200" w:line="276" w:lineRule="auto"/>
        <w:rPr>
          <w:b/>
          <w:bCs/>
          <w:color w:val="012749"/>
          <w:sz w:val="18"/>
          <w:szCs w:val="18"/>
        </w:rPr>
      </w:pPr>
      <w:r w:rsidRPr="0026301A">
        <w:lastRenderedPageBreak/>
        <w:fldChar w:fldCharType="begin"/>
      </w:r>
      <w:r w:rsidRPr="0026301A">
        <w:instrText xml:space="preserve"> REF _Ref211348605 \h </w:instrText>
      </w:r>
      <w:r w:rsidR="0026301A">
        <w:instrText xml:space="preserve"> \* MERGEFORMAT </w:instrText>
      </w:r>
      <w:r w:rsidRPr="0026301A">
        <w:fldChar w:fldCharType="separate"/>
      </w:r>
      <w:r w:rsidR="00FF7A7F" w:rsidRPr="0026301A">
        <w:t xml:space="preserve">Figure </w:t>
      </w:r>
      <w:r w:rsidR="00FF7A7F">
        <w:rPr>
          <w:noProof/>
        </w:rPr>
        <w:t>3</w:t>
      </w:r>
      <w:r w:rsidRPr="0026301A">
        <w:fldChar w:fldCharType="end"/>
      </w:r>
      <w:r w:rsidRPr="0026301A">
        <w:t xml:space="preserve"> </w:t>
      </w:r>
      <w:r w:rsidR="00E71E5C" w:rsidRPr="0026301A">
        <w:t>shows the contribut</w:t>
      </w:r>
      <w:r w:rsidR="00AA7D96" w:rsidRPr="0026301A">
        <w:t xml:space="preserve">ion of </w:t>
      </w:r>
      <w:r w:rsidR="00E71E5C" w:rsidRPr="0026301A">
        <w:t xml:space="preserve">each major group to the overall </w:t>
      </w:r>
      <w:r w:rsidR="005371C4" w:rsidRPr="0026301A">
        <w:t xml:space="preserve">decline </w:t>
      </w:r>
      <w:r w:rsidR="00E71E5C" w:rsidRPr="0026301A">
        <w:t xml:space="preserve">in shortage </w:t>
      </w:r>
      <w:r w:rsidR="005371C4" w:rsidRPr="0026301A">
        <w:t>from 2024 to 2025 OSL</w:t>
      </w:r>
      <w:r w:rsidR="001902FF" w:rsidRPr="0026301A">
        <w:t>.</w:t>
      </w:r>
    </w:p>
    <w:p w14:paraId="25EE9994" w14:textId="2CA4A925" w:rsidR="00514851" w:rsidRPr="0026301A" w:rsidRDefault="00514851" w:rsidP="00192924">
      <w:pPr>
        <w:pStyle w:val="Caption"/>
      </w:pPr>
      <w:bookmarkStart w:id="31" w:name="_Ref211348605"/>
      <w:bookmarkStart w:id="32" w:name="_Toc211349846"/>
      <w:r w:rsidRPr="0026301A">
        <w:t xml:space="preserve">Figure </w:t>
      </w:r>
      <w:r w:rsidR="0038275B" w:rsidRPr="0026301A">
        <w:fldChar w:fldCharType="begin"/>
      </w:r>
      <w:r w:rsidR="0038275B" w:rsidRPr="0026301A">
        <w:instrText xml:space="preserve"> SEQ Figure \* ARABIC </w:instrText>
      </w:r>
      <w:r w:rsidR="0038275B" w:rsidRPr="0026301A">
        <w:fldChar w:fldCharType="separate"/>
      </w:r>
      <w:r w:rsidR="00FF7A7F">
        <w:rPr>
          <w:noProof/>
        </w:rPr>
        <w:t>3</w:t>
      </w:r>
      <w:r w:rsidR="0038275B" w:rsidRPr="0026301A">
        <w:fldChar w:fldCharType="end"/>
      </w:r>
      <w:bookmarkEnd w:id="30"/>
      <w:bookmarkEnd w:id="31"/>
      <w:r w:rsidRPr="0026301A">
        <w:t xml:space="preserve">: </w:t>
      </w:r>
      <w:r w:rsidR="004D48C9" w:rsidRPr="0026301A">
        <w:t>Percentage point</w:t>
      </w:r>
      <w:r w:rsidR="0090573A" w:rsidRPr="0026301A">
        <w:t>s</w:t>
      </w:r>
      <w:r w:rsidR="00D143B2" w:rsidRPr="0026301A">
        <w:t xml:space="preserve"> (ppt)</w:t>
      </w:r>
      <w:r w:rsidR="004D48C9" w:rsidRPr="0026301A">
        <w:t xml:space="preserve"> </w:t>
      </w:r>
      <w:r w:rsidR="00E776A8" w:rsidRPr="0026301A">
        <w:t>contribut</w:t>
      </w:r>
      <w:r w:rsidR="001902FF" w:rsidRPr="0026301A">
        <w:t xml:space="preserve">ion </w:t>
      </w:r>
      <w:r w:rsidR="008D2B00" w:rsidRPr="0026301A">
        <w:t xml:space="preserve">by each major group </w:t>
      </w:r>
      <w:r w:rsidRPr="0026301A">
        <w:t>to</w:t>
      </w:r>
      <w:r w:rsidR="002F100F" w:rsidRPr="0026301A">
        <w:t xml:space="preserve"> </w:t>
      </w:r>
      <w:r w:rsidR="00E938A1" w:rsidRPr="0026301A">
        <w:t xml:space="preserve">the </w:t>
      </w:r>
      <w:r w:rsidR="00E776A8" w:rsidRPr="0026301A">
        <w:t xml:space="preserve">overall </w:t>
      </w:r>
      <w:r w:rsidR="00E938A1" w:rsidRPr="0026301A">
        <w:t xml:space="preserve">change in </w:t>
      </w:r>
      <w:r w:rsidR="00125F9A" w:rsidRPr="0026301A">
        <w:t xml:space="preserve">occupations in </w:t>
      </w:r>
      <w:r w:rsidR="002F100F" w:rsidRPr="0026301A">
        <w:t>shortage</w:t>
      </w:r>
      <w:r w:rsidR="00E069ED" w:rsidRPr="0026301A">
        <w:t xml:space="preserve"> </w:t>
      </w:r>
      <w:r w:rsidR="00746F28" w:rsidRPr="0026301A">
        <w:t xml:space="preserve">from </w:t>
      </w:r>
      <w:r w:rsidR="00DD2D3F" w:rsidRPr="0026301A">
        <w:t>2024</w:t>
      </w:r>
      <w:r w:rsidR="00397D96" w:rsidRPr="0026301A">
        <w:t xml:space="preserve"> </w:t>
      </w:r>
      <w:r w:rsidR="00746F28" w:rsidRPr="0026301A">
        <w:t xml:space="preserve">to </w:t>
      </w:r>
      <w:r w:rsidR="00DD2D3F" w:rsidRPr="0026301A">
        <w:t>2025 OSLs</w:t>
      </w:r>
      <w:r w:rsidR="009D132B" w:rsidRPr="0026301A">
        <w:t xml:space="preserve">, </w:t>
      </w:r>
      <w:r w:rsidR="00F3795C" w:rsidRPr="0026301A">
        <w:t>OSCA basis</w:t>
      </w:r>
      <w:bookmarkEnd w:id="32"/>
    </w:p>
    <w:p w14:paraId="74E19FB8" w14:textId="6D57D0AB" w:rsidR="0049332E" w:rsidRPr="0026301A" w:rsidRDefault="002F01F6" w:rsidP="00C86502">
      <w:pPr>
        <w:pStyle w:val="Source"/>
      </w:pPr>
      <w:r w:rsidRPr="0026301A">
        <w:rPr>
          <w:noProof/>
        </w:rPr>
        <w:drawing>
          <wp:inline distT="0" distB="0" distL="0" distR="0" wp14:anchorId="3ECCD13B" wp14:editId="3F8B14A6">
            <wp:extent cx="5732145" cy="2662015"/>
            <wp:effectExtent l="0" t="0" r="1905" b="5080"/>
            <wp:docPr id="254159962" name="Chart 1" descr="Figure 3 shows the percentage point contribution to the overall change in occupation shortages from 2024 to 2025 OSLs. Nationally, there was a 12% reduction in occupations in shortage from 2024 to 2025. Professionals occupations contributed over 6 percentage points to the 12% reduction, while Community and Personal Services Workers contributed 3 percentage points. ">
              <a:extLst xmlns:a="http://schemas.openxmlformats.org/drawingml/2006/main">
                <a:ext uri="{FF2B5EF4-FFF2-40B4-BE49-F238E27FC236}">
                  <a16:creationId xmlns:a16="http://schemas.microsoft.com/office/drawing/2014/main" id="{19C8D41E-5752-6C08-BCCD-C63DD823F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6301A" w:rsidDel="00811EBA">
        <w:rPr>
          <w:noProof/>
        </w:rPr>
        <w:t xml:space="preserve"> </w:t>
      </w:r>
      <w:r w:rsidR="004D48C9" w:rsidRPr="0026301A">
        <w:br/>
      </w:r>
      <w:r w:rsidR="0038275B" w:rsidRPr="0026301A">
        <w:t>Source: Jobs and Skills Australia, O</w:t>
      </w:r>
      <w:r w:rsidR="0041234C" w:rsidRPr="0026301A">
        <w:t>SL</w:t>
      </w:r>
      <w:r w:rsidR="0038275B" w:rsidRPr="0026301A">
        <w:t xml:space="preserve">, </w:t>
      </w:r>
      <w:r w:rsidR="00067D65" w:rsidRPr="0026301A">
        <w:t xml:space="preserve">2024 </w:t>
      </w:r>
      <w:r w:rsidR="0038275B" w:rsidRPr="0026301A">
        <w:t>to 2025.</w:t>
      </w:r>
      <w:r w:rsidR="00665F36" w:rsidRPr="0026301A">
        <w:t xml:space="preserve"> </w:t>
      </w:r>
    </w:p>
    <w:p w14:paraId="2C080FE4" w14:textId="6539254B" w:rsidR="00F45759" w:rsidRPr="0026301A" w:rsidRDefault="005B6933" w:rsidP="005F259A">
      <w:pPr>
        <w:pStyle w:val="BodyText"/>
      </w:pPr>
      <w:r w:rsidRPr="0026301A">
        <w:t xml:space="preserve">The figure shows that Professionals </w:t>
      </w:r>
      <w:r w:rsidR="00DF1D3F" w:rsidRPr="0026301A">
        <w:t xml:space="preserve">occupations contributed </w:t>
      </w:r>
      <w:r w:rsidR="00B61C73" w:rsidRPr="0026301A">
        <w:t xml:space="preserve">about </w:t>
      </w:r>
      <w:r w:rsidR="0004405B" w:rsidRPr="0026301A">
        <w:t xml:space="preserve">6 percentage points </w:t>
      </w:r>
      <w:r w:rsidR="00725918" w:rsidRPr="0026301A">
        <w:t xml:space="preserve">to the 12% </w:t>
      </w:r>
      <w:r w:rsidR="00860D8E" w:rsidRPr="0026301A">
        <w:t>reduction</w:t>
      </w:r>
      <w:r w:rsidR="00127467" w:rsidRPr="0026301A">
        <w:t xml:space="preserve">. That is, </w:t>
      </w:r>
      <w:r w:rsidR="006F1565" w:rsidRPr="0026301A">
        <w:t xml:space="preserve">the </w:t>
      </w:r>
      <w:r w:rsidR="008E3B39" w:rsidRPr="0026301A">
        <w:t xml:space="preserve">decrease </w:t>
      </w:r>
      <w:r w:rsidR="00127467" w:rsidRPr="0026301A">
        <w:t xml:space="preserve">in shortage among Professionals contributed </w:t>
      </w:r>
      <w:r w:rsidR="004141E5" w:rsidRPr="0026301A">
        <w:t xml:space="preserve">about </w:t>
      </w:r>
      <w:r w:rsidR="008E3B39" w:rsidRPr="0026301A">
        <w:t xml:space="preserve">half </w:t>
      </w:r>
      <w:r w:rsidR="006976FF" w:rsidRPr="0026301A">
        <w:t xml:space="preserve">of </w:t>
      </w:r>
      <w:r w:rsidR="008E3B39" w:rsidRPr="0026301A">
        <w:t xml:space="preserve">the </w:t>
      </w:r>
      <w:r w:rsidR="00B32956" w:rsidRPr="0026301A">
        <w:t xml:space="preserve">net </w:t>
      </w:r>
      <w:r w:rsidR="006F1565" w:rsidRPr="0026301A">
        <w:t xml:space="preserve">decline in the </w:t>
      </w:r>
      <w:r w:rsidR="006976FF" w:rsidRPr="0026301A">
        <w:t>national level shortage</w:t>
      </w:r>
      <w:r w:rsidR="00A91514" w:rsidRPr="0026301A">
        <w:t xml:space="preserve"> result</w:t>
      </w:r>
      <w:r w:rsidR="008E3B39" w:rsidRPr="0026301A">
        <w:t xml:space="preserve">. </w:t>
      </w:r>
      <w:r w:rsidR="00033DA5" w:rsidRPr="0026301A">
        <w:t xml:space="preserve">This is </w:t>
      </w:r>
      <w:r w:rsidR="00CE0E20" w:rsidRPr="0026301A">
        <w:t xml:space="preserve">consistent with the </w:t>
      </w:r>
      <w:r w:rsidR="007D1591" w:rsidRPr="0026301A">
        <w:t xml:space="preserve">relatively </w:t>
      </w:r>
      <w:r w:rsidR="00CE0E20" w:rsidRPr="0026301A">
        <w:t xml:space="preserve">large </w:t>
      </w:r>
      <w:r w:rsidR="007D1591" w:rsidRPr="0026301A">
        <w:t>decline</w:t>
      </w:r>
      <w:r w:rsidR="00CE0E20" w:rsidRPr="0026301A">
        <w:t xml:space="preserve"> in occupations in shortage </w:t>
      </w:r>
      <w:r w:rsidR="007D1591" w:rsidRPr="0026301A">
        <w:t xml:space="preserve">for </w:t>
      </w:r>
      <w:r w:rsidR="00020F1B" w:rsidRPr="0026301A">
        <w:t xml:space="preserve">the </w:t>
      </w:r>
      <w:r w:rsidR="007D1591" w:rsidRPr="0026301A">
        <w:t xml:space="preserve">major group in </w:t>
      </w:r>
      <w:r w:rsidR="00231400" w:rsidRPr="0026301A">
        <w:fldChar w:fldCharType="begin"/>
      </w:r>
      <w:r w:rsidR="00231400" w:rsidRPr="0026301A">
        <w:instrText xml:space="preserve"> REF _Ref211348563 \h </w:instrText>
      </w:r>
      <w:r w:rsidR="0026301A">
        <w:instrText xml:space="preserve"> \* MERGEFORMAT </w:instrText>
      </w:r>
      <w:r w:rsidR="00231400" w:rsidRPr="0026301A">
        <w:fldChar w:fldCharType="separate"/>
      </w:r>
      <w:r w:rsidR="00FF7A7F" w:rsidRPr="0026301A">
        <w:t xml:space="preserve">Figure </w:t>
      </w:r>
      <w:r w:rsidR="00FF7A7F">
        <w:rPr>
          <w:noProof/>
        </w:rPr>
        <w:t>2</w:t>
      </w:r>
      <w:r w:rsidR="00231400" w:rsidRPr="0026301A">
        <w:fldChar w:fldCharType="end"/>
      </w:r>
      <w:r w:rsidR="00B32935" w:rsidRPr="0026301A">
        <w:t xml:space="preserve"> </w:t>
      </w:r>
      <w:r w:rsidR="00F45759" w:rsidRPr="0026301A">
        <w:t xml:space="preserve">where occupations in shortage </w:t>
      </w:r>
      <w:r w:rsidR="007C07FE" w:rsidRPr="0026301A">
        <w:t>for</w:t>
      </w:r>
      <w:r w:rsidR="00BC6F01" w:rsidRPr="0026301A">
        <w:t xml:space="preserve"> </w:t>
      </w:r>
      <w:r w:rsidR="007C07FE" w:rsidRPr="0026301A">
        <w:t>Professionals</w:t>
      </w:r>
      <w:r w:rsidR="00A8362B" w:rsidRPr="0026301A">
        <w:t xml:space="preserve"> fell</w:t>
      </w:r>
      <w:r w:rsidR="00F45759" w:rsidRPr="0026301A">
        <w:t xml:space="preserve"> 6 percentage points to 39%</w:t>
      </w:r>
      <w:r w:rsidR="001600A9" w:rsidRPr="0026301A">
        <w:t>.</w:t>
      </w:r>
    </w:p>
    <w:p w14:paraId="75F11F12" w14:textId="5CED2DD9" w:rsidR="0035768F" w:rsidRPr="0026301A" w:rsidRDefault="00610069" w:rsidP="0035768F">
      <w:pPr>
        <w:pStyle w:val="BodyText"/>
      </w:pPr>
      <w:r w:rsidRPr="0026301A">
        <w:t>Despite the large fall, c</w:t>
      </w:r>
      <w:r w:rsidR="0035768F" w:rsidRPr="0026301A">
        <w:t>hallenges remain for Professionals</w:t>
      </w:r>
      <w:r w:rsidR="008444C8" w:rsidRPr="0026301A">
        <w:t xml:space="preserve"> </w:t>
      </w:r>
      <w:r w:rsidR="00AB3481" w:rsidRPr="0026301A">
        <w:t xml:space="preserve">with almost 2 in 5 </w:t>
      </w:r>
      <w:r w:rsidR="00237ACF" w:rsidRPr="0026301A">
        <w:t xml:space="preserve">occupations </w:t>
      </w:r>
      <w:r w:rsidR="00AB3481" w:rsidRPr="0026301A">
        <w:t xml:space="preserve">in shortage. Challenges </w:t>
      </w:r>
      <w:r w:rsidR="00953974" w:rsidRPr="0026301A">
        <w:t xml:space="preserve">are </w:t>
      </w:r>
      <w:r w:rsidR="00EE5C72" w:rsidRPr="0026301A">
        <w:t xml:space="preserve">also </w:t>
      </w:r>
      <w:r w:rsidR="00953974" w:rsidRPr="0026301A">
        <w:t>particularly acute</w:t>
      </w:r>
      <w:r w:rsidR="00AB3481" w:rsidRPr="0026301A">
        <w:t xml:space="preserve"> for </w:t>
      </w:r>
      <w:r w:rsidR="0035768F" w:rsidRPr="0026301A">
        <w:t xml:space="preserve">Technicians and Trades Workers with </w:t>
      </w:r>
      <w:r w:rsidR="006009B8" w:rsidRPr="0026301A">
        <w:t xml:space="preserve">almost </w:t>
      </w:r>
      <w:r w:rsidR="008650C1" w:rsidRPr="0026301A">
        <w:t xml:space="preserve">1 in 2 </w:t>
      </w:r>
      <w:r w:rsidR="00B16BC4" w:rsidRPr="0026301A">
        <w:t>occupation</w:t>
      </w:r>
      <w:r w:rsidR="008650C1" w:rsidRPr="0026301A">
        <w:t>s</w:t>
      </w:r>
      <w:r w:rsidR="00821F7E" w:rsidRPr="0026301A">
        <w:t xml:space="preserve"> in shortage</w:t>
      </w:r>
      <w:r w:rsidR="0035768F" w:rsidRPr="0026301A">
        <w:t>.</w:t>
      </w:r>
    </w:p>
    <w:p w14:paraId="1BA3777D" w14:textId="5E9BDE64" w:rsidR="008700B8" w:rsidRPr="0026301A" w:rsidRDefault="00433503" w:rsidP="0046702B">
      <w:pPr>
        <w:pStyle w:val="BodyText"/>
      </w:pPr>
      <w:r w:rsidRPr="0026301A">
        <w:t xml:space="preserve">Contrary </w:t>
      </w:r>
      <w:r w:rsidR="00AF783F" w:rsidRPr="0026301A">
        <w:t>to the broader labour market trend, i</w:t>
      </w:r>
      <w:r w:rsidR="00755D7F" w:rsidRPr="0026301A">
        <w:t xml:space="preserve">n 2025, </w:t>
      </w:r>
      <w:r w:rsidR="0013347C" w:rsidRPr="0026301A">
        <w:t>Machinery Operators and Drivers</w:t>
      </w:r>
      <w:r w:rsidR="0066617A" w:rsidRPr="0026301A">
        <w:t xml:space="preserve"> </w:t>
      </w:r>
      <w:r w:rsidR="0098212E" w:rsidRPr="0026301A">
        <w:t>occupations in shortage</w:t>
      </w:r>
      <w:r w:rsidR="003C206B" w:rsidRPr="0026301A">
        <w:t xml:space="preserve"> increased by 3 percentage points to </w:t>
      </w:r>
      <w:r w:rsidR="00755D7F" w:rsidRPr="0026301A">
        <w:t>28%</w:t>
      </w:r>
      <w:r w:rsidR="00354479" w:rsidRPr="0026301A">
        <w:t>.</w:t>
      </w:r>
      <w:r w:rsidR="00354479" w:rsidRPr="0026301A">
        <w:rPr>
          <w:rStyle w:val="CommentReference"/>
          <w:rFonts w:asciiTheme="minorHAnsi" w:eastAsiaTheme="minorEastAsia" w:hAnsiTheme="minorHAnsi"/>
          <w:lang w:val="en-US"/>
        </w:rPr>
        <w:t xml:space="preserve"> </w:t>
      </w:r>
      <w:r w:rsidR="007176BF" w:rsidRPr="0026301A">
        <w:t xml:space="preserve">The result for Machinery Operators and Drivers </w:t>
      </w:r>
      <w:r w:rsidR="00166C3A" w:rsidRPr="0026301A">
        <w:t>occupations</w:t>
      </w:r>
      <w:r w:rsidR="00694E82" w:rsidRPr="0026301A">
        <w:t xml:space="preserve"> reflect</w:t>
      </w:r>
      <w:r w:rsidR="007D29CF" w:rsidRPr="0026301A">
        <w:t>ed</w:t>
      </w:r>
      <w:r w:rsidR="008700B8" w:rsidRPr="0026301A">
        <w:t>:</w:t>
      </w:r>
    </w:p>
    <w:p w14:paraId="2B25D01A" w14:textId="5C1C9569" w:rsidR="003C6954" w:rsidRPr="0026301A" w:rsidRDefault="00694E82" w:rsidP="0046702B">
      <w:pPr>
        <w:pStyle w:val="ListBullet"/>
      </w:pPr>
      <w:r w:rsidRPr="0026301A">
        <w:t xml:space="preserve">weak employment growth </w:t>
      </w:r>
      <w:r w:rsidR="007D29CF" w:rsidRPr="0026301A">
        <w:t>from 2024</w:t>
      </w:r>
      <w:r w:rsidR="00A623AB" w:rsidRPr="0026301A">
        <w:t xml:space="preserve"> to 2025, </w:t>
      </w:r>
      <w:r w:rsidRPr="0026301A">
        <w:t>reflecting constraints in labour supply</w:t>
      </w:r>
    </w:p>
    <w:p w14:paraId="306BC958" w14:textId="7B4F6B9A" w:rsidR="008700B8" w:rsidRPr="0026301A" w:rsidRDefault="003C78C5" w:rsidP="008700B8">
      <w:pPr>
        <w:pStyle w:val="ListBullet"/>
      </w:pPr>
      <w:r w:rsidRPr="0026301A">
        <w:t xml:space="preserve">data from the 2025 OSL Stakeholder Survey, </w:t>
      </w:r>
      <w:r w:rsidR="00040479" w:rsidRPr="0026301A">
        <w:t xml:space="preserve">which showed </w:t>
      </w:r>
      <w:r w:rsidR="0027610B" w:rsidRPr="0026301A">
        <w:t>an</w:t>
      </w:r>
      <w:r w:rsidR="002F76C5" w:rsidRPr="0026301A">
        <w:t xml:space="preserve"> </w:t>
      </w:r>
      <w:r w:rsidR="0074428A" w:rsidRPr="0026301A">
        <w:t xml:space="preserve">undersupply and higher demand for </w:t>
      </w:r>
      <w:r w:rsidR="001D268A" w:rsidRPr="0026301A">
        <w:t>workers</w:t>
      </w:r>
      <w:r w:rsidR="0074428A" w:rsidRPr="0026301A">
        <w:t xml:space="preserve">, including relatively weak </w:t>
      </w:r>
      <w:r w:rsidR="004709B5" w:rsidRPr="0026301A">
        <w:t xml:space="preserve">vacancy </w:t>
      </w:r>
      <w:r w:rsidR="0074428A" w:rsidRPr="0026301A">
        <w:t>fill rates</w:t>
      </w:r>
      <w:r w:rsidR="000C09EE" w:rsidRPr="0026301A">
        <w:t xml:space="preserve"> (</w:t>
      </w:r>
      <w:r w:rsidR="00FB0F76" w:rsidRPr="0026301A">
        <w:t>fill rate)</w:t>
      </w:r>
      <w:r w:rsidR="0074428A" w:rsidRPr="0026301A">
        <w:t>.</w:t>
      </w:r>
      <w:r w:rsidR="00C04FC3" w:rsidRPr="0026301A">
        <w:rPr>
          <w:rStyle w:val="FootnoteReference"/>
        </w:rPr>
        <w:footnoteReference w:id="13"/>
      </w:r>
      <w:r w:rsidR="0074428A" w:rsidRPr="0026301A">
        <w:t xml:space="preserve"> </w:t>
      </w:r>
    </w:p>
    <w:p w14:paraId="6BE43828" w14:textId="77777777" w:rsidR="004D48C9" w:rsidRPr="0026301A" w:rsidRDefault="004D48C9">
      <w:pPr>
        <w:spacing w:before="0" w:after="200" w:line="276" w:lineRule="auto"/>
      </w:pPr>
      <w:r w:rsidRPr="0026301A">
        <w:br w:type="page"/>
      </w:r>
    </w:p>
    <w:p w14:paraId="1FC62B36" w14:textId="0EF7A37D" w:rsidR="0015717C" w:rsidRPr="0026301A" w:rsidRDefault="00A3695C" w:rsidP="00192924">
      <w:pPr>
        <w:pStyle w:val="BodyText"/>
      </w:pPr>
      <w:r w:rsidRPr="0026301A">
        <w:lastRenderedPageBreak/>
        <w:t>I</w:t>
      </w:r>
      <w:r w:rsidR="00B91F6D" w:rsidRPr="0026301A">
        <w:t>n 2025, the percentage of occupations in shortage fell across all skill levels 1 to 4</w:t>
      </w:r>
      <w:r w:rsidRPr="0026301A">
        <w:t xml:space="preserve"> (</w:t>
      </w:r>
      <w:r w:rsidR="00C01054" w:rsidRPr="0026301A">
        <w:fldChar w:fldCharType="begin"/>
      </w:r>
      <w:r w:rsidR="00C01054" w:rsidRPr="0026301A">
        <w:instrText xml:space="preserve"> REF _Ref207885640 \h </w:instrText>
      </w:r>
      <w:r w:rsidR="0026301A">
        <w:instrText xml:space="preserve"> \* MERGEFORMAT </w:instrText>
      </w:r>
      <w:r w:rsidR="00C01054" w:rsidRPr="0026301A">
        <w:fldChar w:fldCharType="separate"/>
      </w:r>
      <w:r w:rsidR="00FF7A7F" w:rsidRPr="0026301A">
        <w:t xml:space="preserve">Figure </w:t>
      </w:r>
      <w:r w:rsidR="00FF7A7F">
        <w:rPr>
          <w:noProof/>
        </w:rPr>
        <w:t>4</w:t>
      </w:r>
      <w:r w:rsidR="00C01054" w:rsidRPr="0026301A">
        <w:fldChar w:fldCharType="end"/>
      </w:r>
      <w:r w:rsidRPr="0026301A">
        <w:t>)</w:t>
      </w:r>
      <w:r w:rsidR="0026414A" w:rsidRPr="0026301A">
        <w:t xml:space="preserve">, </w:t>
      </w:r>
      <w:r w:rsidR="009503F0" w:rsidRPr="0026301A">
        <w:t xml:space="preserve">consistent with </w:t>
      </w:r>
      <w:r w:rsidR="0015717C" w:rsidRPr="0026301A">
        <w:t>major group</w:t>
      </w:r>
      <w:r w:rsidR="0096193A" w:rsidRPr="0026301A">
        <w:t xml:space="preserve"> results</w:t>
      </w:r>
      <w:r w:rsidR="00183E2E" w:rsidRPr="0026301A">
        <w:t>.</w:t>
      </w:r>
      <w:r w:rsidR="0096193A" w:rsidRPr="0026301A">
        <w:t xml:space="preserve"> </w:t>
      </w:r>
    </w:p>
    <w:p w14:paraId="6E4DCD10" w14:textId="100D347A" w:rsidR="00485DAB" w:rsidRPr="0026301A" w:rsidRDefault="00D02E46" w:rsidP="00485DAB">
      <w:pPr>
        <w:pStyle w:val="Caption"/>
      </w:pPr>
      <w:bookmarkStart w:id="33" w:name="_Ref207794021"/>
      <w:bookmarkStart w:id="34" w:name="_Ref207885640"/>
      <w:bookmarkStart w:id="35" w:name="_Toc211349847"/>
      <w:r w:rsidRPr="0026301A">
        <w:t xml:space="preserve">Figure </w:t>
      </w:r>
      <w:r w:rsidRPr="0026301A">
        <w:fldChar w:fldCharType="begin"/>
      </w:r>
      <w:r w:rsidRPr="0026301A">
        <w:instrText xml:space="preserve"> SEQ Figure \* ARABIC </w:instrText>
      </w:r>
      <w:r w:rsidRPr="0026301A">
        <w:fldChar w:fldCharType="separate"/>
      </w:r>
      <w:r w:rsidR="00FF7A7F">
        <w:rPr>
          <w:noProof/>
        </w:rPr>
        <w:t>4</w:t>
      </w:r>
      <w:r w:rsidRPr="0026301A">
        <w:fldChar w:fldCharType="end"/>
      </w:r>
      <w:bookmarkEnd w:id="33"/>
      <w:bookmarkEnd w:id="34"/>
      <w:r w:rsidR="00485DAB" w:rsidRPr="0026301A">
        <w:t xml:space="preserve">: Percentage of occupations in </w:t>
      </w:r>
      <w:r w:rsidR="009748DB" w:rsidRPr="0026301A">
        <w:t>s</w:t>
      </w:r>
      <w:r w:rsidR="00485DAB" w:rsidRPr="0026301A">
        <w:t>hortage (%), by Skill Level, 2021</w:t>
      </w:r>
      <w:r w:rsidR="00653578" w:rsidRPr="0026301A">
        <w:t xml:space="preserve"> to </w:t>
      </w:r>
      <w:r w:rsidR="00485DAB" w:rsidRPr="0026301A">
        <w:t>2025 OSL</w:t>
      </w:r>
      <w:r w:rsidR="00397D96" w:rsidRPr="0026301A">
        <w:t>s</w:t>
      </w:r>
      <w:r w:rsidR="00F3795C" w:rsidRPr="0026301A">
        <w:t>, OSCA basis</w:t>
      </w:r>
      <w:bookmarkEnd w:id="35"/>
    </w:p>
    <w:p w14:paraId="780922B3" w14:textId="36E0BEE4" w:rsidR="008D0413" w:rsidRPr="0026301A" w:rsidRDefault="00304CEC" w:rsidP="00B50C39">
      <w:pPr>
        <w:pStyle w:val="Source"/>
      </w:pPr>
      <w:r w:rsidRPr="0026301A">
        <w:rPr>
          <w:noProof/>
        </w:rPr>
        <w:drawing>
          <wp:inline distT="0" distB="0" distL="0" distR="0" wp14:anchorId="0713320D" wp14:editId="19F03AC5">
            <wp:extent cx="5732145" cy="3088800"/>
            <wp:effectExtent l="0" t="0" r="1905" b="0"/>
            <wp:docPr id="636013104" name="Chart 1" descr="Figure 4 compares the percentage of occupations in shortage for Skill Levels 1 to 4 between 2024 and 2025, showing that all skill levels experienced lower shortages in 2025.">
              <a:extLst xmlns:a="http://schemas.openxmlformats.org/drawingml/2006/main">
                <a:ext uri="{FF2B5EF4-FFF2-40B4-BE49-F238E27FC236}">
                  <a16:creationId xmlns:a16="http://schemas.microsoft.com/office/drawing/2014/main" id="{F74619C1-E197-C765-2DAD-2EFF7F098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85DAB" w:rsidRPr="0026301A">
        <w:t>Source: Jobs and Skills Australia, O</w:t>
      </w:r>
      <w:r w:rsidR="009748DB" w:rsidRPr="0026301A">
        <w:t>SL</w:t>
      </w:r>
      <w:r w:rsidR="00485DAB" w:rsidRPr="0026301A">
        <w:t>, 2021</w:t>
      </w:r>
      <w:r w:rsidR="00653578" w:rsidRPr="0026301A">
        <w:t xml:space="preserve"> to </w:t>
      </w:r>
      <w:r w:rsidR="00485DAB" w:rsidRPr="0026301A">
        <w:t xml:space="preserve">2025. </w:t>
      </w:r>
      <w:r w:rsidR="00B2645E" w:rsidRPr="0026301A">
        <w:br/>
      </w:r>
      <w:r w:rsidR="00B2645E" w:rsidRPr="0026301A">
        <w:rPr>
          <w:rFonts w:cs="Arial"/>
        </w:rPr>
        <w:t>Note: The figure presents current and past results all on an OSCA basis to support like-for-like comparison</w:t>
      </w:r>
      <w:r w:rsidR="002B404A" w:rsidRPr="0026301A">
        <w:rPr>
          <w:rFonts w:cs="Arial"/>
        </w:rPr>
        <w:t>.</w:t>
      </w:r>
    </w:p>
    <w:p w14:paraId="20D66F0F" w14:textId="6707FCA7" w:rsidR="00027288" w:rsidRPr="0026301A" w:rsidRDefault="00F55E2B" w:rsidP="00027288">
      <w:pPr>
        <w:pStyle w:val="BodyText"/>
      </w:pPr>
      <w:r w:rsidRPr="0026301A">
        <w:t xml:space="preserve">The percentage of Skill Level 1 occupations in shortage </w:t>
      </w:r>
      <w:r w:rsidR="00027288" w:rsidRPr="0026301A">
        <w:t>decrease</w:t>
      </w:r>
      <w:r w:rsidR="002B26D5" w:rsidRPr="0026301A">
        <w:t>d the most</w:t>
      </w:r>
      <w:r w:rsidR="00027288" w:rsidRPr="0026301A">
        <w:t>, from 37%</w:t>
      </w:r>
      <w:r w:rsidR="00997187" w:rsidRPr="0026301A">
        <w:t xml:space="preserve"> in 2024</w:t>
      </w:r>
      <w:r w:rsidR="00027288" w:rsidRPr="0026301A">
        <w:t xml:space="preserve"> to 31%</w:t>
      </w:r>
      <w:r w:rsidR="00997187" w:rsidRPr="0026301A">
        <w:t xml:space="preserve"> in 2025</w:t>
      </w:r>
      <w:r w:rsidR="00027288" w:rsidRPr="0026301A">
        <w:t xml:space="preserve">. The decrease in shortage for skill levels 2 to 4 ranged from </w:t>
      </w:r>
      <w:r w:rsidR="0018569E" w:rsidRPr="0026301A">
        <w:br/>
      </w:r>
      <w:r w:rsidR="004C4493" w:rsidRPr="0026301A">
        <w:t>2</w:t>
      </w:r>
      <w:r w:rsidR="00027288" w:rsidRPr="0026301A">
        <w:t xml:space="preserve"> to 3 percentage points.</w:t>
      </w:r>
    </w:p>
    <w:p w14:paraId="00327DD4" w14:textId="2E128219" w:rsidR="00027288" w:rsidRPr="0026301A" w:rsidRDefault="00027288" w:rsidP="00027288">
      <w:pPr>
        <w:pStyle w:val="BodyText"/>
      </w:pPr>
      <w:r w:rsidRPr="0026301A">
        <w:t xml:space="preserve">Even though there </w:t>
      </w:r>
      <w:r w:rsidR="000C74E5" w:rsidRPr="0026301A">
        <w:t xml:space="preserve">were </w:t>
      </w:r>
      <w:r w:rsidRPr="0026301A">
        <w:t xml:space="preserve">fewer occupations in shortage across the skill level groups, </w:t>
      </w:r>
      <w:r w:rsidR="00A24445" w:rsidRPr="0026301A">
        <w:t xml:space="preserve">the likelihood of </w:t>
      </w:r>
      <w:r w:rsidRPr="0026301A">
        <w:t>shortage</w:t>
      </w:r>
      <w:r w:rsidR="00A24445" w:rsidRPr="0026301A">
        <w:t>s</w:t>
      </w:r>
      <w:r w:rsidRPr="0026301A">
        <w:t xml:space="preserve"> remain</w:t>
      </w:r>
      <w:r w:rsidR="00A24445" w:rsidRPr="0026301A">
        <w:t>s</w:t>
      </w:r>
      <w:r w:rsidRPr="0026301A">
        <w:t xml:space="preserve"> high for: </w:t>
      </w:r>
    </w:p>
    <w:p w14:paraId="2C11EB9C" w14:textId="105016EF" w:rsidR="00027288" w:rsidRPr="0026301A" w:rsidRDefault="00027288" w:rsidP="00027288">
      <w:pPr>
        <w:pStyle w:val="ListBullet"/>
        <w:numPr>
          <w:ilvl w:val="0"/>
          <w:numId w:val="4"/>
        </w:numPr>
      </w:pPr>
      <w:r w:rsidRPr="0026301A">
        <w:t>Skill Level 1 occupations (31% in shortage)</w:t>
      </w:r>
      <w:r w:rsidR="00032CD1" w:rsidRPr="0026301A">
        <w:t>;</w:t>
      </w:r>
      <w:r w:rsidRPr="0026301A" w:rsidDel="00032CD1">
        <w:t xml:space="preserve"> </w:t>
      </w:r>
      <w:r w:rsidR="00032CD1" w:rsidRPr="0026301A">
        <w:t xml:space="preserve">these </w:t>
      </w:r>
      <w:r w:rsidRPr="0026301A">
        <w:t xml:space="preserve">are associated with a </w:t>
      </w:r>
      <w:proofErr w:type="gramStart"/>
      <w:r w:rsidRPr="0026301A">
        <w:t>bachelor</w:t>
      </w:r>
      <w:proofErr w:type="gramEnd"/>
      <w:r w:rsidRPr="0026301A">
        <w:t xml:space="preserve"> degree or above and have higher education as the primary pathway to the labour market </w:t>
      </w:r>
    </w:p>
    <w:p w14:paraId="46887EFD" w14:textId="5A9591CA" w:rsidR="00027288" w:rsidRPr="0026301A" w:rsidRDefault="00027288" w:rsidP="00027288">
      <w:pPr>
        <w:pStyle w:val="ListBullet"/>
        <w:numPr>
          <w:ilvl w:val="0"/>
          <w:numId w:val="4"/>
        </w:numPr>
      </w:pPr>
      <w:r w:rsidRPr="0026301A">
        <w:t>Skill Level 3 occupations (43% in shortage)</w:t>
      </w:r>
      <w:r w:rsidR="00C56468" w:rsidRPr="0026301A">
        <w:t>; these</w:t>
      </w:r>
      <w:r w:rsidRPr="0026301A" w:rsidDel="00C56468">
        <w:t xml:space="preserve"> </w:t>
      </w:r>
      <w:r w:rsidRPr="0026301A">
        <w:t xml:space="preserve">typically require a Certificate III/IV and </w:t>
      </w:r>
      <w:r w:rsidR="00203BC8" w:rsidRPr="0026301A">
        <w:t xml:space="preserve">with </w:t>
      </w:r>
      <w:r w:rsidRPr="0026301A">
        <w:t>Vocational Education and Training</w:t>
      </w:r>
      <w:r w:rsidR="00C56468" w:rsidRPr="0026301A">
        <w:t xml:space="preserve"> </w:t>
      </w:r>
      <w:r w:rsidR="001B1D3B" w:rsidRPr="0026301A">
        <w:t>as the primary pathway to the labour market</w:t>
      </w:r>
      <w:r w:rsidR="00451040" w:rsidRPr="0026301A">
        <w:t>,</w:t>
      </w:r>
      <w:r w:rsidRPr="0026301A">
        <w:t xml:space="preserve"> </w:t>
      </w:r>
      <w:r w:rsidR="00203BC8" w:rsidRPr="0026301A">
        <w:t>including</w:t>
      </w:r>
      <w:r w:rsidR="00203BC8" w:rsidRPr="0026301A" w:rsidDel="00451040">
        <w:t xml:space="preserve"> </w:t>
      </w:r>
      <w:r w:rsidR="00451040" w:rsidRPr="0026301A">
        <w:t xml:space="preserve">through </w:t>
      </w:r>
      <w:r w:rsidR="00203BC8" w:rsidRPr="0026301A">
        <w:t>apprenticeship</w:t>
      </w:r>
      <w:r w:rsidR="00451040" w:rsidRPr="0026301A">
        <w:t>s.</w:t>
      </w:r>
    </w:p>
    <w:p w14:paraId="40DCBA27" w14:textId="77777777" w:rsidR="00BB4A16" w:rsidRPr="0026301A" w:rsidRDefault="00BB4A16">
      <w:pPr>
        <w:spacing w:before="0" w:after="200" w:line="276" w:lineRule="auto"/>
        <w:rPr>
          <w:rFonts w:eastAsia="Times New Roman" w:cs="Arial"/>
          <w:b/>
          <w:iCs/>
          <w:color w:val="2F005F"/>
          <w:sz w:val="32"/>
          <w:szCs w:val="28"/>
          <w:lang w:eastAsia="en-AU"/>
        </w:rPr>
      </w:pPr>
      <w:r w:rsidRPr="0026301A">
        <w:br w:type="page"/>
      </w:r>
    </w:p>
    <w:p w14:paraId="46532B0B" w14:textId="5903B09C" w:rsidR="000948C9" w:rsidRPr="0026301A" w:rsidRDefault="000948C9" w:rsidP="00192924">
      <w:pPr>
        <w:pStyle w:val="Heading2"/>
      </w:pPr>
      <w:bookmarkStart w:id="36" w:name="_Toc226611473"/>
      <w:r w:rsidRPr="0026301A">
        <w:lastRenderedPageBreak/>
        <w:t xml:space="preserve">Summary of </w:t>
      </w:r>
      <w:r w:rsidR="00404533" w:rsidRPr="0026301A">
        <w:t xml:space="preserve">select </w:t>
      </w:r>
      <w:r w:rsidR="006D60C3" w:rsidRPr="0026301A">
        <w:t xml:space="preserve">OSL </w:t>
      </w:r>
      <w:r w:rsidRPr="0026301A">
        <w:t>indicators</w:t>
      </w:r>
      <w:bookmarkEnd w:id="36"/>
    </w:p>
    <w:p w14:paraId="21C0B47A" w14:textId="0BCFD573" w:rsidR="007C3D75" w:rsidRPr="0026301A" w:rsidRDefault="007C3D75" w:rsidP="00192924">
      <w:pPr>
        <w:pStyle w:val="Heading3"/>
      </w:pPr>
      <w:bookmarkStart w:id="37" w:name="_Toc226611474"/>
      <w:r w:rsidRPr="0026301A">
        <w:t xml:space="preserve">Labour market indicators suggest easing </w:t>
      </w:r>
      <w:r w:rsidR="00887D56" w:rsidRPr="0026301A">
        <w:t>conditions</w:t>
      </w:r>
      <w:bookmarkEnd w:id="37"/>
      <w:r w:rsidR="00887D56" w:rsidRPr="0026301A">
        <w:t xml:space="preserve"> </w:t>
      </w:r>
    </w:p>
    <w:p w14:paraId="4FDA0A94" w14:textId="118C2142" w:rsidR="00E64DC0" w:rsidRPr="0026301A" w:rsidRDefault="00FC68A2" w:rsidP="0046702B">
      <w:pPr>
        <w:pStyle w:val="BodyText"/>
      </w:pPr>
      <w:r w:rsidRPr="0026301A">
        <w:t xml:space="preserve">The </w:t>
      </w:r>
      <w:r w:rsidR="00F03475" w:rsidRPr="0026301A">
        <w:t xml:space="preserve">overall OSL </w:t>
      </w:r>
      <w:r w:rsidRPr="0026301A">
        <w:t xml:space="preserve">results reflect </w:t>
      </w:r>
      <w:r w:rsidR="006B27DE" w:rsidRPr="0026301A">
        <w:t xml:space="preserve">softening </w:t>
      </w:r>
      <w:r w:rsidR="00FC5F55" w:rsidRPr="0026301A">
        <w:t xml:space="preserve">trends in </w:t>
      </w:r>
      <w:r w:rsidR="00451040" w:rsidRPr="0026301A">
        <w:t xml:space="preserve">the </w:t>
      </w:r>
      <w:r w:rsidR="00FC5F55" w:rsidRPr="0026301A">
        <w:t xml:space="preserve">labour market </w:t>
      </w:r>
      <w:r w:rsidR="005E7974" w:rsidRPr="0026301A">
        <w:t xml:space="preserve">as suggested </w:t>
      </w:r>
      <w:r w:rsidR="006B27DE" w:rsidRPr="0026301A">
        <w:t>by</w:t>
      </w:r>
      <w:r w:rsidR="00CB6B4D" w:rsidRPr="0026301A">
        <w:t xml:space="preserve"> Jobs and Skills Australia </w:t>
      </w:r>
      <w:r w:rsidR="006B27DE" w:rsidRPr="0026301A">
        <w:t xml:space="preserve">labour market </w:t>
      </w:r>
      <w:r w:rsidR="00FC5F55" w:rsidRPr="0026301A">
        <w:t>indicators</w:t>
      </w:r>
      <w:r w:rsidR="00482792" w:rsidRPr="0026301A">
        <w:t>.</w:t>
      </w:r>
      <w:r w:rsidR="00CB6B4D" w:rsidRPr="0026301A">
        <w:t xml:space="preserve"> These include</w:t>
      </w:r>
      <w:r w:rsidR="008B0BFE" w:rsidRPr="0026301A">
        <w:t xml:space="preserve"> the following</w:t>
      </w:r>
      <w:r w:rsidR="00CB6B4D" w:rsidRPr="0026301A">
        <w:t>:</w:t>
      </w:r>
    </w:p>
    <w:p w14:paraId="36AEFB50" w14:textId="4582BD37" w:rsidR="00E64DC0" w:rsidRPr="0026301A" w:rsidRDefault="00FC68A2" w:rsidP="0046702B">
      <w:pPr>
        <w:pStyle w:val="ListBullet"/>
      </w:pPr>
      <w:r w:rsidRPr="0026301A">
        <w:t>Internet Vacancy Index (IVI)</w:t>
      </w:r>
      <w:r w:rsidR="00624DF2" w:rsidRPr="0026301A">
        <w:t>,</w:t>
      </w:r>
      <w:r w:rsidRPr="0026301A">
        <w:t xml:space="preserve"> </w:t>
      </w:r>
      <w:r w:rsidR="006B51CB" w:rsidRPr="0026301A">
        <w:t xml:space="preserve">which </w:t>
      </w:r>
      <w:r w:rsidR="00F03614" w:rsidRPr="0026301A">
        <w:t>show</w:t>
      </w:r>
      <w:r w:rsidR="00FF4E35" w:rsidRPr="0026301A">
        <w:t>ed</w:t>
      </w:r>
      <w:r w:rsidR="00F03614" w:rsidRPr="0026301A">
        <w:t xml:space="preserve"> </w:t>
      </w:r>
      <w:r w:rsidRPr="0026301A">
        <w:t xml:space="preserve">that monthly online job </w:t>
      </w:r>
      <w:r w:rsidR="002E210C" w:rsidRPr="0026301A">
        <w:t xml:space="preserve">vacancies </w:t>
      </w:r>
      <w:r w:rsidR="00F03614" w:rsidRPr="0026301A">
        <w:t xml:space="preserve">have been </w:t>
      </w:r>
      <w:r w:rsidR="002E210C" w:rsidRPr="0026301A">
        <w:t xml:space="preserve">falling </w:t>
      </w:r>
      <w:r w:rsidR="00210AA4" w:rsidRPr="0026301A">
        <w:t>over</w:t>
      </w:r>
      <w:r w:rsidR="00535954" w:rsidRPr="0026301A">
        <w:t xml:space="preserve"> </w:t>
      </w:r>
      <w:r w:rsidR="00210AA4" w:rsidRPr="0026301A">
        <w:t xml:space="preserve">time. </w:t>
      </w:r>
      <w:r w:rsidR="00FA0638" w:rsidRPr="0026301A">
        <w:t xml:space="preserve">It </w:t>
      </w:r>
      <w:r w:rsidRPr="0026301A">
        <w:t xml:space="preserve">fell 6.7% </w:t>
      </w:r>
      <w:r w:rsidR="00457E3D" w:rsidRPr="0026301A">
        <w:t xml:space="preserve">from </w:t>
      </w:r>
      <w:r w:rsidRPr="0026301A">
        <w:t>228,800 in June 2024 to 213,500 in June 2025</w:t>
      </w:r>
      <w:r w:rsidR="00E07847" w:rsidRPr="0026301A">
        <w:t>.</w:t>
      </w:r>
      <w:r w:rsidRPr="0026301A">
        <w:t xml:space="preserve"> </w:t>
      </w:r>
    </w:p>
    <w:p w14:paraId="7757C50B" w14:textId="0ABCDAEE" w:rsidR="00FE4B38" w:rsidRPr="0026301A" w:rsidRDefault="00FC68A2" w:rsidP="0046702B">
      <w:pPr>
        <w:pStyle w:val="ListBullet"/>
      </w:pPr>
      <w:r w:rsidRPr="0026301A">
        <w:t>Recruitment Experiences and Outlook Survey (REOS)</w:t>
      </w:r>
      <w:r w:rsidR="008B0BFE" w:rsidRPr="0026301A">
        <w:t>,</w:t>
      </w:r>
      <w:r w:rsidRPr="0026301A">
        <w:t xml:space="preserve"> </w:t>
      </w:r>
      <w:r w:rsidR="00055E96" w:rsidRPr="0026301A">
        <w:t xml:space="preserve">which </w:t>
      </w:r>
      <w:r w:rsidRPr="0026301A">
        <w:t>indicate</w:t>
      </w:r>
      <w:r w:rsidR="000C09EE" w:rsidRPr="0026301A">
        <w:t>d</w:t>
      </w:r>
      <w:r w:rsidR="008710FE" w:rsidRPr="0026301A">
        <w:t xml:space="preserve"> </w:t>
      </w:r>
      <w:r w:rsidRPr="0026301A" w:rsidDel="00055E96">
        <w:t xml:space="preserve">that </w:t>
      </w:r>
      <w:r w:rsidRPr="0026301A">
        <w:t>the recruitment difficulty rate fell from 55% in June 2024 to 44% in June 2025</w:t>
      </w:r>
      <w:r w:rsidR="00E07847" w:rsidRPr="0026301A">
        <w:t>.</w:t>
      </w:r>
      <w:r w:rsidR="008823E3" w:rsidRPr="0026301A">
        <w:rPr>
          <w:rStyle w:val="FootnoteReference"/>
        </w:rPr>
        <w:footnoteReference w:id="14"/>
      </w:r>
    </w:p>
    <w:p w14:paraId="0BD26733" w14:textId="0C03E7F5" w:rsidR="009F3E69" w:rsidRPr="0026301A" w:rsidRDefault="00FC68A2" w:rsidP="0046702B">
      <w:pPr>
        <w:pStyle w:val="ListBullet"/>
        <w:spacing w:before="0" w:after="200"/>
      </w:pPr>
      <w:r w:rsidRPr="0026301A">
        <w:t>Survey of Employers who have Recently Advertised (SERA)</w:t>
      </w:r>
      <w:r w:rsidR="0066104D" w:rsidRPr="0026301A">
        <w:t>,</w:t>
      </w:r>
      <w:r w:rsidR="00FE4B38" w:rsidRPr="0026301A">
        <w:t xml:space="preserve"> </w:t>
      </w:r>
      <w:r w:rsidR="00046015" w:rsidRPr="0026301A">
        <w:t xml:space="preserve">which </w:t>
      </w:r>
      <w:r w:rsidR="009F3E69" w:rsidRPr="0026301A">
        <w:t>suggest</w:t>
      </w:r>
      <w:r w:rsidR="000C09EE" w:rsidRPr="0026301A">
        <w:t>ed</w:t>
      </w:r>
      <w:r w:rsidR="009F3E69" w:rsidRPr="0026301A">
        <w:t xml:space="preserve"> </w:t>
      </w:r>
      <w:r w:rsidRPr="0026301A">
        <w:t xml:space="preserve">that the fill rate increased </w:t>
      </w:r>
      <w:r w:rsidR="00A0103B" w:rsidRPr="0026301A">
        <w:t xml:space="preserve">from 68.7% in June 2024 </w:t>
      </w:r>
      <w:r w:rsidRPr="0026301A">
        <w:t>to 70.9% in June 2025</w:t>
      </w:r>
      <w:r w:rsidR="00117397" w:rsidRPr="0026301A">
        <w:t>.</w:t>
      </w:r>
    </w:p>
    <w:p w14:paraId="15B22D8F" w14:textId="6289FA45" w:rsidR="00A26EFB" w:rsidRPr="0026301A" w:rsidRDefault="00C01054" w:rsidP="0046702B">
      <w:pPr>
        <w:pStyle w:val="BodyText"/>
      </w:pPr>
      <w:r w:rsidRPr="0026301A">
        <w:fldChar w:fldCharType="begin"/>
      </w:r>
      <w:r w:rsidRPr="0026301A">
        <w:instrText xml:space="preserve"> REF _Ref207885690 \h </w:instrText>
      </w:r>
      <w:r w:rsidR="0026301A">
        <w:instrText xml:space="preserve"> \* MERGEFORMAT </w:instrText>
      </w:r>
      <w:r w:rsidRPr="0026301A">
        <w:fldChar w:fldCharType="separate"/>
      </w:r>
      <w:r w:rsidR="00FF7A7F" w:rsidRPr="0026301A">
        <w:t xml:space="preserve">Figure </w:t>
      </w:r>
      <w:r w:rsidR="00FF7A7F">
        <w:rPr>
          <w:noProof/>
        </w:rPr>
        <w:t>5</w:t>
      </w:r>
      <w:r w:rsidRPr="0026301A">
        <w:fldChar w:fldCharType="end"/>
      </w:r>
      <w:r w:rsidRPr="0026301A">
        <w:t xml:space="preserve"> </w:t>
      </w:r>
      <w:r w:rsidR="00117397" w:rsidRPr="0026301A">
        <w:t xml:space="preserve">shows </w:t>
      </w:r>
      <w:r w:rsidR="00680AED" w:rsidRPr="0026301A">
        <w:t>an</w:t>
      </w:r>
      <w:r w:rsidR="00117397" w:rsidRPr="0026301A" w:rsidDel="00680AED">
        <w:t xml:space="preserve"> </w:t>
      </w:r>
      <w:r w:rsidR="00117397" w:rsidRPr="0026301A">
        <w:t>index</w:t>
      </w:r>
      <w:r w:rsidR="00680AED" w:rsidRPr="0026301A">
        <w:t>ed</w:t>
      </w:r>
      <w:r w:rsidR="00117397" w:rsidRPr="0026301A">
        <w:t xml:space="preserve"> </w:t>
      </w:r>
      <w:r w:rsidR="00680AED" w:rsidRPr="0026301A">
        <w:t xml:space="preserve">comparison </w:t>
      </w:r>
      <w:r w:rsidR="00117397" w:rsidRPr="0026301A">
        <w:t xml:space="preserve">of IVI, recruitment difficulty rate and SERA fill rate. </w:t>
      </w:r>
      <w:r w:rsidR="00363F9A" w:rsidRPr="0026301A">
        <w:t xml:space="preserve">That is, each </w:t>
      </w:r>
      <w:r w:rsidR="00534046" w:rsidRPr="0026301A">
        <w:t>metric</w:t>
      </w:r>
      <w:r w:rsidR="00363F9A" w:rsidRPr="0026301A">
        <w:t xml:space="preserve"> is </w:t>
      </w:r>
      <w:r w:rsidR="00534046" w:rsidRPr="0026301A">
        <w:t>place</w:t>
      </w:r>
      <w:r w:rsidR="00A57D62" w:rsidRPr="0026301A">
        <w:t>d</w:t>
      </w:r>
      <w:r w:rsidR="00534046" w:rsidRPr="0026301A" w:rsidDel="00A57D62">
        <w:t xml:space="preserve"> </w:t>
      </w:r>
      <w:r w:rsidR="00534046" w:rsidRPr="0026301A">
        <w:t>on the same number scale</w:t>
      </w:r>
      <w:r w:rsidR="007502DB" w:rsidRPr="0026301A">
        <w:t xml:space="preserve">, using </w:t>
      </w:r>
      <w:r w:rsidR="00B3122A" w:rsidRPr="0026301A">
        <w:t xml:space="preserve">a value of </w:t>
      </w:r>
      <w:r w:rsidR="007502DB" w:rsidRPr="0026301A">
        <w:t xml:space="preserve">100 </w:t>
      </w:r>
      <w:r w:rsidR="00F308AD" w:rsidRPr="0026301A">
        <w:t xml:space="preserve">at June 2023 </w:t>
      </w:r>
      <w:r w:rsidR="007502DB" w:rsidRPr="0026301A">
        <w:t xml:space="preserve">as a </w:t>
      </w:r>
      <w:r w:rsidR="00E83426" w:rsidRPr="0026301A">
        <w:t>reference point for all 3</w:t>
      </w:r>
      <w:r w:rsidR="002801F4" w:rsidRPr="0026301A">
        <w:t xml:space="preserve"> metrics</w:t>
      </w:r>
      <w:r w:rsidR="00F308AD" w:rsidRPr="0026301A">
        <w:t xml:space="preserve">. This </w:t>
      </w:r>
      <w:r w:rsidR="00507142" w:rsidRPr="0026301A">
        <w:t xml:space="preserve">allows them to be </w:t>
      </w:r>
      <w:r w:rsidR="00F308AD" w:rsidRPr="0026301A">
        <w:t xml:space="preserve">easily </w:t>
      </w:r>
      <w:r w:rsidR="00507142" w:rsidRPr="0026301A">
        <w:t>compared</w:t>
      </w:r>
      <w:r w:rsidR="00124F01" w:rsidRPr="0026301A">
        <w:t>.</w:t>
      </w:r>
      <w:r w:rsidR="00534046" w:rsidRPr="0026301A">
        <w:t xml:space="preserve"> </w:t>
      </w:r>
      <w:r w:rsidR="00754CEF" w:rsidRPr="0026301A">
        <w:t>From a value of 100:</w:t>
      </w:r>
    </w:p>
    <w:p w14:paraId="625864D0" w14:textId="38748BFA" w:rsidR="00117397" w:rsidRPr="0026301A" w:rsidRDefault="00AF2746" w:rsidP="0046702B">
      <w:pPr>
        <w:pStyle w:val="ListBullet"/>
      </w:pPr>
      <w:r w:rsidRPr="0026301A">
        <w:t xml:space="preserve">IVI and </w:t>
      </w:r>
      <w:r w:rsidR="008102D5" w:rsidRPr="0026301A">
        <w:t xml:space="preserve">the recruitment difficulty rate </w:t>
      </w:r>
      <w:r w:rsidR="00BF7A66" w:rsidRPr="0026301A">
        <w:t>ind</w:t>
      </w:r>
      <w:r w:rsidR="005A73CF" w:rsidRPr="0026301A">
        <w:t>exes</w:t>
      </w:r>
      <w:r w:rsidR="006B3F94" w:rsidRPr="0026301A">
        <w:t xml:space="preserve"> </w:t>
      </w:r>
      <w:r w:rsidR="00B43E09" w:rsidRPr="0026301A">
        <w:t xml:space="preserve">decreased </w:t>
      </w:r>
      <w:r w:rsidR="00A26EFB" w:rsidRPr="0026301A">
        <w:t xml:space="preserve">to </w:t>
      </w:r>
      <w:r w:rsidR="005C42CC" w:rsidRPr="0026301A">
        <w:t>77</w:t>
      </w:r>
      <w:r w:rsidR="00F435AD" w:rsidRPr="0026301A">
        <w:t xml:space="preserve"> and 70, respectively, in June 2025</w:t>
      </w:r>
    </w:p>
    <w:p w14:paraId="70AB6D14" w14:textId="6A2AD294" w:rsidR="00F435AD" w:rsidRPr="0026301A" w:rsidRDefault="00F435AD" w:rsidP="0046702B">
      <w:pPr>
        <w:pStyle w:val="ListBullet"/>
      </w:pPr>
      <w:r w:rsidRPr="0026301A">
        <w:t>SERA fill rate</w:t>
      </w:r>
      <w:r w:rsidR="00534046" w:rsidRPr="0026301A">
        <w:t xml:space="preserve"> </w:t>
      </w:r>
      <w:r w:rsidR="00D52A35" w:rsidRPr="0026301A">
        <w:t xml:space="preserve">index </w:t>
      </w:r>
      <w:r w:rsidR="00CA637C" w:rsidRPr="0026301A">
        <w:t xml:space="preserve">increased </w:t>
      </w:r>
      <w:r w:rsidR="00534046" w:rsidRPr="0026301A">
        <w:t xml:space="preserve">to </w:t>
      </w:r>
      <w:r w:rsidR="00D52A35" w:rsidRPr="0026301A">
        <w:t xml:space="preserve">almost </w:t>
      </w:r>
      <w:r w:rsidR="00534046" w:rsidRPr="0026301A">
        <w:t>120 in June 2025.</w:t>
      </w:r>
    </w:p>
    <w:p w14:paraId="3FA08348" w14:textId="7F2FE4EC" w:rsidR="00C14E80" w:rsidRPr="0026301A" w:rsidRDefault="0008218A" w:rsidP="00192924">
      <w:pPr>
        <w:pStyle w:val="BodyText"/>
      </w:pPr>
      <w:r w:rsidRPr="0026301A">
        <w:t xml:space="preserve">This </w:t>
      </w:r>
      <w:r w:rsidR="002F7981" w:rsidRPr="0026301A">
        <w:t xml:space="preserve">suggests </w:t>
      </w:r>
      <w:r w:rsidR="00684482" w:rsidRPr="0026301A">
        <w:t>that</w:t>
      </w:r>
      <w:r w:rsidR="002D65A8" w:rsidRPr="0026301A">
        <w:t xml:space="preserve"> –</w:t>
      </w:r>
      <w:r w:rsidR="00684482" w:rsidRPr="0026301A">
        <w:t xml:space="preserve"> </w:t>
      </w:r>
      <w:r w:rsidR="007D5E1E" w:rsidRPr="0026301A">
        <w:t>consistent with the last 2 years</w:t>
      </w:r>
      <w:r w:rsidR="002D65A8" w:rsidRPr="0026301A">
        <w:t xml:space="preserve"> –</w:t>
      </w:r>
      <w:r w:rsidR="002F7981" w:rsidRPr="0026301A">
        <w:t xml:space="preserve"> demand for skilled labour </w:t>
      </w:r>
      <w:r w:rsidRPr="0026301A">
        <w:t xml:space="preserve">has </w:t>
      </w:r>
      <w:r w:rsidR="002F7981" w:rsidRPr="0026301A">
        <w:t xml:space="preserve">eased and </w:t>
      </w:r>
      <w:r w:rsidR="00684482" w:rsidRPr="0026301A">
        <w:t xml:space="preserve">employers' ability to fill vacancies </w:t>
      </w:r>
      <w:r w:rsidR="00D15E41" w:rsidRPr="0026301A">
        <w:t xml:space="preserve">has </w:t>
      </w:r>
      <w:r w:rsidR="00BD6709" w:rsidRPr="0026301A">
        <w:t>improved</w:t>
      </w:r>
      <w:r w:rsidR="00684482" w:rsidRPr="0026301A">
        <w:t xml:space="preserve">. </w:t>
      </w:r>
    </w:p>
    <w:p w14:paraId="5819A6CA" w14:textId="55A72385" w:rsidR="00684482" w:rsidRPr="0026301A" w:rsidRDefault="00C01054" w:rsidP="00C01054">
      <w:pPr>
        <w:pStyle w:val="Caption"/>
      </w:pPr>
      <w:bookmarkStart w:id="38" w:name="_Ref207885690"/>
      <w:bookmarkStart w:id="39" w:name="_Toc211349848"/>
      <w:bookmarkStart w:id="40" w:name="_Ref207794117"/>
      <w:r w:rsidRPr="0026301A">
        <w:t xml:space="preserve">Figure </w:t>
      </w:r>
      <w:r w:rsidRPr="0026301A">
        <w:fldChar w:fldCharType="begin"/>
      </w:r>
      <w:r w:rsidRPr="0026301A">
        <w:instrText xml:space="preserve"> SEQ Figure \* ARABIC </w:instrText>
      </w:r>
      <w:r w:rsidRPr="0026301A">
        <w:fldChar w:fldCharType="separate"/>
      </w:r>
      <w:r w:rsidR="00FF7A7F">
        <w:rPr>
          <w:noProof/>
        </w:rPr>
        <w:t>5</w:t>
      </w:r>
      <w:r w:rsidRPr="0026301A">
        <w:fldChar w:fldCharType="end"/>
      </w:r>
      <w:bookmarkEnd w:id="38"/>
      <w:r w:rsidRPr="0026301A">
        <w:t>: Fill rate, recruitment difficulty rate and IVI, Index values (no.), 2023 to 2025</w:t>
      </w:r>
      <w:bookmarkEnd w:id="39"/>
      <w:r w:rsidRPr="0026301A">
        <w:t xml:space="preserve"> </w:t>
      </w:r>
      <w:bookmarkEnd w:id="40"/>
    </w:p>
    <w:p w14:paraId="131EDB35" w14:textId="4BB2F703" w:rsidR="00FC68A2" w:rsidRPr="0026301A" w:rsidRDefault="00CA31D2" w:rsidP="00684482">
      <w:pPr>
        <w:pStyle w:val="Source"/>
      </w:pPr>
      <w:r w:rsidRPr="0026301A">
        <w:rPr>
          <w:bCs w:val="0"/>
          <w:noProof/>
        </w:rPr>
        <w:drawing>
          <wp:inline distT="0" distB="0" distL="0" distR="0" wp14:anchorId="50FB2A8A" wp14:editId="46C42FEF">
            <wp:extent cx="5732145" cy="3060000"/>
            <wp:effectExtent l="0" t="0" r="1905" b="7620"/>
            <wp:docPr id="1656407479" name="Chart 1" descr="Figure 5 shows the index values of the IVI, recruitment difficulty rate and SERA fill rate from June 2023 to June 2025. Starting with a value of 100 from the reference period of June 2023, the IVI and the recruitment difficulty rate have decreased to around 80 and 70, respectively, in June 2025, while the SERA fill rate has increased to about 120 in June 2025.">
              <a:extLst xmlns:a="http://schemas.openxmlformats.org/drawingml/2006/main">
                <a:ext uri="{FF2B5EF4-FFF2-40B4-BE49-F238E27FC236}">
                  <a16:creationId xmlns:a16="http://schemas.microsoft.com/office/drawing/2014/main" id="{040620D8-BBF0-457E-97AE-87803444F5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84482" w:rsidRPr="0026301A">
        <w:br/>
      </w:r>
      <w:r w:rsidR="00FC68A2" w:rsidRPr="0026301A">
        <w:t>Source: Jobs and Skills Australia, I</w:t>
      </w:r>
      <w:r w:rsidR="00D437C8" w:rsidRPr="0026301A">
        <w:t>VI</w:t>
      </w:r>
      <w:r w:rsidR="00FC68A2" w:rsidRPr="0026301A">
        <w:t xml:space="preserve">, </w:t>
      </w:r>
      <w:r w:rsidR="003D5B65" w:rsidRPr="0026301A">
        <w:t>SERA</w:t>
      </w:r>
      <w:r w:rsidR="00984A2E" w:rsidRPr="0026301A">
        <w:t xml:space="preserve"> and</w:t>
      </w:r>
      <w:r w:rsidR="00FC68A2" w:rsidRPr="0026301A">
        <w:t xml:space="preserve"> </w:t>
      </w:r>
      <w:r w:rsidR="008A42B4" w:rsidRPr="0026301A">
        <w:t>REOS</w:t>
      </w:r>
      <w:r w:rsidR="00FC68A2" w:rsidRPr="0026301A">
        <w:t>, 2023</w:t>
      </w:r>
      <w:r w:rsidR="00653578" w:rsidRPr="0026301A">
        <w:t xml:space="preserve"> to </w:t>
      </w:r>
      <w:r w:rsidR="00FC68A2" w:rsidRPr="0026301A">
        <w:t>2025.</w:t>
      </w:r>
    </w:p>
    <w:p w14:paraId="5509853E" w14:textId="77777777" w:rsidR="00B02524" w:rsidRPr="0026301A" w:rsidRDefault="00B02524">
      <w:pPr>
        <w:spacing w:before="0" w:after="200" w:line="276" w:lineRule="auto"/>
      </w:pPr>
      <w:r w:rsidRPr="0026301A">
        <w:br w:type="page"/>
      </w:r>
    </w:p>
    <w:p w14:paraId="3C35BAAA" w14:textId="24328C05" w:rsidR="00B02524" w:rsidRPr="0026301A" w:rsidRDefault="00B02524" w:rsidP="00B02524">
      <w:pPr>
        <w:pStyle w:val="BodyText"/>
      </w:pPr>
      <w:r w:rsidRPr="0026301A">
        <w:lastRenderedPageBreak/>
        <w:t xml:space="preserve">Consistent with </w:t>
      </w:r>
      <w:r w:rsidR="001621CD" w:rsidRPr="0026301A">
        <w:t>signs of easing labour market conditions, t</w:t>
      </w:r>
      <w:r w:rsidRPr="0026301A">
        <w:t xml:space="preserve">he job mobility rate </w:t>
      </w:r>
      <w:r w:rsidR="001621CD" w:rsidRPr="0026301A">
        <w:t>fell</w:t>
      </w:r>
      <w:r w:rsidRPr="0026301A">
        <w:t>.</w:t>
      </w:r>
      <w:r w:rsidR="00337047" w:rsidRPr="0026301A">
        <w:rPr>
          <w:rStyle w:val="FootnoteReference"/>
        </w:rPr>
        <w:footnoteReference w:id="15"/>
      </w:r>
      <w:r w:rsidRPr="0026301A">
        <w:t xml:space="preserve"> </w:t>
      </w:r>
    </w:p>
    <w:p w14:paraId="463E2DE2" w14:textId="656D9681" w:rsidR="005D4C9C" w:rsidRPr="0026301A" w:rsidRDefault="001362B1" w:rsidP="00A55304">
      <w:pPr>
        <w:pStyle w:val="BodyText"/>
      </w:pPr>
      <w:r w:rsidRPr="0026301A">
        <w:t>I</w:t>
      </w:r>
      <w:r w:rsidR="00A55304" w:rsidRPr="0026301A">
        <w:t xml:space="preserve">n the 12 months to February 2025, </w:t>
      </w:r>
      <w:r w:rsidR="00F014B6" w:rsidRPr="0026301A">
        <w:t xml:space="preserve">the </w:t>
      </w:r>
      <w:r w:rsidR="00A55304" w:rsidRPr="0026301A">
        <w:t xml:space="preserve">job mobility rate </w:t>
      </w:r>
      <w:r w:rsidR="00F014B6" w:rsidRPr="0026301A">
        <w:t xml:space="preserve">was </w:t>
      </w:r>
      <w:r w:rsidR="00A55304" w:rsidRPr="0026301A">
        <w:t>7.7%.</w:t>
      </w:r>
      <w:r w:rsidR="00D52F0E" w:rsidRPr="0026301A">
        <w:rPr>
          <w:rStyle w:val="FootnoteReference"/>
        </w:rPr>
        <w:footnoteReference w:id="16"/>
      </w:r>
      <w:r w:rsidR="00A55304" w:rsidRPr="0026301A">
        <w:t xml:space="preserve"> This </w:t>
      </w:r>
      <w:r w:rsidR="00F014B6" w:rsidRPr="0026301A">
        <w:t xml:space="preserve">was </w:t>
      </w:r>
      <w:r w:rsidR="00A55304" w:rsidRPr="0026301A">
        <w:t>below</w:t>
      </w:r>
      <w:r w:rsidR="006B1799" w:rsidRPr="0026301A">
        <w:t xml:space="preserve"> </w:t>
      </w:r>
      <w:r w:rsidR="00A55304" w:rsidRPr="0026301A">
        <w:t>the 8.0% in February 2024</w:t>
      </w:r>
      <w:r w:rsidR="006B1799" w:rsidRPr="0026301A">
        <w:t xml:space="preserve"> and </w:t>
      </w:r>
      <w:r w:rsidR="00A55304" w:rsidRPr="0026301A">
        <w:t>the post-COVID</w:t>
      </w:r>
      <w:r w:rsidR="00EF6A56" w:rsidRPr="0026301A">
        <w:t>-19</w:t>
      </w:r>
      <w:r w:rsidR="00A55304" w:rsidRPr="0026301A">
        <w:t xml:space="preserve"> peak of 9.6% in February 2023</w:t>
      </w:r>
      <w:r w:rsidR="00F014B6" w:rsidRPr="0026301A">
        <w:t xml:space="preserve">. </w:t>
      </w:r>
      <w:r w:rsidR="005A543A" w:rsidRPr="0026301A">
        <w:t>From February 2024 to February 202</w:t>
      </w:r>
      <w:r w:rsidR="00D15E41" w:rsidRPr="0026301A">
        <w:t>5</w:t>
      </w:r>
      <w:r w:rsidR="005A543A" w:rsidRPr="0026301A">
        <w:t>,</w:t>
      </w:r>
      <w:r w:rsidR="00082486" w:rsidRPr="0026301A">
        <w:t xml:space="preserve"> </w:t>
      </w:r>
      <w:r w:rsidR="00C25EEE" w:rsidRPr="0026301A">
        <w:t xml:space="preserve">involuntary separation </w:t>
      </w:r>
      <w:r w:rsidR="00082486" w:rsidRPr="0026301A">
        <w:t>increase</w:t>
      </w:r>
      <w:r w:rsidR="00C25EEE" w:rsidRPr="0026301A">
        <w:t>d</w:t>
      </w:r>
      <w:r w:rsidR="00C10488" w:rsidRPr="0026301A">
        <w:t>.</w:t>
      </w:r>
    </w:p>
    <w:p w14:paraId="5E1757C4" w14:textId="4C3C0F92" w:rsidR="008D523D" w:rsidRPr="0026301A" w:rsidRDefault="00202F8E" w:rsidP="00192924">
      <w:pPr>
        <w:pStyle w:val="Heading3"/>
      </w:pPr>
      <w:bookmarkStart w:id="45" w:name="_Toc226611475"/>
      <w:r w:rsidRPr="0026301A">
        <w:t xml:space="preserve">Predicted occupation fill rates </w:t>
      </w:r>
      <w:r w:rsidR="00177B0E" w:rsidRPr="0026301A">
        <w:t>have improved over</w:t>
      </w:r>
      <w:r w:rsidR="00DF28D5" w:rsidRPr="0026301A">
        <w:t xml:space="preserve"> </w:t>
      </w:r>
      <w:r w:rsidR="00177B0E" w:rsidRPr="0026301A">
        <w:t>time</w:t>
      </w:r>
      <w:bookmarkEnd w:id="45"/>
    </w:p>
    <w:p w14:paraId="45679014" w14:textId="77777777" w:rsidR="009626ED" w:rsidRPr="0026301A" w:rsidRDefault="00053DF6" w:rsidP="006D76B5">
      <w:pPr>
        <w:pStyle w:val="BodyText"/>
      </w:pPr>
      <w:r w:rsidRPr="0026301A">
        <w:t>Estimated fill rates</w:t>
      </w:r>
      <w:r w:rsidR="0060096E" w:rsidRPr="0026301A">
        <w:t xml:space="preserve"> from the </w:t>
      </w:r>
      <w:r w:rsidR="006E2940" w:rsidRPr="0026301A">
        <w:t xml:space="preserve">OSL </w:t>
      </w:r>
      <w:r w:rsidR="0060096E" w:rsidRPr="0026301A">
        <w:t>Gradient Boosting Machine learning model support</w:t>
      </w:r>
      <w:r w:rsidR="00DA1188" w:rsidRPr="0026301A">
        <w:t>s</w:t>
      </w:r>
      <w:r w:rsidR="0060096E" w:rsidRPr="0026301A">
        <w:t xml:space="preserve"> </w:t>
      </w:r>
      <w:r w:rsidR="00023C63" w:rsidRPr="0026301A" w:rsidDel="002B7680">
        <w:t>the</w:t>
      </w:r>
      <w:r w:rsidR="009626ED" w:rsidRPr="0026301A">
        <w:t xml:space="preserve"> trends in</w:t>
      </w:r>
      <w:r w:rsidR="00023C63" w:rsidRPr="0026301A" w:rsidDel="002B7680">
        <w:t xml:space="preserve"> </w:t>
      </w:r>
      <w:r w:rsidR="009626ED" w:rsidRPr="0026301A">
        <w:t xml:space="preserve">the abovementioned </w:t>
      </w:r>
      <w:r w:rsidR="00023C63" w:rsidRPr="0026301A" w:rsidDel="002B7680">
        <w:t>labour market indicators</w:t>
      </w:r>
      <w:r w:rsidR="0060096E" w:rsidRPr="0026301A">
        <w:t>.</w:t>
      </w:r>
      <w:r w:rsidR="003E3CBE" w:rsidRPr="0026301A" w:rsidDel="0060096E">
        <w:t xml:space="preserve"> </w:t>
      </w:r>
    </w:p>
    <w:p w14:paraId="55B892C3" w14:textId="06782FE9" w:rsidR="006D76B5" w:rsidRPr="0026301A" w:rsidRDefault="0060096E" w:rsidP="005B4542">
      <w:pPr>
        <w:pStyle w:val="BodyText"/>
      </w:pPr>
      <w:r w:rsidRPr="0026301A">
        <w:t xml:space="preserve">The </w:t>
      </w:r>
      <w:r w:rsidR="00144629" w:rsidRPr="0026301A">
        <w:t xml:space="preserve">median </w:t>
      </w:r>
      <w:r w:rsidR="003E3CBE" w:rsidRPr="0026301A">
        <w:t>estimated occupation fill rat</w:t>
      </w:r>
      <w:r w:rsidR="003E3CBE" w:rsidRPr="0026301A" w:rsidDel="0060096E">
        <w:t>e</w:t>
      </w:r>
      <w:r w:rsidR="001B0C38" w:rsidRPr="0026301A">
        <w:t>, represented by the middle line</w:t>
      </w:r>
      <w:r w:rsidR="00C75018" w:rsidRPr="0026301A">
        <w:t>s</w:t>
      </w:r>
      <w:r w:rsidR="001B0C38" w:rsidRPr="0026301A">
        <w:t xml:space="preserve"> in the bo</w:t>
      </w:r>
      <w:r w:rsidR="00C75018" w:rsidRPr="0026301A">
        <w:t>xes</w:t>
      </w:r>
      <w:r w:rsidR="003E3CBE" w:rsidRPr="0026301A">
        <w:t xml:space="preserve"> </w:t>
      </w:r>
      <w:r w:rsidR="00C75018" w:rsidRPr="0026301A">
        <w:t>in</w:t>
      </w:r>
      <w:r w:rsidR="00126E75" w:rsidRPr="0026301A">
        <w:t xml:space="preserve"> </w:t>
      </w:r>
      <w:r w:rsidR="00126E75" w:rsidRPr="0026301A">
        <w:fldChar w:fldCharType="begin"/>
      </w:r>
      <w:r w:rsidR="00126E75" w:rsidRPr="0026301A">
        <w:instrText xml:space="preserve"> REF _Ref207885775 \h </w:instrText>
      </w:r>
      <w:r w:rsidR="006D76B5" w:rsidRPr="0026301A">
        <w:instrText xml:space="preserve"> \* MERGEFORMAT </w:instrText>
      </w:r>
      <w:r w:rsidR="00126E75" w:rsidRPr="0026301A">
        <w:fldChar w:fldCharType="separate"/>
      </w:r>
      <w:r w:rsidR="00FF7A7F" w:rsidRPr="0026301A">
        <w:t xml:space="preserve">Figure </w:t>
      </w:r>
      <w:r w:rsidR="00FF7A7F">
        <w:rPr>
          <w:noProof/>
        </w:rPr>
        <w:t>6</w:t>
      </w:r>
      <w:r w:rsidR="00126E75" w:rsidRPr="0026301A">
        <w:fldChar w:fldCharType="end"/>
      </w:r>
      <w:r w:rsidR="00C75018" w:rsidRPr="0026301A">
        <w:t xml:space="preserve">, </w:t>
      </w:r>
      <w:r w:rsidR="00144629" w:rsidRPr="0026301A">
        <w:t xml:space="preserve">increased </w:t>
      </w:r>
      <w:r w:rsidR="00C178DD" w:rsidRPr="0026301A">
        <w:t>over</w:t>
      </w:r>
      <w:r w:rsidR="00535954" w:rsidRPr="0026301A">
        <w:t xml:space="preserve"> </w:t>
      </w:r>
      <w:r w:rsidR="00C178DD" w:rsidRPr="0026301A">
        <w:t xml:space="preserve">time </w:t>
      </w:r>
      <w:r w:rsidR="00365043" w:rsidRPr="0026301A">
        <w:t>from 5</w:t>
      </w:r>
      <w:r w:rsidR="00B3612E" w:rsidRPr="0026301A">
        <w:t>9.2</w:t>
      </w:r>
      <w:r w:rsidR="00365043" w:rsidRPr="0026301A">
        <w:t>% in 2023 to 6</w:t>
      </w:r>
      <w:r w:rsidR="00B3612E" w:rsidRPr="0026301A">
        <w:t>3.4</w:t>
      </w:r>
      <w:r w:rsidR="00365043" w:rsidRPr="0026301A">
        <w:t>% in 2025</w:t>
      </w:r>
      <w:r w:rsidR="003E3CBE" w:rsidRPr="0026301A">
        <w:t>.</w:t>
      </w:r>
      <w:r w:rsidR="001416A3" w:rsidRPr="0026301A">
        <w:rPr>
          <w:rStyle w:val="FootnoteReference"/>
        </w:rPr>
        <w:footnoteReference w:id="17"/>
      </w:r>
      <w:r w:rsidR="009B798E" w:rsidRPr="0026301A" w:rsidDel="009B798E">
        <w:rPr>
          <w:rStyle w:val="FootnoteReference"/>
        </w:rPr>
        <w:t xml:space="preserve"> </w:t>
      </w:r>
      <w:r w:rsidR="0004023D" w:rsidRPr="0026301A">
        <w:t xml:space="preserve"> </w:t>
      </w:r>
    </w:p>
    <w:p w14:paraId="7A4753E0" w14:textId="4271FBBB" w:rsidR="00C57C30" w:rsidRPr="0026301A" w:rsidRDefault="00E3234B" w:rsidP="00C57C30">
      <w:r w:rsidRPr="0026301A">
        <w:rPr>
          <w:rStyle w:val="BodyTextChar"/>
        </w:rPr>
        <w:t xml:space="preserve">The boxplots show fill rates from each year arranged from lowest to highest, then divided into four parts. Each part (“quartile”) is a quarter of the data. </w:t>
      </w:r>
      <w:r w:rsidR="00435D38" w:rsidRPr="0026301A">
        <w:rPr>
          <w:rStyle w:val="BodyTextChar"/>
        </w:rPr>
        <w:t xml:space="preserve">The bottom line of each box </w:t>
      </w:r>
      <w:r w:rsidR="00BC65CF" w:rsidRPr="0026301A">
        <w:rPr>
          <w:rStyle w:val="BodyTextChar"/>
        </w:rPr>
        <w:br/>
      </w:r>
      <w:r w:rsidR="00435D38" w:rsidRPr="0026301A">
        <w:rPr>
          <w:rStyle w:val="BodyTextChar"/>
        </w:rPr>
        <w:t xml:space="preserve">(the 25th percentile) is an occupation with a low fill rate, whereas the top line of each box (the 75th percentile) is an occupation with a high fill rate. Both lines have moved up from 2023 to 2025. </w:t>
      </w:r>
      <w:r w:rsidR="00C57C30" w:rsidRPr="0026301A">
        <w:rPr>
          <w:rStyle w:val="BodyTextChar"/>
        </w:rPr>
        <w:t xml:space="preserve">That is, the boxplots show that the fill rates </w:t>
      </w:r>
      <w:r w:rsidR="007F5AA4" w:rsidRPr="0026301A">
        <w:rPr>
          <w:rStyle w:val="BodyTextChar"/>
        </w:rPr>
        <w:t xml:space="preserve">were </w:t>
      </w:r>
      <w:r w:rsidR="00C57C30" w:rsidRPr="0026301A">
        <w:rPr>
          <w:rStyle w:val="BodyTextChar"/>
        </w:rPr>
        <w:t>increasing</w:t>
      </w:r>
      <w:r w:rsidR="007F5AA4" w:rsidRPr="0026301A">
        <w:rPr>
          <w:rStyle w:val="BodyTextChar"/>
        </w:rPr>
        <w:t xml:space="preserve"> over time</w:t>
      </w:r>
      <w:r w:rsidR="00C57C30" w:rsidRPr="0026301A">
        <w:rPr>
          <w:rStyle w:val="BodyTextChar"/>
        </w:rPr>
        <w:t>.</w:t>
      </w:r>
      <w:r w:rsidR="00C57C30" w:rsidRPr="0026301A">
        <w:rPr>
          <w:rStyle w:val="FootnoteReference"/>
        </w:rPr>
        <w:footnoteReference w:id="18"/>
      </w:r>
      <w:r w:rsidR="00C57C30" w:rsidRPr="0026301A">
        <w:t xml:space="preserve"> </w:t>
      </w:r>
    </w:p>
    <w:p w14:paraId="0921CFD7" w14:textId="699658A9" w:rsidR="003E3CBE" w:rsidRPr="0026301A" w:rsidRDefault="00BB2841" w:rsidP="00BB2841">
      <w:pPr>
        <w:pStyle w:val="Caption"/>
      </w:pPr>
      <w:bookmarkStart w:id="46" w:name="_Ref207885775"/>
      <w:bookmarkStart w:id="47" w:name="_Toc211349849"/>
      <w:bookmarkStart w:id="48" w:name="_Ref176192348"/>
      <w:bookmarkStart w:id="49" w:name="_Ref174547600"/>
      <w:r w:rsidRPr="0026301A">
        <w:t xml:space="preserve">Figure </w:t>
      </w:r>
      <w:r w:rsidRPr="0026301A">
        <w:fldChar w:fldCharType="begin"/>
      </w:r>
      <w:r w:rsidRPr="0026301A">
        <w:instrText xml:space="preserve"> SEQ Figure \* ARABIC </w:instrText>
      </w:r>
      <w:r w:rsidRPr="0026301A">
        <w:fldChar w:fldCharType="separate"/>
      </w:r>
      <w:r w:rsidR="00FF7A7F">
        <w:rPr>
          <w:noProof/>
        </w:rPr>
        <w:t>6</w:t>
      </w:r>
      <w:r w:rsidRPr="0026301A">
        <w:fldChar w:fldCharType="end"/>
      </w:r>
      <w:bookmarkEnd w:id="46"/>
      <w:r w:rsidRPr="0026301A">
        <w:t>: Boxplots of predicted fill rates</w:t>
      </w:r>
      <w:r w:rsidR="00AC5D88" w:rsidRPr="0026301A">
        <w:t xml:space="preserve"> </w:t>
      </w:r>
      <w:r w:rsidRPr="0026301A">
        <w:t>(%) for the 2023, 2024 and 2025 OSLs</w:t>
      </w:r>
      <w:bookmarkEnd w:id="47"/>
      <w:r w:rsidRPr="0026301A">
        <w:t xml:space="preserve"> </w:t>
      </w:r>
      <w:bookmarkEnd w:id="48"/>
      <w:bookmarkEnd w:id="49"/>
    </w:p>
    <w:p w14:paraId="714895FF" w14:textId="00B7F805" w:rsidR="006E4345" w:rsidRPr="0026301A" w:rsidRDefault="002820FD" w:rsidP="00192924">
      <w:pPr>
        <w:pStyle w:val="Source"/>
      </w:pPr>
      <w:r w:rsidRPr="0026301A">
        <w:rPr>
          <w:bCs w:val="0"/>
          <w:noProof/>
        </w:rPr>
        <mc:AlternateContent>
          <mc:Choice Requires="cx1">
            <w:drawing>
              <wp:inline distT="0" distB="0" distL="0" distR="0" wp14:anchorId="2712EF2E" wp14:editId="3904B626">
                <wp:extent cx="5730875" cy="3020906"/>
                <wp:effectExtent l="0" t="0" r="3175" b="8255"/>
                <wp:docPr id="571460858" name="Chart 1" descr="Figure 6 shows the distribution of predicted fill rates in 2023, 2024 and 2025. Reflecting the changes in labour market conditions, the median estimated occupation fill rates have increased incrementally from 59.2% in 2023, to 61.7% in 2024, and 63.4% in 2025.">
                  <a:extLst xmlns:a="http://schemas.openxmlformats.org/drawingml/2006/main">
                    <a:ext uri="{FF2B5EF4-FFF2-40B4-BE49-F238E27FC236}">
                      <a16:creationId xmlns:a16="http://schemas.microsoft.com/office/drawing/2014/main" id="{DA9C7BE0-3A98-3DBE-112F-B674991E021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2712EF2E" wp14:editId="3904B626">
                <wp:extent cx="5730875" cy="3020906"/>
                <wp:effectExtent l="0" t="0" r="3175" b="8255"/>
                <wp:docPr id="571460858" name="Chart 1" descr="Figure 6 shows the distribution of predicted fill rates in 2023, 2024 and 2025. Reflecting the changes in labour market conditions, the median estimated occupation fill rates have increased incrementally from 59.2% in 2023, to 61.7% in 2024, and 63.4% in 2025.">
                  <a:extLst xmlns:a="http://schemas.openxmlformats.org/drawingml/2006/main">
                    <a:ext uri="{FF2B5EF4-FFF2-40B4-BE49-F238E27FC236}">
                      <a16:creationId xmlns:a16="http://schemas.microsoft.com/office/drawing/2014/main" id="{DA9C7BE0-3A98-3DBE-112F-B674991E021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71460858" name="Chart 1" descr="Figure 6 shows the distribution of predicted fill rates in 2023, 2024 and 2025. Reflecting the changes in labour market conditions, the median estimated occupation fill rates have increased incrementally from 59.2% in 2023, to 61.7% in 2024, and 63.4% in 2025.">
                          <a:extLst>
                            <a:ext uri="{FF2B5EF4-FFF2-40B4-BE49-F238E27FC236}">
                              <a16:creationId xmlns:a16="http://schemas.microsoft.com/office/drawing/2014/main" id="{DA9C7BE0-3A98-3DBE-112F-B674991E0216}"/>
                            </a:ext>
                          </a:extLst>
                        </pic:cNvPr>
                        <pic:cNvPicPr>
                          <a:picLocks noGrp="1" noRot="1" noChangeAspect="1" noMove="1" noResize="1" noEditPoints="1" noAdjustHandles="1" noChangeArrowheads="1" noChangeShapeType="1"/>
                        </pic:cNvPicPr>
                      </pic:nvPicPr>
                      <pic:blipFill>
                        <a:blip r:embed="rId25"/>
                        <a:stretch>
                          <a:fillRect/>
                        </a:stretch>
                      </pic:blipFill>
                      <pic:spPr>
                        <a:xfrm>
                          <a:off x="0" y="0"/>
                          <a:ext cx="5730875" cy="3020695"/>
                        </a:xfrm>
                        <a:prstGeom prst="rect">
                          <a:avLst/>
                        </a:prstGeom>
                      </pic:spPr>
                    </pic:pic>
                  </a:graphicData>
                </a:graphic>
              </wp:inline>
            </w:drawing>
          </mc:Fallback>
        </mc:AlternateContent>
      </w:r>
      <w:r w:rsidR="00304225" w:rsidRPr="0026301A">
        <w:br/>
      </w:r>
      <w:r w:rsidR="003E3CBE" w:rsidRPr="0026301A">
        <w:t>Source: Jobs and Skills Australia.</w:t>
      </w:r>
    </w:p>
    <w:p w14:paraId="63DAF41A" w14:textId="77777777" w:rsidR="00EF7F6E" w:rsidRPr="0026301A" w:rsidRDefault="00EF7F6E">
      <w:pPr>
        <w:spacing w:before="0" w:after="200" w:line="276" w:lineRule="auto"/>
      </w:pPr>
      <w:r w:rsidRPr="0026301A">
        <w:br w:type="page"/>
      </w:r>
    </w:p>
    <w:p w14:paraId="54F329D9" w14:textId="681326A1" w:rsidR="000675D0" w:rsidRPr="0026301A" w:rsidRDefault="00E3234B" w:rsidP="00C57C30">
      <w:r w:rsidRPr="0026301A">
        <w:lastRenderedPageBreak/>
        <w:t>Further, the mean estimated fill rate for each year also increased over time from 67% in 2024 to 68% in 2025.</w:t>
      </w:r>
      <w:r w:rsidRPr="0026301A">
        <w:rPr>
          <w:rStyle w:val="FootnoteReference"/>
        </w:rPr>
        <w:footnoteReference w:id="19"/>
      </w:r>
      <w:r w:rsidR="00EF7F6E" w:rsidRPr="0026301A">
        <w:t xml:space="preserve"> </w:t>
      </w:r>
      <w:r w:rsidR="000675D0" w:rsidRPr="0026301A">
        <w:t xml:space="preserve">While the </w:t>
      </w:r>
      <w:r w:rsidR="00122DAC" w:rsidRPr="0026301A">
        <w:t xml:space="preserve">machine learning model </w:t>
      </w:r>
      <w:r w:rsidR="000675D0" w:rsidRPr="0026301A">
        <w:t xml:space="preserve">median </w:t>
      </w:r>
      <w:r w:rsidR="00122DAC" w:rsidRPr="0026301A">
        <w:t xml:space="preserve">and mean </w:t>
      </w:r>
      <w:r w:rsidR="000675D0" w:rsidRPr="0026301A">
        <w:t xml:space="preserve">fill rate </w:t>
      </w:r>
      <w:r w:rsidR="00D83B6C" w:rsidRPr="0026301A">
        <w:t xml:space="preserve">were </w:t>
      </w:r>
      <w:r w:rsidR="00122DAC" w:rsidRPr="0026301A">
        <w:t xml:space="preserve">different to </w:t>
      </w:r>
      <w:r w:rsidR="000675D0" w:rsidRPr="0026301A">
        <w:t xml:space="preserve">those from SERA in </w:t>
      </w:r>
      <w:r w:rsidR="000675D0" w:rsidRPr="0026301A">
        <w:fldChar w:fldCharType="begin"/>
      </w:r>
      <w:r w:rsidR="000675D0" w:rsidRPr="0026301A">
        <w:instrText xml:space="preserve"> REF _Ref207885690 \h </w:instrText>
      </w:r>
      <w:r w:rsidR="0026301A">
        <w:instrText xml:space="preserve"> \* MERGEFORMAT </w:instrText>
      </w:r>
      <w:r w:rsidR="000675D0" w:rsidRPr="0026301A">
        <w:fldChar w:fldCharType="separate"/>
      </w:r>
      <w:r w:rsidR="00FF7A7F" w:rsidRPr="0026301A">
        <w:t xml:space="preserve">Figure </w:t>
      </w:r>
      <w:r w:rsidR="00FF7A7F">
        <w:rPr>
          <w:noProof/>
        </w:rPr>
        <w:t>5</w:t>
      </w:r>
      <w:r w:rsidR="000675D0" w:rsidRPr="0026301A">
        <w:fldChar w:fldCharType="end"/>
      </w:r>
      <w:r w:rsidR="000675D0" w:rsidRPr="0026301A">
        <w:t xml:space="preserve">, </w:t>
      </w:r>
      <w:r w:rsidR="00122DAC" w:rsidRPr="0026301A">
        <w:t xml:space="preserve">the </w:t>
      </w:r>
      <w:r w:rsidR="000675D0" w:rsidRPr="0026301A">
        <w:t xml:space="preserve">fill rates from both sources </w:t>
      </w:r>
      <w:r w:rsidR="007F5AA4" w:rsidRPr="0026301A">
        <w:t xml:space="preserve">were </w:t>
      </w:r>
      <w:r w:rsidR="000675D0" w:rsidRPr="0026301A">
        <w:t>trending up.</w:t>
      </w:r>
      <w:r w:rsidR="000675D0" w:rsidRPr="0026301A">
        <w:rPr>
          <w:rStyle w:val="FootnoteReference"/>
        </w:rPr>
        <w:footnoteReference w:id="20"/>
      </w:r>
    </w:p>
    <w:p w14:paraId="4330FB8C" w14:textId="68688F94" w:rsidR="0001029B" w:rsidRPr="0026301A" w:rsidRDefault="00426F55" w:rsidP="00192924">
      <w:pPr>
        <w:pStyle w:val="Heading3"/>
      </w:pPr>
      <w:bookmarkStart w:id="50" w:name="_Toc226611476"/>
      <w:r w:rsidRPr="0026301A">
        <w:t xml:space="preserve">OSL Stakeholder Survey </w:t>
      </w:r>
      <w:r w:rsidR="00E449DA" w:rsidRPr="0026301A">
        <w:t xml:space="preserve">supports </w:t>
      </w:r>
      <w:r w:rsidR="00524B6E" w:rsidRPr="0026301A">
        <w:t xml:space="preserve">the labour market </w:t>
      </w:r>
      <w:r w:rsidR="00E449DA" w:rsidRPr="0026301A">
        <w:t>indicators</w:t>
      </w:r>
      <w:bookmarkEnd w:id="50"/>
    </w:p>
    <w:p w14:paraId="0214F16C" w14:textId="79547423" w:rsidR="00D264A5" w:rsidRPr="0026301A" w:rsidRDefault="008B5527" w:rsidP="000D33AB">
      <w:pPr>
        <w:pStyle w:val="BodyText"/>
      </w:pPr>
      <w:r w:rsidRPr="0026301A">
        <w:t>Data from the 2025 OSL Stakeholder Survey</w:t>
      </w:r>
      <w:r w:rsidR="00FC1874" w:rsidRPr="0026301A">
        <w:t xml:space="preserve"> </w:t>
      </w:r>
      <w:r w:rsidR="00E141CF" w:rsidRPr="0026301A">
        <w:t xml:space="preserve">is consistent with </w:t>
      </w:r>
      <w:r w:rsidR="008A71C1" w:rsidRPr="0026301A">
        <w:t xml:space="preserve">the </w:t>
      </w:r>
      <w:r w:rsidR="00873655" w:rsidRPr="0026301A">
        <w:t>occupation shortage</w:t>
      </w:r>
      <w:r w:rsidR="004169B6" w:rsidRPr="0026301A">
        <w:t xml:space="preserve"> results</w:t>
      </w:r>
      <w:r w:rsidR="0048733D" w:rsidRPr="0026301A">
        <w:t xml:space="preserve"> previously discussed</w:t>
      </w:r>
      <w:r w:rsidR="00873655" w:rsidRPr="0026301A">
        <w:t xml:space="preserve">. </w:t>
      </w:r>
    </w:p>
    <w:p w14:paraId="66E03C56" w14:textId="105F04E0" w:rsidR="00422AED" w:rsidRPr="0026301A" w:rsidRDefault="005534D6" w:rsidP="000D33AB">
      <w:pPr>
        <w:pStyle w:val="BodyText"/>
      </w:pPr>
      <w:r w:rsidRPr="0026301A">
        <w:t xml:space="preserve">The survey </w:t>
      </w:r>
      <w:r w:rsidR="00336C94" w:rsidRPr="0026301A">
        <w:t xml:space="preserve">included </w:t>
      </w:r>
      <w:r w:rsidR="0061294A" w:rsidRPr="0026301A">
        <w:t xml:space="preserve">questions </w:t>
      </w:r>
      <w:r w:rsidR="007A4C33" w:rsidRPr="0026301A">
        <w:t xml:space="preserve">on </w:t>
      </w:r>
      <w:r w:rsidR="00181DB9" w:rsidRPr="0026301A">
        <w:t xml:space="preserve">vacancy </w:t>
      </w:r>
      <w:r w:rsidR="00861C9F" w:rsidRPr="0026301A">
        <w:t>fill rates</w:t>
      </w:r>
      <w:r w:rsidR="00472A89" w:rsidRPr="0026301A">
        <w:t xml:space="preserve"> and </w:t>
      </w:r>
      <w:r w:rsidR="007A4C33" w:rsidRPr="0026301A">
        <w:t>current</w:t>
      </w:r>
      <w:r w:rsidR="002C6246" w:rsidRPr="0026301A">
        <w:t xml:space="preserve"> </w:t>
      </w:r>
      <w:r w:rsidR="003F63D0" w:rsidRPr="0026301A">
        <w:t xml:space="preserve">supply and </w:t>
      </w:r>
      <w:r w:rsidR="00A152F0" w:rsidRPr="0026301A">
        <w:t xml:space="preserve">change in </w:t>
      </w:r>
      <w:r w:rsidR="002C6246" w:rsidRPr="0026301A">
        <w:t>demand for workers</w:t>
      </w:r>
      <w:r w:rsidR="001C5FE6" w:rsidRPr="0026301A">
        <w:t xml:space="preserve">. </w:t>
      </w:r>
      <w:r w:rsidR="00422AED" w:rsidRPr="0026301A">
        <w:fldChar w:fldCharType="begin"/>
      </w:r>
      <w:r w:rsidR="00422AED" w:rsidRPr="0026301A">
        <w:instrText xml:space="preserve"> REF _Ref207794258 \h </w:instrText>
      </w:r>
      <w:r w:rsidR="0026301A">
        <w:instrText xml:space="preserve"> \* MERGEFORMAT </w:instrText>
      </w:r>
      <w:r w:rsidR="00422AED" w:rsidRPr="0026301A">
        <w:fldChar w:fldCharType="separate"/>
      </w:r>
      <w:r w:rsidR="00FF7A7F" w:rsidRPr="0026301A">
        <w:t xml:space="preserve">Table </w:t>
      </w:r>
      <w:r w:rsidR="00FF7A7F">
        <w:rPr>
          <w:noProof/>
        </w:rPr>
        <w:t>3</w:t>
      </w:r>
      <w:r w:rsidR="00422AED" w:rsidRPr="0026301A">
        <w:fldChar w:fldCharType="end"/>
      </w:r>
      <w:r w:rsidR="00422AED" w:rsidRPr="0026301A">
        <w:t xml:space="preserve"> shows the average fill rates </w:t>
      </w:r>
      <w:r w:rsidR="00011DFF" w:rsidRPr="0026301A">
        <w:t xml:space="preserve">from </w:t>
      </w:r>
      <w:r w:rsidR="005249AC" w:rsidRPr="0026301A">
        <w:t>responses</w:t>
      </w:r>
      <w:r w:rsidR="00EE39BA" w:rsidRPr="0026301A">
        <w:t>,</w:t>
      </w:r>
      <w:r w:rsidR="005249AC" w:rsidRPr="0026301A">
        <w:t xml:space="preserve"> </w:t>
      </w:r>
      <w:r w:rsidR="00E1244B" w:rsidRPr="0026301A">
        <w:t xml:space="preserve">categorised </w:t>
      </w:r>
      <w:r w:rsidR="006B5009" w:rsidRPr="0026301A">
        <w:t xml:space="preserve">by </w:t>
      </w:r>
      <w:r w:rsidR="00C426D4" w:rsidRPr="0026301A">
        <w:t xml:space="preserve">each of the </w:t>
      </w:r>
      <w:r w:rsidR="006B5009" w:rsidRPr="0026301A">
        <w:t xml:space="preserve">supply and demand </w:t>
      </w:r>
      <w:r w:rsidR="00547E95" w:rsidRPr="0026301A">
        <w:t>question</w:t>
      </w:r>
      <w:r w:rsidR="001E2E1A" w:rsidRPr="0026301A">
        <w:t xml:space="preserve"> combinations</w:t>
      </w:r>
      <w:r w:rsidR="00547E95" w:rsidRPr="0026301A">
        <w:t xml:space="preserve">. </w:t>
      </w:r>
    </w:p>
    <w:p w14:paraId="50586D61" w14:textId="096B65B9" w:rsidR="000D33AB" w:rsidRPr="0026301A" w:rsidRDefault="000D33AB" w:rsidP="000D33AB">
      <w:pPr>
        <w:pStyle w:val="Caption"/>
      </w:pPr>
      <w:bookmarkStart w:id="51" w:name="_Ref207794258"/>
      <w:bookmarkStart w:id="52" w:name="_Toc211349857"/>
      <w:r w:rsidRPr="0026301A">
        <w:t xml:space="preserve">Table </w:t>
      </w:r>
      <w:r w:rsidRPr="0026301A">
        <w:fldChar w:fldCharType="begin"/>
      </w:r>
      <w:r w:rsidRPr="0026301A">
        <w:instrText xml:space="preserve"> SEQ Table \* ARABIC </w:instrText>
      </w:r>
      <w:r w:rsidRPr="0026301A">
        <w:fldChar w:fldCharType="separate"/>
      </w:r>
      <w:r w:rsidR="00FF7A7F">
        <w:rPr>
          <w:noProof/>
        </w:rPr>
        <w:t>3</w:t>
      </w:r>
      <w:r w:rsidRPr="0026301A">
        <w:fldChar w:fldCharType="end"/>
      </w:r>
      <w:bookmarkEnd w:id="51"/>
      <w:r w:rsidRPr="0026301A">
        <w:t xml:space="preserve">: </w:t>
      </w:r>
      <w:r w:rsidR="00066D89" w:rsidRPr="0026301A">
        <w:t>F</w:t>
      </w:r>
      <w:r w:rsidRPr="0026301A">
        <w:t xml:space="preserve">ill rates </w:t>
      </w:r>
      <w:r w:rsidR="00066D89" w:rsidRPr="0026301A">
        <w:t xml:space="preserve">from </w:t>
      </w:r>
      <w:r w:rsidRPr="0026301A">
        <w:t xml:space="preserve">2025 OSL Stakeholder Survey </w:t>
      </w:r>
      <w:r w:rsidR="00066D89" w:rsidRPr="0026301A">
        <w:t>responses</w:t>
      </w:r>
      <w:r w:rsidR="001036F1" w:rsidRPr="0026301A">
        <w:t>, by</w:t>
      </w:r>
      <w:r w:rsidR="001A6551" w:rsidRPr="0026301A">
        <w:t xml:space="preserve"> worker</w:t>
      </w:r>
      <w:r w:rsidR="001036F1" w:rsidRPr="0026301A">
        <w:t xml:space="preserve"> s</w:t>
      </w:r>
      <w:r w:rsidR="006E6376" w:rsidRPr="0026301A">
        <w:t>upply and demand</w:t>
      </w:r>
      <w:bookmarkEnd w:id="52"/>
      <w:r w:rsidR="006E6376" w:rsidRPr="0026301A">
        <w:t xml:space="preserve"> </w:t>
      </w:r>
    </w:p>
    <w:tbl>
      <w:tblPr>
        <w:tblStyle w:val="CustomTablebasic"/>
        <w:tblW w:w="0" w:type="auto"/>
        <w:tblLook w:val="04A0" w:firstRow="1" w:lastRow="0" w:firstColumn="1" w:lastColumn="0" w:noHBand="0" w:noVBand="1"/>
      </w:tblPr>
      <w:tblGrid>
        <w:gridCol w:w="2898"/>
        <w:gridCol w:w="1532"/>
        <w:gridCol w:w="1532"/>
        <w:gridCol w:w="1532"/>
        <w:gridCol w:w="1532"/>
      </w:tblGrid>
      <w:tr w:rsidR="006D2383" w:rsidRPr="0026301A" w14:paraId="3576B270" w14:textId="77777777" w:rsidTr="00DB0678">
        <w:trPr>
          <w:cnfStyle w:val="100000000000" w:firstRow="1" w:lastRow="0" w:firstColumn="0" w:lastColumn="0" w:oddVBand="0" w:evenVBand="0" w:oddHBand="0" w:evenHBand="0" w:firstRowFirstColumn="0" w:firstRowLastColumn="0" w:lastRowFirstColumn="0" w:lastRowLastColumn="0"/>
          <w:trHeight w:val="316"/>
        </w:trPr>
        <w:tc>
          <w:tcPr>
            <w:tcW w:w="2898" w:type="dxa"/>
            <w:noWrap/>
            <w:hideMark/>
          </w:tcPr>
          <w:p w14:paraId="0294CA8F" w14:textId="5917FA50" w:rsidR="006C09FF" w:rsidRPr="0026301A" w:rsidRDefault="00D70BEF" w:rsidP="00192924">
            <w:pPr>
              <w:pStyle w:val="TableHeading1"/>
              <w:rPr>
                <w:szCs w:val="20"/>
              </w:rPr>
            </w:pPr>
            <w:r w:rsidRPr="0026301A">
              <w:rPr>
                <w:szCs w:val="20"/>
              </w:rPr>
              <w:t xml:space="preserve">Survey questions </w:t>
            </w:r>
            <w:r w:rsidR="00127923" w:rsidRPr="0026301A">
              <w:rPr>
                <w:szCs w:val="20"/>
              </w:rPr>
              <w:t xml:space="preserve">on </w:t>
            </w:r>
            <w:r w:rsidRPr="0026301A">
              <w:rPr>
                <w:szCs w:val="20"/>
              </w:rPr>
              <w:t xml:space="preserve">supply </w:t>
            </w:r>
            <w:r w:rsidR="001862AE" w:rsidRPr="0026301A">
              <w:rPr>
                <w:szCs w:val="20"/>
              </w:rPr>
              <w:t xml:space="preserve">of </w:t>
            </w:r>
            <w:r w:rsidRPr="0026301A">
              <w:rPr>
                <w:szCs w:val="20"/>
              </w:rPr>
              <w:t xml:space="preserve">and demand </w:t>
            </w:r>
            <w:r w:rsidR="001862AE" w:rsidRPr="0026301A">
              <w:rPr>
                <w:szCs w:val="20"/>
              </w:rPr>
              <w:t>for workers</w:t>
            </w:r>
          </w:p>
        </w:tc>
        <w:tc>
          <w:tcPr>
            <w:tcW w:w="1532" w:type="dxa"/>
            <w:noWrap/>
            <w:hideMark/>
          </w:tcPr>
          <w:p w14:paraId="212B7617" w14:textId="5CA64F1B" w:rsidR="006C09FF" w:rsidRPr="0026301A" w:rsidRDefault="00863182" w:rsidP="00192924">
            <w:pPr>
              <w:pStyle w:val="TableHeading1"/>
              <w:rPr>
                <w:szCs w:val="20"/>
              </w:rPr>
            </w:pPr>
            <w:r w:rsidRPr="0026301A">
              <w:rPr>
                <w:szCs w:val="20"/>
              </w:rPr>
              <w:t>M</w:t>
            </w:r>
            <w:r w:rsidR="006C09FF" w:rsidRPr="0026301A">
              <w:rPr>
                <w:szCs w:val="20"/>
              </w:rPr>
              <w:t>uch higher demand</w:t>
            </w:r>
          </w:p>
        </w:tc>
        <w:tc>
          <w:tcPr>
            <w:tcW w:w="1532" w:type="dxa"/>
            <w:noWrap/>
            <w:hideMark/>
          </w:tcPr>
          <w:p w14:paraId="1B5E154B" w14:textId="120AC6DA" w:rsidR="006C09FF" w:rsidRPr="0026301A" w:rsidRDefault="00863182" w:rsidP="00192924">
            <w:pPr>
              <w:pStyle w:val="TableHeading1"/>
              <w:rPr>
                <w:szCs w:val="20"/>
              </w:rPr>
            </w:pPr>
            <w:r w:rsidRPr="0026301A">
              <w:rPr>
                <w:szCs w:val="20"/>
              </w:rPr>
              <w:t>H</w:t>
            </w:r>
            <w:r w:rsidR="006C09FF" w:rsidRPr="0026301A">
              <w:rPr>
                <w:szCs w:val="20"/>
              </w:rPr>
              <w:t>igher demand</w:t>
            </w:r>
          </w:p>
        </w:tc>
        <w:tc>
          <w:tcPr>
            <w:tcW w:w="1532" w:type="dxa"/>
            <w:noWrap/>
            <w:hideMark/>
          </w:tcPr>
          <w:p w14:paraId="0363ACED" w14:textId="22DE528F" w:rsidR="006C09FF" w:rsidRPr="0026301A" w:rsidRDefault="00863182" w:rsidP="00192924">
            <w:pPr>
              <w:pStyle w:val="TableHeading1"/>
              <w:rPr>
                <w:szCs w:val="20"/>
              </w:rPr>
            </w:pPr>
            <w:r w:rsidRPr="0026301A">
              <w:rPr>
                <w:szCs w:val="20"/>
              </w:rPr>
              <w:t>A</w:t>
            </w:r>
            <w:r w:rsidR="006C09FF" w:rsidRPr="0026301A">
              <w:rPr>
                <w:szCs w:val="20"/>
              </w:rPr>
              <w:t>bout the same demand</w:t>
            </w:r>
          </w:p>
        </w:tc>
        <w:tc>
          <w:tcPr>
            <w:tcW w:w="1532" w:type="dxa"/>
            <w:noWrap/>
            <w:hideMark/>
          </w:tcPr>
          <w:p w14:paraId="21EDA8F0" w14:textId="09E9B269" w:rsidR="006C09FF" w:rsidRPr="0026301A" w:rsidRDefault="00863182" w:rsidP="00192924">
            <w:pPr>
              <w:pStyle w:val="TableHeading1"/>
              <w:rPr>
                <w:szCs w:val="20"/>
              </w:rPr>
            </w:pPr>
            <w:r w:rsidRPr="0026301A">
              <w:rPr>
                <w:szCs w:val="20"/>
              </w:rPr>
              <w:t>L</w:t>
            </w:r>
            <w:r w:rsidR="006C09FF" w:rsidRPr="0026301A">
              <w:rPr>
                <w:szCs w:val="20"/>
              </w:rPr>
              <w:t>ower demand</w:t>
            </w:r>
          </w:p>
        </w:tc>
      </w:tr>
      <w:tr w:rsidR="006C09FF" w:rsidRPr="0026301A" w14:paraId="2EA85A63" w14:textId="77777777" w:rsidTr="00DB0678">
        <w:trPr>
          <w:trHeight w:val="316"/>
        </w:trPr>
        <w:tc>
          <w:tcPr>
            <w:tcW w:w="2898" w:type="dxa"/>
            <w:noWrap/>
            <w:hideMark/>
          </w:tcPr>
          <w:p w14:paraId="25A855D2" w14:textId="5004C6B9" w:rsidR="006C09FF" w:rsidRPr="0026301A" w:rsidRDefault="00863182" w:rsidP="006C09FF">
            <w:pPr>
              <w:pStyle w:val="BodyText"/>
              <w:rPr>
                <w:sz w:val="20"/>
              </w:rPr>
            </w:pPr>
            <w:r w:rsidRPr="0026301A">
              <w:rPr>
                <w:sz w:val="20"/>
              </w:rPr>
              <w:t>S</w:t>
            </w:r>
            <w:r w:rsidR="006C09FF" w:rsidRPr="0026301A">
              <w:rPr>
                <w:sz w:val="20"/>
              </w:rPr>
              <w:t>evere undersupply</w:t>
            </w:r>
          </w:p>
        </w:tc>
        <w:tc>
          <w:tcPr>
            <w:tcW w:w="1532" w:type="dxa"/>
            <w:noWrap/>
            <w:hideMark/>
          </w:tcPr>
          <w:p w14:paraId="45F118AE" w14:textId="77777777" w:rsidR="006C09FF" w:rsidRPr="0026301A" w:rsidRDefault="006C09FF" w:rsidP="003F04E2">
            <w:pPr>
              <w:pStyle w:val="TableBodyTextright"/>
              <w:rPr>
                <w:szCs w:val="20"/>
              </w:rPr>
            </w:pPr>
            <w:r w:rsidRPr="0026301A">
              <w:rPr>
                <w:szCs w:val="20"/>
              </w:rPr>
              <w:t>28.2%</w:t>
            </w:r>
          </w:p>
        </w:tc>
        <w:tc>
          <w:tcPr>
            <w:tcW w:w="1532" w:type="dxa"/>
            <w:noWrap/>
            <w:hideMark/>
          </w:tcPr>
          <w:p w14:paraId="4D4C9850" w14:textId="77777777" w:rsidR="006C09FF" w:rsidRPr="0026301A" w:rsidRDefault="006C09FF" w:rsidP="003F04E2">
            <w:pPr>
              <w:pStyle w:val="TableBodyTextright"/>
              <w:rPr>
                <w:szCs w:val="20"/>
              </w:rPr>
            </w:pPr>
            <w:r w:rsidRPr="0026301A">
              <w:rPr>
                <w:szCs w:val="20"/>
              </w:rPr>
              <w:t>35.7%</w:t>
            </w:r>
          </w:p>
        </w:tc>
        <w:tc>
          <w:tcPr>
            <w:tcW w:w="1532" w:type="dxa"/>
            <w:noWrap/>
            <w:hideMark/>
          </w:tcPr>
          <w:p w14:paraId="0E7C0B62" w14:textId="77777777" w:rsidR="006C09FF" w:rsidRPr="0026301A" w:rsidRDefault="006C09FF" w:rsidP="003F04E2">
            <w:pPr>
              <w:pStyle w:val="TableBodyTextright"/>
              <w:rPr>
                <w:szCs w:val="20"/>
              </w:rPr>
            </w:pPr>
            <w:r w:rsidRPr="0026301A">
              <w:rPr>
                <w:szCs w:val="20"/>
              </w:rPr>
              <w:t>38.7%</w:t>
            </w:r>
          </w:p>
        </w:tc>
        <w:tc>
          <w:tcPr>
            <w:tcW w:w="1532" w:type="dxa"/>
            <w:noWrap/>
            <w:hideMark/>
          </w:tcPr>
          <w:p w14:paraId="47CD6BAB" w14:textId="77777777" w:rsidR="006C09FF" w:rsidRPr="0026301A" w:rsidRDefault="006C09FF" w:rsidP="003F04E2">
            <w:pPr>
              <w:pStyle w:val="TableBodyTextright"/>
              <w:rPr>
                <w:szCs w:val="20"/>
              </w:rPr>
            </w:pPr>
            <w:r w:rsidRPr="0026301A">
              <w:rPr>
                <w:szCs w:val="20"/>
              </w:rPr>
              <w:t>49.0%</w:t>
            </w:r>
          </w:p>
        </w:tc>
      </w:tr>
      <w:tr w:rsidR="006D2383" w:rsidRPr="0026301A" w14:paraId="64E3DB34" w14:textId="77777777" w:rsidTr="00DB0678">
        <w:trPr>
          <w:cnfStyle w:val="000000010000" w:firstRow="0" w:lastRow="0" w:firstColumn="0" w:lastColumn="0" w:oddVBand="0" w:evenVBand="0" w:oddHBand="0" w:evenHBand="1" w:firstRowFirstColumn="0" w:firstRowLastColumn="0" w:lastRowFirstColumn="0" w:lastRowLastColumn="0"/>
          <w:trHeight w:val="316"/>
        </w:trPr>
        <w:tc>
          <w:tcPr>
            <w:tcW w:w="2898" w:type="dxa"/>
            <w:noWrap/>
            <w:hideMark/>
          </w:tcPr>
          <w:p w14:paraId="0BA04496" w14:textId="716DB03F" w:rsidR="006C09FF" w:rsidRPr="0026301A" w:rsidRDefault="00863182" w:rsidP="006C09FF">
            <w:pPr>
              <w:pStyle w:val="BodyText"/>
              <w:rPr>
                <w:sz w:val="20"/>
              </w:rPr>
            </w:pPr>
            <w:r w:rsidRPr="0026301A">
              <w:rPr>
                <w:sz w:val="20"/>
              </w:rPr>
              <w:t>U</w:t>
            </w:r>
            <w:r w:rsidR="006C09FF" w:rsidRPr="0026301A">
              <w:rPr>
                <w:sz w:val="20"/>
              </w:rPr>
              <w:t>ndersupply</w:t>
            </w:r>
          </w:p>
        </w:tc>
        <w:tc>
          <w:tcPr>
            <w:tcW w:w="1532" w:type="dxa"/>
            <w:noWrap/>
            <w:hideMark/>
          </w:tcPr>
          <w:p w14:paraId="1E73DFF2" w14:textId="77777777" w:rsidR="006C09FF" w:rsidRPr="0026301A" w:rsidRDefault="006C09FF" w:rsidP="003F04E2">
            <w:pPr>
              <w:pStyle w:val="TableBodyTextright"/>
              <w:rPr>
                <w:szCs w:val="20"/>
              </w:rPr>
            </w:pPr>
            <w:r w:rsidRPr="0026301A">
              <w:rPr>
                <w:szCs w:val="20"/>
              </w:rPr>
              <w:t>27.3%</w:t>
            </w:r>
          </w:p>
        </w:tc>
        <w:tc>
          <w:tcPr>
            <w:tcW w:w="1532" w:type="dxa"/>
            <w:noWrap/>
            <w:hideMark/>
          </w:tcPr>
          <w:p w14:paraId="5E631C41" w14:textId="77777777" w:rsidR="006C09FF" w:rsidRPr="0026301A" w:rsidRDefault="006C09FF" w:rsidP="003F04E2">
            <w:pPr>
              <w:pStyle w:val="TableBodyTextright"/>
              <w:rPr>
                <w:szCs w:val="20"/>
              </w:rPr>
            </w:pPr>
            <w:r w:rsidRPr="0026301A">
              <w:rPr>
                <w:szCs w:val="20"/>
              </w:rPr>
              <w:t>49.7%</w:t>
            </w:r>
          </w:p>
        </w:tc>
        <w:tc>
          <w:tcPr>
            <w:tcW w:w="1532" w:type="dxa"/>
            <w:noWrap/>
            <w:hideMark/>
          </w:tcPr>
          <w:p w14:paraId="1B3FE58C" w14:textId="77777777" w:rsidR="006C09FF" w:rsidRPr="0026301A" w:rsidRDefault="006C09FF" w:rsidP="003F04E2">
            <w:pPr>
              <w:pStyle w:val="TableBodyTextright"/>
              <w:rPr>
                <w:szCs w:val="20"/>
              </w:rPr>
            </w:pPr>
            <w:r w:rsidRPr="0026301A">
              <w:rPr>
                <w:szCs w:val="20"/>
              </w:rPr>
              <w:t>68.1%</w:t>
            </w:r>
          </w:p>
        </w:tc>
        <w:tc>
          <w:tcPr>
            <w:tcW w:w="1532" w:type="dxa"/>
            <w:noWrap/>
            <w:hideMark/>
          </w:tcPr>
          <w:p w14:paraId="7D55EFF7" w14:textId="77777777" w:rsidR="006C09FF" w:rsidRPr="0026301A" w:rsidRDefault="006C09FF" w:rsidP="003F04E2">
            <w:pPr>
              <w:pStyle w:val="TableBodyTextright"/>
              <w:rPr>
                <w:szCs w:val="20"/>
              </w:rPr>
            </w:pPr>
            <w:r w:rsidRPr="0026301A">
              <w:rPr>
                <w:szCs w:val="20"/>
              </w:rPr>
              <w:t>56.0%</w:t>
            </w:r>
          </w:p>
        </w:tc>
      </w:tr>
      <w:tr w:rsidR="006C09FF" w:rsidRPr="0026301A" w14:paraId="2A7EFE64" w14:textId="77777777" w:rsidTr="00DB0678">
        <w:trPr>
          <w:trHeight w:val="316"/>
        </w:trPr>
        <w:tc>
          <w:tcPr>
            <w:tcW w:w="2898" w:type="dxa"/>
            <w:tcBorders>
              <w:bottom w:val="nil"/>
            </w:tcBorders>
            <w:noWrap/>
            <w:hideMark/>
          </w:tcPr>
          <w:p w14:paraId="145D3921" w14:textId="16412528" w:rsidR="006C09FF" w:rsidRPr="0026301A" w:rsidRDefault="00863182" w:rsidP="006C09FF">
            <w:pPr>
              <w:pStyle w:val="BodyText"/>
              <w:rPr>
                <w:sz w:val="20"/>
              </w:rPr>
            </w:pPr>
            <w:r w:rsidRPr="0026301A">
              <w:rPr>
                <w:sz w:val="20"/>
              </w:rPr>
              <w:t>A</w:t>
            </w:r>
            <w:r w:rsidR="006C09FF" w:rsidRPr="0026301A">
              <w:rPr>
                <w:sz w:val="20"/>
              </w:rPr>
              <w:t>bout right</w:t>
            </w:r>
          </w:p>
        </w:tc>
        <w:tc>
          <w:tcPr>
            <w:tcW w:w="1532" w:type="dxa"/>
            <w:tcBorders>
              <w:bottom w:val="nil"/>
            </w:tcBorders>
            <w:noWrap/>
            <w:hideMark/>
          </w:tcPr>
          <w:p w14:paraId="5765554B" w14:textId="77777777" w:rsidR="006C09FF" w:rsidRPr="0026301A" w:rsidRDefault="006C09FF" w:rsidP="003F04E2">
            <w:pPr>
              <w:pStyle w:val="TableBodyTextright"/>
              <w:rPr>
                <w:szCs w:val="20"/>
              </w:rPr>
            </w:pPr>
            <w:r w:rsidRPr="0026301A">
              <w:rPr>
                <w:szCs w:val="20"/>
              </w:rPr>
              <w:t>97.5%</w:t>
            </w:r>
          </w:p>
        </w:tc>
        <w:tc>
          <w:tcPr>
            <w:tcW w:w="1532" w:type="dxa"/>
            <w:tcBorders>
              <w:bottom w:val="nil"/>
            </w:tcBorders>
            <w:noWrap/>
            <w:hideMark/>
          </w:tcPr>
          <w:p w14:paraId="658601D3" w14:textId="77777777" w:rsidR="006C09FF" w:rsidRPr="0026301A" w:rsidRDefault="006C09FF" w:rsidP="003F04E2">
            <w:pPr>
              <w:pStyle w:val="TableBodyTextright"/>
              <w:rPr>
                <w:szCs w:val="20"/>
              </w:rPr>
            </w:pPr>
            <w:r w:rsidRPr="0026301A">
              <w:rPr>
                <w:szCs w:val="20"/>
              </w:rPr>
              <w:t>75.0%</w:t>
            </w:r>
          </w:p>
        </w:tc>
        <w:tc>
          <w:tcPr>
            <w:tcW w:w="1532" w:type="dxa"/>
            <w:tcBorders>
              <w:bottom w:val="nil"/>
            </w:tcBorders>
            <w:noWrap/>
            <w:hideMark/>
          </w:tcPr>
          <w:p w14:paraId="6100E4DA" w14:textId="77777777" w:rsidR="006C09FF" w:rsidRPr="0026301A" w:rsidRDefault="006C09FF" w:rsidP="003F04E2">
            <w:pPr>
              <w:pStyle w:val="TableBodyTextright"/>
              <w:rPr>
                <w:szCs w:val="20"/>
              </w:rPr>
            </w:pPr>
            <w:r w:rsidRPr="0026301A">
              <w:rPr>
                <w:szCs w:val="20"/>
              </w:rPr>
              <w:t>71.1%</w:t>
            </w:r>
          </w:p>
        </w:tc>
        <w:tc>
          <w:tcPr>
            <w:tcW w:w="1532" w:type="dxa"/>
            <w:tcBorders>
              <w:bottom w:val="nil"/>
            </w:tcBorders>
            <w:noWrap/>
            <w:hideMark/>
          </w:tcPr>
          <w:p w14:paraId="7A5859EE" w14:textId="77777777" w:rsidR="006C09FF" w:rsidRPr="0026301A" w:rsidRDefault="006C09FF" w:rsidP="003F04E2">
            <w:pPr>
              <w:pStyle w:val="TableBodyTextright"/>
              <w:rPr>
                <w:szCs w:val="20"/>
              </w:rPr>
            </w:pPr>
            <w:r w:rsidRPr="0026301A">
              <w:rPr>
                <w:szCs w:val="20"/>
              </w:rPr>
              <w:t>73.8%</w:t>
            </w:r>
          </w:p>
        </w:tc>
      </w:tr>
      <w:tr w:rsidR="007972FF" w:rsidRPr="0026301A" w14:paraId="31B1E309" w14:textId="77777777" w:rsidTr="00DB0678">
        <w:trPr>
          <w:cnfStyle w:val="000000010000" w:firstRow="0" w:lastRow="0" w:firstColumn="0" w:lastColumn="0" w:oddVBand="0" w:evenVBand="0" w:oddHBand="0" w:evenHBand="1" w:firstRowFirstColumn="0" w:firstRowLastColumn="0" w:lastRowFirstColumn="0" w:lastRowLastColumn="0"/>
          <w:trHeight w:val="316"/>
        </w:trPr>
        <w:tc>
          <w:tcPr>
            <w:tcW w:w="2898" w:type="dxa"/>
            <w:tcBorders>
              <w:bottom w:val="nil"/>
            </w:tcBorders>
            <w:noWrap/>
            <w:hideMark/>
          </w:tcPr>
          <w:p w14:paraId="64F210C7" w14:textId="61FB5597" w:rsidR="006C09FF" w:rsidRPr="0026301A" w:rsidRDefault="00863182" w:rsidP="006C09FF">
            <w:pPr>
              <w:pStyle w:val="BodyText"/>
              <w:rPr>
                <w:sz w:val="20"/>
              </w:rPr>
            </w:pPr>
            <w:r w:rsidRPr="0026301A">
              <w:rPr>
                <w:sz w:val="20"/>
              </w:rPr>
              <w:t>O</w:t>
            </w:r>
            <w:r w:rsidR="006C09FF" w:rsidRPr="0026301A">
              <w:rPr>
                <w:sz w:val="20"/>
              </w:rPr>
              <w:t>versupply</w:t>
            </w:r>
          </w:p>
        </w:tc>
        <w:tc>
          <w:tcPr>
            <w:tcW w:w="1532" w:type="dxa"/>
            <w:tcBorders>
              <w:bottom w:val="nil"/>
            </w:tcBorders>
            <w:noWrap/>
            <w:hideMark/>
          </w:tcPr>
          <w:p w14:paraId="357A82F4" w14:textId="07EAB378" w:rsidR="006C09FF" w:rsidRPr="0026301A" w:rsidRDefault="00A06EF5" w:rsidP="003F04E2">
            <w:pPr>
              <w:pStyle w:val="TableBodyTextright"/>
              <w:rPr>
                <w:szCs w:val="20"/>
              </w:rPr>
            </w:pPr>
            <w:r w:rsidRPr="0026301A">
              <w:rPr>
                <w:szCs w:val="20"/>
              </w:rPr>
              <w:t>—</w:t>
            </w:r>
          </w:p>
        </w:tc>
        <w:tc>
          <w:tcPr>
            <w:tcW w:w="1532" w:type="dxa"/>
            <w:tcBorders>
              <w:bottom w:val="nil"/>
            </w:tcBorders>
            <w:noWrap/>
            <w:hideMark/>
          </w:tcPr>
          <w:p w14:paraId="37FE8A41" w14:textId="77777777" w:rsidR="006C09FF" w:rsidRPr="0026301A" w:rsidRDefault="006C09FF" w:rsidP="003F04E2">
            <w:pPr>
              <w:pStyle w:val="TableBodyTextright"/>
              <w:rPr>
                <w:szCs w:val="20"/>
              </w:rPr>
            </w:pPr>
            <w:r w:rsidRPr="0026301A">
              <w:rPr>
                <w:szCs w:val="20"/>
              </w:rPr>
              <w:t>84.2%</w:t>
            </w:r>
          </w:p>
        </w:tc>
        <w:tc>
          <w:tcPr>
            <w:tcW w:w="1532" w:type="dxa"/>
            <w:tcBorders>
              <w:bottom w:val="nil"/>
            </w:tcBorders>
            <w:noWrap/>
            <w:hideMark/>
          </w:tcPr>
          <w:p w14:paraId="3B0AC19F" w14:textId="77777777" w:rsidR="006C09FF" w:rsidRPr="0026301A" w:rsidRDefault="006C09FF" w:rsidP="003F04E2">
            <w:pPr>
              <w:pStyle w:val="TableBodyTextright"/>
              <w:rPr>
                <w:szCs w:val="20"/>
              </w:rPr>
            </w:pPr>
            <w:r w:rsidRPr="0026301A">
              <w:rPr>
                <w:szCs w:val="20"/>
              </w:rPr>
              <w:t>91.0%</w:t>
            </w:r>
          </w:p>
        </w:tc>
        <w:tc>
          <w:tcPr>
            <w:tcW w:w="1532" w:type="dxa"/>
            <w:tcBorders>
              <w:bottom w:val="nil"/>
            </w:tcBorders>
            <w:noWrap/>
            <w:hideMark/>
          </w:tcPr>
          <w:p w14:paraId="26B2BAB8" w14:textId="77777777" w:rsidR="006C09FF" w:rsidRPr="0026301A" w:rsidRDefault="006C09FF" w:rsidP="003F04E2">
            <w:pPr>
              <w:pStyle w:val="TableBodyTextright"/>
              <w:rPr>
                <w:szCs w:val="20"/>
              </w:rPr>
            </w:pPr>
            <w:r w:rsidRPr="0026301A">
              <w:rPr>
                <w:szCs w:val="20"/>
              </w:rPr>
              <w:t>85.9%</w:t>
            </w:r>
          </w:p>
        </w:tc>
      </w:tr>
    </w:tbl>
    <w:p w14:paraId="6F9F76A4" w14:textId="4E3436FD" w:rsidR="005D4C9C" w:rsidRPr="0026301A" w:rsidRDefault="000D33AB" w:rsidP="0048733D">
      <w:pPr>
        <w:pStyle w:val="Source"/>
      </w:pPr>
      <w:r w:rsidRPr="0026301A">
        <w:t>Source: Jobs and Skills Australia, Stakeholder Survey of the 2025 O</w:t>
      </w:r>
      <w:r w:rsidR="0041234C" w:rsidRPr="0026301A">
        <w:t>SL</w:t>
      </w:r>
      <w:r w:rsidRPr="0026301A">
        <w:t>.</w:t>
      </w:r>
    </w:p>
    <w:p w14:paraId="3FDCB1F8" w14:textId="24AE6F25" w:rsidR="00EB7BA7" w:rsidRPr="0026301A" w:rsidRDefault="00D52A86" w:rsidP="00422AED">
      <w:pPr>
        <w:pStyle w:val="BodyText"/>
      </w:pPr>
      <w:r w:rsidRPr="0026301A">
        <w:t>In 2025, t</w:t>
      </w:r>
      <w:r w:rsidR="00422AED" w:rsidRPr="0026301A">
        <w:t xml:space="preserve">here </w:t>
      </w:r>
      <w:r w:rsidR="00E2087A" w:rsidRPr="0026301A">
        <w:t xml:space="preserve">was </w:t>
      </w:r>
      <w:r w:rsidR="00F06292" w:rsidRPr="0026301A">
        <w:t xml:space="preserve">a total of </w:t>
      </w:r>
      <w:r w:rsidR="00422AED" w:rsidRPr="0026301A">
        <w:t>352 response</w:t>
      </w:r>
      <w:r w:rsidR="00FB1AB1" w:rsidRPr="0026301A">
        <w:t>s</w:t>
      </w:r>
      <w:r w:rsidR="006D2383" w:rsidRPr="0026301A">
        <w:t xml:space="preserve"> which</w:t>
      </w:r>
      <w:r w:rsidR="00422AED" w:rsidRPr="0026301A">
        <w:t xml:space="preserve"> indicat</w:t>
      </w:r>
      <w:r w:rsidR="006D2383" w:rsidRPr="0026301A">
        <w:t>ed</w:t>
      </w:r>
      <w:r w:rsidR="00422AED" w:rsidRPr="0026301A" w:rsidDel="001E43A9">
        <w:t xml:space="preserve"> </w:t>
      </w:r>
      <w:r w:rsidR="001E43A9" w:rsidRPr="0026301A">
        <w:t xml:space="preserve">that worker </w:t>
      </w:r>
      <w:r w:rsidR="00422AED" w:rsidRPr="0026301A">
        <w:t xml:space="preserve">supply </w:t>
      </w:r>
      <w:r w:rsidR="00122B09" w:rsidRPr="0026301A">
        <w:t>was either about right or oversupplied</w:t>
      </w:r>
      <w:r w:rsidR="00422AED" w:rsidRPr="0026301A">
        <w:t>,</w:t>
      </w:r>
      <w:r w:rsidR="00974E84" w:rsidRPr="0026301A">
        <w:t xml:space="preserve"> </w:t>
      </w:r>
      <w:r w:rsidR="00F06292" w:rsidRPr="0026301A">
        <w:t>for all responses to change in demand.</w:t>
      </w:r>
      <w:r w:rsidR="005931E5" w:rsidRPr="0026301A">
        <w:rPr>
          <w:rStyle w:val="FootnoteReference"/>
        </w:rPr>
        <w:footnoteReference w:id="21"/>
      </w:r>
      <w:r w:rsidR="00F06292" w:rsidRPr="0026301A">
        <w:t xml:space="preserve"> </w:t>
      </w:r>
      <w:r w:rsidR="00421D90" w:rsidRPr="0026301A">
        <w:t>Of</w:t>
      </w:r>
      <w:r w:rsidR="00D952E5" w:rsidRPr="0026301A" w:rsidDel="00421D90">
        <w:t xml:space="preserve"> </w:t>
      </w:r>
      <w:r w:rsidR="00421D90" w:rsidRPr="0026301A">
        <w:t xml:space="preserve">the </w:t>
      </w:r>
      <w:r w:rsidR="00322C90" w:rsidRPr="0026301A">
        <w:t>352</w:t>
      </w:r>
      <w:r w:rsidR="00D952E5" w:rsidRPr="0026301A">
        <w:t xml:space="preserve"> responses</w:t>
      </w:r>
      <w:r w:rsidR="00EB7BA7" w:rsidRPr="0026301A">
        <w:t>:</w:t>
      </w:r>
    </w:p>
    <w:p w14:paraId="57176E2F" w14:textId="6C3C8F5E" w:rsidR="00FA2A12" w:rsidRPr="0026301A" w:rsidRDefault="00422AED">
      <w:pPr>
        <w:pStyle w:val="ListBullet"/>
      </w:pPr>
      <w:r w:rsidRPr="0026301A">
        <w:t>84 indicat</w:t>
      </w:r>
      <w:r w:rsidR="006D7EC5" w:rsidRPr="0026301A">
        <w:t>ed</w:t>
      </w:r>
      <w:r w:rsidR="00025E32" w:rsidRPr="0026301A">
        <w:t xml:space="preserve"> </w:t>
      </w:r>
      <w:r w:rsidR="00A159DE" w:rsidRPr="0026301A">
        <w:t xml:space="preserve">that </w:t>
      </w:r>
      <w:r w:rsidR="00BD0E22" w:rsidRPr="0026301A">
        <w:t xml:space="preserve">there </w:t>
      </w:r>
      <w:proofErr w:type="gramStart"/>
      <w:r w:rsidR="00BD0E22" w:rsidRPr="0026301A">
        <w:t>was</w:t>
      </w:r>
      <w:proofErr w:type="gramEnd"/>
      <w:r w:rsidR="00BD0E22" w:rsidRPr="0026301A">
        <w:t xml:space="preserve"> </w:t>
      </w:r>
      <w:r w:rsidR="00A159DE" w:rsidRPr="0026301A">
        <w:t xml:space="preserve">an </w:t>
      </w:r>
      <w:r w:rsidRPr="0026301A">
        <w:t xml:space="preserve">oversupply of workers </w:t>
      </w:r>
      <w:r w:rsidR="00322C90" w:rsidRPr="0026301A">
        <w:t xml:space="preserve">and </w:t>
      </w:r>
      <w:r w:rsidR="00750C82" w:rsidRPr="0026301A">
        <w:t xml:space="preserve">that </w:t>
      </w:r>
      <w:r w:rsidRPr="0026301A">
        <w:t>demand</w:t>
      </w:r>
      <w:r w:rsidR="00AE1CC9" w:rsidRPr="0026301A">
        <w:t xml:space="preserve"> </w:t>
      </w:r>
      <w:r w:rsidR="00851812" w:rsidRPr="0026301A">
        <w:t xml:space="preserve">for workers </w:t>
      </w:r>
      <w:r w:rsidR="00750C82" w:rsidRPr="0026301A">
        <w:t xml:space="preserve">was lower </w:t>
      </w:r>
      <w:r w:rsidR="00B57C1E" w:rsidRPr="0026301A">
        <w:t xml:space="preserve">— these responses </w:t>
      </w:r>
      <w:r w:rsidR="00952B8A" w:rsidRPr="0026301A">
        <w:t xml:space="preserve">had an average fill rate </w:t>
      </w:r>
      <w:r w:rsidR="00DB0263" w:rsidRPr="0026301A">
        <w:t>of 85.9%</w:t>
      </w:r>
      <w:r w:rsidR="00B744E9" w:rsidRPr="0026301A">
        <w:t xml:space="preserve"> (bottom right-hand corner)</w:t>
      </w:r>
    </w:p>
    <w:p w14:paraId="0A7F2418" w14:textId="37FCBB2C" w:rsidR="00422AED" w:rsidRPr="0026301A" w:rsidRDefault="00422AED">
      <w:pPr>
        <w:pStyle w:val="ListBullet"/>
      </w:pPr>
      <w:r w:rsidRPr="0026301A">
        <w:t>166</w:t>
      </w:r>
      <w:r w:rsidR="00F76598" w:rsidRPr="0026301A" w:rsidDel="00D02790">
        <w:t xml:space="preserve"> </w:t>
      </w:r>
      <w:r w:rsidR="00D02790" w:rsidRPr="0026301A">
        <w:t xml:space="preserve">indicated </w:t>
      </w:r>
      <w:r w:rsidR="002434D4" w:rsidRPr="0026301A">
        <w:t xml:space="preserve">that the </w:t>
      </w:r>
      <w:r w:rsidRPr="0026301A">
        <w:t xml:space="preserve">supply </w:t>
      </w:r>
      <w:r w:rsidR="00F76598" w:rsidRPr="0026301A">
        <w:t xml:space="preserve">of workers </w:t>
      </w:r>
      <w:r w:rsidR="00F10119" w:rsidRPr="0026301A">
        <w:t xml:space="preserve">was </w:t>
      </w:r>
      <w:r w:rsidRPr="0026301A">
        <w:t>about right</w:t>
      </w:r>
      <w:r w:rsidR="00F10119" w:rsidRPr="0026301A">
        <w:t xml:space="preserve"> and </w:t>
      </w:r>
      <w:r w:rsidR="005167AE" w:rsidRPr="0026301A">
        <w:t xml:space="preserve">that </w:t>
      </w:r>
      <w:r w:rsidR="00F10119" w:rsidRPr="0026301A">
        <w:t xml:space="preserve">demand </w:t>
      </w:r>
      <w:r w:rsidR="00851812" w:rsidRPr="0026301A">
        <w:t xml:space="preserve">for workers </w:t>
      </w:r>
      <w:r w:rsidR="00F10119" w:rsidRPr="0026301A">
        <w:t>was about the same</w:t>
      </w:r>
      <w:r w:rsidR="00921ED4" w:rsidRPr="0026301A">
        <w:t xml:space="preserve"> </w:t>
      </w:r>
      <w:r w:rsidR="00851812" w:rsidRPr="0026301A">
        <w:t xml:space="preserve">— these responses had an average fill rate of </w:t>
      </w:r>
      <w:r w:rsidR="005C0C85" w:rsidRPr="0026301A">
        <w:t>71.1%</w:t>
      </w:r>
    </w:p>
    <w:p w14:paraId="4D969F92" w14:textId="65D940CE" w:rsidR="0092219E" w:rsidRPr="0026301A" w:rsidRDefault="00303368" w:rsidP="0092219E">
      <w:pPr>
        <w:pStyle w:val="ListBullet"/>
      </w:pPr>
      <w:r w:rsidRPr="0026301A">
        <w:t>57</w:t>
      </w:r>
      <w:r w:rsidR="0092219E" w:rsidRPr="0026301A" w:rsidDel="008446CF">
        <w:t xml:space="preserve"> </w:t>
      </w:r>
      <w:r w:rsidR="008446CF" w:rsidRPr="0026301A">
        <w:t xml:space="preserve">indicated that the </w:t>
      </w:r>
      <w:r w:rsidR="0092219E" w:rsidRPr="0026301A">
        <w:t xml:space="preserve">supply of workers was about right and </w:t>
      </w:r>
      <w:r w:rsidR="00601FAA" w:rsidRPr="0026301A">
        <w:t xml:space="preserve">that </w:t>
      </w:r>
      <w:r w:rsidR="0092219E" w:rsidRPr="0026301A">
        <w:t xml:space="preserve">demand for workers was </w:t>
      </w:r>
      <w:r w:rsidR="00F129BB" w:rsidRPr="0026301A">
        <w:t xml:space="preserve">higher </w:t>
      </w:r>
      <w:r w:rsidR="0092219E" w:rsidRPr="0026301A">
        <w:t>— these responses had an average fill rate of 7</w:t>
      </w:r>
      <w:r w:rsidR="00F129BB" w:rsidRPr="0026301A">
        <w:t>5</w:t>
      </w:r>
      <w:r w:rsidR="0092219E" w:rsidRPr="0026301A">
        <w:t>.</w:t>
      </w:r>
      <w:r w:rsidR="00F129BB" w:rsidRPr="0026301A">
        <w:t>0</w:t>
      </w:r>
      <w:r w:rsidR="0092219E" w:rsidRPr="0026301A">
        <w:t>%.</w:t>
      </w:r>
    </w:p>
    <w:p w14:paraId="08515300" w14:textId="27FAC37B" w:rsidR="00D564A7" w:rsidRPr="0026301A" w:rsidRDefault="007B1969" w:rsidP="00422AED">
      <w:pPr>
        <w:pStyle w:val="BodyText"/>
      </w:pPr>
      <w:r w:rsidRPr="0026301A">
        <w:t xml:space="preserve">Overall, </w:t>
      </w:r>
      <w:r w:rsidR="00BB0616" w:rsidRPr="0026301A">
        <w:t xml:space="preserve">occupations covered by these 352 responses had an </w:t>
      </w:r>
      <w:r w:rsidR="001A4BF7" w:rsidRPr="0026301A">
        <w:t xml:space="preserve">average fill rate </w:t>
      </w:r>
      <w:r w:rsidR="00807FA5" w:rsidRPr="0026301A">
        <w:t xml:space="preserve">that was significantly </w:t>
      </w:r>
      <w:r w:rsidR="00422AED" w:rsidRPr="0026301A">
        <w:t>above 67%</w:t>
      </w:r>
      <w:r w:rsidR="00A303ED" w:rsidRPr="0026301A">
        <w:t>, pointing towards a lower likelihood of national shortage</w:t>
      </w:r>
      <w:r w:rsidR="00422AED" w:rsidRPr="0026301A">
        <w:t>.</w:t>
      </w:r>
      <w:r w:rsidR="00422AED" w:rsidRPr="0026301A">
        <w:rPr>
          <w:rStyle w:val="FootnoteReference"/>
        </w:rPr>
        <w:footnoteReference w:id="22"/>
      </w:r>
      <w:r w:rsidR="00422AED" w:rsidRPr="0026301A">
        <w:t xml:space="preserve"> </w:t>
      </w:r>
    </w:p>
    <w:p w14:paraId="1579ACFC" w14:textId="1176E565" w:rsidR="0099214A" w:rsidRPr="0026301A" w:rsidRDefault="00B656FD" w:rsidP="00422AED">
      <w:pPr>
        <w:pStyle w:val="BodyText"/>
      </w:pPr>
      <w:r w:rsidRPr="0026301A">
        <w:lastRenderedPageBreak/>
        <w:t>In 2025, t</w:t>
      </w:r>
      <w:r w:rsidR="00422AED" w:rsidRPr="0026301A">
        <w:t xml:space="preserve">here </w:t>
      </w:r>
      <w:r w:rsidR="00E2087A" w:rsidRPr="0026301A">
        <w:t xml:space="preserve">was a total of </w:t>
      </w:r>
      <w:r w:rsidR="00422AED" w:rsidRPr="0026301A">
        <w:t xml:space="preserve">1,809 responses </w:t>
      </w:r>
      <w:r w:rsidR="00C70947" w:rsidRPr="0026301A">
        <w:t xml:space="preserve">which indicated </w:t>
      </w:r>
      <w:r w:rsidR="00422AED" w:rsidRPr="0026301A" w:rsidDel="008832EC">
        <w:t xml:space="preserve">that </w:t>
      </w:r>
      <w:r w:rsidR="008832EC" w:rsidRPr="0026301A">
        <w:t xml:space="preserve">the supply of workers </w:t>
      </w:r>
      <w:r w:rsidR="00422AED" w:rsidRPr="0026301A">
        <w:t xml:space="preserve">was </w:t>
      </w:r>
      <w:r w:rsidR="0099214A" w:rsidRPr="0026301A">
        <w:t xml:space="preserve">either </w:t>
      </w:r>
      <w:r w:rsidR="00422AED" w:rsidRPr="0026301A">
        <w:t>undersuppl</w:t>
      </w:r>
      <w:r w:rsidR="008832EC" w:rsidRPr="0026301A">
        <w:t>ied</w:t>
      </w:r>
      <w:r w:rsidR="00422AED" w:rsidRPr="0026301A">
        <w:t xml:space="preserve"> </w:t>
      </w:r>
      <w:r w:rsidR="0099214A" w:rsidRPr="0026301A">
        <w:t xml:space="preserve">or </w:t>
      </w:r>
      <w:r w:rsidR="00422AED" w:rsidRPr="0026301A">
        <w:t>severe</w:t>
      </w:r>
      <w:r w:rsidR="008832EC" w:rsidRPr="0026301A">
        <w:t>ly</w:t>
      </w:r>
      <w:r w:rsidR="00422AED" w:rsidRPr="0026301A">
        <w:t xml:space="preserve"> undersuppl</w:t>
      </w:r>
      <w:r w:rsidR="008832EC" w:rsidRPr="0026301A">
        <w:t xml:space="preserve">ied, </w:t>
      </w:r>
      <w:r w:rsidR="0099214A" w:rsidRPr="0026301A" w:rsidDel="008832EC">
        <w:t xml:space="preserve">for </w:t>
      </w:r>
      <w:r w:rsidR="008832EC" w:rsidRPr="0026301A">
        <w:t>all responses to change in demand</w:t>
      </w:r>
      <w:r w:rsidR="0099214A" w:rsidRPr="0026301A">
        <w:t>.</w:t>
      </w:r>
      <w:r w:rsidR="003A6A9D" w:rsidRPr="0026301A">
        <w:rPr>
          <w:rStyle w:val="FootnoteReference"/>
        </w:rPr>
        <w:footnoteReference w:id="23"/>
      </w:r>
      <w:r w:rsidR="00A76B6D" w:rsidRPr="0026301A" w:rsidDel="003A6A9D">
        <w:t xml:space="preserve"> </w:t>
      </w:r>
      <w:r w:rsidR="003A6A9D" w:rsidRPr="0026301A">
        <w:t xml:space="preserve">Of the </w:t>
      </w:r>
      <w:r w:rsidR="00A76B6D" w:rsidRPr="0026301A">
        <w:t xml:space="preserve">1,809 responses: </w:t>
      </w:r>
    </w:p>
    <w:p w14:paraId="7D391213" w14:textId="57D682BE" w:rsidR="00BD7901" w:rsidRPr="0026301A" w:rsidRDefault="00422AED" w:rsidP="00A76B6D">
      <w:pPr>
        <w:pStyle w:val="ListBullet"/>
      </w:pPr>
      <w:r w:rsidRPr="0026301A">
        <w:t>331 indicat</w:t>
      </w:r>
      <w:r w:rsidR="003A6A9D" w:rsidRPr="0026301A">
        <w:t>ed</w:t>
      </w:r>
      <w:r w:rsidR="00A76B6D" w:rsidRPr="0026301A">
        <w:t xml:space="preserve"> </w:t>
      </w:r>
      <w:r w:rsidRPr="0026301A">
        <w:t xml:space="preserve">a severe undersupply of workers </w:t>
      </w:r>
      <w:r w:rsidR="0043157E" w:rsidRPr="0026301A">
        <w:t xml:space="preserve">and </w:t>
      </w:r>
      <w:r w:rsidRPr="0026301A">
        <w:t>a much higher demand</w:t>
      </w:r>
      <w:r w:rsidR="00391ADF" w:rsidRPr="0026301A">
        <w:t xml:space="preserve"> </w:t>
      </w:r>
      <w:r w:rsidR="007F727D" w:rsidRPr="0026301A">
        <w:t xml:space="preserve">for workers </w:t>
      </w:r>
      <w:r w:rsidR="00391ADF" w:rsidRPr="0026301A">
        <w:t xml:space="preserve">— </w:t>
      </w:r>
      <w:r w:rsidR="007C1472" w:rsidRPr="0026301A">
        <w:t xml:space="preserve">these responses had an average fill rate of </w:t>
      </w:r>
      <w:r w:rsidR="00A06EF5" w:rsidRPr="0026301A">
        <w:t>28.2% (</w:t>
      </w:r>
      <w:r w:rsidR="007D60F6" w:rsidRPr="0026301A">
        <w:t>top left-hand corner)</w:t>
      </w:r>
    </w:p>
    <w:p w14:paraId="2468D543" w14:textId="40B40D38" w:rsidR="00C06769" w:rsidRPr="0026301A" w:rsidRDefault="00C06769" w:rsidP="00C06769">
      <w:pPr>
        <w:pStyle w:val="ListBullet"/>
      </w:pPr>
      <w:r w:rsidRPr="0026301A">
        <w:t>48 indicated a severe undersupply of workers and a lower demand for workers — these responses had an average fill rate of 49.0% (top right-hand corner)</w:t>
      </w:r>
    </w:p>
    <w:p w14:paraId="08ECEE46" w14:textId="5FE2AA1C" w:rsidR="00B45F24" w:rsidRPr="0026301A" w:rsidRDefault="00422AED" w:rsidP="00A76B6D">
      <w:pPr>
        <w:pStyle w:val="ListBullet"/>
      </w:pPr>
      <w:r w:rsidRPr="0026301A">
        <w:t xml:space="preserve">355 </w:t>
      </w:r>
      <w:r w:rsidR="00335031" w:rsidRPr="0026301A">
        <w:t>indicated</w:t>
      </w:r>
      <w:r w:rsidR="009B15FC" w:rsidRPr="0026301A">
        <w:t xml:space="preserve"> </w:t>
      </w:r>
      <w:r w:rsidRPr="0026301A">
        <w:t>an undersupply of workers with a higher demand</w:t>
      </w:r>
      <w:r w:rsidR="00C00B14" w:rsidRPr="0026301A">
        <w:t xml:space="preserve"> </w:t>
      </w:r>
      <w:r w:rsidR="007F727D" w:rsidRPr="0026301A">
        <w:t xml:space="preserve">for workers </w:t>
      </w:r>
      <w:r w:rsidR="00C00B14" w:rsidRPr="0026301A">
        <w:t xml:space="preserve">— these responses had an average fill rate of </w:t>
      </w:r>
      <w:r w:rsidR="007665D5" w:rsidRPr="0026301A">
        <w:t>49.7%</w:t>
      </w:r>
      <w:r w:rsidR="00C06769" w:rsidRPr="0026301A">
        <w:t>.</w:t>
      </w:r>
    </w:p>
    <w:p w14:paraId="04969090" w14:textId="1EF90AC5" w:rsidR="00422AED" w:rsidRPr="0026301A" w:rsidRDefault="00FA7E92" w:rsidP="00A1592D">
      <w:pPr>
        <w:pStyle w:val="BodyText"/>
      </w:pPr>
      <w:r w:rsidRPr="0026301A">
        <w:t>Overall, o</w:t>
      </w:r>
      <w:r w:rsidR="00422AED" w:rsidRPr="0026301A">
        <w:t>ccupations covered by these</w:t>
      </w:r>
      <w:r w:rsidR="001A369A" w:rsidRPr="0026301A">
        <w:t xml:space="preserve"> 1,809</w:t>
      </w:r>
      <w:r w:rsidR="00422AED" w:rsidRPr="0026301A">
        <w:t xml:space="preserve"> responses had low fill rates</w:t>
      </w:r>
      <w:r w:rsidRPr="0026301A">
        <w:t xml:space="preserve">, ranging from </w:t>
      </w:r>
      <w:r w:rsidR="007561A6" w:rsidRPr="0026301A">
        <w:br/>
      </w:r>
      <w:r w:rsidR="00422AED" w:rsidRPr="0026301A">
        <w:t xml:space="preserve">27 to </w:t>
      </w:r>
      <w:r w:rsidRPr="0026301A">
        <w:t>68</w:t>
      </w:r>
      <w:r w:rsidR="00422AED" w:rsidRPr="0026301A">
        <w:t>%.</w:t>
      </w:r>
      <w:r w:rsidR="00422AED" w:rsidRPr="0026301A">
        <w:rPr>
          <w:rStyle w:val="FootnoteReference"/>
        </w:rPr>
        <w:footnoteReference w:id="24"/>
      </w:r>
      <w:r w:rsidR="00422AED" w:rsidRPr="0026301A">
        <w:t xml:space="preserve"> </w:t>
      </w:r>
      <w:r w:rsidR="00565DEF" w:rsidRPr="0026301A">
        <w:t xml:space="preserve">These results from the 2025 OSL Stakeholder Survey </w:t>
      </w:r>
      <w:r w:rsidR="00C11C0F" w:rsidRPr="0026301A">
        <w:t xml:space="preserve">may indicate that </w:t>
      </w:r>
      <w:r w:rsidR="00D05700" w:rsidRPr="0026301A">
        <w:t xml:space="preserve">limited supply has </w:t>
      </w:r>
      <w:r w:rsidR="00BA0B4D" w:rsidRPr="0026301A">
        <w:t xml:space="preserve">more impact (compared to </w:t>
      </w:r>
      <w:r w:rsidR="00303847" w:rsidRPr="0026301A">
        <w:t xml:space="preserve">recent </w:t>
      </w:r>
      <w:r w:rsidR="00A1113C" w:rsidRPr="0026301A">
        <w:t xml:space="preserve">changes in </w:t>
      </w:r>
      <w:r w:rsidR="00BA0B4D" w:rsidRPr="0026301A">
        <w:t xml:space="preserve">demand) on </w:t>
      </w:r>
      <w:r w:rsidR="0047747F" w:rsidRPr="0026301A">
        <w:t>shortages.</w:t>
      </w:r>
    </w:p>
    <w:p w14:paraId="22EBF521" w14:textId="05B2EACB" w:rsidR="0096577C" w:rsidRPr="0026301A" w:rsidRDefault="005257B3" w:rsidP="00192924">
      <w:pPr>
        <w:pStyle w:val="Heading3"/>
      </w:pPr>
      <w:bookmarkStart w:id="53" w:name="_Toc226611477"/>
      <w:r w:rsidRPr="0026301A">
        <w:t xml:space="preserve">Indicators suggest improved </w:t>
      </w:r>
      <w:r w:rsidR="004072BC" w:rsidRPr="0026301A">
        <w:t xml:space="preserve">or more balanced </w:t>
      </w:r>
      <w:r w:rsidRPr="0026301A">
        <w:t>supply of workers</w:t>
      </w:r>
      <w:bookmarkEnd w:id="53"/>
    </w:p>
    <w:p w14:paraId="46E5A725" w14:textId="2C578AE7" w:rsidR="003C14DE" w:rsidRPr="0026301A" w:rsidRDefault="00B352B7" w:rsidP="00B352B7">
      <w:pPr>
        <w:pStyle w:val="BodyText"/>
      </w:pPr>
      <w:r w:rsidRPr="0026301A">
        <w:t>Data from SERA suggested that the number of total applicants, qualified applicants and suitable applicants per vacancy increased in 2024–25 compared to 2023–24 (</w:t>
      </w:r>
      <w:r w:rsidR="00CC359C" w:rsidRPr="0026301A">
        <w:fldChar w:fldCharType="begin"/>
      </w:r>
      <w:r w:rsidR="00CC359C" w:rsidRPr="0026301A">
        <w:instrText xml:space="preserve"> REF _Ref208497273 \h </w:instrText>
      </w:r>
      <w:r w:rsidR="0026301A">
        <w:instrText xml:space="preserve"> \* MERGEFORMAT </w:instrText>
      </w:r>
      <w:r w:rsidR="00CC359C" w:rsidRPr="0026301A">
        <w:fldChar w:fldCharType="separate"/>
      </w:r>
      <w:r w:rsidR="00FF7A7F" w:rsidRPr="0026301A">
        <w:t xml:space="preserve">Figure </w:t>
      </w:r>
      <w:r w:rsidR="00FF7A7F">
        <w:rPr>
          <w:noProof/>
        </w:rPr>
        <w:t>7</w:t>
      </w:r>
      <w:r w:rsidR="00CC359C" w:rsidRPr="0026301A">
        <w:fldChar w:fldCharType="end"/>
      </w:r>
      <w:r w:rsidR="003C14DE" w:rsidRPr="0026301A">
        <w:t>).</w:t>
      </w:r>
    </w:p>
    <w:p w14:paraId="268A45C7" w14:textId="77777777" w:rsidR="00B352B7" w:rsidRPr="0026301A" w:rsidRDefault="00B352B7" w:rsidP="00B352B7">
      <w:pPr>
        <w:pStyle w:val="BodyText"/>
        <w:rPr>
          <w:lang w:eastAsia="en-GB"/>
        </w:rPr>
      </w:pPr>
      <w:r w:rsidRPr="0026301A">
        <w:t xml:space="preserve">Additional analysis of SERA data on the duration of vacancies showed that the average duration fell in 2024–25, compared to the previous year. </w:t>
      </w:r>
    </w:p>
    <w:p w14:paraId="21A3A1A3" w14:textId="77777777" w:rsidR="00B352B7" w:rsidRPr="0026301A" w:rsidRDefault="00B352B7" w:rsidP="00B352B7">
      <w:pPr>
        <w:pStyle w:val="BodyText"/>
      </w:pPr>
      <w:r w:rsidRPr="0026301A">
        <w:t>The improvements in the SERA metrics underscores the decline in occupation shortages.</w:t>
      </w:r>
    </w:p>
    <w:p w14:paraId="38278496" w14:textId="31252D45" w:rsidR="00E373B8" w:rsidRPr="0026301A" w:rsidRDefault="00CC359C" w:rsidP="00857B9B">
      <w:pPr>
        <w:pStyle w:val="Caption"/>
      </w:pPr>
      <w:bookmarkStart w:id="54" w:name="_Ref208497273"/>
      <w:bookmarkStart w:id="55" w:name="_Ref208484856"/>
      <w:bookmarkStart w:id="56" w:name="_Toc211349850"/>
      <w:r w:rsidRPr="0026301A">
        <w:t xml:space="preserve">Figure </w:t>
      </w:r>
      <w:r w:rsidRPr="0026301A">
        <w:fldChar w:fldCharType="begin"/>
      </w:r>
      <w:r w:rsidRPr="0026301A">
        <w:instrText xml:space="preserve"> SEQ Figure \* ARABIC </w:instrText>
      </w:r>
      <w:r w:rsidRPr="0026301A">
        <w:fldChar w:fldCharType="separate"/>
      </w:r>
      <w:r w:rsidR="00FF7A7F">
        <w:rPr>
          <w:noProof/>
        </w:rPr>
        <w:t>7</w:t>
      </w:r>
      <w:r w:rsidRPr="0026301A">
        <w:fldChar w:fldCharType="end"/>
      </w:r>
      <w:bookmarkEnd w:id="54"/>
      <w:r w:rsidRPr="0026301A">
        <w:t>: Number of applicants, qualified applicants and suitable applicants per vacancy (No.), 2020-21 to 2024-</w:t>
      </w:r>
      <w:bookmarkEnd w:id="55"/>
      <w:r w:rsidRPr="0026301A">
        <w:t>25</w:t>
      </w:r>
      <w:bookmarkEnd w:id="56"/>
    </w:p>
    <w:p w14:paraId="54E4D0FE" w14:textId="77777777" w:rsidR="00B352B7" w:rsidRPr="0026301A" w:rsidRDefault="00B352B7" w:rsidP="00B352B7">
      <w:pPr>
        <w:pStyle w:val="Source"/>
      </w:pPr>
      <w:r w:rsidRPr="0026301A">
        <w:rPr>
          <w:bCs w:val="0"/>
          <w:noProof/>
        </w:rPr>
        <w:drawing>
          <wp:inline distT="0" distB="0" distL="0" distR="0" wp14:anchorId="69327F48" wp14:editId="4F91C654">
            <wp:extent cx="5730875" cy="3088640"/>
            <wp:effectExtent l="0" t="0" r="3175" b="0"/>
            <wp:docPr id="984054096" name="Chart 1" descr="Figure 7 shows the number of applicants, qualified applicants, and suitable applicants per vacancy for the last five financial years as measured through Jobs and Skills Australia's Survey of Employers who have Recently Advertised (SERA). From 2023-24 to 2024-25, the number of total and qualified applicants per vacancy increased by 3.2 and 1.7 persons per vacancy, respectively.">
              <a:extLst xmlns:a="http://schemas.openxmlformats.org/drawingml/2006/main">
                <a:ext uri="{FF2B5EF4-FFF2-40B4-BE49-F238E27FC236}">
                  <a16:creationId xmlns:a16="http://schemas.microsoft.com/office/drawing/2014/main" id="{184F4117-3B07-AD86-B1FD-E72D6F59A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26301A">
        <w:br/>
        <w:t>Source: Jobs and Skills Australia, SERA, 2020–21 to 2024–25.</w:t>
      </w:r>
    </w:p>
    <w:p w14:paraId="7F3B5576" w14:textId="46B7869B" w:rsidR="00EF7F6E" w:rsidRPr="0026301A" w:rsidRDefault="00EF7F6E">
      <w:pPr>
        <w:spacing w:before="0" w:after="200" w:line="276" w:lineRule="auto"/>
      </w:pPr>
      <w:r w:rsidRPr="0026301A">
        <w:br w:type="page"/>
      </w:r>
    </w:p>
    <w:p w14:paraId="47F1913C" w14:textId="728BC569" w:rsidR="00F739D4" w:rsidRPr="0026301A" w:rsidRDefault="003C14DE" w:rsidP="000E31EB">
      <w:pPr>
        <w:spacing w:before="0" w:after="200" w:line="276" w:lineRule="auto"/>
        <w:rPr>
          <w:b/>
          <w:color w:val="012749"/>
          <w:sz w:val="18"/>
          <w:szCs w:val="18"/>
        </w:rPr>
      </w:pPr>
      <w:r w:rsidRPr="0026301A">
        <w:lastRenderedPageBreak/>
        <w:fldChar w:fldCharType="begin"/>
      </w:r>
      <w:r w:rsidRPr="0026301A">
        <w:instrText xml:space="preserve"> REF _Ref208497024 \h </w:instrText>
      </w:r>
      <w:r w:rsidR="0026301A">
        <w:instrText xml:space="preserve"> \* MERGEFORMAT </w:instrText>
      </w:r>
      <w:r w:rsidRPr="0026301A">
        <w:fldChar w:fldCharType="separate"/>
      </w:r>
      <w:r w:rsidR="00FF7A7F" w:rsidRPr="0026301A">
        <w:t xml:space="preserve">Figure </w:t>
      </w:r>
      <w:r w:rsidR="00FF7A7F">
        <w:rPr>
          <w:noProof/>
        </w:rPr>
        <w:t>8</w:t>
      </w:r>
      <w:r w:rsidRPr="0026301A">
        <w:fldChar w:fldCharType="end"/>
      </w:r>
      <w:r w:rsidRPr="0026301A">
        <w:t xml:space="preserve"> </w:t>
      </w:r>
      <w:r w:rsidR="00E67F77" w:rsidRPr="0026301A">
        <w:t xml:space="preserve">shows </w:t>
      </w:r>
      <w:r w:rsidR="00AB1BD0" w:rsidRPr="0026301A">
        <w:t xml:space="preserve">the distribution of </w:t>
      </w:r>
      <w:r w:rsidR="00F739D4" w:rsidRPr="0026301A">
        <w:t>Jobs and Skills Australia Labour Supply Index (LSI)</w:t>
      </w:r>
      <w:r w:rsidR="00AB1BD0" w:rsidRPr="0026301A">
        <w:t xml:space="preserve"> in 2023–24 and 2024–25</w:t>
      </w:r>
      <w:r w:rsidR="00E67F77" w:rsidRPr="0026301A">
        <w:t>.</w:t>
      </w:r>
      <w:r w:rsidR="00F739D4" w:rsidRPr="0026301A">
        <w:t xml:space="preserve"> </w:t>
      </w:r>
      <w:r w:rsidR="005243F9" w:rsidRPr="0026301A">
        <w:t xml:space="preserve">The LSI measures how far applicants per vacancy for a specific unit group deviates from the overall </w:t>
      </w:r>
      <w:r w:rsidR="007F7392" w:rsidRPr="0026301A">
        <w:t xml:space="preserve">economy-wide </w:t>
      </w:r>
      <w:r w:rsidR="005243F9" w:rsidRPr="0026301A">
        <w:t>average as a measure of how oversupplied</w:t>
      </w:r>
      <w:r w:rsidR="00113E32" w:rsidRPr="0026301A">
        <w:t>,</w:t>
      </w:r>
      <w:r w:rsidR="005243F9" w:rsidRPr="0026301A">
        <w:t xml:space="preserve"> undersupplied </w:t>
      </w:r>
      <w:r w:rsidR="00113E32" w:rsidRPr="0026301A">
        <w:t xml:space="preserve">or balanced </w:t>
      </w:r>
      <w:r w:rsidR="005243F9" w:rsidRPr="0026301A">
        <w:t>the unit group is.</w:t>
      </w:r>
      <w:r w:rsidR="00487F6B" w:rsidRPr="0026301A">
        <w:rPr>
          <w:rStyle w:val="FootnoteReference"/>
        </w:rPr>
        <w:footnoteReference w:id="25"/>
      </w:r>
    </w:p>
    <w:p w14:paraId="6AF910FD" w14:textId="439342C4" w:rsidR="00E67F77" w:rsidRPr="0026301A" w:rsidRDefault="00E67F77" w:rsidP="00F739D4">
      <w:pPr>
        <w:pStyle w:val="BodyText"/>
      </w:pPr>
      <w:r w:rsidRPr="0026301A">
        <w:t>The figure show</w:t>
      </w:r>
      <w:r w:rsidR="00782882" w:rsidRPr="0026301A">
        <w:t>ed</w:t>
      </w:r>
      <w:r w:rsidRPr="0026301A">
        <w:t xml:space="preserve"> that in 2024</w:t>
      </w:r>
      <w:r w:rsidR="009027CF" w:rsidRPr="0026301A">
        <w:t>–</w:t>
      </w:r>
      <w:r w:rsidRPr="0026301A">
        <w:t xml:space="preserve">25, </w:t>
      </w:r>
      <w:r w:rsidR="008575E4" w:rsidRPr="0026301A">
        <w:t xml:space="preserve">compared to the previous </w:t>
      </w:r>
      <w:r w:rsidR="00F31759" w:rsidRPr="0026301A">
        <w:t xml:space="preserve">financial </w:t>
      </w:r>
      <w:r w:rsidR="008575E4" w:rsidRPr="0026301A">
        <w:t xml:space="preserve">year, </w:t>
      </w:r>
      <w:r w:rsidRPr="0026301A">
        <w:t>there was</w:t>
      </w:r>
      <w:r w:rsidR="00BB03AA" w:rsidRPr="0026301A">
        <w:t xml:space="preserve"> a</w:t>
      </w:r>
      <w:r w:rsidRPr="0026301A">
        <w:t>:</w:t>
      </w:r>
    </w:p>
    <w:p w14:paraId="49EB9F0C" w14:textId="2FAC260E" w:rsidR="00E67F77" w:rsidRPr="0026301A" w:rsidRDefault="00BB03AA" w:rsidP="00D23761">
      <w:pPr>
        <w:pStyle w:val="ListBullet"/>
      </w:pPr>
      <w:r w:rsidRPr="0026301A">
        <w:t xml:space="preserve">large </w:t>
      </w:r>
      <w:r w:rsidR="00E67F77" w:rsidRPr="0026301A">
        <w:t xml:space="preserve">increase in the percentage of </w:t>
      </w:r>
      <w:r w:rsidR="00D97EF5" w:rsidRPr="0026301A">
        <w:t xml:space="preserve">unit groups </w:t>
      </w:r>
      <w:r w:rsidR="00E67F77" w:rsidRPr="0026301A">
        <w:t>with a balanced supply of applicants per vacancy</w:t>
      </w:r>
    </w:p>
    <w:p w14:paraId="3843B287" w14:textId="7ED1E274" w:rsidR="0048733D" w:rsidRPr="0026301A" w:rsidRDefault="00E67F77" w:rsidP="00A1592D">
      <w:pPr>
        <w:pStyle w:val="ListBullet"/>
        <w:spacing w:before="0" w:after="200"/>
        <w:rPr>
          <w:b/>
          <w:bCs/>
          <w:color w:val="012749"/>
          <w:sz w:val="18"/>
          <w:szCs w:val="18"/>
        </w:rPr>
      </w:pPr>
      <w:r w:rsidRPr="0026301A">
        <w:t xml:space="preserve">decrease in both the </w:t>
      </w:r>
      <w:r w:rsidR="00D97EF5" w:rsidRPr="0026301A">
        <w:t xml:space="preserve">percentage of unit groups </w:t>
      </w:r>
      <w:r w:rsidR="00D0424A" w:rsidRPr="0026301A">
        <w:t xml:space="preserve">with an under or oversupply of applicants per vacancy. </w:t>
      </w:r>
      <w:bookmarkStart w:id="57" w:name="_Ref207891150"/>
      <w:bookmarkStart w:id="58" w:name="_Ref207794317"/>
    </w:p>
    <w:p w14:paraId="7D587C28" w14:textId="1C5EC3D1" w:rsidR="00832A13" w:rsidRPr="0026301A" w:rsidRDefault="003C14DE" w:rsidP="00182948">
      <w:pPr>
        <w:pStyle w:val="Caption"/>
      </w:pPr>
      <w:bookmarkStart w:id="59" w:name="_Ref208497024"/>
      <w:bookmarkStart w:id="60" w:name="_Toc211349851"/>
      <w:r w:rsidRPr="0026301A">
        <w:t xml:space="preserve">Figure </w:t>
      </w:r>
      <w:r w:rsidRPr="0026301A">
        <w:fldChar w:fldCharType="begin"/>
      </w:r>
      <w:r w:rsidRPr="0026301A">
        <w:instrText xml:space="preserve"> SEQ Figure \* ARABIC </w:instrText>
      </w:r>
      <w:r w:rsidRPr="0026301A">
        <w:fldChar w:fldCharType="separate"/>
      </w:r>
      <w:r w:rsidR="00FF7A7F">
        <w:rPr>
          <w:noProof/>
        </w:rPr>
        <w:t>8</w:t>
      </w:r>
      <w:r w:rsidRPr="0026301A">
        <w:fldChar w:fldCharType="end"/>
      </w:r>
      <w:bookmarkEnd w:id="59"/>
      <w:r w:rsidRPr="0026301A">
        <w:t>: Percentage of unit groups, by LSI category, 2023–24 and 2024–</w:t>
      </w:r>
      <w:bookmarkEnd w:id="57"/>
      <w:r w:rsidR="00182948" w:rsidRPr="0026301A">
        <w:t>25</w:t>
      </w:r>
      <w:bookmarkEnd w:id="58"/>
      <w:bookmarkEnd w:id="60"/>
    </w:p>
    <w:p w14:paraId="58AF9880" w14:textId="76AE6A51" w:rsidR="00832A13" w:rsidRPr="0026301A" w:rsidRDefault="00545ECB" w:rsidP="002C6CE3">
      <w:pPr>
        <w:pStyle w:val="Source"/>
      </w:pPr>
      <w:r w:rsidRPr="0026301A">
        <w:rPr>
          <w:noProof/>
        </w:rPr>
        <w:drawing>
          <wp:inline distT="0" distB="0" distL="0" distR="0" wp14:anchorId="54200F7A" wp14:editId="7BB40073">
            <wp:extent cx="5732145" cy="3102187"/>
            <wp:effectExtent l="0" t="0" r="1905" b="3175"/>
            <wp:docPr id="425666301" name="Chart 1" descr="Figure 8 shows that in 2024–25, compared to the previous financial year, the percentage of unit groups with a balanced supply of applicants per vacancy increased from 32% to 40%. However, the percentage of unit groups with an under-supply of applicants per vacancy decreased from 31% to 27%, and the one with oversupply of applicants per vacancy also declined from 37% to 33%. &#10;">
              <a:extLst xmlns:a="http://schemas.openxmlformats.org/drawingml/2006/main">
                <a:ext uri="{FF2B5EF4-FFF2-40B4-BE49-F238E27FC236}">
                  <a16:creationId xmlns:a16="http://schemas.microsoft.com/office/drawing/2014/main" id="{8D4B7041-B10E-4A35-9D36-61C07025F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BA59DC" w:rsidRPr="0026301A">
        <w:br/>
        <w:t>Source: Jobs and Skills Australia, SERA</w:t>
      </w:r>
      <w:r w:rsidR="002C6CE3" w:rsidRPr="0026301A">
        <w:t>; REOS, Australian Skills Classification</w:t>
      </w:r>
      <w:r w:rsidR="00CD11C3" w:rsidRPr="0026301A">
        <w:t xml:space="preserve"> (ASC)</w:t>
      </w:r>
      <w:r w:rsidR="002C6CE3" w:rsidRPr="0026301A">
        <w:t>.</w:t>
      </w:r>
    </w:p>
    <w:p w14:paraId="4C8D1964" w14:textId="77777777" w:rsidR="00BC5ECF" w:rsidRPr="0026301A" w:rsidRDefault="007E143C" w:rsidP="00843580">
      <w:pPr>
        <w:pStyle w:val="BodyText"/>
      </w:pPr>
      <w:r w:rsidRPr="0026301A">
        <w:t xml:space="preserve">The shift towards a more balanced supply of applicants is consistent with </w:t>
      </w:r>
      <w:r w:rsidR="00786C34" w:rsidRPr="0026301A">
        <w:t>analysis of Jobs and Skills Australia occupation mismatch index</w:t>
      </w:r>
      <w:r w:rsidR="00B27967" w:rsidRPr="0026301A">
        <w:t xml:space="preserve"> (MI)</w:t>
      </w:r>
      <w:r w:rsidR="00D872BB" w:rsidRPr="0026301A">
        <w:t xml:space="preserve">, which </w:t>
      </w:r>
      <w:r w:rsidR="006B07C7" w:rsidRPr="0026301A">
        <w:t xml:space="preserve">showed that mismatches </w:t>
      </w:r>
      <w:r w:rsidR="00D872BB" w:rsidRPr="0026301A">
        <w:t xml:space="preserve">fell </w:t>
      </w:r>
      <w:r w:rsidRPr="0026301A">
        <w:t xml:space="preserve">in </w:t>
      </w:r>
      <w:r w:rsidR="006B07C7" w:rsidRPr="0026301A">
        <w:br/>
      </w:r>
      <w:r w:rsidRPr="0026301A">
        <w:t>2024–25.</w:t>
      </w:r>
      <w:r w:rsidR="006B07C7" w:rsidRPr="0026301A">
        <w:rPr>
          <w:rStyle w:val="FootnoteReference"/>
        </w:rPr>
        <w:footnoteReference w:id="26"/>
      </w:r>
      <w:r w:rsidRPr="0026301A">
        <w:t xml:space="preserve"> </w:t>
      </w:r>
    </w:p>
    <w:p w14:paraId="6C494115" w14:textId="56382384" w:rsidR="00B96197" w:rsidRPr="0026301A" w:rsidRDefault="00151927" w:rsidP="00BC5ECF">
      <w:pPr>
        <w:pStyle w:val="BodyText"/>
      </w:pPr>
      <w:r w:rsidRPr="0026301A">
        <w:rPr>
          <w:rFonts w:cs="Arial"/>
          <w:color w:val="000000"/>
          <w:szCs w:val="22"/>
          <w:bdr w:val="none" w:sz="0" w:space="0" w:color="auto" w:frame="1"/>
        </w:rPr>
        <w:t>T</w:t>
      </w:r>
      <w:r w:rsidRPr="0026301A">
        <w:t>he 2024-25 MI show</w:t>
      </w:r>
      <w:r w:rsidR="001676EA" w:rsidRPr="0026301A">
        <w:t>ed</w:t>
      </w:r>
      <w:r w:rsidRPr="0026301A">
        <w:t xml:space="preserve"> that about 30% of jobseekers would need to change the type of roles they appl</w:t>
      </w:r>
      <w:r w:rsidR="00B27967" w:rsidRPr="0026301A">
        <w:t>ied</w:t>
      </w:r>
      <w:r w:rsidRPr="0026301A">
        <w:t xml:space="preserve"> for to achieve a balanced labour market. This </w:t>
      </w:r>
      <w:r w:rsidR="001676EA" w:rsidRPr="0026301A">
        <w:t>was</w:t>
      </w:r>
      <w:r w:rsidRPr="0026301A">
        <w:t xml:space="preserve"> a</w:t>
      </w:r>
      <w:r w:rsidR="00B27967" w:rsidRPr="0026301A">
        <w:t>n</w:t>
      </w:r>
      <w:r w:rsidRPr="0026301A">
        <w:t xml:space="preserve"> improvement from the 2023-24 peak of 33%. </w:t>
      </w:r>
      <w:r w:rsidR="00FF20CC" w:rsidRPr="0026301A">
        <w:t xml:space="preserve">Managers, Technicians and Trades Workers, and Community and </w:t>
      </w:r>
      <w:r w:rsidR="00C40FBE" w:rsidRPr="0026301A">
        <w:t xml:space="preserve">Personal Service Workers </w:t>
      </w:r>
      <w:r w:rsidR="00BC5ECF" w:rsidRPr="0026301A">
        <w:t xml:space="preserve">major groups </w:t>
      </w:r>
      <w:r w:rsidR="00C40FBE" w:rsidRPr="0026301A">
        <w:t>accounted for most of th</w:t>
      </w:r>
      <w:r w:rsidR="00A931C4" w:rsidRPr="0026301A">
        <w:t>e</w:t>
      </w:r>
      <w:r w:rsidR="00C40FBE" w:rsidRPr="0026301A">
        <w:t xml:space="preserve"> improvement</w:t>
      </w:r>
      <w:r w:rsidR="000A5445" w:rsidRPr="0026301A">
        <w:t xml:space="preserve"> </w:t>
      </w:r>
      <w:r w:rsidR="000A7F59" w:rsidRPr="0026301A">
        <w:br/>
      </w:r>
      <w:r w:rsidR="000A5445" w:rsidRPr="0026301A">
        <w:t>(fall in the MI)</w:t>
      </w:r>
      <w:r w:rsidR="00C40FBE" w:rsidRPr="0026301A">
        <w:t xml:space="preserve">. </w:t>
      </w:r>
    </w:p>
    <w:p w14:paraId="5F4D2FF0" w14:textId="7FE92EF2" w:rsidR="002B16C9" w:rsidRPr="0026301A" w:rsidRDefault="00CC0183" w:rsidP="00192924">
      <w:pPr>
        <w:pStyle w:val="BodyText"/>
        <w:rPr>
          <w:lang w:eastAsia="en-GB"/>
        </w:rPr>
      </w:pPr>
      <w:r w:rsidRPr="0026301A">
        <w:t xml:space="preserve">Better matching </w:t>
      </w:r>
      <w:r w:rsidR="0030798C" w:rsidRPr="0026301A">
        <w:t xml:space="preserve">skills in </w:t>
      </w:r>
      <w:r w:rsidR="00971331" w:rsidRPr="0026301A">
        <w:t>demand</w:t>
      </w:r>
      <w:r w:rsidR="00FD5FE8" w:rsidRPr="0026301A">
        <w:t xml:space="preserve"> and skills </w:t>
      </w:r>
      <w:r w:rsidR="0030798C" w:rsidRPr="0026301A">
        <w:t xml:space="preserve">supplied by </w:t>
      </w:r>
      <w:r w:rsidR="00971331" w:rsidRPr="0026301A">
        <w:t xml:space="preserve">workers </w:t>
      </w:r>
      <w:r w:rsidR="00FD5FE8" w:rsidRPr="0026301A">
        <w:t xml:space="preserve">is </w:t>
      </w:r>
      <w:r w:rsidR="00971331" w:rsidRPr="0026301A">
        <w:t>likely to manifest in fewer occupations in shortage.</w:t>
      </w:r>
      <w:r w:rsidR="00612DDE" w:rsidRPr="0026301A">
        <w:br w:type="page"/>
      </w:r>
    </w:p>
    <w:p w14:paraId="74FB9466" w14:textId="22B64363" w:rsidR="00F5698F" w:rsidRPr="0026301A" w:rsidRDefault="003779E1" w:rsidP="00C637B6">
      <w:pPr>
        <w:pStyle w:val="AppendixHeading1"/>
        <w:ind w:left="2268" w:hanging="2268"/>
        <w:rPr>
          <w:lang w:eastAsia="en-GB"/>
        </w:rPr>
      </w:pPr>
      <w:bookmarkStart w:id="61" w:name="_Toc226611478"/>
      <w:r w:rsidRPr="0026301A">
        <w:lastRenderedPageBreak/>
        <w:t xml:space="preserve">Results </w:t>
      </w:r>
      <w:r w:rsidR="00D22B11" w:rsidRPr="0026301A">
        <w:t>on ANZSCO 2022</w:t>
      </w:r>
      <w:bookmarkStart w:id="62" w:name="_Ref207616373"/>
      <w:bookmarkEnd w:id="61"/>
      <w:r w:rsidR="00041775" w:rsidRPr="0026301A">
        <w:t xml:space="preserve"> </w:t>
      </w:r>
    </w:p>
    <w:p w14:paraId="0E09420D" w14:textId="68D316D6" w:rsidR="00AC03CC" w:rsidRPr="0026301A" w:rsidRDefault="007C5695" w:rsidP="002217FD">
      <w:pPr>
        <w:pStyle w:val="AppendixHeading2"/>
      </w:pPr>
      <w:bookmarkStart w:id="63" w:name="_Toc207966991"/>
      <w:bookmarkStart w:id="64" w:name="_Toc201750285"/>
      <w:bookmarkStart w:id="65" w:name="_Toc226611479"/>
      <w:bookmarkEnd w:id="62"/>
      <w:r w:rsidRPr="0026301A">
        <w:t xml:space="preserve">Key figures and tables </w:t>
      </w:r>
      <w:r w:rsidR="001955CB" w:rsidRPr="0026301A">
        <w:t>on</w:t>
      </w:r>
      <w:r w:rsidR="009E7911" w:rsidRPr="0026301A">
        <w:t xml:space="preserve"> ANZSCO </w:t>
      </w:r>
      <w:r w:rsidR="00FA12AC" w:rsidRPr="0026301A">
        <w:t>2022</w:t>
      </w:r>
      <w:bookmarkEnd w:id="63"/>
      <w:r w:rsidR="00D20A57" w:rsidRPr="0026301A">
        <w:t xml:space="preserve"> basis</w:t>
      </w:r>
      <w:bookmarkEnd w:id="65"/>
    </w:p>
    <w:p w14:paraId="4D27411C" w14:textId="301207EB" w:rsidR="008C3C57" w:rsidRPr="0026301A" w:rsidRDefault="00EA0EF3" w:rsidP="00EA0EF3">
      <w:pPr>
        <w:pStyle w:val="Caption"/>
      </w:pPr>
      <w:bookmarkStart w:id="66" w:name="_Toc211349852"/>
      <w:r w:rsidRPr="0026301A">
        <w:t>Figure A</w:t>
      </w:r>
      <w:r w:rsidRPr="0026301A">
        <w:fldChar w:fldCharType="begin"/>
      </w:r>
      <w:r w:rsidRPr="0026301A">
        <w:instrText xml:space="preserve"> SEQ Figure_A \* ARABIC </w:instrText>
      </w:r>
      <w:r w:rsidRPr="0026301A">
        <w:fldChar w:fldCharType="separate"/>
      </w:r>
      <w:r w:rsidR="00FF7A7F">
        <w:rPr>
          <w:noProof/>
        </w:rPr>
        <w:t>1</w:t>
      </w:r>
      <w:r w:rsidRPr="0026301A">
        <w:fldChar w:fldCharType="end"/>
      </w:r>
      <w:r w:rsidR="008C3C57" w:rsidRPr="0026301A">
        <w:t xml:space="preserve">: Percentage of occupations in </w:t>
      </w:r>
      <w:r w:rsidR="007B0A06" w:rsidRPr="0026301A">
        <w:t>s</w:t>
      </w:r>
      <w:r w:rsidR="008C3C57" w:rsidRPr="0026301A">
        <w:t>hortage (%)</w:t>
      </w:r>
      <w:r w:rsidR="004B418E" w:rsidRPr="0026301A">
        <w:t>,</w:t>
      </w:r>
      <w:r w:rsidR="008C3C57" w:rsidRPr="0026301A">
        <w:t xml:space="preserve"> 2021 to 2025 OSLs</w:t>
      </w:r>
      <w:r w:rsidR="00F32F9D" w:rsidRPr="0026301A">
        <w:t>,</w:t>
      </w:r>
      <w:r w:rsidR="00564825" w:rsidRPr="0026301A">
        <w:t xml:space="preserve"> </w:t>
      </w:r>
      <w:r w:rsidR="008C3C57" w:rsidRPr="0026301A">
        <w:t>ANZSCO 2022</w:t>
      </w:r>
      <w:bookmarkEnd w:id="64"/>
      <w:bookmarkEnd w:id="66"/>
      <w:r w:rsidR="00F32F9D" w:rsidRPr="0026301A">
        <w:t xml:space="preserve"> </w:t>
      </w:r>
    </w:p>
    <w:p w14:paraId="029EB6D4" w14:textId="1365EBFF" w:rsidR="00B50C39" w:rsidRPr="0026301A" w:rsidRDefault="008C3C57" w:rsidP="00F32F9D">
      <w:pPr>
        <w:pStyle w:val="Source"/>
      </w:pPr>
      <w:r w:rsidRPr="0026301A">
        <w:rPr>
          <w:noProof/>
        </w:rPr>
        <w:drawing>
          <wp:inline distT="0" distB="0" distL="0" distR="0" wp14:anchorId="76BE48DC" wp14:editId="577AD4D9">
            <wp:extent cx="5730875" cy="2811600"/>
            <wp:effectExtent l="0" t="0" r="3175" b="8255"/>
            <wp:docPr id="201480846" name="Chart 1" descr="Figure A1 shows the percentage of occupations in shortage in the 2021-2025 OSLs, on ANZSCO 2022. The percentage of shortage is 30% for 2025, 33% for 2024, 36% for 2023, 32% for 2022 and 21% for 2021. ">
              <a:extLst xmlns:a="http://schemas.openxmlformats.org/drawingml/2006/main">
                <a:ext uri="{FF2B5EF4-FFF2-40B4-BE49-F238E27FC236}">
                  <a16:creationId xmlns:a16="http://schemas.microsoft.com/office/drawing/2014/main" id="{67805CFD-FF9D-4DAB-AF61-8C187FEB0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26301A">
        <w:t>Source: Jobs and Skills Australia, O</w:t>
      </w:r>
      <w:r w:rsidR="009748DB" w:rsidRPr="0026301A">
        <w:t>SL</w:t>
      </w:r>
      <w:r w:rsidRPr="0026301A">
        <w:t>, 2021</w:t>
      </w:r>
      <w:r w:rsidR="006B45E8" w:rsidRPr="0026301A">
        <w:t xml:space="preserve"> to </w:t>
      </w:r>
      <w:r w:rsidRPr="0026301A">
        <w:t>2025.</w:t>
      </w:r>
      <w:bookmarkStart w:id="67" w:name="_Toc201750292"/>
      <w:r w:rsidR="00F32F9D" w:rsidRPr="0026301A">
        <w:br/>
      </w:r>
      <w:r w:rsidR="00501339" w:rsidRPr="0026301A">
        <w:rPr>
          <w:rFonts w:eastAsiaTheme="minorHAnsi" w:cs="Arial"/>
          <w:bCs w:val="0"/>
          <w:szCs w:val="20"/>
          <w:lang w:eastAsia="en-US"/>
        </w:rPr>
        <w:t xml:space="preserve">Note: </w:t>
      </w:r>
      <w:r w:rsidR="002B404A" w:rsidRPr="0026301A">
        <w:rPr>
          <w:rFonts w:eastAsiaTheme="minorHAnsi" w:cs="Arial"/>
        </w:rPr>
        <w:t xml:space="preserve">The figure presents </w:t>
      </w:r>
      <w:r w:rsidR="002B404A" w:rsidRPr="0026301A">
        <w:rPr>
          <w:rFonts w:cs="Arial"/>
        </w:rPr>
        <w:t>current and past results all on an ANZSCO 2022 basis to support like-for-like comparison.</w:t>
      </w:r>
      <w:r w:rsidR="002B404A" w:rsidRPr="0026301A" w:rsidDel="002B404A">
        <w:rPr>
          <w:rFonts w:eastAsiaTheme="minorHAnsi" w:cs="Arial"/>
          <w:bCs w:val="0"/>
          <w:szCs w:val="20"/>
          <w:lang w:eastAsia="en-US"/>
        </w:rPr>
        <w:t xml:space="preserve"> </w:t>
      </w:r>
    </w:p>
    <w:p w14:paraId="391750BA" w14:textId="77777777" w:rsidR="00E52D64" w:rsidRPr="0026301A" w:rsidRDefault="00E52D64" w:rsidP="005B755C">
      <w:pPr>
        <w:pStyle w:val="BodyText"/>
      </w:pPr>
    </w:p>
    <w:p w14:paraId="373E4978" w14:textId="487E5D4A" w:rsidR="008C3C57" w:rsidRPr="0026301A" w:rsidRDefault="00EA0EF3" w:rsidP="00EA0EF3">
      <w:pPr>
        <w:pStyle w:val="Caption"/>
      </w:pPr>
      <w:bookmarkStart w:id="68" w:name="_Toc211349858"/>
      <w:r w:rsidRPr="0026301A">
        <w:t>Table A</w:t>
      </w:r>
      <w:r w:rsidRPr="0026301A">
        <w:fldChar w:fldCharType="begin"/>
      </w:r>
      <w:r w:rsidRPr="0026301A">
        <w:instrText xml:space="preserve"> SEQ Table_A \* ARABIC </w:instrText>
      </w:r>
      <w:r w:rsidRPr="0026301A">
        <w:fldChar w:fldCharType="separate"/>
      </w:r>
      <w:r w:rsidR="00FF7A7F">
        <w:rPr>
          <w:noProof/>
        </w:rPr>
        <w:t>1</w:t>
      </w:r>
      <w:r w:rsidRPr="0026301A">
        <w:fldChar w:fldCharType="end"/>
      </w:r>
      <w:r w:rsidR="009B33B0" w:rsidRPr="0026301A">
        <w:t xml:space="preserve">: </w:t>
      </w:r>
      <w:r w:rsidR="008C3C57" w:rsidRPr="0026301A">
        <w:t>Summary of occupation rating change between 2024 and 2025 OSLs</w:t>
      </w:r>
      <w:r w:rsidR="00F32F9D" w:rsidRPr="0026301A">
        <w:t>, ANZSCO 2022</w:t>
      </w:r>
      <w:bookmarkEnd w:id="68"/>
      <w:r w:rsidR="00F32F9D" w:rsidRPr="0026301A">
        <w:t xml:space="preserve"> </w:t>
      </w:r>
      <w:bookmarkEnd w:id="67"/>
    </w:p>
    <w:tbl>
      <w:tblPr>
        <w:tblStyle w:val="CustomTablebasic"/>
        <w:tblW w:w="5000" w:type="pct"/>
        <w:tblLook w:val="0020" w:firstRow="1" w:lastRow="0" w:firstColumn="0" w:lastColumn="0" w:noHBand="0" w:noVBand="0"/>
      </w:tblPr>
      <w:tblGrid>
        <w:gridCol w:w="4635"/>
        <w:gridCol w:w="2280"/>
        <w:gridCol w:w="2112"/>
      </w:tblGrid>
      <w:tr w:rsidR="007972FF" w:rsidRPr="0026301A" w14:paraId="158B6AD6" w14:textId="77777777" w:rsidTr="00DB0678">
        <w:trPr>
          <w:cnfStyle w:val="100000000000" w:firstRow="1" w:lastRow="0" w:firstColumn="0" w:lastColumn="0" w:oddVBand="0" w:evenVBand="0" w:oddHBand="0" w:evenHBand="0" w:firstRowFirstColumn="0" w:firstRowLastColumn="0" w:lastRowFirstColumn="0" w:lastRowLastColumn="0"/>
        </w:trPr>
        <w:tc>
          <w:tcPr>
            <w:tcW w:w="2567" w:type="pct"/>
          </w:tcPr>
          <w:p w14:paraId="6B95636C" w14:textId="77777777" w:rsidR="008C3C57" w:rsidRPr="0026301A" w:rsidRDefault="008C3C57" w:rsidP="008C3C57">
            <w:pPr>
              <w:pStyle w:val="TableHeading1"/>
            </w:pPr>
            <w:r w:rsidRPr="0026301A">
              <w:t>Change from 2024 to 2025</w:t>
            </w:r>
          </w:p>
        </w:tc>
        <w:tc>
          <w:tcPr>
            <w:tcW w:w="1263" w:type="pct"/>
          </w:tcPr>
          <w:p w14:paraId="5D14167A" w14:textId="77777777" w:rsidR="008C3C57" w:rsidRPr="0026301A" w:rsidRDefault="008C3C57" w:rsidP="008C3C57">
            <w:pPr>
              <w:pStyle w:val="TableHeading1"/>
            </w:pPr>
            <w:r w:rsidRPr="0026301A">
              <w:t>Occupations (No.)</w:t>
            </w:r>
          </w:p>
        </w:tc>
        <w:tc>
          <w:tcPr>
            <w:tcW w:w="1170" w:type="pct"/>
          </w:tcPr>
          <w:p w14:paraId="66AF240E" w14:textId="77777777" w:rsidR="008C3C57" w:rsidRPr="0026301A" w:rsidRDefault="008C3C57" w:rsidP="008C3C57">
            <w:pPr>
              <w:pStyle w:val="TableHeading1"/>
            </w:pPr>
            <w:r w:rsidRPr="0026301A">
              <w:t>Occupations (%)</w:t>
            </w:r>
          </w:p>
        </w:tc>
      </w:tr>
      <w:tr w:rsidR="008C3C57" w:rsidRPr="0026301A" w14:paraId="02BE6E1A" w14:textId="77777777" w:rsidTr="00DB0678">
        <w:tc>
          <w:tcPr>
            <w:tcW w:w="2567" w:type="pct"/>
          </w:tcPr>
          <w:p w14:paraId="71F79461" w14:textId="7D854D1B" w:rsidR="008C3C57" w:rsidRPr="0026301A" w:rsidRDefault="008C3C57" w:rsidP="008C3C57">
            <w:pPr>
              <w:pStyle w:val="TableBodyText"/>
            </w:pPr>
            <w:r w:rsidRPr="0026301A">
              <w:t xml:space="preserve">Still in </w:t>
            </w:r>
            <w:r w:rsidR="00131319" w:rsidRPr="0026301A">
              <w:t>s</w:t>
            </w:r>
            <w:r w:rsidRPr="0026301A">
              <w:t>hortage</w:t>
            </w:r>
          </w:p>
        </w:tc>
        <w:tc>
          <w:tcPr>
            <w:tcW w:w="1263" w:type="pct"/>
          </w:tcPr>
          <w:p w14:paraId="42042EF2" w14:textId="77777777" w:rsidR="008C3C57" w:rsidRPr="0026301A" w:rsidRDefault="008C3C57" w:rsidP="00192924">
            <w:pPr>
              <w:pStyle w:val="TableBodyTextright"/>
            </w:pPr>
            <w:r w:rsidRPr="0026301A">
              <w:t>244</w:t>
            </w:r>
          </w:p>
        </w:tc>
        <w:tc>
          <w:tcPr>
            <w:tcW w:w="1170" w:type="pct"/>
          </w:tcPr>
          <w:p w14:paraId="3589CE5C" w14:textId="77777777" w:rsidR="008C3C57" w:rsidRPr="0026301A" w:rsidRDefault="008C3C57" w:rsidP="00192924">
            <w:pPr>
              <w:pStyle w:val="TableBodyTextright"/>
            </w:pPr>
            <w:r w:rsidRPr="0026301A">
              <w:t>27</w:t>
            </w:r>
          </w:p>
        </w:tc>
      </w:tr>
      <w:tr w:rsidR="007972FF" w:rsidRPr="0026301A" w14:paraId="2C47D327"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5E928448" w14:textId="3BE4ADAA" w:rsidR="008C3C57" w:rsidRPr="0026301A" w:rsidRDefault="008C3C57" w:rsidP="008C3C57">
            <w:pPr>
              <w:pStyle w:val="TableBodyText"/>
            </w:pPr>
            <w:r w:rsidRPr="0026301A">
              <w:t xml:space="preserve">No </w:t>
            </w:r>
            <w:r w:rsidR="007B0A06" w:rsidRPr="0026301A">
              <w:t>s</w:t>
            </w:r>
            <w:r w:rsidRPr="0026301A">
              <w:t xml:space="preserve">hortage (2024) to </w:t>
            </w:r>
            <w:r w:rsidR="007B0A06" w:rsidRPr="0026301A">
              <w:t>s</w:t>
            </w:r>
            <w:r w:rsidRPr="0026301A">
              <w:t>hortage (2025)</w:t>
            </w:r>
          </w:p>
        </w:tc>
        <w:tc>
          <w:tcPr>
            <w:tcW w:w="1263" w:type="pct"/>
          </w:tcPr>
          <w:p w14:paraId="35E997C6" w14:textId="77777777" w:rsidR="008C3C57" w:rsidRPr="0026301A" w:rsidRDefault="008C3C57" w:rsidP="00192924">
            <w:pPr>
              <w:pStyle w:val="TableBodyTextright"/>
            </w:pPr>
            <w:r w:rsidRPr="0026301A">
              <w:t>29</w:t>
            </w:r>
          </w:p>
        </w:tc>
        <w:tc>
          <w:tcPr>
            <w:tcW w:w="1170" w:type="pct"/>
          </w:tcPr>
          <w:p w14:paraId="5D705AB3" w14:textId="77777777" w:rsidR="008C3C57" w:rsidRPr="0026301A" w:rsidRDefault="008C3C57" w:rsidP="00192924">
            <w:pPr>
              <w:pStyle w:val="TableBodyTextright"/>
            </w:pPr>
            <w:r w:rsidRPr="0026301A">
              <w:t>3</w:t>
            </w:r>
          </w:p>
        </w:tc>
      </w:tr>
      <w:tr w:rsidR="008C3C57" w:rsidRPr="0026301A" w14:paraId="48010BF6" w14:textId="77777777" w:rsidTr="00DB0678">
        <w:tc>
          <w:tcPr>
            <w:tcW w:w="2567" w:type="pct"/>
          </w:tcPr>
          <w:p w14:paraId="52357768" w14:textId="0B8254B2" w:rsidR="008C3C57" w:rsidRPr="0026301A" w:rsidRDefault="008C3C57" w:rsidP="008C3C57">
            <w:pPr>
              <w:pStyle w:val="TableBodyText"/>
            </w:pPr>
            <w:r w:rsidRPr="0026301A">
              <w:t xml:space="preserve">Shortage (2024) to </w:t>
            </w:r>
            <w:r w:rsidR="00131319" w:rsidRPr="0026301A">
              <w:t>n</w:t>
            </w:r>
            <w:r w:rsidRPr="0026301A">
              <w:t xml:space="preserve">o </w:t>
            </w:r>
            <w:r w:rsidR="007B0A06" w:rsidRPr="0026301A">
              <w:t>s</w:t>
            </w:r>
            <w:r w:rsidRPr="0026301A">
              <w:t>hortage (2025)</w:t>
            </w:r>
          </w:p>
        </w:tc>
        <w:tc>
          <w:tcPr>
            <w:tcW w:w="1263" w:type="pct"/>
          </w:tcPr>
          <w:p w14:paraId="6832A706" w14:textId="77777777" w:rsidR="008C3C57" w:rsidRPr="0026301A" w:rsidRDefault="008C3C57" w:rsidP="00192924">
            <w:pPr>
              <w:pStyle w:val="TableBodyTextright"/>
            </w:pPr>
            <w:r w:rsidRPr="0026301A">
              <w:t>59</w:t>
            </w:r>
          </w:p>
        </w:tc>
        <w:tc>
          <w:tcPr>
            <w:tcW w:w="1170" w:type="pct"/>
          </w:tcPr>
          <w:p w14:paraId="7A3E6DA3" w14:textId="77777777" w:rsidR="008C3C57" w:rsidRPr="0026301A" w:rsidRDefault="008C3C57" w:rsidP="00192924">
            <w:pPr>
              <w:pStyle w:val="TableBodyTextright"/>
            </w:pPr>
            <w:r w:rsidRPr="0026301A">
              <w:t>6</w:t>
            </w:r>
          </w:p>
        </w:tc>
      </w:tr>
      <w:tr w:rsidR="007972FF" w:rsidRPr="0026301A" w14:paraId="026ADD7B"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6B34BF0C" w14:textId="4D44DBF8" w:rsidR="008C3C57" w:rsidRPr="0026301A" w:rsidRDefault="008C3C57" w:rsidP="008C3C57">
            <w:pPr>
              <w:pStyle w:val="TableBodyText"/>
            </w:pPr>
            <w:r w:rsidRPr="0026301A">
              <w:t xml:space="preserve">Still in </w:t>
            </w:r>
            <w:r w:rsidR="00131319" w:rsidRPr="0026301A">
              <w:t>n</w:t>
            </w:r>
            <w:r w:rsidRPr="0026301A">
              <w:t xml:space="preserve">o </w:t>
            </w:r>
            <w:r w:rsidR="00131319" w:rsidRPr="0026301A">
              <w:t>s</w:t>
            </w:r>
            <w:r w:rsidRPr="0026301A">
              <w:t>hortage</w:t>
            </w:r>
          </w:p>
        </w:tc>
        <w:tc>
          <w:tcPr>
            <w:tcW w:w="1263" w:type="pct"/>
          </w:tcPr>
          <w:p w14:paraId="619211AA" w14:textId="77777777" w:rsidR="008C3C57" w:rsidRPr="0026301A" w:rsidRDefault="008C3C57" w:rsidP="00192924">
            <w:pPr>
              <w:pStyle w:val="TableBodyTextright"/>
            </w:pPr>
            <w:r w:rsidRPr="0026301A">
              <w:t>584</w:t>
            </w:r>
          </w:p>
        </w:tc>
        <w:tc>
          <w:tcPr>
            <w:tcW w:w="1170" w:type="pct"/>
          </w:tcPr>
          <w:p w14:paraId="3BBC8C96" w14:textId="77777777" w:rsidR="008C3C57" w:rsidRPr="0026301A" w:rsidRDefault="008C3C57" w:rsidP="00192924">
            <w:pPr>
              <w:pStyle w:val="TableBodyTextright"/>
            </w:pPr>
            <w:r w:rsidRPr="0026301A">
              <w:t>64</w:t>
            </w:r>
          </w:p>
        </w:tc>
      </w:tr>
      <w:tr w:rsidR="008C3C57" w:rsidRPr="0026301A" w14:paraId="1A372FC2" w14:textId="77777777" w:rsidTr="00DB0678">
        <w:tc>
          <w:tcPr>
            <w:tcW w:w="2567" w:type="pct"/>
          </w:tcPr>
          <w:p w14:paraId="42EFA882" w14:textId="77777777" w:rsidR="008C3C57" w:rsidRPr="0026301A" w:rsidRDefault="008C3C57" w:rsidP="008C3C57">
            <w:pPr>
              <w:pStyle w:val="TableBodyText"/>
            </w:pPr>
            <w:r w:rsidRPr="0026301A">
              <w:t>All occupations</w:t>
            </w:r>
          </w:p>
        </w:tc>
        <w:tc>
          <w:tcPr>
            <w:tcW w:w="1263" w:type="pct"/>
          </w:tcPr>
          <w:p w14:paraId="7F206707" w14:textId="77777777" w:rsidR="008C3C57" w:rsidRPr="0026301A" w:rsidRDefault="008C3C57" w:rsidP="00192924">
            <w:pPr>
              <w:pStyle w:val="TableBodyTextright"/>
            </w:pPr>
            <w:r w:rsidRPr="0026301A">
              <w:t>916</w:t>
            </w:r>
          </w:p>
        </w:tc>
        <w:tc>
          <w:tcPr>
            <w:tcW w:w="1170" w:type="pct"/>
          </w:tcPr>
          <w:p w14:paraId="191D75A6" w14:textId="77777777" w:rsidR="008C3C57" w:rsidRPr="0026301A" w:rsidRDefault="008C3C57" w:rsidP="00192924">
            <w:pPr>
              <w:pStyle w:val="TableBodyTextright"/>
            </w:pPr>
            <w:r w:rsidRPr="0026301A">
              <w:t>100</w:t>
            </w:r>
          </w:p>
        </w:tc>
      </w:tr>
    </w:tbl>
    <w:p w14:paraId="04638AAA" w14:textId="2250E1B5" w:rsidR="00501339" w:rsidRPr="0026301A" w:rsidRDefault="008C3C57" w:rsidP="00501339">
      <w:pPr>
        <w:pStyle w:val="Source"/>
      </w:pPr>
      <w:r w:rsidRPr="0026301A">
        <w:t>Source: Jobs and Skills Australia, O</w:t>
      </w:r>
      <w:r w:rsidR="009748DB" w:rsidRPr="0026301A">
        <w:t>SL</w:t>
      </w:r>
      <w:r w:rsidRPr="0026301A">
        <w:t>, 2024</w:t>
      </w:r>
      <w:r w:rsidR="00E7604A" w:rsidRPr="0026301A">
        <w:t xml:space="preserve"> to </w:t>
      </w:r>
      <w:r w:rsidRPr="0026301A">
        <w:t>2025.</w:t>
      </w:r>
      <w:r w:rsidR="002B404A" w:rsidRPr="0026301A">
        <w:br/>
        <w:t xml:space="preserve">Note: </w:t>
      </w:r>
      <w:r w:rsidR="002B404A" w:rsidRPr="0026301A">
        <w:rPr>
          <w:rFonts w:cs="Arial"/>
        </w:rPr>
        <w:t>The table presents current and past results all on an ANZSCO 2022 basis to support like-for-like comparison.</w:t>
      </w:r>
    </w:p>
    <w:p w14:paraId="33DADCED" w14:textId="46F7FF47" w:rsidR="00EB60FA" w:rsidRPr="0026301A" w:rsidRDefault="00EB60FA">
      <w:pPr>
        <w:spacing w:before="0" w:after="200" w:line="276" w:lineRule="auto"/>
        <w:rPr>
          <w:b/>
          <w:bCs/>
          <w:color w:val="012749"/>
          <w:sz w:val="18"/>
          <w:szCs w:val="18"/>
        </w:rPr>
      </w:pPr>
      <w:r w:rsidRPr="0026301A">
        <w:br w:type="page"/>
      </w:r>
    </w:p>
    <w:p w14:paraId="05A5AC82" w14:textId="61655375" w:rsidR="008C3C57" w:rsidRPr="0026301A" w:rsidRDefault="00EA0EF3" w:rsidP="008C3C57">
      <w:pPr>
        <w:pStyle w:val="Caption"/>
      </w:pPr>
      <w:bookmarkStart w:id="69" w:name="_Toc211349859"/>
      <w:bookmarkStart w:id="70" w:name="_Toc201750293"/>
      <w:r w:rsidRPr="0026301A">
        <w:lastRenderedPageBreak/>
        <w:t>Table A</w:t>
      </w:r>
      <w:r w:rsidRPr="0026301A">
        <w:fldChar w:fldCharType="begin"/>
      </w:r>
      <w:r w:rsidRPr="0026301A">
        <w:instrText xml:space="preserve"> SEQ Table_A \* ARABIC </w:instrText>
      </w:r>
      <w:r w:rsidRPr="0026301A">
        <w:fldChar w:fldCharType="separate"/>
      </w:r>
      <w:r w:rsidR="00FF7A7F">
        <w:rPr>
          <w:noProof/>
        </w:rPr>
        <w:t>2</w:t>
      </w:r>
      <w:r w:rsidRPr="0026301A">
        <w:fldChar w:fldCharType="end"/>
      </w:r>
      <w:r w:rsidRPr="0026301A">
        <w:t xml:space="preserve">: </w:t>
      </w:r>
      <w:r w:rsidR="00630C20" w:rsidRPr="0026301A">
        <w:t>Number of occupations in persistent shortage, by major group, 2021 to 2025 OSLs</w:t>
      </w:r>
      <w:r w:rsidR="002B404A" w:rsidRPr="0026301A">
        <w:t xml:space="preserve">, </w:t>
      </w:r>
      <w:r w:rsidR="002B404A" w:rsidRPr="0026301A">
        <w:br/>
      </w:r>
      <w:r w:rsidR="00F32F9D" w:rsidRPr="0026301A">
        <w:t>ANZSCO 2022</w:t>
      </w:r>
      <w:bookmarkEnd w:id="69"/>
      <w:r w:rsidR="00F32F9D" w:rsidRPr="0026301A">
        <w:t xml:space="preserve"> </w:t>
      </w:r>
      <w:bookmarkEnd w:id="70"/>
    </w:p>
    <w:tbl>
      <w:tblPr>
        <w:tblStyle w:val="CustomTablebasic"/>
        <w:tblW w:w="5000" w:type="pct"/>
        <w:tblLook w:val="0020" w:firstRow="1" w:lastRow="0" w:firstColumn="0" w:lastColumn="0" w:noHBand="0" w:noVBand="0"/>
      </w:tblPr>
      <w:tblGrid>
        <w:gridCol w:w="4860"/>
        <w:gridCol w:w="2163"/>
        <w:gridCol w:w="2004"/>
      </w:tblGrid>
      <w:tr w:rsidR="007972FF" w:rsidRPr="0026301A" w14:paraId="5A58249F" w14:textId="77777777" w:rsidTr="00DB0678">
        <w:trPr>
          <w:cnfStyle w:val="100000000000" w:firstRow="1" w:lastRow="0" w:firstColumn="0" w:lastColumn="0" w:oddVBand="0" w:evenVBand="0" w:oddHBand="0" w:evenHBand="0" w:firstRowFirstColumn="0" w:firstRowLastColumn="0" w:lastRowFirstColumn="0" w:lastRowLastColumn="0"/>
        </w:trPr>
        <w:tc>
          <w:tcPr>
            <w:tcW w:w="2692" w:type="pct"/>
          </w:tcPr>
          <w:p w14:paraId="3FD79AD1" w14:textId="77777777" w:rsidR="008C3C57" w:rsidRPr="0026301A" w:rsidRDefault="008C3C57" w:rsidP="008C3C57">
            <w:pPr>
              <w:pStyle w:val="TableHeading1"/>
            </w:pPr>
            <w:r w:rsidRPr="0026301A">
              <w:t>In Shortage from 2021 to 2025</w:t>
            </w:r>
          </w:p>
        </w:tc>
        <w:tc>
          <w:tcPr>
            <w:tcW w:w="1198" w:type="pct"/>
          </w:tcPr>
          <w:p w14:paraId="4D5B287B" w14:textId="77777777" w:rsidR="008C3C57" w:rsidRPr="0026301A" w:rsidRDefault="008C3C57" w:rsidP="008C3C57">
            <w:pPr>
              <w:pStyle w:val="TableHeading1"/>
            </w:pPr>
            <w:r w:rsidRPr="0026301A">
              <w:t>Occupations (No.)</w:t>
            </w:r>
          </w:p>
        </w:tc>
        <w:tc>
          <w:tcPr>
            <w:tcW w:w="1110" w:type="pct"/>
          </w:tcPr>
          <w:p w14:paraId="3D2CC762" w14:textId="77777777" w:rsidR="008C3C57" w:rsidRPr="0026301A" w:rsidRDefault="008C3C57" w:rsidP="008C3C57">
            <w:pPr>
              <w:pStyle w:val="TableHeading1"/>
            </w:pPr>
            <w:r w:rsidRPr="0026301A">
              <w:t>Occupations (%)</w:t>
            </w:r>
          </w:p>
        </w:tc>
      </w:tr>
      <w:tr w:rsidR="008C3C57" w:rsidRPr="0026301A" w14:paraId="1799F05E" w14:textId="77777777" w:rsidTr="00DB0678">
        <w:tc>
          <w:tcPr>
            <w:tcW w:w="2692" w:type="pct"/>
          </w:tcPr>
          <w:p w14:paraId="1862BD6D" w14:textId="77777777" w:rsidR="008C3C57" w:rsidRPr="0026301A" w:rsidRDefault="008C3C57" w:rsidP="008C3C57">
            <w:pPr>
              <w:pStyle w:val="TableBodyText"/>
            </w:pPr>
            <w:r w:rsidRPr="0026301A">
              <w:t>Managers</w:t>
            </w:r>
          </w:p>
        </w:tc>
        <w:tc>
          <w:tcPr>
            <w:tcW w:w="1198" w:type="pct"/>
          </w:tcPr>
          <w:p w14:paraId="1F09C58F" w14:textId="77777777" w:rsidR="008C3C57" w:rsidRPr="0026301A" w:rsidRDefault="008C3C57" w:rsidP="00192924">
            <w:pPr>
              <w:pStyle w:val="TableBodyTextright"/>
            </w:pPr>
            <w:r w:rsidRPr="0026301A">
              <w:t>1</w:t>
            </w:r>
          </w:p>
        </w:tc>
        <w:tc>
          <w:tcPr>
            <w:tcW w:w="1110" w:type="pct"/>
          </w:tcPr>
          <w:p w14:paraId="54ECB2F3" w14:textId="77777777" w:rsidR="008C3C57" w:rsidRPr="0026301A" w:rsidRDefault="008C3C57" w:rsidP="00192924">
            <w:pPr>
              <w:pStyle w:val="TableBodyTextright"/>
            </w:pPr>
            <w:r w:rsidRPr="0026301A">
              <w:t>1%</w:t>
            </w:r>
          </w:p>
        </w:tc>
      </w:tr>
      <w:tr w:rsidR="007972FF" w:rsidRPr="0026301A" w14:paraId="7B4AD2B4"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07A702B2" w14:textId="77777777" w:rsidR="008C3C57" w:rsidRPr="0026301A" w:rsidRDefault="008C3C57" w:rsidP="008C3C57">
            <w:pPr>
              <w:pStyle w:val="TableBodyText"/>
            </w:pPr>
            <w:r w:rsidRPr="0026301A">
              <w:t>Professionals</w:t>
            </w:r>
          </w:p>
        </w:tc>
        <w:tc>
          <w:tcPr>
            <w:tcW w:w="1198" w:type="pct"/>
          </w:tcPr>
          <w:p w14:paraId="2D1F1126" w14:textId="77777777" w:rsidR="008C3C57" w:rsidRPr="0026301A" w:rsidRDefault="008C3C57" w:rsidP="00192924">
            <w:pPr>
              <w:pStyle w:val="TableBodyTextright"/>
            </w:pPr>
            <w:r w:rsidRPr="0026301A">
              <w:t>47</w:t>
            </w:r>
          </w:p>
        </w:tc>
        <w:tc>
          <w:tcPr>
            <w:tcW w:w="1110" w:type="pct"/>
          </w:tcPr>
          <w:p w14:paraId="1BE1B846" w14:textId="77777777" w:rsidR="008C3C57" w:rsidRPr="0026301A" w:rsidRDefault="008C3C57" w:rsidP="00192924">
            <w:pPr>
              <w:pStyle w:val="TableBodyTextright"/>
            </w:pPr>
            <w:r w:rsidRPr="0026301A">
              <w:t>38%</w:t>
            </w:r>
          </w:p>
        </w:tc>
      </w:tr>
      <w:tr w:rsidR="008C3C57" w:rsidRPr="0026301A" w14:paraId="6C13C339" w14:textId="77777777" w:rsidTr="00DB0678">
        <w:tc>
          <w:tcPr>
            <w:tcW w:w="2692" w:type="pct"/>
          </w:tcPr>
          <w:p w14:paraId="341B45F9" w14:textId="77777777" w:rsidR="008C3C57" w:rsidRPr="0026301A" w:rsidRDefault="008C3C57" w:rsidP="008C3C57">
            <w:pPr>
              <w:pStyle w:val="TableBodyText"/>
            </w:pPr>
            <w:r w:rsidRPr="0026301A">
              <w:t>Technicians and Trades Workers</w:t>
            </w:r>
          </w:p>
        </w:tc>
        <w:tc>
          <w:tcPr>
            <w:tcW w:w="1198" w:type="pct"/>
          </w:tcPr>
          <w:p w14:paraId="15582DD0" w14:textId="77777777" w:rsidR="008C3C57" w:rsidRPr="0026301A" w:rsidRDefault="008C3C57" w:rsidP="00192924">
            <w:pPr>
              <w:pStyle w:val="TableBodyTextright"/>
            </w:pPr>
            <w:r w:rsidRPr="0026301A">
              <w:t>65</w:t>
            </w:r>
          </w:p>
        </w:tc>
        <w:tc>
          <w:tcPr>
            <w:tcW w:w="1110" w:type="pct"/>
          </w:tcPr>
          <w:p w14:paraId="72E23B8F" w14:textId="77777777" w:rsidR="008C3C57" w:rsidRPr="0026301A" w:rsidRDefault="008C3C57" w:rsidP="00192924">
            <w:pPr>
              <w:pStyle w:val="TableBodyTextright"/>
            </w:pPr>
            <w:r w:rsidRPr="0026301A">
              <w:t>53%</w:t>
            </w:r>
          </w:p>
        </w:tc>
      </w:tr>
      <w:tr w:rsidR="007972FF" w:rsidRPr="0026301A" w14:paraId="1DFAF26C"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4D355FA9" w14:textId="77777777" w:rsidR="008C3C57" w:rsidRPr="0026301A" w:rsidRDefault="008C3C57" w:rsidP="008C3C57">
            <w:pPr>
              <w:pStyle w:val="TableBodyText"/>
            </w:pPr>
            <w:r w:rsidRPr="0026301A">
              <w:t>Community and Personal Service Workers</w:t>
            </w:r>
          </w:p>
        </w:tc>
        <w:tc>
          <w:tcPr>
            <w:tcW w:w="1198" w:type="pct"/>
          </w:tcPr>
          <w:p w14:paraId="13A3BD46" w14:textId="77777777" w:rsidR="008C3C57" w:rsidRPr="0026301A" w:rsidRDefault="008C3C57" w:rsidP="00192924">
            <w:pPr>
              <w:pStyle w:val="TableBodyTextright"/>
            </w:pPr>
            <w:r w:rsidRPr="0026301A">
              <w:t>3</w:t>
            </w:r>
          </w:p>
        </w:tc>
        <w:tc>
          <w:tcPr>
            <w:tcW w:w="1110" w:type="pct"/>
          </w:tcPr>
          <w:p w14:paraId="0BA0E8F8" w14:textId="77777777" w:rsidR="008C3C57" w:rsidRPr="0026301A" w:rsidRDefault="008C3C57" w:rsidP="00192924">
            <w:pPr>
              <w:pStyle w:val="TableBodyTextright"/>
            </w:pPr>
            <w:r w:rsidRPr="0026301A">
              <w:t>2%</w:t>
            </w:r>
          </w:p>
        </w:tc>
      </w:tr>
      <w:tr w:rsidR="008C3C57" w:rsidRPr="0026301A" w14:paraId="79153A44" w14:textId="77777777" w:rsidTr="00DB0678">
        <w:tc>
          <w:tcPr>
            <w:tcW w:w="2692" w:type="pct"/>
          </w:tcPr>
          <w:p w14:paraId="58287C77" w14:textId="77777777" w:rsidR="008C3C57" w:rsidRPr="0026301A" w:rsidRDefault="008C3C57" w:rsidP="008C3C57">
            <w:pPr>
              <w:pStyle w:val="TableBodyText"/>
            </w:pPr>
            <w:r w:rsidRPr="0026301A">
              <w:t>Machinery Operators and Drivers</w:t>
            </w:r>
          </w:p>
        </w:tc>
        <w:tc>
          <w:tcPr>
            <w:tcW w:w="1198" w:type="pct"/>
          </w:tcPr>
          <w:p w14:paraId="243BCF74" w14:textId="77777777" w:rsidR="008C3C57" w:rsidRPr="0026301A" w:rsidRDefault="008C3C57" w:rsidP="00192924">
            <w:pPr>
              <w:pStyle w:val="TableBodyTextright"/>
            </w:pPr>
            <w:r w:rsidRPr="0026301A">
              <w:t>7</w:t>
            </w:r>
          </w:p>
        </w:tc>
        <w:tc>
          <w:tcPr>
            <w:tcW w:w="1110" w:type="pct"/>
          </w:tcPr>
          <w:p w14:paraId="25925009" w14:textId="77777777" w:rsidR="008C3C57" w:rsidRPr="0026301A" w:rsidRDefault="008C3C57" w:rsidP="00192924">
            <w:pPr>
              <w:pStyle w:val="TableBodyTextright"/>
            </w:pPr>
            <w:r w:rsidRPr="0026301A">
              <w:t>6%</w:t>
            </w:r>
          </w:p>
        </w:tc>
      </w:tr>
      <w:tr w:rsidR="007972FF" w:rsidRPr="0026301A" w14:paraId="063FFD19"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6D38CF0A" w14:textId="77777777" w:rsidR="008C3C57" w:rsidRPr="0026301A" w:rsidRDefault="008C3C57" w:rsidP="008C3C57">
            <w:pPr>
              <w:pStyle w:val="TableBodyText"/>
            </w:pPr>
            <w:r w:rsidRPr="0026301A">
              <w:t>All occupations</w:t>
            </w:r>
          </w:p>
        </w:tc>
        <w:tc>
          <w:tcPr>
            <w:tcW w:w="1198" w:type="pct"/>
          </w:tcPr>
          <w:p w14:paraId="376BA3A0" w14:textId="77777777" w:rsidR="008C3C57" w:rsidRPr="0026301A" w:rsidRDefault="008C3C57" w:rsidP="00192924">
            <w:pPr>
              <w:pStyle w:val="TableBodyTextright"/>
            </w:pPr>
            <w:r w:rsidRPr="0026301A">
              <w:t>123</w:t>
            </w:r>
          </w:p>
        </w:tc>
        <w:tc>
          <w:tcPr>
            <w:tcW w:w="1110" w:type="pct"/>
          </w:tcPr>
          <w:p w14:paraId="377107AB" w14:textId="77777777" w:rsidR="008C3C57" w:rsidRPr="0026301A" w:rsidRDefault="008C3C57" w:rsidP="00192924">
            <w:pPr>
              <w:pStyle w:val="TableBodyTextright"/>
            </w:pPr>
            <w:r w:rsidRPr="0026301A">
              <w:t>100%</w:t>
            </w:r>
          </w:p>
        </w:tc>
      </w:tr>
    </w:tbl>
    <w:p w14:paraId="262B6E0B" w14:textId="4B3286C0" w:rsidR="00F912A1" w:rsidRPr="0026301A" w:rsidRDefault="008C3C57" w:rsidP="00A1592D">
      <w:pPr>
        <w:pStyle w:val="Source"/>
      </w:pPr>
      <w:r w:rsidRPr="0026301A">
        <w:t>Source: Jobs and Skills Australia, O</w:t>
      </w:r>
      <w:r w:rsidR="009748DB" w:rsidRPr="0026301A">
        <w:t>SL</w:t>
      </w:r>
      <w:r w:rsidRPr="0026301A">
        <w:t>, 2021</w:t>
      </w:r>
      <w:r w:rsidR="00AE49A2" w:rsidRPr="0026301A">
        <w:t xml:space="preserve"> to </w:t>
      </w:r>
      <w:r w:rsidRPr="0026301A">
        <w:t>2025.</w:t>
      </w:r>
      <w:r w:rsidR="00DA4A69" w:rsidRPr="0026301A">
        <w:t xml:space="preserve"> </w:t>
      </w:r>
      <w:r w:rsidR="003A00D2" w:rsidRPr="0026301A">
        <w:br/>
        <w:t xml:space="preserve">Note: </w:t>
      </w:r>
      <w:r w:rsidR="00DA4A69" w:rsidRPr="0026301A">
        <w:t>No occupations in the Clerical and Administrative Workers, Sales Workers, or Labourers occupational major groups were in persistent shortage.</w:t>
      </w:r>
      <w:r w:rsidR="003A00D2" w:rsidRPr="0026301A">
        <w:t xml:space="preserve"> </w:t>
      </w:r>
      <w:r w:rsidR="004C47C7" w:rsidRPr="0026301A">
        <w:rPr>
          <w:rFonts w:cs="Arial"/>
        </w:rPr>
        <w:t>The table presents current and past results all on an ANZSCO 2022 basis to support like-for-like comparison.</w:t>
      </w:r>
      <w:bookmarkStart w:id="71" w:name="_Toc201750288"/>
    </w:p>
    <w:p w14:paraId="1C3451D9" w14:textId="77777777" w:rsidR="00714B42" w:rsidRPr="0026301A" w:rsidRDefault="00714B42" w:rsidP="000F1AA2">
      <w:pPr>
        <w:pStyle w:val="BodyText"/>
      </w:pPr>
    </w:p>
    <w:p w14:paraId="6E5EFFC9" w14:textId="07579E21" w:rsidR="008C3C57" w:rsidRPr="0026301A" w:rsidRDefault="00EA0EF3" w:rsidP="008C3C57">
      <w:pPr>
        <w:pStyle w:val="Caption"/>
      </w:pPr>
      <w:bookmarkStart w:id="72" w:name="_Toc211349853"/>
      <w:r w:rsidRPr="0026301A">
        <w:t>Figure A</w:t>
      </w:r>
      <w:r w:rsidRPr="0026301A">
        <w:fldChar w:fldCharType="begin"/>
      </w:r>
      <w:r w:rsidRPr="0026301A">
        <w:instrText xml:space="preserve"> SEQ Figure_A \* ARABIC </w:instrText>
      </w:r>
      <w:r w:rsidRPr="0026301A">
        <w:fldChar w:fldCharType="separate"/>
      </w:r>
      <w:r w:rsidR="00FF7A7F">
        <w:rPr>
          <w:noProof/>
        </w:rPr>
        <w:t>2</w:t>
      </w:r>
      <w:r w:rsidRPr="0026301A">
        <w:fldChar w:fldCharType="end"/>
      </w:r>
      <w:r w:rsidRPr="0026301A">
        <w:t>:</w:t>
      </w:r>
      <w:r w:rsidR="008C3C57" w:rsidRPr="0026301A">
        <w:t xml:space="preserve"> Percentage of occupations in </w:t>
      </w:r>
      <w:r w:rsidR="004E225B" w:rsidRPr="0026301A">
        <w:t>s</w:t>
      </w:r>
      <w:r w:rsidR="008C3C57" w:rsidRPr="0026301A">
        <w:t>hortage (%), by major group, 202</w:t>
      </w:r>
      <w:r w:rsidR="006B6228" w:rsidRPr="0026301A">
        <w:t>1</w:t>
      </w:r>
      <w:r w:rsidR="00327A41" w:rsidRPr="0026301A">
        <w:t xml:space="preserve"> to </w:t>
      </w:r>
      <w:r w:rsidR="00630C20" w:rsidRPr="0026301A">
        <w:t>20</w:t>
      </w:r>
      <w:r w:rsidR="008C3C57" w:rsidRPr="0026301A">
        <w:t>25</w:t>
      </w:r>
      <w:r w:rsidR="00630C20" w:rsidRPr="0026301A">
        <w:t xml:space="preserve"> OSLs</w:t>
      </w:r>
      <w:r w:rsidR="00564825" w:rsidRPr="0026301A">
        <w:t xml:space="preserve"> </w:t>
      </w:r>
      <w:r w:rsidR="00775A56" w:rsidRPr="0026301A">
        <w:br/>
      </w:r>
      <w:r w:rsidR="005E3E91" w:rsidRPr="0026301A">
        <w:t>ANZSCO 2022</w:t>
      </w:r>
      <w:bookmarkEnd w:id="72"/>
      <w:r w:rsidR="005E3E91" w:rsidRPr="0026301A">
        <w:t xml:space="preserve"> </w:t>
      </w:r>
      <w:bookmarkEnd w:id="71"/>
    </w:p>
    <w:p w14:paraId="6C669420" w14:textId="69AB5E37" w:rsidR="00196A83" w:rsidRPr="0026301A" w:rsidRDefault="008C3C57" w:rsidP="00192924">
      <w:pPr>
        <w:pStyle w:val="Source"/>
      </w:pPr>
      <w:r w:rsidRPr="0026301A">
        <w:rPr>
          <w:bCs w:val="0"/>
          <w:noProof/>
        </w:rPr>
        <w:drawing>
          <wp:inline distT="0" distB="0" distL="0" distR="0" wp14:anchorId="3BCA214E" wp14:editId="45338F0E">
            <wp:extent cx="5732145" cy="3469592"/>
            <wp:effectExtent l="0" t="0" r="1905" b="0"/>
            <wp:docPr id="463948210" name="Chart 1" descr="Figure A2 shows the percentage of occupations in shortage by Major Group in the 2021-25 OSLs, on ANZSCO 2022. Shortages in 2025 were most pronounced in the Technicians and Trades Workers category, with 46% of these occupations assessed as being in shortage. Professionals were close behind, with 39% of these occupations in shortage. Occupations in shortage was also prevalent in Community and Personal Service Workers (22%), Machinery Operators and Drivers (26%), and Labourers (18%).">
              <a:extLst xmlns:a="http://schemas.openxmlformats.org/drawingml/2006/main">
                <a:ext uri="{FF2B5EF4-FFF2-40B4-BE49-F238E27FC236}">
                  <a16:creationId xmlns:a16="http://schemas.microsoft.com/office/drawing/2014/main" id="{E4F2BFE0-93B2-43BE-B0D1-E9343C2D3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26301A">
        <w:br/>
        <w:t>Source: Jobs and Skills Australia, O</w:t>
      </w:r>
      <w:r w:rsidR="009748DB" w:rsidRPr="0026301A">
        <w:t>SL</w:t>
      </w:r>
      <w:r w:rsidRPr="0026301A">
        <w:t>, 2021</w:t>
      </w:r>
      <w:r w:rsidR="00327A41" w:rsidRPr="0026301A">
        <w:t xml:space="preserve"> to </w:t>
      </w:r>
      <w:r w:rsidRPr="0026301A">
        <w:t>2025.</w:t>
      </w:r>
      <w:r w:rsidR="004C47C7" w:rsidRPr="0026301A">
        <w:br/>
      </w:r>
      <w:r w:rsidR="004C47C7" w:rsidRPr="0026301A">
        <w:rPr>
          <w:rFonts w:cs="Arial"/>
        </w:rPr>
        <w:t>Note: The figure presents current and past results all on an ANZSCO 2022 basis to support like-for-like comparison.</w:t>
      </w:r>
    </w:p>
    <w:p w14:paraId="5029FBCC" w14:textId="4BB30CEB" w:rsidR="00EB60FA" w:rsidRPr="0026301A" w:rsidRDefault="00EB60FA">
      <w:pPr>
        <w:spacing w:before="0" w:after="200" w:line="276" w:lineRule="auto"/>
        <w:rPr>
          <w:b/>
          <w:bCs/>
          <w:color w:val="012749"/>
          <w:sz w:val="18"/>
          <w:szCs w:val="18"/>
        </w:rPr>
      </w:pPr>
      <w:r w:rsidRPr="0026301A">
        <w:br w:type="page"/>
      </w:r>
    </w:p>
    <w:p w14:paraId="364D7288" w14:textId="0EA5A526" w:rsidR="008C3C57" w:rsidRPr="0026301A" w:rsidRDefault="00327A41" w:rsidP="008C3C57">
      <w:pPr>
        <w:pStyle w:val="Caption"/>
      </w:pPr>
      <w:bookmarkStart w:id="73" w:name="_Toc201750290"/>
      <w:bookmarkStart w:id="74" w:name="_Toc211349854"/>
      <w:r w:rsidRPr="0026301A">
        <w:lastRenderedPageBreak/>
        <w:t>Figure A</w:t>
      </w:r>
      <w:r w:rsidRPr="0026301A">
        <w:fldChar w:fldCharType="begin"/>
      </w:r>
      <w:r w:rsidRPr="0026301A">
        <w:instrText xml:space="preserve"> SEQ Figure_A \* ARABIC </w:instrText>
      </w:r>
      <w:r w:rsidRPr="0026301A">
        <w:fldChar w:fldCharType="separate"/>
      </w:r>
      <w:r w:rsidR="00FF7A7F">
        <w:rPr>
          <w:noProof/>
        </w:rPr>
        <w:t>3</w:t>
      </w:r>
      <w:r w:rsidRPr="0026301A">
        <w:fldChar w:fldCharType="end"/>
      </w:r>
      <w:r w:rsidRPr="0026301A">
        <w:t xml:space="preserve">: </w:t>
      </w:r>
      <w:r w:rsidR="008C3C57" w:rsidRPr="0026301A">
        <w:t xml:space="preserve">Percentage of occupations in </w:t>
      </w:r>
      <w:r w:rsidR="004665EB" w:rsidRPr="0026301A">
        <w:t>s</w:t>
      </w:r>
      <w:r w:rsidR="008C3C57" w:rsidRPr="0026301A">
        <w:t>hortage (%), by Skill Level, 202</w:t>
      </w:r>
      <w:r w:rsidR="006B6228" w:rsidRPr="0026301A">
        <w:t>1</w:t>
      </w:r>
      <w:r w:rsidRPr="0026301A">
        <w:t xml:space="preserve"> to </w:t>
      </w:r>
      <w:r w:rsidR="00397D96" w:rsidRPr="0026301A">
        <w:t>20</w:t>
      </w:r>
      <w:r w:rsidR="008C3C57" w:rsidRPr="0026301A">
        <w:t>25</w:t>
      </w:r>
      <w:r w:rsidR="00397D96" w:rsidRPr="0026301A">
        <w:t xml:space="preserve"> OSLs</w:t>
      </w:r>
      <w:r w:rsidR="002B404A" w:rsidRPr="0026301A">
        <w:t>,</w:t>
      </w:r>
      <w:r w:rsidR="00564825" w:rsidRPr="0026301A">
        <w:t xml:space="preserve"> </w:t>
      </w:r>
      <w:r w:rsidR="008C3C57" w:rsidRPr="0026301A">
        <w:t>ANZSCO 2022</w:t>
      </w:r>
      <w:bookmarkEnd w:id="73"/>
      <w:bookmarkEnd w:id="74"/>
    </w:p>
    <w:p w14:paraId="45AC4748" w14:textId="0DAE20F9" w:rsidR="00B40D71" w:rsidRPr="00BB473F" w:rsidRDefault="008C3C57" w:rsidP="00A1592D">
      <w:pPr>
        <w:pStyle w:val="Source"/>
      </w:pPr>
      <w:r w:rsidRPr="0026301A">
        <w:rPr>
          <w:noProof/>
        </w:rPr>
        <w:drawing>
          <wp:inline distT="0" distB="0" distL="0" distR="0" wp14:anchorId="646205CF" wp14:editId="52EC6EE6">
            <wp:extent cx="5732145" cy="3114942"/>
            <wp:effectExtent l="0" t="0" r="1905" b="0"/>
            <wp:docPr id="86031767" name="Chart 1" descr="Figure A3 shows the percentage of occupations in shortage in 2021-2025 across Skill Levels 1 and 4. Compared to 2024, the percentage of occupations in shortage was declined across all skill levels. In 2025, it was 14% for Skill Level 4 , 44% for Skill Level 3, 21% for Skill Level 2 and 34% for Skill Level 1 occupations. ">
              <a:extLst xmlns:a="http://schemas.openxmlformats.org/drawingml/2006/main">
                <a:ext uri="{FF2B5EF4-FFF2-40B4-BE49-F238E27FC236}">
                  <a16:creationId xmlns:a16="http://schemas.microsoft.com/office/drawing/2014/main" id="{A914DD27-0867-4620-B140-67054DABD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26301A">
        <w:t>Source: Jobs and Skills Australia, O</w:t>
      </w:r>
      <w:r w:rsidR="004665EB" w:rsidRPr="0026301A">
        <w:t>SL</w:t>
      </w:r>
      <w:r w:rsidRPr="0026301A">
        <w:t>, 2021</w:t>
      </w:r>
      <w:r w:rsidR="00327A41" w:rsidRPr="0026301A">
        <w:t xml:space="preserve"> to </w:t>
      </w:r>
      <w:r w:rsidRPr="0026301A">
        <w:t>2025.</w:t>
      </w:r>
      <w:r w:rsidR="003B376A" w:rsidRPr="0026301A">
        <w:br/>
      </w:r>
      <w:r w:rsidR="00497E12" w:rsidRPr="0026301A">
        <w:t xml:space="preserve">Note: </w:t>
      </w:r>
      <w:r w:rsidR="003B376A" w:rsidRPr="0026301A">
        <w:t xml:space="preserve">The figure presents </w:t>
      </w:r>
      <w:r w:rsidR="003B376A" w:rsidRPr="0026301A">
        <w:rPr>
          <w:rFonts w:cs="Arial"/>
        </w:rPr>
        <w:t>current and past results all on an ANZSCO 2022 basis to support like-for-like comparison.</w:t>
      </w:r>
      <w:r w:rsidR="003B376A" w:rsidRPr="002B404A" w:rsidDel="002B404A">
        <w:rPr>
          <w:rFonts w:eastAsiaTheme="minorHAnsi" w:cs="Arial"/>
          <w:bCs w:val="0"/>
          <w:szCs w:val="20"/>
          <w:lang w:eastAsia="en-US"/>
        </w:rPr>
        <w:t xml:space="preserve"> </w:t>
      </w:r>
    </w:p>
    <w:sectPr w:rsidR="00B40D71" w:rsidRPr="00BB473F" w:rsidSect="000F5CD2">
      <w:footerReference w:type="first" r:id="rId31"/>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7C81" w14:textId="77777777" w:rsidR="003E2C05" w:rsidRDefault="003E2C05" w:rsidP="00E12845">
      <w:pPr>
        <w:spacing w:before="0" w:after="0"/>
      </w:pPr>
      <w:r>
        <w:separator/>
      </w:r>
    </w:p>
  </w:endnote>
  <w:endnote w:type="continuationSeparator" w:id="0">
    <w:p w14:paraId="142F1913" w14:textId="77777777" w:rsidR="003E2C05" w:rsidRDefault="003E2C05"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A971949" w14:textId="3ACCF275" w:rsidR="00BA4D1C" w:rsidRDefault="00BA4D1C">
        <w:pPr>
          <w:pStyle w:val="Footer"/>
        </w:pPr>
        <w:r w:rsidRPr="00835A0D">
          <w:t>Jobs and Skills Australia –</w:t>
        </w:r>
        <w:r>
          <w:t xml:space="preserve"> </w:t>
        </w:r>
        <w:fldSimple w:instr="STYLEREF  Title  \* MERGEFORMAT">
          <w:r w:rsidR="00FF7A7F">
            <w:rPr>
              <w:noProof/>
            </w:rPr>
            <w:t>2025 Occupation Shortage List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FF23CAC" w14:textId="6AF4A763" w:rsidR="000F5CD2" w:rsidRDefault="000F5CD2">
        <w:pPr>
          <w:pStyle w:val="Footer"/>
        </w:pPr>
        <w:r w:rsidRPr="00835A0D">
          <w:t>Jobs and Skills Australia –</w:t>
        </w:r>
        <w:r>
          <w:t xml:space="preserve"> </w:t>
        </w:r>
        <w:fldSimple w:instr="STYLEREF  Title  \* MERGEFORMAT">
          <w:r w:rsidR="00FF7A7F">
            <w:rPr>
              <w:noProof/>
            </w:rPr>
            <w:t>2025 Occupation Shortage List</w:t>
          </w:r>
        </w:fldSimple>
        <w:r w:rsidRPr="00A67B12">
          <w:t xml:space="preserve"> </w:t>
        </w:r>
        <w:r w:rsidR="00521410" w:rsidRPr="00835A0D">
          <w:t>–</w:t>
        </w:r>
        <w:r w:rsidR="00521410">
          <w:t xml:space="preserve"> Key Findings Report</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48CB995D" w14:textId="67498A92" w:rsidR="00A67B12" w:rsidRPr="00576BAF" w:rsidRDefault="00A67B12" w:rsidP="00576BAF">
        <w:pPr>
          <w:pStyle w:val="Footer"/>
        </w:pPr>
        <w:r w:rsidRPr="00835A0D">
          <w:t>Jobs and Skills Australia –</w:t>
        </w:r>
        <w:r>
          <w:t xml:space="preserve"> </w:t>
        </w:r>
        <w:fldSimple w:instr="STYLEREF  Title  \* MERGEFORMAT">
          <w:r w:rsidR="00FF7A7F">
            <w:rPr>
              <w:noProof/>
            </w:rPr>
            <w:t>2025 Occupation Shortage List</w:t>
          </w:r>
        </w:fldSimple>
        <w:r w:rsidRPr="00A67B12">
          <w:t xml:space="preserve"> </w:t>
        </w:r>
        <w:r w:rsidR="00521410" w:rsidRPr="00835A0D">
          <w:t xml:space="preserve"> –</w:t>
        </w:r>
        <w:r w:rsidR="00521410">
          <w:t xml:space="preserve"> Key Findings Report</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520"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A3AF" w14:textId="77777777" w:rsidR="003E2C05" w:rsidRDefault="003E2C05" w:rsidP="00E12845">
      <w:pPr>
        <w:spacing w:before="0" w:after="0"/>
      </w:pPr>
      <w:r>
        <w:separator/>
      </w:r>
    </w:p>
  </w:footnote>
  <w:footnote w:type="continuationSeparator" w:id="0">
    <w:p w14:paraId="1AB7EF62" w14:textId="77777777" w:rsidR="003E2C05" w:rsidRDefault="003E2C05" w:rsidP="00E12845">
      <w:pPr>
        <w:spacing w:before="0" w:after="0"/>
      </w:pPr>
      <w:r>
        <w:continuationSeparator/>
      </w:r>
    </w:p>
  </w:footnote>
  <w:footnote w:id="1">
    <w:p w14:paraId="324D3690" w14:textId="440D86CF" w:rsidR="008D17C7" w:rsidRPr="005B755C" w:rsidRDefault="008D17C7" w:rsidP="008D17C7">
      <w:pPr>
        <w:pStyle w:val="Source"/>
        <w:rPr>
          <w:sz w:val="18"/>
          <w:szCs w:val="18"/>
        </w:rPr>
      </w:pPr>
      <w:r w:rsidRPr="005B755C">
        <w:rPr>
          <w:rStyle w:val="FootnoteReference"/>
          <w:sz w:val="18"/>
          <w:szCs w:val="18"/>
        </w:rPr>
        <w:footnoteRef/>
      </w:r>
      <w:r w:rsidRPr="005B755C">
        <w:rPr>
          <w:sz w:val="18"/>
          <w:szCs w:val="18"/>
        </w:rPr>
        <w:t xml:space="preserve"> In December 2024, the Australian Bureau of Statistics (ABS) </w:t>
      </w:r>
      <w:r w:rsidR="0018535E" w:rsidRPr="005B755C">
        <w:rPr>
          <w:sz w:val="18"/>
          <w:szCs w:val="18"/>
        </w:rPr>
        <w:t>replaced</w:t>
      </w:r>
      <w:r w:rsidR="009B4097" w:rsidRPr="005B755C">
        <w:rPr>
          <w:sz w:val="18"/>
          <w:szCs w:val="18"/>
        </w:rPr>
        <w:t xml:space="preserve"> the</w:t>
      </w:r>
      <w:r w:rsidRPr="005B755C">
        <w:rPr>
          <w:sz w:val="18"/>
          <w:szCs w:val="18"/>
        </w:rPr>
        <w:t xml:space="preserve"> ANZSCO </w:t>
      </w:r>
      <w:r w:rsidR="001C10AF" w:rsidRPr="005B755C">
        <w:rPr>
          <w:sz w:val="18"/>
          <w:szCs w:val="18"/>
        </w:rPr>
        <w:t>2022</w:t>
      </w:r>
      <w:r w:rsidRPr="005B755C">
        <w:rPr>
          <w:sz w:val="18"/>
          <w:szCs w:val="18"/>
        </w:rPr>
        <w:t xml:space="preserve"> framework with </w:t>
      </w:r>
      <w:r w:rsidR="009B4097" w:rsidRPr="005B755C">
        <w:rPr>
          <w:sz w:val="18"/>
          <w:szCs w:val="18"/>
        </w:rPr>
        <w:t>the</w:t>
      </w:r>
      <w:r w:rsidRPr="005B755C">
        <w:rPr>
          <w:sz w:val="18"/>
          <w:szCs w:val="18"/>
        </w:rPr>
        <w:t xml:space="preserve"> new OSCA</w:t>
      </w:r>
      <w:r w:rsidR="009B4097" w:rsidRPr="005B755C">
        <w:rPr>
          <w:sz w:val="18"/>
          <w:szCs w:val="18"/>
        </w:rPr>
        <w:t xml:space="preserve"> </w:t>
      </w:r>
      <w:r w:rsidR="00500ED0">
        <w:rPr>
          <w:sz w:val="18"/>
          <w:szCs w:val="18"/>
        </w:rPr>
        <w:t xml:space="preserve">2024 </w:t>
      </w:r>
      <w:r w:rsidR="009B4097" w:rsidRPr="005B755C">
        <w:rPr>
          <w:sz w:val="18"/>
          <w:szCs w:val="18"/>
        </w:rPr>
        <w:t>framework.</w:t>
      </w:r>
    </w:p>
  </w:footnote>
  <w:footnote w:id="2">
    <w:p w14:paraId="57330A21" w14:textId="55F979DB" w:rsidR="008D17C7" w:rsidRPr="00235EA8" w:rsidRDefault="008D17C7" w:rsidP="008D17C7">
      <w:pPr>
        <w:pStyle w:val="FootnoteText"/>
      </w:pPr>
      <w:r w:rsidRPr="005B755C">
        <w:rPr>
          <w:rStyle w:val="FootnoteReference"/>
          <w:szCs w:val="18"/>
        </w:rPr>
        <w:footnoteRef/>
      </w:r>
      <w:r w:rsidRPr="00235EA8">
        <w:t xml:space="preserve"> </w:t>
      </w:r>
      <w:r>
        <w:t xml:space="preserve">ANZSCO and OSCA </w:t>
      </w:r>
      <w:r w:rsidR="009C2EC0">
        <w:t>are</w:t>
      </w:r>
      <w:r>
        <w:t xml:space="preserve"> </w:t>
      </w:r>
      <w:r w:rsidRPr="009E6CF5">
        <w:t>skill-based classification</w:t>
      </w:r>
      <w:r>
        <w:t>s</w:t>
      </w:r>
      <w:r w:rsidRPr="009E6CF5">
        <w:t xml:space="preserve"> used to classify all jobs in the Australian labour market. </w:t>
      </w:r>
      <w:r w:rsidR="00AE7AC0">
        <w:t>They are</w:t>
      </w:r>
      <w:r w:rsidRPr="009E6CF5">
        <w:t xml:space="preserve"> organised into a </w:t>
      </w:r>
      <w:proofErr w:type="gramStart"/>
      <w:r w:rsidRPr="009E6CF5">
        <w:t>5</w:t>
      </w:r>
      <w:r w:rsidR="009B4097">
        <w:t xml:space="preserve"> </w:t>
      </w:r>
      <w:r w:rsidRPr="009E6CF5">
        <w:t>level</w:t>
      </w:r>
      <w:proofErr w:type="gramEnd"/>
      <w:r w:rsidRPr="009E6CF5">
        <w:t xml:space="preserve"> hierarchy: major groups, sub-major groups, minor groups, unit groups and occupations. Occupation refers to the most granular </w:t>
      </w:r>
      <w:r w:rsidR="00AD7D2E">
        <w:t>(</w:t>
      </w:r>
      <w:r w:rsidRPr="009E6CF5">
        <w:t>6</w:t>
      </w:r>
      <w:r w:rsidR="009B4097">
        <w:t xml:space="preserve"> </w:t>
      </w:r>
      <w:r w:rsidRPr="009E6CF5">
        <w:t>digit</w:t>
      </w:r>
      <w:r w:rsidR="00AD7D2E">
        <w:t>)</w:t>
      </w:r>
      <w:r w:rsidRPr="009E6CF5">
        <w:t xml:space="preserve"> </w:t>
      </w:r>
      <w:r>
        <w:t>OSCA or ANZSCO definition of a job</w:t>
      </w:r>
      <w:r w:rsidRPr="009E6CF5">
        <w:t>.</w:t>
      </w:r>
      <w:r w:rsidRPr="00235EA8">
        <w:t xml:space="preserve"> </w:t>
      </w:r>
    </w:p>
  </w:footnote>
  <w:footnote w:id="3">
    <w:p w14:paraId="61013557" w14:textId="652A98E3" w:rsidR="0032010A" w:rsidRDefault="0032010A" w:rsidP="0032010A">
      <w:pPr>
        <w:pStyle w:val="FootnoteText"/>
      </w:pPr>
      <w:r>
        <w:rPr>
          <w:rStyle w:val="FootnoteReference"/>
        </w:rPr>
        <w:footnoteRef/>
      </w:r>
      <w:r>
        <w:t xml:space="preserve"> </w:t>
      </w:r>
      <w:r w:rsidR="00905CF8" w:rsidRPr="00905CF8">
        <w:t>Due to a lack of available data on OSCA,</w:t>
      </w:r>
      <w:r w:rsidR="00905CF8" w:rsidRPr="00905CF8" w:rsidDel="00485114">
        <w:t xml:space="preserve"> assumptions </w:t>
      </w:r>
      <w:r w:rsidR="00905CF8" w:rsidRPr="00905CF8">
        <w:t xml:space="preserve">have been </w:t>
      </w:r>
      <w:r w:rsidR="00A3386E">
        <w:t>made</w:t>
      </w:r>
      <w:r w:rsidR="00905CF8" w:rsidRPr="00905CF8">
        <w:t xml:space="preserve"> </w:t>
      </w:r>
      <w:r w:rsidR="00905CF8" w:rsidRPr="00905CF8" w:rsidDel="00485114">
        <w:t xml:space="preserve">on how </w:t>
      </w:r>
      <w:r w:rsidR="003A4C4C">
        <w:t xml:space="preserve">occupations in the </w:t>
      </w:r>
      <w:r w:rsidR="00905CF8" w:rsidRPr="00905CF8">
        <w:t>ANZSCO</w:t>
      </w:r>
      <w:r w:rsidR="00EC6E4A">
        <w:t xml:space="preserve"> </w:t>
      </w:r>
      <w:r w:rsidR="002340D4">
        <w:t xml:space="preserve">2022 </w:t>
      </w:r>
      <w:r w:rsidR="00905CF8" w:rsidRPr="00905CF8" w:rsidDel="00485114">
        <w:t>should be translated into OSCA</w:t>
      </w:r>
      <w:r w:rsidR="002340D4">
        <w:t xml:space="preserve"> 2024</w:t>
      </w:r>
      <w:r w:rsidR="00905CF8">
        <w:t>.</w:t>
      </w:r>
      <w:r w:rsidR="00905CF8" w:rsidRPr="00905CF8">
        <w:t xml:space="preserve"> </w:t>
      </w:r>
      <w:r>
        <w:t xml:space="preserve">Refer to the 2025 OSL Methodology Report. </w:t>
      </w:r>
    </w:p>
  </w:footnote>
  <w:footnote w:id="4">
    <w:p w14:paraId="1BD11E6A" w14:textId="397FF737" w:rsidR="008D777D" w:rsidRDefault="008D777D">
      <w:pPr>
        <w:pStyle w:val="FootnoteText"/>
      </w:pPr>
      <w:r>
        <w:rPr>
          <w:rStyle w:val="FootnoteReference"/>
        </w:rPr>
        <w:footnoteRef/>
      </w:r>
      <w:r>
        <w:t xml:space="preserve"> ANZSCO 2022 version of Figures </w:t>
      </w:r>
      <w:r w:rsidR="004A2F83">
        <w:t>1</w:t>
      </w:r>
      <w:r>
        <w:t xml:space="preserve">, </w:t>
      </w:r>
      <w:r w:rsidR="004A2F83">
        <w:t>2</w:t>
      </w:r>
      <w:r>
        <w:t xml:space="preserve"> and </w:t>
      </w:r>
      <w:r w:rsidR="004A2F83">
        <w:t>3</w:t>
      </w:r>
      <w:r>
        <w:t xml:space="preserve"> and Tables </w:t>
      </w:r>
      <w:r w:rsidR="004A2F83">
        <w:t>1</w:t>
      </w:r>
      <w:r>
        <w:t xml:space="preserve"> and </w:t>
      </w:r>
      <w:r w:rsidR="004A2F83">
        <w:t>2</w:t>
      </w:r>
      <w:r>
        <w:t xml:space="preserve"> </w:t>
      </w:r>
      <w:r w:rsidR="00C336A4">
        <w:t xml:space="preserve">are </w:t>
      </w:r>
      <w:r>
        <w:t xml:space="preserve">provided in the </w:t>
      </w:r>
      <w:r w:rsidR="00A01A80">
        <w:t>a</w:t>
      </w:r>
      <w:r>
        <w:t>ppendix.</w:t>
      </w:r>
    </w:p>
  </w:footnote>
  <w:footnote w:id="5">
    <w:p w14:paraId="647B7D01" w14:textId="77777777" w:rsidR="00917535" w:rsidRPr="009E6CF5" w:rsidRDefault="00917535" w:rsidP="00917535">
      <w:pPr>
        <w:pStyle w:val="FootnoteText"/>
      </w:pPr>
      <w:r w:rsidRPr="005B755C">
        <w:rPr>
          <w:rStyle w:val="FootnoteReference"/>
          <w:szCs w:val="18"/>
        </w:rPr>
        <w:footnoteRef/>
      </w:r>
      <w:r w:rsidRPr="00235EA8">
        <w:t xml:space="preserve"> </w:t>
      </w:r>
      <w:r w:rsidRPr="009E6CF5">
        <w:t>Skill Level 5 occupations only require the equivalent of compulsory school education.</w:t>
      </w:r>
    </w:p>
  </w:footnote>
  <w:footnote w:id="6">
    <w:p w14:paraId="263C343E" w14:textId="796C3AE8" w:rsidR="003E3CBE" w:rsidRPr="00431905" w:rsidRDefault="003E3CBE" w:rsidP="00522A65">
      <w:pPr>
        <w:pStyle w:val="FootnoteText"/>
      </w:pPr>
      <w:r w:rsidRPr="005B755C">
        <w:rPr>
          <w:rStyle w:val="FootnoteReference"/>
          <w:szCs w:val="18"/>
        </w:rPr>
        <w:footnoteRef/>
      </w:r>
      <w:r w:rsidRPr="00431905">
        <w:t xml:space="preserve"> The OSL </w:t>
      </w:r>
      <w:r w:rsidR="00C53E17">
        <w:t>uses</w:t>
      </w:r>
      <w:r w:rsidR="00C53E17" w:rsidRPr="00431905">
        <w:t xml:space="preserve"> </w:t>
      </w:r>
      <w:r w:rsidR="00624097">
        <w:t>4</w:t>
      </w:r>
      <w:r w:rsidR="00624097" w:rsidRPr="00431905">
        <w:t xml:space="preserve"> </w:t>
      </w:r>
      <w:r w:rsidRPr="00431905">
        <w:t>ratings to classify the shortage status o</w:t>
      </w:r>
      <w:r w:rsidR="007F7BDB">
        <w:t>f</w:t>
      </w:r>
      <w:r w:rsidRPr="00431905" w:rsidDel="007F7BDB">
        <w:t xml:space="preserve"> </w:t>
      </w:r>
      <w:r w:rsidRPr="00431905">
        <w:t>occupation</w:t>
      </w:r>
      <w:r w:rsidR="007F7BDB">
        <w:t>s</w:t>
      </w:r>
      <w:r>
        <w:t xml:space="preserve">. </w:t>
      </w:r>
      <w:r w:rsidR="00624097">
        <w:br/>
      </w:r>
      <w:r w:rsidRPr="00192924">
        <w:rPr>
          <w:rStyle w:val="Characterbold"/>
        </w:rPr>
        <w:t>Shortage</w:t>
      </w:r>
      <w:r w:rsidRPr="00431905">
        <w:t xml:space="preserve">: An occupation is in </w:t>
      </w:r>
      <w:r>
        <w:t>n</w:t>
      </w:r>
      <w:r w:rsidRPr="00431905">
        <w:t xml:space="preserve">ational </w:t>
      </w:r>
      <w:r>
        <w:t>s</w:t>
      </w:r>
      <w:r w:rsidRPr="00431905">
        <w:t xml:space="preserve">hortage or </w:t>
      </w:r>
      <w:r>
        <w:t>o</w:t>
      </w:r>
      <w:r w:rsidRPr="00431905">
        <w:t xml:space="preserve">verall </w:t>
      </w:r>
      <w:r>
        <w:t>s</w:t>
      </w:r>
      <w:r w:rsidRPr="00431905">
        <w:t>hortage</w:t>
      </w:r>
      <w:r>
        <w:t xml:space="preserve">; </w:t>
      </w:r>
      <w:r w:rsidR="007F7BDB">
        <w:br/>
      </w:r>
      <w:r w:rsidRPr="00192924">
        <w:rPr>
          <w:rStyle w:val="Characterbold"/>
        </w:rPr>
        <w:t xml:space="preserve">Metropolitan </w:t>
      </w:r>
      <w:r w:rsidR="00210547" w:rsidRPr="00192924">
        <w:rPr>
          <w:rStyle w:val="Characterbold"/>
        </w:rPr>
        <w:t>s</w:t>
      </w:r>
      <w:r w:rsidRPr="00192924">
        <w:rPr>
          <w:rStyle w:val="Characterbold"/>
        </w:rPr>
        <w:t>hortage</w:t>
      </w:r>
      <w:r w:rsidRPr="00431905">
        <w:t>: An occupation is in shortage in metropolitan area</w:t>
      </w:r>
      <w:r w:rsidR="00807A24">
        <w:t>(s)</w:t>
      </w:r>
      <w:r>
        <w:t xml:space="preserve">; </w:t>
      </w:r>
      <w:r w:rsidR="00807A24">
        <w:br/>
      </w:r>
      <w:r w:rsidRPr="00192924">
        <w:rPr>
          <w:rStyle w:val="Characterbold"/>
        </w:rPr>
        <w:t xml:space="preserve">Regional </w:t>
      </w:r>
      <w:r w:rsidR="00210547" w:rsidRPr="00192924">
        <w:rPr>
          <w:rStyle w:val="Characterbold"/>
        </w:rPr>
        <w:t>s</w:t>
      </w:r>
      <w:r w:rsidRPr="00192924">
        <w:rPr>
          <w:rStyle w:val="Characterbold"/>
        </w:rPr>
        <w:t>hortage</w:t>
      </w:r>
      <w:r w:rsidRPr="00431905">
        <w:t>: An occupation is in shortage in regional area</w:t>
      </w:r>
      <w:r w:rsidR="00807A24">
        <w:t>(s)</w:t>
      </w:r>
      <w:r>
        <w:t xml:space="preserve">; </w:t>
      </w:r>
      <w:r w:rsidR="00807A24">
        <w:br/>
      </w:r>
      <w:r w:rsidRPr="00192924">
        <w:rPr>
          <w:rStyle w:val="Characterbold"/>
        </w:rPr>
        <w:t xml:space="preserve">No </w:t>
      </w:r>
      <w:r w:rsidR="00210547" w:rsidRPr="00192924">
        <w:rPr>
          <w:rStyle w:val="Characterbold"/>
        </w:rPr>
        <w:t>s</w:t>
      </w:r>
      <w:r w:rsidRPr="00192924">
        <w:rPr>
          <w:rStyle w:val="Characterbold"/>
        </w:rPr>
        <w:t>hortage</w:t>
      </w:r>
      <w:r w:rsidRPr="00431905">
        <w:t>: An occupation is not in shortage.</w:t>
      </w:r>
    </w:p>
  </w:footnote>
  <w:footnote w:id="7">
    <w:p w14:paraId="22A98F01" w14:textId="2E5A35CC" w:rsidR="007A40C0" w:rsidRDefault="007A40C0">
      <w:pPr>
        <w:pStyle w:val="FootnoteText"/>
      </w:pPr>
      <w:r>
        <w:rPr>
          <w:rStyle w:val="FootnoteReference"/>
        </w:rPr>
        <w:footnoteRef/>
      </w:r>
      <w:r>
        <w:t xml:space="preserve"> The</w:t>
      </w:r>
      <w:r w:rsidR="00A077A7">
        <w:t xml:space="preserve"> unrounded difference was </w:t>
      </w:r>
      <w:r w:rsidR="009944B2">
        <w:t>7.5 percentage points</w:t>
      </w:r>
      <w:r w:rsidR="00A077A7">
        <w:t>, which</w:t>
      </w:r>
      <w:r w:rsidR="004D653F">
        <w:t xml:space="preserve"> was calculated </w:t>
      </w:r>
      <w:r w:rsidR="00D5491F">
        <w:t xml:space="preserve">as a difference </w:t>
      </w:r>
      <w:r w:rsidR="00F65A3C">
        <w:t xml:space="preserve">from </w:t>
      </w:r>
      <w:r w:rsidR="00945413">
        <w:t xml:space="preserve">the percentage in shortage in 2025 </w:t>
      </w:r>
      <w:r w:rsidR="00D95F43">
        <w:t>(</w:t>
      </w:r>
      <w:r w:rsidR="00DE5CF4">
        <w:t>28.7%</w:t>
      </w:r>
      <w:r w:rsidR="00D95F43">
        <w:t>)</w:t>
      </w:r>
      <w:r w:rsidR="00DE5CF4">
        <w:t xml:space="preserve"> and 36.2% in 2023</w:t>
      </w:r>
      <w:r w:rsidR="00570A71">
        <w:t xml:space="preserve">. </w:t>
      </w:r>
      <w:r w:rsidR="009944B2">
        <w:t xml:space="preserve"> </w:t>
      </w:r>
    </w:p>
  </w:footnote>
  <w:footnote w:id="8">
    <w:p w14:paraId="4C86C421" w14:textId="3C797969" w:rsidR="005C57E4" w:rsidRDefault="005C57E4" w:rsidP="005C57E4">
      <w:pPr>
        <w:pStyle w:val="FootnoteText"/>
      </w:pPr>
      <w:r>
        <w:rPr>
          <w:rStyle w:val="FootnoteReference"/>
        </w:rPr>
        <w:footnoteRef/>
      </w:r>
      <w:r>
        <w:t xml:space="preserve"> </w:t>
      </w:r>
      <w:r w:rsidR="00995599">
        <w:t xml:space="preserve">For more </w:t>
      </w:r>
      <w:r w:rsidR="0038729F">
        <w:t>details</w:t>
      </w:r>
      <w:r w:rsidR="00995599">
        <w:t>, refer to</w:t>
      </w:r>
      <w:r w:rsidR="0038729F">
        <w:t xml:space="preserve"> Jobs and Skills Australia</w:t>
      </w:r>
      <w:r w:rsidR="005A6D6D">
        <w:t xml:space="preserve"> (</w:t>
      </w:r>
      <w:r w:rsidR="00566FB1">
        <w:t>202</w:t>
      </w:r>
      <w:r w:rsidR="005A6D6D">
        <w:t>5),</w:t>
      </w:r>
      <w:r w:rsidR="0038729F">
        <w:t xml:space="preserve"> </w:t>
      </w:r>
      <w:hyperlink r:id="rId1" w:history="1">
        <w:r w:rsidR="00D96FC5" w:rsidRPr="00D96FC5">
          <w:rPr>
            <w:rStyle w:val="Hyperlink"/>
          </w:rPr>
          <w:t>Our Gen AI Transition</w:t>
        </w:r>
      </w:hyperlink>
      <w:r w:rsidR="00D96FC5">
        <w:t>, Overarching Report</w:t>
      </w:r>
      <w:r w:rsidR="0038729F">
        <w:t xml:space="preserve">. </w:t>
      </w:r>
    </w:p>
  </w:footnote>
  <w:footnote w:id="9">
    <w:p w14:paraId="2C7F76BA" w14:textId="6873F036" w:rsidR="00BA2813" w:rsidRDefault="00BA2813">
      <w:pPr>
        <w:pStyle w:val="FootnoteText"/>
      </w:pPr>
      <w:r>
        <w:rPr>
          <w:rStyle w:val="FootnoteReference"/>
        </w:rPr>
        <w:footnoteRef/>
      </w:r>
      <w:r>
        <w:t xml:space="preserve"> Even though there </w:t>
      </w:r>
      <w:r w:rsidR="000B2145">
        <w:t>was a cluster of</w:t>
      </w:r>
      <w:r>
        <w:t xml:space="preserve"> engineering occupations that </w:t>
      </w:r>
      <w:r w:rsidR="008C7AB6">
        <w:t>transition</w:t>
      </w:r>
      <w:r w:rsidR="000B2145">
        <w:t>ed</w:t>
      </w:r>
      <w:r w:rsidR="008C7AB6">
        <w:t xml:space="preserve"> to no shortage in 2025, there were still </w:t>
      </w:r>
      <w:r w:rsidR="00373858">
        <w:t xml:space="preserve">other engineering roles </w:t>
      </w:r>
      <w:r w:rsidR="00E60BBA">
        <w:t>that remained in shortage</w:t>
      </w:r>
      <w:r w:rsidR="004A234D">
        <w:t>.</w:t>
      </w:r>
    </w:p>
  </w:footnote>
  <w:footnote w:id="10">
    <w:p w14:paraId="28092868" w14:textId="77777777" w:rsidR="00087239" w:rsidRDefault="00087239" w:rsidP="00087239">
      <w:pPr>
        <w:pStyle w:val="FootnoteText"/>
      </w:pPr>
      <w:r w:rsidRPr="005B755C">
        <w:rPr>
          <w:rStyle w:val="FootnoteReference"/>
          <w:szCs w:val="18"/>
        </w:rPr>
        <w:footnoteRef/>
      </w:r>
      <w:r w:rsidRPr="00E708FE">
        <w:t xml:space="preserve"> </w:t>
      </w:r>
      <w:r>
        <w:t>A p</w:t>
      </w:r>
      <w:r w:rsidRPr="00522A65">
        <w:t xml:space="preserve">ersistent shortage is defined as </w:t>
      </w:r>
      <w:r>
        <w:t xml:space="preserve">an </w:t>
      </w:r>
      <w:r w:rsidRPr="00522A65">
        <w:t xml:space="preserve">occupation </w:t>
      </w:r>
      <w:r>
        <w:t>in s</w:t>
      </w:r>
      <w:r w:rsidRPr="00522A65">
        <w:t xml:space="preserve">hortage for </w:t>
      </w:r>
      <w:r>
        <w:t xml:space="preserve">the 5 years over the 2021 to 2025 OSLs. </w:t>
      </w:r>
    </w:p>
  </w:footnote>
  <w:footnote w:id="11">
    <w:p w14:paraId="61FF031E" w14:textId="242A72E5" w:rsidR="00673090" w:rsidRDefault="00673090" w:rsidP="00673090">
      <w:pPr>
        <w:pStyle w:val="FootnoteText"/>
      </w:pPr>
      <w:r w:rsidRPr="005B755C">
        <w:rPr>
          <w:rStyle w:val="FootnoteReference"/>
          <w:szCs w:val="18"/>
        </w:rPr>
        <w:footnoteRef/>
      </w:r>
      <w:r w:rsidRPr="001A6A74">
        <w:t xml:space="preserve"> </w:t>
      </w:r>
      <w:r w:rsidRPr="00522A65">
        <w:t>For details on how feedback was incorporated, refer to the 202</w:t>
      </w:r>
      <w:r>
        <w:t>5</w:t>
      </w:r>
      <w:r w:rsidRPr="00522A65">
        <w:t xml:space="preserve"> OSL Methodology </w:t>
      </w:r>
      <w:r w:rsidR="00170CEB">
        <w:t>Report</w:t>
      </w:r>
      <w:r w:rsidRPr="00522A65">
        <w:t>.</w:t>
      </w:r>
      <w:r w:rsidRPr="00235EA8">
        <w:t xml:space="preserve"> </w:t>
      </w:r>
    </w:p>
  </w:footnote>
  <w:footnote w:id="12">
    <w:p w14:paraId="48B84E29" w14:textId="7BFE0E19" w:rsidR="006208CE" w:rsidRDefault="006208CE">
      <w:pPr>
        <w:pStyle w:val="FootnoteText"/>
      </w:pPr>
      <w:r>
        <w:rPr>
          <w:rStyle w:val="FootnoteReference"/>
        </w:rPr>
        <w:footnoteRef/>
      </w:r>
      <w:r>
        <w:t xml:space="preserve"> </w:t>
      </w:r>
      <w:r w:rsidRPr="006208CE">
        <w:t>The differences in the percentage of occupations in shortage by major group between OSCA and ANZSCO frameworks are mainly due to the structural changes or reclassification of occupations among major groups and skill levels under OSCA. For example, 22 out of 225 OSCA occupations in Technician and Trades Workers were reclassified from Professionals, Community and Personal Services Workers, Machinery Operators and Drivers and Labourers. These shifts have changed the number of occupations and the count in shortage within OSCA major groups, affecting the calculated shortage percentages. In addition, the difference may also be a result of the experimental concordance between OSCA and ANZSCO which is based on the assumed employment share of occupations.</w:t>
      </w:r>
    </w:p>
  </w:footnote>
  <w:footnote w:id="13">
    <w:p w14:paraId="0461525F" w14:textId="1D5BD9D9" w:rsidR="00C04FC3" w:rsidRDefault="00C04FC3">
      <w:pPr>
        <w:pStyle w:val="FootnoteText"/>
      </w:pPr>
      <w:r>
        <w:rPr>
          <w:rStyle w:val="FootnoteReference"/>
        </w:rPr>
        <w:footnoteRef/>
      </w:r>
      <w:r>
        <w:t xml:space="preserve"> </w:t>
      </w:r>
      <w:r w:rsidR="00C03EFE">
        <w:t xml:space="preserve">For further details on the OSL Stakeholder Survey </w:t>
      </w:r>
      <w:r w:rsidR="00F43CB1">
        <w:t>refer to the 2025 OSL Stakeholder Survey Snapshot Report.</w:t>
      </w:r>
      <w:r w:rsidR="004709B5">
        <w:t xml:space="preserve"> </w:t>
      </w:r>
      <w:r w:rsidR="00FB0F76">
        <w:t>The v</w:t>
      </w:r>
      <w:r w:rsidR="004709B5">
        <w:t xml:space="preserve">acancy fill rates is a measure of the percentage of </w:t>
      </w:r>
      <w:r w:rsidR="00FB0F76">
        <w:t xml:space="preserve">advertised </w:t>
      </w:r>
      <w:r w:rsidR="004709B5">
        <w:t xml:space="preserve">vacancies </w:t>
      </w:r>
      <w:r w:rsidR="00817802">
        <w:t xml:space="preserve">that are filled. </w:t>
      </w:r>
    </w:p>
  </w:footnote>
  <w:footnote w:id="14">
    <w:p w14:paraId="500BB4BE" w14:textId="17186FBA" w:rsidR="008823E3" w:rsidRPr="006741BE" w:rsidRDefault="008823E3" w:rsidP="008823E3">
      <w:pPr>
        <w:pStyle w:val="FootnoteText"/>
      </w:pPr>
      <w:r w:rsidRPr="005B755C">
        <w:rPr>
          <w:rStyle w:val="FootnoteReference"/>
          <w:szCs w:val="18"/>
        </w:rPr>
        <w:footnoteRef/>
      </w:r>
      <w:r w:rsidRPr="005B755C">
        <w:rPr>
          <w:rStyle w:val="FootnoteReference"/>
          <w:szCs w:val="18"/>
        </w:rPr>
        <w:t xml:space="preserve"> </w:t>
      </w:r>
      <w:r w:rsidRPr="00800FD2">
        <w:t>The recruitment difficulty rate is the p</w:t>
      </w:r>
      <w:r w:rsidR="00C25EEE">
        <w:t xml:space="preserve">ercentage </w:t>
      </w:r>
      <w:r w:rsidRPr="00800FD2">
        <w:t xml:space="preserve">of all recruiting employers who reported </w:t>
      </w:r>
      <w:proofErr w:type="gramStart"/>
      <w:r w:rsidRPr="00800FD2">
        <w:t>experiencing difficulty</w:t>
      </w:r>
      <w:proofErr w:type="gramEnd"/>
      <w:r w:rsidRPr="00800FD2">
        <w:t xml:space="preserve"> hiring. The indicator is calculated as: employers who recruited and reported difficulty, divided by all employers who recruited (excluding ‘unsure’ responses). See </w:t>
      </w:r>
      <w:r>
        <w:t xml:space="preserve">the </w:t>
      </w:r>
      <w:r w:rsidRPr="00800FD2">
        <w:t xml:space="preserve">detailed explanation in </w:t>
      </w:r>
      <w:hyperlink r:id="rId2" w:anchor="methodology" w:history="1">
        <w:r w:rsidRPr="00800FD2">
          <w:rPr>
            <w:rStyle w:val="Hyperlink"/>
          </w:rPr>
          <w:t>REOS - concepts methods and questionnaire</w:t>
        </w:r>
      </w:hyperlink>
      <w:r w:rsidRPr="00800FD2">
        <w:t>.</w:t>
      </w:r>
    </w:p>
  </w:footnote>
  <w:footnote w:id="15">
    <w:p w14:paraId="42326D1D" w14:textId="5A416F57" w:rsidR="00337047" w:rsidRDefault="00337047">
      <w:pPr>
        <w:pStyle w:val="FootnoteText"/>
      </w:pPr>
      <w:r>
        <w:rPr>
          <w:rStyle w:val="FootnoteReference"/>
        </w:rPr>
        <w:footnoteRef/>
      </w:r>
      <w:r>
        <w:t xml:space="preserve"> </w:t>
      </w:r>
      <w:r w:rsidR="008D146B">
        <w:t xml:space="preserve">Mackey, W (2024), </w:t>
      </w:r>
      <w:hyperlink r:id="rId3" w:history="1">
        <w:r w:rsidR="008D146B" w:rsidRPr="00A1592D">
          <w:rPr>
            <w:rStyle w:val="Hyperlink"/>
            <w:i/>
          </w:rPr>
          <w:t>Labour Market Matching across Skills and Regions in Australia</w:t>
        </w:r>
      </w:hyperlink>
      <w:r w:rsidR="008D146B">
        <w:t>, Treasury Round Up, March</w:t>
      </w:r>
      <w:r w:rsidR="00C1449D">
        <w:t>, Australian Government, Canberra</w:t>
      </w:r>
      <w:r w:rsidR="008D146B">
        <w:t xml:space="preserve">. Reserve Bank of Australia (2025), </w:t>
      </w:r>
      <w:hyperlink r:id="rId4" w:history="1">
        <w:r w:rsidR="008D146B" w:rsidRPr="00A1592D">
          <w:rPr>
            <w:rStyle w:val="Hyperlink"/>
            <w:i/>
          </w:rPr>
          <w:t xml:space="preserve">Statement on Monetary Policy </w:t>
        </w:r>
        <w:r w:rsidR="001903B7" w:rsidRPr="001903B7">
          <w:rPr>
            <w:rStyle w:val="Hyperlink"/>
            <w:i/>
            <w:iCs/>
          </w:rPr>
          <w:t xml:space="preserve">– </w:t>
        </w:r>
        <w:r w:rsidR="008D146B" w:rsidRPr="00A1592D">
          <w:rPr>
            <w:rStyle w:val="Hyperlink"/>
            <w:i/>
          </w:rPr>
          <w:t>May 2025</w:t>
        </w:r>
      </w:hyperlink>
      <w:r w:rsidR="008D146B">
        <w:t xml:space="preserve">. </w:t>
      </w:r>
    </w:p>
  </w:footnote>
  <w:footnote w:id="16">
    <w:p w14:paraId="4D82E465" w14:textId="4E9D8B17" w:rsidR="00D52F0E" w:rsidRDefault="00D52F0E">
      <w:pPr>
        <w:pStyle w:val="FootnoteText"/>
      </w:pPr>
      <w:r>
        <w:rPr>
          <w:rStyle w:val="FootnoteReference"/>
        </w:rPr>
        <w:footnoteRef/>
      </w:r>
      <w:r>
        <w:t xml:space="preserve"> </w:t>
      </w:r>
      <w:r w:rsidR="00394185">
        <w:t>Data is sourced from the A</w:t>
      </w:r>
      <w:r w:rsidR="003F3713">
        <w:t xml:space="preserve">ustralian </w:t>
      </w:r>
      <w:r w:rsidR="00394185">
        <w:t>B</w:t>
      </w:r>
      <w:r w:rsidR="003F3713">
        <w:t xml:space="preserve">ureau of </w:t>
      </w:r>
      <w:r w:rsidR="00394185">
        <w:t>S</w:t>
      </w:r>
      <w:r w:rsidR="003F3713">
        <w:t>tatistics</w:t>
      </w:r>
      <w:r w:rsidR="008A4ED9">
        <w:t xml:space="preserve">, </w:t>
      </w:r>
      <w:hyperlink r:id="rId5" w:history="1">
        <w:r w:rsidR="00F40476" w:rsidRPr="00B9114D">
          <w:rPr>
            <w:rStyle w:val="Hyperlink"/>
          </w:rPr>
          <w:t>Participation, Job Sea</w:t>
        </w:r>
        <w:bookmarkStart w:id="41" w:name="_Hlt207886530"/>
        <w:bookmarkStart w:id="42" w:name="_Hlt207886531"/>
        <w:r w:rsidR="00F40476" w:rsidRPr="00B9114D">
          <w:rPr>
            <w:rStyle w:val="Hyperlink"/>
          </w:rPr>
          <w:t>r</w:t>
        </w:r>
        <w:bookmarkEnd w:id="41"/>
        <w:bookmarkEnd w:id="42"/>
        <w:r w:rsidR="00F40476" w:rsidRPr="00B9114D">
          <w:rPr>
            <w:rStyle w:val="Hyperlink"/>
          </w:rPr>
          <w:t>c</w:t>
        </w:r>
        <w:bookmarkStart w:id="43" w:name="_Hlt207886581"/>
        <w:bookmarkStart w:id="44" w:name="_Hlt207886582"/>
        <w:r w:rsidR="00F40476" w:rsidRPr="00B9114D">
          <w:rPr>
            <w:rStyle w:val="Hyperlink"/>
          </w:rPr>
          <w:t>h</w:t>
        </w:r>
        <w:bookmarkEnd w:id="43"/>
        <w:bookmarkEnd w:id="44"/>
        <w:r w:rsidR="00F40476" w:rsidRPr="00B9114D">
          <w:rPr>
            <w:rStyle w:val="Hyperlink"/>
          </w:rPr>
          <w:t xml:space="preserve"> and Mobility, Australia</w:t>
        </w:r>
        <w:r w:rsidR="008A4ED9" w:rsidRPr="00B9114D">
          <w:rPr>
            <w:rStyle w:val="Hyperlink"/>
          </w:rPr>
          <w:t>,</w:t>
        </w:r>
        <w:r w:rsidR="00F40476" w:rsidRPr="00B9114D">
          <w:rPr>
            <w:rStyle w:val="Hyperlink"/>
          </w:rPr>
          <w:t xml:space="preserve"> </w:t>
        </w:r>
        <w:r w:rsidR="0064573A" w:rsidRPr="00B9114D">
          <w:rPr>
            <w:rStyle w:val="Hyperlink"/>
          </w:rPr>
          <w:t>Feb</w:t>
        </w:r>
        <w:r w:rsidR="00B31F12" w:rsidRPr="00B9114D">
          <w:rPr>
            <w:rStyle w:val="Hyperlink"/>
          </w:rPr>
          <w:t>ruary 2025</w:t>
        </w:r>
      </w:hyperlink>
      <w:r w:rsidR="00B31F12">
        <w:t xml:space="preserve">. </w:t>
      </w:r>
      <w:r w:rsidRPr="00D52F0E">
        <w:t>The job mobility rate refers to the p</w:t>
      </w:r>
      <w:r w:rsidR="00044D46">
        <w:t xml:space="preserve">ercentage </w:t>
      </w:r>
      <w:r w:rsidRPr="00D52F0E">
        <w:t>of employed people who changed jobs.</w:t>
      </w:r>
    </w:p>
  </w:footnote>
  <w:footnote w:id="17">
    <w:p w14:paraId="11D3AC96" w14:textId="188FC0BB" w:rsidR="001416A3" w:rsidRDefault="001416A3">
      <w:pPr>
        <w:pStyle w:val="FootnoteText"/>
      </w:pPr>
      <w:r>
        <w:rPr>
          <w:rStyle w:val="FootnoteReference"/>
        </w:rPr>
        <w:footnoteRef/>
      </w:r>
      <w:r>
        <w:t xml:space="preserve"> </w:t>
      </w:r>
      <w:r w:rsidRPr="001416A3">
        <w:t>The median is</w:t>
      </w:r>
      <w:r>
        <w:t xml:space="preserve"> </w:t>
      </w:r>
      <w:r w:rsidRPr="001416A3">
        <w:t>the middle value in a data set that has been arranged order from smallest to largest.</w:t>
      </w:r>
      <w:r w:rsidR="00027B0C">
        <w:t xml:space="preserve"> </w:t>
      </w:r>
      <w:r w:rsidRPr="001416A3">
        <w:t>It splits the data into two halves, with 50% of the values being less than or equal to the median and 50% being greater than or equal to it.</w:t>
      </w:r>
      <w:r w:rsidR="00B41D6B">
        <w:t xml:space="preserve"> </w:t>
      </w:r>
    </w:p>
  </w:footnote>
  <w:footnote w:id="18">
    <w:p w14:paraId="7D11498B" w14:textId="77777777" w:rsidR="00C57C30" w:rsidRDefault="00C57C30" w:rsidP="00C57C30">
      <w:pPr>
        <w:pStyle w:val="FootnoteText"/>
      </w:pPr>
      <w:r>
        <w:rPr>
          <w:rStyle w:val="FootnoteReference"/>
        </w:rPr>
        <w:footnoteRef/>
      </w:r>
      <w:r>
        <w:t xml:space="preserve"> Further a</w:t>
      </w:r>
      <w:r w:rsidRPr="0060622B">
        <w:t xml:space="preserve">nalysis also shows that the percentage of occupations with fill rates below 67% at an 80% confidence interval has fallen </w:t>
      </w:r>
      <w:r>
        <w:t xml:space="preserve">during the 2025 OSL assessment period. </w:t>
      </w:r>
      <w:r w:rsidRPr="0060622B">
        <w:t>A confidence interval is the range of values a measure is expected to lie within, with a certain level of c</w:t>
      </w:r>
      <w:r>
        <w:t>ertainty (in this case 80%)</w:t>
      </w:r>
      <w:r w:rsidRPr="0060622B">
        <w:t xml:space="preserve">. An occupation can have a range of fill rates within the year, from low to high. The analysis shows that for occupations, generally, more fill rates were above 67% and fewer </w:t>
      </w:r>
      <w:r>
        <w:t xml:space="preserve">had </w:t>
      </w:r>
      <w:r w:rsidRPr="0060622B">
        <w:t>fill rates less than 67%.</w:t>
      </w:r>
      <w:r>
        <w:t xml:space="preserve"> That is, the data suggests more employers are finding it easier to fill vacancies.</w:t>
      </w:r>
    </w:p>
  </w:footnote>
  <w:footnote w:id="19">
    <w:p w14:paraId="6BE16F14" w14:textId="77777777" w:rsidR="00E3234B" w:rsidRDefault="00E3234B" w:rsidP="00E3234B">
      <w:pPr>
        <w:pStyle w:val="FootnoteText"/>
      </w:pPr>
      <w:r>
        <w:rPr>
          <w:rStyle w:val="FootnoteReference"/>
        </w:rPr>
        <w:footnoteRef/>
      </w:r>
      <w:r>
        <w:t xml:space="preserve"> These are employment size weighted mean fill rates from the machine learning model. The employment size weighted median fill rates from the machine learning model were 69.0% in 2024 and 71.0% in 2025. </w:t>
      </w:r>
    </w:p>
  </w:footnote>
  <w:footnote w:id="20">
    <w:p w14:paraId="1558FBC6" w14:textId="0C6943F3" w:rsidR="000675D0" w:rsidRDefault="000675D0" w:rsidP="000675D0">
      <w:pPr>
        <w:pStyle w:val="FootnoteText"/>
      </w:pPr>
      <w:r>
        <w:rPr>
          <w:rStyle w:val="FootnoteReference"/>
        </w:rPr>
        <w:footnoteRef/>
      </w:r>
      <w:r>
        <w:t xml:space="preserve"> The fill rates from the machine learning model were based on 23 different data </w:t>
      </w:r>
      <w:proofErr w:type="gramStart"/>
      <w:r>
        <w:t>sources,</w:t>
      </w:r>
      <w:r w:rsidR="00E226B8">
        <w:t xml:space="preserve"> </w:t>
      </w:r>
      <w:r>
        <w:t>and</w:t>
      </w:r>
      <w:proofErr w:type="gramEnd"/>
      <w:r>
        <w:t xml:space="preserve"> predicts fill rates for over 900 ANZSCO skill level 1 to 4 occupations. SERA fill rates are based on data collected directly from employers in the labour market and for 577 ANZSCO skill level 1 to 4 occupations. This, coupled with different data smoothing adjustments applied to SERA and the modelled outputs lead to slight differences in fill rates from the two sources. </w:t>
      </w:r>
      <w:r w:rsidR="00D83B6C">
        <w:t xml:space="preserve">Once the machine learning model fill rates are weighted by employment size, they become very similar to the SERA fill rates. </w:t>
      </w:r>
    </w:p>
  </w:footnote>
  <w:footnote w:id="21">
    <w:p w14:paraId="1E586664" w14:textId="534B2626" w:rsidR="005931E5" w:rsidRDefault="005931E5">
      <w:pPr>
        <w:pStyle w:val="FootnoteText"/>
      </w:pPr>
      <w:r>
        <w:rPr>
          <w:rStyle w:val="FootnoteReference"/>
        </w:rPr>
        <w:footnoteRef/>
      </w:r>
      <w:r>
        <w:t xml:space="preserve"> That is, the bottom 2 rows of </w:t>
      </w:r>
      <w:r w:rsidR="003A6A9D">
        <w:fldChar w:fldCharType="begin"/>
      </w:r>
      <w:r w:rsidR="003A6A9D">
        <w:instrText xml:space="preserve"> REF _Ref207794258 \h </w:instrText>
      </w:r>
      <w:r w:rsidR="003A6A9D">
        <w:fldChar w:fldCharType="separate"/>
      </w:r>
      <w:r w:rsidR="00FF7A7F" w:rsidRPr="0026301A">
        <w:t xml:space="preserve">Table </w:t>
      </w:r>
      <w:r w:rsidR="00FF7A7F">
        <w:rPr>
          <w:noProof/>
        </w:rPr>
        <w:t>3</w:t>
      </w:r>
      <w:r w:rsidR="003A6A9D">
        <w:fldChar w:fldCharType="end"/>
      </w:r>
      <w:r>
        <w:t>.</w:t>
      </w:r>
    </w:p>
  </w:footnote>
  <w:footnote w:id="22">
    <w:p w14:paraId="111B3DA1" w14:textId="77777777" w:rsidR="00422AED" w:rsidRDefault="00422AED" w:rsidP="00422AED">
      <w:pPr>
        <w:pStyle w:val="FootnoteText"/>
      </w:pPr>
      <w:r>
        <w:rPr>
          <w:rStyle w:val="FootnoteReference"/>
        </w:rPr>
        <w:footnoteRef/>
      </w:r>
      <w:r>
        <w:t xml:space="preserve"> </w:t>
      </w:r>
      <w:r w:rsidRPr="008F0B1C">
        <w:t xml:space="preserve">Jobs and Skills Australia </w:t>
      </w:r>
      <w:proofErr w:type="gramStart"/>
      <w:r w:rsidRPr="008F0B1C">
        <w:t>uses</w:t>
      </w:r>
      <w:proofErr w:type="gramEnd"/>
      <w:r w:rsidRPr="008F0B1C">
        <w:t xml:space="preserve"> a fill rate threshold of 67% to determine the likelihood of an occupation shortage, with fill rates below 67% implying a higher likelihood of an occupation in shortage. However, to ensure assessments of occupations are comprehensive, the OSL methodology considers a broader set of evidence beyond fill rates. Consequently, not all occupations with a fill rate below 67% are assessed as being in shortage and not all occupations with fill rates above 67% are automatically assessed as not in shortage.</w:t>
      </w:r>
    </w:p>
  </w:footnote>
  <w:footnote w:id="23">
    <w:p w14:paraId="44C4A3BB" w14:textId="0FFE6BF0" w:rsidR="003A6A9D" w:rsidRDefault="003A6A9D">
      <w:pPr>
        <w:pStyle w:val="FootnoteText"/>
      </w:pPr>
      <w:r>
        <w:rPr>
          <w:rStyle w:val="FootnoteReference"/>
        </w:rPr>
        <w:footnoteRef/>
      </w:r>
      <w:r>
        <w:t xml:space="preserve"> That is, the top 2 rows of </w:t>
      </w:r>
      <w:r>
        <w:fldChar w:fldCharType="begin"/>
      </w:r>
      <w:r>
        <w:instrText xml:space="preserve"> REF _Ref207794258 \h </w:instrText>
      </w:r>
      <w:r>
        <w:fldChar w:fldCharType="separate"/>
      </w:r>
      <w:r w:rsidR="00FF7A7F" w:rsidRPr="0026301A">
        <w:t xml:space="preserve">Table </w:t>
      </w:r>
      <w:r w:rsidR="00FF7A7F">
        <w:rPr>
          <w:noProof/>
        </w:rPr>
        <w:t>3</w:t>
      </w:r>
      <w:r>
        <w:fldChar w:fldCharType="end"/>
      </w:r>
    </w:p>
  </w:footnote>
  <w:footnote w:id="24">
    <w:p w14:paraId="5D1816AA" w14:textId="77777777" w:rsidR="00422AED" w:rsidRDefault="00422AED" w:rsidP="00422AED">
      <w:pPr>
        <w:pStyle w:val="FootnoteText"/>
      </w:pPr>
      <w:r>
        <w:rPr>
          <w:rStyle w:val="FootnoteReference"/>
        </w:rPr>
        <w:footnoteRef/>
      </w:r>
      <w:r>
        <w:t xml:space="preserve"> The f</w:t>
      </w:r>
      <w:r w:rsidRPr="006E11DB">
        <w:t>ill rates are calculated based on stakeholder</w:t>
      </w:r>
      <w:r>
        <w:t xml:space="preserve"> self</w:t>
      </w:r>
      <w:r w:rsidRPr="006E11DB">
        <w:t xml:space="preserve">-reported figures </w:t>
      </w:r>
      <w:r>
        <w:t>or are</w:t>
      </w:r>
      <w:r w:rsidRPr="006E11DB">
        <w:t xml:space="preserve"> estimated </w:t>
      </w:r>
      <w:r>
        <w:t xml:space="preserve">from responses provided (by stakeholders) on the </w:t>
      </w:r>
      <w:r w:rsidRPr="006E11DB">
        <w:t xml:space="preserve">proportion of vacancies filled. </w:t>
      </w:r>
    </w:p>
  </w:footnote>
  <w:footnote w:id="25">
    <w:p w14:paraId="3BA99F0B" w14:textId="6B4009E1" w:rsidR="00487F6B" w:rsidRDefault="00487F6B" w:rsidP="00487F6B">
      <w:pPr>
        <w:pStyle w:val="FootnoteText"/>
      </w:pPr>
      <w:r>
        <w:rPr>
          <w:rStyle w:val="FootnoteReference"/>
        </w:rPr>
        <w:footnoteRef/>
      </w:r>
      <w:r>
        <w:t xml:space="preserve"> </w:t>
      </w:r>
      <w:r w:rsidR="003B5640" w:rsidRPr="003B5640">
        <w:t xml:space="preserve">The LSI was produced at the unit group level </w:t>
      </w:r>
      <w:r w:rsidR="003B5640">
        <w:t>using SERA</w:t>
      </w:r>
      <w:r w:rsidR="001D61C9">
        <w:t xml:space="preserve">, REOS and the Australian Skills Classification. </w:t>
      </w:r>
      <w:r w:rsidR="00512C60">
        <w:t xml:space="preserve">For more </w:t>
      </w:r>
      <w:r>
        <w:t>details about the LSI</w:t>
      </w:r>
      <w:r w:rsidR="00512C60">
        <w:t>, refer to</w:t>
      </w:r>
      <w:r>
        <w:t xml:space="preserve"> the Spotlight Analysis in the </w:t>
      </w:r>
      <w:hyperlink r:id="rId6" w:history="1">
        <w:r w:rsidRPr="006F3B9F">
          <w:rPr>
            <w:rStyle w:val="Hyperlink"/>
          </w:rPr>
          <w:t xml:space="preserve">Occupation Shortage Report </w:t>
        </w:r>
        <w:r w:rsidR="00197A07" w:rsidRPr="00197A07">
          <w:rPr>
            <w:rStyle w:val="Hyperlink"/>
          </w:rPr>
          <w:t>–</w:t>
        </w:r>
        <w:r w:rsidRPr="006F3B9F">
          <w:rPr>
            <w:rStyle w:val="Hyperlink"/>
          </w:rPr>
          <w:t xml:space="preserve"> 2025 March</w:t>
        </w:r>
      </w:hyperlink>
      <w:r>
        <w:t>.</w:t>
      </w:r>
    </w:p>
  </w:footnote>
  <w:footnote w:id="26">
    <w:p w14:paraId="722495C8" w14:textId="46862C4F" w:rsidR="006B07C7" w:rsidRDefault="006B07C7">
      <w:pPr>
        <w:pStyle w:val="FootnoteText"/>
      </w:pPr>
      <w:r>
        <w:rPr>
          <w:rStyle w:val="FootnoteReference"/>
        </w:rPr>
        <w:footnoteRef/>
      </w:r>
      <w:r>
        <w:t xml:space="preserve"> </w:t>
      </w:r>
      <w:r w:rsidR="00642CDE" w:rsidRPr="00642CDE">
        <w:t>The mismatch index measures how unevenly vacancies and applicants in the labour market are distributed among different occupations.</w:t>
      </w:r>
      <w:r w:rsidR="00B40A88" w:rsidRPr="00B40A88">
        <w:t xml:space="preserve"> It is equal to the </w:t>
      </w:r>
      <w:r w:rsidR="00DA2E9D">
        <w:t xml:space="preserve">percentage </w:t>
      </w:r>
      <w:r w:rsidR="00B40A88" w:rsidRPr="00B40A88">
        <w:t>of applicants that would need to change occupations for there to be an equal ratio of applicants to vacancies across all occupation groups.</w:t>
      </w:r>
      <w:r w:rsidR="00CD11C3">
        <w:t xml:space="preserve"> Data for the index was based on SERA, REOS and the ASC.</w:t>
      </w:r>
      <w:r w:rsidR="00512C60">
        <w:t xml:space="preserve"> </w:t>
      </w:r>
      <w:r w:rsidR="00512C60" w:rsidRPr="00512C60">
        <w:t xml:space="preserve">For more details about the </w:t>
      </w:r>
      <w:r w:rsidR="00512C60">
        <w:t>index</w:t>
      </w:r>
      <w:r w:rsidR="00512C60" w:rsidRPr="00512C60">
        <w:t xml:space="preserve">, refer to the Spotlight </w:t>
      </w:r>
      <w:r w:rsidR="00DA2E9D">
        <w:t>a</w:t>
      </w:r>
      <w:r w:rsidR="00512C60" w:rsidRPr="00512C60">
        <w:t>nalysis in the</w:t>
      </w:r>
      <w:r w:rsidR="00512C60">
        <w:t xml:space="preserve"> </w:t>
      </w:r>
      <w:hyperlink r:id="rId7" w:history="1">
        <w:r w:rsidR="00736DBB" w:rsidRPr="00E226B8">
          <w:rPr>
            <w:rStyle w:val="Hyperlink"/>
          </w:rPr>
          <w:t xml:space="preserve">Occupation Shortage Report </w:t>
        </w:r>
        <w:r w:rsidR="00403BE5" w:rsidRPr="00E226B8">
          <w:rPr>
            <w:rStyle w:val="Hyperlink"/>
          </w:rPr>
          <w:t>–</w:t>
        </w:r>
        <w:r w:rsidR="00736DBB" w:rsidRPr="00E226B8">
          <w:rPr>
            <w:rStyle w:val="Hyperlink"/>
          </w:rPr>
          <w:t xml:space="preserve"> 2025 June</w:t>
        </w:r>
      </w:hyperlink>
      <w:r w:rsidR="00736DB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AA2" w14:textId="77777777" w:rsidR="00A67B12" w:rsidRPr="0030592C" w:rsidRDefault="00A67B12" w:rsidP="00A67B12">
    <w:pPr>
      <w:pStyle w:val="Header"/>
    </w:pPr>
  </w:p>
  <w:p w14:paraId="35D2EDDE"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F0EF"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A32390"/>
    <w:multiLevelType w:val="hybridMultilevel"/>
    <w:tmpl w:val="F79255DA"/>
    <w:lvl w:ilvl="0" w:tplc="089EDCD8">
      <w:start w:val="1"/>
      <w:numFmt w:val="bullet"/>
      <w:lvlText w:val=""/>
      <w:lvlJc w:val="left"/>
      <w:pPr>
        <w:ind w:left="720" w:hanging="360"/>
      </w:pPr>
      <w:rPr>
        <w:rFonts w:ascii="Symbol" w:hAnsi="Symbol"/>
      </w:rPr>
    </w:lvl>
    <w:lvl w:ilvl="1" w:tplc="09CC423E">
      <w:start w:val="1"/>
      <w:numFmt w:val="bullet"/>
      <w:lvlText w:val=""/>
      <w:lvlJc w:val="left"/>
      <w:pPr>
        <w:ind w:left="720" w:hanging="360"/>
      </w:pPr>
      <w:rPr>
        <w:rFonts w:ascii="Symbol" w:hAnsi="Symbol"/>
      </w:rPr>
    </w:lvl>
    <w:lvl w:ilvl="2" w:tplc="92962F04">
      <w:start w:val="1"/>
      <w:numFmt w:val="bullet"/>
      <w:lvlText w:val=""/>
      <w:lvlJc w:val="left"/>
      <w:pPr>
        <w:ind w:left="720" w:hanging="360"/>
      </w:pPr>
      <w:rPr>
        <w:rFonts w:ascii="Symbol" w:hAnsi="Symbol"/>
      </w:rPr>
    </w:lvl>
    <w:lvl w:ilvl="3" w:tplc="083E7A7C">
      <w:start w:val="1"/>
      <w:numFmt w:val="bullet"/>
      <w:lvlText w:val=""/>
      <w:lvlJc w:val="left"/>
      <w:pPr>
        <w:ind w:left="720" w:hanging="360"/>
      </w:pPr>
      <w:rPr>
        <w:rFonts w:ascii="Symbol" w:hAnsi="Symbol"/>
      </w:rPr>
    </w:lvl>
    <w:lvl w:ilvl="4" w:tplc="61042FE8">
      <w:start w:val="1"/>
      <w:numFmt w:val="bullet"/>
      <w:lvlText w:val=""/>
      <w:lvlJc w:val="left"/>
      <w:pPr>
        <w:ind w:left="720" w:hanging="360"/>
      </w:pPr>
      <w:rPr>
        <w:rFonts w:ascii="Symbol" w:hAnsi="Symbol"/>
      </w:rPr>
    </w:lvl>
    <w:lvl w:ilvl="5" w:tplc="44B67C1E">
      <w:start w:val="1"/>
      <w:numFmt w:val="bullet"/>
      <w:lvlText w:val=""/>
      <w:lvlJc w:val="left"/>
      <w:pPr>
        <w:ind w:left="720" w:hanging="360"/>
      </w:pPr>
      <w:rPr>
        <w:rFonts w:ascii="Symbol" w:hAnsi="Symbol"/>
      </w:rPr>
    </w:lvl>
    <w:lvl w:ilvl="6" w:tplc="FCF4D6A8">
      <w:start w:val="1"/>
      <w:numFmt w:val="bullet"/>
      <w:lvlText w:val=""/>
      <w:lvlJc w:val="left"/>
      <w:pPr>
        <w:ind w:left="720" w:hanging="360"/>
      </w:pPr>
      <w:rPr>
        <w:rFonts w:ascii="Symbol" w:hAnsi="Symbol"/>
      </w:rPr>
    </w:lvl>
    <w:lvl w:ilvl="7" w:tplc="92D8E1A2">
      <w:start w:val="1"/>
      <w:numFmt w:val="bullet"/>
      <w:lvlText w:val=""/>
      <w:lvlJc w:val="left"/>
      <w:pPr>
        <w:ind w:left="720" w:hanging="360"/>
      </w:pPr>
      <w:rPr>
        <w:rFonts w:ascii="Symbol" w:hAnsi="Symbol"/>
      </w:rPr>
    </w:lvl>
    <w:lvl w:ilvl="8" w:tplc="861A2610">
      <w:start w:val="1"/>
      <w:numFmt w:val="bullet"/>
      <w:lvlText w:val=""/>
      <w:lvlJc w:val="left"/>
      <w:pPr>
        <w:ind w:left="720" w:hanging="360"/>
      </w:pPr>
      <w:rPr>
        <w:rFonts w:ascii="Symbol" w:hAnsi="Symbol"/>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2D74CC"/>
    <w:multiLevelType w:val="multilevel"/>
    <w:tmpl w:val="0D96AACA"/>
    <w:numStyleLink w:val="AppendixHeadingmaster"/>
  </w:abstractNum>
  <w:abstractNum w:abstractNumId="29"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E659CA"/>
    <w:multiLevelType w:val="multilevel"/>
    <w:tmpl w:val="9F703E2E"/>
    <w:numStyleLink w:val="ListBulletmaster"/>
  </w:abstractNum>
  <w:abstractNum w:abstractNumId="31" w15:restartNumberingAfterBreak="0">
    <w:nsid w:val="6B4C12B8"/>
    <w:multiLevelType w:val="multilevel"/>
    <w:tmpl w:val="113457F2"/>
    <w:numStyleLink w:val="Headingsmaster"/>
  </w:abstractNum>
  <w:abstractNum w:abstractNumId="32" w15:restartNumberingAfterBreak="0">
    <w:nsid w:val="6C3F031A"/>
    <w:multiLevelType w:val="multilevel"/>
    <w:tmpl w:val="A1224394"/>
    <w:numStyleLink w:val="ListLegalmaster"/>
  </w:abstractNum>
  <w:abstractNum w:abstractNumId="33" w15:restartNumberingAfterBreak="0">
    <w:nsid w:val="79F8707D"/>
    <w:multiLevelType w:val="multilevel"/>
    <w:tmpl w:val="A1224394"/>
    <w:numStyleLink w:val="ListLegalmaster"/>
  </w:abstractNum>
  <w:abstractNum w:abstractNumId="34" w15:restartNumberingAfterBreak="0">
    <w:nsid w:val="7D6D1012"/>
    <w:multiLevelType w:val="multilevel"/>
    <w:tmpl w:val="EAA2F742"/>
    <w:numStyleLink w:val="TableListNumbermaster"/>
  </w:abstractNum>
  <w:abstractNum w:abstractNumId="35" w15:restartNumberingAfterBreak="0">
    <w:nsid w:val="7D881735"/>
    <w:multiLevelType w:val="multilevel"/>
    <w:tmpl w:val="113457F2"/>
    <w:numStyleLink w:val="Headingsmaster"/>
  </w:abstractNum>
  <w:num w:numId="1" w16cid:durableId="328336156">
    <w:abstractNumId w:val="3"/>
  </w:num>
  <w:num w:numId="2" w16cid:durableId="1950045772">
    <w:abstractNumId w:val="27"/>
  </w:num>
  <w:num w:numId="3" w16cid:durableId="290287643">
    <w:abstractNumId w:val="7"/>
  </w:num>
  <w:num w:numId="4" w16cid:durableId="1869679674">
    <w:abstractNumId w:val="29"/>
  </w:num>
  <w:num w:numId="5" w16cid:durableId="2032871560">
    <w:abstractNumId w:val="14"/>
  </w:num>
  <w:num w:numId="6" w16cid:durableId="310910324">
    <w:abstractNumId w:val="26"/>
  </w:num>
  <w:num w:numId="7" w16cid:durableId="753476416">
    <w:abstractNumId w:val="10"/>
  </w:num>
  <w:num w:numId="8" w16cid:durableId="1722048815">
    <w:abstractNumId w:val="2"/>
  </w:num>
  <w:num w:numId="9" w16cid:durableId="1790736337">
    <w:abstractNumId w:val="22"/>
  </w:num>
  <w:num w:numId="10" w16cid:durableId="1926304350">
    <w:abstractNumId w:val="5"/>
  </w:num>
  <w:num w:numId="11" w16cid:durableId="874537139">
    <w:abstractNumId w:val="30"/>
  </w:num>
  <w:num w:numId="12" w16cid:durableId="759377971">
    <w:abstractNumId w:val="8"/>
  </w:num>
  <w:num w:numId="13" w16cid:durableId="107823657">
    <w:abstractNumId w:val="12"/>
  </w:num>
  <w:num w:numId="14" w16cid:durableId="1930505832">
    <w:abstractNumId w:val="33"/>
  </w:num>
  <w:num w:numId="15" w16cid:durableId="1858039008">
    <w:abstractNumId w:val="31"/>
  </w:num>
  <w:num w:numId="16" w16cid:durableId="1409770210">
    <w:abstractNumId w:val="28"/>
  </w:num>
  <w:num w:numId="17" w16cid:durableId="95685893">
    <w:abstractNumId w:val="32"/>
  </w:num>
  <w:num w:numId="18" w16cid:durableId="770515265">
    <w:abstractNumId w:val="12"/>
  </w:num>
  <w:num w:numId="19" w16cid:durableId="713041904">
    <w:abstractNumId w:val="32"/>
  </w:num>
  <w:num w:numId="20" w16cid:durableId="2057582421">
    <w:abstractNumId w:val="32"/>
  </w:num>
  <w:num w:numId="21" w16cid:durableId="2062821214">
    <w:abstractNumId w:val="24"/>
  </w:num>
  <w:num w:numId="22" w16cid:durableId="618410884">
    <w:abstractNumId w:val="35"/>
  </w:num>
  <w:num w:numId="23" w16cid:durableId="1320232845">
    <w:abstractNumId w:val="1"/>
  </w:num>
  <w:num w:numId="24" w16cid:durableId="1249077048">
    <w:abstractNumId w:val="9"/>
  </w:num>
  <w:num w:numId="25" w16cid:durableId="1552837590">
    <w:abstractNumId w:val="20"/>
  </w:num>
  <w:num w:numId="26" w16cid:durableId="734856478">
    <w:abstractNumId w:val="34"/>
  </w:num>
  <w:num w:numId="27" w16cid:durableId="1136530311">
    <w:abstractNumId w:val="23"/>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6"/>
  </w:num>
  <w:num w:numId="35" w16cid:durableId="691956747">
    <w:abstractNumId w:val="18"/>
  </w:num>
  <w:num w:numId="36" w16cid:durableId="1156337329">
    <w:abstractNumId w:val="16"/>
  </w:num>
  <w:num w:numId="37" w16cid:durableId="1349261214">
    <w:abstractNumId w:val="17"/>
  </w:num>
  <w:num w:numId="38" w16cid:durableId="634800952">
    <w:abstractNumId w:val="1"/>
  </w:num>
  <w:num w:numId="39" w16cid:durableId="1079055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57922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941307"/>
    <w:rsid w:val="00000445"/>
    <w:rsid w:val="00000844"/>
    <w:rsid w:val="00001380"/>
    <w:rsid w:val="000015F4"/>
    <w:rsid w:val="0000241B"/>
    <w:rsid w:val="000034B2"/>
    <w:rsid w:val="00003579"/>
    <w:rsid w:val="000036C9"/>
    <w:rsid w:val="00003A50"/>
    <w:rsid w:val="00004559"/>
    <w:rsid w:val="00004687"/>
    <w:rsid w:val="00004A9F"/>
    <w:rsid w:val="00005163"/>
    <w:rsid w:val="000051F3"/>
    <w:rsid w:val="00005C2F"/>
    <w:rsid w:val="00005ECE"/>
    <w:rsid w:val="00006158"/>
    <w:rsid w:val="00006940"/>
    <w:rsid w:val="000079CD"/>
    <w:rsid w:val="0001029B"/>
    <w:rsid w:val="00010730"/>
    <w:rsid w:val="00010A9F"/>
    <w:rsid w:val="00010BC1"/>
    <w:rsid w:val="00010D7E"/>
    <w:rsid w:val="000111A3"/>
    <w:rsid w:val="000111B9"/>
    <w:rsid w:val="00011665"/>
    <w:rsid w:val="00011DFF"/>
    <w:rsid w:val="00012579"/>
    <w:rsid w:val="00012F86"/>
    <w:rsid w:val="0001365E"/>
    <w:rsid w:val="000137CC"/>
    <w:rsid w:val="000148DC"/>
    <w:rsid w:val="00016549"/>
    <w:rsid w:val="000165E1"/>
    <w:rsid w:val="0001799C"/>
    <w:rsid w:val="000200EE"/>
    <w:rsid w:val="00020480"/>
    <w:rsid w:val="00020F1B"/>
    <w:rsid w:val="000218AB"/>
    <w:rsid w:val="00021ADB"/>
    <w:rsid w:val="00021B29"/>
    <w:rsid w:val="00022370"/>
    <w:rsid w:val="00022797"/>
    <w:rsid w:val="00022B6B"/>
    <w:rsid w:val="00022ED6"/>
    <w:rsid w:val="00022FDC"/>
    <w:rsid w:val="0002310E"/>
    <w:rsid w:val="000237CA"/>
    <w:rsid w:val="00023B28"/>
    <w:rsid w:val="00023C63"/>
    <w:rsid w:val="000245CA"/>
    <w:rsid w:val="000246A1"/>
    <w:rsid w:val="00024715"/>
    <w:rsid w:val="000247A8"/>
    <w:rsid w:val="000248C7"/>
    <w:rsid w:val="00024F6C"/>
    <w:rsid w:val="0002540A"/>
    <w:rsid w:val="0002543E"/>
    <w:rsid w:val="00025596"/>
    <w:rsid w:val="0002568F"/>
    <w:rsid w:val="00025E32"/>
    <w:rsid w:val="00025ED6"/>
    <w:rsid w:val="0002638D"/>
    <w:rsid w:val="00026ACE"/>
    <w:rsid w:val="00026BDB"/>
    <w:rsid w:val="00026BEE"/>
    <w:rsid w:val="00026E50"/>
    <w:rsid w:val="00027288"/>
    <w:rsid w:val="0002738A"/>
    <w:rsid w:val="00027AF7"/>
    <w:rsid w:val="00027B0C"/>
    <w:rsid w:val="0003035F"/>
    <w:rsid w:val="00030542"/>
    <w:rsid w:val="00030E86"/>
    <w:rsid w:val="000313D7"/>
    <w:rsid w:val="00031430"/>
    <w:rsid w:val="00032220"/>
    <w:rsid w:val="00032358"/>
    <w:rsid w:val="00032700"/>
    <w:rsid w:val="00032ABD"/>
    <w:rsid w:val="00032CD1"/>
    <w:rsid w:val="000331D2"/>
    <w:rsid w:val="0003399F"/>
    <w:rsid w:val="00033A45"/>
    <w:rsid w:val="00033DA5"/>
    <w:rsid w:val="000345F4"/>
    <w:rsid w:val="00034C60"/>
    <w:rsid w:val="00034DA3"/>
    <w:rsid w:val="00036021"/>
    <w:rsid w:val="000362A7"/>
    <w:rsid w:val="00036A09"/>
    <w:rsid w:val="00036A29"/>
    <w:rsid w:val="00036AE1"/>
    <w:rsid w:val="00037699"/>
    <w:rsid w:val="00037A10"/>
    <w:rsid w:val="0004023D"/>
    <w:rsid w:val="00040479"/>
    <w:rsid w:val="00040A5C"/>
    <w:rsid w:val="000414D1"/>
    <w:rsid w:val="00041595"/>
    <w:rsid w:val="00041775"/>
    <w:rsid w:val="000419F4"/>
    <w:rsid w:val="00041B44"/>
    <w:rsid w:val="00042044"/>
    <w:rsid w:val="000420B4"/>
    <w:rsid w:val="0004257F"/>
    <w:rsid w:val="00042CD4"/>
    <w:rsid w:val="00042E3A"/>
    <w:rsid w:val="0004344B"/>
    <w:rsid w:val="000439F7"/>
    <w:rsid w:val="0004405B"/>
    <w:rsid w:val="000440C9"/>
    <w:rsid w:val="0004497B"/>
    <w:rsid w:val="00044A9E"/>
    <w:rsid w:val="00044D46"/>
    <w:rsid w:val="00044EE0"/>
    <w:rsid w:val="00044EF4"/>
    <w:rsid w:val="0004589E"/>
    <w:rsid w:val="00045D3E"/>
    <w:rsid w:val="00046015"/>
    <w:rsid w:val="000467B3"/>
    <w:rsid w:val="0004693A"/>
    <w:rsid w:val="0005004C"/>
    <w:rsid w:val="000502D2"/>
    <w:rsid w:val="000502DE"/>
    <w:rsid w:val="00050349"/>
    <w:rsid w:val="00050B5A"/>
    <w:rsid w:val="000513B8"/>
    <w:rsid w:val="000513F3"/>
    <w:rsid w:val="00051805"/>
    <w:rsid w:val="00051941"/>
    <w:rsid w:val="00051DC2"/>
    <w:rsid w:val="00052352"/>
    <w:rsid w:val="000527D9"/>
    <w:rsid w:val="0005343B"/>
    <w:rsid w:val="000534A0"/>
    <w:rsid w:val="00053DF6"/>
    <w:rsid w:val="00054500"/>
    <w:rsid w:val="00054B1A"/>
    <w:rsid w:val="000558D1"/>
    <w:rsid w:val="000558FA"/>
    <w:rsid w:val="00055942"/>
    <w:rsid w:val="00055E96"/>
    <w:rsid w:val="000567E1"/>
    <w:rsid w:val="0005703B"/>
    <w:rsid w:val="000570C8"/>
    <w:rsid w:val="0005757E"/>
    <w:rsid w:val="00057AC8"/>
    <w:rsid w:val="00057E81"/>
    <w:rsid w:val="0006004A"/>
    <w:rsid w:val="00060472"/>
    <w:rsid w:val="00060776"/>
    <w:rsid w:val="00060ACC"/>
    <w:rsid w:val="000613A0"/>
    <w:rsid w:val="000613C1"/>
    <w:rsid w:val="00061473"/>
    <w:rsid w:val="000618E0"/>
    <w:rsid w:val="0006254B"/>
    <w:rsid w:val="00062AFC"/>
    <w:rsid w:val="00062EDF"/>
    <w:rsid w:val="00062F60"/>
    <w:rsid w:val="00063048"/>
    <w:rsid w:val="00063117"/>
    <w:rsid w:val="000634DB"/>
    <w:rsid w:val="00063B52"/>
    <w:rsid w:val="00063D8D"/>
    <w:rsid w:val="00064638"/>
    <w:rsid w:val="0006471A"/>
    <w:rsid w:val="0006570D"/>
    <w:rsid w:val="0006585D"/>
    <w:rsid w:val="00065D44"/>
    <w:rsid w:val="00066258"/>
    <w:rsid w:val="0006629E"/>
    <w:rsid w:val="00066B58"/>
    <w:rsid w:val="00066D89"/>
    <w:rsid w:val="000671E5"/>
    <w:rsid w:val="000675D0"/>
    <w:rsid w:val="000677AB"/>
    <w:rsid w:val="00067D65"/>
    <w:rsid w:val="00070834"/>
    <w:rsid w:val="000708EA"/>
    <w:rsid w:val="000709E2"/>
    <w:rsid w:val="00070A3E"/>
    <w:rsid w:val="00070AA8"/>
    <w:rsid w:val="00071767"/>
    <w:rsid w:val="00071784"/>
    <w:rsid w:val="0007216F"/>
    <w:rsid w:val="000721A9"/>
    <w:rsid w:val="00072CB8"/>
    <w:rsid w:val="000732E2"/>
    <w:rsid w:val="000740D5"/>
    <w:rsid w:val="000758B0"/>
    <w:rsid w:val="00075B7B"/>
    <w:rsid w:val="00075CB8"/>
    <w:rsid w:val="00075ECE"/>
    <w:rsid w:val="00076F09"/>
    <w:rsid w:val="00077CF1"/>
    <w:rsid w:val="00077E9C"/>
    <w:rsid w:val="000803B6"/>
    <w:rsid w:val="000814FD"/>
    <w:rsid w:val="0008202E"/>
    <w:rsid w:val="0008218A"/>
    <w:rsid w:val="00082486"/>
    <w:rsid w:val="000827DD"/>
    <w:rsid w:val="000828E6"/>
    <w:rsid w:val="00082A69"/>
    <w:rsid w:val="00082CB1"/>
    <w:rsid w:val="00082F42"/>
    <w:rsid w:val="00083423"/>
    <w:rsid w:val="000838A6"/>
    <w:rsid w:val="00083C02"/>
    <w:rsid w:val="00084223"/>
    <w:rsid w:val="000842E3"/>
    <w:rsid w:val="00084E6A"/>
    <w:rsid w:val="0008501D"/>
    <w:rsid w:val="0008531B"/>
    <w:rsid w:val="000857E8"/>
    <w:rsid w:val="00085830"/>
    <w:rsid w:val="00085E80"/>
    <w:rsid w:val="0008654D"/>
    <w:rsid w:val="00087239"/>
    <w:rsid w:val="00087400"/>
    <w:rsid w:val="00087714"/>
    <w:rsid w:val="0008797E"/>
    <w:rsid w:val="00087B5E"/>
    <w:rsid w:val="000901EE"/>
    <w:rsid w:val="00091367"/>
    <w:rsid w:val="00092CA5"/>
    <w:rsid w:val="00093021"/>
    <w:rsid w:val="000948C9"/>
    <w:rsid w:val="00094D9A"/>
    <w:rsid w:val="00095764"/>
    <w:rsid w:val="00095BFB"/>
    <w:rsid w:val="00096009"/>
    <w:rsid w:val="0009644B"/>
    <w:rsid w:val="000969A2"/>
    <w:rsid w:val="000974F4"/>
    <w:rsid w:val="00097996"/>
    <w:rsid w:val="000A014F"/>
    <w:rsid w:val="000A0185"/>
    <w:rsid w:val="000A09BC"/>
    <w:rsid w:val="000A0D4A"/>
    <w:rsid w:val="000A14C0"/>
    <w:rsid w:val="000A18CF"/>
    <w:rsid w:val="000A1A2E"/>
    <w:rsid w:val="000A1A7F"/>
    <w:rsid w:val="000A1D9E"/>
    <w:rsid w:val="000A1DF1"/>
    <w:rsid w:val="000A1E03"/>
    <w:rsid w:val="000A236E"/>
    <w:rsid w:val="000A2D5C"/>
    <w:rsid w:val="000A3B64"/>
    <w:rsid w:val="000A42D3"/>
    <w:rsid w:val="000A4353"/>
    <w:rsid w:val="000A4D2F"/>
    <w:rsid w:val="000A53F7"/>
    <w:rsid w:val="000A5445"/>
    <w:rsid w:val="000A55EF"/>
    <w:rsid w:val="000A5AD5"/>
    <w:rsid w:val="000A61DF"/>
    <w:rsid w:val="000A6264"/>
    <w:rsid w:val="000A72E3"/>
    <w:rsid w:val="000A7846"/>
    <w:rsid w:val="000A7853"/>
    <w:rsid w:val="000A7F59"/>
    <w:rsid w:val="000B079B"/>
    <w:rsid w:val="000B08A0"/>
    <w:rsid w:val="000B1D9B"/>
    <w:rsid w:val="000B2054"/>
    <w:rsid w:val="000B2104"/>
    <w:rsid w:val="000B2145"/>
    <w:rsid w:val="000B2298"/>
    <w:rsid w:val="000B2460"/>
    <w:rsid w:val="000B2702"/>
    <w:rsid w:val="000B2A67"/>
    <w:rsid w:val="000B2C8A"/>
    <w:rsid w:val="000B30AD"/>
    <w:rsid w:val="000B3684"/>
    <w:rsid w:val="000B3B71"/>
    <w:rsid w:val="000B3E40"/>
    <w:rsid w:val="000B4449"/>
    <w:rsid w:val="000B4AFA"/>
    <w:rsid w:val="000B4D49"/>
    <w:rsid w:val="000B4E9D"/>
    <w:rsid w:val="000B4FF5"/>
    <w:rsid w:val="000B6B8A"/>
    <w:rsid w:val="000B75DB"/>
    <w:rsid w:val="000B7DD5"/>
    <w:rsid w:val="000C09EE"/>
    <w:rsid w:val="000C1206"/>
    <w:rsid w:val="000C159E"/>
    <w:rsid w:val="000C16E4"/>
    <w:rsid w:val="000C196E"/>
    <w:rsid w:val="000C19D8"/>
    <w:rsid w:val="000C33E0"/>
    <w:rsid w:val="000C33F0"/>
    <w:rsid w:val="000C3479"/>
    <w:rsid w:val="000C3E1F"/>
    <w:rsid w:val="000C3EE1"/>
    <w:rsid w:val="000C4232"/>
    <w:rsid w:val="000C432E"/>
    <w:rsid w:val="000C44A1"/>
    <w:rsid w:val="000C4A1E"/>
    <w:rsid w:val="000C4C4A"/>
    <w:rsid w:val="000C5013"/>
    <w:rsid w:val="000C517E"/>
    <w:rsid w:val="000C6203"/>
    <w:rsid w:val="000C625E"/>
    <w:rsid w:val="000C629D"/>
    <w:rsid w:val="000C6D44"/>
    <w:rsid w:val="000C6F3B"/>
    <w:rsid w:val="000C7057"/>
    <w:rsid w:val="000C74E5"/>
    <w:rsid w:val="000C7960"/>
    <w:rsid w:val="000C7F48"/>
    <w:rsid w:val="000D00EC"/>
    <w:rsid w:val="000D00ED"/>
    <w:rsid w:val="000D02FA"/>
    <w:rsid w:val="000D054E"/>
    <w:rsid w:val="000D0E08"/>
    <w:rsid w:val="000D29E1"/>
    <w:rsid w:val="000D3270"/>
    <w:rsid w:val="000D33AB"/>
    <w:rsid w:val="000D34DF"/>
    <w:rsid w:val="000D3D5F"/>
    <w:rsid w:val="000D3EB1"/>
    <w:rsid w:val="000D3F96"/>
    <w:rsid w:val="000D40CC"/>
    <w:rsid w:val="000D481C"/>
    <w:rsid w:val="000D487A"/>
    <w:rsid w:val="000D49DE"/>
    <w:rsid w:val="000D4AF9"/>
    <w:rsid w:val="000D4D4F"/>
    <w:rsid w:val="000D5046"/>
    <w:rsid w:val="000D53F4"/>
    <w:rsid w:val="000D5504"/>
    <w:rsid w:val="000D6138"/>
    <w:rsid w:val="000D65D1"/>
    <w:rsid w:val="000D6D5A"/>
    <w:rsid w:val="000D6D78"/>
    <w:rsid w:val="000D6F62"/>
    <w:rsid w:val="000D7AED"/>
    <w:rsid w:val="000D7D2C"/>
    <w:rsid w:val="000E0F8A"/>
    <w:rsid w:val="000E21E7"/>
    <w:rsid w:val="000E2BA0"/>
    <w:rsid w:val="000E2D6E"/>
    <w:rsid w:val="000E31EB"/>
    <w:rsid w:val="000E3363"/>
    <w:rsid w:val="000E3799"/>
    <w:rsid w:val="000E3FF5"/>
    <w:rsid w:val="000E4108"/>
    <w:rsid w:val="000E4200"/>
    <w:rsid w:val="000E48B6"/>
    <w:rsid w:val="000E48D9"/>
    <w:rsid w:val="000E5748"/>
    <w:rsid w:val="000E57D7"/>
    <w:rsid w:val="000E64CE"/>
    <w:rsid w:val="000E6905"/>
    <w:rsid w:val="000E6967"/>
    <w:rsid w:val="000E69AC"/>
    <w:rsid w:val="000E6E4C"/>
    <w:rsid w:val="000E7437"/>
    <w:rsid w:val="000E77E7"/>
    <w:rsid w:val="000E788F"/>
    <w:rsid w:val="000E7908"/>
    <w:rsid w:val="000E7FB1"/>
    <w:rsid w:val="000F012B"/>
    <w:rsid w:val="000F0E84"/>
    <w:rsid w:val="000F0F0F"/>
    <w:rsid w:val="000F10E1"/>
    <w:rsid w:val="000F12C5"/>
    <w:rsid w:val="000F1AA2"/>
    <w:rsid w:val="000F1C6B"/>
    <w:rsid w:val="000F25E1"/>
    <w:rsid w:val="000F3803"/>
    <w:rsid w:val="000F40CA"/>
    <w:rsid w:val="000F4688"/>
    <w:rsid w:val="000F507E"/>
    <w:rsid w:val="000F533D"/>
    <w:rsid w:val="000F57D4"/>
    <w:rsid w:val="000F5C5F"/>
    <w:rsid w:val="000F5CD2"/>
    <w:rsid w:val="000F6845"/>
    <w:rsid w:val="000F6A22"/>
    <w:rsid w:val="000F6FB6"/>
    <w:rsid w:val="000F7359"/>
    <w:rsid w:val="000F7A2E"/>
    <w:rsid w:val="000F7AE9"/>
    <w:rsid w:val="000F7E37"/>
    <w:rsid w:val="001003F2"/>
    <w:rsid w:val="00100951"/>
    <w:rsid w:val="00100E96"/>
    <w:rsid w:val="00101732"/>
    <w:rsid w:val="00101C61"/>
    <w:rsid w:val="00102415"/>
    <w:rsid w:val="001036F1"/>
    <w:rsid w:val="001037AC"/>
    <w:rsid w:val="00104223"/>
    <w:rsid w:val="00104750"/>
    <w:rsid w:val="00104AE5"/>
    <w:rsid w:val="0010544E"/>
    <w:rsid w:val="001057A3"/>
    <w:rsid w:val="001059FD"/>
    <w:rsid w:val="00105C16"/>
    <w:rsid w:val="00106148"/>
    <w:rsid w:val="0010645C"/>
    <w:rsid w:val="00106E26"/>
    <w:rsid w:val="001070CC"/>
    <w:rsid w:val="0010758B"/>
    <w:rsid w:val="00107980"/>
    <w:rsid w:val="00107A78"/>
    <w:rsid w:val="00107ABA"/>
    <w:rsid w:val="00107C4E"/>
    <w:rsid w:val="00110B4E"/>
    <w:rsid w:val="0011116F"/>
    <w:rsid w:val="001115F2"/>
    <w:rsid w:val="00111F1E"/>
    <w:rsid w:val="00112367"/>
    <w:rsid w:val="00112669"/>
    <w:rsid w:val="0011284C"/>
    <w:rsid w:val="00112B7C"/>
    <w:rsid w:val="00112F40"/>
    <w:rsid w:val="001134AC"/>
    <w:rsid w:val="0011389A"/>
    <w:rsid w:val="00113961"/>
    <w:rsid w:val="00113DE2"/>
    <w:rsid w:val="00113E32"/>
    <w:rsid w:val="00114589"/>
    <w:rsid w:val="0011461C"/>
    <w:rsid w:val="001146F6"/>
    <w:rsid w:val="00114BB6"/>
    <w:rsid w:val="0011542B"/>
    <w:rsid w:val="001157D5"/>
    <w:rsid w:val="00115C23"/>
    <w:rsid w:val="00115F1D"/>
    <w:rsid w:val="001162D5"/>
    <w:rsid w:val="00116604"/>
    <w:rsid w:val="00116BB1"/>
    <w:rsid w:val="00116EFE"/>
    <w:rsid w:val="00117397"/>
    <w:rsid w:val="001174A6"/>
    <w:rsid w:val="00117565"/>
    <w:rsid w:val="00117AAB"/>
    <w:rsid w:val="00117BC1"/>
    <w:rsid w:val="00117D8E"/>
    <w:rsid w:val="00117E52"/>
    <w:rsid w:val="001202C0"/>
    <w:rsid w:val="00120AAB"/>
    <w:rsid w:val="001211D2"/>
    <w:rsid w:val="001215DA"/>
    <w:rsid w:val="001216F9"/>
    <w:rsid w:val="0012171A"/>
    <w:rsid w:val="00121950"/>
    <w:rsid w:val="001219AA"/>
    <w:rsid w:val="00122B09"/>
    <w:rsid w:val="00122DAC"/>
    <w:rsid w:val="001234B5"/>
    <w:rsid w:val="001237C6"/>
    <w:rsid w:val="001238C6"/>
    <w:rsid w:val="00124808"/>
    <w:rsid w:val="0012489F"/>
    <w:rsid w:val="00124A88"/>
    <w:rsid w:val="00124F01"/>
    <w:rsid w:val="00125173"/>
    <w:rsid w:val="00125D98"/>
    <w:rsid w:val="00125F9A"/>
    <w:rsid w:val="0012633B"/>
    <w:rsid w:val="0012659E"/>
    <w:rsid w:val="00126AE6"/>
    <w:rsid w:val="00126E75"/>
    <w:rsid w:val="00127467"/>
    <w:rsid w:val="0012756E"/>
    <w:rsid w:val="00127923"/>
    <w:rsid w:val="00127B9B"/>
    <w:rsid w:val="00127F9F"/>
    <w:rsid w:val="00130980"/>
    <w:rsid w:val="00130AB2"/>
    <w:rsid w:val="00130ED7"/>
    <w:rsid w:val="00131319"/>
    <w:rsid w:val="0013136F"/>
    <w:rsid w:val="0013148F"/>
    <w:rsid w:val="00131C4B"/>
    <w:rsid w:val="00131C5B"/>
    <w:rsid w:val="00131C8E"/>
    <w:rsid w:val="00131D31"/>
    <w:rsid w:val="001325B3"/>
    <w:rsid w:val="00132B40"/>
    <w:rsid w:val="00132C06"/>
    <w:rsid w:val="001330CB"/>
    <w:rsid w:val="001330DD"/>
    <w:rsid w:val="001332B8"/>
    <w:rsid w:val="001332E6"/>
    <w:rsid w:val="0013347C"/>
    <w:rsid w:val="001336B4"/>
    <w:rsid w:val="0013396B"/>
    <w:rsid w:val="00134269"/>
    <w:rsid w:val="001346AE"/>
    <w:rsid w:val="00134A02"/>
    <w:rsid w:val="001357DA"/>
    <w:rsid w:val="00135CD9"/>
    <w:rsid w:val="00135E48"/>
    <w:rsid w:val="001362B1"/>
    <w:rsid w:val="00136863"/>
    <w:rsid w:val="00136E3F"/>
    <w:rsid w:val="001371F2"/>
    <w:rsid w:val="00137458"/>
    <w:rsid w:val="00137C8F"/>
    <w:rsid w:val="00137E20"/>
    <w:rsid w:val="00140387"/>
    <w:rsid w:val="001410C4"/>
    <w:rsid w:val="001411F2"/>
    <w:rsid w:val="001416A3"/>
    <w:rsid w:val="00141A04"/>
    <w:rsid w:val="0014224B"/>
    <w:rsid w:val="00142EA7"/>
    <w:rsid w:val="00143115"/>
    <w:rsid w:val="001434B2"/>
    <w:rsid w:val="0014445A"/>
    <w:rsid w:val="00144480"/>
    <w:rsid w:val="001444B2"/>
    <w:rsid w:val="00144629"/>
    <w:rsid w:val="001447CD"/>
    <w:rsid w:val="00144C8E"/>
    <w:rsid w:val="00144D79"/>
    <w:rsid w:val="00144FEC"/>
    <w:rsid w:val="001451FE"/>
    <w:rsid w:val="00145ACE"/>
    <w:rsid w:val="00147A38"/>
    <w:rsid w:val="0015057F"/>
    <w:rsid w:val="001509CF"/>
    <w:rsid w:val="00150B4B"/>
    <w:rsid w:val="00150B91"/>
    <w:rsid w:val="00151843"/>
    <w:rsid w:val="0015188D"/>
    <w:rsid w:val="00151927"/>
    <w:rsid w:val="00152249"/>
    <w:rsid w:val="001522A8"/>
    <w:rsid w:val="001527B9"/>
    <w:rsid w:val="0015312C"/>
    <w:rsid w:val="001535E8"/>
    <w:rsid w:val="00153E18"/>
    <w:rsid w:val="00153E7D"/>
    <w:rsid w:val="00154202"/>
    <w:rsid w:val="00154AB9"/>
    <w:rsid w:val="00154B30"/>
    <w:rsid w:val="00154BCC"/>
    <w:rsid w:val="0015510C"/>
    <w:rsid w:val="0015514B"/>
    <w:rsid w:val="00156DB7"/>
    <w:rsid w:val="00156EF6"/>
    <w:rsid w:val="0015717C"/>
    <w:rsid w:val="0015796B"/>
    <w:rsid w:val="001600A9"/>
    <w:rsid w:val="001607BA"/>
    <w:rsid w:val="001609C1"/>
    <w:rsid w:val="00161A85"/>
    <w:rsid w:val="001621CD"/>
    <w:rsid w:val="00162333"/>
    <w:rsid w:val="00162DF2"/>
    <w:rsid w:val="00163480"/>
    <w:rsid w:val="001637B0"/>
    <w:rsid w:val="00164598"/>
    <w:rsid w:val="001645F9"/>
    <w:rsid w:val="001646CD"/>
    <w:rsid w:val="00164920"/>
    <w:rsid w:val="00164928"/>
    <w:rsid w:val="00165462"/>
    <w:rsid w:val="00166289"/>
    <w:rsid w:val="001662B4"/>
    <w:rsid w:val="00166835"/>
    <w:rsid w:val="00166C3A"/>
    <w:rsid w:val="001676EA"/>
    <w:rsid w:val="00167AFB"/>
    <w:rsid w:val="00170057"/>
    <w:rsid w:val="00170BD2"/>
    <w:rsid w:val="00170CEB"/>
    <w:rsid w:val="00170E47"/>
    <w:rsid w:val="0017180D"/>
    <w:rsid w:val="001721EC"/>
    <w:rsid w:val="00172538"/>
    <w:rsid w:val="001727DE"/>
    <w:rsid w:val="00172D10"/>
    <w:rsid w:val="00173389"/>
    <w:rsid w:val="00173650"/>
    <w:rsid w:val="001738C5"/>
    <w:rsid w:val="00173CA3"/>
    <w:rsid w:val="0017484B"/>
    <w:rsid w:val="0017513E"/>
    <w:rsid w:val="00175CEF"/>
    <w:rsid w:val="00177903"/>
    <w:rsid w:val="00177B0E"/>
    <w:rsid w:val="00177D5F"/>
    <w:rsid w:val="001805E3"/>
    <w:rsid w:val="00181BF3"/>
    <w:rsid w:val="00181DB9"/>
    <w:rsid w:val="00182948"/>
    <w:rsid w:val="0018305F"/>
    <w:rsid w:val="00183176"/>
    <w:rsid w:val="00183383"/>
    <w:rsid w:val="00183604"/>
    <w:rsid w:val="00183A37"/>
    <w:rsid w:val="00183E2E"/>
    <w:rsid w:val="00184236"/>
    <w:rsid w:val="001843A1"/>
    <w:rsid w:val="00184D75"/>
    <w:rsid w:val="00184ED4"/>
    <w:rsid w:val="0018502D"/>
    <w:rsid w:val="0018535E"/>
    <w:rsid w:val="001855A2"/>
    <w:rsid w:val="0018569E"/>
    <w:rsid w:val="00185830"/>
    <w:rsid w:val="001859E1"/>
    <w:rsid w:val="001862AE"/>
    <w:rsid w:val="001863F5"/>
    <w:rsid w:val="00186429"/>
    <w:rsid w:val="001867B3"/>
    <w:rsid w:val="00186DAA"/>
    <w:rsid w:val="00186E62"/>
    <w:rsid w:val="001871BD"/>
    <w:rsid w:val="001873F9"/>
    <w:rsid w:val="00187996"/>
    <w:rsid w:val="001902AB"/>
    <w:rsid w:val="001902FF"/>
    <w:rsid w:val="001903B7"/>
    <w:rsid w:val="00191837"/>
    <w:rsid w:val="00191894"/>
    <w:rsid w:val="00191FB3"/>
    <w:rsid w:val="00192365"/>
    <w:rsid w:val="00192924"/>
    <w:rsid w:val="00193568"/>
    <w:rsid w:val="0019365F"/>
    <w:rsid w:val="00193998"/>
    <w:rsid w:val="0019420A"/>
    <w:rsid w:val="00194579"/>
    <w:rsid w:val="0019516C"/>
    <w:rsid w:val="001955C3"/>
    <w:rsid w:val="001955CB"/>
    <w:rsid w:val="001955FF"/>
    <w:rsid w:val="00196A83"/>
    <w:rsid w:val="00196BF2"/>
    <w:rsid w:val="00196F17"/>
    <w:rsid w:val="00197862"/>
    <w:rsid w:val="00197A07"/>
    <w:rsid w:val="001A0D96"/>
    <w:rsid w:val="001A0F09"/>
    <w:rsid w:val="001A1B3D"/>
    <w:rsid w:val="001A267F"/>
    <w:rsid w:val="001A369A"/>
    <w:rsid w:val="001A4211"/>
    <w:rsid w:val="001A4799"/>
    <w:rsid w:val="001A4BF7"/>
    <w:rsid w:val="001A553E"/>
    <w:rsid w:val="001A566D"/>
    <w:rsid w:val="001A5D71"/>
    <w:rsid w:val="001A6551"/>
    <w:rsid w:val="001A6CFB"/>
    <w:rsid w:val="001A741A"/>
    <w:rsid w:val="001A7E36"/>
    <w:rsid w:val="001B0790"/>
    <w:rsid w:val="001B0C38"/>
    <w:rsid w:val="001B0D1B"/>
    <w:rsid w:val="001B0EFF"/>
    <w:rsid w:val="001B1126"/>
    <w:rsid w:val="001B1D3B"/>
    <w:rsid w:val="001B282B"/>
    <w:rsid w:val="001B2F30"/>
    <w:rsid w:val="001B3CE3"/>
    <w:rsid w:val="001B4362"/>
    <w:rsid w:val="001B46C7"/>
    <w:rsid w:val="001B5ECF"/>
    <w:rsid w:val="001B6481"/>
    <w:rsid w:val="001B6502"/>
    <w:rsid w:val="001B67A5"/>
    <w:rsid w:val="001B77B4"/>
    <w:rsid w:val="001C01F8"/>
    <w:rsid w:val="001C07BB"/>
    <w:rsid w:val="001C0BCF"/>
    <w:rsid w:val="001C0E6A"/>
    <w:rsid w:val="001C10AF"/>
    <w:rsid w:val="001C160A"/>
    <w:rsid w:val="001C1CF7"/>
    <w:rsid w:val="001C2A11"/>
    <w:rsid w:val="001C3428"/>
    <w:rsid w:val="001C4183"/>
    <w:rsid w:val="001C49B0"/>
    <w:rsid w:val="001C5083"/>
    <w:rsid w:val="001C512C"/>
    <w:rsid w:val="001C515A"/>
    <w:rsid w:val="001C5239"/>
    <w:rsid w:val="001C55BA"/>
    <w:rsid w:val="001C570B"/>
    <w:rsid w:val="001C589A"/>
    <w:rsid w:val="001C5FE6"/>
    <w:rsid w:val="001C6C18"/>
    <w:rsid w:val="001C6CAA"/>
    <w:rsid w:val="001C6CED"/>
    <w:rsid w:val="001C6D21"/>
    <w:rsid w:val="001C6D56"/>
    <w:rsid w:val="001C745F"/>
    <w:rsid w:val="001C7554"/>
    <w:rsid w:val="001C7FCA"/>
    <w:rsid w:val="001D0240"/>
    <w:rsid w:val="001D0FBA"/>
    <w:rsid w:val="001D1425"/>
    <w:rsid w:val="001D14B6"/>
    <w:rsid w:val="001D151C"/>
    <w:rsid w:val="001D1E20"/>
    <w:rsid w:val="001D268A"/>
    <w:rsid w:val="001D3342"/>
    <w:rsid w:val="001D3A42"/>
    <w:rsid w:val="001D3AC1"/>
    <w:rsid w:val="001D3B65"/>
    <w:rsid w:val="001D450D"/>
    <w:rsid w:val="001D4DE0"/>
    <w:rsid w:val="001D519D"/>
    <w:rsid w:val="001D58AE"/>
    <w:rsid w:val="001D61C9"/>
    <w:rsid w:val="001D61EA"/>
    <w:rsid w:val="001D6364"/>
    <w:rsid w:val="001D651E"/>
    <w:rsid w:val="001D6862"/>
    <w:rsid w:val="001D6B18"/>
    <w:rsid w:val="001D6CDA"/>
    <w:rsid w:val="001D727E"/>
    <w:rsid w:val="001D7985"/>
    <w:rsid w:val="001E0A40"/>
    <w:rsid w:val="001E172C"/>
    <w:rsid w:val="001E19EC"/>
    <w:rsid w:val="001E1F2D"/>
    <w:rsid w:val="001E2E1A"/>
    <w:rsid w:val="001E308D"/>
    <w:rsid w:val="001E3472"/>
    <w:rsid w:val="001E3C5B"/>
    <w:rsid w:val="001E3FC3"/>
    <w:rsid w:val="001E43A9"/>
    <w:rsid w:val="001E444C"/>
    <w:rsid w:val="001E52A4"/>
    <w:rsid w:val="001E6449"/>
    <w:rsid w:val="001E64F6"/>
    <w:rsid w:val="001E744D"/>
    <w:rsid w:val="001F00AA"/>
    <w:rsid w:val="001F00D2"/>
    <w:rsid w:val="001F0B47"/>
    <w:rsid w:val="001F0ED4"/>
    <w:rsid w:val="001F1B67"/>
    <w:rsid w:val="001F1DD5"/>
    <w:rsid w:val="001F20D9"/>
    <w:rsid w:val="001F278E"/>
    <w:rsid w:val="001F3039"/>
    <w:rsid w:val="001F321B"/>
    <w:rsid w:val="001F32B1"/>
    <w:rsid w:val="001F344A"/>
    <w:rsid w:val="001F3CBC"/>
    <w:rsid w:val="001F4266"/>
    <w:rsid w:val="001F4399"/>
    <w:rsid w:val="001F4AC3"/>
    <w:rsid w:val="001F4CF4"/>
    <w:rsid w:val="001F60C9"/>
    <w:rsid w:val="001F6ACD"/>
    <w:rsid w:val="001F749B"/>
    <w:rsid w:val="001F7530"/>
    <w:rsid w:val="001F765E"/>
    <w:rsid w:val="001F785D"/>
    <w:rsid w:val="001F7C27"/>
    <w:rsid w:val="001F7EBA"/>
    <w:rsid w:val="00200E7E"/>
    <w:rsid w:val="00201300"/>
    <w:rsid w:val="0020139C"/>
    <w:rsid w:val="002019EF"/>
    <w:rsid w:val="002026D3"/>
    <w:rsid w:val="002029C5"/>
    <w:rsid w:val="00202AA3"/>
    <w:rsid w:val="00202F8E"/>
    <w:rsid w:val="002032D9"/>
    <w:rsid w:val="00203B65"/>
    <w:rsid w:val="00203BC1"/>
    <w:rsid w:val="00203BC8"/>
    <w:rsid w:val="0020458A"/>
    <w:rsid w:val="00204E0E"/>
    <w:rsid w:val="00204ED8"/>
    <w:rsid w:val="00204FF1"/>
    <w:rsid w:val="00205582"/>
    <w:rsid w:val="002056B5"/>
    <w:rsid w:val="00210547"/>
    <w:rsid w:val="0021054B"/>
    <w:rsid w:val="00210634"/>
    <w:rsid w:val="00210AA4"/>
    <w:rsid w:val="00211257"/>
    <w:rsid w:val="0021128F"/>
    <w:rsid w:val="00211368"/>
    <w:rsid w:val="0021200E"/>
    <w:rsid w:val="00212382"/>
    <w:rsid w:val="002125AC"/>
    <w:rsid w:val="00212A2B"/>
    <w:rsid w:val="00214062"/>
    <w:rsid w:val="0021436A"/>
    <w:rsid w:val="002148F8"/>
    <w:rsid w:val="00214A4A"/>
    <w:rsid w:val="00214FD5"/>
    <w:rsid w:val="00215E1C"/>
    <w:rsid w:val="00216113"/>
    <w:rsid w:val="002169A5"/>
    <w:rsid w:val="00216B78"/>
    <w:rsid w:val="0021713F"/>
    <w:rsid w:val="00220286"/>
    <w:rsid w:val="00220752"/>
    <w:rsid w:val="002209A4"/>
    <w:rsid w:val="00220D34"/>
    <w:rsid w:val="002211E0"/>
    <w:rsid w:val="002217FD"/>
    <w:rsid w:val="00221B05"/>
    <w:rsid w:val="00221CB5"/>
    <w:rsid w:val="00221FC5"/>
    <w:rsid w:val="002226A2"/>
    <w:rsid w:val="0022273B"/>
    <w:rsid w:val="00222774"/>
    <w:rsid w:val="00223A25"/>
    <w:rsid w:val="00223E31"/>
    <w:rsid w:val="00224A82"/>
    <w:rsid w:val="00224CDF"/>
    <w:rsid w:val="0022555C"/>
    <w:rsid w:val="0022583B"/>
    <w:rsid w:val="00225AFB"/>
    <w:rsid w:val="00226600"/>
    <w:rsid w:val="00226EE5"/>
    <w:rsid w:val="0023022D"/>
    <w:rsid w:val="00230ADC"/>
    <w:rsid w:val="00230E04"/>
    <w:rsid w:val="0023108A"/>
    <w:rsid w:val="00231400"/>
    <w:rsid w:val="00231EFD"/>
    <w:rsid w:val="00232824"/>
    <w:rsid w:val="00232E03"/>
    <w:rsid w:val="002330A0"/>
    <w:rsid w:val="00233631"/>
    <w:rsid w:val="00233DDD"/>
    <w:rsid w:val="002340D4"/>
    <w:rsid w:val="002347CF"/>
    <w:rsid w:val="00234D71"/>
    <w:rsid w:val="002354F7"/>
    <w:rsid w:val="002359DA"/>
    <w:rsid w:val="00235C69"/>
    <w:rsid w:val="00235D6F"/>
    <w:rsid w:val="00236F42"/>
    <w:rsid w:val="0023754A"/>
    <w:rsid w:val="00237933"/>
    <w:rsid w:val="002379C5"/>
    <w:rsid w:val="00237ACF"/>
    <w:rsid w:val="0024025B"/>
    <w:rsid w:val="0024046B"/>
    <w:rsid w:val="00240545"/>
    <w:rsid w:val="00240664"/>
    <w:rsid w:val="0024094A"/>
    <w:rsid w:val="00241524"/>
    <w:rsid w:val="00241745"/>
    <w:rsid w:val="00243397"/>
    <w:rsid w:val="002434D4"/>
    <w:rsid w:val="00245926"/>
    <w:rsid w:val="002468F2"/>
    <w:rsid w:val="0024692A"/>
    <w:rsid w:val="00246D56"/>
    <w:rsid w:val="00246D9F"/>
    <w:rsid w:val="00246F7A"/>
    <w:rsid w:val="002475A9"/>
    <w:rsid w:val="00247BD0"/>
    <w:rsid w:val="00250FDD"/>
    <w:rsid w:val="002517A0"/>
    <w:rsid w:val="002517CB"/>
    <w:rsid w:val="00251D9E"/>
    <w:rsid w:val="00253073"/>
    <w:rsid w:val="002530AF"/>
    <w:rsid w:val="00253FDF"/>
    <w:rsid w:val="00254CAE"/>
    <w:rsid w:val="00254E02"/>
    <w:rsid w:val="00255135"/>
    <w:rsid w:val="00255513"/>
    <w:rsid w:val="00255C68"/>
    <w:rsid w:val="00256085"/>
    <w:rsid w:val="00256117"/>
    <w:rsid w:val="00256BE6"/>
    <w:rsid w:val="00256E02"/>
    <w:rsid w:val="0025726D"/>
    <w:rsid w:val="00257356"/>
    <w:rsid w:val="00257499"/>
    <w:rsid w:val="00257796"/>
    <w:rsid w:val="00257AFC"/>
    <w:rsid w:val="00257C93"/>
    <w:rsid w:val="00260011"/>
    <w:rsid w:val="002600F6"/>
    <w:rsid w:val="00261168"/>
    <w:rsid w:val="00261206"/>
    <w:rsid w:val="00261400"/>
    <w:rsid w:val="00261CFC"/>
    <w:rsid w:val="00261EC5"/>
    <w:rsid w:val="00262462"/>
    <w:rsid w:val="0026301A"/>
    <w:rsid w:val="00263048"/>
    <w:rsid w:val="002630ED"/>
    <w:rsid w:val="00263235"/>
    <w:rsid w:val="00263F69"/>
    <w:rsid w:val="0026414A"/>
    <w:rsid w:val="00264E21"/>
    <w:rsid w:val="002656C7"/>
    <w:rsid w:val="002663F9"/>
    <w:rsid w:val="002667CF"/>
    <w:rsid w:val="00266BFB"/>
    <w:rsid w:val="00266E54"/>
    <w:rsid w:val="002679DC"/>
    <w:rsid w:val="00267A7C"/>
    <w:rsid w:val="00267AC5"/>
    <w:rsid w:val="00270365"/>
    <w:rsid w:val="00270F51"/>
    <w:rsid w:val="00271980"/>
    <w:rsid w:val="0027214D"/>
    <w:rsid w:val="00272421"/>
    <w:rsid w:val="002739A1"/>
    <w:rsid w:val="0027403E"/>
    <w:rsid w:val="0027429E"/>
    <w:rsid w:val="00275605"/>
    <w:rsid w:val="00275DF1"/>
    <w:rsid w:val="00275DF8"/>
    <w:rsid w:val="0027610B"/>
    <w:rsid w:val="0027648F"/>
    <w:rsid w:val="00276525"/>
    <w:rsid w:val="00276727"/>
    <w:rsid w:val="002768D9"/>
    <w:rsid w:val="00277617"/>
    <w:rsid w:val="00277644"/>
    <w:rsid w:val="002778E7"/>
    <w:rsid w:val="002801F4"/>
    <w:rsid w:val="0028025F"/>
    <w:rsid w:val="0028043D"/>
    <w:rsid w:val="00280F91"/>
    <w:rsid w:val="002812D3"/>
    <w:rsid w:val="0028157C"/>
    <w:rsid w:val="0028185A"/>
    <w:rsid w:val="00281D65"/>
    <w:rsid w:val="002820FD"/>
    <w:rsid w:val="0028250B"/>
    <w:rsid w:val="00282837"/>
    <w:rsid w:val="00282921"/>
    <w:rsid w:val="00282FE9"/>
    <w:rsid w:val="00283418"/>
    <w:rsid w:val="0028344C"/>
    <w:rsid w:val="00283753"/>
    <w:rsid w:val="002839A3"/>
    <w:rsid w:val="00283DDC"/>
    <w:rsid w:val="002852FA"/>
    <w:rsid w:val="0028539D"/>
    <w:rsid w:val="00286E3A"/>
    <w:rsid w:val="0028755F"/>
    <w:rsid w:val="002875E2"/>
    <w:rsid w:val="00287D71"/>
    <w:rsid w:val="00290195"/>
    <w:rsid w:val="0029035F"/>
    <w:rsid w:val="002904D5"/>
    <w:rsid w:val="0029121E"/>
    <w:rsid w:val="00291313"/>
    <w:rsid w:val="00291BCF"/>
    <w:rsid w:val="00291C18"/>
    <w:rsid w:val="0029227E"/>
    <w:rsid w:val="002928FC"/>
    <w:rsid w:val="00292C8E"/>
    <w:rsid w:val="00293073"/>
    <w:rsid w:val="00293613"/>
    <w:rsid w:val="002936C2"/>
    <w:rsid w:val="00293DDF"/>
    <w:rsid w:val="0029409A"/>
    <w:rsid w:val="002941D5"/>
    <w:rsid w:val="0029535F"/>
    <w:rsid w:val="002953D8"/>
    <w:rsid w:val="002953D9"/>
    <w:rsid w:val="0029564D"/>
    <w:rsid w:val="00295816"/>
    <w:rsid w:val="0029632D"/>
    <w:rsid w:val="00296643"/>
    <w:rsid w:val="00296E0D"/>
    <w:rsid w:val="00297130"/>
    <w:rsid w:val="002971C6"/>
    <w:rsid w:val="002A11CC"/>
    <w:rsid w:val="002A13A9"/>
    <w:rsid w:val="002A1456"/>
    <w:rsid w:val="002A1B9C"/>
    <w:rsid w:val="002A1C4D"/>
    <w:rsid w:val="002A1FF2"/>
    <w:rsid w:val="002A3A6C"/>
    <w:rsid w:val="002A3A6F"/>
    <w:rsid w:val="002A4646"/>
    <w:rsid w:val="002A49BC"/>
    <w:rsid w:val="002A50F4"/>
    <w:rsid w:val="002A51E7"/>
    <w:rsid w:val="002A555B"/>
    <w:rsid w:val="002A6E54"/>
    <w:rsid w:val="002A735E"/>
    <w:rsid w:val="002A73A9"/>
    <w:rsid w:val="002A76BC"/>
    <w:rsid w:val="002A7897"/>
    <w:rsid w:val="002B04BF"/>
    <w:rsid w:val="002B0548"/>
    <w:rsid w:val="002B1141"/>
    <w:rsid w:val="002B16C9"/>
    <w:rsid w:val="002B1B3E"/>
    <w:rsid w:val="002B1D58"/>
    <w:rsid w:val="002B26D5"/>
    <w:rsid w:val="002B2D0D"/>
    <w:rsid w:val="002B2E87"/>
    <w:rsid w:val="002B37FC"/>
    <w:rsid w:val="002B398B"/>
    <w:rsid w:val="002B3AF2"/>
    <w:rsid w:val="002B3BCD"/>
    <w:rsid w:val="002B3D05"/>
    <w:rsid w:val="002B3EE8"/>
    <w:rsid w:val="002B404A"/>
    <w:rsid w:val="002B4190"/>
    <w:rsid w:val="002B4225"/>
    <w:rsid w:val="002B4984"/>
    <w:rsid w:val="002B4BF2"/>
    <w:rsid w:val="002B507E"/>
    <w:rsid w:val="002B51C6"/>
    <w:rsid w:val="002B53C6"/>
    <w:rsid w:val="002B541D"/>
    <w:rsid w:val="002B67B9"/>
    <w:rsid w:val="002B67DE"/>
    <w:rsid w:val="002B70BA"/>
    <w:rsid w:val="002B70E7"/>
    <w:rsid w:val="002B7538"/>
    <w:rsid w:val="002B7680"/>
    <w:rsid w:val="002C05E7"/>
    <w:rsid w:val="002C0E36"/>
    <w:rsid w:val="002C1223"/>
    <w:rsid w:val="002C22A3"/>
    <w:rsid w:val="002C2EFA"/>
    <w:rsid w:val="002C2F67"/>
    <w:rsid w:val="002C40F8"/>
    <w:rsid w:val="002C440E"/>
    <w:rsid w:val="002C452C"/>
    <w:rsid w:val="002C4C30"/>
    <w:rsid w:val="002C4CF8"/>
    <w:rsid w:val="002C4D01"/>
    <w:rsid w:val="002C4D9F"/>
    <w:rsid w:val="002C4DDC"/>
    <w:rsid w:val="002C6246"/>
    <w:rsid w:val="002C6820"/>
    <w:rsid w:val="002C68D7"/>
    <w:rsid w:val="002C6CE3"/>
    <w:rsid w:val="002C6DE3"/>
    <w:rsid w:val="002C6DEC"/>
    <w:rsid w:val="002C72A5"/>
    <w:rsid w:val="002C7C65"/>
    <w:rsid w:val="002C7DAE"/>
    <w:rsid w:val="002D0218"/>
    <w:rsid w:val="002D0799"/>
    <w:rsid w:val="002D0ADC"/>
    <w:rsid w:val="002D1289"/>
    <w:rsid w:val="002D137C"/>
    <w:rsid w:val="002D1B07"/>
    <w:rsid w:val="002D221E"/>
    <w:rsid w:val="002D3671"/>
    <w:rsid w:val="002D3D1E"/>
    <w:rsid w:val="002D3E65"/>
    <w:rsid w:val="002D405B"/>
    <w:rsid w:val="002D55EB"/>
    <w:rsid w:val="002D5609"/>
    <w:rsid w:val="002D5670"/>
    <w:rsid w:val="002D5F3E"/>
    <w:rsid w:val="002D6343"/>
    <w:rsid w:val="002D65A8"/>
    <w:rsid w:val="002D6B39"/>
    <w:rsid w:val="002D741F"/>
    <w:rsid w:val="002D7BE4"/>
    <w:rsid w:val="002D7FBA"/>
    <w:rsid w:val="002E05D9"/>
    <w:rsid w:val="002E0CC9"/>
    <w:rsid w:val="002E0ECA"/>
    <w:rsid w:val="002E1335"/>
    <w:rsid w:val="002E16B6"/>
    <w:rsid w:val="002E210C"/>
    <w:rsid w:val="002E2527"/>
    <w:rsid w:val="002E2C4A"/>
    <w:rsid w:val="002E2EF7"/>
    <w:rsid w:val="002E3651"/>
    <w:rsid w:val="002E3943"/>
    <w:rsid w:val="002E3B47"/>
    <w:rsid w:val="002E4D51"/>
    <w:rsid w:val="002E5BAA"/>
    <w:rsid w:val="002E5F22"/>
    <w:rsid w:val="002E6CB4"/>
    <w:rsid w:val="002E6CD0"/>
    <w:rsid w:val="002E6E3C"/>
    <w:rsid w:val="002E6E5B"/>
    <w:rsid w:val="002E73C4"/>
    <w:rsid w:val="002E7AC1"/>
    <w:rsid w:val="002E7B2E"/>
    <w:rsid w:val="002F01F6"/>
    <w:rsid w:val="002F02B1"/>
    <w:rsid w:val="002F100F"/>
    <w:rsid w:val="002F13E5"/>
    <w:rsid w:val="002F165B"/>
    <w:rsid w:val="002F16BB"/>
    <w:rsid w:val="002F18C0"/>
    <w:rsid w:val="002F1C07"/>
    <w:rsid w:val="002F1D21"/>
    <w:rsid w:val="002F24C7"/>
    <w:rsid w:val="002F2D75"/>
    <w:rsid w:val="002F35AC"/>
    <w:rsid w:val="002F363B"/>
    <w:rsid w:val="002F4318"/>
    <w:rsid w:val="002F48F5"/>
    <w:rsid w:val="002F4973"/>
    <w:rsid w:val="002F49C2"/>
    <w:rsid w:val="002F6441"/>
    <w:rsid w:val="002F671A"/>
    <w:rsid w:val="002F6F55"/>
    <w:rsid w:val="002F70AA"/>
    <w:rsid w:val="002F76C5"/>
    <w:rsid w:val="002F77D4"/>
    <w:rsid w:val="002F7981"/>
    <w:rsid w:val="0030042F"/>
    <w:rsid w:val="0030050F"/>
    <w:rsid w:val="00300713"/>
    <w:rsid w:val="003007B1"/>
    <w:rsid w:val="0030084A"/>
    <w:rsid w:val="00301A8A"/>
    <w:rsid w:val="00301BCC"/>
    <w:rsid w:val="00301F03"/>
    <w:rsid w:val="0030236C"/>
    <w:rsid w:val="003024B7"/>
    <w:rsid w:val="00302B0D"/>
    <w:rsid w:val="00302C52"/>
    <w:rsid w:val="00302C81"/>
    <w:rsid w:val="00302D12"/>
    <w:rsid w:val="003030F3"/>
    <w:rsid w:val="00303368"/>
    <w:rsid w:val="00303542"/>
    <w:rsid w:val="00303847"/>
    <w:rsid w:val="00304059"/>
    <w:rsid w:val="00304225"/>
    <w:rsid w:val="00304880"/>
    <w:rsid w:val="00304CEC"/>
    <w:rsid w:val="003051FA"/>
    <w:rsid w:val="003057AC"/>
    <w:rsid w:val="003058FA"/>
    <w:rsid w:val="0030592C"/>
    <w:rsid w:val="00305A91"/>
    <w:rsid w:val="00305C85"/>
    <w:rsid w:val="0030604A"/>
    <w:rsid w:val="0030628E"/>
    <w:rsid w:val="003063F4"/>
    <w:rsid w:val="003065F6"/>
    <w:rsid w:val="003071CE"/>
    <w:rsid w:val="00307477"/>
    <w:rsid w:val="0030776B"/>
    <w:rsid w:val="0030798C"/>
    <w:rsid w:val="00310199"/>
    <w:rsid w:val="00310367"/>
    <w:rsid w:val="003107BA"/>
    <w:rsid w:val="0031121F"/>
    <w:rsid w:val="003113E3"/>
    <w:rsid w:val="00311517"/>
    <w:rsid w:val="00311FBA"/>
    <w:rsid w:val="00312020"/>
    <w:rsid w:val="00312EB0"/>
    <w:rsid w:val="0031301C"/>
    <w:rsid w:val="00313C1B"/>
    <w:rsid w:val="00313CB0"/>
    <w:rsid w:val="00313EE2"/>
    <w:rsid w:val="00314BAA"/>
    <w:rsid w:val="00315CE7"/>
    <w:rsid w:val="00315E84"/>
    <w:rsid w:val="00316057"/>
    <w:rsid w:val="00316A3E"/>
    <w:rsid w:val="00316C5B"/>
    <w:rsid w:val="00316EC8"/>
    <w:rsid w:val="0031768D"/>
    <w:rsid w:val="0032010A"/>
    <w:rsid w:val="00320DDF"/>
    <w:rsid w:val="00321AA0"/>
    <w:rsid w:val="003221B4"/>
    <w:rsid w:val="00322752"/>
    <w:rsid w:val="00322C90"/>
    <w:rsid w:val="00322F44"/>
    <w:rsid w:val="00323377"/>
    <w:rsid w:val="00323771"/>
    <w:rsid w:val="00323FC0"/>
    <w:rsid w:val="00324BC8"/>
    <w:rsid w:val="00324DE3"/>
    <w:rsid w:val="003254F1"/>
    <w:rsid w:val="00325857"/>
    <w:rsid w:val="003261F0"/>
    <w:rsid w:val="00326EB8"/>
    <w:rsid w:val="00327A41"/>
    <w:rsid w:val="00327DAB"/>
    <w:rsid w:val="00330090"/>
    <w:rsid w:val="00331A6E"/>
    <w:rsid w:val="003325B2"/>
    <w:rsid w:val="00332A71"/>
    <w:rsid w:val="00334F76"/>
    <w:rsid w:val="00335031"/>
    <w:rsid w:val="0033556E"/>
    <w:rsid w:val="0033638A"/>
    <w:rsid w:val="00336C94"/>
    <w:rsid w:val="00337047"/>
    <w:rsid w:val="00337271"/>
    <w:rsid w:val="00337BA5"/>
    <w:rsid w:val="00337E4D"/>
    <w:rsid w:val="003401BE"/>
    <w:rsid w:val="00340DF3"/>
    <w:rsid w:val="003418F5"/>
    <w:rsid w:val="00341A91"/>
    <w:rsid w:val="003424AC"/>
    <w:rsid w:val="00343060"/>
    <w:rsid w:val="003434D5"/>
    <w:rsid w:val="0034423F"/>
    <w:rsid w:val="00344ADB"/>
    <w:rsid w:val="003462F6"/>
    <w:rsid w:val="003465A5"/>
    <w:rsid w:val="0034696D"/>
    <w:rsid w:val="00346AC5"/>
    <w:rsid w:val="00346CF2"/>
    <w:rsid w:val="00347160"/>
    <w:rsid w:val="00347223"/>
    <w:rsid w:val="00347C85"/>
    <w:rsid w:val="003503FE"/>
    <w:rsid w:val="003519B8"/>
    <w:rsid w:val="00351F0E"/>
    <w:rsid w:val="00352361"/>
    <w:rsid w:val="0035238D"/>
    <w:rsid w:val="0035279F"/>
    <w:rsid w:val="00352AEB"/>
    <w:rsid w:val="00352AF2"/>
    <w:rsid w:val="00352CD1"/>
    <w:rsid w:val="00352F86"/>
    <w:rsid w:val="003531B8"/>
    <w:rsid w:val="003533E9"/>
    <w:rsid w:val="00354479"/>
    <w:rsid w:val="00354803"/>
    <w:rsid w:val="003550C0"/>
    <w:rsid w:val="003552F3"/>
    <w:rsid w:val="00355334"/>
    <w:rsid w:val="0035624B"/>
    <w:rsid w:val="00356EB0"/>
    <w:rsid w:val="003571CF"/>
    <w:rsid w:val="0035723E"/>
    <w:rsid w:val="0035768F"/>
    <w:rsid w:val="00357970"/>
    <w:rsid w:val="00360BA9"/>
    <w:rsid w:val="00361B45"/>
    <w:rsid w:val="00361C82"/>
    <w:rsid w:val="00363952"/>
    <w:rsid w:val="00363AC9"/>
    <w:rsid w:val="00363B43"/>
    <w:rsid w:val="00363F9A"/>
    <w:rsid w:val="00364256"/>
    <w:rsid w:val="003642F3"/>
    <w:rsid w:val="00364728"/>
    <w:rsid w:val="00365043"/>
    <w:rsid w:val="00365081"/>
    <w:rsid w:val="00365E41"/>
    <w:rsid w:val="0036715E"/>
    <w:rsid w:val="003672FA"/>
    <w:rsid w:val="00367B3A"/>
    <w:rsid w:val="00370349"/>
    <w:rsid w:val="003705FC"/>
    <w:rsid w:val="0037110B"/>
    <w:rsid w:val="0037214C"/>
    <w:rsid w:val="00372AA9"/>
    <w:rsid w:val="00372DC0"/>
    <w:rsid w:val="00373858"/>
    <w:rsid w:val="00373B08"/>
    <w:rsid w:val="00373BCE"/>
    <w:rsid w:val="00374094"/>
    <w:rsid w:val="00374348"/>
    <w:rsid w:val="0037483C"/>
    <w:rsid w:val="003750EA"/>
    <w:rsid w:val="0037603E"/>
    <w:rsid w:val="00376258"/>
    <w:rsid w:val="00376589"/>
    <w:rsid w:val="00376759"/>
    <w:rsid w:val="00377494"/>
    <w:rsid w:val="003779E1"/>
    <w:rsid w:val="00380005"/>
    <w:rsid w:val="00380B65"/>
    <w:rsid w:val="003810FA"/>
    <w:rsid w:val="00381EFD"/>
    <w:rsid w:val="00382088"/>
    <w:rsid w:val="00382324"/>
    <w:rsid w:val="00382646"/>
    <w:rsid w:val="0038275B"/>
    <w:rsid w:val="00382F0D"/>
    <w:rsid w:val="00382FEC"/>
    <w:rsid w:val="00383082"/>
    <w:rsid w:val="00384297"/>
    <w:rsid w:val="00384DA2"/>
    <w:rsid w:val="0038508B"/>
    <w:rsid w:val="0038540D"/>
    <w:rsid w:val="0038729F"/>
    <w:rsid w:val="003876F1"/>
    <w:rsid w:val="00387EF9"/>
    <w:rsid w:val="003901A2"/>
    <w:rsid w:val="003902B9"/>
    <w:rsid w:val="003905AB"/>
    <w:rsid w:val="003905DF"/>
    <w:rsid w:val="003917B9"/>
    <w:rsid w:val="003918A1"/>
    <w:rsid w:val="00391ADF"/>
    <w:rsid w:val="00391B17"/>
    <w:rsid w:val="00393148"/>
    <w:rsid w:val="00393638"/>
    <w:rsid w:val="00393C90"/>
    <w:rsid w:val="00393E4C"/>
    <w:rsid w:val="00394185"/>
    <w:rsid w:val="0039438C"/>
    <w:rsid w:val="00394ED2"/>
    <w:rsid w:val="0039555A"/>
    <w:rsid w:val="003958CB"/>
    <w:rsid w:val="00396898"/>
    <w:rsid w:val="00396933"/>
    <w:rsid w:val="0039714C"/>
    <w:rsid w:val="00397B61"/>
    <w:rsid w:val="00397CA3"/>
    <w:rsid w:val="00397D96"/>
    <w:rsid w:val="00397E05"/>
    <w:rsid w:val="003A00D2"/>
    <w:rsid w:val="003A04A3"/>
    <w:rsid w:val="003A05F5"/>
    <w:rsid w:val="003A0D02"/>
    <w:rsid w:val="003A1013"/>
    <w:rsid w:val="003A1164"/>
    <w:rsid w:val="003A11C7"/>
    <w:rsid w:val="003A14FB"/>
    <w:rsid w:val="003A1F2A"/>
    <w:rsid w:val="003A21A3"/>
    <w:rsid w:val="003A26C9"/>
    <w:rsid w:val="003A28E2"/>
    <w:rsid w:val="003A2BBF"/>
    <w:rsid w:val="003A2CAE"/>
    <w:rsid w:val="003A401E"/>
    <w:rsid w:val="003A409E"/>
    <w:rsid w:val="003A4142"/>
    <w:rsid w:val="003A45C0"/>
    <w:rsid w:val="003A48C3"/>
    <w:rsid w:val="003A4C4C"/>
    <w:rsid w:val="003A4EC7"/>
    <w:rsid w:val="003A4F06"/>
    <w:rsid w:val="003A4F36"/>
    <w:rsid w:val="003A5849"/>
    <w:rsid w:val="003A5C19"/>
    <w:rsid w:val="003A6A9D"/>
    <w:rsid w:val="003A6E50"/>
    <w:rsid w:val="003A78C0"/>
    <w:rsid w:val="003A7F66"/>
    <w:rsid w:val="003A7FAD"/>
    <w:rsid w:val="003A7FC3"/>
    <w:rsid w:val="003A7FF3"/>
    <w:rsid w:val="003B0022"/>
    <w:rsid w:val="003B0282"/>
    <w:rsid w:val="003B02F4"/>
    <w:rsid w:val="003B033D"/>
    <w:rsid w:val="003B03BA"/>
    <w:rsid w:val="003B0DE3"/>
    <w:rsid w:val="003B1955"/>
    <w:rsid w:val="003B1DE1"/>
    <w:rsid w:val="003B1EF4"/>
    <w:rsid w:val="003B2176"/>
    <w:rsid w:val="003B22BB"/>
    <w:rsid w:val="003B290A"/>
    <w:rsid w:val="003B376A"/>
    <w:rsid w:val="003B37C4"/>
    <w:rsid w:val="003B39C6"/>
    <w:rsid w:val="003B3DDF"/>
    <w:rsid w:val="003B4E58"/>
    <w:rsid w:val="003B517C"/>
    <w:rsid w:val="003B53F6"/>
    <w:rsid w:val="003B5640"/>
    <w:rsid w:val="003B5DF4"/>
    <w:rsid w:val="003B6234"/>
    <w:rsid w:val="003B63F0"/>
    <w:rsid w:val="003B69B0"/>
    <w:rsid w:val="003B784B"/>
    <w:rsid w:val="003B7EBA"/>
    <w:rsid w:val="003C002A"/>
    <w:rsid w:val="003C0377"/>
    <w:rsid w:val="003C048B"/>
    <w:rsid w:val="003C08E8"/>
    <w:rsid w:val="003C14DE"/>
    <w:rsid w:val="003C1D9F"/>
    <w:rsid w:val="003C1FAC"/>
    <w:rsid w:val="003C204F"/>
    <w:rsid w:val="003C206B"/>
    <w:rsid w:val="003C21DD"/>
    <w:rsid w:val="003C26E9"/>
    <w:rsid w:val="003C2D8C"/>
    <w:rsid w:val="003C340E"/>
    <w:rsid w:val="003C35C6"/>
    <w:rsid w:val="003C3863"/>
    <w:rsid w:val="003C3918"/>
    <w:rsid w:val="003C3B99"/>
    <w:rsid w:val="003C3F71"/>
    <w:rsid w:val="003C43BF"/>
    <w:rsid w:val="003C44D3"/>
    <w:rsid w:val="003C4524"/>
    <w:rsid w:val="003C459C"/>
    <w:rsid w:val="003C4AAE"/>
    <w:rsid w:val="003C4FDE"/>
    <w:rsid w:val="003C548F"/>
    <w:rsid w:val="003C56A1"/>
    <w:rsid w:val="003C5AD9"/>
    <w:rsid w:val="003C5D04"/>
    <w:rsid w:val="003C5FCB"/>
    <w:rsid w:val="003C655D"/>
    <w:rsid w:val="003C6954"/>
    <w:rsid w:val="003C6B56"/>
    <w:rsid w:val="003C7017"/>
    <w:rsid w:val="003C7246"/>
    <w:rsid w:val="003C771B"/>
    <w:rsid w:val="003C78C5"/>
    <w:rsid w:val="003C78E9"/>
    <w:rsid w:val="003D03CE"/>
    <w:rsid w:val="003D0DFB"/>
    <w:rsid w:val="003D1317"/>
    <w:rsid w:val="003D14AD"/>
    <w:rsid w:val="003D153D"/>
    <w:rsid w:val="003D19BE"/>
    <w:rsid w:val="003D1BE5"/>
    <w:rsid w:val="003D209A"/>
    <w:rsid w:val="003D219B"/>
    <w:rsid w:val="003D24EC"/>
    <w:rsid w:val="003D2683"/>
    <w:rsid w:val="003D2715"/>
    <w:rsid w:val="003D2AC0"/>
    <w:rsid w:val="003D2B56"/>
    <w:rsid w:val="003D2E4E"/>
    <w:rsid w:val="003D30AA"/>
    <w:rsid w:val="003D30E1"/>
    <w:rsid w:val="003D349D"/>
    <w:rsid w:val="003D3988"/>
    <w:rsid w:val="003D4A52"/>
    <w:rsid w:val="003D5739"/>
    <w:rsid w:val="003D5B65"/>
    <w:rsid w:val="003D5B80"/>
    <w:rsid w:val="003D6336"/>
    <w:rsid w:val="003D6360"/>
    <w:rsid w:val="003D654A"/>
    <w:rsid w:val="003D6B5E"/>
    <w:rsid w:val="003D75B9"/>
    <w:rsid w:val="003D77A2"/>
    <w:rsid w:val="003E0103"/>
    <w:rsid w:val="003E020E"/>
    <w:rsid w:val="003E09E6"/>
    <w:rsid w:val="003E1BDB"/>
    <w:rsid w:val="003E2A64"/>
    <w:rsid w:val="003E2C05"/>
    <w:rsid w:val="003E2CA2"/>
    <w:rsid w:val="003E2D1C"/>
    <w:rsid w:val="003E30C4"/>
    <w:rsid w:val="003E32D3"/>
    <w:rsid w:val="003E39A2"/>
    <w:rsid w:val="003E3CBE"/>
    <w:rsid w:val="003E43BB"/>
    <w:rsid w:val="003E4653"/>
    <w:rsid w:val="003E5474"/>
    <w:rsid w:val="003E55BB"/>
    <w:rsid w:val="003E65AD"/>
    <w:rsid w:val="003E663E"/>
    <w:rsid w:val="003E6856"/>
    <w:rsid w:val="003E7068"/>
    <w:rsid w:val="003F04E2"/>
    <w:rsid w:val="003F0650"/>
    <w:rsid w:val="003F0B9B"/>
    <w:rsid w:val="003F0C37"/>
    <w:rsid w:val="003F1441"/>
    <w:rsid w:val="003F1A25"/>
    <w:rsid w:val="003F1C72"/>
    <w:rsid w:val="003F212D"/>
    <w:rsid w:val="003F22B2"/>
    <w:rsid w:val="003F285A"/>
    <w:rsid w:val="003F2C13"/>
    <w:rsid w:val="003F332C"/>
    <w:rsid w:val="003F3496"/>
    <w:rsid w:val="003F3713"/>
    <w:rsid w:val="003F4428"/>
    <w:rsid w:val="003F45AE"/>
    <w:rsid w:val="003F4702"/>
    <w:rsid w:val="003F489A"/>
    <w:rsid w:val="003F4BD1"/>
    <w:rsid w:val="003F4CC8"/>
    <w:rsid w:val="003F56F4"/>
    <w:rsid w:val="003F5741"/>
    <w:rsid w:val="003F60DC"/>
    <w:rsid w:val="003F63D0"/>
    <w:rsid w:val="003F6474"/>
    <w:rsid w:val="003F647A"/>
    <w:rsid w:val="003F66C1"/>
    <w:rsid w:val="00400978"/>
    <w:rsid w:val="00400DE9"/>
    <w:rsid w:val="00400F0D"/>
    <w:rsid w:val="004012AF"/>
    <w:rsid w:val="004013C7"/>
    <w:rsid w:val="004016B3"/>
    <w:rsid w:val="00401C88"/>
    <w:rsid w:val="00401DBA"/>
    <w:rsid w:val="00402167"/>
    <w:rsid w:val="00402E7E"/>
    <w:rsid w:val="004036F3"/>
    <w:rsid w:val="00403788"/>
    <w:rsid w:val="0040391D"/>
    <w:rsid w:val="00403BE5"/>
    <w:rsid w:val="004040B8"/>
    <w:rsid w:val="00404533"/>
    <w:rsid w:val="00404B14"/>
    <w:rsid w:val="00404C00"/>
    <w:rsid w:val="00404EAF"/>
    <w:rsid w:val="004062FE"/>
    <w:rsid w:val="0040649F"/>
    <w:rsid w:val="004067EE"/>
    <w:rsid w:val="00406E32"/>
    <w:rsid w:val="004072BC"/>
    <w:rsid w:val="00407FB3"/>
    <w:rsid w:val="0041027D"/>
    <w:rsid w:val="0041030F"/>
    <w:rsid w:val="00410610"/>
    <w:rsid w:val="00410D06"/>
    <w:rsid w:val="0041139E"/>
    <w:rsid w:val="00411CCF"/>
    <w:rsid w:val="00411D27"/>
    <w:rsid w:val="00411D31"/>
    <w:rsid w:val="0041234C"/>
    <w:rsid w:val="004125A5"/>
    <w:rsid w:val="004125E7"/>
    <w:rsid w:val="0041287C"/>
    <w:rsid w:val="00412E93"/>
    <w:rsid w:val="0041322A"/>
    <w:rsid w:val="00413845"/>
    <w:rsid w:val="00413DD6"/>
    <w:rsid w:val="00413EE2"/>
    <w:rsid w:val="004141E5"/>
    <w:rsid w:val="00414798"/>
    <w:rsid w:val="0041497D"/>
    <w:rsid w:val="00414BCC"/>
    <w:rsid w:val="00414DEC"/>
    <w:rsid w:val="0041526D"/>
    <w:rsid w:val="00415C07"/>
    <w:rsid w:val="0041649A"/>
    <w:rsid w:val="0041695D"/>
    <w:rsid w:val="004169B6"/>
    <w:rsid w:val="00417A45"/>
    <w:rsid w:val="00417F42"/>
    <w:rsid w:val="00420189"/>
    <w:rsid w:val="00420330"/>
    <w:rsid w:val="004208A0"/>
    <w:rsid w:val="00420912"/>
    <w:rsid w:val="004209A9"/>
    <w:rsid w:val="00420D9F"/>
    <w:rsid w:val="00421D90"/>
    <w:rsid w:val="00421E41"/>
    <w:rsid w:val="004220E4"/>
    <w:rsid w:val="0042280E"/>
    <w:rsid w:val="00422AED"/>
    <w:rsid w:val="004234FC"/>
    <w:rsid w:val="004237AE"/>
    <w:rsid w:val="0042393F"/>
    <w:rsid w:val="00423BAE"/>
    <w:rsid w:val="004245AE"/>
    <w:rsid w:val="00424BA0"/>
    <w:rsid w:val="00424C32"/>
    <w:rsid w:val="00424FB0"/>
    <w:rsid w:val="004256ED"/>
    <w:rsid w:val="004257CD"/>
    <w:rsid w:val="00425B3E"/>
    <w:rsid w:val="00425BEB"/>
    <w:rsid w:val="00425C11"/>
    <w:rsid w:val="004260A3"/>
    <w:rsid w:val="00426468"/>
    <w:rsid w:val="0042655E"/>
    <w:rsid w:val="00426851"/>
    <w:rsid w:val="00426CDF"/>
    <w:rsid w:val="00426F55"/>
    <w:rsid w:val="004272F6"/>
    <w:rsid w:val="004277C3"/>
    <w:rsid w:val="00427F69"/>
    <w:rsid w:val="0043014C"/>
    <w:rsid w:val="0043079C"/>
    <w:rsid w:val="00430876"/>
    <w:rsid w:val="00430977"/>
    <w:rsid w:val="0043157E"/>
    <w:rsid w:val="004324F7"/>
    <w:rsid w:val="00432CDF"/>
    <w:rsid w:val="00432DCB"/>
    <w:rsid w:val="00433503"/>
    <w:rsid w:val="0043352F"/>
    <w:rsid w:val="004347B7"/>
    <w:rsid w:val="00434ACE"/>
    <w:rsid w:val="00434B85"/>
    <w:rsid w:val="00434D65"/>
    <w:rsid w:val="004354AF"/>
    <w:rsid w:val="0043593A"/>
    <w:rsid w:val="00435D22"/>
    <w:rsid w:val="00435D38"/>
    <w:rsid w:val="004377D4"/>
    <w:rsid w:val="004406C2"/>
    <w:rsid w:val="00440E6D"/>
    <w:rsid w:val="004411DE"/>
    <w:rsid w:val="004418CD"/>
    <w:rsid w:val="0044367E"/>
    <w:rsid w:val="004436C4"/>
    <w:rsid w:val="00443C7A"/>
    <w:rsid w:val="004444B3"/>
    <w:rsid w:val="00444777"/>
    <w:rsid w:val="00444B69"/>
    <w:rsid w:val="00444CBC"/>
    <w:rsid w:val="00445729"/>
    <w:rsid w:val="004457F8"/>
    <w:rsid w:val="00445DD3"/>
    <w:rsid w:val="00445EBB"/>
    <w:rsid w:val="004460A0"/>
    <w:rsid w:val="004465A9"/>
    <w:rsid w:val="00446782"/>
    <w:rsid w:val="004469CD"/>
    <w:rsid w:val="00447CCE"/>
    <w:rsid w:val="00447FC7"/>
    <w:rsid w:val="00450D3B"/>
    <w:rsid w:val="00451040"/>
    <w:rsid w:val="004516AE"/>
    <w:rsid w:val="004518E5"/>
    <w:rsid w:val="00451ED4"/>
    <w:rsid w:val="00452315"/>
    <w:rsid w:val="00452A9D"/>
    <w:rsid w:val="004530B6"/>
    <w:rsid w:val="0045457D"/>
    <w:rsid w:val="00454B02"/>
    <w:rsid w:val="00454E31"/>
    <w:rsid w:val="004551BE"/>
    <w:rsid w:val="00455BDE"/>
    <w:rsid w:val="004565F3"/>
    <w:rsid w:val="004567D8"/>
    <w:rsid w:val="00456C14"/>
    <w:rsid w:val="00456CB6"/>
    <w:rsid w:val="004576DC"/>
    <w:rsid w:val="00457804"/>
    <w:rsid w:val="00457E3D"/>
    <w:rsid w:val="00457FA0"/>
    <w:rsid w:val="00460416"/>
    <w:rsid w:val="00460665"/>
    <w:rsid w:val="0046108B"/>
    <w:rsid w:val="0046136C"/>
    <w:rsid w:val="004613CC"/>
    <w:rsid w:val="00461569"/>
    <w:rsid w:val="004615E5"/>
    <w:rsid w:val="00461B3E"/>
    <w:rsid w:val="004623F5"/>
    <w:rsid w:val="00462B83"/>
    <w:rsid w:val="00463044"/>
    <w:rsid w:val="004630A1"/>
    <w:rsid w:val="004630F1"/>
    <w:rsid w:val="004631EB"/>
    <w:rsid w:val="004643B2"/>
    <w:rsid w:val="004648A4"/>
    <w:rsid w:val="00464936"/>
    <w:rsid w:val="00464DEC"/>
    <w:rsid w:val="00466004"/>
    <w:rsid w:val="004665EB"/>
    <w:rsid w:val="00466836"/>
    <w:rsid w:val="0046702B"/>
    <w:rsid w:val="00467215"/>
    <w:rsid w:val="00467481"/>
    <w:rsid w:val="004709B5"/>
    <w:rsid w:val="00470C78"/>
    <w:rsid w:val="00470CFB"/>
    <w:rsid w:val="00470D2B"/>
    <w:rsid w:val="00471030"/>
    <w:rsid w:val="0047103A"/>
    <w:rsid w:val="00471309"/>
    <w:rsid w:val="0047147E"/>
    <w:rsid w:val="004714BF"/>
    <w:rsid w:val="004714FB"/>
    <w:rsid w:val="004717EE"/>
    <w:rsid w:val="0047206B"/>
    <w:rsid w:val="004723D1"/>
    <w:rsid w:val="00472A89"/>
    <w:rsid w:val="00472B4E"/>
    <w:rsid w:val="00473227"/>
    <w:rsid w:val="004736E2"/>
    <w:rsid w:val="00473AAC"/>
    <w:rsid w:val="00474AEA"/>
    <w:rsid w:val="00475689"/>
    <w:rsid w:val="00475B72"/>
    <w:rsid w:val="00475BB8"/>
    <w:rsid w:val="00475CEC"/>
    <w:rsid w:val="00475D35"/>
    <w:rsid w:val="00476720"/>
    <w:rsid w:val="00476DC9"/>
    <w:rsid w:val="0047747F"/>
    <w:rsid w:val="00477D67"/>
    <w:rsid w:val="00480015"/>
    <w:rsid w:val="00480564"/>
    <w:rsid w:val="00480B7A"/>
    <w:rsid w:val="00480BAA"/>
    <w:rsid w:val="00481306"/>
    <w:rsid w:val="00481662"/>
    <w:rsid w:val="004819B0"/>
    <w:rsid w:val="004822D2"/>
    <w:rsid w:val="00482792"/>
    <w:rsid w:val="004828B3"/>
    <w:rsid w:val="00482E3A"/>
    <w:rsid w:val="00482ECF"/>
    <w:rsid w:val="00483478"/>
    <w:rsid w:val="004839F7"/>
    <w:rsid w:val="00483A0B"/>
    <w:rsid w:val="00484429"/>
    <w:rsid w:val="00484789"/>
    <w:rsid w:val="00484E1F"/>
    <w:rsid w:val="004850D2"/>
    <w:rsid w:val="0048511C"/>
    <w:rsid w:val="004856C2"/>
    <w:rsid w:val="00485902"/>
    <w:rsid w:val="00485DAB"/>
    <w:rsid w:val="00485F69"/>
    <w:rsid w:val="00486277"/>
    <w:rsid w:val="00486AFE"/>
    <w:rsid w:val="0048733D"/>
    <w:rsid w:val="00487F6B"/>
    <w:rsid w:val="00490BE2"/>
    <w:rsid w:val="00490DBB"/>
    <w:rsid w:val="0049139E"/>
    <w:rsid w:val="004917B8"/>
    <w:rsid w:val="004918F1"/>
    <w:rsid w:val="00491EE8"/>
    <w:rsid w:val="004922D3"/>
    <w:rsid w:val="004926B5"/>
    <w:rsid w:val="00492842"/>
    <w:rsid w:val="00492D8B"/>
    <w:rsid w:val="0049332E"/>
    <w:rsid w:val="0049342C"/>
    <w:rsid w:val="00493844"/>
    <w:rsid w:val="00493948"/>
    <w:rsid w:val="00493EC7"/>
    <w:rsid w:val="00493F09"/>
    <w:rsid w:val="00493F7D"/>
    <w:rsid w:val="00495117"/>
    <w:rsid w:val="00495327"/>
    <w:rsid w:val="004956AF"/>
    <w:rsid w:val="0049585B"/>
    <w:rsid w:val="00495CD3"/>
    <w:rsid w:val="00496398"/>
    <w:rsid w:val="004977F8"/>
    <w:rsid w:val="00497944"/>
    <w:rsid w:val="00497E12"/>
    <w:rsid w:val="00497F7B"/>
    <w:rsid w:val="00497FB0"/>
    <w:rsid w:val="004A09F3"/>
    <w:rsid w:val="004A0F13"/>
    <w:rsid w:val="004A140A"/>
    <w:rsid w:val="004A1930"/>
    <w:rsid w:val="004A19D4"/>
    <w:rsid w:val="004A21B4"/>
    <w:rsid w:val="004A21FD"/>
    <w:rsid w:val="004A234D"/>
    <w:rsid w:val="004A24B0"/>
    <w:rsid w:val="004A2D4E"/>
    <w:rsid w:val="004A2F83"/>
    <w:rsid w:val="004A317A"/>
    <w:rsid w:val="004A324A"/>
    <w:rsid w:val="004A37CA"/>
    <w:rsid w:val="004A4CD2"/>
    <w:rsid w:val="004A55ED"/>
    <w:rsid w:val="004A5A5F"/>
    <w:rsid w:val="004A5C0C"/>
    <w:rsid w:val="004A6262"/>
    <w:rsid w:val="004A6788"/>
    <w:rsid w:val="004A69CF"/>
    <w:rsid w:val="004A74E0"/>
    <w:rsid w:val="004A7C85"/>
    <w:rsid w:val="004A7E52"/>
    <w:rsid w:val="004A7EA9"/>
    <w:rsid w:val="004A7FAF"/>
    <w:rsid w:val="004B18E5"/>
    <w:rsid w:val="004B1B12"/>
    <w:rsid w:val="004B2435"/>
    <w:rsid w:val="004B2D35"/>
    <w:rsid w:val="004B2F2F"/>
    <w:rsid w:val="004B361B"/>
    <w:rsid w:val="004B3ABF"/>
    <w:rsid w:val="004B40F8"/>
    <w:rsid w:val="004B418E"/>
    <w:rsid w:val="004B48CD"/>
    <w:rsid w:val="004B5CC6"/>
    <w:rsid w:val="004B6C38"/>
    <w:rsid w:val="004B7036"/>
    <w:rsid w:val="004B764A"/>
    <w:rsid w:val="004B7E3D"/>
    <w:rsid w:val="004B7EB6"/>
    <w:rsid w:val="004C0483"/>
    <w:rsid w:val="004C0598"/>
    <w:rsid w:val="004C0BBA"/>
    <w:rsid w:val="004C0FAA"/>
    <w:rsid w:val="004C1F88"/>
    <w:rsid w:val="004C2185"/>
    <w:rsid w:val="004C224C"/>
    <w:rsid w:val="004C2D7F"/>
    <w:rsid w:val="004C2E91"/>
    <w:rsid w:val="004C3129"/>
    <w:rsid w:val="004C4028"/>
    <w:rsid w:val="004C420B"/>
    <w:rsid w:val="004C4293"/>
    <w:rsid w:val="004C4493"/>
    <w:rsid w:val="004C473F"/>
    <w:rsid w:val="004C47C7"/>
    <w:rsid w:val="004C4BF7"/>
    <w:rsid w:val="004C501D"/>
    <w:rsid w:val="004C5423"/>
    <w:rsid w:val="004C64D4"/>
    <w:rsid w:val="004C660E"/>
    <w:rsid w:val="004C6A2B"/>
    <w:rsid w:val="004C6CBA"/>
    <w:rsid w:val="004C7001"/>
    <w:rsid w:val="004C7200"/>
    <w:rsid w:val="004C7276"/>
    <w:rsid w:val="004C72DD"/>
    <w:rsid w:val="004C748F"/>
    <w:rsid w:val="004C76ED"/>
    <w:rsid w:val="004C7926"/>
    <w:rsid w:val="004D10D4"/>
    <w:rsid w:val="004D159C"/>
    <w:rsid w:val="004D19B5"/>
    <w:rsid w:val="004D1A69"/>
    <w:rsid w:val="004D1C83"/>
    <w:rsid w:val="004D21A1"/>
    <w:rsid w:val="004D2261"/>
    <w:rsid w:val="004D264F"/>
    <w:rsid w:val="004D28CF"/>
    <w:rsid w:val="004D2D5D"/>
    <w:rsid w:val="004D3CB9"/>
    <w:rsid w:val="004D3E35"/>
    <w:rsid w:val="004D3FDB"/>
    <w:rsid w:val="004D443B"/>
    <w:rsid w:val="004D48C9"/>
    <w:rsid w:val="004D5164"/>
    <w:rsid w:val="004D58A8"/>
    <w:rsid w:val="004D64D0"/>
    <w:rsid w:val="004D653F"/>
    <w:rsid w:val="004D664E"/>
    <w:rsid w:val="004D6700"/>
    <w:rsid w:val="004D69A0"/>
    <w:rsid w:val="004D6A9C"/>
    <w:rsid w:val="004D6FB5"/>
    <w:rsid w:val="004D70A3"/>
    <w:rsid w:val="004D72C0"/>
    <w:rsid w:val="004D733C"/>
    <w:rsid w:val="004E0445"/>
    <w:rsid w:val="004E0D0F"/>
    <w:rsid w:val="004E0D59"/>
    <w:rsid w:val="004E0E9B"/>
    <w:rsid w:val="004E10F5"/>
    <w:rsid w:val="004E14DF"/>
    <w:rsid w:val="004E15F8"/>
    <w:rsid w:val="004E225B"/>
    <w:rsid w:val="004E2396"/>
    <w:rsid w:val="004E2663"/>
    <w:rsid w:val="004E26F0"/>
    <w:rsid w:val="004E2A24"/>
    <w:rsid w:val="004E2F2A"/>
    <w:rsid w:val="004E384D"/>
    <w:rsid w:val="004E385B"/>
    <w:rsid w:val="004E3DC4"/>
    <w:rsid w:val="004E3DD6"/>
    <w:rsid w:val="004E4AFE"/>
    <w:rsid w:val="004E5570"/>
    <w:rsid w:val="004E563C"/>
    <w:rsid w:val="004E5A05"/>
    <w:rsid w:val="004E642F"/>
    <w:rsid w:val="004E6A80"/>
    <w:rsid w:val="004E79B9"/>
    <w:rsid w:val="004F0068"/>
    <w:rsid w:val="004F0CD0"/>
    <w:rsid w:val="004F0FD6"/>
    <w:rsid w:val="004F1804"/>
    <w:rsid w:val="004F1903"/>
    <w:rsid w:val="004F1EDA"/>
    <w:rsid w:val="004F2A8D"/>
    <w:rsid w:val="004F3341"/>
    <w:rsid w:val="004F357B"/>
    <w:rsid w:val="004F398F"/>
    <w:rsid w:val="004F3C38"/>
    <w:rsid w:val="004F3FA8"/>
    <w:rsid w:val="004F532C"/>
    <w:rsid w:val="004F5735"/>
    <w:rsid w:val="004F5E64"/>
    <w:rsid w:val="00500247"/>
    <w:rsid w:val="005002B4"/>
    <w:rsid w:val="00500DA4"/>
    <w:rsid w:val="00500ED0"/>
    <w:rsid w:val="0050102E"/>
    <w:rsid w:val="005010E7"/>
    <w:rsid w:val="005012B2"/>
    <w:rsid w:val="00501338"/>
    <w:rsid w:val="00501339"/>
    <w:rsid w:val="00501BC0"/>
    <w:rsid w:val="00501E45"/>
    <w:rsid w:val="0050257A"/>
    <w:rsid w:val="0050393B"/>
    <w:rsid w:val="00504265"/>
    <w:rsid w:val="005045A9"/>
    <w:rsid w:val="005046DA"/>
    <w:rsid w:val="00504DB0"/>
    <w:rsid w:val="00505746"/>
    <w:rsid w:val="00505781"/>
    <w:rsid w:val="00505903"/>
    <w:rsid w:val="00505B0A"/>
    <w:rsid w:val="00505F07"/>
    <w:rsid w:val="00506B40"/>
    <w:rsid w:val="00506C53"/>
    <w:rsid w:val="00506D00"/>
    <w:rsid w:val="00507142"/>
    <w:rsid w:val="005116B6"/>
    <w:rsid w:val="00512086"/>
    <w:rsid w:val="00512198"/>
    <w:rsid w:val="00512A15"/>
    <w:rsid w:val="00512C10"/>
    <w:rsid w:val="00512C60"/>
    <w:rsid w:val="00512F60"/>
    <w:rsid w:val="00513130"/>
    <w:rsid w:val="00513736"/>
    <w:rsid w:val="00513756"/>
    <w:rsid w:val="0051469E"/>
    <w:rsid w:val="00514851"/>
    <w:rsid w:val="00514858"/>
    <w:rsid w:val="005148D9"/>
    <w:rsid w:val="00514EFF"/>
    <w:rsid w:val="0051512D"/>
    <w:rsid w:val="0051524E"/>
    <w:rsid w:val="005154D8"/>
    <w:rsid w:val="005155EF"/>
    <w:rsid w:val="005167AE"/>
    <w:rsid w:val="00516CC1"/>
    <w:rsid w:val="00516E85"/>
    <w:rsid w:val="005171E2"/>
    <w:rsid w:val="00517725"/>
    <w:rsid w:val="00517B60"/>
    <w:rsid w:val="00517B67"/>
    <w:rsid w:val="005200D4"/>
    <w:rsid w:val="00520C0B"/>
    <w:rsid w:val="00521410"/>
    <w:rsid w:val="00521E8C"/>
    <w:rsid w:val="00522327"/>
    <w:rsid w:val="00522739"/>
    <w:rsid w:val="00522766"/>
    <w:rsid w:val="0052279F"/>
    <w:rsid w:val="00522A65"/>
    <w:rsid w:val="00522D46"/>
    <w:rsid w:val="00522F95"/>
    <w:rsid w:val="00523FC5"/>
    <w:rsid w:val="0052407E"/>
    <w:rsid w:val="005243F9"/>
    <w:rsid w:val="005249AC"/>
    <w:rsid w:val="00524B6E"/>
    <w:rsid w:val="005252E6"/>
    <w:rsid w:val="005257B3"/>
    <w:rsid w:val="0052599E"/>
    <w:rsid w:val="00525C49"/>
    <w:rsid w:val="00525E42"/>
    <w:rsid w:val="00526515"/>
    <w:rsid w:val="00526FCD"/>
    <w:rsid w:val="005277E4"/>
    <w:rsid w:val="00527BAE"/>
    <w:rsid w:val="00527C1A"/>
    <w:rsid w:val="005300A3"/>
    <w:rsid w:val="00530747"/>
    <w:rsid w:val="0053079C"/>
    <w:rsid w:val="00531BE2"/>
    <w:rsid w:val="00531BFC"/>
    <w:rsid w:val="00531EB0"/>
    <w:rsid w:val="00534000"/>
    <w:rsid w:val="00534046"/>
    <w:rsid w:val="005341BA"/>
    <w:rsid w:val="0053457D"/>
    <w:rsid w:val="00534938"/>
    <w:rsid w:val="00534DAA"/>
    <w:rsid w:val="00534E45"/>
    <w:rsid w:val="005351D6"/>
    <w:rsid w:val="00535954"/>
    <w:rsid w:val="005361BE"/>
    <w:rsid w:val="00536C86"/>
    <w:rsid w:val="00536EFC"/>
    <w:rsid w:val="005371C4"/>
    <w:rsid w:val="0053738D"/>
    <w:rsid w:val="00537C78"/>
    <w:rsid w:val="00537DA1"/>
    <w:rsid w:val="00540225"/>
    <w:rsid w:val="00540B6E"/>
    <w:rsid w:val="0054188B"/>
    <w:rsid w:val="00541B0C"/>
    <w:rsid w:val="00542497"/>
    <w:rsid w:val="005428DD"/>
    <w:rsid w:val="00542DED"/>
    <w:rsid w:val="0054330A"/>
    <w:rsid w:val="00543324"/>
    <w:rsid w:val="00543877"/>
    <w:rsid w:val="00543F68"/>
    <w:rsid w:val="00544044"/>
    <w:rsid w:val="00544289"/>
    <w:rsid w:val="0054454E"/>
    <w:rsid w:val="00544654"/>
    <w:rsid w:val="00544940"/>
    <w:rsid w:val="00544EC5"/>
    <w:rsid w:val="00545016"/>
    <w:rsid w:val="0054580C"/>
    <w:rsid w:val="00545ECB"/>
    <w:rsid w:val="00546975"/>
    <w:rsid w:val="00546C2B"/>
    <w:rsid w:val="00547489"/>
    <w:rsid w:val="00547911"/>
    <w:rsid w:val="00547E95"/>
    <w:rsid w:val="005501EB"/>
    <w:rsid w:val="00550C4F"/>
    <w:rsid w:val="00551911"/>
    <w:rsid w:val="00551914"/>
    <w:rsid w:val="00551ADB"/>
    <w:rsid w:val="00551AF8"/>
    <w:rsid w:val="00551E89"/>
    <w:rsid w:val="00551EC1"/>
    <w:rsid w:val="0055205E"/>
    <w:rsid w:val="00552367"/>
    <w:rsid w:val="005527B4"/>
    <w:rsid w:val="00552E2C"/>
    <w:rsid w:val="00553049"/>
    <w:rsid w:val="00553131"/>
    <w:rsid w:val="005534D6"/>
    <w:rsid w:val="00553EDE"/>
    <w:rsid w:val="005543A1"/>
    <w:rsid w:val="00554B36"/>
    <w:rsid w:val="00554CCC"/>
    <w:rsid w:val="00554DFA"/>
    <w:rsid w:val="00554E4D"/>
    <w:rsid w:val="005552FE"/>
    <w:rsid w:val="00555A82"/>
    <w:rsid w:val="0055663C"/>
    <w:rsid w:val="00556940"/>
    <w:rsid w:val="0055707F"/>
    <w:rsid w:val="0055709A"/>
    <w:rsid w:val="005608A7"/>
    <w:rsid w:val="00560FDE"/>
    <w:rsid w:val="00561238"/>
    <w:rsid w:val="00561B48"/>
    <w:rsid w:val="005626C6"/>
    <w:rsid w:val="00562C64"/>
    <w:rsid w:val="00562EA4"/>
    <w:rsid w:val="00562EE5"/>
    <w:rsid w:val="00563895"/>
    <w:rsid w:val="00564825"/>
    <w:rsid w:val="00564A24"/>
    <w:rsid w:val="00564A89"/>
    <w:rsid w:val="00564E19"/>
    <w:rsid w:val="00564ED1"/>
    <w:rsid w:val="00565188"/>
    <w:rsid w:val="00565DEF"/>
    <w:rsid w:val="00566FB1"/>
    <w:rsid w:val="0056754F"/>
    <w:rsid w:val="00567F86"/>
    <w:rsid w:val="00567FA7"/>
    <w:rsid w:val="005705D3"/>
    <w:rsid w:val="00570A71"/>
    <w:rsid w:val="00570FEC"/>
    <w:rsid w:val="005716E0"/>
    <w:rsid w:val="005717C2"/>
    <w:rsid w:val="005720D0"/>
    <w:rsid w:val="00572183"/>
    <w:rsid w:val="0057228B"/>
    <w:rsid w:val="00572380"/>
    <w:rsid w:val="00572B17"/>
    <w:rsid w:val="00572DE1"/>
    <w:rsid w:val="0057333D"/>
    <w:rsid w:val="005734BD"/>
    <w:rsid w:val="005735F2"/>
    <w:rsid w:val="00573711"/>
    <w:rsid w:val="00573E71"/>
    <w:rsid w:val="0057407E"/>
    <w:rsid w:val="00574D5D"/>
    <w:rsid w:val="00575DC6"/>
    <w:rsid w:val="005768AD"/>
    <w:rsid w:val="00576985"/>
    <w:rsid w:val="00576BAF"/>
    <w:rsid w:val="00576EB1"/>
    <w:rsid w:val="00580427"/>
    <w:rsid w:val="00580826"/>
    <w:rsid w:val="00581C4D"/>
    <w:rsid w:val="00581F4A"/>
    <w:rsid w:val="0058349D"/>
    <w:rsid w:val="00584282"/>
    <w:rsid w:val="00584343"/>
    <w:rsid w:val="00584B80"/>
    <w:rsid w:val="00584E01"/>
    <w:rsid w:val="005855B1"/>
    <w:rsid w:val="005860D3"/>
    <w:rsid w:val="00587692"/>
    <w:rsid w:val="005879DF"/>
    <w:rsid w:val="00587D8A"/>
    <w:rsid w:val="00587D97"/>
    <w:rsid w:val="005903AC"/>
    <w:rsid w:val="005908B2"/>
    <w:rsid w:val="00590D7C"/>
    <w:rsid w:val="00591992"/>
    <w:rsid w:val="00591B79"/>
    <w:rsid w:val="00591D81"/>
    <w:rsid w:val="00591EB1"/>
    <w:rsid w:val="005922A0"/>
    <w:rsid w:val="00592C0C"/>
    <w:rsid w:val="00592C73"/>
    <w:rsid w:val="00592F32"/>
    <w:rsid w:val="005931E5"/>
    <w:rsid w:val="005937BF"/>
    <w:rsid w:val="005949AB"/>
    <w:rsid w:val="00595100"/>
    <w:rsid w:val="005957F8"/>
    <w:rsid w:val="00596439"/>
    <w:rsid w:val="0059682A"/>
    <w:rsid w:val="00596D58"/>
    <w:rsid w:val="005970C1"/>
    <w:rsid w:val="00597AE7"/>
    <w:rsid w:val="00597D00"/>
    <w:rsid w:val="00597FC3"/>
    <w:rsid w:val="005A0BDB"/>
    <w:rsid w:val="005A10D5"/>
    <w:rsid w:val="005A1336"/>
    <w:rsid w:val="005A1EB7"/>
    <w:rsid w:val="005A2235"/>
    <w:rsid w:val="005A239D"/>
    <w:rsid w:val="005A254C"/>
    <w:rsid w:val="005A2777"/>
    <w:rsid w:val="005A2C4F"/>
    <w:rsid w:val="005A37E4"/>
    <w:rsid w:val="005A3CD3"/>
    <w:rsid w:val="005A3DA4"/>
    <w:rsid w:val="005A3E02"/>
    <w:rsid w:val="005A43F5"/>
    <w:rsid w:val="005A49C2"/>
    <w:rsid w:val="005A4A09"/>
    <w:rsid w:val="005A543A"/>
    <w:rsid w:val="005A5897"/>
    <w:rsid w:val="005A5A82"/>
    <w:rsid w:val="005A6581"/>
    <w:rsid w:val="005A6C1A"/>
    <w:rsid w:val="005A6D6D"/>
    <w:rsid w:val="005A6EB7"/>
    <w:rsid w:val="005A6F09"/>
    <w:rsid w:val="005A73CF"/>
    <w:rsid w:val="005A7B12"/>
    <w:rsid w:val="005B00BA"/>
    <w:rsid w:val="005B046E"/>
    <w:rsid w:val="005B058C"/>
    <w:rsid w:val="005B0A85"/>
    <w:rsid w:val="005B0B5D"/>
    <w:rsid w:val="005B1388"/>
    <w:rsid w:val="005B1DEF"/>
    <w:rsid w:val="005B2A24"/>
    <w:rsid w:val="005B3784"/>
    <w:rsid w:val="005B3AD5"/>
    <w:rsid w:val="005B4542"/>
    <w:rsid w:val="005B511A"/>
    <w:rsid w:val="005B525A"/>
    <w:rsid w:val="005B5635"/>
    <w:rsid w:val="005B5B50"/>
    <w:rsid w:val="005B5F35"/>
    <w:rsid w:val="005B6933"/>
    <w:rsid w:val="005B6A04"/>
    <w:rsid w:val="005B6A71"/>
    <w:rsid w:val="005B710D"/>
    <w:rsid w:val="005B755C"/>
    <w:rsid w:val="005B78DE"/>
    <w:rsid w:val="005B7958"/>
    <w:rsid w:val="005C0648"/>
    <w:rsid w:val="005C06FA"/>
    <w:rsid w:val="005C0C85"/>
    <w:rsid w:val="005C0ED2"/>
    <w:rsid w:val="005C1148"/>
    <w:rsid w:val="005C14A7"/>
    <w:rsid w:val="005C1847"/>
    <w:rsid w:val="005C1F78"/>
    <w:rsid w:val="005C2009"/>
    <w:rsid w:val="005C2317"/>
    <w:rsid w:val="005C23ED"/>
    <w:rsid w:val="005C24B6"/>
    <w:rsid w:val="005C2544"/>
    <w:rsid w:val="005C2D5E"/>
    <w:rsid w:val="005C2FDA"/>
    <w:rsid w:val="005C3649"/>
    <w:rsid w:val="005C3BEC"/>
    <w:rsid w:val="005C42B4"/>
    <w:rsid w:val="005C42CC"/>
    <w:rsid w:val="005C4863"/>
    <w:rsid w:val="005C57E4"/>
    <w:rsid w:val="005C5901"/>
    <w:rsid w:val="005C5A54"/>
    <w:rsid w:val="005C60D8"/>
    <w:rsid w:val="005C6BC4"/>
    <w:rsid w:val="005C6D1D"/>
    <w:rsid w:val="005C7092"/>
    <w:rsid w:val="005C776C"/>
    <w:rsid w:val="005D1B2C"/>
    <w:rsid w:val="005D1C78"/>
    <w:rsid w:val="005D2642"/>
    <w:rsid w:val="005D297D"/>
    <w:rsid w:val="005D3046"/>
    <w:rsid w:val="005D3922"/>
    <w:rsid w:val="005D39CB"/>
    <w:rsid w:val="005D4048"/>
    <w:rsid w:val="005D43BC"/>
    <w:rsid w:val="005D44A3"/>
    <w:rsid w:val="005D4922"/>
    <w:rsid w:val="005D4C9C"/>
    <w:rsid w:val="005D5B00"/>
    <w:rsid w:val="005D70A0"/>
    <w:rsid w:val="005E037D"/>
    <w:rsid w:val="005E04C6"/>
    <w:rsid w:val="005E07E6"/>
    <w:rsid w:val="005E0EF9"/>
    <w:rsid w:val="005E1454"/>
    <w:rsid w:val="005E17D6"/>
    <w:rsid w:val="005E1AB2"/>
    <w:rsid w:val="005E1D09"/>
    <w:rsid w:val="005E264A"/>
    <w:rsid w:val="005E26EF"/>
    <w:rsid w:val="005E2C0D"/>
    <w:rsid w:val="005E2F37"/>
    <w:rsid w:val="005E35DC"/>
    <w:rsid w:val="005E3E91"/>
    <w:rsid w:val="005E3EBC"/>
    <w:rsid w:val="005E45BC"/>
    <w:rsid w:val="005E4CDD"/>
    <w:rsid w:val="005E5B24"/>
    <w:rsid w:val="005E757A"/>
    <w:rsid w:val="005E7974"/>
    <w:rsid w:val="005E7CDE"/>
    <w:rsid w:val="005E7D8C"/>
    <w:rsid w:val="005F04F6"/>
    <w:rsid w:val="005F08D6"/>
    <w:rsid w:val="005F0C70"/>
    <w:rsid w:val="005F0CFF"/>
    <w:rsid w:val="005F1905"/>
    <w:rsid w:val="005F203B"/>
    <w:rsid w:val="005F23A2"/>
    <w:rsid w:val="005F259A"/>
    <w:rsid w:val="005F2612"/>
    <w:rsid w:val="005F2863"/>
    <w:rsid w:val="005F2A91"/>
    <w:rsid w:val="005F37C3"/>
    <w:rsid w:val="005F39B6"/>
    <w:rsid w:val="005F3B05"/>
    <w:rsid w:val="005F4086"/>
    <w:rsid w:val="005F49D8"/>
    <w:rsid w:val="005F4BA6"/>
    <w:rsid w:val="005F4D20"/>
    <w:rsid w:val="005F4E12"/>
    <w:rsid w:val="005F5CF9"/>
    <w:rsid w:val="005F6F3A"/>
    <w:rsid w:val="005F76B2"/>
    <w:rsid w:val="005F7A52"/>
    <w:rsid w:val="00600004"/>
    <w:rsid w:val="0060042E"/>
    <w:rsid w:val="006006B1"/>
    <w:rsid w:val="0060096E"/>
    <w:rsid w:val="006009B8"/>
    <w:rsid w:val="006011AF"/>
    <w:rsid w:val="00601447"/>
    <w:rsid w:val="0060155A"/>
    <w:rsid w:val="006017A6"/>
    <w:rsid w:val="00601FAA"/>
    <w:rsid w:val="00602204"/>
    <w:rsid w:val="0060228B"/>
    <w:rsid w:val="00602AC1"/>
    <w:rsid w:val="00602CA4"/>
    <w:rsid w:val="00602CBD"/>
    <w:rsid w:val="00602D5C"/>
    <w:rsid w:val="00603B8B"/>
    <w:rsid w:val="00604814"/>
    <w:rsid w:val="00605070"/>
    <w:rsid w:val="00605311"/>
    <w:rsid w:val="00605F07"/>
    <w:rsid w:val="006060FE"/>
    <w:rsid w:val="0060622B"/>
    <w:rsid w:val="00606242"/>
    <w:rsid w:val="00610069"/>
    <w:rsid w:val="006101A2"/>
    <w:rsid w:val="0061067C"/>
    <w:rsid w:val="00611242"/>
    <w:rsid w:val="00611478"/>
    <w:rsid w:val="006117B0"/>
    <w:rsid w:val="006128EA"/>
    <w:rsid w:val="0061294A"/>
    <w:rsid w:val="00612DDE"/>
    <w:rsid w:val="00612FD6"/>
    <w:rsid w:val="006145A8"/>
    <w:rsid w:val="006162BD"/>
    <w:rsid w:val="00616813"/>
    <w:rsid w:val="006169ED"/>
    <w:rsid w:val="00617359"/>
    <w:rsid w:val="006208CE"/>
    <w:rsid w:val="00621519"/>
    <w:rsid w:val="0062193C"/>
    <w:rsid w:val="00621C89"/>
    <w:rsid w:val="0062240B"/>
    <w:rsid w:val="00622432"/>
    <w:rsid w:val="006237DE"/>
    <w:rsid w:val="00623AEA"/>
    <w:rsid w:val="00623D56"/>
    <w:rsid w:val="00624097"/>
    <w:rsid w:val="0062425D"/>
    <w:rsid w:val="00624D6E"/>
    <w:rsid w:val="00624DF2"/>
    <w:rsid w:val="00625400"/>
    <w:rsid w:val="00625B0D"/>
    <w:rsid w:val="00625B5B"/>
    <w:rsid w:val="00626883"/>
    <w:rsid w:val="00626A5F"/>
    <w:rsid w:val="00626E05"/>
    <w:rsid w:val="00626E8B"/>
    <w:rsid w:val="0062725D"/>
    <w:rsid w:val="00630635"/>
    <w:rsid w:val="00630C20"/>
    <w:rsid w:val="00630F17"/>
    <w:rsid w:val="00631308"/>
    <w:rsid w:val="006314B1"/>
    <w:rsid w:val="00631A2C"/>
    <w:rsid w:val="00631A6E"/>
    <w:rsid w:val="00631B09"/>
    <w:rsid w:val="00631B64"/>
    <w:rsid w:val="0063229D"/>
    <w:rsid w:val="006324F9"/>
    <w:rsid w:val="0063278B"/>
    <w:rsid w:val="006328AE"/>
    <w:rsid w:val="00633077"/>
    <w:rsid w:val="006335DD"/>
    <w:rsid w:val="006346B7"/>
    <w:rsid w:val="00634E29"/>
    <w:rsid w:val="00635284"/>
    <w:rsid w:val="0063561B"/>
    <w:rsid w:val="00636003"/>
    <w:rsid w:val="00636DDB"/>
    <w:rsid w:val="0063765C"/>
    <w:rsid w:val="0064017B"/>
    <w:rsid w:val="00640564"/>
    <w:rsid w:val="00640AE1"/>
    <w:rsid w:val="00640F8F"/>
    <w:rsid w:val="00641660"/>
    <w:rsid w:val="00641995"/>
    <w:rsid w:val="00641A5B"/>
    <w:rsid w:val="006420D8"/>
    <w:rsid w:val="00642CDE"/>
    <w:rsid w:val="006432B7"/>
    <w:rsid w:val="00643B96"/>
    <w:rsid w:val="0064444A"/>
    <w:rsid w:val="00644D0A"/>
    <w:rsid w:val="00644D99"/>
    <w:rsid w:val="0064573A"/>
    <w:rsid w:val="006459D3"/>
    <w:rsid w:val="00645B03"/>
    <w:rsid w:val="00645C49"/>
    <w:rsid w:val="00645EE5"/>
    <w:rsid w:val="00645F39"/>
    <w:rsid w:val="00646091"/>
    <w:rsid w:val="006464E1"/>
    <w:rsid w:val="00647260"/>
    <w:rsid w:val="0064794F"/>
    <w:rsid w:val="00647F4F"/>
    <w:rsid w:val="0065054A"/>
    <w:rsid w:val="0065110B"/>
    <w:rsid w:val="00651122"/>
    <w:rsid w:val="0065159D"/>
    <w:rsid w:val="006516D9"/>
    <w:rsid w:val="0065196D"/>
    <w:rsid w:val="00651B36"/>
    <w:rsid w:val="0065282C"/>
    <w:rsid w:val="0065302A"/>
    <w:rsid w:val="0065314B"/>
    <w:rsid w:val="0065346B"/>
    <w:rsid w:val="00653578"/>
    <w:rsid w:val="0065377F"/>
    <w:rsid w:val="00654377"/>
    <w:rsid w:val="006565DA"/>
    <w:rsid w:val="006571C5"/>
    <w:rsid w:val="0066005F"/>
    <w:rsid w:val="006606A6"/>
    <w:rsid w:val="00660F8C"/>
    <w:rsid w:val="0066104D"/>
    <w:rsid w:val="006610B1"/>
    <w:rsid w:val="00663164"/>
    <w:rsid w:val="006639AF"/>
    <w:rsid w:val="00664837"/>
    <w:rsid w:val="0066489F"/>
    <w:rsid w:val="00664D3F"/>
    <w:rsid w:val="00665A30"/>
    <w:rsid w:val="00665F36"/>
    <w:rsid w:val="0066617A"/>
    <w:rsid w:val="006661B2"/>
    <w:rsid w:val="00666CDC"/>
    <w:rsid w:val="00667C7B"/>
    <w:rsid w:val="00670134"/>
    <w:rsid w:val="006707A2"/>
    <w:rsid w:val="0067091B"/>
    <w:rsid w:val="00670CD9"/>
    <w:rsid w:val="00671608"/>
    <w:rsid w:val="006718FF"/>
    <w:rsid w:val="00671CF7"/>
    <w:rsid w:val="006720E6"/>
    <w:rsid w:val="00672293"/>
    <w:rsid w:val="006722C0"/>
    <w:rsid w:val="00672B76"/>
    <w:rsid w:val="00672E51"/>
    <w:rsid w:val="00673090"/>
    <w:rsid w:val="00673115"/>
    <w:rsid w:val="00673755"/>
    <w:rsid w:val="006737F3"/>
    <w:rsid w:val="00673DFA"/>
    <w:rsid w:val="00673DFC"/>
    <w:rsid w:val="006745DD"/>
    <w:rsid w:val="00675642"/>
    <w:rsid w:val="006758FB"/>
    <w:rsid w:val="00675A5A"/>
    <w:rsid w:val="00675F28"/>
    <w:rsid w:val="00676554"/>
    <w:rsid w:val="00676AAD"/>
    <w:rsid w:val="00676D72"/>
    <w:rsid w:val="00676ED5"/>
    <w:rsid w:val="006774E9"/>
    <w:rsid w:val="00677FE7"/>
    <w:rsid w:val="0068013C"/>
    <w:rsid w:val="00680286"/>
    <w:rsid w:val="006808B0"/>
    <w:rsid w:val="00680AED"/>
    <w:rsid w:val="00681960"/>
    <w:rsid w:val="006819D3"/>
    <w:rsid w:val="0068204A"/>
    <w:rsid w:val="0068211C"/>
    <w:rsid w:val="006825BD"/>
    <w:rsid w:val="006839C9"/>
    <w:rsid w:val="00683C35"/>
    <w:rsid w:val="00683FA8"/>
    <w:rsid w:val="00684482"/>
    <w:rsid w:val="00684CED"/>
    <w:rsid w:val="00684DB7"/>
    <w:rsid w:val="006851B1"/>
    <w:rsid w:val="00685E68"/>
    <w:rsid w:val="00685FC2"/>
    <w:rsid w:val="006860BA"/>
    <w:rsid w:val="00686262"/>
    <w:rsid w:val="0068632B"/>
    <w:rsid w:val="00687239"/>
    <w:rsid w:val="006878E0"/>
    <w:rsid w:val="00687FB5"/>
    <w:rsid w:val="006900F1"/>
    <w:rsid w:val="0069066D"/>
    <w:rsid w:val="0069071F"/>
    <w:rsid w:val="00690729"/>
    <w:rsid w:val="00690867"/>
    <w:rsid w:val="00690B2A"/>
    <w:rsid w:val="00690C12"/>
    <w:rsid w:val="0069125F"/>
    <w:rsid w:val="006916F6"/>
    <w:rsid w:val="0069181F"/>
    <w:rsid w:val="00692033"/>
    <w:rsid w:val="0069207F"/>
    <w:rsid w:val="00692AF4"/>
    <w:rsid w:val="0069300C"/>
    <w:rsid w:val="00693222"/>
    <w:rsid w:val="006934BD"/>
    <w:rsid w:val="00693BF0"/>
    <w:rsid w:val="00693C22"/>
    <w:rsid w:val="006942C1"/>
    <w:rsid w:val="00694E82"/>
    <w:rsid w:val="00695B1E"/>
    <w:rsid w:val="00695E85"/>
    <w:rsid w:val="00695E95"/>
    <w:rsid w:val="00696974"/>
    <w:rsid w:val="006971F7"/>
    <w:rsid w:val="006976FF"/>
    <w:rsid w:val="0069781E"/>
    <w:rsid w:val="006A0106"/>
    <w:rsid w:val="006A0D75"/>
    <w:rsid w:val="006A1524"/>
    <w:rsid w:val="006A198F"/>
    <w:rsid w:val="006A22DD"/>
    <w:rsid w:val="006A232B"/>
    <w:rsid w:val="006A2344"/>
    <w:rsid w:val="006A2434"/>
    <w:rsid w:val="006A2A36"/>
    <w:rsid w:val="006A2E63"/>
    <w:rsid w:val="006A3158"/>
    <w:rsid w:val="006A338E"/>
    <w:rsid w:val="006A37CC"/>
    <w:rsid w:val="006A3933"/>
    <w:rsid w:val="006A412B"/>
    <w:rsid w:val="006A434E"/>
    <w:rsid w:val="006A45B6"/>
    <w:rsid w:val="006A4AC3"/>
    <w:rsid w:val="006A5050"/>
    <w:rsid w:val="006A5423"/>
    <w:rsid w:val="006A5424"/>
    <w:rsid w:val="006A5592"/>
    <w:rsid w:val="006A5885"/>
    <w:rsid w:val="006A618E"/>
    <w:rsid w:val="006A6E81"/>
    <w:rsid w:val="006A6E8C"/>
    <w:rsid w:val="006A72F3"/>
    <w:rsid w:val="006A7C81"/>
    <w:rsid w:val="006B07C7"/>
    <w:rsid w:val="006B150F"/>
    <w:rsid w:val="006B1799"/>
    <w:rsid w:val="006B1DF5"/>
    <w:rsid w:val="006B1E2C"/>
    <w:rsid w:val="006B23E3"/>
    <w:rsid w:val="006B27DE"/>
    <w:rsid w:val="006B29E5"/>
    <w:rsid w:val="006B2E92"/>
    <w:rsid w:val="006B30C7"/>
    <w:rsid w:val="006B3759"/>
    <w:rsid w:val="006B3876"/>
    <w:rsid w:val="006B38E1"/>
    <w:rsid w:val="006B3F94"/>
    <w:rsid w:val="006B45E8"/>
    <w:rsid w:val="006B4A4C"/>
    <w:rsid w:val="006B4F0E"/>
    <w:rsid w:val="006B5009"/>
    <w:rsid w:val="006B51CB"/>
    <w:rsid w:val="006B5C6B"/>
    <w:rsid w:val="006B60DC"/>
    <w:rsid w:val="006B6228"/>
    <w:rsid w:val="006B6267"/>
    <w:rsid w:val="006B62F9"/>
    <w:rsid w:val="006B634F"/>
    <w:rsid w:val="006B6627"/>
    <w:rsid w:val="006B6A96"/>
    <w:rsid w:val="006B762C"/>
    <w:rsid w:val="006C0683"/>
    <w:rsid w:val="006C093E"/>
    <w:rsid w:val="006C09FF"/>
    <w:rsid w:val="006C0B0C"/>
    <w:rsid w:val="006C0DAA"/>
    <w:rsid w:val="006C0ED3"/>
    <w:rsid w:val="006C1657"/>
    <w:rsid w:val="006C1790"/>
    <w:rsid w:val="006C210F"/>
    <w:rsid w:val="006C320E"/>
    <w:rsid w:val="006C554D"/>
    <w:rsid w:val="006C5C07"/>
    <w:rsid w:val="006C626E"/>
    <w:rsid w:val="006C6753"/>
    <w:rsid w:val="006C67FA"/>
    <w:rsid w:val="006C6BB7"/>
    <w:rsid w:val="006D0C95"/>
    <w:rsid w:val="006D0D69"/>
    <w:rsid w:val="006D0DA5"/>
    <w:rsid w:val="006D132F"/>
    <w:rsid w:val="006D1569"/>
    <w:rsid w:val="006D1978"/>
    <w:rsid w:val="006D2383"/>
    <w:rsid w:val="006D23C0"/>
    <w:rsid w:val="006D253D"/>
    <w:rsid w:val="006D26D8"/>
    <w:rsid w:val="006D2DCB"/>
    <w:rsid w:val="006D2EB5"/>
    <w:rsid w:val="006D3469"/>
    <w:rsid w:val="006D3AC9"/>
    <w:rsid w:val="006D3CC1"/>
    <w:rsid w:val="006D3D61"/>
    <w:rsid w:val="006D42FF"/>
    <w:rsid w:val="006D4CBE"/>
    <w:rsid w:val="006D4D79"/>
    <w:rsid w:val="006D4FE5"/>
    <w:rsid w:val="006D5CCB"/>
    <w:rsid w:val="006D60C3"/>
    <w:rsid w:val="006D691A"/>
    <w:rsid w:val="006D6B73"/>
    <w:rsid w:val="006D6E28"/>
    <w:rsid w:val="006D76B5"/>
    <w:rsid w:val="006D7871"/>
    <w:rsid w:val="006D78F2"/>
    <w:rsid w:val="006D7EC5"/>
    <w:rsid w:val="006E0823"/>
    <w:rsid w:val="006E0861"/>
    <w:rsid w:val="006E1022"/>
    <w:rsid w:val="006E23C8"/>
    <w:rsid w:val="006E2940"/>
    <w:rsid w:val="006E31F2"/>
    <w:rsid w:val="006E31FB"/>
    <w:rsid w:val="006E3614"/>
    <w:rsid w:val="006E4345"/>
    <w:rsid w:val="006E4EEA"/>
    <w:rsid w:val="006E4F12"/>
    <w:rsid w:val="006E5232"/>
    <w:rsid w:val="006E6303"/>
    <w:rsid w:val="006E6376"/>
    <w:rsid w:val="006E656A"/>
    <w:rsid w:val="006E667D"/>
    <w:rsid w:val="006E687E"/>
    <w:rsid w:val="006E7A60"/>
    <w:rsid w:val="006E7AD6"/>
    <w:rsid w:val="006F1471"/>
    <w:rsid w:val="006F1477"/>
    <w:rsid w:val="006F1565"/>
    <w:rsid w:val="006F17B3"/>
    <w:rsid w:val="006F1897"/>
    <w:rsid w:val="006F1DE0"/>
    <w:rsid w:val="006F22AB"/>
    <w:rsid w:val="006F2C96"/>
    <w:rsid w:val="006F2D8A"/>
    <w:rsid w:val="006F345F"/>
    <w:rsid w:val="006F369A"/>
    <w:rsid w:val="006F3716"/>
    <w:rsid w:val="006F3C24"/>
    <w:rsid w:val="006F3D06"/>
    <w:rsid w:val="006F3D95"/>
    <w:rsid w:val="006F4DBB"/>
    <w:rsid w:val="006F5562"/>
    <w:rsid w:val="006F5635"/>
    <w:rsid w:val="006F6322"/>
    <w:rsid w:val="006F6B91"/>
    <w:rsid w:val="006F7C95"/>
    <w:rsid w:val="006F7EA7"/>
    <w:rsid w:val="006F7FA3"/>
    <w:rsid w:val="00700B62"/>
    <w:rsid w:val="00700D20"/>
    <w:rsid w:val="007018B0"/>
    <w:rsid w:val="00701912"/>
    <w:rsid w:val="0070201D"/>
    <w:rsid w:val="00702BA6"/>
    <w:rsid w:val="00702CFF"/>
    <w:rsid w:val="00702D44"/>
    <w:rsid w:val="00702ED7"/>
    <w:rsid w:val="00702EFE"/>
    <w:rsid w:val="007036C7"/>
    <w:rsid w:val="00703FD9"/>
    <w:rsid w:val="007048F0"/>
    <w:rsid w:val="00705018"/>
    <w:rsid w:val="00705E10"/>
    <w:rsid w:val="00706A82"/>
    <w:rsid w:val="00706AB6"/>
    <w:rsid w:val="00706D2D"/>
    <w:rsid w:val="00706DAC"/>
    <w:rsid w:val="007070AD"/>
    <w:rsid w:val="00707384"/>
    <w:rsid w:val="00707C90"/>
    <w:rsid w:val="007101E0"/>
    <w:rsid w:val="0071289D"/>
    <w:rsid w:val="00713506"/>
    <w:rsid w:val="00713645"/>
    <w:rsid w:val="007147EC"/>
    <w:rsid w:val="00714B42"/>
    <w:rsid w:val="00716105"/>
    <w:rsid w:val="00716181"/>
    <w:rsid w:val="007164E6"/>
    <w:rsid w:val="007165E0"/>
    <w:rsid w:val="00716876"/>
    <w:rsid w:val="007168AB"/>
    <w:rsid w:val="00716EBA"/>
    <w:rsid w:val="007176BF"/>
    <w:rsid w:val="00717AB4"/>
    <w:rsid w:val="00717B0F"/>
    <w:rsid w:val="00717F05"/>
    <w:rsid w:val="00720230"/>
    <w:rsid w:val="0072047E"/>
    <w:rsid w:val="0072153B"/>
    <w:rsid w:val="00721A40"/>
    <w:rsid w:val="00722DDF"/>
    <w:rsid w:val="00723E15"/>
    <w:rsid w:val="007247AF"/>
    <w:rsid w:val="00725220"/>
    <w:rsid w:val="00725918"/>
    <w:rsid w:val="00726254"/>
    <w:rsid w:val="00726668"/>
    <w:rsid w:val="00726D77"/>
    <w:rsid w:val="00726F52"/>
    <w:rsid w:val="007276A4"/>
    <w:rsid w:val="00727D02"/>
    <w:rsid w:val="00727DDC"/>
    <w:rsid w:val="00730E4D"/>
    <w:rsid w:val="00731A90"/>
    <w:rsid w:val="007320A3"/>
    <w:rsid w:val="007323C2"/>
    <w:rsid w:val="00732448"/>
    <w:rsid w:val="00732752"/>
    <w:rsid w:val="00732CE8"/>
    <w:rsid w:val="007336C8"/>
    <w:rsid w:val="007347D6"/>
    <w:rsid w:val="007348E6"/>
    <w:rsid w:val="0073550C"/>
    <w:rsid w:val="00735AB9"/>
    <w:rsid w:val="00735B41"/>
    <w:rsid w:val="00735EA3"/>
    <w:rsid w:val="00736079"/>
    <w:rsid w:val="007365A3"/>
    <w:rsid w:val="007367BF"/>
    <w:rsid w:val="007368F2"/>
    <w:rsid w:val="00736CB5"/>
    <w:rsid w:val="00736DBB"/>
    <w:rsid w:val="007408B7"/>
    <w:rsid w:val="007410A8"/>
    <w:rsid w:val="0074144D"/>
    <w:rsid w:val="007414EE"/>
    <w:rsid w:val="00741CF7"/>
    <w:rsid w:val="00741FB5"/>
    <w:rsid w:val="00741FFC"/>
    <w:rsid w:val="0074241F"/>
    <w:rsid w:val="00742574"/>
    <w:rsid w:val="007427A0"/>
    <w:rsid w:val="007427B6"/>
    <w:rsid w:val="00742837"/>
    <w:rsid w:val="0074318F"/>
    <w:rsid w:val="007433EF"/>
    <w:rsid w:val="007437A3"/>
    <w:rsid w:val="007441EC"/>
    <w:rsid w:val="0074428A"/>
    <w:rsid w:val="00744DBF"/>
    <w:rsid w:val="0074581E"/>
    <w:rsid w:val="0074582D"/>
    <w:rsid w:val="00746346"/>
    <w:rsid w:val="007464AC"/>
    <w:rsid w:val="00746876"/>
    <w:rsid w:val="00746908"/>
    <w:rsid w:val="0074693A"/>
    <w:rsid w:val="00746D66"/>
    <w:rsid w:val="00746F28"/>
    <w:rsid w:val="00747821"/>
    <w:rsid w:val="0074784F"/>
    <w:rsid w:val="007502DB"/>
    <w:rsid w:val="0075062D"/>
    <w:rsid w:val="00750C82"/>
    <w:rsid w:val="00750F61"/>
    <w:rsid w:val="00750F98"/>
    <w:rsid w:val="00751092"/>
    <w:rsid w:val="00751379"/>
    <w:rsid w:val="00751DE6"/>
    <w:rsid w:val="00752095"/>
    <w:rsid w:val="0075216C"/>
    <w:rsid w:val="0075276B"/>
    <w:rsid w:val="007527C8"/>
    <w:rsid w:val="0075344B"/>
    <w:rsid w:val="00754CEF"/>
    <w:rsid w:val="0075506E"/>
    <w:rsid w:val="00755329"/>
    <w:rsid w:val="007553C0"/>
    <w:rsid w:val="00755D7F"/>
    <w:rsid w:val="007561A6"/>
    <w:rsid w:val="00756AC3"/>
    <w:rsid w:val="00757648"/>
    <w:rsid w:val="00757A14"/>
    <w:rsid w:val="007601C5"/>
    <w:rsid w:val="007602C1"/>
    <w:rsid w:val="0076068C"/>
    <w:rsid w:val="00760752"/>
    <w:rsid w:val="00760900"/>
    <w:rsid w:val="00760DF4"/>
    <w:rsid w:val="00761088"/>
    <w:rsid w:val="0076141A"/>
    <w:rsid w:val="00761A07"/>
    <w:rsid w:val="00761A63"/>
    <w:rsid w:val="0076279A"/>
    <w:rsid w:val="007629C9"/>
    <w:rsid w:val="007629DC"/>
    <w:rsid w:val="007635BC"/>
    <w:rsid w:val="007637EF"/>
    <w:rsid w:val="00763976"/>
    <w:rsid w:val="00763A8D"/>
    <w:rsid w:val="00763DB3"/>
    <w:rsid w:val="00763E6D"/>
    <w:rsid w:val="0076554F"/>
    <w:rsid w:val="00765614"/>
    <w:rsid w:val="0076656D"/>
    <w:rsid w:val="007665C8"/>
    <w:rsid w:val="007665D5"/>
    <w:rsid w:val="00766CE1"/>
    <w:rsid w:val="00766F42"/>
    <w:rsid w:val="00766F72"/>
    <w:rsid w:val="00767195"/>
    <w:rsid w:val="00767957"/>
    <w:rsid w:val="00770A96"/>
    <w:rsid w:val="00771061"/>
    <w:rsid w:val="0077138D"/>
    <w:rsid w:val="00771764"/>
    <w:rsid w:val="0077181E"/>
    <w:rsid w:val="00771A63"/>
    <w:rsid w:val="00771F25"/>
    <w:rsid w:val="007720BF"/>
    <w:rsid w:val="007726FB"/>
    <w:rsid w:val="0077273E"/>
    <w:rsid w:val="00773B3C"/>
    <w:rsid w:val="00773D8F"/>
    <w:rsid w:val="007742C1"/>
    <w:rsid w:val="0077435C"/>
    <w:rsid w:val="00774CDC"/>
    <w:rsid w:val="00775725"/>
    <w:rsid w:val="007757B1"/>
    <w:rsid w:val="00775A56"/>
    <w:rsid w:val="00775A87"/>
    <w:rsid w:val="00776462"/>
    <w:rsid w:val="0077694E"/>
    <w:rsid w:val="00776C4D"/>
    <w:rsid w:val="00777871"/>
    <w:rsid w:val="007778BF"/>
    <w:rsid w:val="00777C09"/>
    <w:rsid w:val="00777CB6"/>
    <w:rsid w:val="00780248"/>
    <w:rsid w:val="007809CE"/>
    <w:rsid w:val="007814C7"/>
    <w:rsid w:val="007819EF"/>
    <w:rsid w:val="00781D49"/>
    <w:rsid w:val="00782264"/>
    <w:rsid w:val="00782882"/>
    <w:rsid w:val="007835D5"/>
    <w:rsid w:val="00783626"/>
    <w:rsid w:val="00783BA9"/>
    <w:rsid w:val="00783D25"/>
    <w:rsid w:val="0078435A"/>
    <w:rsid w:val="00784FD5"/>
    <w:rsid w:val="0078526D"/>
    <w:rsid w:val="00785AB3"/>
    <w:rsid w:val="00785B2C"/>
    <w:rsid w:val="007860EA"/>
    <w:rsid w:val="0078611E"/>
    <w:rsid w:val="00786493"/>
    <w:rsid w:val="00786C34"/>
    <w:rsid w:val="00790A66"/>
    <w:rsid w:val="00791397"/>
    <w:rsid w:val="0079146C"/>
    <w:rsid w:val="007921B4"/>
    <w:rsid w:val="00792E16"/>
    <w:rsid w:val="007931FD"/>
    <w:rsid w:val="00793BD4"/>
    <w:rsid w:val="00794AE2"/>
    <w:rsid w:val="00794BF1"/>
    <w:rsid w:val="00794E90"/>
    <w:rsid w:val="00795432"/>
    <w:rsid w:val="00795755"/>
    <w:rsid w:val="00795B93"/>
    <w:rsid w:val="00795CC5"/>
    <w:rsid w:val="00795D0F"/>
    <w:rsid w:val="00795D28"/>
    <w:rsid w:val="007961E3"/>
    <w:rsid w:val="00796483"/>
    <w:rsid w:val="00796AC4"/>
    <w:rsid w:val="00796B16"/>
    <w:rsid w:val="007972FF"/>
    <w:rsid w:val="0079745C"/>
    <w:rsid w:val="00797CCB"/>
    <w:rsid w:val="00797FDA"/>
    <w:rsid w:val="007A0641"/>
    <w:rsid w:val="007A06D7"/>
    <w:rsid w:val="007A0A94"/>
    <w:rsid w:val="007A0CFA"/>
    <w:rsid w:val="007A11B0"/>
    <w:rsid w:val="007A11E9"/>
    <w:rsid w:val="007A171C"/>
    <w:rsid w:val="007A1C03"/>
    <w:rsid w:val="007A1E28"/>
    <w:rsid w:val="007A2D10"/>
    <w:rsid w:val="007A3401"/>
    <w:rsid w:val="007A3BB2"/>
    <w:rsid w:val="007A3EF6"/>
    <w:rsid w:val="007A40C0"/>
    <w:rsid w:val="007A4C33"/>
    <w:rsid w:val="007A51B9"/>
    <w:rsid w:val="007A5635"/>
    <w:rsid w:val="007A58D3"/>
    <w:rsid w:val="007A628D"/>
    <w:rsid w:val="007A6403"/>
    <w:rsid w:val="007A6FEF"/>
    <w:rsid w:val="007A746F"/>
    <w:rsid w:val="007A76ED"/>
    <w:rsid w:val="007A7B7E"/>
    <w:rsid w:val="007B04E6"/>
    <w:rsid w:val="007B0A06"/>
    <w:rsid w:val="007B1969"/>
    <w:rsid w:val="007B1B74"/>
    <w:rsid w:val="007B1B8D"/>
    <w:rsid w:val="007B1C1B"/>
    <w:rsid w:val="007B1C28"/>
    <w:rsid w:val="007B224F"/>
    <w:rsid w:val="007B23C6"/>
    <w:rsid w:val="007B23D9"/>
    <w:rsid w:val="007B2AFE"/>
    <w:rsid w:val="007B2CAC"/>
    <w:rsid w:val="007B31EC"/>
    <w:rsid w:val="007B3566"/>
    <w:rsid w:val="007B3ECE"/>
    <w:rsid w:val="007B402C"/>
    <w:rsid w:val="007B439B"/>
    <w:rsid w:val="007B4B9E"/>
    <w:rsid w:val="007B4E31"/>
    <w:rsid w:val="007B5C3F"/>
    <w:rsid w:val="007B5EDE"/>
    <w:rsid w:val="007B60B7"/>
    <w:rsid w:val="007B6654"/>
    <w:rsid w:val="007B6EF9"/>
    <w:rsid w:val="007B745A"/>
    <w:rsid w:val="007B7527"/>
    <w:rsid w:val="007B78D6"/>
    <w:rsid w:val="007C07FE"/>
    <w:rsid w:val="007C081E"/>
    <w:rsid w:val="007C0DD8"/>
    <w:rsid w:val="007C1472"/>
    <w:rsid w:val="007C1A44"/>
    <w:rsid w:val="007C1E34"/>
    <w:rsid w:val="007C27EB"/>
    <w:rsid w:val="007C2991"/>
    <w:rsid w:val="007C29F6"/>
    <w:rsid w:val="007C2FD6"/>
    <w:rsid w:val="007C2FE5"/>
    <w:rsid w:val="007C3C3B"/>
    <w:rsid w:val="007C3D75"/>
    <w:rsid w:val="007C41BA"/>
    <w:rsid w:val="007C4337"/>
    <w:rsid w:val="007C4707"/>
    <w:rsid w:val="007C4912"/>
    <w:rsid w:val="007C4F91"/>
    <w:rsid w:val="007C4FE2"/>
    <w:rsid w:val="007C5695"/>
    <w:rsid w:val="007C5E2F"/>
    <w:rsid w:val="007C67C3"/>
    <w:rsid w:val="007C67EF"/>
    <w:rsid w:val="007C7033"/>
    <w:rsid w:val="007C757F"/>
    <w:rsid w:val="007C7814"/>
    <w:rsid w:val="007D0D7E"/>
    <w:rsid w:val="007D13FA"/>
    <w:rsid w:val="007D1591"/>
    <w:rsid w:val="007D17EC"/>
    <w:rsid w:val="007D1823"/>
    <w:rsid w:val="007D20CB"/>
    <w:rsid w:val="007D29CF"/>
    <w:rsid w:val="007D31D3"/>
    <w:rsid w:val="007D353F"/>
    <w:rsid w:val="007D3E2C"/>
    <w:rsid w:val="007D41C0"/>
    <w:rsid w:val="007D4988"/>
    <w:rsid w:val="007D4EF8"/>
    <w:rsid w:val="007D5010"/>
    <w:rsid w:val="007D5219"/>
    <w:rsid w:val="007D5C9B"/>
    <w:rsid w:val="007D5E09"/>
    <w:rsid w:val="007D5E1E"/>
    <w:rsid w:val="007D60F6"/>
    <w:rsid w:val="007D64C2"/>
    <w:rsid w:val="007D71E4"/>
    <w:rsid w:val="007D74A2"/>
    <w:rsid w:val="007D75F9"/>
    <w:rsid w:val="007D7884"/>
    <w:rsid w:val="007D78BB"/>
    <w:rsid w:val="007D7EB4"/>
    <w:rsid w:val="007E0096"/>
    <w:rsid w:val="007E07B5"/>
    <w:rsid w:val="007E0E06"/>
    <w:rsid w:val="007E143C"/>
    <w:rsid w:val="007E1D70"/>
    <w:rsid w:val="007E24AE"/>
    <w:rsid w:val="007E2501"/>
    <w:rsid w:val="007E28BF"/>
    <w:rsid w:val="007E381B"/>
    <w:rsid w:val="007E42A1"/>
    <w:rsid w:val="007E4414"/>
    <w:rsid w:val="007E6251"/>
    <w:rsid w:val="007E6E7C"/>
    <w:rsid w:val="007E71E6"/>
    <w:rsid w:val="007E7536"/>
    <w:rsid w:val="007E76B3"/>
    <w:rsid w:val="007E793C"/>
    <w:rsid w:val="007F0A5F"/>
    <w:rsid w:val="007F0B99"/>
    <w:rsid w:val="007F114C"/>
    <w:rsid w:val="007F1632"/>
    <w:rsid w:val="007F21D6"/>
    <w:rsid w:val="007F243D"/>
    <w:rsid w:val="007F2B51"/>
    <w:rsid w:val="007F3454"/>
    <w:rsid w:val="007F3826"/>
    <w:rsid w:val="007F3835"/>
    <w:rsid w:val="007F3886"/>
    <w:rsid w:val="007F4A93"/>
    <w:rsid w:val="007F4E3E"/>
    <w:rsid w:val="007F50EB"/>
    <w:rsid w:val="007F55FE"/>
    <w:rsid w:val="007F56D2"/>
    <w:rsid w:val="007F5AA4"/>
    <w:rsid w:val="007F5FF0"/>
    <w:rsid w:val="007F7095"/>
    <w:rsid w:val="007F71A2"/>
    <w:rsid w:val="007F727D"/>
    <w:rsid w:val="007F7392"/>
    <w:rsid w:val="007F79D2"/>
    <w:rsid w:val="007F7BDB"/>
    <w:rsid w:val="007F7E45"/>
    <w:rsid w:val="00800FD2"/>
    <w:rsid w:val="00801470"/>
    <w:rsid w:val="00801FC8"/>
    <w:rsid w:val="00802525"/>
    <w:rsid w:val="00802528"/>
    <w:rsid w:val="008027EE"/>
    <w:rsid w:val="00802EC7"/>
    <w:rsid w:val="008032A3"/>
    <w:rsid w:val="008035AC"/>
    <w:rsid w:val="00803703"/>
    <w:rsid w:val="00804C74"/>
    <w:rsid w:val="00805037"/>
    <w:rsid w:val="0080504C"/>
    <w:rsid w:val="008053EC"/>
    <w:rsid w:val="00805A17"/>
    <w:rsid w:val="00805BE3"/>
    <w:rsid w:val="00805FD3"/>
    <w:rsid w:val="00806576"/>
    <w:rsid w:val="00807A24"/>
    <w:rsid w:val="00807A2F"/>
    <w:rsid w:val="00807A3A"/>
    <w:rsid w:val="00807FA5"/>
    <w:rsid w:val="008102D5"/>
    <w:rsid w:val="0081085F"/>
    <w:rsid w:val="00810977"/>
    <w:rsid w:val="00810C39"/>
    <w:rsid w:val="00810FC0"/>
    <w:rsid w:val="00811EBA"/>
    <w:rsid w:val="00811F5B"/>
    <w:rsid w:val="008121C9"/>
    <w:rsid w:val="00812749"/>
    <w:rsid w:val="00813121"/>
    <w:rsid w:val="008131E3"/>
    <w:rsid w:val="00813600"/>
    <w:rsid w:val="00813B0F"/>
    <w:rsid w:val="00813B20"/>
    <w:rsid w:val="00813B7A"/>
    <w:rsid w:val="00813C5F"/>
    <w:rsid w:val="008148AD"/>
    <w:rsid w:val="00814D39"/>
    <w:rsid w:val="0081531F"/>
    <w:rsid w:val="00815C0D"/>
    <w:rsid w:val="00815FC1"/>
    <w:rsid w:val="0081613E"/>
    <w:rsid w:val="00816F93"/>
    <w:rsid w:val="00817097"/>
    <w:rsid w:val="00817802"/>
    <w:rsid w:val="00817F86"/>
    <w:rsid w:val="00820342"/>
    <w:rsid w:val="00820C0C"/>
    <w:rsid w:val="008210FA"/>
    <w:rsid w:val="0082119F"/>
    <w:rsid w:val="0082152E"/>
    <w:rsid w:val="00821F7E"/>
    <w:rsid w:val="00822066"/>
    <w:rsid w:val="00822C18"/>
    <w:rsid w:val="00822C79"/>
    <w:rsid w:val="0082309A"/>
    <w:rsid w:val="00823EC4"/>
    <w:rsid w:val="00824B37"/>
    <w:rsid w:val="00824EA3"/>
    <w:rsid w:val="00824EFF"/>
    <w:rsid w:val="00825B21"/>
    <w:rsid w:val="008261F2"/>
    <w:rsid w:val="00826744"/>
    <w:rsid w:val="00826A70"/>
    <w:rsid w:val="00831138"/>
    <w:rsid w:val="00831FC3"/>
    <w:rsid w:val="00832850"/>
    <w:rsid w:val="00832A13"/>
    <w:rsid w:val="00832ED1"/>
    <w:rsid w:val="008331A3"/>
    <w:rsid w:val="0083371A"/>
    <w:rsid w:val="00833A2E"/>
    <w:rsid w:val="00833C55"/>
    <w:rsid w:val="00833CB1"/>
    <w:rsid w:val="00834E0C"/>
    <w:rsid w:val="00835A0D"/>
    <w:rsid w:val="00835CBC"/>
    <w:rsid w:val="00835F99"/>
    <w:rsid w:val="0083619E"/>
    <w:rsid w:val="008364A9"/>
    <w:rsid w:val="008377D7"/>
    <w:rsid w:val="00837B1A"/>
    <w:rsid w:val="00837E28"/>
    <w:rsid w:val="008400D2"/>
    <w:rsid w:val="0084082D"/>
    <w:rsid w:val="008419B8"/>
    <w:rsid w:val="00841C3D"/>
    <w:rsid w:val="00841DE4"/>
    <w:rsid w:val="00842AF8"/>
    <w:rsid w:val="00843141"/>
    <w:rsid w:val="0084331B"/>
    <w:rsid w:val="00843580"/>
    <w:rsid w:val="00843DF9"/>
    <w:rsid w:val="00843F7B"/>
    <w:rsid w:val="008444B7"/>
    <w:rsid w:val="008444C8"/>
    <w:rsid w:val="008446CF"/>
    <w:rsid w:val="00844A51"/>
    <w:rsid w:val="008452FA"/>
    <w:rsid w:val="00845A49"/>
    <w:rsid w:val="00845D80"/>
    <w:rsid w:val="0084638E"/>
    <w:rsid w:val="00846700"/>
    <w:rsid w:val="008474A8"/>
    <w:rsid w:val="00847609"/>
    <w:rsid w:val="00847C92"/>
    <w:rsid w:val="00850D2E"/>
    <w:rsid w:val="00851812"/>
    <w:rsid w:val="00851EE0"/>
    <w:rsid w:val="008525EB"/>
    <w:rsid w:val="008526B3"/>
    <w:rsid w:val="00852A12"/>
    <w:rsid w:val="00853585"/>
    <w:rsid w:val="00853C5F"/>
    <w:rsid w:val="0085402E"/>
    <w:rsid w:val="008540A4"/>
    <w:rsid w:val="0085496D"/>
    <w:rsid w:val="0085498F"/>
    <w:rsid w:val="00854B2C"/>
    <w:rsid w:val="008552A7"/>
    <w:rsid w:val="00855411"/>
    <w:rsid w:val="00855811"/>
    <w:rsid w:val="00855D60"/>
    <w:rsid w:val="00855F42"/>
    <w:rsid w:val="00855F54"/>
    <w:rsid w:val="0085632E"/>
    <w:rsid w:val="008564A9"/>
    <w:rsid w:val="00856F2D"/>
    <w:rsid w:val="0085713C"/>
    <w:rsid w:val="00857202"/>
    <w:rsid w:val="00857366"/>
    <w:rsid w:val="008575E4"/>
    <w:rsid w:val="00857B9B"/>
    <w:rsid w:val="00857EBB"/>
    <w:rsid w:val="0086023A"/>
    <w:rsid w:val="00860A77"/>
    <w:rsid w:val="00860D8E"/>
    <w:rsid w:val="00860E62"/>
    <w:rsid w:val="00861C9F"/>
    <w:rsid w:val="00862707"/>
    <w:rsid w:val="0086311E"/>
    <w:rsid w:val="00863182"/>
    <w:rsid w:val="00863306"/>
    <w:rsid w:val="0086339E"/>
    <w:rsid w:val="00863965"/>
    <w:rsid w:val="008639BF"/>
    <w:rsid w:val="00863DE2"/>
    <w:rsid w:val="00864647"/>
    <w:rsid w:val="008650C1"/>
    <w:rsid w:val="008666BE"/>
    <w:rsid w:val="00866758"/>
    <w:rsid w:val="008700B8"/>
    <w:rsid w:val="00870778"/>
    <w:rsid w:val="00870A2B"/>
    <w:rsid w:val="00870B33"/>
    <w:rsid w:val="00870BAB"/>
    <w:rsid w:val="008710FE"/>
    <w:rsid w:val="008711A1"/>
    <w:rsid w:val="008711A8"/>
    <w:rsid w:val="008712EC"/>
    <w:rsid w:val="008719F1"/>
    <w:rsid w:val="00871B24"/>
    <w:rsid w:val="00871EC2"/>
    <w:rsid w:val="0087217A"/>
    <w:rsid w:val="0087270E"/>
    <w:rsid w:val="008727FF"/>
    <w:rsid w:val="00872EF0"/>
    <w:rsid w:val="00873297"/>
    <w:rsid w:val="00873655"/>
    <w:rsid w:val="00873772"/>
    <w:rsid w:val="00875399"/>
    <w:rsid w:val="0087588C"/>
    <w:rsid w:val="008760B0"/>
    <w:rsid w:val="00877768"/>
    <w:rsid w:val="008806DC"/>
    <w:rsid w:val="00880D51"/>
    <w:rsid w:val="00880E76"/>
    <w:rsid w:val="00880FB8"/>
    <w:rsid w:val="008811C3"/>
    <w:rsid w:val="008816DC"/>
    <w:rsid w:val="00881852"/>
    <w:rsid w:val="008823E3"/>
    <w:rsid w:val="00882416"/>
    <w:rsid w:val="008828B8"/>
    <w:rsid w:val="008832EC"/>
    <w:rsid w:val="00883A02"/>
    <w:rsid w:val="00883DF3"/>
    <w:rsid w:val="0088472B"/>
    <w:rsid w:val="00885028"/>
    <w:rsid w:val="00885132"/>
    <w:rsid w:val="00885EBA"/>
    <w:rsid w:val="00886214"/>
    <w:rsid w:val="0088642D"/>
    <w:rsid w:val="00886543"/>
    <w:rsid w:val="008877B5"/>
    <w:rsid w:val="00887CE6"/>
    <w:rsid w:val="00887D56"/>
    <w:rsid w:val="00887DED"/>
    <w:rsid w:val="00887E99"/>
    <w:rsid w:val="008902FB"/>
    <w:rsid w:val="00890366"/>
    <w:rsid w:val="00890BB6"/>
    <w:rsid w:val="00890C14"/>
    <w:rsid w:val="00891485"/>
    <w:rsid w:val="00891577"/>
    <w:rsid w:val="0089194A"/>
    <w:rsid w:val="00891E50"/>
    <w:rsid w:val="008922FD"/>
    <w:rsid w:val="00892E27"/>
    <w:rsid w:val="0089303A"/>
    <w:rsid w:val="008932DC"/>
    <w:rsid w:val="00893331"/>
    <w:rsid w:val="0089376C"/>
    <w:rsid w:val="00893E1D"/>
    <w:rsid w:val="00893EA8"/>
    <w:rsid w:val="008942C1"/>
    <w:rsid w:val="00894640"/>
    <w:rsid w:val="00894EB0"/>
    <w:rsid w:val="00894F68"/>
    <w:rsid w:val="008956BC"/>
    <w:rsid w:val="00895A53"/>
    <w:rsid w:val="00895E04"/>
    <w:rsid w:val="00896798"/>
    <w:rsid w:val="00896A9B"/>
    <w:rsid w:val="00896CCA"/>
    <w:rsid w:val="008974AD"/>
    <w:rsid w:val="008975F8"/>
    <w:rsid w:val="00897B94"/>
    <w:rsid w:val="008A0459"/>
    <w:rsid w:val="008A0C2A"/>
    <w:rsid w:val="008A0D40"/>
    <w:rsid w:val="008A151D"/>
    <w:rsid w:val="008A19E4"/>
    <w:rsid w:val="008A2077"/>
    <w:rsid w:val="008A22BF"/>
    <w:rsid w:val="008A357B"/>
    <w:rsid w:val="008A3C42"/>
    <w:rsid w:val="008A3C5F"/>
    <w:rsid w:val="008A42B4"/>
    <w:rsid w:val="008A44DD"/>
    <w:rsid w:val="008A45BF"/>
    <w:rsid w:val="008A4AEB"/>
    <w:rsid w:val="008A4ED9"/>
    <w:rsid w:val="008A5082"/>
    <w:rsid w:val="008A59EB"/>
    <w:rsid w:val="008A5D41"/>
    <w:rsid w:val="008A608B"/>
    <w:rsid w:val="008A60BB"/>
    <w:rsid w:val="008A667A"/>
    <w:rsid w:val="008A68BB"/>
    <w:rsid w:val="008A69E8"/>
    <w:rsid w:val="008A6B33"/>
    <w:rsid w:val="008A71C1"/>
    <w:rsid w:val="008B003A"/>
    <w:rsid w:val="008B0680"/>
    <w:rsid w:val="008B0876"/>
    <w:rsid w:val="008B0BFE"/>
    <w:rsid w:val="008B0D4D"/>
    <w:rsid w:val="008B159B"/>
    <w:rsid w:val="008B1B56"/>
    <w:rsid w:val="008B252A"/>
    <w:rsid w:val="008B3D48"/>
    <w:rsid w:val="008B3EA0"/>
    <w:rsid w:val="008B43D4"/>
    <w:rsid w:val="008B4568"/>
    <w:rsid w:val="008B4AC4"/>
    <w:rsid w:val="008B5081"/>
    <w:rsid w:val="008B5527"/>
    <w:rsid w:val="008B5BC4"/>
    <w:rsid w:val="008B6805"/>
    <w:rsid w:val="008B69F0"/>
    <w:rsid w:val="008B6C58"/>
    <w:rsid w:val="008B6E91"/>
    <w:rsid w:val="008B6EC0"/>
    <w:rsid w:val="008B7470"/>
    <w:rsid w:val="008B7999"/>
    <w:rsid w:val="008C0FEB"/>
    <w:rsid w:val="008C27E6"/>
    <w:rsid w:val="008C2A04"/>
    <w:rsid w:val="008C350C"/>
    <w:rsid w:val="008C3656"/>
    <w:rsid w:val="008C3A94"/>
    <w:rsid w:val="008C3C57"/>
    <w:rsid w:val="008C3EDC"/>
    <w:rsid w:val="008C4CF8"/>
    <w:rsid w:val="008C51CC"/>
    <w:rsid w:val="008C5F16"/>
    <w:rsid w:val="008C6D7F"/>
    <w:rsid w:val="008C6E29"/>
    <w:rsid w:val="008C7067"/>
    <w:rsid w:val="008C7AB6"/>
    <w:rsid w:val="008D0413"/>
    <w:rsid w:val="008D0AC9"/>
    <w:rsid w:val="008D146B"/>
    <w:rsid w:val="008D1621"/>
    <w:rsid w:val="008D1771"/>
    <w:rsid w:val="008D17C7"/>
    <w:rsid w:val="008D23DD"/>
    <w:rsid w:val="008D2B00"/>
    <w:rsid w:val="008D378C"/>
    <w:rsid w:val="008D416A"/>
    <w:rsid w:val="008D4202"/>
    <w:rsid w:val="008D45DC"/>
    <w:rsid w:val="008D50D1"/>
    <w:rsid w:val="008D51D3"/>
    <w:rsid w:val="008D523D"/>
    <w:rsid w:val="008D61CB"/>
    <w:rsid w:val="008D63A7"/>
    <w:rsid w:val="008D64FC"/>
    <w:rsid w:val="008D6855"/>
    <w:rsid w:val="008D69E0"/>
    <w:rsid w:val="008D6CEB"/>
    <w:rsid w:val="008D7069"/>
    <w:rsid w:val="008D7333"/>
    <w:rsid w:val="008D777D"/>
    <w:rsid w:val="008D7C60"/>
    <w:rsid w:val="008D7CDC"/>
    <w:rsid w:val="008E011B"/>
    <w:rsid w:val="008E0FD0"/>
    <w:rsid w:val="008E138E"/>
    <w:rsid w:val="008E225F"/>
    <w:rsid w:val="008E275C"/>
    <w:rsid w:val="008E2ABA"/>
    <w:rsid w:val="008E2BE1"/>
    <w:rsid w:val="008E3B39"/>
    <w:rsid w:val="008E3EF2"/>
    <w:rsid w:val="008E40E3"/>
    <w:rsid w:val="008E42A5"/>
    <w:rsid w:val="008E6498"/>
    <w:rsid w:val="008E67C3"/>
    <w:rsid w:val="008E6844"/>
    <w:rsid w:val="008E73AE"/>
    <w:rsid w:val="008E787F"/>
    <w:rsid w:val="008E78E1"/>
    <w:rsid w:val="008F07B5"/>
    <w:rsid w:val="008F0B1C"/>
    <w:rsid w:val="008F14C9"/>
    <w:rsid w:val="008F181D"/>
    <w:rsid w:val="008F2057"/>
    <w:rsid w:val="008F2376"/>
    <w:rsid w:val="008F2819"/>
    <w:rsid w:val="008F2E3D"/>
    <w:rsid w:val="008F2FC1"/>
    <w:rsid w:val="008F3735"/>
    <w:rsid w:val="008F39AB"/>
    <w:rsid w:val="008F4310"/>
    <w:rsid w:val="008F452B"/>
    <w:rsid w:val="008F45BE"/>
    <w:rsid w:val="008F47F1"/>
    <w:rsid w:val="008F4F5A"/>
    <w:rsid w:val="008F5161"/>
    <w:rsid w:val="008F5EEC"/>
    <w:rsid w:val="008F60C6"/>
    <w:rsid w:val="008F726B"/>
    <w:rsid w:val="008F7984"/>
    <w:rsid w:val="008F7D98"/>
    <w:rsid w:val="00900C02"/>
    <w:rsid w:val="009017A6"/>
    <w:rsid w:val="00901860"/>
    <w:rsid w:val="00901C89"/>
    <w:rsid w:val="009027AA"/>
    <w:rsid w:val="009027CF"/>
    <w:rsid w:val="009028C9"/>
    <w:rsid w:val="00902D27"/>
    <w:rsid w:val="00902DE3"/>
    <w:rsid w:val="009031BA"/>
    <w:rsid w:val="00904618"/>
    <w:rsid w:val="00904E6C"/>
    <w:rsid w:val="0090544E"/>
    <w:rsid w:val="0090573A"/>
    <w:rsid w:val="00905BF9"/>
    <w:rsid w:val="00905CF8"/>
    <w:rsid w:val="00905D93"/>
    <w:rsid w:val="009061A9"/>
    <w:rsid w:val="00906CB4"/>
    <w:rsid w:val="00907248"/>
    <w:rsid w:val="009076EA"/>
    <w:rsid w:val="009079B5"/>
    <w:rsid w:val="0091095C"/>
    <w:rsid w:val="00911017"/>
    <w:rsid w:val="0091109B"/>
    <w:rsid w:val="00911167"/>
    <w:rsid w:val="009112F1"/>
    <w:rsid w:val="009113E8"/>
    <w:rsid w:val="009115B9"/>
    <w:rsid w:val="00912528"/>
    <w:rsid w:val="00912575"/>
    <w:rsid w:val="0091257B"/>
    <w:rsid w:val="00912C26"/>
    <w:rsid w:val="00913559"/>
    <w:rsid w:val="009144E2"/>
    <w:rsid w:val="00914677"/>
    <w:rsid w:val="0091517F"/>
    <w:rsid w:val="0091590B"/>
    <w:rsid w:val="00915C56"/>
    <w:rsid w:val="00916344"/>
    <w:rsid w:val="0091703F"/>
    <w:rsid w:val="0091749D"/>
    <w:rsid w:val="00917535"/>
    <w:rsid w:val="0091759E"/>
    <w:rsid w:val="009177CC"/>
    <w:rsid w:val="00917806"/>
    <w:rsid w:val="009178BE"/>
    <w:rsid w:val="009178C5"/>
    <w:rsid w:val="0092077C"/>
    <w:rsid w:val="00920CEA"/>
    <w:rsid w:val="00921ED4"/>
    <w:rsid w:val="0092219E"/>
    <w:rsid w:val="0092287D"/>
    <w:rsid w:val="00922E22"/>
    <w:rsid w:val="00923206"/>
    <w:rsid w:val="009237C3"/>
    <w:rsid w:val="009240E2"/>
    <w:rsid w:val="00924294"/>
    <w:rsid w:val="00924A82"/>
    <w:rsid w:val="00925014"/>
    <w:rsid w:val="00925B48"/>
    <w:rsid w:val="00925D48"/>
    <w:rsid w:val="00926E88"/>
    <w:rsid w:val="0092783A"/>
    <w:rsid w:val="009279DF"/>
    <w:rsid w:val="00927B0F"/>
    <w:rsid w:val="00930FCE"/>
    <w:rsid w:val="009315EA"/>
    <w:rsid w:val="0093188B"/>
    <w:rsid w:val="009318A0"/>
    <w:rsid w:val="00931E4D"/>
    <w:rsid w:val="00931F5A"/>
    <w:rsid w:val="00932660"/>
    <w:rsid w:val="00933166"/>
    <w:rsid w:val="009335DC"/>
    <w:rsid w:val="00933D21"/>
    <w:rsid w:val="009344D1"/>
    <w:rsid w:val="0093515F"/>
    <w:rsid w:val="00935275"/>
    <w:rsid w:val="00935439"/>
    <w:rsid w:val="0093563D"/>
    <w:rsid w:val="009358DF"/>
    <w:rsid w:val="0093601E"/>
    <w:rsid w:val="00936AE6"/>
    <w:rsid w:val="00936C19"/>
    <w:rsid w:val="00936C2C"/>
    <w:rsid w:val="00936D37"/>
    <w:rsid w:val="009373A0"/>
    <w:rsid w:val="009378E3"/>
    <w:rsid w:val="00937A3E"/>
    <w:rsid w:val="00937BD7"/>
    <w:rsid w:val="00937EA7"/>
    <w:rsid w:val="00937EBF"/>
    <w:rsid w:val="00941307"/>
    <w:rsid w:val="00941844"/>
    <w:rsid w:val="00941B78"/>
    <w:rsid w:val="00941C02"/>
    <w:rsid w:val="0094273F"/>
    <w:rsid w:val="00942922"/>
    <w:rsid w:val="009429BF"/>
    <w:rsid w:val="00942A60"/>
    <w:rsid w:val="00942C95"/>
    <w:rsid w:val="00942D1D"/>
    <w:rsid w:val="00942E42"/>
    <w:rsid w:val="00943009"/>
    <w:rsid w:val="00943508"/>
    <w:rsid w:val="00943608"/>
    <w:rsid w:val="00944604"/>
    <w:rsid w:val="009449AB"/>
    <w:rsid w:val="00945318"/>
    <w:rsid w:val="00945413"/>
    <w:rsid w:val="00945D1A"/>
    <w:rsid w:val="00945DA3"/>
    <w:rsid w:val="009460B7"/>
    <w:rsid w:val="00946296"/>
    <w:rsid w:val="0094693C"/>
    <w:rsid w:val="00946A69"/>
    <w:rsid w:val="00946B0E"/>
    <w:rsid w:val="00947027"/>
    <w:rsid w:val="00947714"/>
    <w:rsid w:val="00947A9A"/>
    <w:rsid w:val="00947BFF"/>
    <w:rsid w:val="0095018A"/>
    <w:rsid w:val="009503F0"/>
    <w:rsid w:val="009508E1"/>
    <w:rsid w:val="00950D60"/>
    <w:rsid w:val="00950E39"/>
    <w:rsid w:val="00950E8F"/>
    <w:rsid w:val="00950F2E"/>
    <w:rsid w:val="00951321"/>
    <w:rsid w:val="009516F6"/>
    <w:rsid w:val="0095172A"/>
    <w:rsid w:val="00952026"/>
    <w:rsid w:val="009522DD"/>
    <w:rsid w:val="00952B8A"/>
    <w:rsid w:val="00952D26"/>
    <w:rsid w:val="00953135"/>
    <w:rsid w:val="009535DA"/>
    <w:rsid w:val="00953974"/>
    <w:rsid w:val="00953C71"/>
    <w:rsid w:val="0095451F"/>
    <w:rsid w:val="00955AE4"/>
    <w:rsid w:val="00956AE8"/>
    <w:rsid w:val="009574A1"/>
    <w:rsid w:val="009576A7"/>
    <w:rsid w:val="0096023C"/>
    <w:rsid w:val="009603F0"/>
    <w:rsid w:val="009603F3"/>
    <w:rsid w:val="00960610"/>
    <w:rsid w:val="0096193A"/>
    <w:rsid w:val="009626ED"/>
    <w:rsid w:val="009629A8"/>
    <w:rsid w:val="00962DC5"/>
    <w:rsid w:val="009631AE"/>
    <w:rsid w:val="00963310"/>
    <w:rsid w:val="009634E4"/>
    <w:rsid w:val="0096427B"/>
    <w:rsid w:val="0096483A"/>
    <w:rsid w:val="00964F40"/>
    <w:rsid w:val="00965015"/>
    <w:rsid w:val="0096522F"/>
    <w:rsid w:val="0096577C"/>
    <w:rsid w:val="00965FE1"/>
    <w:rsid w:val="009665DC"/>
    <w:rsid w:val="009676B7"/>
    <w:rsid w:val="009676EB"/>
    <w:rsid w:val="009709DC"/>
    <w:rsid w:val="00970D7D"/>
    <w:rsid w:val="00971331"/>
    <w:rsid w:val="0097143B"/>
    <w:rsid w:val="00971757"/>
    <w:rsid w:val="00971D01"/>
    <w:rsid w:val="00972113"/>
    <w:rsid w:val="009723D5"/>
    <w:rsid w:val="00972473"/>
    <w:rsid w:val="0097249A"/>
    <w:rsid w:val="009735F1"/>
    <w:rsid w:val="009736B0"/>
    <w:rsid w:val="009738C7"/>
    <w:rsid w:val="00973935"/>
    <w:rsid w:val="009747E1"/>
    <w:rsid w:val="009748DB"/>
    <w:rsid w:val="00974972"/>
    <w:rsid w:val="00974E84"/>
    <w:rsid w:val="0097536C"/>
    <w:rsid w:val="00975F01"/>
    <w:rsid w:val="0097603E"/>
    <w:rsid w:val="009761E1"/>
    <w:rsid w:val="0097674D"/>
    <w:rsid w:val="0097732C"/>
    <w:rsid w:val="009775FC"/>
    <w:rsid w:val="00977F5F"/>
    <w:rsid w:val="0098048E"/>
    <w:rsid w:val="00980DEC"/>
    <w:rsid w:val="00980E07"/>
    <w:rsid w:val="00980FCE"/>
    <w:rsid w:val="009819F4"/>
    <w:rsid w:val="00981F96"/>
    <w:rsid w:val="0098212E"/>
    <w:rsid w:val="0098238F"/>
    <w:rsid w:val="009827CE"/>
    <w:rsid w:val="00983437"/>
    <w:rsid w:val="009834FD"/>
    <w:rsid w:val="00984A2E"/>
    <w:rsid w:val="00984A7E"/>
    <w:rsid w:val="0098508D"/>
    <w:rsid w:val="00985E3E"/>
    <w:rsid w:val="00986E06"/>
    <w:rsid w:val="00986F19"/>
    <w:rsid w:val="00987213"/>
    <w:rsid w:val="00987271"/>
    <w:rsid w:val="0098792F"/>
    <w:rsid w:val="009901F7"/>
    <w:rsid w:val="00990FA8"/>
    <w:rsid w:val="0099169C"/>
    <w:rsid w:val="009917E4"/>
    <w:rsid w:val="009919EA"/>
    <w:rsid w:val="00991AF0"/>
    <w:rsid w:val="0099214A"/>
    <w:rsid w:val="00992657"/>
    <w:rsid w:val="009927B9"/>
    <w:rsid w:val="0099297A"/>
    <w:rsid w:val="00992E7B"/>
    <w:rsid w:val="00992F11"/>
    <w:rsid w:val="00992FEA"/>
    <w:rsid w:val="00993734"/>
    <w:rsid w:val="00993F02"/>
    <w:rsid w:val="00994024"/>
    <w:rsid w:val="00994139"/>
    <w:rsid w:val="009944B2"/>
    <w:rsid w:val="00995067"/>
    <w:rsid w:val="00995599"/>
    <w:rsid w:val="00995ED8"/>
    <w:rsid w:val="009960EF"/>
    <w:rsid w:val="009968B4"/>
    <w:rsid w:val="00997187"/>
    <w:rsid w:val="009975F6"/>
    <w:rsid w:val="009A0E0E"/>
    <w:rsid w:val="009A0FB3"/>
    <w:rsid w:val="009A104D"/>
    <w:rsid w:val="009A1D69"/>
    <w:rsid w:val="009A2713"/>
    <w:rsid w:val="009A2C81"/>
    <w:rsid w:val="009A2DF7"/>
    <w:rsid w:val="009A466A"/>
    <w:rsid w:val="009A4800"/>
    <w:rsid w:val="009A4832"/>
    <w:rsid w:val="009A4918"/>
    <w:rsid w:val="009A4CDD"/>
    <w:rsid w:val="009A4FC0"/>
    <w:rsid w:val="009A58F7"/>
    <w:rsid w:val="009A6589"/>
    <w:rsid w:val="009A6645"/>
    <w:rsid w:val="009A6AC6"/>
    <w:rsid w:val="009A7244"/>
    <w:rsid w:val="009A755C"/>
    <w:rsid w:val="009A792D"/>
    <w:rsid w:val="009A7A1F"/>
    <w:rsid w:val="009B04FB"/>
    <w:rsid w:val="009B0565"/>
    <w:rsid w:val="009B11E5"/>
    <w:rsid w:val="009B15FC"/>
    <w:rsid w:val="009B1F13"/>
    <w:rsid w:val="009B2112"/>
    <w:rsid w:val="009B23F1"/>
    <w:rsid w:val="009B2793"/>
    <w:rsid w:val="009B2E8E"/>
    <w:rsid w:val="009B3208"/>
    <w:rsid w:val="009B33B0"/>
    <w:rsid w:val="009B33D1"/>
    <w:rsid w:val="009B3548"/>
    <w:rsid w:val="009B4097"/>
    <w:rsid w:val="009B4B39"/>
    <w:rsid w:val="009B4EEE"/>
    <w:rsid w:val="009B4F0B"/>
    <w:rsid w:val="009B4F4E"/>
    <w:rsid w:val="009B5036"/>
    <w:rsid w:val="009B6062"/>
    <w:rsid w:val="009B623F"/>
    <w:rsid w:val="009B70F4"/>
    <w:rsid w:val="009B798E"/>
    <w:rsid w:val="009B7A76"/>
    <w:rsid w:val="009C0430"/>
    <w:rsid w:val="009C0D45"/>
    <w:rsid w:val="009C10C1"/>
    <w:rsid w:val="009C1D82"/>
    <w:rsid w:val="009C1EBF"/>
    <w:rsid w:val="009C21DE"/>
    <w:rsid w:val="009C2AE9"/>
    <w:rsid w:val="009C2EC0"/>
    <w:rsid w:val="009C3BEE"/>
    <w:rsid w:val="009C3CE4"/>
    <w:rsid w:val="009C3EF7"/>
    <w:rsid w:val="009C4379"/>
    <w:rsid w:val="009C4E7F"/>
    <w:rsid w:val="009C5018"/>
    <w:rsid w:val="009C579C"/>
    <w:rsid w:val="009C5EDC"/>
    <w:rsid w:val="009C699B"/>
    <w:rsid w:val="009C6DF1"/>
    <w:rsid w:val="009C7077"/>
    <w:rsid w:val="009C725E"/>
    <w:rsid w:val="009C7C8D"/>
    <w:rsid w:val="009C7D9B"/>
    <w:rsid w:val="009D0209"/>
    <w:rsid w:val="009D0714"/>
    <w:rsid w:val="009D0E56"/>
    <w:rsid w:val="009D1200"/>
    <w:rsid w:val="009D132B"/>
    <w:rsid w:val="009D13EC"/>
    <w:rsid w:val="009D1E3A"/>
    <w:rsid w:val="009D2733"/>
    <w:rsid w:val="009D2861"/>
    <w:rsid w:val="009D2878"/>
    <w:rsid w:val="009D2A2D"/>
    <w:rsid w:val="009D2AC9"/>
    <w:rsid w:val="009D305C"/>
    <w:rsid w:val="009D32FF"/>
    <w:rsid w:val="009D3585"/>
    <w:rsid w:val="009D3868"/>
    <w:rsid w:val="009D3C12"/>
    <w:rsid w:val="009D3C38"/>
    <w:rsid w:val="009D3C5C"/>
    <w:rsid w:val="009D4806"/>
    <w:rsid w:val="009D4A9C"/>
    <w:rsid w:val="009D4DBC"/>
    <w:rsid w:val="009D5288"/>
    <w:rsid w:val="009D5C92"/>
    <w:rsid w:val="009D66DD"/>
    <w:rsid w:val="009D6E83"/>
    <w:rsid w:val="009D7B40"/>
    <w:rsid w:val="009D7CB5"/>
    <w:rsid w:val="009E0A8B"/>
    <w:rsid w:val="009E0AFC"/>
    <w:rsid w:val="009E0BB2"/>
    <w:rsid w:val="009E1C3E"/>
    <w:rsid w:val="009E22CB"/>
    <w:rsid w:val="009E2500"/>
    <w:rsid w:val="009E2BBB"/>
    <w:rsid w:val="009E4ADC"/>
    <w:rsid w:val="009E5234"/>
    <w:rsid w:val="009E5E77"/>
    <w:rsid w:val="009E61A1"/>
    <w:rsid w:val="009E6619"/>
    <w:rsid w:val="009E6CF5"/>
    <w:rsid w:val="009E7528"/>
    <w:rsid w:val="009E7911"/>
    <w:rsid w:val="009E7FD0"/>
    <w:rsid w:val="009E7FE8"/>
    <w:rsid w:val="009F00E5"/>
    <w:rsid w:val="009F0467"/>
    <w:rsid w:val="009F071D"/>
    <w:rsid w:val="009F0E20"/>
    <w:rsid w:val="009F1297"/>
    <w:rsid w:val="009F19DD"/>
    <w:rsid w:val="009F1FAF"/>
    <w:rsid w:val="009F2BC7"/>
    <w:rsid w:val="009F2EA4"/>
    <w:rsid w:val="009F358C"/>
    <w:rsid w:val="009F36E2"/>
    <w:rsid w:val="009F37CA"/>
    <w:rsid w:val="009F3E69"/>
    <w:rsid w:val="009F3F89"/>
    <w:rsid w:val="009F42C0"/>
    <w:rsid w:val="009F445C"/>
    <w:rsid w:val="009F4727"/>
    <w:rsid w:val="009F48DA"/>
    <w:rsid w:val="009F53CE"/>
    <w:rsid w:val="009F5685"/>
    <w:rsid w:val="009F576A"/>
    <w:rsid w:val="009F5906"/>
    <w:rsid w:val="009F5B7E"/>
    <w:rsid w:val="009F5E0B"/>
    <w:rsid w:val="009F6BB7"/>
    <w:rsid w:val="009F6D17"/>
    <w:rsid w:val="009F6F10"/>
    <w:rsid w:val="009F7035"/>
    <w:rsid w:val="009F7B5B"/>
    <w:rsid w:val="009F7DF4"/>
    <w:rsid w:val="00A007B5"/>
    <w:rsid w:val="00A00F6B"/>
    <w:rsid w:val="00A01009"/>
    <w:rsid w:val="00A0103B"/>
    <w:rsid w:val="00A01A80"/>
    <w:rsid w:val="00A01CBB"/>
    <w:rsid w:val="00A01EC3"/>
    <w:rsid w:val="00A020D4"/>
    <w:rsid w:val="00A020E1"/>
    <w:rsid w:val="00A02684"/>
    <w:rsid w:val="00A027DB"/>
    <w:rsid w:val="00A02A8B"/>
    <w:rsid w:val="00A03DDA"/>
    <w:rsid w:val="00A0416B"/>
    <w:rsid w:val="00A04D2A"/>
    <w:rsid w:val="00A04D55"/>
    <w:rsid w:val="00A054C9"/>
    <w:rsid w:val="00A05E35"/>
    <w:rsid w:val="00A0668A"/>
    <w:rsid w:val="00A0695F"/>
    <w:rsid w:val="00A06A83"/>
    <w:rsid w:val="00A06AA7"/>
    <w:rsid w:val="00A06EF5"/>
    <w:rsid w:val="00A07582"/>
    <w:rsid w:val="00A077A7"/>
    <w:rsid w:val="00A1113C"/>
    <w:rsid w:val="00A1155B"/>
    <w:rsid w:val="00A11897"/>
    <w:rsid w:val="00A11902"/>
    <w:rsid w:val="00A119E8"/>
    <w:rsid w:val="00A11CE2"/>
    <w:rsid w:val="00A12299"/>
    <w:rsid w:val="00A124A0"/>
    <w:rsid w:val="00A125A6"/>
    <w:rsid w:val="00A12CD4"/>
    <w:rsid w:val="00A12E28"/>
    <w:rsid w:val="00A1390D"/>
    <w:rsid w:val="00A13913"/>
    <w:rsid w:val="00A13C40"/>
    <w:rsid w:val="00A13D7F"/>
    <w:rsid w:val="00A1478F"/>
    <w:rsid w:val="00A14B8B"/>
    <w:rsid w:val="00A152F0"/>
    <w:rsid w:val="00A1592D"/>
    <w:rsid w:val="00A159DE"/>
    <w:rsid w:val="00A163CD"/>
    <w:rsid w:val="00A167E0"/>
    <w:rsid w:val="00A178A1"/>
    <w:rsid w:val="00A17A58"/>
    <w:rsid w:val="00A17B8C"/>
    <w:rsid w:val="00A17CAB"/>
    <w:rsid w:val="00A17E65"/>
    <w:rsid w:val="00A17EB5"/>
    <w:rsid w:val="00A200EF"/>
    <w:rsid w:val="00A2036D"/>
    <w:rsid w:val="00A203F7"/>
    <w:rsid w:val="00A2073F"/>
    <w:rsid w:val="00A20D9F"/>
    <w:rsid w:val="00A20F1C"/>
    <w:rsid w:val="00A21958"/>
    <w:rsid w:val="00A21A78"/>
    <w:rsid w:val="00A21D1E"/>
    <w:rsid w:val="00A22307"/>
    <w:rsid w:val="00A22B3E"/>
    <w:rsid w:val="00A2374E"/>
    <w:rsid w:val="00A238F9"/>
    <w:rsid w:val="00A23988"/>
    <w:rsid w:val="00A242A9"/>
    <w:rsid w:val="00A24445"/>
    <w:rsid w:val="00A24661"/>
    <w:rsid w:val="00A2498C"/>
    <w:rsid w:val="00A24A20"/>
    <w:rsid w:val="00A24B64"/>
    <w:rsid w:val="00A25346"/>
    <w:rsid w:val="00A25B4F"/>
    <w:rsid w:val="00A25E6B"/>
    <w:rsid w:val="00A25FBD"/>
    <w:rsid w:val="00A26EFB"/>
    <w:rsid w:val="00A274E6"/>
    <w:rsid w:val="00A27742"/>
    <w:rsid w:val="00A303ED"/>
    <w:rsid w:val="00A308B2"/>
    <w:rsid w:val="00A3147F"/>
    <w:rsid w:val="00A31757"/>
    <w:rsid w:val="00A31E2B"/>
    <w:rsid w:val="00A31E40"/>
    <w:rsid w:val="00A32F49"/>
    <w:rsid w:val="00A334BD"/>
    <w:rsid w:val="00A3386E"/>
    <w:rsid w:val="00A33D0A"/>
    <w:rsid w:val="00A342FD"/>
    <w:rsid w:val="00A34F88"/>
    <w:rsid w:val="00A3530A"/>
    <w:rsid w:val="00A35545"/>
    <w:rsid w:val="00A36673"/>
    <w:rsid w:val="00A3695C"/>
    <w:rsid w:val="00A36BA1"/>
    <w:rsid w:val="00A37257"/>
    <w:rsid w:val="00A3761C"/>
    <w:rsid w:val="00A379AE"/>
    <w:rsid w:val="00A37E73"/>
    <w:rsid w:val="00A40DFC"/>
    <w:rsid w:val="00A41386"/>
    <w:rsid w:val="00A417A6"/>
    <w:rsid w:val="00A429BC"/>
    <w:rsid w:val="00A42F68"/>
    <w:rsid w:val="00A43305"/>
    <w:rsid w:val="00A43650"/>
    <w:rsid w:val="00A43C2D"/>
    <w:rsid w:val="00A43FC6"/>
    <w:rsid w:val="00A441B2"/>
    <w:rsid w:val="00A44346"/>
    <w:rsid w:val="00A444C5"/>
    <w:rsid w:val="00A44A93"/>
    <w:rsid w:val="00A459C0"/>
    <w:rsid w:val="00A45E44"/>
    <w:rsid w:val="00A46573"/>
    <w:rsid w:val="00A46592"/>
    <w:rsid w:val="00A46C89"/>
    <w:rsid w:val="00A477CC"/>
    <w:rsid w:val="00A47C3B"/>
    <w:rsid w:val="00A50DD0"/>
    <w:rsid w:val="00A518B4"/>
    <w:rsid w:val="00A52B51"/>
    <w:rsid w:val="00A52DD9"/>
    <w:rsid w:val="00A52FA7"/>
    <w:rsid w:val="00A540C3"/>
    <w:rsid w:val="00A543F8"/>
    <w:rsid w:val="00A54799"/>
    <w:rsid w:val="00A54E32"/>
    <w:rsid w:val="00A550B3"/>
    <w:rsid w:val="00A55304"/>
    <w:rsid w:val="00A5557B"/>
    <w:rsid w:val="00A557D5"/>
    <w:rsid w:val="00A56166"/>
    <w:rsid w:val="00A561CF"/>
    <w:rsid w:val="00A567B9"/>
    <w:rsid w:val="00A569BA"/>
    <w:rsid w:val="00A56D42"/>
    <w:rsid w:val="00A56D66"/>
    <w:rsid w:val="00A57D62"/>
    <w:rsid w:val="00A60063"/>
    <w:rsid w:val="00A60AA7"/>
    <w:rsid w:val="00A60EE4"/>
    <w:rsid w:val="00A610D3"/>
    <w:rsid w:val="00A619AA"/>
    <w:rsid w:val="00A61A3D"/>
    <w:rsid w:val="00A62250"/>
    <w:rsid w:val="00A623AB"/>
    <w:rsid w:val="00A62D36"/>
    <w:rsid w:val="00A62EAB"/>
    <w:rsid w:val="00A63312"/>
    <w:rsid w:val="00A63BE7"/>
    <w:rsid w:val="00A63C51"/>
    <w:rsid w:val="00A63F9C"/>
    <w:rsid w:val="00A65633"/>
    <w:rsid w:val="00A65769"/>
    <w:rsid w:val="00A65C75"/>
    <w:rsid w:val="00A67A12"/>
    <w:rsid w:val="00A67B12"/>
    <w:rsid w:val="00A70711"/>
    <w:rsid w:val="00A70B32"/>
    <w:rsid w:val="00A70E2F"/>
    <w:rsid w:val="00A71844"/>
    <w:rsid w:val="00A718C7"/>
    <w:rsid w:val="00A71DD1"/>
    <w:rsid w:val="00A71E14"/>
    <w:rsid w:val="00A72668"/>
    <w:rsid w:val="00A729B1"/>
    <w:rsid w:val="00A72BD5"/>
    <w:rsid w:val="00A72EC3"/>
    <w:rsid w:val="00A72F26"/>
    <w:rsid w:val="00A73BE6"/>
    <w:rsid w:val="00A74454"/>
    <w:rsid w:val="00A744B3"/>
    <w:rsid w:val="00A744DD"/>
    <w:rsid w:val="00A74EF1"/>
    <w:rsid w:val="00A75EF4"/>
    <w:rsid w:val="00A75F7B"/>
    <w:rsid w:val="00A769FA"/>
    <w:rsid w:val="00A76B6D"/>
    <w:rsid w:val="00A77483"/>
    <w:rsid w:val="00A774E3"/>
    <w:rsid w:val="00A775B6"/>
    <w:rsid w:val="00A77C94"/>
    <w:rsid w:val="00A8023E"/>
    <w:rsid w:val="00A8026E"/>
    <w:rsid w:val="00A807F5"/>
    <w:rsid w:val="00A81380"/>
    <w:rsid w:val="00A81647"/>
    <w:rsid w:val="00A816AD"/>
    <w:rsid w:val="00A81E7F"/>
    <w:rsid w:val="00A8217C"/>
    <w:rsid w:val="00A82296"/>
    <w:rsid w:val="00A82702"/>
    <w:rsid w:val="00A82895"/>
    <w:rsid w:val="00A835E6"/>
    <w:rsid w:val="00A8362B"/>
    <w:rsid w:val="00A84031"/>
    <w:rsid w:val="00A845A6"/>
    <w:rsid w:val="00A8461D"/>
    <w:rsid w:val="00A84778"/>
    <w:rsid w:val="00A849F1"/>
    <w:rsid w:val="00A854CE"/>
    <w:rsid w:val="00A85A4E"/>
    <w:rsid w:val="00A85CBB"/>
    <w:rsid w:val="00A863AF"/>
    <w:rsid w:val="00A8692D"/>
    <w:rsid w:val="00A873D0"/>
    <w:rsid w:val="00A8774E"/>
    <w:rsid w:val="00A90029"/>
    <w:rsid w:val="00A90193"/>
    <w:rsid w:val="00A9023C"/>
    <w:rsid w:val="00A903D1"/>
    <w:rsid w:val="00A90542"/>
    <w:rsid w:val="00A906B6"/>
    <w:rsid w:val="00A906DC"/>
    <w:rsid w:val="00A90919"/>
    <w:rsid w:val="00A90C1B"/>
    <w:rsid w:val="00A91514"/>
    <w:rsid w:val="00A91961"/>
    <w:rsid w:val="00A91EC4"/>
    <w:rsid w:val="00A929FB"/>
    <w:rsid w:val="00A931C4"/>
    <w:rsid w:val="00A93257"/>
    <w:rsid w:val="00A93573"/>
    <w:rsid w:val="00A939F3"/>
    <w:rsid w:val="00A946B3"/>
    <w:rsid w:val="00A947D2"/>
    <w:rsid w:val="00A956D5"/>
    <w:rsid w:val="00A957F6"/>
    <w:rsid w:val="00A95A17"/>
    <w:rsid w:val="00A95DDC"/>
    <w:rsid w:val="00A9661E"/>
    <w:rsid w:val="00A96991"/>
    <w:rsid w:val="00A96B6E"/>
    <w:rsid w:val="00A96D9F"/>
    <w:rsid w:val="00A97249"/>
    <w:rsid w:val="00AA1392"/>
    <w:rsid w:val="00AA1B95"/>
    <w:rsid w:val="00AA1BC9"/>
    <w:rsid w:val="00AA2024"/>
    <w:rsid w:val="00AA2766"/>
    <w:rsid w:val="00AA2A0F"/>
    <w:rsid w:val="00AA2B33"/>
    <w:rsid w:val="00AA2F97"/>
    <w:rsid w:val="00AA35C5"/>
    <w:rsid w:val="00AA35E2"/>
    <w:rsid w:val="00AA3675"/>
    <w:rsid w:val="00AA4477"/>
    <w:rsid w:val="00AA4A74"/>
    <w:rsid w:val="00AA5009"/>
    <w:rsid w:val="00AA53FD"/>
    <w:rsid w:val="00AA5442"/>
    <w:rsid w:val="00AA5E6D"/>
    <w:rsid w:val="00AA604E"/>
    <w:rsid w:val="00AA620F"/>
    <w:rsid w:val="00AA62EF"/>
    <w:rsid w:val="00AA6577"/>
    <w:rsid w:val="00AA6CDE"/>
    <w:rsid w:val="00AA7289"/>
    <w:rsid w:val="00AA7A10"/>
    <w:rsid w:val="00AA7D96"/>
    <w:rsid w:val="00AA7F6C"/>
    <w:rsid w:val="00AB0448"/>
    <w:rsid w:val="00AB04C4"/>
    <w:rsid w:val="00AB0758"/>
    <w:rsid w:val="00AB0C21"/>
    <w:rsid w:val="00AB1022"/>
    <w:rsid w:val="00AB15C1"/>
    <w:rsid w:val="00AB1957"/>
    <w:rsid w:val="00AB1BD0"/>
    <w:rsid w:val="00AB1ECA"/>
    <w:rsid w:val="00AB1F2B"/>
    <w:rsid w:val="00AB2AE4"/>
    <w:rsid w:val="00AB2E28"/>
    <w:rsid w:val="00AB3154"/>
    <w:rsid w:val="00AB3481"/>
    <w:rsid w:val="00AB34AB"/>
    <w:rsid w:val="00AB3A93"/>
    <w:rsid w:val="00AB3D03"/>
    <w:rsid w:val="00AB4434"/>
    <w:rsid w:val="00AB4707"/>
    <w:rsid w:val="00AB47D1"/>
    <w:rsid w:val="00AB4B09"/>
    <w:rsid w:val="00AB4C8A"/>
    <w:rsid w:val="00AB52AD"/>
    <w:rsid w:val="00AB5A25"/>
    <w:rsid w:val="00AC03CC"/>
    <w:rsid w:val="00AC06A5"/>
    <w:rsid w:val="00AC0A43"/>
    <w:rsid w:val="00AC0BEB"/>
    <w:rsid w:val="00AC0C77"/>
    <w:rsid w:val="00AC0E67"/>
    <w:rsid w:val="00AC0E7C"/>
    <w:rsid w:val="00AC0F7E"/>
    <w:rsid w:val="00AC1265"/>
    <w:rsid w:val="00AC12B3"/>
    <w:rsid w:val="00AC1602"/>
    <w:rsid w:val="00AC2003"/>
    <w:rsid w:val="00AC21FF"/>
    <w:rsid w:val="00AC2766"/>
    <w:rsid w:val="00AC2F67"/>
    <w:rsid w:val="00AC33C3"/>
    <w:rsid w:val="00AC3861"/>
    <w:rsid w:val="00AC39F3"/>
    <w:rsid w:val="00AC3C2A"/>
    <w:rsid w:val="00AC3FBC"/>
    <w:rsid w:val="00AC428E"/>
    <w:rsid w:val="00AC4E1F"/>
    <w:rsid w:val="00AC5187"/>
    <w:rsid w:val="00AC5CB9"/>
    <w:rsid w:val="00AC5D88"/>
    <w:rsid w:val="00AC786A"/>
    <w:rsid w:val="00AD1168"/>
    <w:rsid w:val="00AD11BE"/>
    <w:rsid w:val="00AD150D"/>
    <w:rsid w:val="00AD1E7F"/>
    <w:rsid w:val="00AD21F8"/>
    <w:rsid w:val="00AD26D6"/>
    <w:rsid w:val="00AD289D"/>
    <w:rsid w:val="00AD2B46"/>
    <w:rsid w:val="00AD379F"/>
    <w:rsid w:val="00AD43EA"/>
    <w:rsid w:val="00AD47B7"/>
    <w:rsid w:val="00AD4817"/>
    <w:rsid w:val="00AD4B6C"/>
    <w:rsid w:val="00AD53C3"/>
    <w:rsid w:val="00AD5AEE"/>
    <w:rsid w:val="00AD616E"/>
    <w:rsid w:val="00AD7068"/>
    <w:rsid w:val="00AD76D5"/>
    <w:rsid w:val="00AD78FD"/>
    <w:rsid w:val="00AD7D2E"/>
    <w:rsid w:val="00AE0185"/>
    <w:rsid w:val="00AE0B8D"/>
    <w:rsid w:val="00AE0EDD"/>
    <w:rsid w:val="00AE1032"/>
    <w:rsid w:val="00AE1041"/>
    <w:rsid w:val="00AE1A2B"/>
    <w:rsid w:val="00AE1CC9"/>
    <w:rsid w:val="00AE1D5B"/>
    <w:rsid w:val="00AE2BE2"/>
    <w:rsid w:val="00AE375D"/>
    <w:rsid w:val="00AE380A"/>
    <w:rsid w:val="00AE4545"/>
    <w:rsid w:val="00AE49A2"/>
    <w:rsid w:val="00AE510D"/>
    <w:rsid w:val="00AE6115"/>
    <w:rsid w:val="00AE78B4"/>
    <w:rsid w:val="00AE79AF"/>
    <w:rsid w:val="00AE7AC0"/>
    <w:rsid w:val="00AE7BF9"/>
    <w:rsid w:val="00AF0014"/>
    <w:rsid w:val="00AF0D41"/>
    <w:rsid w:val="00AF0FAB"/>
    <w:rsid w:val="00AF1327"/>
    <w:rsid w:val="00AF1369"/>
    <w:rsid w:val="00AF1379"/>
    <w:rsid w:val="00AF17F4"/>
    <w:rsid w:val="00AF1966"/>
    <w:rsid w:val="00AF1D35"/>
    <w:rsid w:val="00AF2746"/>
    <w:rsid w:val="00AF29AA"/>
    <w:rsid w:val="00AF39D4"/>
    <w:rsid w:val="00AF442D"/>
    <w:rsid w:val="00AF4859"/>
    <w:rsid w:val="00AF4F67"/>
    <w:rsid w:val="00AF5E0D"/>
    <w:rsid w:val="00AF6241"/>
    <w:rsid w:val="00AF6E71"/>
    <w:rsid w:val="00AF719D"/>
    <w:rsid w:val="00AF760F"/>
    <w:rsid w:val="00AF783F"/>
    <w:rsid w:val="00B00114"/>
    <w:rsid w:val="00B00448"/>
    <w:rsid w:val="00B011E1"/>
    <w:rsid w:val="00B016B2"/>
    <w:rsid w:val="00B02116"/>
    <w:rsid w:val="00B02472"/>
    <w:rsid w:val="00B02514"/>
    <w:rsid w:val="00B02524"/>
    <w:rsid w:val="00B02C90"/>
    <w:rsid w:val="00B031FE"/>
    <w:rsid w:val="00B04CFA"/>
    <w:rsid w:val="00B05E84"/>
    <w:rsid w:val="00B06F1E"/>
    <w:rsid w:val="00B0750C"/>
    <w:rsid w:val="00B10613"/>
    <w:rsid w:val="00B10C78"/>
    <w:rsid w:val="00B11713"/>
    <w:rsid w:val="00B117A0"/>
    <w:rsid w:val="00B11DB6"/>
    <w:rsid w:val="00B121E4"/>
    <w:rsid w:val="00B124AB"/>
    <w:rsid w:val="00B12A3C"/>
    <w:rsid w:val="00B1314C"/>
    <w:rsid w:val="00B140EC"/>
    <w:rsid w:val="00B14583"/>
    <w:rsid w:val="00B14B04"/>
    <w:rsid w:val="00B151F9"/>
    <w:rsid w:val="00B16A3B"/>
    <w:rsid w:val="00B16A4E"/>
    <w:rsid w:val="00B16BC4"/>
    <w:rsid w:val="00B16EC9"/>
    <w:rsid w:val="00B17224"/>
    <w:rsid w:val="00B17B1B"/>
    <w:rsid w:val="00B17C95"/>
    <w:rsid w:val="00B202C9"/>
    <w:rsid w:val="00B207FA"/>
    <w:rsid w:val="00B211A6"/>
    <w:rsid w:val="00B214CA"/>
    <w:rsid w:val="00B2193D"/>
    <w:rsid w:val="00B21D74"/>
    <w:rsid w:val="00B21E55"/>
    <w:rsid w:val="00B224B8"/>
    <w:rsid w:val="00B22E3D"/>
    <w:rsid w:val="00B22F35"/>
    <w:rsid w:val="00B230E0"/>
    <w:rsid w:val="00B23167"/>
    <w:rsid w:val="00B23390"/>
    <w:rsid w:val="00B236D7"/>
    <w:rsid w:val="00B24C34"/>
    <w:rsid w:val="00B24D1B"/>
    <w:rsid w:val="00B24EE7"/>
    <w:rsid w:val="00B25644"/>
    <w:rsid w:val="00B257F8"/>
    <w:rsid w:val="00B263E9"/>
    <w:rsid w:val="00B2645E"/>
    <w:rsid w:val="00B264F6"/>
    <w:rsid w:val="00B26E6F"/>
    <w:rsid w:val="00B275D3"/>
    <w:rsid w:val="00B27967"/>
    <w:rsid w:val="00B3045F"/>
    <w:rsid w:val="00B306BC"/>
    <w:rsid w:val="00B3122A"/>
    <w:rsid w:val="00B3183E"/>
    <w:rsid w:val="00B31AB1"/>
    <w:rsid w:val="00B31F12"/>
    <w:rsid w:val="00B320F0"/>
    <w:rsid w:val="00B32642"/>
    <w:rsid w:val="00B32935"/>
    <w:rsid w:val="00B32956"/>
    <w:rsid w:val="00B33E44"/>
    <w:rsid w:val="00B3428B"/>
    <w:rsid w:val="00B342A0"/>
    <w:rsid w:val="00B34D14"/>
    <w:rsid w:val="00B34E5A"/>
    <w:rsid w:val="00B352B7"/>
    <w:rsid w:val="00B3575C"/>
    <w:rsid w:val="00B35967"/>
    <w:rsid w:val="00B3603C"/>
    <w:rsid w:val="00B3612E"/>
    <w:rsid w:val="00B368B2"/>
    <w:rsid w:val="00B368C7"/>
    <w:rsid w:val="00B36CC0"/>
    <w:rsid w:val="00B36CFC"/>
    <w:rsid w:val="00B37B1E"/>
    <w:rsid w:val="00B40604"/>
    <w:rsid w:val="00B406BD"/>
    <w:rsid w:val="00B40A88"/>
    <w:rsid w:val="00B40B04"/>
    <w:rsid w:val="00B40B74"/>
    <w:rsid w:val="00B40D71"/>
    <w:rsid w:val="00B41B8E"/>
    <w:rsid w:val="00B41D6B"/>
    <w:rsid w:val="00B41E65"/>
    <w:rsid w:val="00B42B34"/>
    <w:rsid w:val="00B42B85"/>
    <w:rsid w:val="00B430E9"/>
    <w:rsid w:val="00B43E09"/>
    <w:rsid w:val="00B443EB"/>
    <w:rsid w:val="00B4491F"/>
    <w:rsid w:val="00B45811"/>
    <w:rsid w:val="00B45BD0"/>
    <w:rsid w:val="00B45C30"/>
    <w:rsid w:val="00B45F24"/>
    <w:rsid w:val="00B4604E"/>
    <w:rsid w:val="00B465A6"/>
    <w:rsid w:val="00B47355"/>
    <w:rsid w:val="00B501ED"/>
    <w:rsid w:val="00B5076B"/>
    <w:rsid w:val="00B50821"/>
    <w:rsid w:val="00B50C39"/>
    <w:rsid w:val="00B513A3"/>
    <w:rsid w:val="00B51A7E"/>
    <w:rsid w:val="00B523EA"/>
    <w:rsid w:val="00B525FF"/>
    <w:rsid w:val="00B53908"/>
    <w:rsid w:val="00B53A0C"/>
    <w:rsid w:val="00B5401F"/>
    <w:rsid w:val="00B54774"/>
    <w:rsid w:val="00B5515B"/>
    <w:rsid w:val="00B56E75"/>
    <w:rsid w:val="00B57280"/>
    <w:rsid w:val="00B57636"/>
    <w:rsid w:val="00B57842"/>
    <w:rsid w:val="00B57C1E"/>
    <w:rsid w:val="00B57DE4"/>
    <w:rsid w:val="00B600B4"/>
    <w:rsid w:val="00B60742"/>
    <w:rsid w:val="00B6091F"/>
    <w:rsid w:val="00B609DF"/>
    <w:rsid w:val="00B60FDD"/>
    <w:rsid w:val="00B61688"/>
    <w:rsid w:val="00B61C73"/>
    <w:rsid w:val="00B62750"/>
    <w:rsid w:val="00B62B5E"/>
    <w:rsid w:val="00B6373D"/>
    <w:rsid w:val="00B63827"/>
    <w:rsid w:val="00B6412F"/>
    <w:rsid w:val="00B647C7"/>
    <w:rsid w:val="00B64944"/>
    <w:rsid w:val="00B64DDD"/>
    <w:rsid w:val="00B653C0"/>
    <w:rsid w:val="00B655D0"/>
    <w:rsid w:val="00B656FD"/>
    <w:rsid w:val="00B6598D"/>
    <w:rsid w:val="00B66327"/>
    <w:rsid w:val="00B665F6"/>
    <w:rsid w:val="00B6677F"/>
    <w:rsid w:val="00B67021"/>
    <w:rsid w:val="00B6725C"/>
    <w:rsid w:val="00B704E7"/>
    <w:rsid w:val="00B704FE"/>
    <w:rsid w:val="00B708B8"/>
    <w:rsid w:val="00B708F1"/>
    <w:rsid w:val="00B70B6D"/>
    <w:rsid w:val="00B71A49"/>
    <w:rsid w:val="00B71B16"/>
    <w:rsid w:val="00B71DB7"/>
    <w:rsid w:val="00B71F4B"/>
    <w:rsid w:val="00B72144"/>
    <w:rsid w:val="00B74175"/>
    <w:rsid w:val="00B742B2"/>
    <w:rsid w:val="00B744E9"/>
    <w:rsid w:val="00B74557"/>
    <w:rsid w:val="00B74938"/>
    <w:rsid w:val="00B74DFA"/>
    <w:rsid w:val="00B75263"/>
    <w:rsid w:val="00B75522"/>
    <w:rsid w:val="00B75B3A"/>
    <w:rsid w:val="00B76792"/>
    <w:rsid w:val="00B77C9B"/>
    <w:rsid w:val="00B77D8A"/>
    <w:rsid w:val="00B803E6"/>
    <w:rsid w:val="00B8120D"/>
    <w:rsid w:val="00B81DFA"/>
    <w:rsid w:val="00B82361"/>
    <w:rsid w:val="00B8286D"/>
    <w:rsid w:val="00B82BE9"/>
    <w:rsid w:val="00B82D4A"/>
    <w:rsid w:val="00B830BF"/>
    <w:rsid w:val="00B83A29"/>
    <w:rsid w:val="00B842AE"/>
    <w:rsid w:val="00B845F6"/>
    <w:rsid w:val="00B847A8"/>
    <w:rsid w:val="00B84979"/>
    <w:rsid w:val="00B85C6C"/>
    <w:rsid w:val="00B85E05"/>
    <w:rsid w:val="00B85E6F"/>
    <w:rsid w:val="00B8694E"/>
    <w:rsid w:val="00B86C97"/>
    <w:rsid w:val="00B872B4"/>
    <w:rsid w:val="00B872E8"/>
    <w:rsid w:val="00B877A8"/>
    <w:rsid w:val="00B87E5D"/>
    <w:rsid w:val="00B9058A"/>
    <w:rsid w:val="00B9114D"/>
    <w:rsid w:val="00B91232"/>
    <w:rsid w:val="00B918B0"/>
    <w:rsid w:val="00B91F6D"/>
    <w:rsid w:val="00B92812"/>
    <w:rsid w:val="00B9360A"/>
    <w:rsid w:val="00B93CC1"/>
    <w:rsid w:val="00B943D1"/>
    <w:rsid w:val="00B94DDD"/>
    <w:rsid w:val="00B94F1D"/>
    <w:rsid w:val="00B94FDB"/>
    <w:rsid w:val="00B9571E"/>
    <w:rsid w:val="00B95B43"/>
    <w:rsid w:val="00B95F06"/>
    <w:rsid w:val="00B95F32"/>
    <w:rsid w:val="00B95FB2"/>
    <w:rsid w:val="00B96197"/>
    <w:rsid w:val="00B96396"/>
    <w:rsid w:val="00B965CC"/>
    <w:rsid w:val="00B97271"/>
    <w:rsid w:val="00B9758D"/>
    <w:rsid w:val="00BA01D6"/>
    <w:rsid w:val="00BA0B4D"/>
    <w:rsid w:val="00BA0F5E"/>
    <w:rsid w:val="00BA0FFB"/>
    <w:rsid w:val="00BA18AC"/>
    <w:rsid w:val="00BA1E2D"/>
    <w:rsid w:val="00BA1F07"/>
    <w:rsid w:val="00BA2813"/>
    <w:rsid w:val="00BA34BD"/>
    <w:rsid w:val="00BA3986"/>
    <w:rsid w:val="00BA3EDC"/>
    <w:rsid w:val="00BA4316"/>
    <w:rsid w:val="00BA449E"/>
    <w:rsid w:val="00BA4516"/>
    <w:rsid w:val="00BA4AA7"/>
    <w:rsid w:val="00BA4D1C"/>
    <w:rsid w:val="00BA5210"/>
    <w:rsid w:val="00BA573F"/>
    <w:rsid w:val="00BA59DC"/>
    <w:rsid w:val="00BA5A78"/>
    <w:rsid w:val="00BA60F7"/>
    <w:rsid w:val="00BA6327"/>
    <w:rsid w:val="00BA65E5"/>
    <w:rsid w:val="00BA6E28"/>
    <w:rsid w:val="00BA71BD"/>
    <w:rsid w:val="00BA71D2"/>
    <w:rsid w:val="00BA7325"/>
    <w:rsid w:val="00BA77DD"/>
    <w:rsid w:val="00BA7908"/>
    <w:rsid w:val="00BB02D0"/>
    <w:rsid w:val="00BB03AA"/>
    <w:rsid w:val="00BB0616"/>
    <w:rsid w:val="00BB082D"/>
    <w:rsid w:val="00BB1990"/>
    <w:rsid w:val="00BB2166"/>
    <w:rsid w:val="00BB23E1"/>
    <w:rsid w:val="00BB2841"/>
    <w:rsid w:val="00BB2BF8"/>
    <w:rsid w:val="00BB39D4"/>
    <w:rsid w:val="00BB3A57"/>
    <w:rsid w:val="00BB3A6E"/>
    <w:rsid w:val="00BB3ABC"/>
    <w:rsid w:val="00BB40B1"/>
    <w:rsid w:val="00BB41B4"/>
    <w:rsid w:val="00BB473F"/>
    <w:rsid w:val="00BB4807"/>
    <w:rsid w:val="00BB4994"/>
    <w:rsid w:val="00BB4A16"/>
    <w:rsid w:val="00BB4B03"/>
    <w:rsid w:val="00BB531C"/>
    <w:rsid w:val="00BB5542"/>
    <w:rsid w:val="00BB57BB"/>
    <w:rsid w:val="00BB5E23"/>
    <w:rsid w:val="00BB5EA1"/>
    <w:rsid w:val="00BB625D"/>
    <w:rsid w:val="00BB6420"/>
    <w:rsid w:val="00BB6C0F"/>
    <w:rsid w:val="00BB6C75"/>
    <w:rsid w:val="00BB71FF"/>
    <w:rsid w:val="00BB78FC"/>
    <w:rsid w:val="00BB797E"/>
    <w:rsid w:val="00BB7F45"/>
    <w:rsid w:val="00BC0098"/>
    <w:rsid w:val="00BC023E"/>
    <w:rsid w:val="00BC1110"/>
    <w:rsid w:val="00BC12E7"/>
    <w:rsid w:val="00BC19AB"/>
    <w:rsid w:val="00BC1B34"/>
    <w:rsid w:val="00BC2227"/>
    <w:rsid w:val="00BC2365"/>
    <w:rsid w:val="00BC264E"/>
    <w:rsid w:val="00BC2D2C"/>
    <w:rsid w:val="00BC3140"/>
    <w:rsid w:val="00BC3340"/>
    <w:rsid w:val="00BC3779"/>
    <w:rsid w:val="00BC38F7"/>
    <w:rsid w:val="00BC3E1A"/>
    <w:rsid w:val="00BC5E03"/>
    <w:rsid w:val="00BC5E6C"/>
    <w:rsid w:val="00BC5ECF"/>
    <w:rsid w:val="00BC5FDD"/>
    <w:rsid w:val="00BC65CF"/>
    <w:rsid w:val="00BC6A94"/>
    <w:rsid w:val="00BC6F01"/>
    <w:rsid w:val="00BC7147"/>
    <w:rsid w:val="00BC7413"/>
    <w:rsid w:val="00BC7B6C"/>
    <w:rsid w:val="00BD0658"/>
    <w:rsid w:val="00BD0ADF"/>
    <w:rsid w:val="00BD0B28"/>
    <w:rsid w:val="00BD0E22"/>
    <w:rsid w:val="00BD16C0"/>
    <w:rsid w:val="00BD1758"/>
    <w:rsid w:val="00BD2011"/>
    <w:rsid w:val="00BD22D0"/>
    <w:rsid w:val="00BD376E"/>
    <w:rsid w:val="00BD4326"/>
    <w:rsid w:val="00BD44B7"/>
    <w:rsid w:val="00BD47AE"/>
    <w:rsid w:val="00BD4971"/>
    <w:rsid w:val="00BD4986"/>
    <w:rsid w:val="00BD4BCB"/>
    <w:rsid w:val="00BD4C41"/>
    <w:rsid w:val="00BD4E20"/>
    <w:rsid w:val="00BD4F72"/>
    <w:rsid w:val="00BD5671"/>
    <w:rsid w:val="00BD5704"/>
    <w:rsid w:val="00BD5974"/>
    <w:rsid w:val="00BD59D9"/>
    <w:rsid w:val="00BD61BD"/>
    <w:rsid w:val="00BD6709"/>
    <w:rsid w:val="00BD6A09"/>
    <w:rsid w:val="00BD6B36"/>
    <w:rsid w:val="00BD6F32"/>
    <w:rsid w:val="00BD71D1"/>
    <w:rsid w:val="00BD7901"/>
    <w:rsid w:val="00BD7B6D"/>
    <w:rsid w:val="00BD7CC2"/>
    <w:rsid w:val="00BD7D07"/>
    <w:rsid w:val="00BE0257"/>
    <w:rsid w:val="00BE0A39"/>
    <w:rsid w:val="00BE117D"/>
    <w:rsid w:val="00BE155E"/>
    <w:rsid w:val="00BE191C"/>
    <w:rsid w:val="00BE1939"/>
    <w:rsid w:val="00BE1D80"/>
    <w:rsid w:val="00BE1E3C"/>
    <w:rsid w:val="00BE231E"/>
    <w:rsid w:val="00BE2CD5"/>
    <w:rsid w:val="00BE304D"/>
    <w:rsid w:val="00BE31B5"/>
    <w:rsid w:val="00BE32F7"/>
    <w:rsid w:val="00BE3BE6"/>
    <w:rsid w:val="00BE3FD4"/>
    <w:rsid w:val="00BE4568"/>
    <w:rsid w:val="00BE4804"/>
    <w:rsid w:val="00BE5682"/>
    <w:rsid w:val="00BE5A62"/>
    <w:rsid w:val="00BE69D8"/>
    <w:rsid w:val="00BE6DA2"/>
    <w:rsid w:val="00BE71D3"/>
    <w:rsid w:val="00BE74A8"/>
    <w:rsid w:val="00BE75C3"/>
    <w:rsid w:val="00BE7A5F"/>
    <w:rsid w:val="00BF095B"/>
    <w:rsid w:val="00BF0E94"/>
    <w:rsid w:val="00BF0FCE"/>
    <w:rsid w:val="00BF1222"/>
    <w:rsid w:val="00BF1D5F"/>
    <w:rsid w:val="00BF1EB6"/>
    <w:rsid w:val="00BF27C7"/>
    <w:rsid w:val="00BF289A"/>
    <w:rsid w:val="00BF34BC"/>
    <w:rsid w:val="00BF35B6"/>
    <w:rsid w:val="00BF37B1"/>
    <w:rsid w:val="00BF4421"/>
    <w:rsid w:val="00BF4EDF"/>
    <w:rsid w:val="00BF4F7F"/>
    <w:rsid w:val="00BF534E"/>
    <w:rsid w:val="00BF5579"/>
    <w:rsid w:val="00BF57A1"/>
    <w:rsid w:val="00BF5A7D"/>
    <w:rsid w:val="00BF7A66"/>
    <w:rsid w:val="00C00B14"/>
    <w:rsid w:val="00C00B9B"/>
    <w:rsid w:val="00C00C42"/>
    <w:rsid w:val="00C01054"/>
    <w:rsid w:val="00C01123"/>
    <w:rsid w:val="00C014B5"/>
    <w:rsid w:val="00C01614"/>
    <w:rsid w:val="00C0231C"/>
    <w:rsid w:val="00C02323"/>
    <w:rsid w:val="00C02609"/>
    <w:rsid w:val="00C026D3"/>
    <w:rsid w:val="00C02A65"/>
    <w:rsid w:val="00C0357E"/>
    <w:rsid w:val="00C03654"/>
    <w:rsid w:val="00C03EFE"/>
    <w:rsid w:val="00C04227"/>
    <w:rsid w:val="00C04260"/>
    <w:rsid w:val="00C042B5"/>
    <w:rsid w:val="00C042E5"/>
    <w:rsid w:val="00C04D18"/>
    <w:rsid w:val="00C04EC4"/>
    <w:rsid w:val="00C04FC3"/>
    <w:rsid w:val="00C05A20"/>
    <w:rsid w:val="00C060B8"/>
    <w:rsid w:val="00C063DA"/>
    <w:rsid w:val="00C06769"/>
    <w:rsid w:val="00C06B69"/>
    <w:rsid w:val="00C06FD8"/>
    <w:rsid w:val="00C0785E"/>
    <w:rsid w:val="00C07B17"/>
    <w:rsid w:val="00C07D60"/>
    <w:rsid w:val="00C10488"/>
    <w:rsid w:val="00C10614"/>
    <w:rsid w:val="00C10933"/>
    <w:rsid w:val="00C109EA"/>
    <w:rsid w:val="00C10D28"/>
    <w:rsid w:val="00C10D4D"/>
    <w:rsid w:val="00C10D74"/>
    <w:rsid w:val="00C11259"/>
    <w:rsid w:val="00C114CE"/>
    <w:rsid w:val="00C11809"/>
    <w:rsid w:val="00C11B8F"/>
    <w:rsid w:val="00C11C0F"/>
    <w:rsid w:val="00C12620"/>
    <w:rsid w:val="00C12E46"/>
    <w:rsid w:val="00C131C3"/>
    <w:rsid w:val="00C13883"/>
    <w:rsid w:val="00C13BFB"/>
    <w:rsid w:val="00C13CC3"/>
    <w:rsid w:val="00C1449D"/>
    <w:rsid w:val="00C14E80"/>
    <w:rsid w:val="00C154AE"/>
    <w:rsid w:val="00C1561B"/>
    <w:rsid w:val="00C15D5E"/>
    <w:rsid w:val="00C16BA5"/>
    <w:rsid w:val="00C171F7"/>
    <w:rsid w:val="00C17489"/>
    <w:rsid w:val="00C178DD"/>
    <w:rsid w:val="00C17B68"/>
    <w:rsid w:val="00C20BE5"/>
    <w:rsid w:val="00C20DB5"/>
    <w:rsid w:val="00C20F95"/>
    <w:rsid w:val="00C21042"/>
    <w:rsid w:val="00C21C8E"/>
    <w:rsid w:val="00C21DE5"/>
    <w:rsid w:val="00C224AC"/>
    <w:rsid w:val="00C22728"/>
    <w:rsid w:val="00C24136"/>
    <w:rsid w:val="00C24A73"/>
    <w:rsid w:val="00C24C0B"/>
    <w:rsid w:val="00C25B6A"/>
    <w:rsid w:val="00C25EEE"/>
    <w:rsid w:val="00C265D5"/>
    <w:rsid w:val="00C31194"/>
    <w:rsid w:val="00C32C06"/>
    <w:rsid w:val="00C32D72"/>
    <w:rsid w:val="00C336A4"/>
    <w:rsid w:val="00C336FC"/>
    <w:rsid w:val="00C33A6F"/>
    <w:rsid w:val="00C33E99"/>
    <w:rsid w:val="00C33FAA"/>
    <w:rsid w:val="00C34126"/>
    <w:rsid w:val="00C343E5"/>
    <w:rsid w:val="00C355EA"/>
    <w:rsid w:val="00C3695D"/>
    <w:rsid w:val="00C369CE"/>
    <w:rsid w:val="00C37959"/>
    <w:rsid w:val="00C37DE0"/>
    <w:rsid w:val="00C40680"/>
    <w:rsid w:val="00C40746"/>
    <w:rsid w:val="00C40D08"/>
    <w:rsid w:val="00C40DD8"/>
    <w:rsid w:val="00C40FBE"/>
    <w:rsid w:val="00C4102E"/>
    <w:rsid w:val="00C41409"/>
    <w:rsid w:val="00C41FE9"/>
    <w:rsid w:val="00C426D4"/>
    <w:rsid w:val="00C4281B"/>
    <w:rsid w:val="00C43452"/>
    <w:rsid w:val="00C434ED"/>
    <w:rsid w:val="00C43A39"/>
    <w:rsid w:val="00C4441F"/>
    <w:rsid w:val="00C44DC0"/>
    <w:rsid w:val="00C45B2C"/>
    <w:rsid w:val="00C45DEB"/>
    <w:rsid w:val="00C462F1"/>
    <w:rsid w:val="00C46433"/>
    <w:rsid w:val="00C465B6"/>
    <w:rsid w:val="00C468DE"/>
    <w:rsid w:val="00C46CC8"/>
    <w:rsid w:val="00C46EC2"/>
    <w:rsid w:val="00C47008"/>
    <w:rsid w:val="00C47144"/>
    <w:rsid w:val="00C471FA"/>
    <w:rsid w:val="00C476ED"/>
    <w:rsid w:val="00C4779E"/>
    <w:rsid w:val="00C47AE7"/>
    <w:rsid w:val="00C47C1A"/>
    <w:rsid w:val="00C47D12"/>
    <w:rsid w:val="00C50515"/>
    <w:rsid w:val="00C50D8E"/>
    <w:rsid w:val="00C51137"/>
    <w:rsid w:val="00C5165E"/>
    <w:rsid w:val="00C523F1"/>
    <w:rsid w:val="00C52634"/>
    <w:rsid w:val="00C53361"/>
    <w:rsid w:val="00C53492"/>
    <w:rsid w:val="00C538AF"/>
    <w:rsid w:val="00C53CBA"/>
    <w:rsid w:val="00C53E17"/>
    <w:rsid w:val="00C53E58"/>
    <w:rsid w:val="00C53FA0"/>
    <w:rsid w:val="00C5411E"/>
    <w:rsid w:val="00C560B5"/>
    <w:rsid w:val="00C5645B"/>
    <w:rsid w:val="00C56468"/>
    <w:rsid w:val="00C5681F"/>
    <w:rsid w:val="00C5727B"/>
    <w:rsid w:val="00C57293"/>
    <w:rsid w:val="00C57B63"/>
    <w:rsid w:val="00C57C30"/>
    <w:rsid w:val="00C60BC9"/>
    <w:rsid w:val="00C61350"/>
    <w:rsid w:val="00C61CCE"/>
    <w:rsid w:val="00C61FD2"/>
    <w:rsid w:val="00C6292D"/>
    <w:rsid w:val="00C62A4B"/>
    <w:rsid w:val="00C62B22"/>
    <w:rsid w:val="00C62B9C"/>
    <w:rsid w:val="00C62CFF"/>
    <w:rsid w:val="00C62F8E"/>
    <w:rsid w:val="00C63061"/>
    <w:rsid w:val="00C633BB"/>
    <w:rsid w:val="00C63433"/>
    <w:rsid w:val="00C637AE"/>
    <w:rsid w:val="00C637B6"/>
    <w:rsid w:val="00C64255"/>
    <w:rsid w:val="00C642D3"/>
    <w:rsid w:val="00C643B7"/>
    <w:rsid w:val="00C65073"/>
    <w:rsid w:val="00C6657B"/>
    <w:rsid w:val="00C666AF"/>
    <w:rsid w:val="00C66EF0"/>
    <w:rsid w:val="00C67A73"/>
    <w:rsid w:val="00C67C4C"/>
    <w:rsid w:val="00C7023B"/>
    <w:rsid w:val="00C7030C"/>
    <w:rsid w:val="00C70947"/>
    <w:rsid w:val="00C711C2"/>
    <w:rsid w:val="00C7129E"/>
    <w:rsid w:val="00C714FB"/>
    <w:rsid w:val="00C718EE"/>
    <w:rsid w:val="00C724BB"/>
    <w:rsid w:val="00C724EF"/>
    <w:rsid w:val="00C72A59"/>
    <w:rsid w:val="00C73077"/>
    <w:rsid w:val="00C73D99"/>
    <w:rsid w:val="00C74A4A"/>
    <w:rsid w:val="00C75018"/>
    <w:rsid w:val="00C75027"/>
    <w:rsid w:val="00C7510A"/>
    <w:rsid w:val="00C75A3D"/>
    <w:rsid w:val="00C76581"/>
    <w:rsid w:val="00C77639"/>
    <w:rsid w:val="00C80250"/>
    <w:rsid w:val="00C80705"/>
    <w:rsid w:val="00C80993"/>
    <w:rsid w:val="00C80E1E"/>
    <w:rsid w:val="00C80E3D"/>
    <w:rsid w:val="00C817D4"/>
    <w:rsid w:val="00C8182F"/>
    <w:rsid w:val="00C819C4"/>
    <w:rsid w:val="00C819EB"/>
    <w:rsid w:val="00C82145"/>
    <w:rsid w:val="00C83242"/>
    <w:rsid w:val="00C8337E"/>
    <w:rsid w:val="00C83855"/>
    <w:rsid w:val="00C838CA"/>
    <w:rsid w:val="00C83BAE"/>
    <w:rsid w:val="00C83EC2"/>
    <w:rsid w:val="00C84852"/>
    <w:rsid w:val="00C84E2A"/>
    <w:rsid w:val="00C84E66"/>
    <w:rsid w:val="00C850E0"/>
    <w:rsid w:val="00C85191"/>
    <w:rsid w:val="00C8536C"/>
    <w:rsid w:val="00C854E7"/>
    <w:rsid w:val="00C86502"/>
    <w:rsid w:val="00C86523"/>
    <w:rsid w:val="00C8725E"/>
    <w:rsid w:val="00C87E76"/>
    <w:rsid w:val="00C906C3"/>
    <w:rsid w:val="00C909A6"/>
    <w:rsid w:val="00C915A5"/>
    <w:rsid w:val="00C919E7"/>
    <w:rsid w:val="00C9294A"/>
    <w:rsid w:val="00C92C63"/>
    <w:rsid w:val="00C92FBE"/>
    <w:rsid w:val="00C93617"/>
    <w:rsid w:val="00C94217"/>
    <w:rsid w:val="00C948E5"/>
    <w:rsid w:val="00C94DB8"/>
    <w:rsid w:val="00C94DF0"/>
    <w:rsid w:val="00C95BFB"/>
    <w:rsid w:val="00C95E31"/>
    <w:rsid w:val="00C96ABB"/>
    <w:rsid w:val="00C96DD2"/>
    <w:rsid w:val="00C97B5F"/>
    <w:rsid w:val="00C97FFB"/>
    <w:rsid w:val="00CA01E3"/>
    <w:rsid w:val="00CA0ABC"/>
    <w:rsid w:val="00CA0B00"/>
    <w:rsid w:val="00CA14B2"/>
    <w:rsid w:val="00CA1B16"/>
    <w:rsid w:val="00CA1EA1"/>
    <w:rsid w:val="00CA2241"/>
    <w:rsid w:val="00CA25FD"/>
    <w:rsid w:val="00CA2CAD"/>
    <w:rsid w:val="00CA2EAA"/>
    <w:rsid w:val="00CA307F"/>
    <w:rsid w:val="00CA31D2"/>
    <w:rsid w:val="00CA3481"/>
    <w:rsid w:val="00CA3A3B"/>
    <w:rsid w:val="00CA3D6C"/>
    <w:rsid w:val="00CA3DA7"/>
    <w:rsid w:val="00CA3EED"/>
    <w:rsid w:val="00CA4E36"/>
    <w:rsid w:val="00CA505A"/>
    <w:rsid w:val="00CA5078"/>
    <w:rsid w:val="00CA539A"/>
    <w:rsid w:val="00CA5531"/>
    <w:rsid w:val="00CA5846"/>
    <w:rsid w:val="00CA590E"/>
    <w:rsid w:val="00CA5927"/>
    <w:rsid w:val="00CA5A5A"/>
    <w:rsid w:val="00CA5BA1"/>
    <w:rsid w:val="00CA5D77"/>
    <w:rsid w:val="00CA637C"/>
    <w:rsid w:val="00CA64E2"/>
    <w:rsid w:val="00CA65C4"/>
    <w:rsid w:val="00CA67D7"/>
    <w:rsid w:val="00CA6EDC"/>
    <w:rsid w:val="00CA71B6"/>
    <w:rsid w:val="00CA72E4"/>
    <w:rsid w:val="00CA7879"/>
    <w:rsid w:val="00CB0576"/>
    <w:rsid w:val="00CB094E"/>
    <w:rsid w:val="00CB0A9B"/>
    <w:rsid w:val="00CB121A"/>
    <w:rsid w:val="00CB1682"/>
    <w:rsid w:val="00CB184C"/>
    <w:rsid w:val="00CB2173"/>
    <w:rsid w:val="00CB2736"/>
    <w:rsid w:val="00CB3027"/>
    <w:rsid w:val="00CB34D0"/>
    <w:rsid w:val="00CB40C9"/>
    <w:rsid w:val="00CB48DC"/>
    <w:rsid w:val="00CB4992"/>
    <w:rsid w:val="00CB505B"/>
    <w:rsid w:val="00CB5690"/>
    <w:rsid w:val="00CB577E"/>
    <w:rsid w:val="00CB5909"/>
    <w:rsid w:val="00CB6B4D"/>
    <w:rsid w:val="00CB6F51"/>
    <w:rsid w:val="00CB72BC"/>
    <w:rsid w:val="00CB764A"/>
    <w:rsid w:val="00CB76C8"/>
    <w:rsid w:val="00CB7907"/>
    <w:rsid w:val="00CB7B37"/>
    <w:rsid w:val="00CC0014"/>
    <w:rsid w:val="00CC0183"/>
    <w:rsid w:val="00CC0252"/>
    <w:rsid w:val="00CC08CA"/>
    <w:rsid w:val="00CC11AC"/>
    <w:rsid w:val="00CC1B1F"/>
    <w:rsid w:val="00CC1F14"/>
    <w:rsid w:val="00CC2C54"/>
    <w:rsid w:val="00CC359C"/>
    <w:rsid w:val="00CC3EB8"/>
    <w:rsid w:val="00CC43B3"/>
    <w:rsid w:val="00CC4415"/>
    <w:rsid w:val="00CC470D"/>
    <w:rsid w:val="00CC4E0C"/>
    <w:rsid w:val="00CC5000"/>
    <w:rsid w:val="00CC559C"/>
    <w:rsid w:val="00CC5C60"/>
    <w:rsid w:val="00CC5D4A"/>
    <w:rsid w:val="00CC5E3D"/>
    <w:rsid w:val="00CC6102"/>
    <w:rsid w:val="00CC61B4"/>
    <w:rsid w:val="00CC6A78"/>
    <w:rsid w:val="00CC6CBC"/>
    <w:rsid w:val="00CC7690"/>
    <w:rsid w:val="00CD002B"/>
    <w:rsid w:val="00CD0BD4"/>
    <w:rsid w:val="00CD0D47"/>
    <w:rsid w:val="00CD0D55"/>
    <w:rsid w:val="00CD11C3"/>
    <w:rsid w:val="00CD1306"/>
    <w:rsid w:val="00CD1DA7"/>
    <w:rsid w:val="00CD2254"/>
    <w:rsid w:val="00CD234B"/>
    <w:rsid w:val="00CD30C0"/>
    <w:rsid w:val="00CD3171"/>
    <w:rsid w:val="00CD4931"/>
    <w:rsid w:val="00CD4A47"/>
    <w:rsid w:val="00CD4B24"/>
    <w:rsid w:val="00CD4DD3"/>
    <w:rsid w:val="00CD500B"/>
    <w:rsid w:val="00CD554A"/>
    <w:rsid w:val="00CD55B4"/>
    <w:rsid w:val="00CD6388"/>
    <w:rsid w:val="00CD6679"/>
    <w:rsid w:val="00CD66EC"/>
    <w:rsid w:val="00CD6827"/>
    <w:rsid w:val="00CD78AC"/>
    <w:rsid w:val="00CD7F85"/>
    <w:rsid w:val="00CE0536"/>
    <w:rsid w:val="00CE05B5"/>
    <w:rsid w:val="00CE08A6"/>
    <w:rsid w:val="00CE0E20"/>
    <w:rsid w:val="00CE15CE"/>
    <w:rsid w:val="00CE1663"/>
    <w:rsid w:val="00CE1815"/>
    <w:rsid w:val="00CE1CB0"/>
    <w:rsid w:val="00CE1D3A"/>
    <w:rsid w:val="00CE26B8"/>
    <w:rsid w:val="00CE2E4D"/>
    <w:rsid w:val="00CE305E"/>
    <w:rsid w:val="00CE33A3"/>
    <w:rsid w:val="00CE4504"/>
    <w:rsid w:val="00CE4797"/>
    <w:rsid w:val="00CE499B"/>
    <w:rsid w:val="00CE49B6"/>
    <w:rsid w:val="00CE5415"/>
    <w:rsid w:val="00CE5AC3"/>
    <w:rsid w:val="00CE5E7B"/>
    <w:rsid w:val="00CE6FCC"/>
    <w:rsid w:val="00CE78F2"/>
    <w:rsid w:val="00CF0065"/>
    <w:rsid w:val="00CF0125"/>
    <w:rsid w:val="00CF0249"/>
    <w:rsid w:val="00CF0445"/>
    <w:rsid w:val="00CF07AC"/>
    <w:rsid w:val="00CF1278"/>
    <w:rsid w:val="00CF13DF"/>
    <w:rsid w:val="00CF19E7"/>
    <w:rsid w:val="00CF1A90"/>
    <w:rsid w:val="00CF1D8B"/>
    <w:rsid w:val="00CF21E1"/>
    <w:rsid w:val="00CF2438"/>
    <w:rsid w:val="00CF25D6"/>
    <w:rsid w:val="00CF2CC7"/>
    <w:rsid w:val="00CF2EAC"/>
    <w:rsid w:val="00CF334A"/>
    <w:rsid w:val="00CF4950"/>
    <w:rsid w:val="00CF496F"/>
    <w:rsid w:val="00CF4B2F"/>
    <w:rsid w:val="00CF4F41"/>
    <w:rsid w:val="00CF594B"/>
    <w:rsid w:val="00CF5F4A"/>
    <w:rsid w:val="00CF6181"/>
    <w:rsid w:val="00CF61EF"/>
    <w:rsid w:val="00CF64CA"/>
    <w:rsid w:val="00CF67A0"/>
    <w:rsid w:val="00CF6974"/>
    <w:rsid w:val="00CF6979"/>
    <w:rsid w:val="00CF6CF9"/>
    <w:rsid w:val="00CF75D6"/>
    <w:rsid w:val="00CF77FF"/>
    <w:rsid w:val="00CF7AFE"/>
    <w:rsid w:val="00D003CC"/>
    <w:rsid w:val="00D004B4"/>
    <w:rsid w:val="00D00565"/>
    <w:rsid w:val="00D0119E"/>
    <w:rsid w:val="00D01A7D"/>
    <w:rsid w:val="00D01EE3"/>
    <w:rsid w:val="00D01F0D"/>
    <w:rsid w:val="00D01FC0"/>
    <w:rsid w:val="00D023A4"/>
    <w:rsid w:val="00D025FA"/>
    <w:rsid w:val="00D02790"/>
    <w:rsid w:val="00D02E46"/>
    <w:rsid w:val="00D02F33"/>
    <w:rsid w:val="00D030C4"/>
    <w:rsid w:val="00D032FE"/>
    <w:rsid w:val="00D03483"/>
    <w:rsid w:val="00D036F4"/>
    <w:rsid w:val="00D0376D"/>
    <w:rsid w:val="00D03C76"/>
    <w:rsid w:val="00D03F27"/>
    <w:rsid w:val="00D0424A"/>
    <w:rsid w:val="00D0472B"/>
    <w:rsid w:val="00D047B5"/>
    <w:rsid w:val="00D04B2F"/>
    <w:rsid w:val="00D05700"/>
    <w:rsid w:val="00D061BF"/>
    <w:rsid w:val="00D062DC"/>
    <w:rsid w:val="00D064E2"/>
    <w:rsid w:val="00D06A04"/>
    <w:rsid w:val="00D06A92"/>
    <w:rsid w:val="00D07048"/>
    <w:rsid w:val="00D079E7"/>
    <w:rsid w:val="00D07E2A"/>
    <w:rsid w:val="00D1022C"/>
    <w:rsid w:val="00D10418"/>
    <w:rsid w:val="00D10615"/>
    <w:rsid w:val="00D11613"/>
    <w:rsid w:val="00D11F78"/>
    <w:rsid w:val="00D1257B"/>
    <w:rsid w:val="00D12D0B"/>
    <w:rsid w:val="00D12E6A"/>
    <w:rsid w:val="00D133B6"/>
    <w:rsid w:val="00D135F4"/>
    <w:rsid w:val="00D143B2"/>
    <w:rsid w:val="00D14493"/>
    <w:rsid w:val="00D14E26"/>
    <w:rsid w:val="00D14ED3"/>
    <w:rsid w:val="00D1513E"/>
    <w:rsid w:val="00D156E9"/>
    <w:rsid w:val="00D159EE"/>
    <w:rsid w:val="00D15C4E"/>
    <w:rsid w:val="00D15E41"/>
    <w:rsid w:val="00D16165"/>
    <w:rsid w:val="00D16436"/>
    <w:rsid w:val="00D17FAF"/>
    <w:rsid w:val="00D201FE"/>
    <w:rsid w:val="00D2046E"/>
    <w:rsid w:val="00D2086E"/>
    <w:rsid w:val="00D20A57"/>
    <w:rsid w:val="00D21C68"/>
    <w:rsid w:val="00D22094"/>
    <w:rsid w:val="00D220D1"/>
    <w:rsid w:val="00D222D9"/>
    <w:rsid w:val="00D22B11"/>
    <w:rsid w:val="00D22F4E"/>
    <w:rsid w:val="00D22F7A"/>
    <w:rsid w:val="00D232DC"/>
    <w:rsid w:val="00D23761"/>
    <w:rsid w:val="00D23EEB"/>
    <w:rsid w:val="00D24A8C"/>
    <w:rsid w:val="00D24B29"/>
    <w:rsid w:val="00D24CA7"/>
    <w:rsid w:val="00D2507A"/>
    <w:rsid w:val="00D25689"/>
    <w:rsid w:val="00D25ECC"/>
    <w:rsid w:val="00D26434"/>
    <w:rsid w:val="00D264A5"/>
    <w:rsid w:val="00D26E60"/>
    <w:rsid w:val="00D270D7"/>
    <w:rsid w:val="00D271AC"/>
    <w:rsid w:val="00D276C9"/>
    <w:rsid w:val="00D27A67"/>
    <w:rsid w:val="00D27B49"/>
    <w:rsid w:val="00D27C0C"/>
    <w:rsid w:val="00D27D2A"/>
    <w:rsid w:val="00D30128"/>
    <w:rsid w:val="00D30491"/>
    <w:rsid w:val="00D305D6"/>
    <w:rsid w:val="00D324EB"/>
    <w:rsid w:val="00D32BD3"/>
    <w:rsid w:val="00D32F3C"/>
    <w:rsid w:val="00D3318A"/>
    <w:rsid w:val="00D33BDF"/>
    <w:rsid w:val="00D34157"/>
    <w:rsid w:val="00D349BA"/>
    <w:rsid w:val="00D34A59"/>
    <w:rsid w:val="00D34D68"/>
    <w:rsid w:val="00D35FA9"/>
    <w:rsid w:val="00D362DD"/>
    <w:rsid w:val="00D36ECC"/>
    <w:rsid w:val="00D370C5"/>
    <w:rsid w:val="00D37805"/>
    <w:rsid w:val="00D37869"/>
    <w:rsid w:val="00D37BAB"/>
    <w:rsid w:val="00D402F8"/>
    <w:rsid w:val="00D40AAE"/>
    <w:rsid w:val="00D412DA"/>
    <w:rsid w:val="00D41B5B"/>
    <w:rsid w:val="00D42140"/>
    <w:rsid w:val="00D428A9"/>
    <w:rsid w:val="00D43417"/>
    <w:rsid w:val="00D437C8"/>
    <w:rsid w:val="00D43DD7"/>
    <w:rsid w:val="00D45E2F"/>
    <w:rsid w:val="00D469C5"/>
    <w:rsid w:val="00D47A74"/>
    <w:rsid w:val="00D47E7E"/>
    <w:rsid w:val="00D500B1"/>
    <w:rsid w:val="00D50442"/>
    <w:rsid w:val="00D5137C"/>
    <w:rsid w:val="00D5174A"/>
    <w:rsid w:val="00D51968"/>
    <w:rsid w:val="00D51ACA"/>
    <w:rsid w:val="00D523CD"/>
    <w:rsid w:val="00D527E5"/>
    <w:rsid w:val="00D52A35"/>
    <w:rsid w:val="00D52A86"/>
    <w:rsid w:val="00D52CBB"/>
    <w:rsid w:val="00D52E3C"/>
    <w:rsid w:val="00D52F0E"/>
    <w:rsid w:val="00D53961"/>
    <w:rsid w:val="00D54251"/>
    <w:rsid w:val="00D5491F"/>
    <w:rsid w:val="00D54FCD"/>
    <w:rsid w:val="00D5568C"/>
    <w:rsid w:val="00D5649E"/>
    <w:rsid w:val="00D564A7"/>
    <w:rsid w:val="00D56F73"/>
    <w:rsid w:val="00D571CC"/>
    <w:rsid w:val="00D574A5"/>
    <w:rsid w:val="00D62B03"/>
    <w:rsid w:val="00D62F8D"/>
    <w:rsid w:val="00D63279"/>
    <w:rsid w:val="00D63685"/>
    <w:rsid w:val="00D6384B"/>
    <w:rsid w:val="00D63BA9"/>
    <w:rsid w:val="00D63BF7"/>
    <w:rsid w:val="00D63CAA"/>
    <w:rsid w:val="00D644EB"/>
    <w:rsid w:val="00D6498C"/>
    <w:rsid w:val="00D64D1F"/>
    <w:rsid w:val="00D652F5"/>
    <w:rsid w:val="00D65782"/>
    <w:rsid w:val="00D65F54"/>
    <w:rsid w:val="00D66867"/>
    <w:rsid w:val="00D67238"/>
    <w:rsid w:val="00D70BEF"/>
    <w:rsid w:val="00D70D4C"/>
    <w:rsid w:val="00D714C3"/>
    <w:rsid w:val="00D71847"/>
    <w:rsid w:val="00D71BA5"/>
    <w:rsid w:val="00D72064"/>
    <w:rsid w:val="00D72473"/>
    <w:rsid w:val="00D7273B"/>
    <w:rsid w:val="00D7285D"/>
    <w:rsid w:val="00D729F5"/>
    <w:rsid w:val="00D7381A"/>
    <w:rsid w:val="00D73953"/>
    <w:rsid w:val="00D73D22"/>
    <w:rsid w:val="00D73E1C"/>
    <w:rsid w:val="00D73F0A"/>
    <w:rsid w:val="00D74274"/>
    <w:rsid w:val="00D74BD2"/>
    <w:rsid w:val="00D773B1"/>
    <w:rsid w:val="00D77920"/>
    <w:rsid w:val="00D77A2C"/>
    <w:rsid w:val="00D77B63"/>
    <w:rsid w:val="00D80258"/>
    <w:rsid w:val="00D807D4"/>
    <w:rsid w:val="00D81878"/>
    <w:rsid w:val="00D818EB"/>
    <w:rsid w:val="00D819BE"/>
    <w:rsid w:val="00D81DA5"/>
    <w:rsid w:val="00D81E74"/>
    <w:rsid w:val="00D820BF"/>
    <w:rsid w:val="00D82214"/>
    <w:rsid w:val="00D82885"/>
    <w:rsid w:val="00D83463"/>
    <w:rsid w:val="00D83524"/>
    <w:rsid w:val="00D83B6C"/>
    <w:rsid w:val="00D84BCA"/>
    <w:rsid w:val="00D85728"/>
    <w:rsid w:val="00D8585F"/>
    <w:rsid w:val="00D85916"/>
    <w:rsid w:val="00D85944"/>
    <w:rsid w:val="00D85B1E"/>
    <w:rsid w:val="00D85CC5"/>
    <w:rsid w:val="00D867ED"/>
    <w:rsid w:val="00D86E23"/>
    <w:rsid w:val="00D872BB"/>
    <w:rsid w:val="00D876EA"/>
    <w:rsid w:val="00D87891"/>
    <w:rsid w:val="00D87CFC"/>
    <w:rsid w:val="00D90248"/>
    <w:rsid w:val="00D9037A"/>
    <w:rsid w:val="00D906C8"/>
    <w:rsid w:val="00D90A65"/>
    <w:rsid w:val="00D90CFC"/>
    <w:rsid w:val="00D90EAD"/>
    <w:rsid w:val="00D90FD3"/>
    <w:rsid w:val="00D917EE"/>
    <w:rsid w:val="00D92686"/>
    <w:rsid w:val="00D926FD"/>
    <w:rsid w:val="00D92739"/>
    <w:rsid w:val="00D929DA"/>
    <w:rsid w:val="00D939A0"/>
    <w:rsid w:val="00D94605"/>
    <w:rsid w:val="00D946A8"/>
    <w:rsid w:val="00D9498A"/>
    <w:rsid w:val="00D94C50"/>
    <w:rsid w:val="00D952E5"/>
    <w:rsid w:val="00D95F43"/>
    <w:rsid w:val="00D961BE"/>
    <w:rsid w:val="00D964DC"/>
    <w:rsid w:val="00D967D0"/>
    <w:rsid w:val="00D96D22"/>
    <w:rsid w:val="00D96D3F"/>
    <w:rsid w:val="00D96F3F"/>
    <w:rsid w:val="00D96FC5"/>
    <w:rsid w:val="00D974CE"/>
    <w:rsid w:val="00D9787C"/>
    <w:rsid w:val="00D97EF5"/>
    <w:rsid w:val="00DA1188"/>
    <w:rsid w:val="00DA11B6"/>
    <w:rsid w:val="00DA141E"/>
    <w:rsid w:val="00DA1652"/>
    <w:rsid w:val="00DA17B4"/>
    <w:rsid w:val="00DA1935"/>
    <w:rsid w:val="00DA1DFE"/>
    <w:rsid w:val="00DA25B5"/>
    <w:rsid w:val="00DA2A2B"/>
    <w:rsid w:val="00DA2E9D"/>
    <w:rsid w:val="00DA36A5"/>
    <w:rsid w:val="00DA37C2"/>
    <w:rsid w:val="00DA39E4"/>
    <w:rsid w:val="00DA3B4F"/>
    <w:rsid w:val="00DA41AA"/>
    <w:rsid w:val="00DA4552"/>
    <w:rsid w:val="00DA49C4"/>
    <w:rsid w:val="00DA4A69"/>
    <w:rsid w:val="00DA4B49"/>
    <w:rsid w:val="00DA4B4C"/>
    <w:rsid w:val="00DA5288"/>
    <w:rsid w:val="00DA6A54"/>
    <w:rsid w:val="00DA7A43"/>
    <w:rsid w:val="00DB0263"/>
    <w:rsid w:val="00DB0594"/>
    <w:rsid w:val="00DB0678"/>
    <w:rsid w:val="00DB0701"/>
    <w:rsid w:val="00DB08F6"/>
    <w:rsid w:val="00DB0917"/>
    <w:rsid w:val="00DB0D15"/>
    <w:rsid w:val="00DB1D6A"/>
    <w:rsid w:val="00DB20FD"/>
    <w:rsid w:val="00DB25C9"/>
    <w:rsid w:val="00DB35FF"/>
    <w:rsid w:val="00DB3B3F"/>
    <w:rsid w:val="00DB3BA8"/>
    <w:rsid w:val="00DB3C76"/>
    <w:rsid w:val="00DB3F11"/>
    <w:rsid w:val="00DB420A"/>
    <w:rsid w:val="00DB45B3"/>
    <w:rsid w:val="00DB464B"/>
    <w:rsid w:val="00DB587F"/>
    <w:rsid w:val="00DB5D4C"/>
    <w:rsid w:val="00DB5D5C"/>
    <w:rsid w:val="00DB6EEF"/>
    <w:rsid w:val="00DB7130"/>
    <w:rsid w:val="00DB72FC"/>
    <w:rsid w:val="00DB73B7"/>
    <w:rsid w:val="00DB7950"/>
    <w:rsid w:val="00DB7B6E"/>
    <w:rsid w:val="00DB7F86"/>
    <w:rsid w:val="00DC0D9A"/>
    <w:rsid w:val="00DC1014"/>
    <w:rsid w:val="00DC1175"/>
    <w:rsid w:val="00DC1321"/>
    <w:rsid w:val="00DC1450"/>
    <w:rsid w:val="00DC1687"/>
    <w:rsid w:val="00DC18AE"/>
    <w:rsid w:val="00DC191B"/>
    <w:rsid w:val="00DC1FC4"/>
    <w:rsid w:val="00DC20F8"/>
    <w:rsid w:val="00DC2582"/>
    <w:rsid w:val="00DC3223"/>
    <w:rsid w:val="00DC354A"/>
    <w:rsid w:val="00DC3585"/>
    <w:rsid w:val="00DC3991"/>
    <w:rsid w:val="00DC3C56"/>
    <w:rsid w:val="00DC416E"/>
    <w:rsid w:val="00DC4B3B"/>
    <w:rsid w:val="00DC4E82"/>
    <w:rsid w:val="00DC4F9A"/>
    <w:rsid w:val="00DC5277"/>
    <w:rsid w:val="00DC57C3"/>
    <w:rsid w:val="00DC5C30"/>
    <w:rsid w:val="00DC64BC"/>
    <w:rsid w:val="00DC6B0F"/>
    <w:rsid w:val="00DC6D89"/>
    <w:rsid w:val="00DC6E59"/>
    <w:rsid w:val="00DC7950"/>
    <w:rsid w:val="00DC7CA7"/>
    <w:rsid w:val="00DC7E2F"/>
    <w:rsid w:val="00DD025D"/>
    <w:rsid w:val="00DD0378"/>
    <w:rsid w:val="00DD0A83"/>
    <w:rsid w:val="00DD1291"/>
    <w:rsid w:val="00DD15BE"/>
    <w:rsid w:val="00DD1E55"/>
    <w:rsid w:val="00DD2AF2"/>
    <w:rsid w:val="00DD2D3F"/>
    <w:rsid w:val="00DD3343"/>
    <w:rsid w:val="00DD33E1"/>
    <w:rsid w:val="00DD34CE"/>
    <w:rsid w:val="00DD35E1"/>
    <w:rsid w:val="00DD3A79"/>
    <w:rsid w:val="00DD4154"/>
    <w:rsid w:val="00DD43FC"/>
    <w:rsid w:val="00DD4BBE"/>
    <w:rsid w:val="00DD56BA"/>
    <w:rsid w:val="00DD57FF"/>
    <w:rsid w:val="00DD585B"/>
    <w:rsid w:val="00DD5C26"/>
    <w:rsid w:val="00DD5C8B"/>
    <w:rsid w:val="00DD682D"/>
    <w:rsid w:val="00DD6E3F"/>
    <w:rsid w:val="00DD725F"/>
    <w:rsid w:val="00DD76C9"/>
    <w:rsid w:val="00DD7826"/>
    <w:rsid w:val="00DD7D45"/>
    <w:rsid w:val="00DE0043"/>
    <w:rsid w:val="00DE070C"/>
    <w:rsid w:val="00DE0B6F"/>
    <w:rsid w:val="00DE19E2"/>
    <w:rsid w:val="00DE1C9D"/>
    <w:rsid w:val="00DE392B"/>
    <w:rsid w:val="00DE4EF0"/>
    <w:rsid w:val="00DE53B8"/>
    <w:rsid w:val="00DE54C6"/>
    <w:rsid w:val="00DE55A8"/>
    <w:rsid w:val="00DE5CF4"/>
    <w:rsid w:val="00DE632C"/>
    <w:rsid w:val="00DE6FAB"/>
    <w:rsid w:val="00DF08F3"/>
    <w:rsid w:val="00DF097E"/>
    <w:rsid w:val="00DF0A6D"/>
    <w:rsid w:val="00DF0A94"/>
    <w:rsid w:val="00DF0D08"/>
    <w:rsid w:val="00DF1295"/>
    <w:rsid w:val="00DF1643"/>
    <w:rsid w:val="00DF1956"/>
    <w:rsid w:val="00DF1988"/>
    <w:rsid w:val="00DF1D3F"/>
    <w:rsid w:val="00DF1D80"/>
    <w:rsid w:val="00DF28D5"/>
    <w:rsid w:val="00DF299D"/>
    <w:rsid w:val="00DF2C85"/>
    <w:rsid w:val="00DF2EA7"/>
    <w:rsid w:val="00DF2FCC"/>
    <w:rsid w:val="00DF3EB6"/>
    <w:rsid w:val="00DF465E"/>
    <w:rsid w:val="00DF49E0"/>
    <w:rsid w:val="00DF57E9"/>
    <w:rsid w:val="00DF5D51"/>
    <w:rsid w:val="00DF5D9E"/>
    <w:rsid w:val="00DF6BE8"/>
    <w:rsid w:val="00DF6C76"/>
    <w:rsid w:val="00DF70BB"/>
    <w:rsid w:val="00DF7539"/>
    <w:rsid w:val="00DF7DA5"/>
    <w:rsid w:val="00E002DD"/>
    <w:rsid w:val="00E00984"/>
    <w:rsid w:val="00E01179"/>
    <w:rsid w:val="00E013EA"/>
    <w:rsid w:val="00E01AE2"/>
    <w:rsid w:val="00E0243A"/>
    <w:rsid w:val="00E02681"/>
    <w:rsid w:val="00E02C3F"/>
    <w:rsid w:val="00E03028"/>
    <w:rsid w:val="00E0369C"/>
    <w:rsid w:val="00E03717"/>
    <w:rsid w:val="00E03B0F"/>
    <w:rsid w:val="00E03DDF"/>
    <w:rsid w:val="00E04092"/>
    <w:rsid w:val="00E040DA"/>
    <w:rsid w:val="00E0506E"/>
    <w:rsid w:val="00E064D5"/>
    <w:rsid w:val="00E069ED"/>
    <w:rsid w:val="00E0706F"/>
    <w:rsid w:val="00E0728B"/>
    <w:rsid w:val="00E07847"/>
    <w:rsid w:val="00E10648"/>
    <w:rsid w:val="00E10E90"/>
    <w:rsid w:val="00E11F48"/>
    <w:rsid w:val="00E121AE"/>
    <w:rsid w:val="00E1244B"/>
    <w:rsid w:val="00E12845"/>
    <w:rsid w:val="00E12989"/>
    <w:rsid w:val="00E12CFF"/>
    <w:rsid w:val="00E12F0F"/>
    <w:rsid w:val="00E13098"/>
    <w:rsid w:val="00E13E07"/>
    <w:rsid w:val="00E1404F"/>
    <w:rsid w:val="00E141CF"/>
    <w:rsid w:val="00E1428C"/>
    <w:rsid w:val="00E146F5"/>
    <w:rsid w:val="00E14D6D"/>
    <w:rsid w:val="00E1512F"/>
    <w:rsid w:val="00E168C3"/>
    <w:rsid w:val="00E16C87"/>
    <w:rsid w:val="00E16FD8"/>
    <w:rsid w:val="00E17B77"/>
    <w:rsid w:val="00E204C9"/>
    <w:rsid w:val="00E20565"/>
    <w:rsid w:val="00E206DE"/>
    <w:rsid w:val="00E207F3"/>
    <w:rsid w:val="00E2087A"/>
    <w:rsid w:val="00E210A6"/>
    <w:rsid w:val="00E213B6"/>
    <w:rsid w:val="00E21878"/>
    <w:rsid w:val="00E21D12"/>
    <w:rsid w:val="00E2231F"/>
    <w:rsid w:val="00E226B8"/>
    <w:rsid w:val="00E22753"/>
    <w:rsid w:val="00E22DB5"/>
    <w:rsid w:val="00E233EA"/>
    <w:rsid w:val="00E236EE"/>
    <w:rsid w:val="00E23700"/>
    <w:rsid w:val="00E23C2C"/>
    <w:rsid w:val="00E23F34"/>
    <w:rsid w:val="00E242D7"/>
    <w:rsid w:val="00E24AC0"/>
    <w:rsid w:val="00E25B81"/>
    <w:rsid w:val="00E25C45"/>
    <w:rsid w:val="00E25E82"/>
    <w:rsid w:val="00E2606C"/>
    <w:rsid w:val="00E26406"/>
    <w:rsid w:val="00E26884"/>
    <w:rsid w:val="00E2774A"/>
    <w:rsid w:val="00E27DE7"/>
    <w:rsid w:val="00E27FF0"/>
    <w:rsid w:val="00E30852"/>
    <w:rsid w:val="00E30A54"/>
    <w:rsid w:val="00E30C71"/>
    <w:rsid w:val="00E319C8"/>
    <w:rsid w:val="00E31B8C"/>
    <w:rsid w:val="00E31F0A"/>
    <w:rsid w:val="00E31F61"/>
    <w:rsid w:val="00E3234B"/>
    <w:rsid w:val="00E32767"/>
    <w:rsid w:val="00E32D42"/>
    <w:rsid w:val="00E32E3C"/>
    <w:rsid w:val="00E32FCA"/>
    <w:rsid w:val="00E33237"/>
    <w:rsid w:val="00E33B0F"/>
    <w:rsid w:val="00E33C23"/>
    <w:rsid w:val="00E3406E"/>
    <w:rsid w:val="00E3438B"/>
    <w:rsid w:val="00E346EB"/>
    <w:rsid w:val="00E346F7"/>
    <w:rsid w:val="00E357CE"/>
    <w:rsid w:val="00E36105"/>
    <w:rsid w:val="00E364F6"/>
    <w:rsid w:val="00E3662E"/>
    <w:rsid w:val="00E36F0C"/>
    <w:rsid w:val="00E3702F"/>
    <w:rsid w:val="00E37162"/>
    <w:rsid w:val="00E373B8"/>
    <w:rsid w:val="00E37753"/>
    <w:rsid w:val="00E37867"/>
    <w:rsid w:val="00E37CB4"/>
    <w:rsid w:val="00E40BD9"/>
    <w:rsid w:val="00E40DCA"/>
    <w:rsid w:val="00E40DE7"/>
    <w:rsid w:val="00E410DA"/>
    <w:rsid w:val="00E41851"/>
    <w:rsid w:val="00E41E09"/>
    <w:rsid w:val="00E41E6A"/>
    <w:rsid w:val="00E41E80"/>
    <w:rsid w:val="00E42051"/>
    <w:rsid w:val="00E42AAB"/>
    <w:rsid w:val="00E42EFA"/>
    <w:rsid w:val="00E42FC9"/>
    <w:rsid w:val="00E43371"/>
    <w:rsid w:val="00E436B9"/>
    <w:rsid w:val="00E43A98"/>
    <w:rsid w:val="00E43FEB"/>
    <w:rsid w:val="00E443F7"/>
    <w:rsid w:val="00E4440B"/>
    <w:rsid w:val="00E449DA"/>
    <w:rsid w:val="00E44F08"/>
    <w:rsid w:val="00E45514"/>
    <w:rsid w:val="00E45DCE"/>
    <w:rsid w:val="00E46836"/>
    <w:rsid w:val="00E47574"/>
    <w:rsid w:val="00E477CA"/>
    <w:rsid w:val="00E47803"/>
    <w:rsid w:val="00E47E55"/>
    <w:rsid w:val="00E501CA"/>
    <w:rsid w:val="00E50336"/>
    <w:rsid w:val="00E506BF"/>
    <w:rsid w:val="00E50751"/>
    <w:rsid w:val="00E50F11"/>
    <w:rsid w:val="00E511E1"/>
    <w:rsid w:val="00E51760"/>
    <w:rsid w:val="00E5227C"/>
    <w:rsid w:val="00E52D25"/>
    <w:rsid w:val="00E52D64"/>
    <w:rsid w:val="00E52FD9"/>
    <w:rsid w:val="00E535DE"/>
    <w:rsid w:val="00E5368D"/>
    <w:rsid w:val="00E5438A"/>
    <w:rsid w:val="00E55724"/>
    <w:rsid w:val="00E55FD6"/>
    <w:rsid w:val="00E56501"/>
    <w:rsid w:val="00E56555"/>
    <w:rsid w:val="00E56FBE"/>
    <w:rsid w:val="00E57245"/>
    <w:rsid w:val="00E60832"/>
    <w:rsid w:val="00E60BBA"/>
    <w:rsid w:val="00E60C9B"/>
    <w:rsid w:val="00E60FDA"/>
    <w:rsid w:val="00E6139E"/>
    <w:rsid w:val="00E61A09"/>
    <w:rsid w:val="00E61AF2"/>
    <w:rsid w:val="00E61B66"/>
    <w:rsid w:val="00E61E68"/>
    <w:rsid w:val="00E630B5"/>
    <w:rsid w:val="00E632A9"/>
    <w:rsid w:val="00E634E7"/>
    <w:rsid w:val="00E63B9A"/>
    <w:rsid w:val="00E63DB6"/>
    <w:rsid w:val="00E641EF"/>
    <w:rsid w:val="00E64875"/>
    <w:rsid w:val="00E64DC0"/>
    <w:rsid w:val="00E65210"/>
    <w:rsid w:val="00E65B0C"/>
    <w:rsid w:val="00E65BED"/>
    <w:rsid w:val="00E663B3"/>
    <w:rsid w:val="00E67207"/>
    <w:rsid w:val="00E674F3"/>
    <w:rsid w:val="00E67972"/>
    <w:rsid w:val="00E67E4F"/>
    <w:rsid w:val="00E67F77"/>
    <w:rsid w:val="00E70136"/>
    <w:rsid w:val="00E705B4"/>
    <w:rsid w:val="00E71AEE"/>
    <w:rsid w:val="00E71E5C"/>
    <w:rsid w:val="00E72705"/>
    <w:rsid w:val="00E729A7"/>
    <w:rsid w:val="00E730FE"/>
    <w:rsid w:val="00E73AC0"/>
    <w:rsid w:val="00E73E40"/>
    <w:rsid w:val="00E744EA"/>
    <w:rsid w:val="00E746A9"/>
    <w:rsid w:val="00E7494B"/>
    <w:rsid w:val="00E74956"/>
    <w:rsid w:val="00E74C6A"/>
    <w:rsid w:val="00E75647"/>
    <w:rsid w:val="00E757EF"/>
    <w:rsid w:val="00E76015"/>
    <w:rsid w:val="00E7604A"/>
    <w:rsid w:val="00E76AC7"/>
    <w:rsid w:val="00E773C4"/>
    <w:rsid w:val="00E776A8"/>
    <w:rsid w:val="00E77B5D"/>
    <w:rsid w:val="00E80046"/>
    <w:rsid w:val="00E808A5"/>
    <w:rsid w:val="00E80AFF"/>
    <w:rsid w:val="00E816A0"/>
    <w:rsid w:val="00E8176A"/>
    <w:rsid w:val="00E81B2A"/>
    <w:rsid w:val="00E81DA8"/>
    <w:rsid w:val="00E824DC"/>
    <w:rsid w:val="00E82C52"/>
    <w:rsid w:val="00E83196"/>
    <w:rsid w:val="00E83426"/>
    <w:rsid w:val="00E83BD5"/>
    <w:rsid w:val="00E84157"/>
    <w:rsid w:val="00E84A07"/>
    <w:rsid w:val="00E85CF8"/>
    <w:rsid w:val="00E85E24"/>
    <w:rsid w:val="00E860A3"/>
    <w:rsid w:val="00E861F6"/>
    <w:rsid w:val="00E86397"/>
    <w:rsid w:val="00E86769"/>
    <w:rsid w:val="00E86A1B"/>
    <w:rsid w:val="00E86FF8"/>
    <w:rsid w:val="00E87334"/>
    <w:rsid w:val="00E876BD"/>
    <w:rsid w:val="00E8793B"/>
    <w:rsid w:val="00E87A0B"/>
    <w:rsid w:val="00E87C31"/>
    <w:rsid w:val="00E87D2A"/>
    <w:rsid w:val="00E87E72"/>
    <w:rsid w:val="00E90C9D"/>
    <w:rsid w:val="00E90DED"/>
    <w:rsid w:val="00E915E8"/>
    <w:rsid w:val="00E9160F"/>
    <w:rsid w:val="00E9195A"/>
    <w:rsid w:val="00E91C94"/>
    <w:rsid w:val="00E91D87"/>
    <w:rsid w:val="00E91ECF"/>
    <w:rsid w:val="00E92F65"/>
    <w:rsid w:val="00E938A1"/>
    <w:rsid w:val="00E93900"/>
    <w:rsid w:val="00E93A06"/>
    <w:rsid w:val="00E94720"/>
    <w:rsid w:val="00E94A9C"/>
    <w:rsid w:val="00E94C7A"/>
    <w:rsid w:val="00E94E51"/>
    <w:rsid w:val="00E95532"/>
    <w:rsid w:val="00E9569A"/>
    <w:rsid w:val="00E95F9E"/>
    <w:rsid w:val="00E96246"/>
    <w:rsid w:val="00E964CA"/>
    <w:rsid w:val="00E97461"/>
    <w:rsid w:val="00E9746B"/>
    <w:rsid w:val="00E9778B"/>
    <w:rsid w:val="00E97C07"/>
    <w:rsid w:val="00E97C1B"/>
    <w:rsid w:val="00EA0C9D"/>
    <w:rsid w:val="00EA0EF3"/>
    <w:rsid w:val="00EA1BD1"/>
    <w:rsid w:val="00EA1E27"/>
    <w:rsid w:val="00EA2A7F"/>
    <w:rsid w:val="00EA306A"/>
    <w:rsid w:val="00EA3110"/>
    <w:rsid w:val="00EA3B08"/>
    <w:rsid w:val="00EA488F"/>
    <w:rsid w:val="00EA4DED"/>
    <w:rsid w:val="00EA539E"/>
    <w:rsid w:val="00EA563E"/>
    <w:rsid w:val="00EA5E00"/>
    <w:rsid w:val="00EA5F34"/>
    <w:rsid w:val="00EA6026"/>
    <w:rsid w:val="00EA6182"/>
    <w:rsid w:val="00EA632C"/>
    <w:rsid w:val="00EA752E"/>
    <w:rsid w:val="00EA7B63"/>
    <w:rsid w:val="00EA7CBC"/>
    <w:rsid w:val="00EA7D93"/>
    <w:rsid w:val="00EB032F"/>
    <w:rsid w:val="00EB0A50"/>
    <w:rsid w:val="00EB0E46"/>
    <w:rsid w:val="00EB0F0F"/>
    <w:rsid w:val="00EB152E"/>
    <w:rsid w:val="00EB15B2"/>
    <w:rsid w:val="00EB2373"/>
    <w:rsid w:val="00EB2628"/>
    <w:rsid w:val="00EB2E16"/>
    <w:rsid w:val="00EB2EF8"/>
    <w:rsid w:val="00EB36C9"/>
    <w:rsid w:val="00EB537B"/>
    <w:rsid w:val="00EB5B4F"/>
    <w:rsid w:val="00EB5C8F"/>
    <w:rsid w:val="00EB60FA"/>
    <w:rsid w:val="00EB612E"/>
    <w:rsid w:val="00EB6E23"/>
    <w:rsid w:val="00EB7315"/>
    <w:rsid w:val="00EB77A7"/>
    <w:rsid w:val="00EB7B8E"/>
    <w:rsid w:val="00EB7BA7"/>
    <w:rsid w:val="00EB7EF5"/>
    <w:rsid w:val="00EC09D9"/>
    <w:rsid w:val="00EC13C0"/>
    <w:rsid w:val="00EC142B"/>
    <w:rsid w:val="00EC17AC"/>
    <w:rsid w:val="00EC1E8C"/>
    <w:rsid w:val="00EC2A4E"/>
    <w:rsid w:val="00EC325E"/>
    <w:rsid w:val="00EC3564"/>
    <w:rsid w:val="00EC3765"/>
    <w:rsid w:val="00EC3B8C"/>
    <w:rsid w:val="00EC42EE"/>
    <w:rsid w:val="00EC43A7"/>
    <w:rsid w:val="00EC6197"/>
    <w:rsid w:val="00EC634D"/>
    <w:rsid w:val="00EC6354"/>
    <w:rsid w:val="00EC6E4A"/>
    <w:rsid w:val="00EC6FC5"/>
    <w:rsid w:val="00EC7B54"/>
    <w:rsid w:val="00EC7E9E"/>
    <w:rsid w:val="00ED03CD"/>
    <w:rsid w:val="00ED0CBD"/>
    <w:rsid w:val="00ED1345"/>
    <w:rsid w:val="00ED1FE4"/>
    <w:rsid w:val="00ED20CE"/>
    <w:rsid w:val="00ED2846"/>
    <w:rsid w:val="00ED2C01"/>
    <w:rsid w:val="00ED305F"/>
    <w:rsid w:val="00ED34F3"/>
    <w:rsid w:val="00ED3796"/>
    <w:rsid w:val="00ED3A81"/>
    <w:rsid w:val="00ED3D0D"/>
    <w:rsid w:val="00ED3F00"/>
    <w:rsid w:val="00ED49B9"/>
    <w:rsid w:val="00ED4FBD"/>
    <w:rsid w:val="00ED5180"/>
    <w:rsid w:val="00ED6CAD"/>
    <w:rsid w:val="00ED71A9"/>
    <w:rsid w:val="00ED77C4"/>
    <w:rsid w:val="00ED7C23"/>
    <w:rsid w:val="00EE0363"/>
    <w:rsid w:val="00EE03FF"/>
    <w:rsid w:val="00EE053A"/>
    <w:rsid w:val="00EE05D7"/>
    <w:rsid w:val="00EE089C"/>
    <w:rsid w:val="00EE0AAA"/>
    <w:rsid w:val="00EE104A"/>
    <w:rsid w:val="00EE1A68"/>
    <w:rsid w:val="00EE1F36"/>
    <w:rsid w:val="00EE2176"/>
    <w:rsid w:val="00EE2558"/>
    <w:rsid w:val="00EE2A3A"/>
    <w:rsid w:val="00EE39BA"/>
    <w:rsid w:val="00EE40E6"/>
    <w:rsid w:val="00EE4427"/>
    <w:rsid w:val="00EE4FB6"/>
    <w:rsid w:val="00EE56C9"/>
    <w:rsid w:val="00EE5812"/>
    <w:rsid w:val="00EE583E"/>
    <w:rsid w:val="00EE5C72"/>
    <w:rsid w:val="00EE640D"/>
    <w:rsid w:val="00EE71B3"/>
    <w:rsid w:val="00EE7339"/>
    <w:rsid w:val="00EE770A"/>
    <w:rsid w:val="00EE78CA"/>
    <w:rsid w:val="00EE7AC3"/>
    <w:rsid w:val="00EF0698"/>
    <w:rsid w:val="00EF0FE6"/>
    <w:rsid w:val="00EF227C"/>
    <w:rsid w:val="00EF3D61"/>
    <w:rsid w:val="00EF494F"/>
    <w:rsid w:val="00EF4C41"/>
    <w:rsid w:val="00EF4C69"/>
    <w:rsid w:val="00EF67DB"/>
    <w:rsid w:val="00EF6A56"/>
    <w:rsid w:val="00EF741B"/>
    <w:rsid w:val="00EF78AB"/>
    <w:rsid w:val="00EF7F6E"/>
    <w:rsid w:val="00F014B6"/>
    <w:rsid w:val="00F01C78"/>
    <w:rsid w:val="00F03475"/>
    <w:rsid w:val="00F03614"/>
    <w:rsid w:val="00F03EFF"/>
    <w:rsid w:val="00F04106"/>
    <w:rsid w:val="00F04569"/>
    <w:rsid w:val="00F04855"/>
    <w:rsid w:val="00F04CE2"/>
    <w:rsid w:val="00F05698"/>
    <w:rsid w:val="00F0570D"/>
    <w:rsid w:val="00F06292"/>
    <w:rsid w:val="00F06343"/>
    <w:rsid w:val="00F066DC"/>
    <w:rsid w:val="00F06EF0"/>
    <w:rsid w:val="00F0765A"/>
    <w:rsid w:val="00F10108"/>
    <w:rsid w:val="00F10119"/>
    <w:rsid w:val="00F1030F"/>
    <w:rsid w:val="00F10829"/>
    <w:rsid w:val="00F10977"/>
    <w:rsid w:val="00F11484"/>
    <w:rsid w:val="00F11CB8"/>
    <w:rsid w:val="00F126D5"/>
    <w:rsid w:val="00F129BB"/>
    <w:rsid w:val="00F1345A"/>
    <w:rsid w:val="00F13614"/>
    <w:rsid w:val="00F13F67"/>
    <w:rsid w:val="00F15017"/>
    <w:rsid w:val="00F15CC0"/>
    <w:rsid w:val="00F163F1"/>
    <w:rsid w:val="00F1669F"/>
    <w:rsid w:val="00F16723"/>
    <w:rsid w:val="00F169F0"/>
    <w:rsid w:val="00F173A7"/>
    <w:rsid w:val="00F1743F"/>
    <w:rsid w:val="00F1796B"/>
    <w:rsid w:val="00F2030C"/>
    <w:rsid w:val="00F20503"/>
    <w:rsid w:val="00F208FF"/>
    <w:rsid w:val="00F20CE6"/>
    <w:rsid w:val="00F20FCB"/>
    <w:rsid w:val="00F21016"/>
    <w:rsid w:val="00F218E5"/>
    <w:rsid w:val="00F21A9C"/>
    <w:rsid w:val="00F221A4"/>
    <w:rsid w:val="00F22B1D"/>
    <w:rsid w:val="00F23066"/>
    <w:rsid w:val="00F235B7"/>
    <w:rsid w:val="00F23D20"/>
    <w:rsid w:val="00F23E18"/>
    <w:rsid w:val="00F23E37"/>
    <w:rsid w:val="00F2410F"/>
    <w:rsid w:val="00F247CA"/>
    <w:rsid w:val="00F24D51"/>
    <w:rsid w:val="00F2689D"/>
    <w:rsid w:val="00F27212"/>
    <w:rsid w:val="00F278A8"/>
    <w:rsid w:val="00F27E1F"/>
    <w:rsid w:val="00F308AD"/>
    <w:rsid w:val="00F31759"/>
    <w:rsid w:val="00F317D4"/>
    <w:rsid w:val="00F319DC"/>
    <w:rsid w:val="00F31C27"/>
    <w:rsid w:val="00F325F0"/>
    <w:rsid w:val="00F32810"/>
    <w:rsid w:val="00F32D11"/>
    <w:rsid w:val="00F32F9D"/>
    <w:rsid w:val="00F32FC2"/>
    <w:rsid w:val="00F33E13"/>
    <w:rsid w:val="00F3453C"/>
    <w:rsid w:val="00F34580"/>
    <w:rsid w:val="00F345EC"/>
    <w:rsid w:val="00F34DCD"/>
    <w:rsid w:val="00F34E4B"/>
    <w:rsid w:val="00F3609B"/>
    <w:rsid w:val="00F363F7"/>
    <w:rsid w:val="00F370D7"/>
    <w:rsid w:val="00F3795C"/>
    <w:rsid w:val="00F37FAC"/>
    <w:rsid w:val="00F400B4"/>
    <w:rsid w:val="00F40417"/>
    <w:rsid w:val="00F40476"/>
    <w:rsid w:val="00F4057A"/>
    <w:rsid w:val="00F4067C"/>
    <w:rsid w:val="00F40E44"/>
    <w:rsid w:val="00F40EAA"/>
    <w:rsid w:val="00F4121F"/>
    <w:rsid w:val="00F412D3"/>
    <w:rsid w:val="00F41304"/>
    <w:rsid w:val="00F41BD8"/>
    <w:rsid w:val="00F425C5"/>
    <w:rsid w:val="00F42B24"/>
    <w:rsid w:val="00F435AD"/>
    <w:rsid w:val="00F438C3"/>
    <w:rsid w:val="00F43CB1"/>
    <w:rsid w:val="00F43D84"/>
    <w:rsid w:val="00F43E86"/>
    <w:rsid w:val="00F43F4B"/>
    <w:rsid w:val="00F4410C"/>
    <w:rsid w:val="00F4475A"/>
    <w:rsid w:val="00F44DE8"/>
    <w:rsid w:val="00F4554B"/>
    <w:rsid w:val="00F45759"/>
    <w:rsid w:val="00F45982"/>
    <w:rsid w:val="00F45A0D"/>
    <w:rsid w:val="00F45BDA"/>
    <w:rsid w:val="00F4669E"/>
    <w:rsid w:val="00F467BA"/>
    <w:rsid w:val="00F46877"/>
    <w:rsid w:val="00F46C47"/>
    <w:rsid w:val="00F46E01"/>
    <w:rsid w:val="00F46E53"/>
    <w:rsid w:val="00F477BE"/>
    <w:rsid w:val="00F47F29"/>
    <w:rsid w:val="00F5063E"/>
    <w:rsid w:val="00F50648"/>
    <w:rsid w:val="00F508AD"/>
    <w:rsid w:val="00F50C2D"/>
    <w:rsid w:val="00F51033"/>
    <w:rsid w:val="00F5117A"/>
    <w:rsid w:val="00F51436"/>
    <w:rsid w:val="00F51AB4"/>
    <w:rsid w:val="00F525CA"/>
    <w:rsid w:val="00F527DF"/>
    <w:rsid w:val="00F52EFD"/>
    <w:rsid w:val="00F53079"/>
    <w:rsid w:val="00F53107"/>
    <w:rsid w:val="00F53126"/>
    <w:rsid w:val="00F53533"/>
    <w:rsid w:val="00F544E2"/>
    <w:rsid w:val="00F55BF9"/>
    <w:rsid w:val="00F55E2B"/>
    <w:rsid w:val="00F55EA1"/>
    <w:rsid w:val="00F568F5"/>
    <w:rsid w:val="00F5698F"/>
    <w:rsid w:val="00F56D7A"/>
    <w:rsid w:val="00F57683"/>
    <w:rsid w:val="00F60463"/>
    <w:rsid w:val="00F60664"/>
    <w:rsid w:val="00F60DC1"/>
    <w:rsid w:val="00F61A13"/>
    <w:rsid w:val="00F62DE2"/>
    <w:rsid w:val="00F640E7"/>
    <w:rsid w:val="00F64360"/>
    <w:rsid w:val="00F6472A"/>
    <w:rsid w:val="00F6488E"/>
    <w:rsid w:val="00F64E5A"/>
    <w:rsid w:val="00F6560B"/>
    <w:rsid w:val="00F656A8"/>
    <w:rsid w:val="00F65A3C"/>
    <w:rsid w:val="00F6673C"/>
    <w:rsid w:val="00F66B31"/>
    <w:rsid w:val="00F66E1E"/>
    <w:rsid w:val="00F675F2"/>
    <w:rsid w:val="00F67C2B"/>
    <w:rsid w:val="00F70029"/>
    <w:rsid w:val="00F70066"/>
    <w:rsid w:val="00F706DA"/>
    <w:rsid w:val="00F713B3"/>
    <w:rsid w:val="00F717BF"/>
    <w:rsid w:val="00F726DE"/>
    <w:rsid w:val="00F739D4"/>
    <w:rsid w:val="00F740F0"/>
    <w:rsid w:val="00F747F5"/>
    <w:rsid w:val="00F7523D"/>
    <w:rsid w:val="00F75742"/>
    <w:rsid w:val="00F76091"/>
    <w:rsid w:val="00F76598"/>
    <w:rsid w:val="00F76A81"/>
    <w:rsid w:val="00F77020"/>
    <w:rsid w:val="00F772ED"/>
    <w:rsid w:val="00F77F7D"/>
    <w:rsid w:val="00F804AF"/>
    <w:rsid w:val="00F81086"/>
    <w:rsid w:val="00F81347"/>
    <w:rsid w:val="00F813DD"/>
    <w:rsid w:val="00F81809"/>
    <w:rsid w:val="00F82C59"/>
    <w:rsid w:val="00F83900"/>
    <w:rsid w:val="00F83E01"/>
    <w:rsid w:val="00F8404D"/>
    <w:rsid w:val="00F84AE7"/>
    <w:rsid w:val="00F84FBA"/>
    <w:rsid w:val="00F85960"/>
    <w:rsid w:val="00F86174"/>
    <w:rsid w:val="00F861D4"/>
    <w:rsid w:val="00F86955"/>
    <w:rsid w:val="00F86BBC"/>
    <w:rsid w:val="00F86BE4"/>
    <w:rsid w:val="00F86E7F"/>
    <w:rsid w:val="00F87073"/>
    <w:rsid w:val="00F90191"/>
    <w:rsid w:val="00F90472"/>
    <w:rsid w:val="00F90B5F"/>
    <w:rsid w:val="00F911DB"/>
    <w:rsid w:val="00F912A1"/>
    <w:rsid w:val="00F91767"/>
    <w:rsid w:val="00F917E7"/>
    <w:rsid w:val="00F92B39"/>
    <w:rsid w:val="00F92B4F"/>
    <w:rsid w:val="00F92B6C"/>
    <w:rsid w:val="00F93306"/>
    <w:rsid w:val="00F933CA"/>
    <w:rsid w:val="00F934F4"/>
    <w:rsid w:val="00F93C31"/>
    <w:rsid w:val="00F941E9"/>
    <w:rsid w:val="00F9450A"/>
    <w:rsid w:val="00F94A09"/>
    <w:rsid w:val="00F94C5C"/>
    <w:rsid w:val="00F95460"/>
    <w:rsid w:val="00F95DE3"/>
    <w:rsid w:val="00F95ECF"/>
    <w:rsid w:val="00F970C0"/>
    <w:rsid w:val="00F970CA"/>
    <w:rsid w:val="00F973EC"/>
    <w:rsid w:val="00FA00A9"/>
    <w:rsid w:val="00FA0437"/>
    <w:rsid w:val="00FA055B"/>
    <w:rsid w:val="00FA0638"/>
    <w:rsid w:val="00FA0CA7"/>
    <w:rsid w:val="00FA1138"/>
    <w:rsid w:val="00FA12AC"/>
    <w:rsid w:val="00FA1929"/>
    <w:rsid w:val="00FA1B0C"/>
    <w:rsid w:val="00FA1B44"/>
    <w:rsid w:val="00FA1DA0"/>
    <w:rsid w:val="00FA1DEB"/>
    <w:rsid w:val="00FA2A12"/>
    <w:rsid w:val="00FA2F80"/>
    <w:rsid w:val="00FA32E0"/>
    <w:rsid w:val="00FA3472"/>
    <w:rsid w:val="00FA3557"/>
    <w:rsid w:val="00FA3620"/>
    <w:rsid w:val="00FA3714"/>
    <w:rsid w:val="00FA3BCF"/>
    <w:rsid w:val="00FA3D90"/>
    <w:rsid w:val="00FA404E"/>
    <w:rsid w:val="00FA483A"/>
    <w:rsid w:val="00FA48B2"/>
    <w:rsid w:val="00FA5DBB"/>
    <w:rsid w:val="00FA6CDB"/>
    <w:rsid w:val="00FA7079"/>
    <w:rsid w:val="00FA74A8"/>
    <w:rsid w:val="00FA7A67"/>
    <w:rsid w:val="00FA7E4C"/>
    <w:rsid w:val="00FA7E92"/>
    <w:rsid w:val="00FB015F"/>
    <w:rsid w:val="00FB0861"/>
    <w:rsid w:val="00FB0F76"/>
    <w:rsid w:val="00FB1001"/>
    <w:rsid w:val="00FB145D"/>
    <w:rsid w:val="00FB150B"/>
    <w:rsid w:val="00FB1AB1"/>
    <w:rsid w:val="00FB1E75"/>
    <w:rsid w:val="00FB1FA9"/>
    <w:rsid w:val="00FB23AD"/>
    <w:rsid w:val="00FB30F4"/>
    <w:rsid w:val="00FB3B0B"/>
    <w:rsid w:val="00FB4789"/>
    <w:rsid w:val="00FB4E9E"/>
    <w:rsid w:val="00FB4F0F"/>
    <w:rsid w:val="00FB5575"/>
    <w:rsid w:val="00FB59E9"/>
    <w:rsid w:val="00FB5BF2"/>
    <w:rsid w:val="00FB6136"/>
    <w:rsid w:val="00FB6212"/>
    <w:rsid w:val="00FB64D5"/>
    <w:rsid w:val="00FB668C"/>
    <w:rsid w:val="00FB7257"/>
    <w:rsid w:val="00FB79BC"/>
    <w:rsid w:val="00FB7A09"/>
    <w:rsid w:val="00FC04BF"/>
    <w:rsid w:val="00FC0D9D"/>
    <w:rsid w:val="00FC106F"/>
    <w:rsid w:val="00FC1874"/>
    <w:rsid w:val="00FC19FC"/>
    <w:rsid w:val="00FC26E3"/>
    <w:rsid w:val="00FC275D"/>
    <w:rsid w:val="00FC2792"/>
    <w:rsid w:val="00FC28E2"/>
    <w:rsid w:val="00FC2CCF"/>
    <w:rsid w:val="00FC2D02"/>
    <w:rsid w:val="00FC2EBF"/>
    <w:rsid w:val="00FC3A1F"/>
    <w:rsid w:val="00FC40E6"/>
    <w:rsid w:val="00FC44F1"/>
    <w:rsid w:val="00FC4611"/>
    <w:rsid w:val="00FC4A16"/>
    <w:rsid w:val="00FC4A70"/>
    <w:rsid w:val="00FC4ACE"/>
    <w:rsid w:val="00FC4B6A"/>
    <w:rsid w:val="00FC4E57"/>
    <w:rsid w:val="00FC4ECA"/>
    <w:rsid w:val="00FC54FE"/>
    <w:rsid w:val="00FC554E"/>
    <w:rsid w:val="00FC556D"/>
    <w:rsid w:val="00FC5872"/>
    <w:rsid w:val="00FC5CDE"/>
    <w:rsid w:val="00FC5F55"/>
    <w:rsid w:val="00FC5FC3"/>
    <w:rsid w:val="00FC6165"/>
    <w:rsid w:val="00FC68A2"/>
    <w:rsid w:val="00FC691B"/>
    <w:rsid w:val="00FC71A8"/>
    <w:rsid w:val="00FC728C"/>
    <w:rsid w:val="00FC741E"/>
    <w:rsid w:val="00FD13EB"/>
    <w:rsid w:val="00FD1630"/>
    <w:rsid w:val="00FD1874"/>
    <w:rsid w:val="00FD1884"/>
    <w:rsid w:val="00FD20D8"/>
    <w:rsid w:val="00FD22F1"/>
    <w:rsid w:val="00FD2449"/>
    <w:rsid w:val="00FD2944"/>
    <w:rsid w:val="00FD2E51"/>
    <w:rsid w:val="00FD34AB"/>
    <w:rsid w:val="00FD38FF"/>
    <w:rsid w:val="00FD3D57"/>
    <w:rsid w:val="00FD3DE3"/>
    <w:rsid w:val="00FD3EE1"/>
    <w:rsid w:val="00FD424B"/>
    <w:rsid w:val="00FD46AD"/>
    <w:rsid w:val="00FD4F78"/>
    <w:rsid w:val="00FD50D1"/>
    <w:rsid w:val="00FD5CCB"/>
    <w:rsid w:val="00FD5FE8"/>
    <w:rsid w:val="00FD6269"/>
    <w:rsid w:val="00FD6818"/>
    <w:rsid w:val="00FD6945"/>
    <w:rsid w:val="00FD6E6C"/>
    <w:rsid w:val="00FD6EA9"/>
    <w:rsid w:val="00FD704A"/>
    <w:rsid w:val="00FD709F"/>
    <w:rsid w:val="00FD7326"/>
    <w:rsid w:val="00FE0353"/>
    <w:rsid w:val="00FE0484"/>
    <w:rsid w:val="00FE11A4"/>
    <w:rsid w:val="00FE19DD"/>
    <w:rsid w:val="00FE245D"/>
    <w:rsid w:val="00FE2E1A"/>
    <w:rsid w:val="00FE34A8"/>
    <w:rsid w:val="00FE36AF"/>
    <w:rsid w:val="00FE379F"/>
    <w:rsid w:val="00FE3904"/>
    <w:rsid w:val="00FE46DA"/>
    <w:rsid w:val="00FE4B38"/>
    <w:rsid w:val="00FE50B8"/>
    <w:rsid w:val="00FE5266"/>
    <w:rsid w:val="00FE5FEA"/>
    <w:rsid w:val="00FE61A0"/>
    <w:rsid w:val="00FE6E6C"/>
    <w:rsid w:val="00FE745A"/>
    <w:rsid w:val="00FE7638"/>
    <w:rsid w:val="00FE7AF1"/>
    <w:rsid w:val="00FE7B1D"/>
    <w:rsid w:val="00FE7F04"/>
    <w:rsid w:val="00FF01DD"/>
    <w:rsid w:val="00FF05B6"/>
    <w:rsid w:val="00FF086E"/>
    <w:rsid w:val="00FF15E1"/>
    <w:rsid w:val="00FF16C9"/>
    <w:rsid w:val="00FF1F30"/>
    <w:rsid w:val="00FF20CC"/>
    <w:rsid w:val="00FF2179"/>
    <w:rsid w:val="00FF265E"/>
    <w:rsid w:val="00FF2742"/>
    <w:rsid w:val="00FF2AFE"/>
    <w:rsid w:val="00FF2D3E"/>
    <w:rsid w:val="00FF38FC"/>
    <w:rsid w:val="00FF3F97"/>
    <w:rsid w:val="00FF3FBA"/>
    <w:rsid w:val="00FF432C"/>
    <w:rsid w:val="00FF44D0"/>
    <w:rsid w:val="00FF4C39"/>
    <w:rsid w:val="00FF4E35"/>
    <w:rsid w:val="00FF5302"/>
    <w:rsid w:val="00FF5389"/>
    <w:rsid w:val="00FF559C"/>
    <w:rsid w:val="00FF55A6"/>
    <w:rsid w:val="00FF567C"/>
    <w:rsid w:val="00FF611F"/>
    <w:rsid w:val="00FF64D0"/>
    <w:rsid w:val="00FF683E"/>
    <w:rsid w:val="00FF7535"/>
    <w:rsid w:val="00FF77DE"/>
    <w:rsid w:val="00FF7A7F"/>
    <w:rsid w:val="00FF7D7F"/>
    <w:rsid w:val="00FF7EA0"/>
    <w:rsid w:val="058844F7"/>
    <w:rsid w:val="2F0609CB"/>
    <w:rsid w:val="31D78A70"/>
    <w:rsid w:val="5C5A1E3D"/>
    <w:rsid w:val="7295E4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D502"/>
  <w15:docId w15:val="{D7213FCA-C4AE-4119-A047-51D4437E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E3C5B"/>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3E3CBE"/>
    <w:rPr>
      <w:sz w:val="16"/>
      <w:szCs w:val="16"/>
    </w:rPr>
  </w:style>
  <w:style w:type="paragraph" w:styleId="CommentText">
    <w:name w:val="annotation text"/>
    <w:basedOn w:val="Normal"/>
    <w:link w:val="CommentTextChar"/>
    <w:uiPriority w:val="99"/>
    <w:unhideWhenUsed/>
    <w:rsid w:val="003E3CBE"/>
    <w:pPr>
      <w:spacing w:before="0" w:after="100" w:line="259" w:lineRule="auto"/>
    </w:pPr>
    <w:rPr>
      <w:rFonts w:asciiTheme="minorHAnsi" w:eastAsiaTheme="minorEastAsia" w:hAnsiTheme="minorHAnsi"/>
      <w:sz w:val="20"/>
      <w:szCs w:val="22"/>
      <w:lang w:val="en-US"/>
    </w:rPr>
  </w:style>
  <w:style w:type="character" w:customStyle="1" w:styleId="CommentTextChar">
    <w:name w:val="Comment Text Char"/>
    <w:basedOn w:val="DefaultParagraphFont"/>
    <w:link w:val="CommentText"/>
    <w:uiPriority w:val="99"/>
    <w:rsid w:val="003E3CBE"/>
    <w:rPr>
      <w:rFonts w:eastAsiaTheme="minorEastAsia"/>
      <w:szCs w:val="22"/>
    </w:rPr>
  </w:style>
  <w:style w:type="character" w:styleId="Strong">
    <w:name w:val="Strong"/>
    <w:basedOn w:val="DefaultParagraphFont"/>
    <w:uiPriority w:val="22"/>
    <w:qFormat/>
    <w:rsid w:val="003E3CBE"/>
    <w:rPr>
      <w:b/>
      <w:bCs/>
    </w:rPr>
  </w:style>
  <w:style w:type="paragraph" w:styleId="CommentSubject">
    <w:name w:val="annotation subject"/>
    <w:basedOn w:val="CommentText"/>
    <w:next w:val="CommentText"/>
    <w:link w:val="CommentSubjectChar"/>
    <w:uiPriority w:val="99"/>
    <w:semiHidden/>
    <w:rsid w:val="009F36E2"/>
    <w:pPr>
      <w:spacing w:before="40" w:after="40" w:line="240" w:lineRule="auto"/>
    </w:pPr>
    <w:rPr>
      <w:rFonts w:ascii="Arial" w:eastAsiaTheme="minorHAnsi" w:hAnsi="Arial"/>
      <w:b/>
      <w:bCs/>
      <w:szCs w:val="20"/>
      <w:lang w:val="en-AU"/>
    </w:rPr>
  </w:style>
  <w:style w:type="character" w:customStyle="1" w:styleId="CommentSubjectChar">
    <w:name w:val="Comment Subject Char"/>
    <w:basedOn w:val="CommentTextChar"/>
    <w:link w:val="CommentSubject"/>
    <w:uiPriority w:val="99"/>
    <w:semiHidden/>
    <w:rsid w:val="009F36E2"/>
    <w:rPr>
      <w:rFonts w:ascii="Arial" w:eastAsiaTheme="minorEastAsia" w:hAnsi="Arial"/>
      <w:b/>
      <w:bCs/>
      <w:szCs w:val="22"/>
      <w:lang w:val="en-AU"/>
    </w:rPr>
  </w:style>
  <w:style w:type="paragraph" w:styleId="Revision">
    <w:name w:val="Revision"/>
    <w:hidden/>
    <w:uiPriority w:val="99"/>
    <w:semiHidden/>
    <w:rsid w:val="0019420A"/>
    <w:pPr>
      <w:spacing w:after="0" w:line="240" w:lineRule="auto"/>
    </w:pPr>
    <w:rPr>
      <w:rFonts w:ascii="Arial" w:hAnsi="Arial"/>
      <w:sz w:val="22"/>
      <w:lang w:val="en-AU"/>
    </w:rPr>
  </w:style>
  <w:style w:type="character" w:styleId="FollowedHyperlink">
    <w:name w:val="FollowedHyperlink"/>
    <w:basedOn w:val="DefaultParagraphFont"/>
    <w:uiPriority w:val="99"/>
    <w:semiHidden/>
    <w:rsid w:val="00937BD7"/>
    <w:rPr>
      <w:color w:val="800080" w:themeColor="followedHyperlink"/>
      <w:u w:val="single"/>
    </w:rPr>
  </w:style>
  <w:style w:type="character" w:styleId="Mention">
    <w:name w:val="Mention"/>
    <w:basedOn w:val="DefaultParagraphFont"/>
    <w:uiPriority w:val="99"/>
    <w:unhideWhenUsed/>
    <w:rsid w:val="00C042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229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08595861">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5334816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4/relationships/chartEx" Target="charts/chartEx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5.xml"/><Relationship Id="rId28" Type="http://schemas.openxmlformats.org/officeDocument/2006/relationships/chart" Target="charts/chart8.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chart" Target="charts/chart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sites/default/files/2024-03/p2024-495252-full-report_0.pdf" TargetMode="External"/><Relationship Id="rId7" Type="http://schemas.openxmlformats.org/officeDocument/2006/relationships/hyperlink" Target="https://www.jobsandskills.gov.au/publications/occupation-shortage-report-june-2025" TargetMode="External"/><Relationship Id="rId2" Type="http://schemas.openxmlformats.org/officeDocument/2006/relationships/hyperlink" Target="https://www.jobsandskills.gov.au/data/recruitment-experiences-and-outlook-survey" TargetMode="External"/><Relationship Id="rId1" Type="http://schemas.openxmlformats.org/officeDocument/2006/relationships/hyperlink" Target="https://www.jobsandskills.gov.au/studies/generative-artificial-intelligence-capacity-study" TargetMode="External"/><Relationship Id="rId6" Type="http://schemas.openxmlformats.org/officeDocument/2006/relationships/hyperlink" Target="https://www.jobsandskills.gov.au/publications/occupation-shortage-report-march-2025" TargetMode="External"/><Relationship Id="rId5" Type="http://schemas.openxmlformats.org/officeDocument/2006/relationships/hyperlink" Target="https://www.abs.gov.au/statistics/labour/employment-and-unemployment/participation-job-search-and-mobility-australia/feb-2025" TargetMode="External"/><Relationship Id="rId4" Type="http://schemas.openxmlformats.org/officeDocument/2006/relationships/hyperlink" Target="https://www.rba.gov.au/publications/smp/2025/may/overview.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Labour%20Supply%20Index\update%20for%202025%20June%20KSR\Analysis%20of%20changes%20in%20LSI%202024-2025%20for%20KFR%20short%20note.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083388504652274E-2"/>
          <c:y val="4.9695053083352154E-2"/>
          <c:w val="0.88880410387385522"/>
          <c:h val="0.88135688482806829"/>
        </c:manualLayout>
      </c:layout>
      <c:barChart>
        <c:barDir val="bar"/>
        <c:grouping val="clustered"/>
        <c:varyColors val="0"/>
        <c:ser>
          <c:idx val="0"/>
          <c:order val="0"/>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 (OSCA)'!$A$2:$A$6</c:f>
              <c:numCache>
                <c:formatCode>General</c:formatCode>
                <c:ptCount val="5"/>
                <c:pt idx="0">
                  <c:v>2021</c:v>
                </c:pt>
                <c:pt idx="1">
                  <c:v>2022</c:v>
                </c:pt>
                <c:pt idx="2">
                  <c:v>2023</c:v>
                </c:pt>
                <c:pt idx="3">
                  <c:v>2024</c:v>
                </c:pt>
                <c:pt idx="4">
                  <c:v>2025</c:v>
                </c:pt>
              </c:numCache>
            </c:numRef>
          </c:cat>
          <c:val>
            <c:numRef>
              <c:f>'Figure 1 (OSCA)'!$B$2:$B$6</c:f>
              <c:numCache>
                <c:formatCode>0%</c:formatCode>
                <c:ptCount val="5"/>
                <c:pt idx="0">
                  <c:v>0.2160633484162896</c:v>
                </c:pt>
                <c:pt idx="1">
                  <c:v>0.31213307240704502</c:v>
                </c:pt>
                <c:pt idx="2">
                  <c:v>0.36203522504892366</c:v>
                </c:pt>
                <c:pt idx="3">
                  <c:v>0.32583170254403132</c:v>
                </c:pt>
                <c:pt idx="4">
                  <c:v>0.28669275929549903</c:v>
                </c:pt>
              </c:numCache>
            </c:numRef>
          </c:val>
          <c:extLst>
            <c:ext xmlns:c16="http://schemas.microsoft.com/office/drawing/2014/chart" uri="{C3380CC4-5D6E-409C-BE32-E72D297353CC}">
              <c16:uniqueId val="{00000000-697A-4388-90E1-FC4875CD4F35}"/>
            </c:ext>
          </c:extLst>
        </c:ser>
        <c:dLbls>
          <c:showLegendKey val="0"/>
          <c:showVal val="0"/>
          <c:showCatName val="0"/>
          <c:showSerName val="0"/>
          <c:showPercent val="0"/>
          <c:showBubbleSize val="0"/>
        </c:dLbls>
        <c:gapWidth val="100"/>
        <c:axId val="957607392"/>
        <c:axId val="957587232"/>
      </c:barChart>
      <c:catAx>
        <c:axId val="95760739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7587232"/>
        <c:crosses val="autoZero"/>
        <c:auto val="1"/>
        <c:lblAlgn val="ctr"/>
        <c:lblOffset val="100"/>
        <c:noMultiLvlLbl val="0"/>
      </c:catAx>
      <c:valAx>
        <c:axId val="957587232"/>
        <c:scaling>
          <c:orientation val="minMax"/>
          <c:min val="0"/>
        </c:scaling>
        <c:delete val="0"/>
        <c:axPos val="t"/>
        <c:numFmt formatCode="0%" sourceLinked="1"/>
        <c:majorTickMark val="out"/>
        <c:minorTickMark val="none"/>
        <c:tickLblPos val="high"/>
        <c:spPr>
          <a:noFill/>
          <a:ln>
            <a:noFill/>
          </a:ln>
          <a:effectLst/>
        </c:spPr>
        <c:txPr>
          <a:bodyPr rot="-60000000" spcFirstLastPara="1" vertOverflow="ellipsis" vert="horz" wrap="square" anchor="ctr" anchorCtr="1"/>
          <a:lstStyle/>
          <a:p>
            <a:pPr>
              <a:defRPr sz="800" b="0" i="0" u="none" strike="noStrike" kern="1200" baseline="0">
                <a:noFill/>
                <a:latin typeface="Arial" panose="020B0604020202020204" pitchFamily="34" charset="0"/>
                <a:ea typeface="+mn-ea"/>
                <a:cs typeface="Arial" panose="020B0604020202020204" pitchFamily="34" charset="0"/>
              </a:defRPr>
            </a:pPr>
            <a:endParaRPr lang="en-US"/>
          </a:p>
        </c:txPr>
        <c:crossAx val="957607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10b (ANZSCO 2022)'!$B$24</c:f>
              <c:strCache>
                <c:ptCount val="1"/>
                <c:pt idx="0">
                  <c:v>2021</c:v>
                </c:pt>
              </c:strCache>
            </c:strRef>
          </c:tx>
          <c:spPr>
            <a:solidFill>
              <a:srgbClr val="6929C4"/>
            </a:solidFill>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2022)'!$B$25:$B$29</c:f>
              <c:numCache>
                <c:formatCode>0%</c:formatCode>
                <c:ptCount val="5"/>
                <c:pt idx="0">
                  <c:v>0.20797720797720798</c:v>
                </c:pt>
                <c:pt idx="1">
                  <c:v>0.11504424778761062</c:v>
                </c:pt>
                <c:pt idx="2">
                  <c:v>0.39080459770114945</c:v>
                </c:pt>
                <c:pt idx="3">
                  <c:v>8.6956521739130432E-2</c:v>
                </c:pt>
                <c:pt idx="4">
                  <c:v>0.20681265206812652</c:v>
                </c:pt>
              </c:numCache>
            </c:numRef>
          </c:val>
          <c:extLst>
            <c:ext xmlns:c16="http://schemas.microsoft.com/office/drawing/2014/chart" uri="{C3380CC4-5D6E-409C-BE32-E72D297353CC}">
              <c16:uniqueId val="{00000000-61F1-44A3-BE59-0CCE129F7097}"/>
            </c:ext>
          </c:extLst>
        </c:ser>
        <c:ser>
          <c:idx val="1"/>
          <c:order val="1"/>
          <c:tx>
            <c:strRef>
              <c:f>'Figure 10b (ANZSCO 2022)'!$C$24</c:f>
              <c:strCache>
                <c:ptCount val="1"/>
                <c:pt idx="0">
                  <c:v>2022</c:v>
                </c:pt>
              </c:strCache>
            </c:strRef>
          </c:tx>
          <c:spPr>
            <a:solidFill>
              <a:srgbClr val="009D9A"/>
            </a:solidFill>
            <a:ln>
              <a:solidFill>
                <a:srgbClr val="009D9A"/>
              </a:solidFill>
            </a:ln>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2022)'!$C$25:$C$29</c:f>
              <c:numCache>
                <c:formatCode>0%</c:formatCode>
                <c:ptCount val="5"/>
                <c:pt idx="0">
                  <c:v>0.35064935064935066</c:v>
                </c:pt>
                <c:pt idx="1">
                  <c:v>0.1889763779527559</c:v>
                </c:pt>
                <c:pt idx="2">
                  <c:v>0.46938775510204084</c:v>
                </c:pt>
                <c:pt idx="3">
                  <c:v>0.18269230769230768</c:v>
                </c:pt>
                <c:pt idx="4">
                  <c:v>0.31550218340611352</c:v>
                </c:pt>
              </c:numCache>
            </c:numRef>
          </c:val>
          <c:extLst>
            <c:ext xmlns:c16="http://schemas.microsoft.com/office/drawing/2014/chart" uri="{C3380CC4-5D6E-409C-BE32-E72D297353CC}">
              <c16:uniqueId val="{00000001-61F1-44A3-BE59-0CCE129F7097}"/>
            </c:ext>
          </c:extLst>
        </c:ser>
        <c:ser>
          <c:idx val="2"/>
          <c:order val="2"/>
          <c:tx>
            <c:strRef>
              <c:f>'Figure 10b (ANZSCO 2022)'!$D$24</c:f>
              <c:strCache>
                <c:ptCount val="1"/>
                <c:pt idx="0">
                  <c:v>2023</c:v>
                </c:pt>
              </c:strCache>
            </c:strRef>
          </c:tx>
          <c:spPr>
            <a:solidFill>
              <a:srgbClr val="012749"/>
            </a:solidFill>
            <a:ln>
              <a:solidFill>
                <a:srgbClr val="012749"/>
              </a:solidFill>
            </a:ln>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2022)'!$D$25:$D$29</c:f>
              <c:numCache>
                <c:formatCode>0%</c:formatCode>
                <c:ptCount val="5"/>
                <c:pt idx="0">
                  <c:v>0.42077922077922075</c:v>
                </c:pt>
                <c:pt idx="1">
                  <c:v>0.24409448818897639</c:v>
                </c:pt>
                <c:pt idx="2">
                  <c:v>0.46938775510204084</c:v>
                </c:pt>
                <c:pt idx="3">
                  <c:v>0.22596153846153846</c:v>
                </c:pt>
                <c:pt idx="4">
                  <c:v>0.36244541484716158</c:v>
                </c:pt>
              </c:numCache>
            </c:numRef>
          </c:val>
          <c:extLst>
            <c:ext xmlns:c16="http://schemas.microsoft.com/office/drawing/2014/chart" uri="{C3380CC4-5D6E-409C-BE32-E72D297353CC}">
              <c16:uniqueId val="{00000002-61F1-44A3-BE59-0CCE129F7097}"/>
            </c:ext>
          </c:extLst>
        </c:ser>
        <c:ser>
          <c:idx val="3"/>
          <c:order val="3"/>
          <c:tx>
            <c:strRef>
              <c:f>'Figure 10b (ANZSCO 2022)'!$E$24</c:f>
              <c:strCache>
                <c:ptCount val="1"/>
                <c:pt idx="0">
                  <c:v>2024</c:v>
                </c:pt>
              </c:strCache>
            </c:strRef>
          </c:tx>
          <c:spPr>
            <a:solidFill>
              <a:srgbClr val="EE538B"/>
            </a:solidFill>
            <a:ln>
              <a:solidFill>
                <a:srgbClr val="EE538B"/>
              </a:solidFill>
            </a:ln>
            <a:effectLst/>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2022)'!$E$25:$E$29</c:f>
              <c:numCache>
                <c:formatCode>0%</c:formatCode>
                <c:ptCount val="5"/>
                <c:pt idx="0">
                  <c:v>0.39220779220779223</c:v>
                </c:pt>
                <c:pt idx="1">
                  <c:v>0.23622047244094488</c:v>
                </c:pt>
                <c:pt idx="2">
                  <c:v>0.45918367346938777</c:v>
                </c:pt>
                <c:pt idx="3">
                  <c:v>0.15384615384615385</c:v>
                </c:pt>
                <c:pt idx="4">
                  <c:v>0.33078602620087338</c:v>
                </c:pt>
              </c:numCache>
            </c:numRef>
          </c:val>
          <c:extLst>
            <c:ext xmlns:c16="http://schemas.microsoft.com/office/drawing/2014/chart" uri="{C3380CC4-5D6E-409C-BE32-E72D297353CC}">
              <c16:uniqueId val="{00000003-61F1-44A3-BE59-0CCE129F7097}"/>
            </c:ext>
          </c:extLst>
        </c:ser>
        <c:ser>
          <c:idx val="4"/>
          <c:order val="4"/>
          <c:tx>
            <c:strRef>
              <c:f>'Figure 10b (ANZSCO 2022)'!$F$24</c:f>
              <c:strCache>
                <c:ptCount val="1"/>
                <c:pt idx="0">
                  <c:v>2025</c:v>
                </c:pt>
              </c:strCache>
            </c:strRef>
          </c:tx>
          <c:spPr>
            <a:solidFill>
              <a:srgbClr val="1192E8"/>
            </a:solidFill>
            <a:ln>
              <a:solidFill>
                <a:srgbClr val="1192E8"/>
              </a:solidFill>
            </a:ln>
            <a:effectLst/>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2022)'!$F$25:$F$29</c:f>
              <c:numCache>
                <c:formatCode>0%</c:formatCode>
                <c:ptCount val="5"/>
                <c:pt idx="0">
                  <c:v>0.33506493506493507</c:v>
                </c:pt>
                <c:pt idx="1">
                  <c:v>0.2125984251968504</c:v>
                </c:pt>
                <c:pt idx="2">
                  <c:v>0.44387755102040816</c:v>
                </c:pt>
                <c:pt idx="3">
                  <c:v>0.14423076923076922</c:v>
                </c:pt>
                <c:pt idx="4">
                  <c:v>0.29803493449781659</c:v>
                </c:pt>
              </c:numCache>
            </c:numRef>
          </c:val>
          <c:extLst>
            <c:ext xmlns:c16="http://schemas.microsoft.com/office/drawing/2014/chart" uri="{C3380CC4-5D6E-409C-BE32-E72D297353CC}">
              <c16:uniqueId val="{00000004-61F1-44A3-BE59-0CCE129F7097}"/>
            </c:ext>
          </c:extLst>
        </c:ser>
        <c:dLbls>
          <c:dLblPos val="outEnd"/>
          <c:showLegendKey val="0"/>
          <c:showVal val="1"/>
          <c:showCatName val="0"/>
          <c:showSerName val="0"/>
          <c:showPercent val="0"/>
          <c:showBubbleSize val="0"/>
        </c:dLbls>
        <c:gapWidth val="219"/>
        <c:overlap val="-27"/>
        <c:axId val="957614112"/>
        <c:axId val="957615072"/>
      </c:barChart>
      <c:catAx>
        <c:axId val="957614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vert="horz"/>
          <a:lstStyle/>
          <a:p>
            <a:pPr>
              <a:defRPr/>
            </a:pPr>
            <a:endParaRPr lang="en-US"/>
          </a:p>
        </c:txPr>
        <c:crossAx val="957615072"/>
        <c:crosses val="autoZero"/>
        <c:auto val="1"/>
        <c:lblAlgn val="ctr"/>
        <c:lblOffset val="100"/>
        <c:noMultiLvlLbl val="0"/>
      </c:catAx>
      <c:valAx>
        <c:axId val="957615072"/>
        <c:scaling>
          <c:orientation val="minMax"/>
        </c:scaling>
        <c:delete val="0"/>
        <c:axPos val="l"/>
        <c:numFmt formatCode="0%" sourceLinked="0"/>
        <c:majorTickMark val="out"/>
        <c:minorTickMark val="none"/>
        <c:tickLblPos val="nextTo"/>
        <c:spPr>
          <a:noFill/>
          <a:ln>
            <a:noFill/>
          </a:ln>
          <a:effectLst/>
        </c:spPr>
        <c:txPr>
          <a:bodyPr rot="-60000000" vert="horz"/>
          <a:lstStyle/>
          <a:p>
            <a:pPr>
              <a:defRPr/>
            </a:pPr>
            <a:endParaRPr lang="en-US"/>
          </a:p>
        </c:txPr>
        <c:crossAx val="957614112"/>
        <c:crosses val="autoZero"/>
        <c:crossBetween val="between"/>
        <c:majorUnit val="0.2"/>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11448674952324E-2"/>
          <c:y val="4.0993588332819811E-2"/>
          <c:w val="0.90333697200850482"/>
          <c:h val="0.69545884315906559"/>
        </c:manualLayout>
      </c:layout>
      <c:barChart>
        <c:barDir val="col"/>
        <c:grouping val="clustered"/>
        <c:varyColors val="0"/>
        <c:ser>
          <c:idx val="0"/>
          <c:order val="0"/>
          <c:tx>
            <c:strRef>
              <c:f>'Figure 2 and 3 (OSCA)'!$B$3</c:f>
              <c:strCache>
                <c:ptCount val="1"/>
                <c:pt idx="0">
                  <c:v>2021</c:v>
                </c:pt>
              </c:strCache>
            </c:strRef>
          </c:tx>
          <c:spPr>
            <a:solidFill>
              <a:srgbClr val="6929C4"/>
            </a:solidFill>
            <a:ln>
              <a:solidFill>
                <a:srgbClr val="6929C4"/>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(OSCA)'!$B$4:$B$12</c:f>
              <c:numCache>
                <c:formatCode>0%</c:formatCode>
                <c:ptCount val="9"/>
                <c:pt idx="0">
                  <c:v>0.12121212121212122</c:v>
                </c:pt>
                <c:pt idx="1">
                  <c:v>0.23076923076923078</c:v>
                </c:pt>
                <c:pt idx="2">
                  <c:v>0.44973544973544971</c:v>
                </c:pt>
                <c:pt idx="3">
                  <c:v>0.11666666666666667</c:v>
                </c:pt>
                <c:pt idx="4">
                  <c:v>0</c:v>
                </c:pt>
                <c:pt idx="5">
                  <c:v>0</c:v>
                </c:pt>
                <c:pt idx="6">
                  <c:v>0.18032786885245902</c:v>
                </c:pt>
                <c:pt idx="7">
                  <c:v>0</c:v>
                </c:pt>
                <c:pt idx="8">
                  <c:v>0.2160633484162896</c:v>
                </c:pt>
              </c:numCache>
            </c:numRef>
          </c:val>
          <c:extLst>
            <c:ext xmlns:c16="http://schemas.microsoft.com/office/drawing/2014/chart" uri="{C3380CC4-5D6E-409C-BE32-E72D297353CC}">
              <c16:uniqueId val="{00000000-31F8-43D2-BB91-6BC0789CB567}"/>
            </c:ext>
          </c:extLst>
        </c:ser>
        <c:ser>
          <c:idx val="1"/>
          <c:order val="1"/>
          <c:tx>
            <c:strRef>
              <c:f>'Figure 2 and 3 (OSCA)'!$C$3</c:f>
              <c:strCache>
                <c:ptCount val="1"/>
                <c:pt idx="0">
                  <c:v>2022</c:v>
                </c:pt>
              </c:strCache>
            </c:strRef>
          </c:tx>
          <c:spPr>
            <a:solidFill>
              <a:srgbClr val="009D9A"/>
            </a:solidFill>
            <a:ln>
              <a:solidFill>
                <a:srgbClr val="009D9A"/>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(OSCA)'!$C$4:$C$12</c:f>
              <c:numCache>
                <c:formatCode>0%</c:formatCode>
                <c:ptCount val="9"/>
                <c:pt idx="0">
                  <c:v>9.6774193548387094E-2</c:v>
                </c:pt>
                <c:pt idx="1">
                  <c:v>0.39296187683284456</c:v>
                </c:pt>
                <c:pt idx="2">
                  <c:v>0.46666666666666667</c:v>
                </c:pt>
                <c:pt idx="3">
                  <c:v>0.21428571428571427</c:v>
                </c:pt>
                <c:pt idx="4">
                  <c:v>5.6338028169014086E-2</c:v>
                </c:pt>
                <c:pt idx="5">
                  <c:v>0.05</c:v>
                </c:pt>
                <c:pt idx="6">
                  <c:v>0.323943661971831</c:v>
                </c:pt>
                <c:pt idx="7">
                  <c:v>0.29545454545454547</c:v>
                </c:pt>
                <c:pt idx="8">
                  <c:v>0.31213307240704502</c:v>
                </c:pt>
              </c:numCache>
            </c:numRef>
          </c:val>
          <c:extLst>
            <c:ext xmlns:c16="http://schemas.microsoft.com/office/drawing/2014/chart" uri="{C3380CC4-5D6E-409C-BE32-E72D297353CC}">
              <c16:uniqueId val="{00000001-31F8-43D2-BB91-6BC0789CB567}"/>
            </c:ext>
          </c:extLst>
        </c:ser>
        <c:ser>
          <c:idx val="2"/>
          <c:order val="2"/>
          <c:tx>
            <c:strRef>
              <c:f>'Figure 2 and 3 (OSCA)'!$D$3</c:f>
              <c:strCache>
                <c:ptCount val="1"/>
                <c:pt idx="0">
                  <c:v>2023</c:v>
                </c:pt>
              </c:strCache>
            </c:strRef>
          </c:tx>
          <c:spPr>
            <a:solidFill>
              <a:srgbClr val="012749"/>
            </a:solidFill>
            <a:ln>
              <a:solidFill>
                <a:srgbClr val="012749"/>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(OSCA)'!$D$4:$D$12</c:f>
              <c:numCache>
                <c:formatCode>0%</c:formatCode>
                <c:ptCount val="9"/>
                <c:pt idx="0">
                  <c:v>7.2580645161290328E-2</c:v>
                </c:pt>
                <c:pt idx="1">
                  <c:v>0.48093841642228741</c:v>
                </c:pt>
                <c:pt idx="2">
                  <c:v>0.50666666666666671</c:v>
                </c:pt>
                <c:pt idx="3">
                  <c:v>0.24603174603174602</c:v>
                </c:pt>
                <c:pt idx="4">
                  <c:v>8.4507042253521125E-2</c:v>
                </c:pt>
                <c:pt idx="5">
                  <c:v>0</c:v>
                </c:pt>
                <c:pt idx="6">
                  <c:v>0.39436619718309857</c:v>
                </c:pt>
                <c:pt idx="7" formatCode="0.0%">
                  <c:v>0.40909090909090912</c:v>
                </c:pt>
                <c:pt idx="8">
                  <c:v>0.36203522504892366</c:v>
                </c:pt>
              </c:numCache>
            </c:numRef>
          </c:val>
          <c:extLst>
            <c:ext xmlns:c16="http://schemas.microsoft.com/office/drawing/2014/chart" uri="{C3380CC4-5D6E-409C-BE32-E72D297353CC}">
              <c16:uniqueId val="{00000002-31F8-43D2-BB91-6BC0789CB567}"/>
            </c:ext>
          </c:extLst>
        </c:ser>
        <c:ser>
          <c:idx val="3"/>
          <c:order val="3"/>
          <c:tx>
            <c:strRef>
              <c:f>'Figure 2 and 3 (OSCA)'!$E$3</c:f>
              <c:strCache>
                <c:ptCount val="1"/>
                <c:pt idx="0">
                  <c:v>2024</c:v>
                </c:pt>
              </c:strCache>
            </c:strRef>
          </c:tx>
          <c:spPr>
            <a:solidFill>
              <a:srgbClr val="EE538B"/>
            </a:solidFill>
            <a:ln>
              <a:solidFill>
                <a:srgbClr val="EE538B"/>
              </a:solidFill>
            </a:ln>
            <a:effectLst/>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(OSCA)'!$E$4:$E$12</c:f>
              <c:numCache>
                <c:formatCode>0%</c:formatCode>
                <c:ptCount val="9"/>
                <c:pt idx="0">
                  <c:v>5.6451612903225805E-2</c:v>
                </c:pt>
                <c:pt idx="1">
                  <c:v>0.44868035190615835</c:v>
                </c:pt>
                <c:pt idx="2">
                  <c:v>0.51555555555555554</c:v>
                </c:pt>
                <c:pt idx="3">
                  <c:v>0.22222222222222221</c:v>
                </c:pt>
                <c:pt idx="4">
                  <c:v>4.2253521126760563E-2</c:v>
                </c:pt>
                <c:pt idx="5">
                  <c:v>0</c:v>
                </c:pt>
                <c:pt idx="6">
                  <c:v>0.25352112676056338</c:v>
                </c:pt>
                <c:pt idx="7">
                  <c:v>0.18181818181818182</c:v>
                </c:pt>
                <c:pt idx="8">
                  <c:v>0.32583170254403132</c:v>
                </c:pt>
              </c:numCache>
            </c:numRef>
          </c:val>
          <c:extLst>
            <c:ext xmlns:c16="http://schemas.microsoft.com/office/drawing/2014/chart" uri="{C3380CC4-5D6E-409C-BE32-E72D297353CC}">
              <c16:uniqueId val="{00000003-31F8-43D2-BB91-6BC0789CB567}"/>
            </c:ext>
          </c:extLst>
        </c:ser>
        <c:ser>
          <c:idx val="4"/>
          <c:order val="4"/>
          <c:tx>
            <c:strRef>
              <c:f>'Figure 2 and 3 (OSCA)'!$F$3</c:f>
              <c:strCache>
                <c:ptCount val="1"/>
                <c:pt idx="0">
                  <c:v>2025</c:v>
                </c:pt>
              </c:strCache>
            </c:strRef>
          </c:tx>
          <c:spPr>
            <a:solidFill>
              <a:srgbClr val="1192E8"/>
            </a:solidFill>
            <a:ln>
              <a:solidFill>
                <a:srgbClr val="1192E8"/>
              </a:solidFill>
            </a:ln>
            <a:effectLst/>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(OSCA)'!$F$4:$F$12</c:f>
              <c:numCache>
                <c:formatCode>0%</c:formatCode>
                <c:ptCount val="9"/>
                <c:pt idx="0">
                  <c:v>1.6129032258064516E-2</c:v>
                </c:pt>
                <c:pt idx="1">
                  <c:v>0.38709677419354838</c:v>
                </c:pt>
                <c:pt idx="2">
                  <c:v>0.48888888888888887</c:v>
                </c:pt>
                <c:pt idx="3">
                  <c:v>0.15079365079365079</c:v>
                </c:pt>
                <c:pt idx="4">
                  <c:v>2.8169014084507043E-2</c:v>
                </c:pt>
                <c:pt idx="5">
                  <c:v>0</c:v>
                </c:pt>
                <c:pt idx="6">
                  <c:v>0.28169014084507044</c:v>
                </c:pt>
                <c:pt idx="7">
                  <c:v>0.18181818181818182</c:v>
                </c:pt>
                <c:pt idx="8">
                  <c:v>0.28669275929549903</c:v>
                </c:pt>
              </c:numCache>
            </c:numRef>
          </c:val>
          <c:extLst>
            <c:ext xmlns:c16="http://schemas.microsoft.com/office/drawing/2014/chart" uri="{C3380CC4-5D6E-409C-BE32-E72D297353CC}">
              <c16:uniqueId val="{00000004-31F8-43D2-BB91-6BC0789CB567}"/>
            </c:ext>
          </c:extLst>
        </c:ser>
        <c:dLbls>
          <c:showLegendKey val="0"/>
          <c:showVal val="0"/>
          <c:showCatName val="0"/>
          <c:showSerName val="0"/>
          <c:showPercent val="0"/>
          <c:showBubbleSize val="0"/>
        </c:dLbls>
        <c:gapWidth val="100"/>
        <c:overlap val="-27"/>
        <c:axId val="631538848"/>
        <c:axId val="631539328"/>
      </c:barChart>
      <c:catAx>
        <c:axId val="631538848"/>
        <c:scaling>
          <c:orientation val="minMax"/>
        </c:scaling>
        <c:delete val="0"/>
        <c:axPos val="b"/>
        <c:numFmt formatCode="General" sourceLinked="1"/>
        <c:majorTickMark val="none"/>
        <c:minorTickMark val="none"/>
        <c:tickLblPos val="nextTo"/>
        <c:spPr>
          <a:noFill/>
          <a:ln w="9525" cap="flat" cmpd="sng" algn="ctr">
            <a:noFill/>
            <a:round/>
          </a:ln>
          <a:effectLst/>
        </c:spPr>
        <c:txPr>
          <a:bodyPr rot="0"/>
          <a:lstStyle/>
          <a:p>
            <a:pPr>
              <a:defRPr sz="700"/>
            </a:pPr>
            <a:endParaRPr lang="en-US"/>
          </a:p>
        </c:txPr>
        <c:crossAx val="631539328"/>
        <c:crosses val="autoZero"/>
        <c:auto val="1"/>
        <c:lblAlgn val="ctr"/>
        <c:lblOffset val="100"/>
        <c:noMultiLvlLbl val="0"/>
      </c:catAx>
      <c:valAx>
        <c:axId val="631539328"/>
        <c:scaling>
          <c:orientation val="minMax"/>
        </c:scaling>
        <c:delete val="0"/>
        <c:axPos val="l"/>
        <c:numFmt formatCode="0%" sourceLinked="0"/>
        <c:majorTickMark val="out"/>
        <c:minorTickMark val="none"/>
        <c:tickLblPos val="nextTo"/>
        <c:spPr>
          <a:noFill/>
          <a:ln>
            <a:solidFill>
              <a:schemeClr val="bg1"/>
            </a:solidFill>
          </a:ln>
          <a:effectLst/>
        </c:spPr>
        <c:txPr>
          <a:bodyPr rot="-60000000" vert="horz"/>
          <a:lstStyle/>
          <a:p>
            <a:pPr>
              <a:defRPr sz="800"/>
            </a:pPr>
            <a:endParaRPr lang="en-US"/>
          </a:p>
        </c:txPr>
        <c:crossAx val="631538848"/>
        <c:crosses val="autoZero"/>
        <c:crossBetween val="between"/>
        <c:majorUnit val="0.2"/>
      </c:valAx>
      <c:spPr>
        <a:noFill/>
        <a:ln>
          <a:noFill/>
        </a:ln>
        <a:effectLst/>
      </c:spPr>
    </c:plotArea>
    <c:legend>
      <c:legendPos val="b"/>
      <c:overlay val="0"/>
      <c:spPr>
        <a:noFill/>
        <a:ln>
          <a:noFill/>
        </a:ln>
        <a:effectLst/>
      </c:spPr>
      <c:txPr>
        <a:bodyPr rot="0" vert="horz"/>
        <a:lstStyle/>
        <a:p>
          <a:pPr>
            <a:defRPr sz="800"/>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174824764762209E-2"/>
          <c:y val="3.9281317782767847E-2"/>
          <c:w val="0.73195817742225222"/>
          <c:h val="0.9101432173919437"/>
        </c:manualLayout>
      </c:layout>
      <c:barChart>
        <c:barDir val="bar"/>
        <c:grouping val="clustered"/>
        <c:varyColors val="0"/>
        <c:ser>
          <c:idx val="0"/>
          <c:order val="0"/>
          <c:spPr>
            <a:solidFill>
              <a:srgbClr val="6929C4"/>
            </a:solidFill>
            <a:ln>
              <a:noFill/>
            </a:ln>
            <a:effectLst/>
          </c:spPr>
          <c:invertIfNegative val="0"/>
          <c:dPt>
            <c:idx val="8"/>
            <c:invertIfNegative val="0"/>
            <c:bubble3D val="0"/>
            <c:spPr>
              <a:solidFill>
                <a:schemeClr val="accent4"/>
              </a:solidFill>
              <a:ln>
                <a:noFill/>
              </a:ln>
              <a:effectLst/>
            </c:spPr>
            <c:extLst>
              <c:ext xmlns:c16="http://schemas.microsoft.com/office/drawing/2014/chart" uri="{C3380CC4-5D6E-409C-BE32-E72D297353CC}">
                <c16:uniqueId val="{00000008-2859-4FC7-952C-AEF3A051DDAC}"/>
              </c:ext>
            </c:extLst>
          </c:dPt>
          <c:dLbls>
            <c:dLbl>
              <c:idx val="0"/>
              <c:tx>
                <c:rich>
                  <a:bodyPr/>
                  <a:lstStyle/>
                  <a:p>
                    <a:fld id="{A97D614F-F579-4BBC-836B-329255C743A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59-4FC7-952C-AEF3A051DDAC}"/>
                </c:ext>
              </c:extLst>
            </c:dLbl>
            <c:dLbl>
              <c:idx val="1"/>
              <c:tx>
                <c:rich>
                  <a:bodyPr/>
                  <a:lstStyle/>
                  <a:p>
                    <a:fld id="{6811A426-94D2-4F75-AF25-D0DDBFA47C2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859-4FC7-952C-AEF3A051DDAC}"/>
                </c:ext>
              </c:extLst>
            </c:dLbl>
            <c:dLbl>
              <c:idx val="2"/>
              <c:tx>
                <c:rich>
                  <a:bodyPr/>
                  <a:lstStyle/>
                  <a:p>
                    <a:fld id="{E59B9181-3378-49F9-858E-3685E160F68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859-4FC7-952C-AEF3A051DDAC}"/>
                </c:ext>
              </c:extLst>
            </c:dLbl>
            <c:dLbl>
              <c:idx val="3"/>
              <c:tx>
                <c:rich>
                  <a:bodyPr/>
                  <a:lstStyle/>
                  <a:p>
                    <a:fld id="{025596DC-1443-4198-9CCB-3A5F703E1D3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859-4FC7-952C-AEF3A051DDAC}"/>
                </c:ext>
              </c:extLst>
            </c:dLbl>
            <c:dLbl>
              <c:idx val="4"/>
              <c:tx>
                <c:rich>
                  <a:bodyPr/>
                  <a:lstStyle/>
                  <a:p>
                    <a:fld id="{00DCA3F0-E712-4DA6-A65D-A48E257EFC4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859-4FC7-952C-AEF3A051DDAC}"/>
                </c:ext>
              </c:extLst>
            </c:dLbl>
            <c:dLbl>
              <c:idx val="5"/>
              <c:tx>
                <c:rich>
                  <a:bodyPr/>
                  <a:lstStyle/>
                  <a:p>
                    <a:fld id="{7F9F9D37-CB48-4F4A-A647-9858CB0034B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59-4FC7-952C-AEF3A051DDAC}"/>
                </c:ext>
              </c:extLst>
            </c:dLbl>
            <c:dLbl>
              <c:idx val="6"/>
              <c:tx>
                <c:rich>
                  <a:bodyPr/>
                  <a:lstStyle/>
                  <a:p>
                    <a:fld id="{A64CDE1C-3B8C-4425-AE72-D6085B9757F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59-4FC7-952C-AEF3A051DDAC}"/>
                </c:ext>
              </c:extLst>
            </c:dLbl>
            <c:dLbl>
              <c:idx val="7"/>
              <c:tx>
                <c:rich>
                  <a:bodyPr/>
                  <a:lstStyle/>
                  <a:p>
                    <a:fld id="{776EA04A-A1D7-4E8C-9F69-7BAB686336E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59-4FC7-952C-AEF3A051DDAC}"/>
                </c:ext>
              </c:extLst>
            </c:dLbl>
            <c:dLbl>
              <c:idx val="8"/>
              <c:tx>
                <c:rich>
                  <a:bodyPr/>
                  <a:lstStyle/>
                  <a:p>
                    <a:fld id="{9C33EDDA-D447-4838-9C55-7816D5C8C02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59-4FC7-952C-AEF3A051DDAC}"/>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'Figure 8 (OSCA)'!$O$48:$O$56</c:f>
              <c:strCache>
                <c:ptCount val="9"/>
                <c:pt idx="0">
                  <c:v>Machinery Operators &amp; Drivers</c:v>
                </c:pt>
                <c:pt idx="1">
                  <c:v>Sales Workers</c:v>
                </c:pt>
                <c:pt idx="2">
                  <c:v>Labourers</c:v>
                </c:pt>
                <c:pt idx="3">
                  <c:v>Clerical &amp; Administrative Workers</c:v>
                </c:pt>
                <c:pt idx="4">
                  <c:v>Managers</c:v>
                </c:pt>
                <c:pt idx="5">
                  <c:v>Technicians &amp; Trades Workers</c:v>
                </c:pt>
                <c:pt idx="6">
                  <c:v>Community &amp; Personal Service Workers</c:v>
                </c:pt>
                <c:pt idx="7">
                  <c:v>Professionals</c:v>
                </c:pt>
                <c:pt idx="8">
                  <c:v>National</c:v>
                </c:pt>
              </c:strCache>
            </c:strRef>
          </c:cat>
          <c:val>
            <c:numRef>
              <c:f>'Figure 8 (OSCA)'!$S$48:$S$56</c:f>
              <c:numCache>
                <c:formatCode>0%</c:formatCode>
                <c:ptCount val="9"/>
                <c:pt idx="0">
                  <c:v>6.006006006006006E-3</c:v>
                </c:pt>
                <c:pt idx="1">
                  <c:v>0</c:v>
                </c:pt>
                <c:pt idx="2">
                  <c:v>0</c:v>
                </c:pt>
                <c:pt idx="3">
                  <c:v>-3.003003003003003E-3</c:v>
                </c:pt>
                <c:pt idx="4">
                  <c:v>-1.5015015015015015E-2</c:v>
                </c:pt>
                <c:pt idx="5">
                  <c:v>-1.8018018018018018E-2</c:v>
                </c:pt>
                <c:pt idx="6">
                  <c:v>-2.7027027027027029E-2</c:v>
                </c:pt>
                <c:pt idx="7">
                  <c:v>-6.3063063063063057E-2</c:v>
                </c:pt>
                <c:pt idx="8">
                  <c:v>-0.12012012012012012</c:v>
                </c:pt>
              </c:numCache>
            </c:numRef>
          </c:val>
          <c:extLst>
            <c:ext xmlns:c15="http://schemas.microsoft.com/office/drawing/2012/chart" uri="{02D57815-91ED-43cb-92C2-25804820EDAC}">
              <c15:datalabelsRange>
                <c15:f>'Figure 8 (OSCA)'!$U$48:$U$56</c15:f>
                <c15:dlblRangeCache>
                  <c:ptCount val="9"/>
                  <c:pt idx="0">
                    <c:v>1 ppt</c:v>
                  </c:pt>
                  <c:pt idx="1">
                    <c:v>0 ppt</c:v>
                  </c:pt>
                  <c:pt idx="2">
                    <c:v>0 ppt</c:v>
                  </c:pt>
                  <c:pt idx="3">
                    <c:v>0 ppt</c:v>
                  </c:pt>
                  <c:pt idx="4">
                    <c:v>-2 ppt</c:v>
                  </c:pt>
                  <c:pt idx="5">
                    <c:v>-2 ppt</c:v>
                  </c:pt>
                  <c:pt idx="6">
                    <c:v>-3 ppt</c:v>
                  </c:pt>
                  <c:pt idx="7">
                    <c:v>-6 ppt</c:v>
                  </c:pt>
                  <c:pt idx="8">
                    <c:v>-12%</c:v>
                  </c:pt>
                </c15:dlblRangeCache>
              </c15:datalabelsRange>
            </c:ext>
            <c:ext xmlns:c16="http://schemas.microsoft.com/office/drawing/2014/chart" uri="{C3380CC4-5D6E-409C-BE32-E72D297353CC}">
              <c16:uniqueId val="{00000009-2859-4FC7-952C-AEF3A051DDAC}"/>
            </c:ext>
          </c:extLst>
        </c:ser>
        <c:dLbls>
          <c:showLegendKey val="0"/>
          <c:showVal val="0"/>
          <c:showCatName val="0"/>
          <c:showSerName val="0"/>
          <c:showPercent val="0"/>
          <c:showBubbleSize val="0"/>
        </c:dLbls>
        <c:gapWidth val="219"/>
        <c:axId val="352095296"/>
        <c:axId val="352094336"/>
      </c:barChart>
      <c:catAx>
        <c:axId val="352095296"/>
        <c:scaling>
          <c:orientation val="minMax"/>
        </c:scaling>
        <c:delete val="0"/>
        <c:axPos val="l"/>
        <c:numFmt formatCode="General" sourceLinked="1"/>
        <c:majorTickMark val="none"/>
        <c:minorTickMark val="none"/>
        <c:tickLblPos val="low"/>
        <c:spPr>
          <a:noFill/>
          <a:ln w="3175" cap="flat" cmpd="sng" algn="ctr">
            <a:solidFill>
              <a:schemeClr val="bg1">
                <a:lumMod val="9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52094336"/>
        <c:crosses val="autoZero"/>
        <c:auto val="1"/>
        <c:lblAlgn val="ctr"/>
        <c:lblOffset val="50"/>
        <c:noMultiLvlLbl val="0"/>
      </c:catAx>
      <c:valAx>
        <c:axId val="352094336"/>
        <c:scaling>
          <c:orientation val="minMax"/>
        </c:scaling>
        <c:delete val="1"/>
        <c:axPos val="b"/>
        <c:numFmt formatCode="0%" sourceLinked="1"/>
        <c:majorTickMark val="none"/>
        <c:minorTickMark val="none"/>
        <c:tickLblPos val="nextTo"/>
        <c:crossAx val="352095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 (OSCA)'!$B$24</c:f>
              <c:strCache>
                <c:ptCount val="1"/>
                <c:pt idx="0">
                  <c:v>2021</c:v>
                </c:pt>
              </c:strCache>
            </c:strRef>
          </c:tx>
          <c:spPr>
            <a:solidFill>
              <a:srgbClr val="6929C4"/>
            </a:solidFill>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(OSCA)'!$B$25:$B$29</c:f>
              <c:numCache>
                <c:formatCode>0%</c:formatCode>
                <c:ptCount val="5"/>
                <c:pt idx="0">
                  <c:v>0.21917808219178081</c:v>
                </c:pt>
                <c:pt idx="1">
                  <c:v>0.12403100775193798</c:v>
                </c:pt>
                <c:pt idx="2">
                  <c:v>0.38095238095238093</c:v>
                </c:pt>
                <c:pt idx="3">
                  <c:v>8.3333333333333329E-2</c:v>
                </c:pt>
                <c:pt idx="4">
                  <c:v>0.2160633484162896</c:v>
                </c:pt>
              </c:numCache>
            </c:numRef>
          </c:val>
          <c:extLst>
            <c:ext xmlns:c16="http://schemas.microsoft.com/office/drawing/2014/chart" uri="{C3380CC4-5D6E-409C-BE32-E72D297353CC}">
              <c16:uniqueId val="{00000000-24A8-4486-B127-37216AFED81D}"/>
            </c:ext>
          </c:extLst>
        </c:ser>
        <c:ser>
          <c:idx val="1"/>
          <c:order val="1"/>
          <c:tx>
            <c:strRef>
              <c:f>'Figure 4 (OSCA)'!$C$24</c:f>
              <c:strCache>
                <c:ptCount val="1"/>
                <c:pt idx="0">
                  <c:v>2022</c:v>
                </c:pt>
              </c:strCache>
            </c:strRef>
          </c:tx>
          <c:spPr>
            <a:solidFill>
              <a:srgbClr val="009D9A"/>
            </a:solidFill>
            <a:ln>
              <a:solidFill>
                <a:srgbClr val="009D9A"/>
              </a:solidFill>
            </a:ln>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(OSCA)'!$C$25:$C$29</c:f>
              <c:numCache>
                <c:formatCode>0%</c:formatCode>
                <c:ptCount val="5"/>
                <c:pt idx="0">
                  <c:v>0.33254716981132076</c:v>
                </c:pt>
                <c:pt idx="1">
                  <c:v>0.19736842105263158</c:v>
                </c:pt>
                <c:pt idx="2">
                  <c:v>0.44206008583690987</c:v>
                </c:pt>
                <c:pt idx="3">
                  <c:v>0.21126760563380281</c:v>
                </c:pt>
                <c:pt idx="4">
                  <c:v>0.31213307240704502</c:v>
                </c:pt>
              </c:numCache>
            </c:numRef>
          </c:val>
          <c:extLst>
            <c:ext xmlns:c16="http://schemas.microsoft.com/office/drawing/2014/chart" uri="{C3380CC4-5D6E-409C-BE32-E72D297353CC}">
              <c16:uniqueId val="{00000001-24A8-4486-B127-37216AFED81D}"/>
            </c:ext>
          </c:extLst>
        </c:ser>
        <c:ser>
          <c:idx val="2"/>
          <c:order val="2"/>
          <c:tx>
            <c:strRef>
              <c:f>'Figure 4 (OSCA)'!$D$24</c:f>
              <c:strCache>
                <c:ptCount val="1"/>
                <c:pt idx="0">
                  <c:v>2023</c:v>
                </c:pt>
              </c:strCache>
            </c:strRef>
          </c:tx>
          <c:spPr>
            <a:solidFill>
              <a:srgbClr val="012749"/>
            </a:solidFill>
            <a:ln>
              <a:solidFill>
                <a:srgbClr val="012749"/>
              </a:solidFill>
            </a:ln>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(OSCA)'!$D$25:$D$29</c:f>
              <c:numCache>
                <c:formatCode>0%</c:formatCode>
                <c:ptCount val="5"/>
                <c:pt idx="0">
                  <c:v>0.40330188679245282</c:v>
                </c:pt>
                <c:pt idx="1">
                  <c:v>0.20394736842105263</c:v>
                </c:pt>
                <c:pt idx="2">
                  <c:v>0.48497854077253216</c:v>
                </c:pt>
                <c:pt idx="3">
                  <c:v>0.25821596244131456</c:v>
                </c:pt>
                <c:pt idx="4">
                  <c:v>0.36203522504892366</c:v>
                </c:pt>
              </c:numCache>
            </c:numRef>
          </c:val>
          <c:extLst>
            <c:ext xmlns:c16="http://schemas.microsoft.com/office/drawing/2014/chart" uri="{C3380CC4-5D6E-409C-BE32-E72D297353CC}">
              <c16:uniqueId val="{00000002-24A8-4486-B127-37216AFED81D}"/>
            </c:ext>
          </c:extLst>
        </c:ser>
        <c:ser>
          <c:idx val="3"/>
          <c:order val="3"/>
          <c:tx>
            <c:strRef>
              <c:f>'Figure 4 (OSCA)'!$E$24</c:f>
              <c:strCache>
                <c:ptCount val="1"/>
                <c:pt idx="0">
                  <c:v>2024</c:v>
                </c:pt>
              </c:strCache>
            </c:strRef>
          </c:tx>
          <c:spPr>
            <a:solidFill>
              <a:srgbClr val="EE538B"/>
            </a:solidFill>
            <a:ln>
              <a:solidFill>
                <a:srgbClr val="EE538B"/>
              </a:solidFill>
            </a:ln>
            <a:effectLst/>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(OSCA)'!$E$25:$E$29</c:f>
              <c:numCache>
                <c:formatCode>0%</c:formatCode>
                <c:ptCount val="5"/>
                <c:pt idx="0">
                  <c:v>0.37264150943396224</c:v>
                </c:pt>
                <c:pt idx="1">
                  <c:v>0.21052631578947367</c:v>
                </c:pt>
                <c:pt idx="2">
                  <c:v>0.46351931330472101</c:v>
                </c:pt>
                <c:pt idx="3">
                  <c:v>0.16431924882629109</c:v>
                </c:pt>
                <c:pt idx="4">
                  <c:v>0.32583170254403132</c:v>
                </c:pt>
              </c:numCache>
            </c:numRef>
          </c:val>
          <c:extLst>
            <c:ext xmlns:c16="http://schemas.microsoft.com/office/drawing/2014/chart" uri="{C3380CC4-5D6E-409C-BE32-E72D297353CC}">
              <c16:uniqueId val="{00000003-24A8-4486-B127-37216AFED81D}"/>
            </c:ext>
          </c:extLst>
        </c:ser>
        <c:ser>
          <c:idx val="4"/>
          <c:order val="4"/>
          <c:tx>
            <c:strRef>
              <c:f>'Figure 4 (OSCA)'!$F$24</c:f>
              <c:strCache>
                <c:ptCount val="1"/>
                <c:pt idx="0">
                  <c:v>2025</c:v>
                </c:pt>
              </c:strCache>
            </c:strRef>
          </c:tx>
          <c:spPr>
            <a:solidFill>
              <a:srgbClr val="1192E8"/>
            </a:solidFill>
            <a:ln>
              <a:solidFill>
                <a:srgbClr val="1192E8"/>
              </a:solidFill>
            </a:ln>
            <a:effectLst/>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(OSCA)'!$F$25:$F$29</c:f>
              <c:numCache>
                <c:formatCode>0%</c:formatCode>
                <c:ptCount val="5"/>
                <c:pt idx="0">
                  <c:v>0.31367924528301888</c:v>
                </c:pt>
                <c:pt idx="1">
                  <c:v>0.19078947368421054</c:v>
                </c:pt>
                <c:pt idx="2">
                  <c:v>0.42918454935622319</c:v>
                </c:pt>
                <c:pt idx="3">
                  <c:v>0.14553990610328638</c:v>
                </c:pt>
                <c:pt idx="4">
                  <c:v>0.28669275929549903</c:v>
                </c:pt>
              </c:numCache>
            </c:numRef>
          </c:val>
          <c:extLst>
            <c:ext xmlns:c16="http://schemas.microsoft.com/office/drawing/2014/chart" uri="{C3380CC4-5D6E-409C-BE32-E72D297353CC}">
              <c16:uniqueId val="{00000004-24A8-4486-B127-37216AFED81D}"/>
            </c:ext>
          </c:extLst>
        </c:ser>
        <c:dLbls>
          <c:dLblPos val="outEnd"/>
          <c:showLegendKey val="0"/>
          <c:showVal val="1"/>
          <c:showCatName val="0"/>
          <c:showSerName val="0"/>
          <c:showPercent val="0"/>
          <c:showBubbleSize val="0"/>
        </c:dLbls>
        <c:gapWidth val="219"/>
        <c:overlap val="-27"/>
        <c:axId val="957614112"/>
        <c:axId val="957615072"/>
      </c:barChart>
      <c:catAx>
        <c:axId val="957614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vert="horz"/>
          <a:lstStyle/>
          <a:p>
            <a:pPr>
              <a:defRPr/>
            </a:pPr>
            <a:endParaRPr lang="en-US"/>
          </a:p>
        </c:txPr>
        <c:crossAx val="957615072"/>
        <c:crosses val="autoZero"/>
        <c:auto val="1"/>
        <c:lblAlgn val="ctr"/>
        <c:lblOffset val="100"/>
        <c:noMultiLvlLbl val="0"/>
      </c:catAx>
      <c:valAx>
        <c:axId val="957615072"/>
        <c:scaling>
          <c:orientation val="minMax"/>
        </c:scaling>
        <c:delete val="0"/>
        <c:axPos val="l"/>
        <c:numFmt formatCode="0%" sourceLinked="0"/>
        <c:majorTickMark val="out"/>
        <c:minorTickMark val="none"/>
        <c:tickLblPos val="nextTo"/>
        <c:spPr>
          <a:noFill/>
          <a:ln>
            <a:noFill/>
          </a:ln>
          <a:effectLst/>
        </c:spPr>
        <c:txPr>
          <a:bodyPr rot="-60000000" vert="horz"/>
          <a:lstStyle/>
          <a:p>
            <a:pPr>
              <a:defRPr/>
            </a:pPr>
            <a:endParaRPr lang="en-US"/>
          </a:p>
        </c:txPr>
        <c:crossAx val="957614112"/>
        <c:crosses val="autoZero"/>
        <c:crossBetween val="between"/>
        <c:majorUnit val="0.2"/>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39735416552277E-2"/>
          <c:y val="6.1642282048521596E-2"/>
          <c:w val="0.84492391970450265"/>
          <c:h val="0.78817248087020342"/>
        </c:manualLayout>
      </c:layout>
      <c:lineChart>
        <c:grouping val="standard"/>
        <c:varyColors val="0"/>
        <c:ser>
          <c:idx val="3"/>
          <c:order val="0"/>
          <c:tx>
            <c:strRef>
              <c:f>'Figure 2 (IVI, REOS, SERA)'!$G$15</c:f>
              <c:strCache>
                <c:ptCount val="1"/>
                <c:pt idx="0">
                  <c:v>Fill rate</c:v>
                </c:pt>
              </c:strCache>
            </c:strRef>
          </c:tx>
          <c:spPr>
            <a:ln w="28575" cap="rnd">
              <a:solidFill>
                <a:schemeClr val="accent4"/>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SERA)'!$G$16:$G$40</c:f>
              <c:numCache>
                <c:formatCode>0</c:formatCode>
                <c:ptCount val="25"/>
                <c:pt idx="0">
                  <c:v>100</c:v>
                </c:pt>
                <c:pt idx="1">
                  <c:v>102.14875490873514</c:v>
                </c:pt>
                <c:pt idx="2">
                  <c:v>104.01978417974675</c:v>
                </c:pt>
                <c:pt idx="3">
                  <c:v>102.49139281560012</c:v>
                </c:pt>
                <c:pt idx="4">
                  <c:v>103.26162919560298</c:v>
                </c:pt>
                <c:pt idx="5">
                  <c:v>105.49103061013452</c:v>
                </c:pt>
                <c:pt idx="6">
                  <c:v>108.45725885666452</c:v>
                </c:pt>
                <c:pt idx="7">
                  <c:v>110.60075152714111</c:v>
                </c:pt>
                <c:pt idx="8">
                  <c:v>110.84423966145451</c:v>
                </c:pt>
                <c:pt idx="9">
                  <c:v>110.38766263369962</c:v>
                </c:pt>
                <c:pt idx="10">
                  <c:v>110.53488663409745</c:v>
                </c:pt>
                <c:pt idx="11">
                  <c:v>111.8000751597144</c:v>
                </c:pt>
                <c:pt idx="12">
                  <c:v>115.70092866742684</c:v>
                </c:pt>
                <c:pt idx="13">
                  <c:v>115.03378168206031</c:v>
                </c:pt>
                <c:pt idx="14">
                  <c:v>114.78178758044771</c:v>
                </c:pt>
                <c:pt idx="15">
                  <c:v>115.46720350453036</c:v>
                </c:pt>
                <c:pt idx="16">
                  <c:v>115.53253798926282</c:v>
                </c:pt>
                <c:pt idx="17">
                  <c:v>110.88472795893382</c:v>
                </c:pt>
                <c:pt idx="18">
                  <c:v>110.16335758502896</c:v>
                </c:pt>
                <c:pt idx="19">
                  <c:v>112.39150966007244</c:v>
                </c:pt>
                <c:pt idx="20">
                  <c:v>120.01406603490248</c:v>
                </c:pt>
                <c:pt idx="21">
                  <c:v>119.05435258778479</c:v>
                </c:pt>
                <c:pt idx="22">
                  <c:v>116.49424630864817</c:v>
                </c:pt>
                <c:pt idx="23">
                  <c:v>116.56676596124537</c:v>
                </c:pt>
                <c:pt idx="24">
                  <c:v>119.31737921807246</c:v>
                </c:pt>
              </c:numCache>
            </c:numRef>
          </c:val>
          <c:smooth val="0"/>
          <c:extLst>
            <c:ext xmlns:c16="http://schemas.microsoft.com/office/drawing/2014/chart" uri="{C3380CC4-5D6E-409C-BE32-E72D297353CC}">
              <c16:uniqueId val="{00000000-0A2A-4C39-8ACA-BCBF4E3C2CC7}"/>
            </c:ext>
          </c:extLst>
        </c:ser>
        <c:ser>
          <c:idx val="1"/>
          <c:order val="1"/>
          <c:tx>
            <c:strRef>
              <c:f>'Figure 2 (IVI, REOS, SERA)'!$F$15</c:f>
              <c:strCache>
                <c:ptCount val="1"/>
                <c:pt idx="0">
                  <c:v>Recruitment difficulty rate </c:v>
                </c:pt>
              </c:strCache>
            </c:strRef>
          </c:tx>
          <c:spPr>
            <a:ln w="28575" cap="rnd">
              <a:solidFill>
                <a:schemeClr val="accent2"/>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SERA)'!$F$16:$F$40</c:f>
              <c:numCache>
                <c:formatCode>0</c:formatCode>
                <c:ptCount val="25"/>
                <c:pt idx="0">
                  <c:v>100</c:v>
                </c:pt>
                <c:pt idx="1">
                  <c:v>93.650793650793645</c:v>
                </c:pt>
                <c:pt idx="2">
                  <c:v>96.825396825396822</c:v>
                </c:pt>
                <c:pt idx="3">
                  <c:v>93.650793650793645</c:v>
                </c:pt>
                <c:pt idx="4">
                  <c:v>88.8888888888889</c:v>
                </c:pt>
                <c:pt idx="5">
                  <c:v>88.8888888888889</c:v>
                </c:pt>
                <c:pt idx="6">
                  <c:v>80.952380952380949</c:v>
                </c:pt>
                <c:pt idx="7">
                  <c:v>87.301587301587318</c:v>
                </c:pt>
                <c:pt idx="8">
                  <c:v>85.714285714285708</c:v>
                </c:pt>
                <c:pt idx="9">
                  <c:v>79.365079365079367</c:v>
                </c:pt>
                <c:pt idx="10">
                  <c:v>84.126984126984127</c:v>
                </c:pt>
                <c:pt idx="11">
                  <c:v>88.8888888888889</c:v>
                </c:pt>
                <c:pt idx="12">
                  <c:v>87.301587301587318</c:v>
                </c:pt>
                <c:pt idx="13">
                  <c:v>74.603174603174608</c:v>
                </c:pt>
                <c:pt idx="14">
                  <c:v>79.365079365079367</c:v>
                </c:pt>
                <c:pt idx="15">
                  <c:v>82.539682539682545</c:v>
                </c:pt>
                <c:pt idx="16">
                  <c:v>82.539682539682545</c:v>
                </c:pt>
                <c:pt idx="17">
                  <c:v>79.365079365079367</c:v>
                </c:pt>
                <c:pt idx="18">
                  <c:v>74.603174603174608</c:v>
                </c:pt>
                <c:pt idx="19">
                  <c:v>80.952380952380949</c:v>
                </c:pt>
                <c:pt idx="20">
                  <c:v>68.253968253968253</c:v>
                </c:pt>
                <c:pt idx="21">
                  <c:v>65.079365079365076</c:v>
                </c:pt>
                <c:pt idx="22">
                  <c:v>84.126984126984127</c:v>
                </c:pt>
                <c:pt idx="23">
                  <c:v>79.365079365079367</c:v>
                </c:pt>
                <c:pt idx="24">
                  <c:v>69.841269841269835</c:v>
                </c:pt>
              </c:numCache>
            </c:numRef>
          </c:val>
          <c:smooth val="0"/>
          <c:extLst>
            <c:ext xmlns:c16="http://schemas.microsoft.com/office/drawing/2014/chart" uri="{C3380CC4-5D6E-409C-BE32-E72D297353CC}">
              <c16:uniqueId val="{00000001-0A2A-4C39-8ACA-BCBF4E3C2CC7}"/>
            </c:ext>
          </c:extLst>
        </c:ser>
        <c:ser>
          <c:idx val="0"/>
          <c:order val="2"/>
          <c:tx>
            <c:strRef>
              <c:f>'Figure 2 (IVI, REOS, SERA)'!$E$15</c:f>
              <c:strCache>
                <c:ptCount val="1"/>
                <c:pt idx="0">
                  <c:v>IVI</c:v>
                </c:pt>
              </c:strCache>
            </c:strRef>
          </c:tx>
          <c:spPr>
            <a:ln w="28575" cap="rnd">
              <a:solidFill>
                <a:schemeClr val="accent1"/>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SERA)'!$E$16:$E$40</c:f>
              <c:numCache>
                <c:formatCode>0</c:formatCode>
                <c:ptCount val="25"/>
                <c:pt idx="0">
                  <c:v>100</c:v>
                </c:pt>
                <c:pt idx="1">
                  <c:v>101.31741634442051</c:v>
                </c:pt>
                <c:pt idx="2">
                  <c:v>98.887220416369502</c:v>
                </c:pt>
                <c:pt idx="3">
                  <c:v>95.971773745569493</c:v>
                </c:pt>
                <c:pt idx="4">
                  <c:v>92.75564363816207</c:v>
                </c:pt>
                <c:pt idx="5">
                  <c:v>92.517318864212214</c:v>
                </c:pt>
                <c:pt idx="6">
                  <c:v>93.121194419258075</c:v>
                </c:pt>
                <c:pt idx="7">
                  <c:v>89.986417279800449</c:v>
                </c:pt>
                <c:pt idx="8">
                  <c:v>89.008389748809279</c:v>
                </c:pt>
                <c:pt idx="9">
                  <c:v>88.939221806896015</c:v>
                </c:pt>
                <c:pt idx="10">
                  <c:v>85.261135859456473</c:v>
                </c:pt>
                <c:pt idx="11">
                  <c:v>85.759288394479469</c:v>
                </c:pt>
                <c:pt idx="12">
                  <c:v>81.990173134884657</c:v>
                </c:pt>
                <c:pt idx="13">
                  <c:v>77.794223580892449</c:v>
                </c:pt>
                <c:pt idx="14">
                  <c:v>82.068300654765963</c:v>
                </c:pt>
                <c:pt idx="15">
                  <c:v>82.687586683916834</c:v>
                </c:pt>
                <c:pt idx="16">
                  <c:v>80.396085022811079</c:v>
                </c:pt>
                <c:pt idx="17">
                  <c:v>78.848586716171326</c:v>
                </c:pt>
                <c:pt idx="18">
                  <c:v>76.962057979220944</c:v>
                </c:pt>
                <c:pt idx="19">
                  <c:v>80.087517157591805</c:v>
                </c:pt>
                <c:pt idx="20">
                  <c:v>75.574398543531004</c:v>
                </c:pt>
                <c:pt idx="21">
                  <c:v>73.95128139884099</c:v>
                </c:pt>
                <c:pt idx="22">
                  <c:v>76.890739738595357</c:v>
                </c:pt>
                <c:pt idx="23">
                  <c:v>75.026072371886997</c:v>
                </c:pt>
                <c:pt idx="24">
                  <c:v>76.505477885969654</c:v>
                </c:pt>
              </c:numCache>
            </c:numRef>
          </c:val>
          <c:smooth val="0"/>
          <c:extLst>
            <c:ext xmlns:c16="http://schemas.microsoft.com/office/drawing/2014/chart" uri="{C3380CC4-5D6E-409C-BE32-E72D297353CC}">
              <c16:uniqueId val="{00000002-0A2A-4C39-8ACA-BCBF4E3C2CC7}"/>
            </c:ext>
          </c:extLst>
        </c:ser>
        <c:dLbls>
          <c:showLegendKey val="0"/>
          <c:showVal val="0"/>
          <c:showCatName val="0"/>
          <c:showSerName val="0"/>
          <c:showPercent val="0"/>
          <c:showBubbleSize val="0"/>
        </c:dLbls>
        <c:smooth val="0"/>
        <c:axId val="932218352"/>
        <c:axId val="932219184"/>
      </c:lineChart>
      <c:dateAx>
        <c:axId val="932218352"/>
        <c:scaling>
          <c:orientation val="minMax"/>
          <c:max val="45809"/>
          <c:min val="45078"/>
        </c:scaling>
        <c:delete val="0"/>
        <c:axPos val="b"/>
        <c:numFmt formatCode="mmm\ yy" sourceLinked="1"/>
        <c:majorTickMark val="none"/>
        <c:minorTickMark val="out"/>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2219184"/>
        <c:crosses val="autoZero"/>
        <c:auto val="1"/>
        <c:lblOffset val="100"/>
        <c:baseTimeUnit val="months"/>
        <c:majorUnit val="3"/>
        <c:majorTimeUnit val="months"/>
      </c:dateAx>
      <c:valAx>
        <c:axId val="932219184"/>
        <c:scaling>
          <c:orientation val="minMax"/>
          <c:max val="120"/>
          <c:min val="6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t>Index</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221835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6 (SERA, ANZSCO 2022)'!$B$22</c:f>
              <c:strCache>
                <c:ptCount val="1"/>
                <c:pt idx="0">
                  <c:v>Total applicants per vacancy</c:v>
                </c:pt>
              </c:strCache>
            </c:strRef>
          </c:tx>
          <c:spPr>
            <a:solidFill>
              <a:srgbClr val="6929C4"/>
            </a:solidFill>
            <a:ln>
              <a:solidFill>
                <a:srgbClr val="6929C4"/>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2022)'!$C$22:$G$22</c:f>
              <c:numCache>
                <c:formatCode>0.0</c:formatCode>
                <c:ptCount val="5"/>
                <c:pt idx="0">
                  <c:v>13.471428571428572</c:v>
                </c:pt>
                <c:pt idx="1">
                  <c:v>13.611748673074164</c:v>
                </c:pt>
                <c:pt idx="2">
                  <c:v>16.048988429528386</c:v>
                </c:pt>
                <c:pt idx="3">
                  <c:v>24.219617224880384</c:v>
                </c:pt>
                <c:pt idx="4">
                  <c:v>27.456664290805417</c:v>
                </c:pt>
              </c:numCache>
            </c:numRef>
          </c:val>
          <c:extLst>
            <c:ext xmlns:c16="http://schemas.microsoft.com/office/drawing/2014/chart" uri="{C3380CC4-5D6E-409C-BE32-E72D297353CC}">
              <c16:uniqueId val="{00000000-9092-42A8-8033-C50BCFA828DA}"/>
            </c:ext>
          </c:extLst>
        </c:ser>
        <c:ser>
          <c:idx val="1"/>
          <c:order val="1"/>
          <c:tx>
            <c:strRef>
              <c:f>'Figure 6 (SERA, ANZSCO 2022)'!$B$23</c:f>
              <c:strCache>
                <c:ptCount val="1"/>
                <c:pt idx="0">
                  <c:v>Qualified applicants per vacancy</c:v>
                </c:pt>
              </c:strCache>
            </c:strRef>
          </c:tx>
          <c:spPr>
            <a:solidFill>
              <a:srgbClr val="009D9A"/>
            </a:solidFill>
            <a:ln>
              <a:solidFill>
                <a:srgbClr val="009D9A"/>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2022)'!$C$23:$G$23</c:f>
              <c:numCache>
                <c:formatCode>0.0</c:formatCode>
                <c:ptCount val="5"/>
                <c:pt idx="0">
                  <c:v>6.574593128390597</c:v>
                </c:pt>
                <c:pt idx="1">
                  <c:v>4.9705010376519416</c:v>
                </c:pt>
                <c:pt idx="2">
                  <c:v>5.6266399025019718</c:v>
                </c:pt>
                <c:pt idx="3">
                  <c:v>7.6433098897282274</c:v>
                </c:pt>
                <c:pt idx="4">
                  <c:v>9.3024858478956443</c:v>
                </c:pt>
              </c:numCache>
            </c:numRef>
          </c:val>
          <c:extLst>
            <c:ext xmlns:c16="http://schemas.microsoft.com/office/drawing/2014/chart" uri="{C3380CC4-5D6E-409C-BE32-E72D297353CC}">
              <c16:uniqueId val="{00000001-9092-42A8-8033-C50BCFA828DA}"/>
            </c:ext>
          </c:extLst>
        </c:ser>
        <c:ser>
          <c:idx val="2"/>
          <c:order val="2"/>
          <c:tx>
            <c:strRef>
              <c:f>'Figure 6 (SERA, ANZSCO 2022)'!$B$24</c:f>
              <c:strCache>
                <c:ptCount val="1"/>
                <c:pt idx="0">
                  <c:v>Suitable applicants per vacancy</c:v>
                </c:pt>
              </c:strCache>
            </c:strRef>
          </c:tx>
          <c:spPr>
            <a:solidFill>
              <a:srgbClr val="2C054E"/>
            </a:solidFill>
            <a:ln>
              <a:solidFill>
                <a:srgbClr val="2C054E"/>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2022)'!$C$24:$G$24</c:f>
              <c:numCache>
                <c:formatCode>0.0</c:formatCode>
                <c:ptCount val="5"/>
                <c:pt idx="0">
                  <c:v>2.9094866071428571</c:v>
                </c:pt>
                <c:pt idx="1">
                  <c:v>2.2930712953665182</c:v>
                </c:pt>
                <c:pt idx="2">
                  <c:v>2.6066039650855943</c:v>
                </c:pt>
                <c:pt idx="3">
                  <c:v>2.9882775119617224</c:v>
                </c:pt>
                <c:pt idx="4">
                  <c:v>4.3215253029223097</c:v>
                </c:pt>
              </c:numCache>
            </c:numRef>
          </c:val>
          <c:extLst>
            <c:ext xmlns:c16="http://schemas.microsoft.com/office/drawing/2014/chart" uri="{C3380CC4-5D6E-409C-BE32-E72D297353CC}">
              <c16:uniqueId val="{00000002-9092-42A8-8033-C50BCFA828DA}"/>
            </c:ext>
          </c:extLst>
        </c:ser>
        <c:dLbls>
          <c:dLblPos val="outEnd"/>
          <c:showLegendKey val="0"/>
          <c:showVal val="1"/>
          <c:showCatName val="0"/>
          <c:showSerName val="0"/>
          <c:showPercent val="0"/>
          <c:showBubbleSize val="0"/>
        </c:dLbls>
        <c:gapWidth val="219"/>
        <c:overlap val="-27"/>
        <c:axId val="1933459967"/>
        <c:axId val="1933459487"/>
      </c:barChart>
      <c:catAx>
        <c:axId val="193345996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33459487"/>
        <c:crosses val="autoZero"/>
        <c:auto val="1"/>
        <c:lblAlgn val="ctr"/>
        <c:lblOffset val="100"/>
        <c:noMultiLvlLbl val="0"/>
      </c:catAx>
      <c:valAx>
        <c:axId val="1933459487"/>
        <c:scaling>
          <c:orientation val="minMax"/>
        </c:scaling>
        <c:delete val="1"/>
        <c:axPos val="l"/>
        <c:numFmt formatCode="0" sourceLinked="0"/>
        <c:majorTickMark val="out"/>
        <c:minorTickMark val="none"/>
        <c:tickLblPos val="nextTo"/>
        <c:crossAx val="1933459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pivot!$P$11</c:f>
              <c:strCache>
                <c:ptCount val="1"/>
                <c:pt idx="0">
                  <c:v>Undersupply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(pivot!$R$11,pivot!$T$11)</c:f>
              <c:numCache>
                <c:formatCode>0%</c:formatCode>
                <c:ptCount val="2"/>
                <c:pt idx="0">
                  <c:v>0.3108108108108108</c:v>
                </c:pt>
                <c:pt idx="1">
                  <c:v>0.27380952380952384</c:v>
                </c:pt>
              </c:numCache>
              <c:extLst/>
            </c:numRef>
          </c:val>
          <c:extLst>
            <c:ext xmlns:c16="http://schemas.microsoft.com/office/drawing/2014/chart" uri="{C3380CC4-5D6E-409C-BE32-E72D297353CC}">
              <c16:uniqueId val="{00000000-6047-41DD-A735-9D5B00F24CAD}"/>
            </c:ext>
          </c:extLst>
        </c:ser>
        <c:ser>
          <c:idx val="1"/>
          <c:order val="1"/>
          <c:tx>
            <c:strRef>
              <c:f>pivot!$P$12</c:f>
              <c:strCache>
                <c:ptCount val="1"/>
                <c:pt idx="0">
                  <c:v>Balanced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(pivot!$R$12,pivot!$T$12)</c:f>
              <c:numCache>
                <c:formatCode>0%</c:formatCode>
                <c:ptCount val="2"/>
                <c:pt idx="0">
                  <c:v>0.31531531531531531</c:v>
                </c:pt>
                <c:pt idx="1">
                  <c:v>0.3968253968253968</c:v>
                </c:pt>
              </c:numCache>
              <c:extLst/>
            </c:numRef>
          </c:val>
          <c:extLst>
            <c:ext xmlns:c16="http://schemas.microsoft.com/office/drawing/2014/chart" uri="{C3380CC4-5D6E-409C-BE32-E72D297353CC}">
              <c16:uniqueId val="{00000001-6047-41DD-A735-9D5B00F24CAD}"/>
            </c:ext>
          </c:extLst>
        </c:ser>
        <c:ser>
          <c:idx val="2"/>
          <c:order val="2"/>
          <c:tx>
            <c:strRef>
              <c:f>pivot!$P$13</c:f>
              <c:strCache>
                <c:ptCount val="1"/>
                <c:pt idx="0">
                  <c:v>Oversupply</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(pivot!$R$13,pivot!$T$13)</c:f>
              <c:numCache>
                <c:formatCode>0%</c:formatCode>
                <c:ptCount val="2"/>
                <c:pt idx="0">
                  <c:v>0.37387387387387389</c:v>
                </c:pt>
                <c:pt idx="1">
                  <c:v>0.32936507936507936</c:v>
                </c:pt>
              </c:numCache>
              <c:extLst/>
            </c:numRef>
          </c:val>
          <c:extLst>
            <c:ext xmlns:c16="http://schemas.microsoft.com/office/drawing/2014/chart" uri="{C3380CC4-5D6E-409C-BE32-E72D297353CC}">
              <c16:uniqueId val="{00000002-6047-41DD-A735-9D5B00F24CAD}"/>
            </c:ext>
          </c:extLst>
        </c:ser>
        <c:dLbls>
          <c:showLegendKey val="0"/>
          <c:showVal val="0"/>
          <c:showCatName val="0"/>
          <c:showSerName val="0"/>
          <c:showPercent val="0"/>
          <c:showBubbleSize val="0"/>
        </c:dLbls>
        <c:gapWidth val="219"/>
        <c:overlap val="-27"/>
        <c:axId val="1162557055"/>
        <c:axId val="1162567135"/>
      </c:barChart>
      <c:catAx>
        <c:axId val="116255705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62567135"/>
        <c:crosses val="autoZero"/>
        <c:auto val="1"/>
        <c:lblAlgn val="ctr"/>
        <c:lblOffset val="100"/>
        <c:noMultiLvlLbl val="0"/>
      </c:catAx>
      <c:valAx>
        <c:axId val="1162567135"/>
        <c:scaling>
          <c:orientation val="minMax"/>
        </c:scaling>
        <c:delete val="1"/>
        <c:axPos val="l"/>
        <c:numFmt formatCode="0%" sourceLinked="0"/>
        <c:majorTickMark val="none"/>
        <c:minorTickMark val="none"/>
        <c:tickLblPos val="nextTo"/>
        <c:crossAx val="116255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4b (ANZSCO 2022)'!$A$2:$A$6</c:f>
              <c:numCache>
                <c:formatCode>General</c:formatCode>
                <c:ptCount val="5"/>
                <c:pt idx="0">
                  <c:v>2021</c:v>
                </c:pt>
                <c:pt idx="1">
                  <c:v>2022</c:v>
                </c:pt>
                <c:pt idx="2">
                  <c:v>2023</c:v>
                </c:pt>
                <c:pt idx="3">
                  <c:v>2024</c:v>
                </c:pt>
                <c:pt idx="4">
                  <c:v>2025</c:v>
                </c:pt>
              </c:numCache>
            </c:numRef>
          </c:cat>
          <c:val>
            <c:numRef>
              <c:f>'Figure 4b (ANZSCO 2022)'!$B$2:$B$6</c:f>
              <c:numCache>
                <c:formatCode>0%</c:formatCode>
                <c:ptCount val="5"/>
                <c:pt idx="0">
                  <c:v>0.20681265206812652</c:v>
                </c:pt>
                <c:pt idx="1">
                  <c:v>0.31550218340611352</c:v>
                </c:pt>
                <c:pt idx="2">
                  <c:v>0.36244541484716158</c:v>
                </c:pt>
                <c:pt idx="3">
                  <c:v>0.33078602620087338</c:v>
                </c:pt>
                <c:pt idx="4">
                  <c:v>0.29803493449781659</c:v>
                </c:pt>
              </c:numCache>
            </c:numRef>
          </c:val>
          <c:extLst>
            <c:ext xmlns:c16="http://schemas.microsoft.com/office/drawing/2014/chart" uri="{C3380CC4-5D6E-409C-BE32-E72D297353CC}">
              <c16:uniqueId val="{00000000-E7EF-4E64-9CEF-AA37DD5633BB}"/>
            </c:ext>
          </c:extLst>
        </c:ser>
        <c:dLbls>
          <c:showLegendKey val="0"/>
          <c:showVal val="0"/>
          <c:showCatName val="0"/>
          <c:showSerName val="0"/>
          <c:showPercent val="0"/>
          <c:showBubbleSize val="0"/>
        </c:dLbls>
        <c:gapWidth val="100"/>
        <c:axId val="957607392"/>
        <c:axId val="957587232"/>
      </c:barChart>
      <c:catAx>
        <c:axId val="95760739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7587232"/>
        <c:crosses val="autoZero"/>
        <c:auto val="1"/>
        <c:lblAlgn val="ctr"/>
        <c:lblOffset val="100"/>
        <c:noMultiLvlLbl val="0"/>
      </c:catAx>
      <c:valAx>
        <c:axId val="957587232"/>
        <c:scaling>
          <c:orientation val="minMax"/>
          <c:min val="0"/>
        </c:scaling>
        <c:delete val="1"/>
        <c:axPos val="t"/>
        <c:numFmt formatCode="0%" sourceLinked="1"/>
        <c:majorTickMark val="out"/>
        <c:minorTickMark val="none"/>
        <c:tickLblPos val="high"/>
        <c:crossAx val="957607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11448674952324E-2"/>
          <c:y val="4.0993588332819811E-2"/>
          <c:w val="0.90333697200850482"/>
          <c:h val="0.69545884315906559"/>
        </c:manualLayout>
      </c:layout>
      <c:barChart>
        <c:barDir val="col"/>
        <c:grouping val="clustered"/>
        <c:varyColors val="0"/>
        <c:ser>
          <c:idx val="0"/>
          <c:order val="0"/>
          <c:tx>
            <c:strRef>
              <c:f>'Figure 8b (ANZSCO 2022)'!$B$3</c:f>
              <c:strCache>
                <c:ptCount val="1"/>
                <c:pt idx="0">
                  <c:v>2021</c:v>
                </c:pt>
              </c:strCache>
            </c:strRef>
          </c:tx>
          <c:spPr>
            <a:solidFill>
              <a:srgbClr val="6929C4"/>
            </a:solidFill>
            <a:ln>
              <a:solidFill>
                <a:srgbClr val="6929C4"/>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2022)'!$B$4:$B$12</c:f>
              <c:numCache>
                <c:formatCode>0%</c:formatCode>
                <c:ptCount val="9"/>
                <c:pt idx="0">
                  <c:v>0.12643678160919541</c:v>
                </c:pt>
                <c:pt idx="1">
                  <c:v>0.20875420875420875</c:v>
                </c:pt>
                <c:pt idx="2">
                  <c:v>0.44571428571428573</c:v>
                </c:pt>
                <c:pt idx="3">
                  <c:v>8.4337349397590355E-2</c:v>
                </c:pt>
                <c:pt idx="4">
                  <c:v>0</c:v>
                </c:pt>
                <c:pt idx="5">
                  <c:v>0</c:v>
                </c:pt>
                <c:pt idx="6">
                  <c:v>0.17142857142857143</c:v>
                </c:pt>
                <c:pt idx="7">
                  <c:v>0</c:v>
                </c:pt>
                <c:pt idx="8">
                  <c:v>0.20681265206812652</c:v>
                </c:pt>
              </c:numCache>
            </c:numRef>
          </c:val>
          <c:extLst>
            <c:ext xmlns:c16="http://schemas.microsoft.com/office/drawing/2014/chart" uri="{C3380CC4-5D6E-409C-BE32-E72D297353CC}">
              <c16:uniqueId val="{00000000-2221-441E-98B0-7709DCAA72AE}"/>
            </c:ext>
          </c:extLst>
        </c:ser>
        <c:ser>
          <c:idx val="1"/>
          <c:order val="1"/>
          <c:tx>
            <c:strRef>
              <c:f>'Figure 8b (ANZSCO 2022)'!$C$3</c:f>
              <c:strCache>
                <c:ptCount val="1"/>
                <c:pt idx="0">
                  <c:v>2022</c:v>
                </c:pt>
              </c:strCache>
            </c:strRef>
          </c:tx>
          <c:spPr>
            <a:solidFill>
              <a:srgbClr val="009D9A"/>
            </a:solidFill>
            <a:ln>
              <a:solidFill>
                <a:srgbClr val="009D9A"/>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2022)'!$C$4:$C$12</c:f>
              <c:numCache>
                <c:formatCode>0%</c:formatCode>
                <c:ptCount val="9"/>
                <c:pt idx="0">
                  <c:v>0.11578947368421053</c:v>
                </c:pt>
                <c:pt idx="1">
                  <c:v>0.38837920489296635</c:v>
                </c:pt>
                <c:pt idx="2">
                  <c:v>0.47317073170731705</c:v>
                </c:pt>
                <c:pt idx="3">
                  <c:v>0.20689655172413793</c:v>
                </c:pt>
                <c:pt idx="4">
                  <c:v>4.6153846153846156E-2</c:v>
                </c:pt>
                <c:pt idx="5">
                  <c:v>4.7619047619047616E-2</c:v>
                </c:pt>
                <c:pt idx="6">
                  <c:v>0.2857142857142857</c:v>
                </c:pt>
                <c:pt idx="7">
                  <c:v>0.25641025641025639</c:v>
                </c:pt>
                <c:pt idx="8">
                  <c:v>0.31550218340611352</c:v>
                </c:pt>
              </c:numCache>
            </c:numRef>
          </c:val>
          <c:extLst>
            <c:ext xmlns:c16="http://schemas.microsoft.com/office/drawing/2014/chart" uri="{C3380CC4-5D6E-409C-BE32-E72D297353CC}">
              <c16:uniqueId val="{00000001-2221-441E-98B0-7709DCAA72AE}"/>
            </c:ext>
          </c:extLst>
        </c:ser>
        <c:ser>
          <c:idx val="2"/>
          <c:order val="2"/>
          <c:tx>
            <c:strRef>
              <c:f>'Figure 8b (ANZSCO 2022)'!$D$3</c:f>
              <c:strCache>
                <c:ptCount val="1"/>
                <c:pt idx="0">
                  <c:v>2023</c:v>
                </c:pt>
              </c:strCache>
            </c:strRef>
          </c:tx>
          <c:spPr>
            <a:solidFill>
              <a:srgbClr val="012749"/>
            </a:solidFill>
            <a:ln>
              <a:solidFill>
                <a:srgbClr val="012749"/>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2022)'!$D$4:$D$12</c:f>
              <c:numCache>
                <c:formatCode>0%</c:formatCode>
                <c:ptCount val="9"/>
                <c:pt idx="0">
                  <c:v>8.4210526315789472E-2</c:v>
                </c:pt>
                <c:pt idx="1">
                  <c:v>0.4801223241590214</c:v>
                </c:pt>
                <c:pt idx="2">
                  <c:v>0.4975609756097561</c:v>
                </c:pt>
                <c:pt idx="3">
                  <c:v>0.2413793103448276</c:v>
                </c:pt>
                <c:pt idx="4">
                  <c:v>6.1538461538461542E-2</c:v>
                </c:pt>
                <c:pt idx="5">
                  <c:v>0</c:v>
                </c:pt>
                <c:pt idx="6">
                  <c:v>0.33766233766233766</c:v>
                </c:pt>
                <c:pt idx="7">
                  <c:v>0.35897435897435898</c:v>
                </c:pt>
                <c:pt idx="8">
                  <c:v>0.36244541484716158</c:v>
                </c:pt>
              </c:numCache>
            </c:numRef>
          </c:val>
          <c:extLst>
            <c:ext xmlns:c16="http://schemas.microsoft.com/office/drawing/2014/chart" uri="{C3380CC4-5D6E-409C-BE32-E72D297353CC}">
              <c16:uniqueId val="{00000002-2221-441E-98B0-7709DCAA72AE}"/>
            </c:ext>
          </c:extLst>
        </c:ser>
        <c:ser>
          <c:idx val="3"/>
          <c:order val="3"/>
          <c:tx>
            <c:strRef>
              <c:f>'Figure 8b (ANZSCO 2022)'!$E$3</c:f>
              <c:strCache>
                <c:ptCount val="1"/>
                <c:pt idx="0">
                  <c:v>2024</c:v>
                </c:pt>
              </c:strCache>
            </c:strRef>
          </c:tx>
          <c:spPr>
            <a:solidFill>
              <a:srgbClr val="EE538B"/>
            </a:solidFill>
            <a:ln>
              <a:solidFill>
                <a:srgbClr val="EE538B"/>
              </a:solidFill>
            </a:ln>
            <a:effectLst/>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2022)'!$E$4:$E$12</c:f>
              <c:numCache>
                <c:formatCode>0%</c:formatCode>
                <c:ptCount val="9"/>
                <c:pt idx="0">
                  <c:v>5.2631578947368418E-2</c:v>
                </c:pt>
                <c:pt idx="1">
                  <c:v>0.44954128440366975</c:v>
                </c:pt>
                <c:pt idx="2">
                  <c:v>0.5024390243902439</c:v>
                </c:pt>
                <c:pt idx="3">
                  <c:v>0.2413793103448276</c:v>
                </c:pt>
                <c:pt idx="4">
                  <c:v>3.0769230769230771E-2</c:v>
                </c:pt>
                <c:pt idx="5">
                  <c:v>0</c:v>
                </c:pt>
                <c:pt idx="6">
                  <c:v>0.23376623376623376</c:v>
                </c:pt>
                <c:pt idx="7">
                  <c:v>0.17948717948717949</c:v>
                </c:pt>
                <c:pt idx="8">
                  <c:v>0.33078602620087338</c:v>
                </c:pt>
              </c:numCache>
            </c:numRef>
          </c:val>
          <c:extLst>
            <c:ext xmlns:c16="http://schemas.microsoft.com/office/drawing/2014/chart" uri="{C3380CC4-5D6E-409C-BE32-E72D297353CC}">
              <c16:uniqueId val="{00000003-2221-441E-98B0-7709DCAA72AE}"/>
            </c:ext>
          </c:extLst>
        </c:ser>
        <c:ser>
          <c:idx val="4"/>
          <c:order val="4"/>
          <c:tx>
            <c:strRef>
              <c:f>'Figure 8b (ANZSCO 2022)'!$F$3</c:f>
              <c:strCache>
                <c:ptCount val="1"/>
                <c:pt idx="0">
                  <c:v>2025</c:v>
                </c:pt>
              </c:strCache>
            </c:strRef>
          </c:tx>
          <c:spPr>
            <a:solidFill>
              <a:srgbClr val="1192E8"/>
            </a:solidFill>
            <a:ln>
              <a:solidFill>
                <a:srgbClr val="1192E8"/>
              </a:solidFill>
            </a:ln>
            <a:effectLst/>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2022)'!$F$4:$F$12</c:f>
              <c:numCache>
                <c:formatCode>0%</c:formatCode>
                <c:ptCount val="9"/>
                <c:pt idx="0">
                  <c:v>1.0526315789473684E-2</c:v>
                </c:pt>
                <c:pt idx="1">
                  <c:v>0.39449541284403672</c:v>
                </c:pt>
                <c:pt idx="2">
                  <c:v>0.46341463414634149</c:v>
                </c:pt>
                <c:pt idx="3">
                  <c:v>0.21839080459770116</c:v>
                </c:pt>
                <c:pt idx="4">
                  <c:v>3.0769230769230771E-2</c:v>
                </c:pt>
                <c:pt idx="5">
                  <c:v>0</c:v>
                </c:pt>
                <c:pt idx="6">
                  <c:v>0.25974025974025972</c:v>
                </c:pt>
                <c:pt idx="7">
                  <c:v>0.17948717948717949</c:v>
                </c:pt>
                <c:pt idx="8">
                  <c:v>0.29803493449781659</c:v>
                </c:pt>
              </c:numCache>
            </c:numRef>
          </c:val>
          <c:extLst>
            <c:ext xmlns:c16="http://schemas.microsoft.com/office/drawing/2014/chart" uri="{C3380CC4-5D6E-409C-BE32-E72D297353CC}">
              <c16:uniqueId val="{00000004-2221-441E-98B0-7709DCAA72AE}"/>
            </c:ext>
          </c:extLst>
        </c:ser>
        <c:dLbls>
          <c:showLegendKey val="0"/>
          <c:showVal val="0"/>
          <c:showCatName val="0"/>
          <c:showSerName val="0"/>
          <c:showPercent val="0"/>
          <c:showBubbleSize val="0"/>
        </c:dLbls>
        <c:gapWidth val="100"/>
        <c:overlap val="-27"/>
        <c:axId val="631538848"/>
        <c:axId val="631539328"/>
      </c:barChart>
      <c:catAx>
        <c:axId val="631538848"/>
        <c:scaling>
          <c:orientation val="minMax"/>
        </c:scaling>
        <c:delete val="0"/>
        <c:axPos val="b"/>
        <c:numFmt formatCode="General" sourceLinked="1"/>
        <c:majorTickMark val="none"/>
        <c:minorTickMark val="none"/>
        <c:tickLblPos val="nextTo"/>
        <c:spPr>
          <a:noFill/>
          <a:ln w="9525" cap="flat" cmpd="sng" algn="ctr">
            <a:noFill/>
            <a:round/>
          </a:ln>
          <a:effectLst/>
        </c:spPr>
        <c:txPr>
          <a:bodyPr rot="0"/>
          <a:lstStyle/>
          <a:p>
            <a:pPr>
              <a:defRPr sz="700"/>
            </a:pPr>
            <a:endParaRPr lang="en-US"/>
          </a:p>
        </c:txPr>
        <c:crossAx val="631539328"/>
        <c:crosses val="autoZero"/>
        <c:auto val="1"/>
        <c:lblAlgn val="ctr"/>
        <c:lblOffset val="100"/>
        <c:noMultiLvlLbl val="0"/>
      </c:catAx>
      <c:valAx>
        <c:axId val="631539328"/>
        <c:scaling>
          <c:orientation val="minMax"/>
        </c:scaling>
        <c:delete val="0"/>
        <c:axPos val="l"/>
        <c:numFmt formatCode="0%" sourceLinked="0"/>
        <c:majorTickMark val="out"/>
        <c:minorTickMark val="none"/>
        <c:tickLblPos val="nextTo"/>
        <c:spPr>
          <a:noFill/>
          <a:ln>
            <a:noFill/>
          </a:ln>
          <a:effectLst/>
        </c:spPr>
        <c:txPr>
          <a:bodyPr rot="-60000000" vert="horz"/>
          <a:lstStyle/>
          <a:p>
            <a:pPr>
              <a:defRPr sz="800"/>
            </a:pPr>
            <a:endParaRPr lang="en-US"/>
          </a:p>
        </c:txPr>
        <c:crossAx val="631538848"/>
        <c:crosses val="autoZero"/>
        <c:crossBetween val="between"/>
        <c:majorUnit val="0.2"/>
      </c:valAx>
      <c:spPr>
        <a:noFill/>
        <a:ln>
          <a:noFill/>
        </a:ln>
        <a:effectLst/>
      </c:spPr>
    </c:plotArea>
    <c:legend>
      <c:legendPos val="b"/>
      <c:overlay val="0"/>
      <c:spPr>
        <a:noFill/>
        <a:ln>
          <a:noFill/>
        </a:ln>
        <a:effectLst/>
      </c:spPr>
      <c:txPr>
        <a:bodyPr rot="0" vert="horz"/>
        <a:lstStyle/>
        <a:p>
          <a:pPr>
            <a:defRPr sz="800"/>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'Figure 5 (ANZSCO 2013)'!$B$3:$B$861</cx:f>
        <cx:lvl ptCount="859" formatCode="0%">
          <cx:pt idx="0">0.81430778903789025</cx:pt>
          <cx:pt idx="1">0.86087252538761661</cx:pt>
          <cx:pt idx="2">0.58234833043733769</cx:pt>
          <cx:pt idx="3">0.59994412824964372</cx:pt>
          <cx:pt idx="4">0.83394241581103834</cx:pt>
          <cx:pt idx="5">0.81057770342855207</cx:pt>
          <cx:pt idx="6">0.77426380617116619</cx:pt>
          <cx:pt idx="7">0.78637085912998184</cx:pt>
          <cx:pt idx="8">0.77800078320788935</cx:pt>
          <cx:pt idx="9">0.60603905385213941</cx:pt>
          <cx:pt idx="10">0.56050611677552376</cx:pt>
          <cx:pt idx="11">0.79556125646908604</cx:pt>
          <cx:pt idx="12">0.78965621182716883</cx:pt>
          <cx:pt idx="13">0.71471709831709529</cx:pt>
          <cx:pt idx="14">0.83624791783320029</cx:pt>
          <cx:pt idx="15">0.81372161692690004</cx:pt>
          <cx:pt idx="16">0.86050792867607429</cx:pt>
          <cx:pt idx="17">0.80987860267507861</cx:pt>
          <cx:pt idx="18">0.82530505947217525</cx:pt>
          <cx:pt idx="19">0.81547501424585755</cx:pt>
          <cx:pt idx="20">0.73950035795162816</cx:pt>
          <cx:pt idx="21">0.78755178324880848</cx:pt>
          <cx:pt idx="22">0.76956193268397188</cx:pt>
          <cx:pt idx="23">0.82252736817019168</cx:pt>
          <cx:pt idx="24">0.75943356010276486</cx:pt>
          <cx:pt idx="25">0.69462859229593987</cx:pt>
          <cx:pt idx="26">0.7344551514809553</cx:pt>
          <cx:pt idx="27">0.74401890088933109</cx:pt>
          <cx:pt idx="28">0.76468800631991096</cx:pt>
          <cx:pt idx="29">0.84168635589914531</cx:pt>
          <cx:pt idx="30">0.75890449618929834</cx:pt>
          <cx:pt idx="31">0.82328194938508226</cx:pt>
          <cx:pt idx="32">0.73421081593415027</cx:pt>
          <cx:pt idx="33">0.66869787122937074</cx:pt>
          <cx:pt idx="34">0.678219382741579</cx:pt>
          <cx:pt idx="35">0.6771499492799401</cx:pt>
          <cx:pt idx="36">0.6972798104408493</cx:pt>
          <cx:pt idx="37">0.74973251147643083</cx:pt>
          <cx:pt idx="38">0.79372848307898158</cx:pt>
          <cx:pt idx="39">0.58054632411419715</cx:pt>
          <cx:pt idx="40">0.80925290192722565</cx:pt>
          <cx:pt idx="41">0.75244778325327388</cx:pt>
          <cx:pt idx="42">0.77573144467277355</cx:pt>
          <cx:pt idx="43">0.67645779900723602</cx:pt>
          <cx:pt idx="44">0.70302926460569615</cx:pt>
          <cx:pt idx="45">0.7333753462830277</cx:pt>
          <cx:pt idx="46">0.6390665027784761</cx:pt>
          <cx:pt idx="47">0.62344639700389792</cx:pt>
          <cx:pt idx="48">0.65263365925077099</cx:pt>
          <cx:pt idx="49">0.75321220733158856</cx:pt>
          <cx:pt idx="50">0.81773710915152775</cx:pt>
          <cx:pt idx="51">0.76461901088548934</cx:pt>
          <cx:pt idx="52">0.74677125798148469</cx:pt>
          <cx:pt idx="53">0.76486968405021738</cx:pt>
          <cx:pt idx="54">0.70587157987804472</cx:pt>
          <cx:pt idx="55">0.83539498563956294</cx:pt>
          <cx:pt idx="56">0.70752729818950633</cx:pt>
          <cx:pt idx="57">0.74281903907523761</cx:pt>
          <cx:pt idx="58">0.67590165373973554</cx:pt>
          <cx:pt idx="59">0.75830596178543219</cx:pt>
          <cx:pt idx="60">0.74065745440307273</cx:pt>
          <cx:pt idx="61">0.77912430664967258</cx:pt>
          <cx:pt idx="62">0.81649638431741256</cx:pt>
          <cx:pt idx="63">0.70355026625535289</cx:pt>
          <cx:pt idx="64">0.79930247098397511</cx:pt>
          <cx:pt idx="65">0.69449462435181386</cx:pt>
          <cx:pt idx="66">0.70647323627847392</cx:pt>
          <cx:pt idx="67">0.79676690083631652</cx:pt>
          <cx:pt idx="68">0.76799160471181716</cx:pt>
          <cx:pt idx="69">0.68605871128620433</cx:pt>
          <cx:pt idx="70">0.76290914645592489</cx:pt>
          <cx:pt idx="71">0.78775978451732354</cx:pt>
          <cx:pt idx="72">0.7312923079715683</cx:pt>
          <cx:pt idx="73">0.67621010218597877</cx:pt>
          <cx:pt idx="74">0.78795531308344691</cx:pt>
          <cx:pt idx="75">0.73354211682905646</cx:pt>
          <cx:pt idx="76">0.73469165349738097</cx:pt>
          <cx:pt idx="77">0.83308917580953035</cx:pt>
          <cx:pt idx="78">0.81037809920510961</cx:pt>
          <cx:pt idx="79">0.80363382156595287</cx:pt>
          <cx:pt idx="80">0.8366448317787526</cx:pt>
          <cx:pt idx="81">0.74379990884725367</cx:pt>
          <cx:pt idx="82">0.7642500739831809</cx:pt>
          <cx:pt idx="83">0.72114979496993081</cx:pt>
          <cx:pt idx="84">0.70990583541420538</cx:pt>
          <cx:pt idx="85">0.77294052853138384</cx:pt>
          <cx:pt idx="86">0.69655155783413536</cx:pt>
          <cx:pt idx="87">0.81310134097179931</cx:pt>
          <cx:pt idx="88">0.79492196210546695</cx:pt>
          <cx:pt idx="89">0.70761264779711952</cx:pt>
          <cx:pt idx="90">0.79032916023151079</cx:pt>
          <cx:pt idx="91">0.64428431425663513</cx:pt>
          <cx:pt idx="92">0.45376135781171389</cx:pt>
          <cx:pt idx="93">0.69849536566724424</cx:pt>
          <cx:pt idx="94">0.65713911214191856</cx:pt>
          <cx:pt idx="95">0.38686152236150451</cx:pt>
          <cx:pt idx="96">0.54859497222807507</cx:pt>
          <cx:pt idx="97">0.6237238763253371</cx:pt>
          <cx:pt idx="98">0.68457876089322989</cx:pt>
          <cx:pt idx="99">0.61406834840283586</cx:pt>
          <cx:pt idx="100">0.79198064640277477</cx:pt>
          <cx:pt idx="101">0.77514296141326144</cx:pt>
          <cx:pt idx="102">0.73865090933180544</cx:pt>
          <cx:pt idx="103">0.74767811797846062</cx:pt>
          <cx:pt idx="104">0.80370089317364246</cx:pt>
          <cx:pt idx="105">0.63028873574787381</cx:pt>
          <cx:pt idx="106">0.71163167567424046</cx:pt>
          <cx:pt idx="107">0.6807503217860178</cx:pt>
          <cx:pt idx="108">0.63891056515941846</cx:pt>
          <cx:pt idx="109">0.7160303732644584</cx:pt>
          <cx:pt idx="110">0.71524044233694772</cx:pt>
          <cx:pt idx="111">0.67299816356365638</cx:pt>
          <cx:pt idx="112">0.70354189841518366</cx:pt>
          <cx:pt idx="113">0.54440776468225249</cx:pt>
          <cx:pt idx="114">0.72741577909329147</cx:pt>
          <cx:pt idx="115">0.65164365684187819</cx:pt>
          <cx:pt idx="116">0.60645675555205714</cx:pt>
          <cx:pt idx="117">0.56690816106898978</cx:pt>
          <cx:pt idx="118">0.69726233645996782</cx:pt>
          <cx:pt idx="119">0.72864067155372159</cx:pt>
          <cx:pt idx="120">0.72469661799556739</cx:pt>
          <cx:pt idx="121">0.78462572509280593</cx:pt>
          <cx:pt idx="122">0.59659129252038867</cx:pt>
          <cx:pt idx="123">0.5796616061471952</cx:pt>
          <cx:pt idx="124">0.83353660392127593</cx:pt>
          <cx:pt idx="125">0.53999763091408159</cx:pt>
          <cx:pt idx="126">0.68504144968444314</cx:pt>
          <cx:pt idx="127">0.7440553411333366</cx:pt>
          <cx:pt idx="128">0.71534953011982494</cx:pt>
          <cx:pt idx="129">0.3872165422994529</cx:pt>
          <cx:pt idx="130">0.65649744769547147</cx:pt>
          <cx:pt idx="131">0.73172740797336333</cx:pt>
          <cx:pt idx="132">0.43274870408893679</cx:pt>
          <cx:pt idx="133">0.61320131575771664</cx:pt>
          <cx:pt idx="134">0.66639789410245553</cx:pt>
          <cx:pt idx="135">0.58441104559228396</cx:pt>
          <cx:pt idx="136">0.60018302290276326</cx:pt>
          <cx:pt idx="137">0.59036897869297744</cx:pt>
          <cx:pt idx="138">0.55318661272269487</cx:pt>
          <cx:pt idx="139">0.54921551964433402</cx:pt>
          <cx:pt idx="140">0.6195892898433738</cx:pt>
          <cx:pt idx="141">0.60292746161537281</cx:pt>
          <cx:pt idx="142">0.67087921096829439</cx:pt>
          <cx:pt idx="143">0.6705023064403739</cx:pt>
          <cx:pt idx="144">0.82906669221542439</cx:pt>
          <cx:pt idx="145">0.60938835215220577</cx:pt>
          <cx:pt idx="146">0.59401719752935511</cx:pt>
          <cx:pt idx="147">0.60832795515263505</cx:pt>
          <cx:pt idx="148">0.7477551961626423</cx:pt>
          <cx:pt idx="149">0.57045174596965675</cx:pt>
          <cx:pt idx="150">0.5591789605860491</cx:pt>
          <cx:pt idx="151">0.74597705928296953</cx:pt>
          <cx:pt idx="152">0.72711951910073636</cx:pt>
          <cx:pt idx="153">0.7011552056214414</cx:pt>
          <cx:pt idx="154">0.61384870090174815</cx:pt>
          <cx:pt idx="155">0.71224472314623399</cx:pt>
          <cx:pt idx="156">0.58848716487375796</cx:pt>
          <cx:pt idx="157">0.62810977935429746</cx:pt>
          <cx:pt idx="158">0.79635313880112435</cx:pt>
          <cx:pt idx="159">0.67092091887740979</cx:pt>
          <cx:pt idx="160">0.501426347543941</cx:pt>
          <cx:pt idx="161">0.82613451259949211</cx:pt>
          <cx:pt idx="162">0.79264056829783947</cx:pt>
          <cx:pt idx="163">0.76532278329044057</cx:pt>
          <cx:pt idx="164">0.74800490112688711</cx:pt>
          <cx:pt idx="165">0.73151117671898935</cx:pt>
          <cx:pt idx="166">0.74319261906175615</cx:pt>
          <cx:pt idx="167">0.7493723004047933</cx:pt>
          <cx:pt idx="168">0.76474075313470014</cx:pt>
          <cx:pt idx="169">0.64605524132520098</cx:pt>
          <cx:pt idx="170">0.76565963433237794</cx:pt>
          <cx:pt idx="171">0.71103348465112348</cx:pt>
          <cx:pt idx="172">0.69879163141529865</cx:pt>
          <cx:pt idx="173">0.6796342587589157</cx:pt>
          <cx:pt idx="174">0.66991320470331206</cx:pt>
          <cx:pt idx="175">0.76044390120486216</cx:pt>
          <cx:pt idx="176">0.55377335425170271</cx:pt>
          <cx:pt idx="177">0.75747431864827253</cx:pt>
          <cx:pt idx="178">0.57148955303774363</cx:pt>
          <cx:pt idx="179">0.45939997813722161</cx:pt>
          <cx:pt idx="180">0.61550993303528778</cx:pt>
          <cx:pt idx="181">0.37373811882179658</cx:pt>
          <cx:pt idx="182">0.4379874111797194</cx:pt>
          <cx:pt idx="183">0.63014355945367118</cx:pt>
          <cx:pt idx="184">0.28751714720474608</cx:pt>
          <cx:pt idx="185">0.48823358043445392</cx:pt>
          <cx:pt idx="186">0.41333457023301368</cx:pt>
          <cx:pt idx="187">0.29300489151849729</cx:pt>
          <cx:pt idx="188">0.47819949707992238</cx:pt>
          <cx:pt idx="189">0.46561651039153562</cx:pt>
          <cx:pt idx="190">0.65217112231510743</cx:pt>
          <cx:pt idx="191">0.66475393709296293</cx:pt>
          <cx:pt idx="192">0.36049417441902049</cx:pt>
          <cx:pt idx="193">0.48757104745568097</cx:pt>
          <cx:pt idx="194">0.52462134714293895</cx:pt>
          <cx:pt idx="195">0.68848149350847709</cx:pt>
          <cx:pt idx="196">0.69762906182947326</cx:pt>
          <cx:pt idx="197">0.62543980430588175</cx:pt>
          <cx:pt idx="198">0.79574765839286177</cx:pt>
          <cx:pt idx="199">0.73288557671902432</cx:pt>
          <cx:pt idx="200">0.78414451233768101</cx:pt>
          <cx:pt idx="201">0.69432141286068461</cx:pt>
          <cx:pt idx="202">0.69834607733162157</cx:pt>
          <cx:pt idx="203">0.6450250803609141</cx:pt>
          <cx:pt idx="204">0.46153445416392858</cx:pt>
          <cx:pt idx="205">0.4400242100437215</cx:pt>
          <cx:pt idx="206">0.56532704337891015</cx:pt>
          <cx:pt idx="207">0.60874756111348349</cx:pt>
          <cx:pt idx="208">0.50779713681216487</cx:pt>
          <cx:pt idx="209">0.53397852088335429</cx:pt>
          <cx:pt idx="210">0.56415097151136573</cx:pt>
          <cx:pt idx="211">0.54256913104506976</cx:pt>
          <cx:pt idx="212">0.57773316726285062</cx:pt>
          <cx:pt idx="213">0.63816747601352541</cx:pt>
          <cx:pt idx="214">0.58853390490790403</cx:pt>
          <cx:pt idx="215">0.58284324616763417</cx:pt>
          <cx:pt idx="216">0.39854549581427801</cx:pt>
          <cx:pt idx="217">0.31360283000334621</cx:pt>
          <cx:pt idx="218">0.29775984089509439</cx:pt>
          <cx:pt idx="219">0.34308937115089438</cx:pt>
          <cx:pt idx="220">0.44174361360210479</cx:pt>
          <cx:pt idx="221">0.4285658406529847</cx:pt>
          <cx:pt idx="222">0.51795879966719727</cx:pt>
          <cx:pt idx="223">0.3853595138473378</cx:pt>
          <cx:pt idx="224">0.51730112086603919</cx:pt>
          <cx:pt idx="225">0.58064818525017492</cx:pt>
          <cx:pt idx="226">0.41509121418634859</cx:pt>
          <cx:pt idx="227">0.51035663046535806</cx:pt>
          <cx:pt idx="228">0.69218262855504031</cx:pt>
          <cx:pt idx="229">0.51616766072273468</cx:pt>
          <cx:pt idx="230">0.38048641166619579</cx:pt>
          <cx:pt idx="231">0.75815885191055377</cx:pt>
          <cx:pt idx="232">0.69372491744863274</cx:pt>
          <cx:pt idx="233">0.58587887350556944</cx:pt>
          <cx:pt idx="234">0.71085035277191322</cx:pt>
          <cx:pt idx="235">0.59906177121584603</cx:pt>
          <cx:pt idx="236">0.48097030915856359</cx:pt>
          <cx:pt idx="237">0.43377323490014508</cx:pt>
          <cx:pt idx="238">0.42127485562008432</cx:pt>
          <cx:pt idx="239">0.48755923456162797</cx:pt>
          <cx:pt idx="240">0.57324743772834397</cx:pt>
          <cx:pt idx="241">0.72782608330682852</cx:pt>
          <cx:pt idx="242">0.63027494044750687</cx:pt>
          <cx:pt idx="243">0.41555909493084581</cx:pt>
          <cx:pt idx="244">0.68051202876225936</cx:pt>
          <cx:pt idx="245">0.58778878046826177</cx:pt>
          <cx:pt idx="246">0.5994520862846372</cx:pt>
          <cx:pt idx="247">0.72047408884547581</cx:pt>
          <cx:pt idx="248">0.37896695081345089</cx:pt>
          <cx:pt idx="249">0.582133120723621</cx:pt>
          <cx:pt idx="250">0.42403996373607838</cx:pt>
          <cx:pt idx="251">0.49115379579301738</cx:pt>
          <cx:pt idx="252">0.44382204896099409</cx:pt>
          <cx:pt idx="253">0.5445215837285512</cx:pt>
          <cx:pt idx="254">0.7260503567055725</cx:pt>
          <cx:pt idx="255">0.55494211792208281</cx:pt>
          <cx:pt idx="256">0.81975035206227631</cx:pt>
          <cx:pt idx="257">0.62030953240841413</cx:pt>
          <cx:pt idx="258">0.79279545871549806</cx:pt>
          <cx:pt idx="259">0.59208945984802031</cx:pt>
          <cx:pt idx="260">0.65611870882451784</cx:pt>
          <cx:pt idx="261">0.67419661373980821</cx:pt>
          <cx:pt idx="262">0.66687861746608168</cx:pt>
          <cx:pt idx="263">0.80653125147429439</cx:pt>
          <cx:pt idx="264">0.77565701335328641</cx:pt>
          <cx:pt idx="265">0.55721276170675771</cx:pt>
          <cx:pt idx="266">0.72517911402627178</cx:pt>
          <cx:pt idx="267">0.72926661868831744</cx:pt>
          <cx:pt idx="268">0.74437788775988001</cx:pt>
          <cx:pt idx="269">0.73965275854996804</cx:pt>
          <cx:pt idx="270">0.68430970692104309</cx:pt>
          <cx:pt idx="271">0.72208540741680416</cx:pt>
          <cx:pt idx="272">0.7616802373109709</cx:pt>
          <cx:pt idx="273">0.65560424020406782</cx:pt>
          <cx:pt idx="274">0.74576615751306263</cx:pt>
          <cx:pt idx="275">0.6476946690194636</cx:pt>
          <cx:pt idx="276">0.58562377867703563</cx:pt>
          <cx:pt idx="277">0.73308158608135521</cx:pt>
          <cx:pt idx="278">0.56305648737770664</cx:pt>
          <cx:pt idx="279">0.36816605150846188</cx:pt>
          <cx:pt idx="280">0.69545876015642449</cx:pt>
          <cx:pt idx="281">0.76963456844921518</cx:pt>
          <cx:pt idx="282">0.52924256304493389</cx:pt>
          <cx:pt idx="283">0.57162691656651055</cx:pt>
          <cx:pt idx="284">0.7158868862223251</cx:pt>
          <cx:pt idx="285">0.66397968280306174</cx:pt>
          <cx:pt idx="286">0.56259088998778561</cx:pt>
          <cx:pt idx="287">0.71823629791090882</cx:pt>
          <cx:pt idx="288">0.42293143822284601</cx:pt>
          <cx:pt idx="289">0.47119832896760522</cx:pt>
          <cx:pt idx="290">0.46279202328387042</cx:pt>
          <cx:pt idx="291">0.50148134837196745</cx:pt>
          <cx:pt idx="292">0.47382828670415678</cx:pt>
          <cx:pt idx="293">0.52041005834780585</cx:pt>
          <cx:pt idx="294">0.58608659017317832</cx:pt>
          <cx:pt idx="295">0.60365961018766934</cx:pt>
          <cx:pt idx="296">0.57029491258496179</cx:pt>
          <cx:pt idx="297">0.64217741094783853</cx:pt>
          <cx:pt idx="298">0.59193242717408401</cx:pt>
          <cx:pt idx="299">0.463523519676935</cx:pt>
          <cx:pt idx="300">0.49955001930652471</cx:pt>
          <cx:pt idx="301">0.48126160697781772</cx:pt>
          <cx:pt idx="302">0.53258696881497591</cx:pt>
          <cx:pt idx="303">0.27490862575048469</cx:pt>
          <cx:pt idx="304">0.27036050627568781</cx:pt>
          <cx:pt idx="305">0.44354779072573391</cx:pt>
          <cx:pt idx="306">0.489704462377891</cx:pt>
          <cx:pt idx="307">0.44286690970650222</cx:pt>
          <cx:pt idx="308">0.37285023212320467</cx:pt>
          <cx:pt idx="309">0.41548031991848461</cx:pt>
          <cx:pt idx="310">0.38900591955471753</cx:pt>
          <cx:pt idx="311">0.46342487007416211</cx:pt>
          <cx:pt idx="312">0.39042089066906172</cx:pt>
          <cx:pt idx="313">0.35438111763020502</cx:pt>
          <cx:pt idx="314">0.45433603601556127</cx:pt>
          <cx:pt idx="315">0.36789373538400932</cx:pt>
          <cx:pt idx="316">0.4442184146080258</cx:pt>
          <cx:pt idx="317">0.49829238174918039</cx:pt>
          <cx:pt idx="318">0.42032407171444208</cx:pt>
          <cx:pt idx="319">0.43485540356267821</cx:pt>
          <cx:pt idx="320">0.26989658112855541</cx:pt>
          <cx:pt idx="321">0.38316924951479192</cx:pt>
          <cx:pt idx="322">0.36309379392814628</cx:pt>
          <cx:pt idx="323">0.45603006920648631</cx:pt>
          <cx:pt idx="324">0.35537816802373362</cx:pt>
          <cx:pt idx="325">0.44321815812431142</cx:pt>
          <cx:pt idx="326">0.45051062452917379</cx:pt>
          <cx:pt idx="327">0.37980207932804649</cx:pt>
          <cx:pt idx="328">0.30050881512367789</cx:pt>
          <cx:pt idx="329">0.42502782931045341</cx:pt>
          <cx:pt idx="330">0.39111791771716581</cx:pt>
          <cx:pt idx="331">0.43915567582432741</cx:pt>
          <cx:pt idx="332">0.34004448366285611</cx:pt>
          <cx:pt idx="333">0.41495477911542228</cx:pt>
          <cx:pt idx="334">0.57946291113397597</cx:pt>
          <cx:pt idx="335">0.3798158913077434</cx:pt>
          <cx:pt idx="336">0.46086602202968768</cx:pt>
          <cx:pt idx="337">0.46429825438879269</cx:pt>
          <cx:pt idx="338">0.42958884073807457</cx:pt>
          <cx:pt idx="339">0.64598065487309064</cx:pt>
          <cx:pt idx="340">0.54451007291458098</cx:pt>
          <cx:pt idx="341">0.72104168462593743</cx:pt>
          <cx:pt idx="342">0.62646782324767558</cx:pt>
          <cx:pt idx="343">0.68430100624149759</cx:pt>
          <cx:pt idx="344">0.62121607092081532</cx:pt>
          <cx:pt idx="345">0.69989230157954785</cx:pt>
          <cx:pt idx="346">0.56424122918950026</cx:pt>
          <cx:pt idx="347">0.58851676444915646</cx:pt>
          <cx:pt idx="348">0.55577147352574352</cx:pt>
          <cx:pt idx="349">0.62564302849408204</cx:pt>
          <cx:pt idx="350">0.70171315101911058</cx:pt>
          <cx:pt idx="351">0.63503389901210194</cx:pt>
          <cx:pt idx="352">0.67540729150662626</cx:pt>
          <cx:pt idx="353">0.68693870148882208</cx:pt>
          <cx:pt idx="354">0.43092180457809159</cx:pt>
          <cx:pt idx="355">0.7818420610783775</cx:pt>
          <cx:pt idx="356">0.70268304757425581</cx:pt>
          <cx:pt idx="357">0.68334109236400087</cx:pt>
          <cx:pt idx="358">0.59683908281956366</cx:pt>
          <cx:pt idx="359">0.64810224595371368</cx:pt>
          <cx:pt idx="360">0.56531969884021827</cx:pt>
          <cx:pt idx="361">0.59038153487329681</cx:pt>
          <cx:pt idx="362">0.60427747166259105</cx:pt>
          <cx:pt idx="363">0.6555219250657458</cx:pt>
          <cx:pt idx="364">0.59206457390004374</cx:pt>
          <cx:pt idx="365">0.72574070475286812</cx:pt>
          <cx:pt idx="366">0.65969151807292303</cx:pt>
          <cx:pt idx="367">0.80646124661401086</cx:pt>
          <cx:pt idx="368">0.6437842715569253</cx:pt>
          <cx:pt idx="369">0.67709354016288636</cx:pt>
          <cx:pt idx="370">0.59466267299958564</cx:pt>
          <cx:pt idx="371">0.60872072911191066</cx:pt>
          <cx:pt idx="372">0.58580807124864787</cx:pt>
          <cx:pt idx="373">0.78284561118755214</cx:pt>
          <cx:pt idx="374">0.80894100257617052</cx:pt>
          <cx:pt idx="375">0.59125388664985401</cx:pt>
          <cx:pt idx="376">0.69914926948054246</cx:pt>
          <cx:pt idx="377">0.55896791416243874</cx:pt>
          <cx:pt idx="378">0.58703053227573154</cx:pt>
          <cx:pt idx="379">0.60356418015336455</cx:pt>
          <cx:pt idx="380">0.64744470178438096</cx:pt>
          <cx:pt idx="381">0.71268998825005958</cx:pt>
          <cx:pt idx="382">0.74097593593891409</cx:pt>
          <cx:pt idx="383">0.69905164504986195</cx:pt>
          <cx:pt idx="384">0.62411568366084269</cx:pt>
          <cx:pt idx="385">0.62454810796547822</cx:pt>
          <cx:pt idx="386">0.70610747975939414</cx:pt>
          <cx:pt idx="387">0.52968661145150331</cx:pt>
          <cx:pt idx="388">0.42807338833098357</cx:pt>
          <cx:pt idx="389">0.4496357476168506</cx:pt>
          <cx:pt idx="390">0.54237535898920652</cx:pt>
          <cx:pt idx="391">0.47572266864363688</cx:pt>
          <cx:pt idx="392">0.46828436896731768</cx:pt>
          <cx:pt idx="393">0.59980119895671047</cx:pt>
          <cx:pt idx="394">0.88062402790615157</cx:pt>
          <cx:pt idx="395">0.66400528125936487</cx:pt>
          <cx:pt idx="396">0.45050760835457088</cx:pt>
          <cx:pt idx="397">0.64938863323966045</cx:pt>
          <cx:pt idx="398">0.64584905252800062</cx:pt>
          <cx:pt idx="399">0.67983937191426913</cx:pt>
          <cx:pt idx="400">0.75859158099855806</cx:pt>
          <cx:pt idx="401">0.75009146286600903</cx:pt>
          <cx:pt idx="402">0.50679980731225083</cx:pt>
          <cx:pt idx="403">0.57359374073370784</cx:pt>
          <cx:pt idx="404">0.59608752854389835</cx:pt>
          <cx:pt idx="405">0.87239059844142064</cx:pt>
          <cx:pt idx="406">0.71212190046549873</cx:pt>
          <cx:pt idx="407">0.65163575752339531</cx:pt>
          <cx:pt idx="408">0.72759488455562682</cx:pt>
          <cx:pt idx="409">0.57172231406729956</cx:pt>
          <cx:pt idx="410">0.59255000399430124</cx:pt>
          <cx:pt idx="411">0.19409247462564039</cx:pt>
          <cx:pt idx="412">0.65497456129164044</cx:pt>
          <cx:pt idx="413">0.42375179168049237</cx:pt>
          <cx:pt idx="414">0.78002441050515459</cx:pt>
          <cx:pt idx="415">0.67344877822528892</cx:pt>
          <cx:pt idx="416">0.70386116511434882</cx:pt>
          <cx:pt idx="417">0.81171880286149722</cx:pt>
          <cx:pt idx="418">0.5957216198968508</cx:pt>
          <cx:pt idx="419">0.61593721165901327</cx:pt>
          <cx:pt idx="420">0.70886365533398576</cx:pt>
          <cx:pt idx="421">0.77752335509453097</cx:pt>
          <cx:pt idx="422">0.53835303469529838</cx:pt>
          <cx:pt idx="423">0.59769352570685808</cx:pt>
          <cx:pt idx="424">0.32733760746142182</cx:pt>
          <cx:pt idx="425">0.48255037403827111</cx:pt>
          <cx:pt idx="426">0.67019716257802842</cx:pt>
          <cx:pt idx="427">0.50394534868693908</cx:pt>
          <cx:pt idx="428">0.60796988150947961</cx:pt>
          <cx:pt idx="429">0.64866335963015631</cx:pt>
          <cx:pt idx="430">0.715784805401387</cx:pt>
          <cx:pt idx="431">0.60737194242340764</cx:pt>
          <cx:pt idx="432">0.70027059859880747</cx:pt>
          <cx:pt idx="433">0.46129375084562207</cx:pt>
          <cx:pt idx="434">0.42290546179710109</cx:pt>
          <cx:pt idx="435">0.69776342678671566</cx:pt>
          <cx:pt idx="436">0.70790776460608462</cx:pt>
          <cx:pt idx="437">0.50397560866152302</cx:pt>
          <cx:pt idx="438">0.66986911090696744</cx:pt>
          <cx:pt idx="439">0.5457434348029031</cx:pt>
          <cx:pt idx="440">0.63618985059873978</cx:pt>
          <cx:pt idx="441">0.8372402558203309</cx:pt>
          <cx:pt idx="442">0.74519143660024789</cx:pt>
          <cx:pt idx="443">0.60857705673042395</cx:pt>
          <cx:pt idx="444">0.36621213674742648</cx:pt>
          <cx:pt idx="445">0.49186573296557101</cx:pt>
          <cx:pt idx="446">0.62956632249902111</cx:pt>
          <cx:pt idx="447">0.50719388090362727</cx:pt>
          <cx:pt idx="448">0.35133450113765369</cx:pt>
          <cx:pt idx="449">0.39262877315756839</cx:pt>
          <cx:pt idx="450">0.33399725645889078</cx:pt>
          <cx:pt idx="451">0.23162814427823639</cx:pt>
          <cx:pt idx="452">0.23192781843937371</cx:pt>
          <cx:pt idx="453">0.35960671053736643</cx:pt>
          <cx:pt idx="454">0.38478009924784029</cx:pt>
          <cx:pt idx="455">0.29666911790143502</cx:pt>
          <cx:pt idx="456">0.36096405494389078</cx:pt>
          <cx:pt idx="457">0.32383639092628952</cx:pt>
          <cx:pt idx="458">0.35346786924538198</cx:pt>
          <cx:pt idx="459">0.46044996934486282</cx:pt>
          <cx:pt idx="460">0.22307068084000059</cx:pt>
          <cx:pt idx="461">0.62776092672189543</cx:pt>
          <cx:pt idx="462">0.2829494080954133</cx:pt>
          <cx:pt idx="463">0.28950976188894723</cx:pt>
          <cx:pt idx="464">0.31693328155192158</cx:pt>
          <cx:pt idx="465">0.45452814339021202</cx:pt>
          <cx:pt idx="466">0.36290730461168802</cx:pt>
          <cx:pt idx="467">0.28331559676492751</cx:pt>
          <cx:pt idx="468">0.34972838985623012</cx:pt>
          <cx:pt idx="469">0.34274786082424002</cx:pt>
          <cx:pt idx="470">0.40043768433528959</cx:pt>
          <cx:pt idx="471">0.41638790590694469</cx:pt>
          <cx:pt idx="472">0.35649685514973051</cx:pt>
          <cx:pt idx="473">0.25732176534707712</cx:pt>
          <cx:pt idx="474">0.47692425395186638</cx:pt>
          <cx:pt idx="475">0.31382194108228639</cx:pt>
          <cx:pt idx="476">0.3061638303733103</cx:pt>
          <cx:pt idx="477">0.51906543049904008</cx:pt>
          <cx:pt idx="478">0.42031652108552442</cx:pt>
          <cx:pt idx="479">0.30795899999692788</cx:pt>
          <cx:pt idx="480">0.30771886051063291</cx:pt>
          <cx:pt idx="481">0.21641440576943061</cx:pt>
          <cx:pt idx="482">0.44818132222377571</cx:pt>
          <cx:pt idx="483">0.41563177173062638</cx:pt>
          <cx:pt idx="484">0.30641681328144571</cx:pt>
          <cx:pt idx="485">0.55546950695065023</cx:pt>
          <cx:pt idx="486">0.5376576839877546</cx:pt>
          <cx:pt idx="487">0.40104983262550098</cx:pt>
          <cx:pt idx="488">0.29347075134530898</cx:pt>
          <cx:pt idx="489">0.51131061271860656</cx:pt>
          <cx:pt idx="490">0.36979202731143662</cx:pt>
          <cx:pt idx="491">0.50445795839707142</cx:pt>
          <cx:pt idx="492">0.36019290028743589</cx:pt>
          <cx:pt idx="493">0.33162531505317971</cx:pt>
          <cx:pt idx="494">0.4467800697249345</cx:pt>
          <cx:pt idx="495">0.50809201128461001</cx:pt>
          <cx:pt idx="496">0.51098811239274899</cx:pt>
          <cx:pt idx="497">0.33244443575723631</cx:pt>
          <cx:pt idx="498">0.39895898373430999</cx:pt>
          <cx:pt idx="499">0.35848882140282462</cx:pt>
          <cx:pt idx="500">0.58982583536954203</cx:pt>
          <cx:pt idx="501">0.35414545284189591</cx:pt>
          <cx:pt idx="502">0.28827776736587318</cx:pt>
          <cx:pt idx="503">0.43443937342351252</cx:pt>
          <cx:pt idx="504">0.41415655466801538</cx:pt>
          <cx:pt idx="505">0.35088918347365872</cx:pt>
          <cx:pt idx="506">0.43724626193985178</cx:pt>
          <cx:pt idx="507">0.53195450321962279</cx:pt>
          <cx:pt idx="508">0.51142810438685138</cx:pt>
          <cx:pt idx="509">0.58937160454649817</cx:pt>
          <cx:pt idx="510">0.42023490689156651</cx:pt>
          <cx:pt idx="511">0.33164842356552748</cx:pt>
          <cx:pt idx="512">0.42707718609751039</cx:pt>
          <cx:pt idx="513">0.4032612656105512</cx:pt>
          <cx:pt idx="514">0.50444069383389689</cx:pt>
          <cx:pt idx="515">0.56328804943631505</cx:pt>
          <cx:pt idx="516">0.57317598934779024</cx:pt>
          <cx:pt idx="517">0.56034641891473358</cx:pt>
          <cx:pt idx="518">0.67369770562801934</cx:pt>
          <cx:pt idx="519">0.58877181050789229</cx:pt>
          <cx:pt idx="520">0.54825100606072519</cx:pt>
          <cx:pt idx="521">0.54717695737628336</cx:pt>
          <cx:pt idx="522">0.59118846243308687</cx:pt>
          <cx:pt idx="523">0.5603394002036014</cx:pt>
          <cx:pt idx="524">0.58024454725618757</cx:pt>
          <cx:pt idx="525">0.59487287254383303</cx:pt>
          <cx:pt idx="526">0.55894201185694758</cx:pt>
          <cx:pt idx="527">0.49005298648261297</cx:pt>
          <cx:pt idx="528">0.55045719971640039</cx:pt>
          <cx:pt idx="529">0.65766833093799359</cx:pt>
          <cx:pt idx="530">0.37618402077527308</cx:pt>
          <cx:pt idx="531">0.44250908591047672</cx:pt>
          <cx:pt idx="532">0.66482597036245494</cx:pt>
          <cx:pt idx="533">0.49712571224280788</cx:pt>
          <cx:pt idx="534">0.43657082366276262</cx:pt>
          <cx:pt idx="535">0.41993289838333581</cx:pt>
          <cx:pt idx="536">0.56691978226967321</cx:pt>
          <cx:pt idx="537">0.61137297070297469</cx:pt>
          <cx:pt idx="538">0.48267184982090422</cx:pt>
          <cx:pt idx="539">0.44848866248138641</cx:pt>
          <cx:pt idx="540">0.44620082165660491</cx:pt>
          <cx:pt idx="541">0.39631426335727199</cx:pt>
          <cx:pt idx="542">0.41201755166608611</cx:pt>
          <cx:pt idx="543">0.42547957654698682</cx:pt>
          <cx:pt idx="544">0.4509423373083371</cx:pt>
          <cx:pt idx="545">0.41488781115197848</cx:pt>
          <cx:pt idx="546">0.56768070194242748</cx:pt>
          <cx:pt idx="547">0.54854580323207269</cx:pt>
          <cx:pt idx="548">0.4027274514144899</cx:pt>
          <cx:pt idx="549">0.44548313895616343</cx:pt>
          <cx:pt idx="550">0.42285172647826003</cx:pt>
          <cx:pt idx="551">0.61570317215850223</cx:pt>
          <cx:pt idx="552">0.32195441095538863</cx:pt>
          <cx:pt idx="553">0.43916875040253539</cx:pt>
          <cx:pt idx="554">0.42963945243190432</cx:pt>
          <cx:pt idx="555">0.38414180985051988</cx:pt>
          <cx:pt idx="556">0.28777698442575661</cx:pt>
          <cx:pt idx="557">0.60842244448033656</cx:pt>
          <cx:pt idx="558">0.53425563128372477</cx:pt>
          <cx:pt idx="559">0.50073466077868445</cx:pt>
          <cx:pt idx="560">0.6407848104967353</cx:pt>
          <cx:pt idx="561">0.77401619038388614</cx:pt>
          <cx:pt idx="562">0.31444177915677562</cx:pt>
          <cx:pt idx="563">0.47418236821818288</cx:pt>
          <cx:pt idx="564">0.57940793419721215</cx:pt>
          <cx:pt idx="565">0.39268059104534458</cx:pt>
          <cx:pt idx="566">0.46721684483349302</cx:pt>
          <cx:pt idx="567">0.3417867974406657</cx:pt>
          <cx:pt idx="568">0.46604597479732968</cx:pt>
          <cx:pt idx="569">0.37228023935133853</cx:pt>
          <cx:pt idx="570">0.41510083567622053</cx:pt>
          <cx:pt idx="571">0.36633353132436591</cx:pt>
          <cx:pt idx="572">0.43036932512759468</cx:pt>
          <cx:pt idx="573">0.61451364250627505</cx:pt>
          <cx:pt idx="574">0.66144151756899794</cx:pt>
          <cx:pt idx="575">0.47264699908188762</cx:pt>
          <cx:pt idx="576">0.54271766808641608</cx:pt>
          <cx:pt idx="577">0.458685428532081</cx:pt>
          <cx:pt idx="578">0.43150991182028547</cx:pt>
          <cx:pt idx="579">0.55594782225294925</cx:pt>
          <cx:pt idx="580">0.46224731840281003</cx:pt>
          <cx:pt idx="581">0.57581975649583361</cx:pt>
          <cx:pt idx="582">0.52072908059645229</cx:pt>
          <cx:pt idx="583">0.50513628325305704</cx:pt>
          <cx:pt idx="584">0.52668119293646021</cx:pt>
          <cx:pt idx="585">0.51257281855327552</cx:pt>
          <cx:pt idx="586">0.5450631477144966</cx:pt>
          <cx:pt idx="587">0.63606860293248102</cx:pt>
          <cx:pt idx="588">0.68674918149966724</cx:pt>
          <cx:pt idx="589">0.45118493340672189</cx:pt>
          <cx:pt idx="590">0.64038342107779855</cx:pt>
          <cx:pt idx="591">0.62482624601104542</cx:pt>
          <cx:pt idx="592">0.76454193542746296</cx:pt>
          <cx:pt idx="593">0.78016296253456796</cx:pt>
          <cx:pt idx="594">0.68227223915743873</cx:pt>
          <cx:pt idx="595">0.59045827334818113</cx:pt>
          <cx:pt idx="596">0.57596809709207863</cx:pt>
          <cx:pt idx="597">0.59748378205054897</cx:pt>
          <cx:pt idx="598">0.63885370591124568</cx:pt>
          <cx:pt idx="599">0.51482246900374617</cx:pt>
          <cx:pt idx="600">0.5270677380626535</cx:pt>
          <cx:pt idx="601">0.65975730065839933</cx:pt>
          <cx:pt idx="602">0.71398427810474596</cx:pt>
          <cx:pt idx="603">0.66248793739445866</cx:pt>
          <cx:pt idx="604">0.63894606835200485</cx:pt>
          <cx:pt idx="605">0.83935501770521592</cx:pt>
          <cx:pt idx="606">0.51572293785012913</cx:pt>
          <cx:pt idx="607">0.71376397170845673</cx:pt>
          <cx:pt idx="608">0.83826609146407993</cx:pt>
          <cx:pt idx="609">0.62575004262408751</cx:pt>
          <cx:pt idx="610">0.52198284424373453</cx:pt>
          <cx:pt idx="611">0.8085309892721827</cx:pt>
          <cx:pt idx="612">0.53487018297385813</cx:pt>
          <cx:pt idx="613">0.53561759677850307</cx:pt>
          <cx:pt idx="614">0.64111302414412719</cx:pt>
          <cx:pt idx="615">0.72565407077254773</cx:pt>
          <cx:pt idx="616">0.69532855189138576</cx:pt>
          <cx:pt idx="617">0.56521505128610006</cx:pt>
          <cx:pt idx="618">0.70621928638478892</cx:pt>
          <cx:pt idx="619">0.57408545300630531</cx:pt>
          <cx:pt idx="620">0.57164457786388578</cx:pt>
          <cx:pt idx="621">0.54526262464199837</cx:pt>
          <cx:pt idx="622">0.71650078012573837</cx:pt>
          <cx:pt idx="623">0.60674199125921191</cx:pt>
          <cx:pt idx="624">0.48401207538347019</cx:pt>
          <cx:pt idx="625">0.51801172706727294</cx:pt>
          <cx:pt idx="626">0.54179609161962194</cx:pt>
          <cx:pt idx="627">0.46490738990813862</cx:pt>
          <cx:pt idx="628">0.50567636316383513</cx:pt>
          <cx:pt idx="629">0.60112840994333783</cx:pt>
          <cx:pt idx="630">0.6270659817069677</cx:pt>
          <cx:pt idx="631">0.59574465205928928</cx:pt>
          <cx:pt idx="632">0.57700594330962529</cx:pt>
          <cx:pt idx="633">0.56126928714164248</cx:pt>
          <cx:pt idx="634">0.64281980368039005</cx:pt>
          <cx:pt idx="635">0.53113277364657585</cx:pt>
          <cx:pt idx="636">0.59831506877248786</cx:pt>
          <cx:pt idx="637">0.53595633274084997</cx:pt>
          <cx:pt idx="638">0.47206747325917647</cx:pt>
          <cx:pt idx="639">0.49465806539636598</cx:pt>
          <cx:pt idx="640">0.43401952726861059</cx:pt>
          <cx:pt idx="641">0.54340814342820853</cx:pt>
          <cx:pt idx="642">0.58276506064651712</cx:pt>
          <cx:pt idx="643">0.59733851990881182</cx:pt>
          <cx:pt idx="644">0.56811447885633148</cx:pt>
          <cx:pt idx="645">0.60017410988818176</cx:pt>
          <cx:pt idx="646">0.69730541007106883</cx:pt>
          <cx:pt idx="647">0.59646379362588309</cx:pt>
          <cx:pt idx="648">0.51470800130810268</cx:pt>
          <cx:pt idx="649">0.58903567667287038</cx:pt>
          <cx:pt idx="650">0.63662683711920509</cx:pt>
          <cx:pt idx="651">0.6535695675828328</cx:pt>
          <cx:pt idx="652">0.61449371695382404</cx:pt>
          <cx:pt idx="653">0.64821491095020423</cx:pt>
          <cx:pt idx="654">0.60277604011511987</cx:pt>
          <cx:pt idx="655">0.60754601381732198</cx:pt>
          <cx:pt idx="656">0.46938255429517489</cx:pt>
          <cx:pt idx="657">0.61687343283097329</cx:pt>
          <cx:pt idx="658">0.62987444895800493</cx:pt>
          <cx:pt idx="659">0.44992998373241078</cx:pt>
          <cx:pt idx="660">0.5481451635953436</cx:pt>
          <cx:pt idx="661">0.58905332899258778</cx:pt>
          <cx:pt idx="662">0.57852511026040832</cx:pt>
          <cx:pt idx="663">0.60077803221258141</cx:pt>
          <cx:pt idx="664">0.62823447303307223</cx:pt>
          <cx:pt idx="665">0.65786238397733499</cx:pt>
          <cx:pt idx="666">0.36732199654082648</cx:pt>
          <cx:pt idx="667">0.50095332759166744</cx:pt>
          <cx:pt idx="668">0.60222834287396021</cx:pt>
          <cx:pt idx="669">0.69307005918441433</cx:pt>
          <cx:pt idx="670">0.80182578471215959</cx:pt>
          <cx:pt idx="671">0.75762061356410237</cx:pt>
          <cx:pt idx="672">0.82172519843480785</cx:pt>
          <cx:pt idx="673">0.78448703401719644</cx:pt>
          <cx:pt idx="674">0.83861904317391656</cx:pt>
          <cx:pt idx="675">0.66436095110958127</cx:pt>
          <cx:pt idx="676">0.77917608487057866</cx:pt>
          <cx:pt idx="677">0.90800025258336614</cx:pt>
          <cx:pt idx="678">0.80248691449861698</cx:pt>
          <cx:pt idx="679">0.85059782635737657</cx:pt>
          <cx:pt idx="680">0.79073736103018788</cx:pt>
          <cx:pt idx="681">0.73742216181343756</cx:pt>
          <cx:pt idx="682">0.85191709901630797</cx:pt>
          <cx:pt idx="683">0.84816048794667287</cx:pt>
          <cx:pt idx="684">0.82303143113038479</cx:pt>
          <cx:pt idx="685">0.77113177905111996</cx:pt>
          <cx:pt idx="686">0.89332530333871096</cx:pt>
          <cx:pt idx="687">0.85907942639450952</cx:pt>
          <cx:pt idx="688">0.74912492004398035</cx:pt>
          <cx:pt idx="689">0.69653838770468934</cx:pt>
          <cx:pt idx="690">0.83502678756032167</cx:pt>
          <cx:pt idx="691">0.86307032006690954</cx:pt>
          <cx:pt idx="692">0.78950597640986542</cx:pt>
          <cx:pt idx="693">0.70114564101619425</cx:pt>
          <cx:pt idx="694">0.8212123432566647</cx:pt>
          <cx:pt idx="695">0.76813179418747446</cx:pt>
          <cx:pt idx="696">0.71509261689730874</cx:pt>
          <cx:pt idx="697">0.76899012084000096</cx:pt>
          <cx:pt idx="698">0.7545632398386275</cx:pt>
          <cx:pt idx="699">0.78213679372031819</cx:pt>
          <cx:pt idx="700">0.75133693770299936</cx:pt>
          <cx:pt idx="701">0.77494430956070104</cx:pt>
          <cx:pt idx="702">0.83329674621649497</cx:pt>
          <cx:pt idx="703">0.76894242405862945</cx:pt>
          <cx:pt idx="704">0.56078831417676478</cx:pt>
          <cx:pt idx="705">0.68714749292534993</cx:pt>
          <cx:pt idx="706">0.65015890849652391</cx:pt>
          <cx:pt idx="707">0.66852461961966847</cx:pt>
          <cx:pt idx="708">0.69609409376092235</cx:pt>
          <cx:pt idx="709">0.81092976047046694</cx:pt>
          <cx:pt idx="710">0.65556750659228546</cx:pt>
          <cx:pt idx="711">0.8018887430174455</cx:pt>
          <cx:pt idx="712">0.79916934854221178</cx:pt>
          <cx:pt idx="713">0.70738018227813748</cx:pt>
          <cx:pt idx="714">0.69980769661634579</cx:pt>
          <cx:pt idx="715">0.73721945887495444</cx:pt>
          <cx:pt idx="716">0.69027989363285014</cx:pt>
          <cx:pt idx="717">0.78515924347605426</cx:pt>
          <cx:pt idx="718">0.5600306679073227</cx:pt>
          <cx:pt idx="719">0.66827986935198658</cx:pt>
          <cx:pt idx="720">0.59417131926285582</cx:pt>
          <cx:pt idx="721">0.65443358913514238</cx:pt>
          <cx:pt idx="722">0.78829320415412496</cx:pt>
          <cx:pt idx="723">0.41064626527056619</cx:pt>
          <cx:pt idx="724">0.51112227004709854</cx:pt>
          <cx:pt idx="725">0.69494585375013351</cx:pt>
          <cx:pt idx="726">0.79952030458195777</cx:pt>
          <cx:pt idx="727">0.67424626396160103</cx:pt>
          <cx:pt idx="728">0.74615111268635059</cx:pt>
          <cx:pt idx="729">0.38782891955882709</cx:pt>
          <cx:pt idx="730">0.65728050536872906</cx:pt>
          <cx:pt idx="731">0.76330770615188903</cx:pt>
          <cx:pt idx="732">0.70001028568839863</cx:pt>
          <cx:pt idx="733">0.50772485841673198</cx:pt>
          <cx:pt idx="734">0.54118024118444863</cx:pt>
          <cx:pt idx="735">0.63423556562656136</cx:pt>
          <cx:pt idx="736">0.63285791659915613</cx:pt>
          <cx:pt idx="737">0.62979788354075195</cx:pt>
          <cx:pt idx="738">0.61966124355534069</cx:pt>
          <cx:pt idx="739">0.70081969908714503</cx:pt>
          <cx:pt idx="740">0.66417578036432623</cx:pt>
          <cx:pt idx="741">0.56990035617198742</cx:pt>
          <cx:pt idx="742">0.76121562776792184</cx:pt>
          <cx:pt idx="743">0.66163180257246401</cx:pt>
          <cx:pt idx="744">0.71352411250459402</cx:pt>
          <cx:pt idx="745">0.58505705558405774</cx:pt>
          <cx:pt idx="746">0.65348961480310963</cx:pt>
          <cx:pt idx="747">0.6665332260968585</cx:pt>
          <cx:pt idx="748">0.63772528307076815</cx:pt>
          <cx:pt idx="749">0.71372695102616657</cx:pt>
          <cx:pt idx="750">0.66552088870815218</cx:pt>
          <cx:pt idx="751">0.54457097295619483</cx:pt>
          <cx:pt idx="752">0.59200377629917644</cx:pt>
          <cx:pt idx="753">0.70198144648082372</cx:pt>
          <cx:pt idx="754">0.46982309303510572</cx:pt>
          <cx:pt idx="755">0.41058991037696069</cx:pt>
          <cx:pt idx="756">0.52800492556772205</cx:pt>
          <cx:pt idx="757">0.41367110748954378</cx:pt>
          <cx:pt idx="758">0.38833357159832121</cx:pt>
          <cx:pt idx="759">0.3755269859271505</cx:pt>
          <cx:pt idx="760">0.47634830908031672</cx:pt>
          <cx:pt idx="761">0.42925390758865239</cx:pt>
          <cx:pt idx="762">0.41857765901899718</cx:pt>
          <cx:pt idx="763">0.54735338821569679</cx:pt>
          <cx:pt idx="764">0.49449050532050748</cx:pt>
          <cx:pt idx="765">0.46984282762472362</cx:pt>
          <cx:pt idx="766">0.39395851582922681</cx:pt>
          <cx:pt idx="767">0.52262436787690869</cx:pt>
          <cx:pt idx="768">0.42213470933247982</cx:pt>
          <cx:pt idx="769">0.42576256235181592</cx:pt>
          <cx:pt idx="770">0.48379239412740549</cx:pt>
          <cx:pt idx="771">0.69121783039011842</cx:pt>
          <cx:pt idx="772">0.4804812813776087</cx:pt>
          <cx:pt idx="773">0.4293830222177088</cx:pt>
          <cx:pt idx="774">0.51911594421546148</cx:pt>
          <cx:pt idx="775">0.54657740045288372</cx:pt>
          <cx:pt idx="776">0.68049099316496342</cx:pt>
          <cx:pt idx="777">0.59386091920379858</cx:pt>
          <cx:pt idx="778">0.55222459142824099</cx:pt>
          <cx:pt idx="779">0.62856062897344422</cx:pt>
          <cx:pt idx="780">0.32386020713714991</cx:pt>
          <cx:pt idx="781">0.38101219037752843</cx:pt>
          <cx:pt idx="782">0.61491745962140576</cx:pt>
          <cx:pt idx="783">0.56201152081199202</cx:pt>
          <cx:pt idx="784">0.57415281273994212</cx:pt>
          <cx:pt idx="785">0.48111700504452748</cx:pt>
          <cx:pt idx="786">0.47366883931527543</cx:pt>
          <cx:pt idx="787">0.53313180625380296</cx:pt>
          <cx:pt idx="788">0.53704357345451958</cx:pt>
          <cx:pt idx="789">0.53780028430374816</cx:pt>
          <cx:pt idx="790">0.55552452982859668</cx:pt>
          <cx:pt idx="791">0.38447108438780397</cx:pt>
          <cx:pt idx="792">0.49982075681091009</cx:pt>
          <cx:pt idx="793">0.54601847898883893</cx:pt>
          <cx:pt idx="794">0.75340219376135054</cx:pt>
          <cx:pt idx="795">0.50991145978814378</cx:pt>
          <cx:pt idx="796">0.43115686744994591</cx:pt>
          <cx:pt idx="797">0.52717921290909275</cx:pt>
          <cx:pt idx="798">0.60351525195143474</cx:pt>
          <cx:pt idx="799">0.46519180411744232</cx:pt>
          <cx:pt idx="800">0.50852242337227771</cx:pt>
          <cx:pt idx="801">0.49953669394078931</cx:pt>
          <cx:pt idx="802">0.56094916265265871</cx:pt>
          <cx:pt idx="803">0.49521085859229541</cx:pt>
          <cx:pt idx="804">0.43808355272414429</cx:pt>
          <cx:pt idx="805">0.49854425458906543</cx:pt>
          <cx:pt idx="806">0.4941319866518733</cx:pt>
          <cx:pt idx="807">0.5043821703103667</cx:pt>
          <cx:pt idx="808">0.67739259230887661</cx:pt>
          <cx:pt idx="809">0.51147221425402778</cx:pt>
          <cx:pt idx="810">0.45500474032210791</cx:pt>
          <cx:pt idx="811">0.47087015172507579</cx:pt>
          <cx:pt idx="812">0.38265601617437328</cx:pt>
          <cx:pt idx="813">0.50763959750125309</cx:pt>
          <cx:pt idx="814">0.50470937339267485</cx:pt>
          <cx:pt idx="815">0.51270284655510368</cx:pt>
          <cx:pt idx="816">0.53814512140128656</cx:pt>
          <cx:pt idx="817">0.58996289589009854</cx:pt>
          <cx:pt idx="818">0.56238107193895648</cx:pt>
          <cx:pt idx="819">0.46731306490533447</cx:pt>
          <cx:pt idx="820">0.56004070859906196</cx:pt>
          <cx:pt idx="821">0.57075882533372757</cx:pt>
          <cx:pt idx="822">0.35445965298292459</cx:pt>
          <cx:pt idx="823">0.75557419828854855</cx:pt>
          <cx:pt idx="824">0.63628056571898994</cx:pt>
          <cx:pt idx="825">0.53667207456522514</cx:pt>
          <cx:pt idx="826">0.46254927601180301</cx:pt>
          <cx:pt idx="827">0.48794954088380782</cx:pt>
          <cx:pt idx="828">0.54714974517685988</cx:pt>
          <cx:pt idx="829">0.5130038732635489</cx:pt>
          <cx:pt idx="830">0.72907973046677776</cx:pt>
          <cx:pt idx="831">0.4982391817329912</cx:pt>
          <cx:pt idx="832">0.4316032490268773</cx:pt>
          <cx:pt idx="833">0.46237549477388828</cx:pt>
          <cx:pt idx="834">0.50757601515116635</cx:pt>
          <cx:pt idx="835">0.44131485925569602</cx:pt>
          <cx:pt idx="836">0.63597201179227714</cx:pt>
          <cx:pt idx="837">0.3872107530757985</cx:pt>
          <cx:pt idx="838">0.51740808591499265</cx:pt>
          <cx:pt idx="839">0.40856458510343219</cx:pt>
          <cx:pt idx="840">0.47078199456336639</cx:pt>
          <cx:pt idx="841">0.54109541709950193</cx:pt>
          <cx:pt idx="842">0.45821399408846247</cx:pt>
          <cx:pt idx="843">0.56859412452278202</cx:pt>
          <cx:pt idx="844">0.61785632410941549</cx:pt>
          <cx:pt idx="845">0.56429320050779341</cx:pt>
          <cx:pt idx="846">0.59290134177075471</cx:pt>
          <cx:pt idx="847">0.4169585260751138</cx:pt>
          <cx:pt idx="848">0.47025240603772761</cx:pt>
          <cx:pt idx="849">0.46808391679481698</cx:pt>
          <cx:pt idx="850">0.36578647158760741</cx:pt>
          <cx:pt idx="851">0.38674875148835469</cx:pt>
          <cx:pt idx="852">0.34284893964751167</cx:pt>
          <cx:pt idx="853">0.25993912219953419</cx:pt>
          <cx:pt idx="854">0.29776612804922781</cx:pt>
          <cx:pt idx="855">0.32897395061661738</cx:pt>
          <cx:pt idx="856">0.33006615498120478</cx:pt>
          <cx:pt idx="857">0.57170623512899121</cx:pt>
          <cx:pt idx="858">0.45538441438641408</cx:pt>
        </cx:lvl>
      </cx:numDim>
    </cx:data>
    <cx:data id="1">
      <cx:numDim type="val">
        <cx:f>'Figure 5 (ANZSCO 2013)'!$C$3:$C$861</cx:f>
        <cx:lvl ptCount="859" formatCode="0%">
          <cx:pt idx="0">0.82668259749125328</cx:pt>
          <cx:pt idx="1">0.86966460983744875</cx:pt>
          <cx:pt idx="2">0.63820674383096043</cx:pt>
          <cx:pt idx="3">0.60696656619855516</cx:pt>
          <cx:pt idx="4">0.77698909540085237</cx:pt>
          <cx:pt idx="5">0.80614538184511142</cx:pt>
          <cx:pt idx="6">0.77068264965383781</cx:pt>
          <cx:pt idx="7">0.76491335281838546</cx:pt>
          <cx:pt idx="8">0.76781994995056801</cx:pt>
          <cx:pt idx="9">0.61480353108291652</cx:pt>
          <cx:pt idx="10">0.61744933968106075</cx:pt>
          <cx:pt idx="11">0.78870594447928399</cx:pt>
          <cx:pt idx="12">0.77317860000349448</cx:pt>
          <cx:pt idx="13">0.61494446016203308</cx:pt>
          <cx:pt idx="14">0.7582402268320928</cx:pt>
          <cx:pt idx="15">0.72566125571686591</cx:pt>
          <cx:pt idx="16">0.75250918309939119</cx:pt>
          <cx:pt idx="17">0.66234732200892887</cx:pt>
          <cx:pt idx="18">0.75464195245033561</cx:pt>
          <cx:pt idx="19">0.72008358070243161</cx:pt>
          <cx:pt idx="20">0.6136373320823878</cx:pt>
          <cx:pt idx="21">0.71147869371814298</cx:pt>
          <cx:pt idx="22">0.65637346571778143</cx:pt>
          <cx:pt idx="23">0.76916093785021877</cx:pt>
          <cx:pt idx="24">0.71814734478489994</cx:pt>
          <cx:pt idx="25">0.67203286859320677</cx:pt>
          <cx:pt idx="26">0.76692635521892338</cx:pt>
          <cx:pt idx="27">0.79177503008979933</cx:pt>
          <cx:pt idx="28">0.79459629047928437</cx:pt>
          <cx:pt idx="29">0.84003173380089446</cx:pt>
          <cx:pt idx="30">0.77830248066331242</cx:pt>
          <cx:pt idx="31">0.82726700486772464</cx:pt>
          <cx:pt idx="32">0.72190718118528407</cx:pt>
          <cx:pt idx="33">0.70761597736072734</cx:pt>
          <cx:pt idx="34">0.65370656019406592</cx:pt>
          <cx:pt idx="35">0.69757214213813412</cx:pt>
          <cx:pt idx="36">0.69974540202005686</cx:pt>
          <cx:pt idx="37">0.78286894466414469</cx:pt>
          <cx:pt idx="38">0.81957472535935405</cx:pt>
          <cx:pt idx="39">0.60471593231337162</cx:pt>
          <cx:pt idx="40">0.8132421903769711</cx:pt>
          <cx:pt idx="41">0.75557814592837602</cx:pt>
          <cx:pt idx="42">0.79489070884917901</cx:pt>
          <cx:pt idx="43">0.72365973864270849</cx:pt>
          <cx:pt idx="44">0.71300156889522637</cx:pt>
          <cx:pt idx="45">0.76926072339060592</cx:pt>
          <cx:pt idx="46">0.63796811389372665</cx:pt>
          <cx:pt idx="47">0.51488615606726718</cx:pt>
          <cx:pt idx="48">0.68998899808025915</cx:pt>
          <cx:pt idx="49">0.74802623195604889</cx:pt>
          <cx:pt idx="50">0.78902009336657908</cx:pt>
          <cx:pt idx="51">0.72299335046319757</cx:pt>
          <cx:pt idx="52">0.71727214878550039</cx:pt>
          <cx:pt idx="53">0.70662274374333556</cx:pt>
          <cx:pt idx="54">0.70269403925951424</cx:pt>
          <cx:pt idx="55">0.83941766963527997</cx:pt>
          <cx:pt idx="56">0.77113685373135954</cx:pt>
          <cx:pt idx="57">0.75117349011490997</cx:pt>
          <cx:pt idx="58">0.71530703896367831</cx:pt>
          <cx:pt idx="59">0.7151885408489862</cx:pt>
          <cx:pt idx="60">0.74318781671952716</cx:pt>
          <cx:pt idx="61">0.75146514618501659</cx:pt>
          <cx:pt idx="62">0.78743370353059505</cx:pt>
          <cx:pt idx="63">0.70722053911159644</cx:pt>
          <cx:pt idx="64">0.74884840777078721</cx:pt>
          <cx:pt idx="65">0.73562135556121888</cx:pt>
          <cx:pt idx="66">0.74444006279548958</cx:pt>
          <cx:pt idx="67">0.74666266649054369</cx:pt>
          <cx:pt idx="68">0.75325247775376558</cx:pt>
          <cx:pt idx="69">0.70435255821883591</cx:pt>
          <cx:pt idx="70">0.73019851712758865</cx:pt>
          <cx:pt idx="71">0.73438487776534078</cx:pt>
          <cx:pt idx="72">0.73557899623121648</cx:pt>
          <cx:pt idx="73">0.6434746033233909</cx:pt>
          <cx:pt idx="74">0.74088447872990904</cx:pt>
          <cx:pt idx="75">0.727992334140946</cx:pt>
          <cx:pt idx="76">0.77959548151042746</cx:pt>
          <cx:pt idx="77">0.86431005764214985</cx:pt>
          <cx:pt idx="78">0.78954877963253756</cx:pt>
          <cx:pt idx="79">0.78464429979165096</cx:pt>
          <cx:pt idx="80">0.86933384932851243</cx:pt>
          <cx:pt idx="81">0.75981229794225857</cx:pt>
          <cx:pt idx="82">0.78138362250202853</cx:pt>
          <cx:pt idx="83">0.74263102106006862</cx:pt>
          <cx:pt idx="84">0.72510746614678356</cx:pt>
          <cx:pt idx="85">0.73542771064493606</cx:pt>
          <cx:pt idx="86">0.73352416850055102</cx:pt>
          <cx:pt idx="87">0.83391266753420357</cx:pt>
          <cx:pt idx="88">0.81506795044325508</cx:pt>
          <cx:pt idx="89">0.72393421884110576</cx:pt>
          <cx:pt idx="90">0.80008260073885495</cx:pt>
          <cx:pt idx="91">0.68832228128027273</cx:pt>
          <cx:pt idx="92">0.60453748416792585</cx:pt>
          <cx:pt idx="93">0.7745936439822485</cx:pt>
          <cx:pt idx="94">0.75144588041809013</cx:pt>
          <cx:pt idx="95">0.46379045312221889</cx:pt>
          <cx:pt idx="96">0.48360872497023111</cx:pt>
          <cx:pt idx="97">0.62849289673610165</cx:pt>
          <cx:pt idx="98">0.71123300192305838</cx:pt>
          <cx:pt idx="99">0.66075927601812667</cx:pt>
          <cx:pt idx="100">0.80960925364418179</cx:pt>
          <cx:pt idx="101">0.76831386826676473</cx:pt>
          <cx:pt idx="102">0.71948842024842674</cx:pt>
          <cx:pt idx="103">0.71605124671409903</cx:pt>
          <cx:pt idx="104">0.81204459139315299</cx:pt>
          <cx:pt idx="105">0.56103971620532456</cx:pt>
          <cx:pt idx="106">0.76535709992356382</cx:pt>
          <cx:pt idx="107">0.74357204146164957</cx:pt>
          <cx:pt idx="108">0.72477320432435088</cx:pt>
          <cx:pt idx="109">0.72418177349746538</cx:pt>
          <cx:pt idx="110">0.74677940275393995</cx:pt>
          <cx:pt idx="111">0.64684979058943726</cx:pt>
          <cx:pt idx="112">0.64273719960045517</cx:pt>
          <cx:pt idx="113">0.49936242788699631</cx:pt>
          <cx:pt idx="114">0.72005739615867759</cx:pt>
          <cx:pt idx="115">0.69698066677700021</cx:pt>
          <cx:pt idx="116">0.60159742184086185</cx:pt>
          <cx:pt idx="117">0.53203456974000007</cx:pt>
          <cx:pt idx="118">0.68199408952139207</cx:pt>
          <cx:pt idx="119">0.69554372663007791</cx:pt>
          <cx:pt idx="120">0.76003882112747334</cx:pt>
          <cx:pt idx="121">0.78798441652387952</cx:pt>
          <cx:pt idx="122">0.60140631023279756</cx:pt>
          <cx:pt idx="123">0.59728413172410888</cx:pt>
          <cx:pt idx="124">0.81634434048669113</cx:pt>
          <cx:pt idx="125">0.55609172716321809</cx:pt>
          <cx:pt idx="126">0.66583025088832304</cx:pt>
          <cx:pt idx="127">0.73440136716376792</cx:pt>
          <cx:pt idx="128">0.73300374535089052</cx:pt>
          <cx:pt idx="129">0.27680859444822109</cx:pt>
          <cx:pt idx="130">0.62845579355575687</cx:pt>
          <cx:pt idx="131">0.74401053528211736</cx:pt>
          <cx:pt idx="132">0.35592365914265323</cx:pt>
          <cx:pt idx="133">0.66490189521806997</cx:pt>
          <cx:pt idx="134">0.66231218148892546</cx:pt>
          <cx:pt idx="135">0.61883577638474296</cx:pt>
          <cx:pt idx="136">0.63870318311305951</cx:pt>
          <cx:pt idx="137">0.57033804829397805</cx:pt>
          <cx:pt idx="138">0.59250768693027667</cx:pt>
          <cx:pt idx="139">0.60666655524626611</cx:pt>
          <cx:pt idx="140">0.67980889733561489</cx:pt>
          <cx:pt idx="141">0.64053601503401081</cx:pt>
          <cx:pt idx="142">0.6922827760337259</cx:pt>
          <cx:pt idx="143">0.70028873196758878</cx:pt>
          <cx:pt idx="144">0.8097125604568034</cx:pt>
          <cx:pt idx="145">0.62372432596927807</cx:pt>
          <cx:pt idx="146">0.66132409008188886</cx:pt>
          <cx:pt idx="147">0.69409345629785968</cx:pt>
          <cx:pt idx="148">0.76645593309339011</cx:pt>
          <cx:pt idx="149">0.5976118011570698</cx:pt>
          <cx:pt idx="150">0.57200249250906454</cx:pt>
          <cx:pt idx="151">0.7445286770770736</cx:pt>
          <cx:pt idx="152">0.66407232210569744</cx:pt>
          <cx:pt idx="153">0.5651790867631612</cx:pt>
          <cx:pt idx="154">0.57637867275790955</cx:pt>
          <cx:pt idx="155">0.73086623346341228</cx:pt>
          <cx:pt idx="156">0.52412919440330852</cx:pt>
          <cx:pt idx="157">0.66094755773587233</cx:pt>
          <cx:pt idx="158">0.77148959621657021</cx:pt>
          <cx:pt idx="159">0.67559186554247819</cx:pt>
          <cx:pt idx="160">0.51107001418601139</cx:pt>
          <cx:pt idx="161">0.83462304108219365</cx:pt>
          <cx:pt idx="162">0.80975611191229191</cx:pt>
          <cx:pt idx="163">0.79962256393778042</cx:pt>
          <cx:pt idx="164">0.76419787369653747</cx:pt>
          <cx:pt idx="165">0.77583551942875018</cx:pt>
          <cx:pt idx="166">0.76809087967408995</cx:pt>
          <cx:pt idx="167">0.70846372673737323</cx:pt>
          <cx:pt idx="168">0.78274462639367226</cx:pt>
          <cx:pt idx="169">0.65259455204419536</cx:pt>
          <cx:pt idx="170">0.76084498121932409</cx:pt>
          <cx:pt idx="171">0.72957501836089056</cx:pt>
          <cx:pt idx="172">0.7751233274064222</cx:pt>
          <cx:pt idx="173">0.7783920896112051</cx:pt>
          <cx:pt idx="174">0.79384489944715231</cx:pt>
          <cx:pt idx="175">0.78036144319853651</cx:pt>
          <cx:pt idx="176">0.61069007168826905</cx:pt>
          <cx:pt idx="177">0.64682770038560944</cx:pt>
          <cx:pt idx="178">0.56472513468535057</cx:pt>
          <cx:pt idx="179">0.53360440975372203</cx:pt>
          <cx:pt idx="180">0.63337952546608123</cx:pt>
          <cx:pt idx="181">0.42904109360259768</cx:pt>
          <cx:pt idx="182">0.44684228377607488</cx:pt>
          <cx:pt idx="183">0.65837394448682263</cx:pt>
          <cx:pt idx="184">0.39565213027215518</cx:pt>
          <cx:pt idx="185">0.5247740801217462</cx:pt>
          <cx:pt idx="186">0.47024064161154788</cx:pt>
          <cx:pt idx="187">0.43099144193596811</cx:pt>
          <cx:pt idx="188">0.51170952723725016</cx:pt>
          <cx:pt idx="189">0.52989682632616186</cx:pt>
          <cx:pt idx="190">0.65260226968476454</cx:pt>
          <cx:pt idx="191">0.6749437587177386</cx:pt>
          <cx:pt idx="192">0.36273440277880492</cx:pt>
          <cx:pt idx="193">0.66075359919623433</cx:pt>
          <cx:pt idx="194">0.65156412535495223</cx:pt>
          <cx:pt idx="195">0.68782230001860989</cx:pt>
          <cx:pt idx="196">0.65632397404677834</cx:pt>
          <cx:pt idx="197">0.62466890956784205</cx:pt>
          <cx:pt idx="198">0.84446129363325617</cx:pt>
          <cx:pt idx="199">0.76729930942268854</cx:pt>
          <cx:pt idx="200">0.83113026910842969</cx:pt>
          <cx:pt idx="201">0.73193707605073588</cx:pt>
          <cx:pt idx="202">0.74874387796380681</cx:pt>
          <cx:pt idx="203">0.63278286437451492</cx:pt>
          <cx:pt idx="204">0.5567757539277649</cx:pt>
          <cx:pt idx="205">0.50523242778863742</cx:pt>
          <cx:pt idx="206">0.55668479312844588</cx:pt>
          <cx:pt idx="207">0.66594242403809822</cx:pt>
          <cx:pt idx="208">0.53347647872475734</cx:pt>
          <cx:pt idx="209">0.60315246355845586</cx:pt>
          <cx:pt idx="210">0.59003390304742831</cx:pt>
          <cx:pt idx="211">0.5839017833249297</cx:pt>
          <cx:pt idx="212">0.63597700736161622</cx:pt>
          <cx:pt idx="213">0.6730491214960479</cx:pt>
          <cx:pt idx="214">0.60281759411189895</cx:pt>
          <cx:pt idx="215">0.62871984012433779</cx:pt>
          <cx:pt idx="216">0.4104136272412065</cx:pt>
          <cx:pt idx="217">0.44461889903499469</cx:pt>
          <cx:pt idx="218">0.44363590588012708</cx:pt>
          <cx:pt idx="219">0.31481410450975938</cx:pt>
          <cx:pt idx="220">0.46321875520708122</cx:pt>
          <cx:pt idx="221">0.42647457667759259</cx:pt>
          <cx:pt idx="222">0.63906284895978949</cx:pt>
          <cx:pt idx="223">0.41116174486467633</cx:pt>
          <cx:pt idx="224">0.58445570058639029</cx:pt>
          <cx:pt idx="225">0.59308927445088744</cx:pt>
          <cx:pt idx="226">0.40504495391440948</cx:pt>
          <cx:pt idx="227">0.47594530495281839</cx:pt>
          <cx:pt idx="228">0.7305600021000922</cx:pt>
          <cx:pt idx="229">0.57736842566037649</cx:pt>
          <cx:pt idx="230">0.56985017675001259</cx:pt>
          <cx:pt idx="231">0.79618623148527146</cx:pt>
          <cx:pt idx="232">0.68814247611505597</cx:pt>
          <cx:pt idx="233">0.60118117724885423</cx:pt>
          <cx:pt idx="234">0.6853143765242754</cx:pt>
          <cx:pt idx="235">0.6814584998390204</cx:pt>
          <cx:pt idx="236">0.54344245566292815</cx:pt>
          <cx:pt idx="237">0.58115291976434469</cx:pt>
          <cx:pt idx="238">0.51860541446881081</cx:pt>
          <cx:pt idx="239">0.54313041788083871</cx:pt>
          <cx:pt idx="240">0.47780330124314863</cx:pt>
          <cx:pt idx="241">0.67762361159189599</cx:pt>
          <cx:pt idx="242">0.56016203467224168</cx:pt>
          <cx:pt idx="243">0.422989720459297</cx:pt>
          <cx:pt idx="244">0.7119937740737422</cx:pt>
          <cx:pt idx="245">0.63163409095239509</cx:pt>
          <cx:pt idx="246">0.64333073523130757</cx:pt>
          <cx:pt idx="247">0.74338363634968907</cx:pt>
          <cx:pt idx="248">0.39687905929567441</cx:pt>
          <cx:pt idx="249">0.51139014968262042</cx:pt>
          <cx:pt idx="250">0.53055658629807156</cx:pt>
          <cx:pt idx="251">0.6636433801617927</cx:pt>
          <cx:pt idx="252">0.51592470334555152</cx:pt>
          <cx:pt idx="253">0.63877133932454133</cx:pt>
          <cx:pt idx="254">0.77778834519609918</cx:pt>
          <cx:pt idx="255">0.5453770088418719</cx:pt>
          <cx:pt idx="256">0.73663446605581118</cx:pt>
          <cx:pt idx="257">0.59805519419957909</cx:pt>
          <cx:pt idx="258">0.73909376832897866</cx:pt>
          <cx:pt idx="259">0.5756461935227366</cx:pt>
          <cx:pt idx="260">0.634905210815502</cx:pt>
          <cx:pt idx="261">0.71816021013447262</cx:pt>
          <cx:pt idx="262">0.72766614673587005</cx:pt>
          <cx:pt idx="263">0.76656638604151184</cx:pt>
          <cx:pt idx="264">0.76318256884041358</cx:pt>
          <cx:pt idx="265">0.56489408551252618</cx:pt>
          <cx:pt idx="266">0.77144276926015509</cx:pt>
          <cx:pt idx="267">0.74799862939419304</cx:pt>
          <cx:pt idx="268">0.73881482396099807</cx:pt>
          <cx:pt idx="269">0.76995808594927118</cx:pt>
          <cx:pt idx="270">0.66643734471004701</cx:pt>
          <cx:pt idx="271">0.7311485664697438</cx:pt>
          <cx:pt idx="272">0.74672659031216049</cx:pt>
          <cx:pt idx="273">0.68561674071696166</cx:pt>
          <cx:pt idx="274">0.81474161259802469</cx:pt>
          <cx:pt idx="275">0.68016912811643382</cx:pt>
          <cx:pt idx="276">0.56486655984908429</cx:pt>
          <cx:pt idx="277">0.65688856612212754</cx:pt>
          <cx:pt idx="278">0.61785221390834433</cx:pt>
          <cx:pt idx="279">0.3691015774533456</cx:pt>
          <cx:pt idx="280">0.69345296969332038</cx:pt>
          <cx:pt idx="281">0.77288007286721905</cx:pt>
          <cx:pt idx="282">0.54945511767379063</cx:pt>
          <cx:pt idx="283">0.63965738752726642</cx:pt>
          <cx:pt idx="284">0.64613059631124359</cx:pt>
          <cx:pt idx="285">0.67794915346298801</cx:pt>
          <cx:pt idx="286">0.54837648244764281</cx:pt>
          <cx:pt idx="287">0.71897238728052038</cx:pt>
          <cx:pt idx="288">0.47532443338436797</cx:pt>
          <cx:pt idx="289">0.63184370573423498</cx:pt>
          <cx:pt idx="290">0.63824800461010056</cx:pt>
          <cx:pt idx="291">0.59912824465976378</cx:pt>
          <cx:pt idx="292">0.6505522313763944</cx:pt>
          <cx:pt idx="293">0.65231377134883783</cx:pt>
          <cx:pt idx="294">0.71489746954034394</cx:pt>
          <cx:pt idx="295">0.71617937625043926</cx:pt>
          <cx:pt idx="296">0.62651001741754619</cx:pt>
          <cx:pt idx="297">0.57767496214355063</cx:pt>
          <cx:pt idx="298">0.59429849182368377</cx:pt>
          <cx:pt idx="299">0.48222853627025719</cx:pt>
          <cx:pt idx="300">0.51387658665270064</cx:pt>
          <cx:pt idx="301">0.46270841703804072</cx:pt>
          <cx:pt idx="302">0.50858718490627819</cx:pt>
          <cx:pt idx="303">0.31987240971908248</cx:pt>
          <cx:pt idx="304">0.26977093074075559</cx:pt>
          <cx:pt idx="305">0.51779074970410544</cx:pt>
          <cx:pt idx="306">0.45687920350172412</cx:pt>
          <cx:pt idx="307">0.44067481870094721</cx:pt>
          <cx:pt idx="308">0.43321319452203733</cx:pt>
          <cx:pt idx="309">0.42034050092818948</cx:pt>
          <cx:pt idx="310">0.44629633719092537</cx:pt>
          <cx:pt idx="311">0.47755441421952471</cx:pt>
          <cx:pt idx="312">0.48128677291149019</cx:pt>
          <cx:pt idx="313">0.42260312064012789</cx:pt>
          <cx:pt idx="314">0.52025608783763966</cx:pt>
          <cx:pt idx="315">0.44291217173037067</cx:pt>
          <cx:pt idx="316">0.51018547433167039</cx:pt>
          <cx:pt idx="317">0.56451093527499063</cx:pt>
          <cx:pt idx="318">0.49295935426008808</cx:pt>
          <cx:pt idx="319">0.49127136213038097</cx:pt>
          <cx:pt idx="320">0.30854149073621712</cx:pt>
          <cx:pt idx="321">0.41486385141163662</cx:pt>
          <cx:pt idx="322">0.37211313059237378</cx:pt>
          <cx:pt idx="323">0.47204855559814191</cx:pt>
          <cx:pt idx="324">0.44231435327573199</cx:pt>
          <cx:pt idx="325">0.48108557429709597</cx:pt>
          <cx:pt idx="326">0.47793994355734359</cx:pt>
          <cx:pt idx="327">0.43924407176405222</cx:pt>
          <cx:pt idx="328">0.38513556269223359</cx:pt>
          <cx:pt idx="329">0.44881912742507751</cx:pt>
          <cx:pt idx="330">0.52273018503378144</cx:pt>
          <cx:pt idx="331">0.53775930028990337</cx:pt>
          <cx:pt idx="332">0.43537257047283751</cx:pt>
          <cx:pt idx="333">0.52680203630948363</cx:pt>
          <cx:pt idx="334">0.56070057604661805</cx:pt>
          <cx:pt idx="335">0.4102301441181736</cx:pt>
          <cx:pt idx="336">0.49599226791977058</cx:pt>
          <cx:pt idx="337">0.58810254788436722</cx:pt>
          <cx:pt idx="338">0.37040328834841679</cx:pt>
          <cx:pt idx="339">0.66339642318456804</cx:pt>
          <cx:pt idx="340">0.55609772456198459</cx:pt>
          <cx:pt idx="341">0.73763118778289871</cx:pt>
          <cx:pt idx="342">0.65185394747151937</cx:pt>
          <cx:pt idx="343">0.47133103454513181</cx:pt>
          <cx:pt idx="344">0.58897932856025426</cx:pt>
          <cx:pt idx="345">0.68499975006635305</cx:pt>
          <cx:pt idx="346">0.4833426466853834</cx:pt>
          <cx:pt idx="347">0.49456504651030542</cx:pt>
          <cx:pt idx="348">0.61006909986060387</cx:pt>
          <cx:pt idx="349">0.65098704440274424</cx:pt>
          <cx:pt idx="350">0.71609535886527065</cx:pt>
          <cx:pt idx="351">0.59473620926077009</cx:pt>
          <cx:pt idx="352">0.59706675922973085</cx:pt>
          <cx:pt idx="353">0.66837370776412075</cx:pt>
          <cx:pt idx="354">0.40689629862806198</cx:pt>
          <cx:pt idx="355">0.79263634437080477</cx:pt>
          <cx:pt idx="356">0.73124654257118282</cx:pt>
          <cx:pt idx="357">0.75496403365566589</cx:pt>
          <cx:pt idx="358">0.66895233340844795</cx:pt>
          <cx:pt idx="359">0.69302690996521799</cx:pt>
          <cx:pt idx="360">0.65436558966697067</cx:pt>
          <cx:pt idx="361">0.60869715221134357</cx:pt>
          <cx:pt idx="362">0.6833094520558064</cx:pt>
          <cx:pt idx="363">0.53994216172223142</cx:pt>
          <cx:pt idx="364">0.66061432726256708</cx:pt>
          <cx:pt idx="365">0.73912259934522195</cx:pt>
          <cx:pt idx="366">0.68722611380809606</cx:pt>
          <cx:pt idx="367">0.80796955287109418</cx:pt>
          <cx:pt idx="368">0.68685837832026231</cx:pt>
          <cx:pt idx="369">0.70232763939969334</cx:pt>
          <cx:pt idx="370">0.63236280871909289</cx:pt>
          <cx:pt idx="371">0.64738050739638242</cx:pt>
          <cx:pt idx="372">0.66983752874696367</cx:pt>
          <cx:pt idx="373">0.79690785406632625</cx:pt>
          <cx:pt idx="374">0.78606100638158138</cx:pt>
          <cx:pt idx="375">0.6197949239320456</cx:pt>
          <cx:pt idx="376">0.72561553471504714</cx:pt>
          <cx:pt idx="377">0.58451491495746477</cx:pt>
          <cx:pt idx="378">0.62551134018576482</cx:pt>
          <cx:pt idx="379">0.61209619566426654</cx:pt>
          <cx:pt idx="380">0.61473507779276537</cx:pt>
          <cx:pt idx="381">0.69993806137341896</cx:pt>
          <cx:pt idx="382">0.73112112446802946</cx:pt>
          <cx:pt idx="383">0.69288333654210366</cx:pt>
          <cx:pt idx="384">0.6100904604291566</cx:pt>
          <cx:pt idx="385">0.59080196096389004</cx:pt>
          <cx:pt idx="386">0.70661745853248048</cx:pt>
          <cx:pt idx="387">0.62976546312504478</cx:pt>
          <cx:pt idx="388">0.5397935275017276</cx:pt>
          <cx:pt idx="389">0.49751149182915871</cx:pt>
          <cx:pt idx="390">0.55750580790848692</cx:pt>
          <cx:pt idx="391">0.54663905870836771</cx:pt>
          <cx:pt idx="392">0.46476840996559232</cx:pt>
          <cx:pt idx="393">0.62157855052548205</cx:pt>
          <cx:pt idx="394">0.86831474445519374</cx:pt>
          <cx:pt idx="395">0.72028631307799362</cx:pt>
          <cx:pt idx="396">0.52577066309795983</cx:pt>
          <cx:pt idx="397">0.66965903399647209</cx:pt>
          <cx:pt idx="398">0.67491432212209068</cx:pt>
          <cx:pt idx="399">0.69034356147398324</cx:pt>
          <cx:pt idx="400">0.78019971173038138</cx:pt>
          <cx:pt idx="401">0.78967840372580245</cx:pt>
          <cx:pt idx="402">0.54993933340945855</cx:pt>
          <cx:pt idx="403">0.55269759498794213</cx:pt>
          <cx:pt idx="404">0.54628423401006609</cx:pt>
          <cx:pt idx="405">0.84670589411992936</cx:pt>
          <cx:pt idx="406">0.55442832481030835</cx:pt>
          <cx:pt idx="407">0.65918178241478376</cx:pt>
          <cx:pt idx="408">0.72854716104626949</cx:pt>
          <cx:pt idx="409">0.62111825324885739</cx:pt>
          <cx:pt idx="410">0.54630651596825863</cx:pt>
          <cx:pt idx="411">0.24624217745045121</cx:pt>
          <cx:pt idx="412">0.67066883840380476</cx:pt>
          <cx:pt idx="413">0.41410260184936543</cx:pt>
          <cx:pt idx="414">0.7899971682493655</cx:pt>
          <cx:pt idx="415">0.68777199252512256</cx:pt>
          <cx:pt idx="416">0.69618802637853661</cx:pt>
          <cx:pt idx="417">0.82874734419329366</cx:pt>
          <cx:pt idx="418">0.62773588144671388</cx:pt>
          <cx:pt idx="419">0.57004116108803582</cx:pt>
          <cx:pt idx="420">0.75101566766192318</cx:pt>
          <cx:pt idx="421">0.79550688831450067</cx:pt>
          <cx:pt idx="422">0.47803609353594517</cx:pt>
          <cx:pt idx="423">0.61625599867196523</cx:pt>
          <cx:pt idx="424">0.45335005396949002</cx:pt>
          <cx:pt idx="425">0.52611190285621789</cx:pt>
          <cx:pt idx="426">0.63327196001779462</cx:pt>
          <cx:pt idx="427">0.50104550952852767</cx:pt>
          <cx:pt idx="428">0.6081601978501151</cx:pt>
          <cx:pt idx="429">0.61275852679605958</cx:pt>
          <cx:pt idx="430">0.69288025009238574</cx:pt>
          <cx:pt idx="431">0.54415431869779063</cx:pt>
          <cx:pt idx="432">0.5756611056920875</cx:pt>
          <cx:pt idx="433">0.33018338561090388</cx:pt>
          <cx:pt idx="434">0.27005019794907348</cx:pt>
          <cx:pt idx="435">0.66156317778886276</cx:pt>
          <cx:pt idx="436">0.712035717010438</cx:pt>
          <cx:pt idx="437">0.50909035838132177</cx:pt>
          <cx:pt idx="438">0.68736357366636369</cx:pt>
          <cx:pt idx="439">0.56947258636179487</cx:pt>
          <cx:pt idx="440">0.53587771592972588</cx:pt>
          <cx:pt idx="441">0.87128450705086347</cx:pt>
          <cx:pt idx="442">0.68312666683514367</cx:pt>
          <cx:pt idx="443">0.48816487900630701</cx:pt>
          <cx:pt idx="444">0.33010058947216359</cx:pt>
          <cx:pt idx="445">0.40906216108531712</cx:pt>
          <cx:pt idx="446">0.48961633897197232</cx:pt>
          <cx:pt idx="447">0.42467447161667521</cx:pt>
          <cx:pt idx="448">0.33819693690737379</cx:pt>
          <cx:pt idx="449">0.39547778965996699</cx:pt>
          <cx:pt idx="450">0.33929080891924102</cx:pt>
          <cx:pt idx="451">0.22763213640754279</cx:pt>
          <cx:pt idx="452">0.29567510376830342</cx:pt>
          <cx:pt idx="453">0.36925446415672591</cx:pt>
          <cx:pt idx="454">0.41348186033965201</cx:pt>
          <cx:pt idx="455">0.34368680302258098</cx:pt>
          <cx:pt idx="456">0.3878067906162439</cx:pt>
          <cx:pt idx="457">0.43136318818748293</cx:pt>
          <cx:pt idx="458">0.34103751581884573</cx:pt>
          <cx:pt idx="459">0.43073157567186932</cx:pt>
          <cx:pt idx="460">0.21361268142245829</cx:pt>
          <cx:pt idx="461">0.58875644171613117</cx:pt>
          <cx:pt idx="462">0.20617453230223409</cx:pt>
          <cx:pt idx="463">0.22926935400059259</cx:pt>
          <cx:pt idx="464">0.35746110261719749</cx:pt>
          <cx:pt idx="465">0.44892904592661259</cx:pt>
          <cx:pt idx="466">0.38104681959666009</cx:pt>
          <cx:pt idx="467">0.29481353979435848</cx:pt>
          <cx:pt idx="468">0.32313458394134542</cx:pt>
          <cx:pt idx="469">0.32269134115428721</cx:pt>
          <cx:pt idx="470">0.32730088581437489</cx:pt>
          <cx:pt idx="471">0.41964627634715768</cx:pt>
          <cx:pt idx="472">0.46159044062724353</cx:pt>
          <cx:pt idx="473">0.24951761852989021</cx:pt>
          <cx:pt idx="474">0.51873522648041603</cx:pt>
          <cx:pt idx="475">0.34881635917199277</cx:pt>
          <cx:pt idx="476">0.40493113742103309</cx:pt>
          <cx:pt idx="477">0.4031583259170835</cx:pt>
          <cx:pt idx="478">0.34270472460459561</cx:pt>
          <cx:pt idx="479">0.31403672625649182</cx:pt>
          <cx:pt idx="480">0.40689584939875062</cx:pt>
          <cx:pt idx="481">0.27434546342465638</cx:pt>
          <cx:pt idx="482">0.43808481195441079</cx:pt>
          <cx:pt idx="483">0.43329046694718742</cx:pt>
          <cx:pt idx="484">0.29745774920423179</cx:pt>
          <cx:pt idx="485">0.55019135792149676</cx:pt>
          <cx:pt idx="486">0.58250421692260235</cx:pt>
          <cx:pt idx="487">0.36334318686954242</cx:pt>
          <cx:pt idx="488">0.29245608593811739</cx:pt>
          <cx:pt idx="489">0.49793389307743308</cx:pt>
          <cx:pt idx="490">0.39715483267043389</cx:pt>
          <cx:pt idx="491">0.52782473282823938</cx:pt>
          <cx:pt idx="492">0.364130840566046</cx:pt>
          <cx:pt idx="493">0.32310479581008827</cx:pt>
          <cx:pt idx="494">0.42728567735432232</cx:pt>
          <cx:pt idx="495">0.45418414169864418</cx:pt>
          <cx:pt idx="496">0.49872744528884622</cx:pt>
          <cx:pt idx="497">0.36240293168227639</cx:pt>
          <cx:pt idx="498">0.39497691510721322</cx:pt>
          <cx:pt idx="499">0.39358544910677962</cx:pt>
          <cx:pt idx="500">0.58395854915473877</cx:pt>
          <cx:pt idx="501">0.33087326883678081</cx:pt>
          <cx:pt idx="502">0.2779992209424772</cx:pt>
          <cx:pt idx="503">0.41095752025678089</cx:pt>
          <cx:pt idx="504">0.42348605507822679</cx:pt>
          <cx:pt idx="505">0.37340434990149068</cx:pt>
          <cx:pt idx="506">0.45187176498340142</cx:pt>
          <cx:pt idx="507">0.61368321012588145</cx:pt>
          <cx:pt idx="508">0.49334378234197379</cx:pt>
          <cx:pt idx="509">0.48768199342388968</cx:pt>
          <cx:pt idx="510">0.34002004082463688</cx:pt>
          <cx:pt idx="511">0.26043104350137097</cx:pt>
          <cx:pt idx="512">0.42563054867902089</cx:pt>
          <cx:pt idx="513">0.3901554175265487</cx:pt>
          <cx:pt idx="514">0.47197865014412038</cx:pt>
          <cx:pt idx="515">0.56508945152011525</cx:pt>
          <cx:pt idx="516">0.54283594352357589</cx:pt>
          <cx:pt idx="517">0.52439579163576344</cx:pt>
          <cx:pt idx="518">0.68908387969652607</cx:pt>
          <cx:pt idx="519">0.68326171905798483</cx:pt>
          <cx:pt idx="520">0.59707035800547625</cx:pt>
          <cx:pt idx="521">0.59294481814944755</cx:pt>
          <cx:pt idx="522">0.60395542545689374</cx:pt>
          <cx:pt idx="523">0.62796391845814803</cx:pt>
          <cx:pt idx="524">0.57611621821287473</cx:pt>
          <cx:pt idx="525">0.62969765861060389</cx:pt>
          <cx:pt idx="526">0.51753818029186094</cx:pt>
          <cx:pt idx="527">0.54189630372907338</cx:pt>
          <cx:pt idx="528">0.51351899914980992</cx:pt>
          <cx:pt idx="529">0.65959478580168041</cx:pt>
          <cx:pt idx="530">0.36126928484591903</cx:pt>
          <cx:pt idx="531">0.442557917980057</cx:pt>
          <cx:pt idx="532">0.66329858766578265</cx:pt>
          <cx:pt idx="533">0.41700985029997889</cx:pt>
          <cx:pt idx="534">0.43564771831558752</cx:pt>
          <cx:pt idx="535">0.49252434636442299</cx:pt>
          <cx:pt idx="536">0.61658483323785251</cx:pt>
          <cx:pt idx="537">0.56739173530099607</cx:pt>
          <cx:pt idx="538">0.48228919142744048</cx:pt>
          <cx:pt idx="539">0.52710407756126954</cx:pt>
          <cx:pt idx="540">0.52558224100684992</cx:pt>
          <cx:pt idx="541">0.48802340988657139</cx:pt>
          <cx:pt idx="542">0.43543494699995711</cx:pt>
          <cx:pt idx="543">0.51910404964178003</cx:pt>
          <cx:pt idx="544">0.45775058979262162</cx:pt>
          <cx:pt idx="545">0.46290574851702321</cx:pt>
          <cx:pt idx="546">0.66170596490408073</cx:pt>
          <cx:pt idx="547">0.53630859966608035</cx:pt>
          <cx:pt idx="548">0.44609620422872959</cx:pt>
          <cx:pt idx="549">0.4478769414047159</cx:pt>
          <cx:pt idx="550">0.33164959284549389</cx:pt>
          <cx:pt idx="551">0.56405465145945433</cx:pt>
          <cx:pt idx="552">0.26124503488841522</cx:pt>
          <cx:pt idx="553">0.331603218856867</cx:pt>
          <cx:pt idx="554">0.40552553376894429</cx:pt>
          <cx:pt idx="555">0.44183739482253892</cx:pt>
          <cx:pt idx="556">0.28801089759906662</cx:pt>
          <cx:pt idx="557">0.54838003853132633</cx:pt>
          <cx:pt idx="558">0.50866134818607367</cx:pt>
          <cx:pt idx="559">0.40194873176935347</cx:pt>
          <cx:pt idx="560">0.6050501668684124</cx:pt>
          <cx:pt idx="561">0.67770502129883781</cx:pt>
          <cx:pt idx="562">0.4373114958314907</cx:pt>
          <cx:pt idx="563">0.47387165266967213</cx:pt>
          <cx:pt idx="564">0.47508093063207679</cx:pt>
          <cx:pt idx="565">0.42367418387425088</cx:pt>
          <cx:pt idx="566">0.53954878372582726</cx:pt>
          <cx:pt idx="567">0.44755602060915789</cx:pt>
          <cx:pt idx="568">0.40255775411062589</cx:pt>
          <cx:pt idx="569">0.37245194811431331</cx:pt>
          <cx:pt idx="570">0.45659054822766248</cx:pt>
          <cx:pt idx="571">0.39933046863434751</cx:pt>
          <cx:pt idx="572">0.43344801372333691</cx:pt>
          <cx:pt idx="573">0.58222457667984762</cx:pt>
          <cx:pt idx="574">0.66846491653552687</cx:pt>
          <cx:pt idx="575">0.40719399150919178</cx:pt>
          <cx:pt idx="576">0.47396564600288732</cx:pt>
          <cx:pt idx="577">0.39422764686399792</cx:pt>
          <cx:pt idx="578">0.35524110314266999</cx:pt>
          <cx:pt idx="579">0.59570419476926484</cx:pt>
          <cx:pt idx="580">0.43694712287195558</cx:pt>
          <cx:pt idx="581">0.59396161105875223</cx:pt>
          <cx:pt idx="582">0.55949057012795844</cx:pt>
          <cx:pt idx="583">0.5904176816480059</cx:pt>
          <cx:pt idx="584">0.59183966157039636</cx:pt>
          <cx:pt idx="585">0.51330693186175891</cx:pt>
          <cx:pt idx="586">0.55809516736409137</cx:pt>
          <cx:pt idx="587">0.69490095125370721</cx:pt>
          <cx:pt idx="588">0.6068875494675422</cx:pt>
          <cx:pt idx="589">0.56338907062933052</cx:pt>
          <cx:pt idx="590">0.54843400019071675</cx:pt>
          <cx:pt idx="591">0.65879722933271911</cx:pt>
          <cx:pt idx="592">0.82098340474254428</cx:pt>
          <cx:pt idx="593">0.82340428721303971</cx:pt>
          <cx:pt idx="594">0.72341393887576622</cx:pt>
          <cx:pt idx="595">0.61464053082012426</cx:pt>
          <cx:pt idx="596">0.51975654447890085</cx:pt>
          <cx:pt idx="597">0.6858439890170025</cx:pt>
          <cx:pt idx="598">0.66567059374290949</cx:pt>
          <cx:pt idx="599">0.55524534888729471</cx:pt>
          <cx:pt idx="600">0.61733898582415137</cx:pt>
          <cx:pt idx="601">0.69689471279855919</cx:pt>
          <cx:pt idx="602">0.66970444091275261</cx:pt>
          <cx:pt idx="603">0.7191254908825947</cx:pt>
          <cx:pt idx="604">0.69071272731947286</cx:pt>
          <cx:pt idx="605">0.85222408081473078</cx:pt>
          <cx:pt idx="606">0.55585027090302919</cx:pt>
          <cx:pt idx="607">0.74828492444529426</cx:pt>
          <cx:pt idx="608">0.84020223751000422</cx:pt>
          <cx:pt idx="609">0.41353179840752141</cx:pt>
          <cx:pt idx="610">0.55205328849271185</cx:pt>
          <cx:pt idx="611">0.79181928675127888</cx:pt>
          <cx:pt idx="612">0.53238998109348545</cx:pt>
          <cx:pt idx="613">0.55832346354819029</cx:pt>
          <cx:pt idx="614">0.56039811777057758</cx:pt>
          <cx:pt idx="615">0.72878916961046525</cx:pt>
          <cx:pt idx="616">0.74614490808398193</cx:pt>
          <cx:pt idx="617">0.61861275411317385</cx:pt>
          <cx:pt idx="618">0.76210067014820226</cx:pt>
          <cx:pt idx="619">0.64479747308804869</cx:pt>
          <cx:pt idx="620">0.68755577260740519</cx:pt>
          <cx:pt idx="621">0.61526540475930602</cx:pt>
          <cx:pt idx="622">0.80411430615365509</cx:pt>
          <cx:pt idx="623">0.69485279603630301</cx:pt>
          <cx:pt idx="624">0.5171091586465334</cx:pt>
          <cx:pt idx="625">0.57358777061080068</cx:pt>
          <cx:pt idx="626">0.65658025473808024</cx:pt>
          <cx:pt idx="627">0.53105050009185173</cx:pt>
          <cx:pt idx="628">0.56207837048310672</cx:pt>
          <cx:pt idx="629">0.58970547056625555</cx:pt>
          <cx:pt idx="630">0.63138548775162417</cx:pt>
          <cx:pt idx="631">0.62254509720658047</cx:pt>
          <cx:pt idx="632">0.64537803696515161</cx:pt>
          <cx:pt idx="633">0.61933644058094983</cx:pt>
          <cx:pt idx="634">0.71672567390597797</cx:pt>
          <cx:pt idx="635">0.57671072247021626</cx:pt>
          <cx:pt idx="636">0.5879271719986271</cx:pt>
          <cx:pt idx="637">0.6297030163802485</cx:pt>
          <cx:pt idx="638">0.49002295448307848</cx:pt>
          <cx:pt idx="639">0.62366533539373969</cx:pt>
          <cx:pt idx="640">0.50243499071222986</cx:pt>
          <cx:pt idx="641">0.52927971627261938</cx:pt>
          <cx:pt idx="642">0.63176403148474503</cx:pt>
          <cx:pt idx="643">0.54553268396496757</cx:pt>
          <cx:pt idx="644">0.62749874318888299</cx:pt>
          <cx:pt idx="645">0.66212865765810658</cx:pt>
          <cx:pt idx="646">0.76811670391822273</cx:pt>
          <cx:pt idx="647">0.60395411457500547</cx:pt>
          <cx:pt idx="648">0.43348055582393269</cx:pt>
          <cx:pt idx="649">0.59349009432384936</cx:pt>
          <cx:pt idx="650">0.55147970841413174</cx:pt>
          <cx:pt idx="651">0.67421002583712741</cx:pt>
          <cx:pt idx="652">0.59421252140862546</cx:pt>
          <cx:pt idx="653">0.64270790076805295</cx:pt>
          <cx:pt idx="654">0.61680608705305429</cx:pt>
          <cx:pt idx="655">0.62296186808873455</cx:pt>
          <cx:pt idx="656">0.48876386025359669</cx:pt>
          <cx:pt idx="657">0.56422362290452666</cx:pt>
          <cx:pt idx="658">0.67924631958867587</cx:pt>
          <cx:pt idx="659">0.49771247601334068</cx:pt>
          <cx:pt idx="660">0.57202352951486513</cx:pt>
          <cx:pt idx="661">0.65106065630702536</cx:pt>
          <cx:pt idx="662">0.57973041232261158</cx:pt>
          <cx:pt idx="663">0.62746827893177004</cx:pt>
          <cx:pt idx="664">0.68050825759232658</cx:pt>
          <cx:pt idx="665">0.68703175444521658</cx:pt>
          <cx:pt idx="666">0.37127894935985062</cx:pt>
          <cx:pt idx="667">0.59628144272599271</cx:pt>
          <cx:pt idx="668">0.63208054070232489</cx:pt>
          <cx:pt idx="669">0.71833860115194914</cx:pt>
          <cx:pt idx="670">0.79114110776622859</cx:pt>
          <cx:pt idx="671">0.70793823541351619</cx:pt>
          <cx:pt idx="672">0.79158815507042513</cx:pt>
          <cx:pt idx="673">0.80656934052431062</cx:pt>
          <cx:pt idx="674">0.81915341297205269</cx:pt>
          <cx:pt idx="675">0.65870776409459142</cx:pt>
          <cx:pt idx="676">0.80894015079050119</cx:pt>
          <cx:pt idx="677">0.90196293865418986</cx:pt>
          <cx:pt idx="678">0.68443752234913535</cx:pt>
          <cx:pt idx="679">0.77147908170459401</cx:pt>
          <cx:pt idx="680">0.79502766774008271</cx:pt>
          <cx:pt idx="681">0.75133579135067607</cx:pt>
          <cx:pt idx="682">0.83940163917584232</cx:pt>
          <cx:pt idx="683">0.84957283073280354</cx:pt>
          <cx:pt idx="684">0.7561011932900692</cx:pt>
          <cx:pt idx="685">0.69069783163137055</cx:pt>
          <cx:pt idx="686">0.86656688714880181</cx:pt>
          <cx:pt idx="687">0.86569826205080846</cx:pt>
          <cx:pt idx="688">0.69590122943362787</cx:pt>
          <cx:pt idx="689">0.72262749716933583</cx:pt>
          <cx:pt idx="690">0.83235648659518313</cx:pt>
          <cx:pt idx="691">0.83821666022636676</cx:pt>
          <cx:pt idx="692">0.77853800517462224</cx:pt>
          <cx:pt idx="693">0.6358260301387092</cx:pt>
          <cx:pt idx="694">0.78948631476623454</cx:pt>
          <cx:pt idx="695">0.69662402046893357</cx:pt>
          <cx:pt idx="696">0.64602404257558854</cx:pt>
          <cx:pt idx="697">0.69772258857937863</cx:pt>
          <cx:pt idx="698">0.75422759065684519</cx:pt>
          <cx:pt idx="699">0.74212540740830835</cx:pt>
          <cx:pt idx="700">0.70582160259132687</cx:pt>
          <cx:pt idx="701">0.73449265072670045</cx:pt>
          <cx:pt idx="702">0.83152431104974633</cx:pt>
          <cx:pt idx="703">0.72129490423951126</cx:pt>
          <cx:pt idx="704">0.61091901223034206</cx:pt>
          <cx:pt idx="705">0.65105506790169099</cx:pt>
          <cx:pt idx="706">0.60423477832563821</cx:pt>
          <cx:pt idx="707">0.66842979973986538</cx:pt>
          <cx:pt idx="708">0.67987086156246679</cx:pt>
          <cx:pt idx="709">0.83173425056402372</cx:pt>
          <cx:pt idx="710">0.62771059617048963</cx:pt>
          <cx:pt idx="711">0.71835007516560867</cx:pt>
          <cx:pt idx="712">0.72904488808589307</cx:pt>
          <cx:pt idx="713">0.6407814356384085</cx:pt>
          <cx:pt idx="714">0.6077229191897684</cx:pt>
          <cx:pt idx="715">0.65728622811731607</cx:pt>
          <cx:pt idx="716">0.61346353480462723</cx:pt>
          <cx:pt idx="717">0.69034318579131826</cx:pt>
          <cx:pt idx="718">0.59285224163371142</cx:pt>
          <cx:pt idx="719">0.50749646369698465</cx:pt>
          <cx:pt idx="720">0.69412446131187977</cx:pt>
          <cx:pt idx="721">0.53213923882764658</cx:pt>
          <cx:pt idx="722">0.74184280551575188</cx:pt>
          <cx:pt idx="723">0.48433212753986959</cx:pt>
          <cx:pt idx="724">0.5217347600231419</cx:pt>
          <cx:pt idx="725">0.6364743121212203</cx:pt>
          <cx:pt idx="726">0.73726726187323421</cx:pt>
          <cx:pt idx="727">0.66432079876829009</cx:pt>
          <cx:pt idx="728">0.64390113942921234</cx:pt>
          <cx:pt idx="729">0.609180214595749</cx:pt>
          <cx:pt idx="730">0.56607613272399104</cx:pt>
          <cx:pt idx="731">0.73996149703954672</cx:pt>
          <cx:pt idx="732">0.70393782279188444</cx:pt>
          <cx:pt idx="733">0.5499079012451551</cx:pt>
          <cx:pt idx="734">0.57033276471671701</cx:pt>
          <cx:pt idx="735">0.66153535130910357</cx:pt>
          <cx:pt idx="736">0.70448669770420125</cx:pt>
          <cx:pt idx="737">0.68495301184592239</cx:pt>
          <cx:pt idx="738">0.67816369670210785</cx:pt>
          <cx:pt idx="739">0.75344342632796446</cx:pt>
          <cx:pt idx="740">0.68721608444946924</cx:pt>
          <cx:pt idx="741">0.5890928307867348</cx:pt>
          <cx:pt idx="742">0.75301037335819421</cx:pt>
          <cx:pt idx="743">0.68423371896677432</cx:pt>
          <cx:pt idx="744">0.72101975168393018</cx:pt>
          <cx:pt idx="745">0.61915081672977179</cx:pt>
          <cx:pt idx="746">0.66721952444411026</cx:pt>
          <cx:pt idx="747">0.69210528373284774</cx:pt>
          <cx:pt idx="748">0.66832972924248457</cx:pt>
          <cx:pt idx="749">0.73981089402281985</cx:pt>
          <cx:pt idx="750">0.687728302660505</cx:pt>
          <cx:pt idx="751">0.52741257813860276</cx:pt>
          <cx:pt idx="752">0.65883339358756399</cx:pt>
          <cx:pt idx="753">0.76619360739739961</cx:pt>
          <cx:pt idx="754">0.53981091360227174</cx:pt>
          <cx:pt idx="755">0.55995216046024321</cx:pt>
          <cx:pt idx="756">0.64546292594438925</cx:pt>
          <cx:pt idx="757">0.53264529980895414</cx:pt>
          <cx:pt idx="758">0.42575779689134208</cx:pt>
          <cx:pt idx="759">0.50762406764750045</cx:pt>
          <cx:pt idx="760">0.59652982346780237</cx:pt>
          <cx:pt idx="761">0.62236026422072677</cx:pt>
          <cx:pt idx="762">0.59709978116910911</cx:pt>
          <cx:pt idx="763">0.63942255717965479</cx:pt>
          <cx:pt idx="764">0.45382897604329092</cx:pt>
          <cx:pt idx="765">0.47653558038636512</cx:pt>
          <cx:pt idx="766">0.48567990900180991</cx:pt>
          <cx:pt idx="767">0.59495637331734197</cx:pt>
          <cx:pt idx="768">0.47662720147423859</cx:pt>
          <cx:pt idx="769">0.3974036863016282</cx:pt>
          <cx:pt idx="770">0.45060567710523158</cx:pt>
          <cx:pt idx="771">0.70843910988176861</cx:pt>
          <cx:pt idx="772">0.46700413804543178</cx:pt>
          <cx:pt idx="773">0.44840258211203959</cx:pt>
          <cx:pt idx="774">0.45144091101999911</cx:pt>
          <cx:pt idx="775">0.51712036849195742</cx:pt>
          <cx:pt idx="776">0.58416288525403592</cx:pt>
          <cx:pt idx="777">0.56443691658235851</cx:pt>
          <cx:pt idx="778">0.52954814963503327</cx:pt>
          <cx:pt idx="779">0.63121467300889689</cx:pt>
          <cx:pt idx="780">0.34926241212340658</cx:pt>
          <cx:pt idx="781">0.44259763721320972</cx:pt>
          <cx:pt idx="782">0.63461256121007226</cx:pt>
          <cx:pt idx="783">0.62077563240981704</cx:pt>
          <cx:pt idx="784">0.65920580214311353</cx:pt>
          <cx:pt idx="785">0.54126609402841386</cx:pt>
          <cx:pt idx="786">0.57016777117483397</cx:pt>
          <cx:pt idx="787">0.63039514670467811</cx:pt>
          <cx:pt idx="788">0.64287409906721016</cx:pt>
          <cx:pt idx="789">0.59220138369550235</cx:pt>
          <cx:pt idx="790">0.65700064794572632</cx:pt>
          <cx:pt idx="791">0.49802307065116308</cx:pt>
          <cx:pt idx="792">0.61920548255014551</cx:pt>
          <cx:pt idx="793">0.61105391057431724</cx:pt>
          <cx:pt idx="794">0.65243494255710099</cx:pt>
          <cx:pt idx="795">0.68111362094311123</cx:pt>
          <cx:pt idx="796">0.5769197369570398</cx:pt>
          <cx:pt idx="797">0.64968752753350678</cx:pt>
          <cx:pt idx="798">0.71344206563584833</cx:pt>
          <cx:pt idx="799">0.60753176883073468</cx:pt>
          <cx:pt idx="800">0.59985754611632847</cx:pt>
          <cx:pt idx="801">0.45116117658938532</cx:pt>
          <cx:pt idx="802">0.65860379078203823</cx:pt>
          <cx:pt idx="803">0.42010147649221707</cx:pt>
          <cx:pt idx="804">0.57993566140332564</cx:pt>
          <cx:pt idx="805">0.55142831057563624</cx:pt>
          <cx:pt idx="806">0.49383795807485409</cx:pt>
          <cx:pt idx="807">0.55265331324018974</cx:pt>
          <cx:pt idx="808">0.71890235202890018</cx:pt>
          <cx:pt idx="809">0.63970443659746523</cx:pt>
          <cx:pt idx="810">0.46087944333611491</cx:pt>
          <cx:pt idx="811">0.46942650735324992</cx:pt>
          <cx:pt idx="812">0.46260071338896441</cx:pt>
          <cx:pt idx="813">0.52759467277939676</cx:pt>
          <cx:pt idx="814">0.46658776000223251</cx:pt>
          <cx:pt idx="815">0.52769861529436413</cx:pt>
          <cx:pt idx="816">0.62586346472282162</cx:pt>
          <cx:pt idx="817">0.64331169161792756</cx:pt>
          <cx:pt idx="818">0.64084972798442552</cx:pt>
          <cx:pt idx="819">0.44726270281978903</cx:pt>
          <cx:pt idx="820">0.54539866969690265</cx:pt>
          <cx:pt idx="821">0.40676287764045388</cx:pt>
          <cx:pt idx="822">0.67631621329180414</cx:pt>
          <cx:pt idx="823">0.6426105326201621</cx:pt>
          <cx:pt idx="824">0.70405296198245604</cx:pt>
          <cx:pt idx="825">0.62183175104632138</cx:pt>
          <cx:pt idx="826">0.52991757656064042</cx:pt>
          <cx:pt idx="827">0.55903798189763687</cx:pt>
          <cx:pt idx="828">0.57192790581613551</cx:pt>
          <cx:pt idx="829">0.56892468815140562</cx:pt>
          <cx:pt idx="830">0.79688818002036366</cx:pt>
          <cx:pt idx="831">0.59388928570290711</cx:pt>
          <cx:pt idx="832">0.51834250153329131</cx:pt>
          <cx:pt idx="833">0.4794966426269498</cx:pt>
          <cx:pt idx="834">0.56053685207502313</cx:pt>
          <cx:pt idx="835">0.51246665641489997</cx:pt>
          <cx:pt idx="836">0.65924605316920482</cx:pt>
          <cx:pt idx="837">0.38779460715402669</cx:pt>
          <cx:pt idx="838">0.52813120025379934</cx:pt>
          <cx:pt idx="839">0.38006271154937821</cx:pt>
          <cx:pt idx="840">0.40226158917202381</cx:pt>
          <cx:pt idx="841">0.66605237137276763</cx:pt>
          <cx:pt idx="842">0.48139907578656238</cx:pt>
          <cx:pt idx="843">0.61889643755059076</cx:pt>
          <cx:pt idx="844">0.65872448146640739</cx:pt>
          <cx:pt idx="845">0.60869017052520391</cx:pt>
          <cx:pt idx="846">0.61526941572802873</cx:pt>
          <cx:pt idx="847">0.44624188732465148</cx:pt>
          <cx:pt idx="848">0.48939537645544717</cx:pt>
          <cx:pt idx="849">0.52886670202244457</cx:pt>
          <cx:pt idx="850">0.42453211068572427</cx:pt>
          <cx:pt idx="851">0.42878304262976541</cx:pt>
          <cx:pt idx="852">0.47007432027549573</cx:pt>
          <cx:pt idx="853">0.29804778723578301</cx:pt>
          <cx:pt idx="854">0.34517666376005518</cx:pt>
          <cx:pt idx="855">0.37592687347576842</cx:pt>
          <cx:pt idx="856">0.45322831057567198</cx:pt>
          <cx:pt idx="857">0.63520848742264047</cx:pt>
          <cx:pt idx="858">0.55192770710439198</cx:pt>
        </cx:lvl>
      </cx:numDim>
    </cx:data>
    <cx:data id="2">
      <cx:numDim type="val">
        <cx:f>'Figure 5 (ANZSCO 2013)'!$D$3:$D$861</cx:f>
        <cx:lvl ptCount="859" formatCode="0%">
          <cx:pt idx="0">0.80031121933074201</cx:pt>
          <cx:pt idx="1">0.8631358678322324</cx:pt>
          <cx:pt idx="2">0.77848789823709486</cx:pt>
          <cx:pt idx="3">0.56763158672138936</cx:pt>
          <cx:pt idx="4">0.77705688448810573</cx:pt>
          <cx:pt idx="5">0.7635121944228016</cx:pt>
          <cx:pt idx="6">0.74668120283452732</cx:pt>
          <cx:pt idx="7">0.74940951982873216</cx:pt>
          <cx:pt idx="8">0.74238834711636237</cx:pt>
          <cx:pt idx="9">0.64166989148376974</cx:pt>
          <cx:pt idx="10">0.66001865415411187</cx:pt>
          <cx:pt idx="11">0.77743267288493734</cx:pt>
          <cx:pt idx="12">0.77446237911591487</cx:pt>
          <cx:pt idx="13">0.78202187338714635</cx:pt>
          <cx:pt idx="14">0.84073626478631103</cx:pt>
          <cx:pt idx="15">0.82956304631837485</cx:pt>
          <cx:pt idx="16">0.80375403869297846</cx:pt>
          <cx:pt idx="17">0.81615699130076824</cx:pt>
          <cx:pt idx="18">0.62210599274792489</cx:pt>
          <cx:pt idx="19">0.81699236394678276</cx:pt>
          <cx:pt idx="20">0.77996746392833916</cx:pt>
          <cx:pt idx="21">0.8153634235927596</cx:pt>
          <cx:pt idx="22">0.81567056588604192</cx:pt>
          <cx:pt idx="23">0.82603493277814077</cx:pt>
          <cx:pt idx="24">0.71338029879425469</cx:pt>
          <cx:pt idx="25">0.69450686814668583</cx:pt>
          <cx:pt idx="26">0.7543042331366403</cx:pt>
          <cx:pt idx="27">0.79539040928337401</cx:pt>
          <cx:pt idx="28">0.7681674792125659</cx:pt>
          <cx:pt idx="29">0.8602245344746895</cx:pt>
          <cx:pt idx="30">0.79056743554579156</cx:pt>
          <cx:pt idx="31">0.81019538848530548</cx:pt>
          <cx:pt idx="32">0.71113949837091783</cx:pt>
          <cx:pt idx="33">0.68440591011051211</cx:pt>
          <cx:pt idx="34">0.69958028347091306</cx:pt>
          <cx:pt idx="35">0.70767640971124146</cx:pt>
          <cx:pt idx="36">0.76384090845090902</cx:pt>
          <cx:pt idx="37">0.75785840024515272</cx:pt>
          <cx:pt idx="38">0.79153272710401945</cx:pt>
          <cx:pt idx="39">0.70549834677276113</cx:pt>
          <cx:pt idx="40">0.7983160009757464</cx:pt>
          <cx:pt idx="41">0.7677712619995517</cx:pt>
          <cx:pt idx="42">0.77609125934077905</cx:pt>
          <cx:pt idx="43">0.7566428820738953</cx:pt>
          <cx:pt idx="44">0.73099386643604236</cx:pt>
          <cx:pt idx="45">0.77850536693463024</cx:pt>
          <cx:pt idx="46">0.71541409570809766</cx:pt>
          <cx:pt idx="47">0.70396335057982562</cx:pt>
          <cx:pt idx="48">0.74678483435380394</cx:pt>
          <cx:pt idx="49">0.75755955600060887</cx:pt>
          <cx:pt idx="50">0.84012029141233757</cx:pt>
          <cx:pt idx="51">0.80798563093040876</cx:pt>
          <cx:pt idx="52">0.79055078660697631</cx:pt>
          <cx:pt idx="53">0.76599714536686037</cx:pt>
          <cx:pt idx="54">0.73289148085255651</cx:pt>
          <cx:pt idx="55">0.83223396280240414</cx:pt>
          <cx:pt idx="56">0.7729893033492522</cx:pt>
          <cx:pt idx="57">0.74004613676197373</cx:pt>
          <cx:pt idx="58">0.59240863894807294</cx:pt>
          <cx:pt idx="59">0.71135961435085537</cx:pt>
          <cx:pt idx="60">0.75972296513584658</cx:pt>
          <cx:pt idx="61">0.75310222581342212</cx:pt>
          <cx:pt idx="62">0.77494642733670516</cx:pt>
          <cx:pt idx="63">0.73352060508646588</cx:pt>
          <cx:pt idx="64">0.71396405907952465</cx:pt>
          <cx:pt idx="65">0.76151539974413363</cx:pt>
          <cx:pt idx="66">0.75306036941000443</cx:pt>
          <cx:pt idx="67">0.70814652194574246</cx:pt>
          <cx:pt idx="68">0.72534820721697846</cx:pt>
          <cx:pt idx="69">0.65680512747398412</cx:pt>
          <cx:pt idx="70">0.74840977674008702</cx:pt>
          <cx:pt idx="71">0.71281957006472274</cx:pt>
          <cx:pt idx="72">0.69823313013489885</cx:pt>
          <cx:pt idx="73">0.6341284443926023</cx:pt>
          <cx:pt idx="74">0.7586152871208468</cx:pt>
          <cx:pt idx="75">0.70747977803051398</cx:pt>
          <cx:pt idx="76">0.74826805571876887</cx:pt>
          <cx:pt idx="77">0.82790798133764554</cx:pt>
          <cx:pt idx="78">0.79124273522400046</cx:pt>
          <cx:pt idx="79">0.79048369412867137</cx:pt>
          <cx:pt idx="80">0.85753771623349728</cx:pt>
          <cx:pt idx="81">0.78690465091331163</cx:pt>
          <cx:pt idx="82">0.70672604398551664</cx:pt>
          <cx:pt idx="83">0.74979386055280939</cx:pt>
          <cx:pt idx="84">0.73222421832988549</cx:pt>
          <cx:pt idx="85">0.67017879237109235</cx:pt>
          <cx:pt idx="86">0.69972278232030993</cx:pt>
          <cx:pt idx="87">0.85158884838335613</cx:pt>
          <cx:pt idx="88">0.78305314711065044</cx:pt>
          <cx:pt idx="89">0.69000009399670548</cx:pt>
          <cx:pt idx="90">0.737401955024792</cx:pt>
          <cx:pt idx="91">0.38332008999042722</cx:pt>
          <cx:pt idx="92">0.58502333484125035</cx:pt>
          <cx:pt idx="93">0.72131521566723422</cx:pt>
          <cx:pt idx="94">0.70500798478432747</cx:pt>
          <cx:pt idx="95">0.49055504345701118</cx:pt>
          <cx:pt idx="96">0.33502149606427778</cx:pt>
          <cx:pt idx="97">0.58754587712123485</cx:pt>
          <cx:pt idx="98">0.66066618050252657</cx:pt>
          <cx:pt idx="99">0.61974311551213124</cx:pt>
          <cx:pt idx="100">0.75356119052374726</cx:pt>
          <cx:pt idx="101">0.8143504531243162</cx:pt>
          <cx:pt idx="102">0.78035386525864636</cx:pt>
          <cx:pt idx="103">0.77586366851793886</cx:pt>
          <cx:pt idx="104">0.8186179822099372</cx:pt>
          <cx:pt idx="105">0.36256382311755458</cx:pt>
          <cx:pt idx="106">0.76634865225220339</cx:pt>
          <cx:pt idx="107">0.77810303034175954</cx:pt>
          <cx:pt idx="108">0.7320512477564467</cx:pt>
          <cx:pt idx="109">0.77162626525295475</cx:pt>
          <cx:pt idx="110">0.76939302537933929</cx:pt>
          <cx:pt idx="111">0.41701963755439142</cx:pt>
          <cx:pt idx="112">0.42061896187165809</cx:pt>
          <cx:pt idx="113">0.49517443384306792</cx:pt>
          <cx:pt idx="114">0.41430037409884002</cx:pt>
          <cx:pt idx="115">0.34643144757829858</cx:pt>
          <cx:pt idx="116">0.67948731506361237</cx:pt>
          <cx:pt idx="117">0.66788081693414059</cx:pt>
          <cx:pt idx="118">0.38782475427883312</cx:pt>
          <cx:pt idx="119">0.69746558137477976</cx:pt>
          <cx:pt idx="120">0.75692682802151001</cx:pt>
          <cx:pt idx="121">0.7549957322836669</cx:pt>
          <cx:pt idx="122">0.64275929137498233</cx:pt>
          <cx:pt idx="123">0.70155185587205837</cx:pt>
          <cx:pt idx="124">0.82369815304622507</cx:pt>
          <cx:pt idx="125">0.6849525763688693</cx:pt>
          <cx:pt idx="126">0.73966412510521939</cx:pt>
          <cx:pt idx="127">0.77443842911719329</cx:pt>
          <cx:pt idx="128">0.7548436321005183</cx:pt>
          <cx:pt idx="129">0.31127566064149592</cx:pt>
          <cx:pt idx="130">0.71324564386636025</cx:pt>
          <cx:pt idx="131">0.76647515568343139</cx:pt>
          <cx:pt idx="132">0.44749205208959209</cx:pt>
          <cx:pt idx="133">0.68621769722654757</cx:pt>
          <cx:pt idx="134">0.70939754944896749</cx:pt>
          <cx:pt idx="135">0.66475695094579967</cx:pt>
          <cx:pt idx="136">0.6221679325019418</cx:pt>
          <cx:pt idx="137">0.67841422890912095</cx:pt>
          <cx:pt idx="138">0.66293097724190231</cx:pt>
          <cx:pt idx="139">0.66937570925484235</cx:pt>
          <cx:pt idx="140">0.6992931510389746</cx:pt>
          <cx:pt idx="141">0.67985835288312446</cx:pt>
          <cx:pt idx="142">0.72063528370377805</cx:pt>
          <cx:pt idx="143">0.72167968080392297</cx:pt>
          <cx:pt idx="144">0.83522456530751366</cx:pt>
          <cx:pt idx="145">0.67494573760914256</cx:pt>
          <cx:pt idx="146">0.66143594979396891</cx:pt>
          <cx:pt idx="147">0.68454318850320128</cx:pt>
          <cx:pt idx="148">0.76677307862909538</cx:pt>
          <cx:pt idx="149">0.6053094880079728</cx:pt>
          <cx:pt idx="150">0.76001392689078118</cx:pt>
          <cx:pt idx="151">0.79345870217980419</cx:pt>
          <cx:pt idx="152">0.77768843776915297</cx:pt>
          <cx:pt idx="153">0.76043374399731301</cx:pt>
          <cx:pt idx="154">0.69323253024172715</cx:pt>
          <cx:pt idx="155">0.73550100287892684</cx:pt>
          <cx:pt idx="156">0.69583208829367593</cx:pt>
          <cx:pt idx="157">0.67851231784650501</cx:pt>
          <cx:pt idx="158">0.80230353988094361</cx:pt>
          <cx:pt idx="159">0.67604387464720528</cx:pt>
          <cx:pt idx="160">0.58081506096351121</cx:pt>
          <cx:pt idx="161">0.86731552792456101</cx:pt>
          <cx:pt idx="162">0.831093566871838</cx:pt>
          <cx:pt idx="163">0.84018705111077918</cx:pt>
          <cx:pt idx="164">0.75589980547886437</cx:pt>
          <cx:pt idx="165">0.80071755902526587</cx:pt>
          <cx:pt idx="166">0.75640584037318936</cx:pt>
          <cx:pt idx="167">0.70245055276753343</cx:pt>
          <cx:pt idx="168">0.79598245976658855</cx:pt>
          <cx:pt idx="169">0.64910001660608507</cx:pt>
          <cx:pt idx="170">0.79321449615415041</cx:pt>
          <cx:pt idx="171">0.78162029820003676</cx:pt>
          <cx:pt idx="172">0.73317271984105603</cx:pt>
          <cx:pt idx="173">0.75614785924026995</cx:pt>
          <cx:pt idx="174">0.7469561651290676</cx:pt>
          <cx:pt idx="175">0.83463828145814867</cx:pt>
          <cx:pt idx="176">0.6342459989801339</cx:pt>
          <cx:pt idx="177">0.63406698802578809</cx:pt>
          <cx:pt idx="178">0.54828352475675113</cx:pt>
          <cx:pt idx="179">0.29930943791704823</cx:pt>
          <cx:pt idx="180">0.31617272979254912</cx:pt>
          <cx:pt idx="181">0.25754481557524789</cx:pt>
          <cx:pt idx="182">0.28485370283682571</cx:pt>
          <cx:pt idx="183">0.35238182242746202</cx:pt>
          <cx:pt idx="184">0.52406210730031177</cx:pt>
          <cx:pt idx="185">0.63065879587632245</cx:pt>
          <cx:pt idx="186">0.3158649892318629</cx:pt>
          <cx:pt idx="187">0.2725285652061516</cx:pt>
          <cx:pt idx="188">0.65756227463074834</cx:pt>
          <cx:pt idx="189">0.53285729306039076</cx:pt>
          <cx:pt idx="190">0.67701507473316513</cx:pt>
          <cx:pt idx="191">0.66705570875431552</cx:pt>
          <cx:pt idx="192">0.36726274475821069</cx:pt>
          <cx:pt idx="193">0.55158585961481865</cx:pt>
          <cx:pt idx="194">0.60681316111994188</cx:pt>
          <cx:pt idx="195">0.72462835443889106</cx:pt>
          <cx:pt idx="196">0.7755404638562029</cx:pt>
          <cx:pt idx="197">0.74896902407496391</cx:pt>
          <cx:pt idx="198">0.86272050567891645</cx:pt>
          <cx:pt idx="199">0.79275455139677009</cx:pt>
          <cx:pt idx="200">0.80841159676980512</cx:pt>
          <cx:pt idx="201">0.71889332860294264</cx:pt>
          <cx:pt idx="202">0.80109221290403754</cx:pt>
          <cx:pt idx="203">0.63995348308352651</cx:pt>
          <cx:pt idx="204">0.65594065392628498</cx:pt>
          <cx:pt idx="205">0.63264938408573923</cx:pt>
          <cx:pt idx="206">0.55576526041867513</cx:pt>
          <cx:pt idx="207">0.63489212728966893</cx:pt>
          <cx:pt idx="208">0.58444311833605433</cx:pt>
          <cx:pt idx="209">0.59244263704392597</cx:pt>
          <cx:pt idx="210">0.5952994597725948</cx:pt>
          <cx:pt idx="211">0.6348958099665809</cx:pt>
          <cx:pt idx="212">0.6650397197173511</cx:pt>
          <cx:pt idx="213">0.72359706045577321</cx:pt>
          <cx:pt idx="214">0.63196373858576038</cx:pt>
          <cx:pt idx="215">0.64675591423817014</cx:pt>
          <cx:pt idx="216">0.44356245295630159</cx:pt>
          <cx:pt idx="217">0.52851124886175582</cx:pt>
          <cx:pt idx="218">0.41394802848503909</cx:pt>
          <cx:pt idx="219">0.54057283327967665</cx:pt>
          <cx:pt idx="220">0.648558175968866</cx:pt>
          <cx:pt idx="221">0.60801389506502801</cx:pt>
          <cx:pt idx="222">0.63797321098698678</cx:pt>
          <cx:pt idx="223">0.42000727579830488</cx:pt>
          <cx:pt idx="224">0.6671407227156857</cx:pt>
          <cx:pt idx="225">0.58906040116450853</cx:pt>
          <cx:pt idx="226">0.41084664599301601</cx:pt>
          <cx:pt idx="227">0.58011167498891125</cx:pt>
          <cx:pt idx="228">0.78422883631690854</cx:pt>
          <cx:pt idx="229">0.57983199005085007</cx:pt>
          <cx:pt idx="230">0.58506606411027307</cx:pt>
          <cx:pt idx="231">0.72948572483986096</cx:pt>
          <cx:pt idx="232">0.67817537145558371</cx:pt>
          <cx:pt idx="233">0.61453503936426346</cx:pt>
          <cx:pt idx="234">0.66465520981172799</cx:pt>
          <cx:pt idx="235">0.59897191374637393</cx:pt>
          <cx:pt idx="236">0.57129016674522248</cx:pt>
          <cx:pt idx="237">0.63393516628977786</cx:pt>
          <cx:pt idx="238">0.61254855460088564</cx:pt>
          <cx:pt idx="239">0.72435939193597487</cx:pt>
          <cx:pt idx="240">0.67648126587534585</cx:pt>
          <cx:pt idx="241">0.6983030932744394</cx:pt>
          <cx:pt idx="242">0.50836042710270535</cx:pt>
          <cx:pt idx="243">0.54987222145759651</cx:pt>
          <cx:pt idx="244">0.73225451191020141</cx:pt>
          <cx:pt idx="245">0.65531727420399288</cx:pt>
          <cx:pt idx="246">0.65643489499588947</cx:pt>
          <cx:pt idx="247">0.76423089953496304</cx:pt>
          <cx:pt idx="248">0.39303011607079869</cx:pt>
          <cx:pt idx="249">0.63765578252781618</cx:pt>
          <cx:pt idx="250">0.56558035744103841</cx:pt>
          <cx:pt idx="251">0.61788466783999996</cx:pt>
          <cx:pt idx="252">0.65974174327559942</cx:pt>
          <cx:pt idx="253">0.65535700720169432</cx:pt>
          <cx:pt idx="254">0.76989171499548048</cx:pt>
          <cx:pt idx="255">0.49760400578492309</cx:pt>
          <cx:pt idx="256">0.76912775561482538</cx:pt>
          <cx:pt idx="257">0.66247290339500642</cx:pt>
          <cx:pt idx="258">0.69755037178213697</cx:pt>
          <cx:pt idx="259">0.56771550631300682</cx:pt>
          <cx:pt idx="260">0.62888329286583344</cx:pt>
          <cx:pt idx="261">0.61904454266485576</cx:pt>
          <cx:pt idx="262">0.63599681434753819</cx:pt>
          <cx:pt idx="263">0.82020309087233068</cx:pt>
          <cx:pt idx="264">0.80471231828876544</cx:pt>
          <cx:pt idx="265">0.61394733852304606</cx:pt>
          <cx:pt idx="266">0.65007900079279102</cx:pt>
          <cx:pt idx="267">0.70332351235548352</cx:pt>
          <cx:pt idx="268">0.66855231794149128</cx:pt>
          <cx:pt idx="269">0.66735047777097434</cx:pt>
          <cx:pt idx="270">0.63749207425407106</cx:pt>
          <cx:pt idx="271">0.66060044038488763</cx:pt>
          <cx:pt idx="272">0.72029428785820471</cx:pt>
          <cx:pt idx="273">0.7033888699329095</cx:pt>
          <cx:pt idx="274">0.81927382309238139</cx:pt>
          <cx:pt idx="275">0.74512730419677797</cx:pt>
          <cx:pt idx="276">0.55104953690597636</cx:pt>
          <cx:pt idx="277">0.6714354448713542</cx:pt>
          <cx:pt idx="278">0.58315343366572936</cx:pt>
          <cx:pt idx="279">0.3358751132539492</cx:pt>
          <cx:pt idx="280">0.69432034660250286</cx:pt>
          <cx:pt idx="281">0.7656233628463639</cx:pt>
          <cx:pt idx="282">0.58242375135233215</cx:pt>
          <cx:pt idx="283">0.52080444709590079</cx:pt>
          <cx:pt idx="284">0.63311851316533485</cx:pt>
          <cx:pt idx="285">0.62162982593253269</cx:pt>
          <cx:pt idx="286">0.52767572687237829</cx:pt>
          <cx:pt idx="287">0.7460749573820763</cx:pt>
          <cx:pt idx="288">0.58329107286190651</cx:pt>
          <cx:pt idx="289">0.46287455561020763</cx:pt>
          <cx:pt idx="290">0.59302716021791413</cx:pt>
          <cx:pt idx="291">0.62699316188740095</cx:pt>
          <cx:pt idx="292">0.58752179151225681</cx:pt>
          <cx:pt idx="293">0.53157565306310284</cx:pt>
          <cx:pt idx="294">0.55756445559277112</cx:pt>
          <cx:pt idx="295">0.58224439781711279</cx:pt>
          <cx:pt idx="296">0.62125370165119254</cx:pt>
          <cx:pt idx="297">0.58034239418766675</cx:pt>
          <cx:pt idx="298">0.58360719147861095</cx:pt>
          <cx:pt idx="299">0.49985602633429632</cx:pt>
          <cx:pt idx="300">0.54378871214758118</cx:pt>
          <cx:pt idx="301">0.48001069073423053</cx:pt>
          <cx:pt idx="302">0.5334048354742108</cx:pt>
          <cx:pt idx="303">0.36824705840012928</cx:pt>
          <cx:pt idx="304">0.2364809191817509</cx:pt>
          <cx:pt idx="305">0.46219442598954152</cx:pt>
          <cx:pt idx="306">0.52337882400815128</cx:pt>
          <cx:pt idx="307">0.36702576413943022</cx:pt>
          <cx:pt idx="308">0.3611951322828606</cx:pt>
          <cx:pt idx="309">0.39910319619173829</cx:pt>
          <cx:pt idx="310">0.40230525971724801</cx:pt>
          <cx:pt idx="311">0.42823661155940212</cx:pt>
          <cx:pt idx="312">0.37149241926084692</cx:pt>
          <cx:pt idx="313">0.37780152174244092</cx:pt>
          <cx:pt idx="314">0.39689638112610393</cx:pt>
          <cx:pt idx="315">0.37539985045254293</cx:pt>
          <cx:pt idx="316">0.37280583012712082</cx:pt>
          <cx:pt idx="317">0.43619535677439603</cx:pt>
          <cx:pt idx="318">0.37450403917655017</cx:pt>
          <cx:pt idx="319">0.41599478146012492</cx:pt>
          <cx:pt idx="320">0.31534608939229231</cx:pt>
          <cx:pt idx="321">0.38991317942060738</cx:pt>
          <cx:pt idx="322">0.46497973137566961</cx:pt>
          <cx:pt idx="323">0.3686872011836797</cx:pt>
          <cx:pt idx="324">0.42728946766936238</cx:pt>
          <cx:pt idx="325">0.55059059709981095</cx:pt>
          <cx:pt idx="326">0.52961660336291527</cx:pt>
          <cx:pt idx="327">0.43754738407755173</cx:pt>
          <cx:pt idx="328">0.51159929217975075</cx:pt>
          <cx:pt idx="329">0.47929057421582549</cx:pt>
          <cx:pt idx="330">0.36649599510418163</cx:pt>
          <cx:pt idx="331">0.48910204198570828</cx:pt>
          <cx:pt idx="332">0.40800275520366408</cx:pt>
          <cx:pt idx="333">0.5845602139914311</cx:pt>
          <cx:pt idx="334">0.7171969021340493</cx:pt>
          <cx:pt idx="335">0.34951243245266861</cx:pt>
          <cx:pt idx="336">0.45159778766146169</cx:pt>
          <cx:pt idx="337">0.43089069981012001</cx:pt>
          <cx:pt idx="338">0.37271476594206138</cx:pt>
          <cx:pt idx="339">0.73379000047880283</cx:pt>
          <cx:pt idx="340">0.69706837305620306</cx:pt>
          <cx:pt idx="341">0.75111751223715295</cx:pt>
          <cx:pt idx="342">0.61619458788012726</cx:pt>
          <cx:pt idx="343">0.5168624122767107</cx:pt>
          <cx:pt idx="344">0.70746500537101775</cx:pt>
          <cx:pt idx="345">0.78529458455054113</cx:pt>
          <cx:pt idx="346">0.66826499260299521</cx:pt>
          <cx:pt idx="347">0.69385123355962497</cx:pt>
          <cx:pt idx="348">0.64061476659153449</cx:pt>
          <cx:pt idx="349">0.65415864567435356</cx:pt>
          <cx:pt idx="350">0.72521019895854288</cx:pt>
          <cx:pt idx="351">0.71956781779677037</cx:pt>
          <cx:pt idx="352">0.63732617561438487</cx:pt>
          <cx:pt idx="353">0.68689740496667395</cx:pt>
          <cx:pt idx="354">0.56746433597998658</cx:pt>
          <cx:pt idx="355">0.77862269589352739</cx:pt>
          <cx:pt idx="356">0.75835088773802195</cx:pt>
          <cx:pt idx="357">0.75999532910826562</cx:pt>
          <cx:pt idx="358">0.7377825869735315</cx:pt>
          <cx:pt idx="359">0.69937073070108546</cx:pt>
          <cx:pt idx="360">0.66119257781902907</cx:pt>
          <cx:pt idx="361">0.62380180564591936</cx:pt>
          <cx:pt idx="362">0.7370589489978816</cx:pt>
          <cx:pt idx="363">0.60756230184784032</cx:pt>
          <cx:pt idx="364">0.73497230425147941</cx:pt>
          <cx:pt idx="365">0.73637233076150332</cx:pt>
          <cx:pt idx="366">0.72866829228671637</cx:pt>
          <cx:pt idx="367">0.78857775984590683</cx:pt>
          <cx:pt idx="368">0.71398805896217366</cx:pt>
          <cx:pt idx="369">0.71355451043217322</cx:pt>
          <cx:pt idx="370">0.6924639368507195</cx:pt>
          <cx:pt idx="371">0.67337399712144996</cx:pt>
          <cx:pt idx="372">0.67483369343702582</cx:pt>
          <cx:pt idx="373">0.79188343933972527</cx:pt>
          <cx:pt idx="374">0.80371345434426422</cx:pt>
          <cx:pt idx="375">0.66166497966853077</cx:pt>
          <cx:pt idx="376">0.76000960622664027</cx:pt>
          <cx:pt idx="377">0.55465951101149469</cx:pt>
          <cx:pt idx="378">0.60154498024747605</cx:pt>
          <cx:pt idx="379">0.56286915365323864</cx:pt>
          <cx:pt idx="380">0.5567835913110939</cx:pt>
          <cx:pt idx="381">0.72819005678137305</cx:pt>
          <cx:pt idx="382">0.74302139440901338</cx:pt>
          <cx:pt idx="383">0.70920317923356424</cx:pt>
          <cx:pt idx="384">0.63220669778088712</cx:pt>
          <cx:pt idx="385">0.65562631987956232</cx:pt>
          <cx:pt idx="386">0.74646869037772579</cx:pt>
          <cx:pt idx="387">0.52073992105247668</cx:pt>
          <cx:pt idx="388">0.54845389155765123</cx:pt>
          <cx:pt idx="389">0.58724299506812816</cx:pt>
          <cx:pt idx="390">0.60833088858661988</cx:pt>
          <cx:pt idx="391">0.60926693210927607</cx:pt>
          <cx:pt idx="392">0.49915705280201478</cx:pt>
          <cx:pt idx="393">0.64236913202663737</cx:pt>
          <cx:pt idx="394">0.86342746856208108</cx:pt>
          <cx:pt idx="395">0.78873825637955364</cx:pt>
          <cx:pt idx="396">0.59523596869748352</cx:pt>
          <cx:pt idx="397">0.67116729003067499</cx:pt>
          <cx:pt idx="398">0.70869016195501933</cx:pt>
          <cx:pt idx="399">0.7099661271904113</cx:pt>
          <cx:pt idx="400">0.76519178811069488</cx:pt>
          <cx:pt idx="401">0.76747975329621765</cx:pt>
          <cx:pt idx="402">0.56637897206599874</cx:pt>
          <cx:pt idx="403">0.65869238742506608</cx:pt>
          <cx:pt idx="404">0.60685006671286945</cx:pt>
          <cx:pt idx="405">0.86137432628201782</cx:pt>
          <cx:pt idx="406">0.65744095762891241</cx:pt>
          <cx:pt idx="407">0.68760735717835364</cx:pt>
          <cx:pt idx="408">0.73819857508224218</cx:pt>
          <cx:pt idx="409">0.62952486093701887</cx:pt>
          <cx:pt idx="410">0.63643852811468304</cx:pt>
          <cx:pt idx="411">0.36128834014710209</cx:pt>
          <cx:pt idx="412">0.73095552728768431</cx:pt>
          <cx:pt idx="413">0.55978642654841315</cx:pt>
          <cx:pt idx="414">0.79374900394572367</cx:pt>
          <cx:pt idx="415">0.68641930352288261</cx:pt>
          <cx:pt idx="416">0.74519764656478082</cx:pt>
          <cx:pt idx="417">0.85121504924451175</cx:pt>
          <cx:pt idx="418">0.70164706614189065</cx:pt>
          <cx:pt idx="419">0.63370131702139865</cx:pt>
          <cx:pt idx="420">0.74250683997676459</cx:pt>
          <cx:pt idx="421">0.7744038546271278</cx:pt>
          <cx:pt idx="422">0.44145804859317062</cx:pt>
          <cx:pt idx="423">0.66128773397013507</cx:pt>
          <cx:pt idx="424">0.51994288179817805</cx:pt>
          <cx:pt idx="425">0.50740121749396561</cx:pt>
          <cx:pt idx="426">0.6913172989304136</cx:pt>
          <cx:pt idx="427">0.52738962220852836</cx:pt>
          <cx:pt idx="428">0.64404367263557449</cx:pt>
          <cx:pt idx="429">0.64999142590645942</cx:pt>
          <cx:pt idx="430">0.60836553746520594</cx:pt>
          <cx:pt idx="431">0.60504492938566368</cx:pt>
          <cx:pt idx="432">0.58303459527283064</cx:pt>
          <cx:pt idx="433">0.51145182075442974</cx:pt>
          <cx:pt idx="434">0.40717784228015991</cx:pt>
          <cx:pt idx="435">0.698554234581509</cx:pt>
          <cx:pt idx="436">0.68958616097854242</cx:pt>
          <cx:pt idx="437">0.54512516095987884</cx:pt>
          <cx:pt idx="438">0.68188993061813796</cx:pt>
          <cx:pt idx="439">0.66702963450371655</cx:pt>
          <cx:pt idx="440">0.68061540709940704</cx:pt>
          <cx:pt idx="441">0.86848582822227216</cx:pt>
          <cx:pt idx="442">0.73655120313681743</cx:pt>
          <cx:pt idx="443">0.65433620598936482</cx:pt>
          <cx:pt idx="444">0.50621095141343186</cx:pt>
          <cx:pt idx="445">0.52121732164080692</cx:pt>
          <cx:pt idx="446">0.68288842711353048</cx:pt>
          <cx:pt idx="447">0.50939695196289392</cx:pt>
          <cx:pt idx="448">0.37902597206732541</cx:pt>
          <cx:pt idx="449">0.38447935849128961</cx:pt>
          <cx:pt idx="450">0.34121678859923921</cx:pt>
          <cx:pt idx="451">0.2439433255965196</cx:pt>
          <cx:pt idx="452">0.36658060538439979</cx:pt>
          <cx:pt idx="453">0.44262096043719079</cx:pt>
          <cx:pt idx="454">0.42169765868247699</cx:pt>
          <cx:pt idx="455">0.38637516485383849</cx:pt>
          <cx:pt idx="456">0.39277164697864242</cx:pt>
          <cx:pt idx="457">0.37407113089520738</cx:pt>
          <cx:pt idx="458">0.32479216277949752</cx:pt>
          <cx:pt idx="459">0.41464052921228489</cx:pt>
          <cx:pt idx="460">0.27460452703256372</cx:pt>
          <cx:pt idx="461">0.59639045696182202</cx:pt>
          <cx:pt idx="462">0.20966650632120309</cx:pt>
          <cx:pt idx="463">0.2332761397901289</cx:pt>
          <cx:pt idx="464">0.30524197504239908</cx:pt>
          <cx:pt idx="465">0.46000339669935958</cx:pt>
          <cx:pt idx="466">0.3752126218681841</cx:pt>
          <cx:pt idx="467">0.37625604617481312</cx:pt>
          <cx:pt idx="468">0.34405820764606998</cx:pt>
          <cx:pt idx="469">0.42548268421022828</cx:pt>
          <cx:pt idx="470">0.44733931610762317</cx:pt>
          <cx:pt idx="471">0.49360621230809071</cx:pt>
          <cx:pt idx="472">0.36285924885969473</cx:pt>
          <cx:pt idx="473">0.25578692412011889</cx:pt>
          <cx:pt idx="474">0.49232855440521378</cx:pt>
          <cx:pt idx="475">0.43347362179442739</cx:pt>
          <cx:pt idx="476">0.55994131183225615</cx:pt>
          <cx:pt idx="477">0.4579251155180617</cx:pt>
          <cx:pt idx="478">0.44081397792909949</cx:pt>
          <cx:pt idx="479">0.29156426394840562</cx:pt>
          <cx:pt idx="480">0.36997492905574841</cx:pt>
          <cx:pt idx="481">0.33006364845678998</cx:pt>
          <cx:pt idx="482">0.41407240728354078</cx:pt>
          <cx:pt idx="483">0.37527015780532358</cx:pt>
          <cx:pt idx="484">0.3020051521958107</cx:pt>
          <cx:pt idx="485">0.540846778489532</cx:pt>
          <cx:pt idx="486">0.59869351635974699</cx:pt>
          <cx:pt idx="487">0.45358130386814988</cx:pt>
          <cx:pt idx="488">0.30289162173406231</cx:pt>
          <cx:pt idx="489">0.48460677819900699</cx:pt>
          <cx:pt idx="490">0.40271192020164032</cx:pt>
          <cx:pt idx="491">0.52718185558915465</cx:pt>
          <cx:pt idx="492">0.3644389169538873</cx:pt>
          <cx:pt idx="493">0.33209759866162758</cx:pt>
          <cx:pt idx="494">0.39028082343551762</cx:pt>
          <cx:pt idx="495">0.4390058078479433</cx:pt>
          <cx:pt idx="496">0.52557507610513954</cx:pt>
          <cx:pt idx="497">0.35968116546827522</cx:pt>
          <cx:pt idx="498">0.40557981845056462</cx:pt>
          <cx:pt idx="499">0.40255529677129809</cx:pt>
          <cx:pt idx="500">0.54198067329295063</cx:pt>
          <cx:pt idx="501">0.45208234733549219</cx:pt>
          <cx:pt idx="502">0.47626678275900741</cx:pt>
          <cx:pt idx="503">0.40752144850730038</cx:pt>
          <cx:pt idx="504">0.37066837249360879</cx:pt>
          <cx:pt idx="505">0.40692522373743678</cx:pt>
          <cx:pt idx="506">0.42125593625843638</cx:pt>
          <cx:pt idx="507">0.56983550287925733</cx:pt>
          <cx:pt idx="508">0.55761739450705239</cx:pt>
          <cx:pt idx="509">0.50016125444928394</cx:pt>
          <cx:pt idx="510">0.33345188527519543</cx:pt>
          <cx:pt idx="511">0.33561426144196649</cx:pt>
          <cx:pt idx="512">0.46350532068336109</cx:pt>
          <cx:pt idx="513">0.33150215439924152</cx:pt>
          <cx:pt idx="514">0.50253985439309978</cx:pt>
          <cx:pt idx="515">0.48039484560251372</cx:pt>
          <cx:pt idx="516">0.5633752252706381</cx:pt>
          <cx:pt idx="517">0.51521573581904323</cx:pt>
          <cx:pt idx="518">0.68288398389033733</cx:pt>
          <cx:pt idx="519">0.68761648383370766</cx:pt>
          <cx:pt idx="520">0.5626178021964735</cx:pt>
          <cx:pt idx="521">0.64249285270273326</cx:pt>
          <cx:pt idx="522">0.47906713951485341</cx:pt>
          <cx:pt idx="523">0.65202763095155769</cx:pt>
          <cx:pt idx="524">0.63586366252198379</cx:pt>
          <cx:pt idx="525">0.64493886689943392</cx:pt>
          <cx:pt idx="526">0.5728508921580705</cx:pt>
          <cx:pt idx="527">0.63766086253351673</cx:pt>
          <cx:pt idx="528">0.56600820731218104</cx:pt>
          <cx:pt idx="529">0.70191004447428007</cx:pt>
          <cx:pt idx="530">0.35983816921863271</cx:pt>
          <cx:pt idx="531">0.4670431579113361</cx:pt>
          <cx:pt idx="532">0.68955799202739931</cx:pt>
          <cx:pt idx="533">0.73695331673986264</cx:pt>
          <cx:pt idx="534">0.39366000881737939</cx:pt>
          <cx:pt idx="535">0.47985633758859791</cx:pt>
          <cx:pt idx="536">0.60544867180483841</cx:pt>
          <cx:pt idx="537">0.61245565334296215</cx:pt>
          <cx:pt idx="538">0.48538635011785658</cx:pt>
          <cx:pt idx="539">0.53143793447564169</cx:pt>
          <cx:pt idx="540">0.56909687273048104</cx:pt>
          <cx:pt idx="541">0.56061056010859545</cx:pt>
          <cx:pt idx="542">0.35278301744701801</cx:pt>
          <cx:pt idx="543">0.50477901255337887</cx:pt>
          <cx:pt idx="544">0.51920271064603662</cx:pt>
          <cx:pt idx="545">0.30142380700971982</cx:pt>
          <cx:pt idx="546">0.66877430241769853</cx:pt>
          <cx:pt idx="547">0.55163008283537185</cx:pt>
          <cx:pt idx="548">0.47300032852093532</cx:pt>
          <cx:pt idx="549">0.46873580879936261</cx:pt>
          <cx:pt idx="550">0.49757058557055223</cx:pt>
          <cx:pt idx="551">0.65807580332916982</cx:pt>
          <cx:pt idx="552">0.48918625642565949</cx:pt>
          <cx:pt idx="553">0.37138836778352341</cx:pt>
          <cx:pt idx="554">0.34804068034107649</cx:pt>
          <cx:pt idx="555">0.56347808393957066</cx:pt>
          <cx:pt idx="556">0.52302947529131039</cx:pt>
          <cx:pt idx="557">0.66248337073682606</cx:pt>
          <cx:pt idx="558">0.6207228824441775</cx:pt>
          <cx:pt idx="559">0.64845306366554323</cx:pt>
          <cx:pt idx="560">0.6560663366567181</cx:pt>
          <cx:pt idx="561">0.76494981701040998</cx:pt>
          <cx:pt idx="562">0.38673883046657292</cx:pt>
          <cx:pt idx="563">0.7230806309320984</cx:pt>
          <cx:pt idx="564">0.47713311127256852</cx:pt>
          <cx:pt idx="565">0.47185410182426202</cx:pt>
          <cx:pt idx="566">0.53106595196924478</cx:pt>
          <cx:pt idx="567">0.41233670665011968</cx:pt>
          <cx:pt idx="568">0.50744572330328586</cx:pt>
          <cx:pt idx="569">0.49004601573773732</cx:pt>
          <cx:pt idx="570">0.51767992663908724</cx:pt>
          <cx:pt idx="571">0.41213729613895528</cx:pt>
          <cx:pt idx="572">0.48860148237733841</cx:pt>
          <cx:pt idx="573">0.76667643130874408</cx:pt>
          <cx:pt idx="574">0.68162914394041785</cx:pt>
          <cx:pt idx="575">0.6141637132219735</cx:pt>
          <cx:pt idx="576">0.53931581150643015</cx:pt>
          <cx:pt idx="577">0.51665320513115776</cx:pt>
          <cx:pt idx="578">0.49871352390732548</cx:pt>
          <cx:pt idx="579">0.68075175752666628</cx:pt>
          <cx:pt idx="580">0.56904392212942811</cx:pt>
          <cx:pt idx="581">0.59239493857072478</cx:pt>
          <cx:pt idx="582">0.59699083268836917</cx:pt>
          <cx:pt idx="583">0.65441260875365881</cx:pt>
          <cx:pt idx="584">0.63366757795545625</cx:pt>
          <cx:pt idx="585">0.51150768618340758</cx:pt>
          <cx:pt idx="586">0.65033056183917681</cx:pt>
          <cx:pt idx="587">0.73351913602583518</cx:pt>
          <cx:pt idx="588">0.59831851252152179</cx:pt>
          <cx:pt idx="589">0.60401227234642063</cx:pt>
          <cx:pt idx="590">0.50612449200930132</cx:pt>
          <cx:pt idx="591">0.68840167641026584</cx:pt>
          <cx:pt idx="592">0.80781311269960143</cx:pt>
          <cx:pt idx="593">0.79177211648098633</cx:pt>
          <cx:pt idx="594">0.74789159580773712</cx:pt>
          <cx:pt idx="595">0.68544726779258458</cx:pt>
          <cx:pt idx="596">0.57399218247908834</cx:pt>
          <cx:pt idx="597">0.72363120311819107</cx:pt>
          <cx:pt idx="598">0.64885464317600572</cx:pt>
          <cx:pt idx="599">0.62619172142513058</cx:pt>
          <cx:pt idx="600">0.64856018417295824</cx:pt>
          <cx:pt idx="601">0.68767573864890341</cx:pt>
          <cx:pt idx="602">0.73450813109041901</cx:pt>
          <cx:pt idx="603">0.76815361982371855</cx:pt>
          <cx:pt idx="604">0.7032656491089001</cx:pt>
          <cx:pt idx="605">0.83200387489750283</cx:pt>
          <cx:pt idx="606">0.57632816054997449</cx:pt>
          <cx:pt idx="607">0.71497411205138417</cx:pt>
          <cx:pt idx="608">0.85265564208026101</cx:pt>
          <cx:pt idx="609">0.4619677049674481</cx:pt>
          <cx:pt idx="610">0.59156676827241705</cx:pt>
          <cx:pt idx="611">0.83436043933623361</cx:pt>
          <cx:pt idx="612">0.61195491803520785</cx:pt>
          <cx:pt idx="613">0.6041895979819587</cx:pt>
          <cx:pt idx="614">0.66457608768318577</cx:pt>
          <cx:pt idx="615">0.77364660816463482</cx:pt>
          <cx:pt idx="616">0.77285982433240441</cx:pt>
          <cx:pt idx="617">0.59220405938854814</cx:pt>
          <cx:pt idx="618">0.7664820676163755</cx:pt>
          <cx:pt idx="619">0.68538319833359684</cx:pt>
          <cx:pt idx="620">0.55209419409746219</cx:pt>
          <cx:pt idx="621">0.54992174561251794</cx:pt>
          <cx:pt idx="622">0.77028848968195851</cx:pt>
          <cx:pt idx="623">0.44265391675286392</cx:pt>
          <cx:pt idx="624">0.50323120871107441</cx:pt>
          <cx:pt idx="625">0.63944392204794565</cx:pt>
          <cx:pt idx="626">0.65442021668642292</cx:pt>
          <cx:pt idx="627">0.58930608988566879</cx:pt>
          <cx:pt idx="628">0.58970543832288524</cx:pt>
          <cx:pt idx="629">0.60685116227749636</cx:pt>
          <cx:pt idx="630">0.68732583024043836</cx:pt>
          <cx:pt idx="631">0.60332726446829688</cx:pt>
          <cx:pt idx="632">0.62824205460653215</cx:pt>
          <cx:pt idx="633">0.66386254112634657</cx:pt>
          <cx:pt idx="634">0.72350244339126357</cx:pt>
          <cx:pt idx="635">0.6582695782591691</cx:pt>
          <cx:pt idx="636">0.659033576073625</cx:pt>
          <cx:pt idx="637">0.64168861320945081</cx:pt>
          <cx:pt idx="638">0.47306852767524182</cx:pt>
          <cx:pt idx="639">0.61595300541808951</cx:pt>
          <cx:pt idx="640">0.60655704118196074</cx:pt>
          <cx:pt idx="641">0.66416266619459829</cx:pt>
          <cx:pt idx="642">0.69959047994049672</cx:pt>
          <cx:pt idx="643">0.67561404280811843</cx:pt>
          <cx:pt idx="644">0.52717359105037775</cx:pt>
          <cx:pt idx="645">0.70313085827441768</cx:pt>
          <cx:pt idx="646">0.75139839810182463</cx:pt>
          <cx:pt idx="647">0.7706525202064235</cx:pt>
          <cx:pt idx="648">0.48505130153881032</cx:pt>
          <cx:pt idx="649">0.7826252386915693</cx:pt>
          <cx:pt idx="650">0.73362512724125561</cx:pt>
          <cx:pt idx="651">0.76681019484991142</cx:pt>
          <cx:pt idx="652">0.75366685448228443</cx:pt>
          <cx:pt idx="653">0.72975214871101801</cx:pt>
          <cx:pt idx="654">0.74889726173543969</cx:pt>
          <cx:pt idx="655">0.55043122124742649</cx:pt>
          <cx:pt idx="656">0.45163453186267</cx:pt>
          <cx:pt idx="657">0.55556457982460439</cx:pt>
          <cx:pt idx="658">0.56997431205493254</cx:pt>
          <cx:pt idx="659">0.41611511095168691</cx:pt>
          <cx:pt idx="660">0.51517860198670518</cx:pt>
          <cx:pt idx="661">0.61864721849424398</cx:pt>
          <cx:pt idx="662">0.55596272236550137</cx:pt>
          <cx:pt idx="663">0.58979547985416758</cx:pt>
          <cx:pt idx="664">0.62990534061564996</cx:pt>
          <cx:pt idx="665">0.56906971732772149</cx:pt>
          <cx:pt idx="666">0.38482994421463118</cx:pt>
          <cx:pt idx="667">0.50113333390553083</cx:pt>
          <cx:pt idx="668">0.65344689873106554</cx:pt>
          <cx:pt idx="669">0.74793254029712919</cx:pt>
          <cx:pt idx="670">0.8320579720118908</cx:pt>
          <cx:pt idx="671">0.76709722188560781</cx:pt>
          <cx:pt idx="672">0.7766431428911228</cx:pt>
          <cx:pt idx="673">0.83321121416575594</cx:pt>
          <cx:pt idx="674">0.81118663123336321</cx:pt>
          <cx:pt idx="675">0.6703043167221685</cx:pt>
          <cx:pt idx="676">0.82961537223714044</cx:pt>
          <cx:pt idx="677">0.90222254890621378</cx:pt>
          <cx:pt idx="678">0.77795128776489231</cx:pt>
          <cx:pt idx="679">0.80112869357577365</cx:pt>
          <cx:pt idx="680">0.79631805899343722</cx:pt>
          <cx:pt idx="681">0.77932344538580522</cx:pt>
          <cx:pt idx="682">0.8636592240413653</cx:pt>
          <cx:pt idx="683">0.85485937509319032</cx:pt>
          <cx:pt idx="684">0.74862801940091661</cx:pt>
          <cx:pt idx="685">0.76374343596661787</cx:pt>
          <cx:pt idx="686">0.85291420869310219</cx:pt>
          <cx:pt idx="687">0.85903750067992402</cx:pt>
          <cx:pt idx="688">0.74331435118570666</cx:pt>
          <cx:pt idx="689">0.74951966091042954</cx:pt>
          <cx:pt idx="690">0.81935263623438781</cx:pt>
          <cx:pt idx="691">0.85038023704125121</cx:pt>
          <cx:pt idx="692">0.77916159263635953</cx:pt>
          <cx:pt idx="693">0.64609875553279306</cx:pt>
          <cx:pt idx="694">0.77904739593681038</cx:pt>
          <cx:pt idx="695">0.68834687976999931</cx:pt>
          <cx:pt idx="696">0.71776509934320631</cx:pt>
          <cx:pt idx="697">0.60786461994546537</cx:pt>
          <cx:pt idx="698">0.74010215516318367</cx:pt>
          <cx:pt idx="699">0.71002092848903497</cx:pt>
          <cx:pt idx="700">0.70943394080194155</cx:pt>
          <cx:pt idx="701">0.70836117552979327</cx:pt>
          <cx:pt idx="702">0.82128737456369227</cx:pt>
          <cx:pt idx="703">0.78661533566384201</cx:pt>
          <cx:pt idx="704">0.61548543672610501</cx:pt>
          <cx:pt idx="705">0.63214457662926049</cx:pt>
          <cx:pt idx="706">0.60713061588437223</cx:pt>
          <cx:pt idx="707">0.64824494343285421</cx:pt>
          <cx:pt idx="708">0.62781476853132601</cx:pt>
          <cx:pt idx="709">0.8358315007435223</cx:pt>
          <cx:pt idx="710">0.62449460805709855</cx:pt>
          <cx:pt idx="711">0.7079208138989268</cx:pt>
          <cx:pt idx="712">0.7971243531120713</cx:pt>
          <cx:pt idx="713">0.70423651086348349</cx:pt>
          <cx:pt idx="714">0.69618715737347803</cx:pt>
          <cx:pt idx="715">0.7144635678102127</cx:pt>
          <cx:pt idx="716">0.6948298995230594</cx:pt>
          <cx:pt idx="717">0.71673256832768062</cx:pt>
          <cx:pt idx="718">0.52237086474588468</cx:pt>
          <cx:pt idx="719">0.6311605975710185</cx:pt>
          <cx:pt idx="720">0.53491804447803071</cx:pt>
          <cx:pt idx="721">0.67922982292393186</cx:pt>
          <cx:pt idx="722">0.75217691725569524</cx:pt>
          <cx:pt idx="723">0.53419312383479778</cx:pt>
          <cx:pt idx="724">0.52358488675253612</cx:pt>
          <cx:pt idx="725">0.63614242913261121</cx:pt>
          <cx:pt idx="726">0.80635702164830825</cx:pt>
          <cx:pt idx="727">0.62500206973262151</cx:pt>
          <cx:pt idx="728">0.60138796563379682</cx:pt>
          <cx:pt idx="729">0.60417648143780034</cx:pt>
          <cx:pt idx="730">0.43471359362534151</cx:pt>
          <cx:pt idx="731">0.70578167845260431</cx:pt>
          <cx:pt idx="732">0.65415978257358653</cx:pt>
          <cx:pt idx="733">0.53502717997915106</cx:pt>
          <cx:pt idx="734">0.55740358933308998</cx:pt>
          <cx:pt idx="735">0.66897152056840448</cx:pt>
          <cx:pt idx="736">0.70879225616166908</cx:pt>
          <cx:pt idx="737">0.59933168961910399</cx:pt>
          <cx:pt idx="738">0.65872570775645001</cx:pt>
          <cx:pt idx="739">0.74020826495478353</cx:pt>
          <cx:pt idx="740">0.69995466827283781</cx:pt>
          <cx:pt idx="741">0.56668537542144415</cx:pt>
          <cx:pt idx="742">0.70885742912637928</cx:pt>
          <cx:pt idx="743">0.7213035027820297</cx:pt>
          <cx:pt idx="744">0.73100969864095688</cx:pt>
          <cx:pt idx="745">0.63787079997739593</cx:pt>
          <cx:pt idx="746">0.67734961052773612</cx:pt>
          <cx:pt idx="747">0.62803319106308553</cx:pt>
          <cx:pt idx="748">0.77654350055277044</cx:pt>
          <cx:pt idx="749">0.68349786732981865</cx:pt>
          <cx:pt idx="750">0.71353164457022122</cx:pt>
          <cx:pt idx="751">0.55304573251951517</cx:pt>
          <cx:pt idx="752">0.62598850038499765</cx:pt>
          <cx:pt idx="753">0.68823546260924329</cx:pt>
          <cx:pt idx="754">0.47604626769179309</cx:pt>
          <cx:pt idx="755">0.49437132200614398</cx:pt>
          <cx:pt idx="756">0.51269802364999795</cx:pt>
          <cx:pt idx="757">0.51926911988771185</cx:pt>
          <cx:pt idx="758">0.45607104975631663</cx:pt>
          <cx:pt idx="759">0.4819627997518337</cx:pt>
          <cx:pt idx="760">0.51971946491211063</cx:pt>
          <cx:pt idx="761">0.47971311775208969</cx:pt>
          <cx:pt idx="762">0.5066984929814633</cx:pt>
          <cx:pt idx="763">0.62830502807389277</cx:pt>
          <cx:pt idx="764">0.49527111716872169</cx:pt>
          <cx:pt idx="765">0.52989962091202436</cx:pt>
          <cx:pt idx="766">0.48248247690740542</cx:pt>
          <cx:pt idx="767">0.53190829542273776</cx:pt>
          <cx:pt idx="768">0.4483864895458487</cx:pt>
          <cx:pt idx="769">0.44765194029023969</cx:pt>
          <cx:pt idx="770">0.53393460710587248</cx:pt>
          <cx:pt idx="771">0.41812201998515658</cx:pt>
          <cx:pt idx="772">0.48461390182750141</cx:pt>
          <cx:pt idx="773">0.43906081140642889</cx:pt>
          <cx:pt idx="774">0.47341957801313872</cx:pt>
          <cx:pt idx="775">0.61971221878422678</cx:pt>
          <cx:pt idx="776">0.51357506099369099</cx:pt>
          <cx:pt idx="777">0.47869005218902488</cx:pt>
          <cx:pt idx="778">0.50958958810470889</cx:pt>
          <cx:pt idx="779">0.61980248262576554</cx:pt>
          <cx:pt idx="780">0.40910260576828739</cx:pt>
          <cx:pt idx="781">0.44737667825522892</cx:pt>
          <cx:pt idx="782">0.61698259638104436</cx:pt>
          <cx:pt idx="783">0.6120426387780199</cx:pt>
          <cx:pt idx="784">0.65469825284810279</cx:pt>
          <cx:pt idx="785">0.54642337311403066</cx:pt>
          <cx:pt idx="786">0.62841770771969596</cx:pt>
          <cx:pt idx="787">0.611886189868734</cx:pt>
          <cx:pt idx="788">0.52345163762487812</cx:pt>
          <cx:pt idx="789">0.50882851448367306</cx:pt>
          <cx:pt idx="790">0.56527069610783442</cx:pt>
          <cx:pt idx="791">0.51581790775305347</cx:pt>
          <cx:pt idx="792">0.57739267874508349</cx:pt>
          <cx:pt idx="793">0.58832796936864429</cx:pt>
          <cx:pt idx="794">0.64504451950422825</cx:pt>
          <cx:pt idx="795">0.55835857006149436</cx:pt>
          <cx:pt idx="796">0.60513463205584961</cx:pt>
          <cx:pt idx="797">0.56377471964700643</cx:pt>
          <cx:pt idx="798">0.6527875681990486</cx:pt>
          <cx:pt idx="799">0.56557227015505063</cx:pt>
          <cx:pt idx="800">0.59448025909416624</cx:pt>
          <cx:pt idx="801">0.57815625089686962</cx:pt>
          <cx:pt idx="802">0.57156154764061684</cx:pt>
          <cx:pt idx="803">0.55875810138633641</cx:pt>
          <cx:pt idx="804">0.5590904516707681</cx:pt>
          <cx:pt idx="805">0.58290648116262234</cx:pt>
          <cx:pt idx="806">0.53437969462860102</cx:pt>
          <cx:pt idx="807">0.57883062230562365</cx:pt>
          <cx:pt idx="808">0.72279269882242314</cx:pt>
          <cx:pt idx="809">0.66420026546373301</cx:pt>
          <cx:pt idx="810">0.49647533665069998</cx:pt>
          <cx:pt idx="811">0.53577081384528247</cx:pt>
          <cx:pt idx="812">0.54163107123241694</cx:pt>
          <cx:pt idx="813">0.55163651069496433</cx:pt>
          <cx:pt idx="814">0.5810629216865848</cx:pt>
          <cx:pt idx="815">0.53428319699176985</cx:pt>
          <cx:pt idx="816">0.61325345697803313</cx:pt>
          <cx:pt idx="817">0.58558813768269335</cx:pt>
          <cx:pt idx="818">0.66137590515541045</cx:pt>
          <cx:pt idx="819">0.49563271781342227</cx:pt>
          <cx:pt idx="820">0.54243585250915682</cx:pt>
          <cx:pt idx="821">0.46363117124420139</cx:pt>
          <cx:pt idx="822">0.67377768100814017</cx:pt>
          <cx:pt idx="823">0.7161186721113032</cx:pt>
          <cx:pt idx="824">0.76329361670139406</cx:pt>
          <cx:pt idx="825">0.59789765600525346</cx:pt>
          <cx:pt idx="826">0.5626277625660121</cx:pt>
          <cx:pt idx="827">0.61766586563067827</cx:pt>
          <cx:pt idx="828">0.59073563026788389</cx:pt>
          <cx:pt idx="829">0.59849778029987621</cx:pt>
          <cx:pt idx="830">0.84830764656495716</cx:pt>
          <cx:pt idx="831">0.68855264476729228</cx:pt>
          <cx:pt idx="832">0.55171203887779496</cx:pt>
          <cx:pt idx="833">0.65272237660277088</cx:pt>
          <cx:pt idx="834">0.61654041978087015</cx:pt>
          <cx:pt idx="835">0.6328966724608186</cx:pt>
          <cx:pt idx="836">0.66517847984605938</cx:pt>
          <cx:pt idx="837">0.47115739938872803</cx:pt>
          <cx:pt idx="838">0.54227698827026072</cx:pt>
          <cx:pt idx="839">0.57940394891096447</cx:pt>
          <cx:pt idx="840">0.61145443264275345</cx:pt>
          <cx:pt idx="841">0.6289753195055694</cx:pt>
          <cx:pt idx="842">0.29885637158613088</cx:pt>
          <cx:pt idx="843">0.72901673424537683</cx:pt>
          <cx:pt idx="844">0.61059895948757081</cx:pt>
          <cx:pt idx="845">0.75046176164500877</cx:pt>
          <cx:pt idx="846">0.65417759330564607</cx:pt>
          <cx:pt idx="847">0.53128002718640632</cx:pt>
          <cx:pt idx="848">0.58234812483102461</cx:pt>
          <cx:pt idx="849">0.55018127495261016</cx:pt>
          <cx:pt idx="850">0.53244404739468354</cx:pt>
          <cx:pt idx="851">0.53078375138490963</cx:pt>
          <cx:pt idx="852">0.45209265859330228</cx:pt>
          <cx:pt idx="853">0.3591411311871236</cx:pt>
          <cx:pt idx="854">0.42822091145567498</cx:pt>
          <cx:pt idx="855">0.44361418820985721</cx:pt>
          <cx:pt idx="856">0.50878029847400608</cx:pt>
          <cx:pt idx="857">0.54252751064042426</cx:pt>
          <cx:pt idx="858">0.49728995565570072</cx:pt>
        </cx:lvl>
      </cx:numDim>
    </cx:data>
  </cx:chartData>
  <cx:chart>
    <cx:plotArea>
      <cx:plotAreaRegion>
        <cx:series layoutId="boxWhisker" uniqueId="{CF943CE0-0B21-4F7A-8CF2-9AA97AD6F459}">
          <cx:tx>
            <cx:txData>
              <cx:f/>
              <cx:v>2023</cx:v>
            </cx:txData>
          </cx:tx>
          <cx:spPr>
            <a:solidFill>
              <a:srgbClr val="6929C4">
                <a:alpha val="60000"/>
              </a:srgbClr>
            </a:solidFill>
            <a:ln>
              <a:solidFill>
                <a:srgbClr val="6929C4"/>
              </a:solidFill>
            </a:ln>
          </cx:spPr>
          <cx:dataId val="0"/>
          <cx:layoutPr>
            <cx:visibility meanMarker="0" nonoutliers="0" outliers="0"/>
            <cx:statistics quartileMethod="exclusive"/>
          </cx:layoutPr>
        </cx:series>
        <cx:series layoutId="boxWhisker" uniqueId="{00000007-6A7B-47F8-9ACF-5BAE153EFEF5}">
          <cx:tx>
            <cx:txData>
              <cx:f/>
              <cx:v>2024</cx:v>
            </cx:txData>
          </cx:tx>
          <cx:spPr>
            <a:solidFill>
              <a:srgbClr val="009D9A">
                <a:alpha val="60000"/>
              </a:srgbClr>
            </a:solidFill>
            <a:ln>
              <a:solidFill>
                <a:srgbClr val="009D9A"/>
              </a:solidFill>
            </a:ln>
          </cx:spPr>
          <cx:dataId val="1"/>
          <cx:layoutPr>
            <cx:visibility meanMarker="0" nonoutliers="0" outliers="0"/>
            <cx:statistics quartileMethod="exclusive"/>
          </cx:layoutPr>
        </cx:series>
        <cx:series layoutId="boxWhisker" uniqueId="{00000008-6A7B-47F8-9ACF-5BAE153EFEF5}">
          <cx:tx>
            <cx:txData>
              <cx:f/>
              <cx:v>2025</cx:v>
            </cx:txData>
          </cx:tx>
          <cx:spPr>
            <a:solidFill>
              <a:srgbClr val="012749">
                <a:alpha val="60000"/>
              </a:srgbClr>
            </a:solidFill>
            <a:ln>
              <a:solidFill>
                <a:srgbClr val="012749"/>
              </a:solidFill>
            </a:ln>
          </cx:spPr>
          <cx:dataId val="2"/>
          <cx:layoutPr>
            <cx:visibility meanMarker="0" nonoutliers="0" outliers="0"/>
            <cx:statistics quartileMethod="exclusive"/>
          </cx:layoutPr>
        </cx:series>
      </cx:plotAreaRegion>
      <cx:axis id="0" hidden="1">
        <cx:catScaling gapWidth="0.400000006"/>
        <cx:tickLabels/>
        <cx:txPr>
          <a:bodyPr vertOverflow="overflow" horzOverflow="overflow" wrap="square" lIns="0" tIns="0" rIns="0" bIns="0"/>
          <a:lstStyle/>
          <a:p>
            <a:pPr algn="ctr" rtl="0">
              <a:defRPr sz="9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a:solidFill>
                <a:sysClr val="windowText" lastClr="000000"/>
              </a:solidFill>
              <a:latin typeface="Arial" panose="020B0604020202020204" pitchFamily="34" charset="0"/>
              <a:cs typeface="Arial" panose="020B0604020202020204" pitchFamily="34" charset="0"/>
            </a:endParaRPr>
          </a:p>
        </cx:txPr>
      </cx:axis>
      <cx:axis id="1">
        <cx:valScaling/>
        <cx:tickLabels/>
        <cx:spPr>
          <a:ln>
            <a:noFill/>
          </a:ln>
        </cx:spPr>
        <cx:txPr>
          <a:bodyPr vertOverflow="overflow" horzOverflow="overflow" wrap="square" lIns="0" tIns="0" rIns="0" bIns="0"/>
          <a:lstStyle/>
          <a:p>
            <a:pPr algn="ctr" rtl="0">
              <a:defRPr sz="8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sz="800">
              <a:solidFill>
                <a:sysClr val="windowText" lastClr="000000"/>
              </a:solidFill>
              <a:latin typeface="Arial" panose="020B0604020202020204" pitchFamily="34" charset="0"/>
              <a:cs typeface="Arial" panose="020B0604020202020204" pitchFamily="34" charset="0"/>
            </a:endParaRPr>
          </a:p>
        </cx:txPr>
      </cx:axis>
    </cx:plotArea>
    <cx:legend pos="b" align="ctr" overlay="0">
      <cx:txPr>
        <a:bodyPr vertOverflow="overflow" horzOverflow="overflow" wrap="square" lIns="0" tIns="0" rIns="0" bIns="0"/>
        <a:lstStyle/>
        <a:p>
          <a:pPr algn="ctr" rtl="0">
            <a:defRPr sz="8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sz="800">
            <a:solidFill>
              <a:sysClr val="windowText" lastClr="000000"/>
            </a:solidFill>
            <a:latin typeface="Arial" panose="020B0604020202020204" pitchFamily="34" charset="0"/>
            <a:cs typeface="Arial" panose="020B0604020202020204" pitchFamily="34" charset="0"/>
          </a:endParaRPr>
        </a:p>
      </cx:txPr>
    </cx:legend>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6AD0F2B1443FAB76607116CEFD4AD"/>
        <w:category>
          <w:name w:val="General"/>
          <w:gallery w:val="placeholder"/>
        </w:category>
        <w:types>
          <w:type w:val="bbPlcHdr"/>
        </w:types>
        <w:behaviors>
          <w:behavior w:val="content"/>
        </w:behaviors>
        <w:guid w:val="{D39DFB44-F632-4652-AE53-92D99F2DCC52}"/>
      </w:docPartPr>
      <w:docPartBody>
        <w:p w:rsidR="000D3270" w:rsidRDefault="000D3270">
          <w:pPr>
            <w:pStyle w:val="70B6AD0F2B1443FAB76607116CEFD4A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70"/>
    <w:rsid w:val="00006940"/>
    <w:rsid w:val="000169EB"/>
    <w:rsid w:val="00071F4B"/>
    <w:rsid w:val="00083569"/>
    <w:rsid w:val="000A04D4"/>
    <w:rsid w:val="000D3270"/>
    <w:rsid w:val="000E2A82"/>
    <w:rsid w:val="00117AAB"/>
    <w:rsid w:val="00124A88"/>
    <w:rsid w:val="00151843"/>
    <w:rsid w:val="001553F4"/>
    <w:rsid w:val="001553F5"/>
    <w:rsid w:val="00155A92"/>
    <w:rsid w:val="001738C5"/>
    <w:rsid w:val="001A6164"/>
    <w:rsid w:val="001C427C"/>
    <w:rsid w:val="001E3FC3"/>
    <w:rsid w:val="00206BE5"/>
    <w:rsid w:val="00212382"/>
    <w:rsid w:val="00223E31"/>
    <w:rsid w:val="002468F2"/>
    <w:rsid w:val="0028157C"/>
    <w:rsid w:val="002B541D"/>
    <w:rsid w:val="002E4D51"/>
    <w:rsid w:val="0031121F"/>
    <w:rsid w:val="00337271"/>
    <w:rsid w:val="00366DF7"/>
    <w:rsid w:val="003917B9"/>
    <w:rsid w:val="003A1CBD"/>
    <w:rsid w:val="003A21A3"/>
    <w:rsid w:val="003C05D5"/>
    <w:rsid w:val="003E57F3"/>
    <w:rsid w:val="003F7BE7"/>
    <w:rsid w:val="004066F3"/>
    <w:rsid w:val="00446782"/>
    <w:rsid w:val="004631EB"/>
    <w:rsid w:val="00483A0B"/>
    <w:rsid w:val="004C2E91"/>
    <w:rsid w:val="004D5DBE"/>
    <w:rsid w:val="004F5E64"/>
    <w:rsid w:val="00530FB3"/>
    <w:rsid w:val="00545DF8"/>
    <w:rsid w:val="00553131"/>
    <w:rsid w:val="00584B80"/>
    <w:rsid w:val="005A6439"/>
    <w:rsid w:val="005B4BB8"/>
    <w:rsid w:val="005C0582"/>
    <w:rsid w:val="005D52EF"/>
    <w:rsid w:val="005F0A36"/>
    <w:rsid w:val="0061608E"/>
    <w:rsid w:val="00636DDB"/>
    <w:rsid w:val="0065054A"/>
    <w:rsid w:val="006E667D"/>
    <w:rsid w:val="00702CFF"/>
    <w:rsid w:val="00722A82"/>
    <w:rsid w:val="00751DE6"/>
    <w:rsid w:val="007633B9"/>
    <w:rsid w:val="00763A8D"/>
    <w:rsid w:val="00767195"/>
    <w:rsid w:val="00795D28"/>
    <w:rsid w:val="007A5AC7"/>
    <w:rsid w:val="007A628D"/>
    <w:rsid w:val="007A64F4"/>
    <w:rsid w:val="007B392D"/>
    <w:rsid w:val="007C2FD6"/>
    <w:rsid w:val="007D13FA"/>
    <w:rsid w:val="007D27C6"/>
    <w:rsid w:val="007E0096"/>
    <w:rsid w:val="007E4D9E"/>
    <w:rsid w:val="007F4E3E"/>
    <w:rsid w:val="00803703"/>
    <w:rsid w:val="00836425"/>
    <w:rsid w:val="008437AE"/>
    <w:rsid w:val="00851EE0"/>
    <w:rsid w:val="00896A0D"/>
    <w:rsid w:val="008A4B6F"/>
    <w:rsid w:val="008C157C"/>
    <w:rsid w:val="008C2A04"/>
    <w:rsid w:val="008D6CEB"/>
    <w:rsid w:val="00922999"/>
    <w:rsid w:val="00962DC5"/>
    <w:rsid w:val="00972473"/>
    <w:rsid w:val="009730D6"/>
    <w:rsid w:val="009738C7"/>
    <w:rsid w:val="00980BE7"/>
    <w:rsid w:val="009A546F"/>
    <w:rsid w:val="009D0714"/>
    <w:rsid w:val="009F071D"/>
    <w:rsid w:val="00A12735"/>
    <w:rsid w:val="00A20F1C"/>
    <w:rsid w:val="00A24DF7"/>
    <w:rsid w:val="00A41456"/>
    <w:rsid w:val="00A43FC6"/>
    <w:rsid w:val="00A5557B"/>
    <w:rsid w:val="00AA7A10"/>
    <w:rsid w:val="00AD090B"/>
    <w:rsid w:val="00AE2507"/>
    <w:rsid w:val="00B22F35"/>
    <w:rsid w:val="00B65453"/>
    <w:rsid w:val="00B71B16"/>
    <w:rsid w:val="00B75522"/>
    <w:rsid w:val="00B92F58"/>
    <w:rsid w:val="00BA573F"/>
    <w:rsid w:val="00BD6A09"/>
    <w:rsid w:val="00BF0FCE"/>
    <w:rsid w:val="00C13365"/>
    <w:rsid w:val="00C20F95"/>
    <w:rsid w:val="00C26676"/>
    <w:rsid w:val="00C40822"/>
    <w:rsid w:val="00C467FC"/>
    <w:rsid w:val="00C80E3D"/>
    <w:rsid w:val="00C85C70"/>
    <w:rsid w:val="00CB0A9B"/>
    <w:rsid w:val="00CB2173"/>
    <w:rsid w:val="00CC4415"/>
    <w:rsid w:val="00CD251B"/>
    <w:rsid w:val="00CD4A47"/>
    <w:rsid w:val="00CD78AC"/>
    <w:rsid w:val="00CF4B2F"/>
    <w:rsid w:val="00D00565"/>
    <w:rsid w:val="00D00A39"/>
    <w:rsid w:val="00D11613"/>
    <w:rsid w:val="00D22F7A"/>
    <w:rsid w:val="00D41B5B"/>
    <w:rsid w:val="00D43EB7"/>
    <w:rsid w:val="00D54FCD"/>
    <w:rsid w:val="00D66867"/>
    <w:rsid w:val="00D83463"/>
    <w:rsid w:val="00D933E3"/>
    <w:rsid w:val="00DB45B3"/>
    <w:rsid w:val="00DC313F"/>
    <w:rsid w:val="00E4148B"/>
    <w:rsid w:val="00E729A7"/>
    <w:rsid w:val="00E81B2A"/>
    <w:rsid w:val="00E860A3"/>
    <w:rsid w:val="00E97461"/>
    <w:rsid w:val="00EA2F34"/>
    <w:rsid w:val="00F24D51"/>
    <w:rsid w:val="00F47F29"/>
    <w:rsid w:val="00F527DF"/>
    <w:rsid w:val="00F85960"/>
    <w:rsid w:val="00FE381C"/>
    <w:rsid w:val="00FF3A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70B6AD0F2B1443FAB76607116CEFD4AD">
    <w:name w:val="70B6AD0F2B1443FAB76607116CEFD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82D10-4BE8-46F5-AB3D-A190D07974C1}">
  <ds:schemaRefs>
    <ds:schemaRef ds:uri="http://schemas.microsoft.com/office/2006/documentManagement/types"/>
    <ds:schemaRef ds:uri="http://schemas.openxmlformats.org/package/2006/metadata/core-properties"/>
    <ds:schemaRef ds:uri="2346c79d-bae1-4214-a8f2-95f62bc64ea6"/>
    <ds:schemaRef ds:uri="http://purl.org/dc/terms/"/>
    <ds:schemaRef ds:uri="http://schemas.microsoft.com/office/infopath/2007/PartnerControls"/>
    <ds:schemaRef ds:uri="http://purl.org/dc/dcmitype/"/>
    <ds:schemaRef ds:uri="http://purl.org/dc/elements/1.1/"/>
    <ds:schemaRef ds:uri="88bdf61f-9621-4102-acf0-32ab8de1ada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3.xml><?xml version="1.0" encoding="utf-8"?>
<ds:datastoreItem xmlns:ds="http://schemas.openxmlformats.org/officeDocument/2006/customXml" ds:itemID="{B6202BCC-5B9D-4B4C-9AF2-329AE1B48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A4668-93F0-4A51-9EF3-DA6E28784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3887</Words>
  <Characters>20256</Characters>
  <Application>Microsoft Office Word</Application>
  <DocSecurity>0</DocSecurity>
  <Lines>494</Lines>
  <Paragraphs>340</Paragraphs>
  <ScaleCrop>false</ScaleCrop>
  <HeadingPairs>
    <vt:vector size="2" baseType="variant">
      <vt:variant>
        <vt:lpstr>Title</vt:lpstr>
      </vt:variant>
      <vt:variant>
        <vt:i4>1</vt:i4>
      </vt:variant>
    </vt:vector>
  </HeadingPairs>
  <TitlesOfParts>
    <vt:vector size="1" baseType="lpstr">
      <vt:lpstr>2025 Occupation Shortage List</vt:lpstr>
    </vt:vector>
  </TitlesOfParts>
  <Company/>
  <LinksUpToDate>false</LinksUpToDate>
  <CharactersWithSpaces>23803</CharactersWithSpaces>
  <SharedDoc>false</SharedDoc>
  <HLinks>
    <vt:vector size="204" baseType="variant">
      <vt:variant>
        <vt:i4>1638463</vt:i4>
      </vt:variant>
      <vt:variant>
        <vt:i4>170</vt:i4>
      </vt:variant>
      <vt:variant>
        <vt:i4>0</vt:i4>
      </vt:variant>
      <vt:variant>
        <vt:i4>5</vt:i4>
      </vt:variant>
      <vt:variant>
        <vt:lpwstr/>
      </vt:variant>
      <vt:variant>
        <vt:lpwstr>_Toc211349859</vt:lpwstr>
      </vt:variant>
      <vt:variant>
        <vt:i4>1638463</vt:i4>
      </vt:variant>
      <vt:variant>
        <vt:i4>164</vt:i4>
      </vt:variant>
      <vt:variant>
        <vt:i4>0</vt:i4>
      </vt:variant>
      <vt:variant>
        <vt:i4>5</vt:i4>
      </vt:variant>
      <vt:variant>
        <vt:lpwstr/>
      </vt:variant>
      <vt:variant>
        <vt:lpwstr>_Toc211349858</vt:lpwstr>
      </vt:variant>
      <vt:variant>
        <vt:i4>1638463</vt:i4>
      </vt:variant>
      <vt:variant>
        <vt:i4>155</vt:i4>
      </vt:variant>
      <vt:variant>
        <vt:i4>0</vt:i4>
      </vt:variant>
      <vt:variant>
        <vt:i4>5</vt:i4>
      </vt:variant>
      <vt:variant>
        <vt:lpwstr/>
      </vt:variant>
      <vt:variant>
        <vt:lpwstr>_Toc211349857</vt:lpwstr>
      </vt:variant>
      <vt:variant>
        <vt:i4>1638463</vt:i4>
      </vt:variant>
      <vt:variant>
        <vt:i4>149</vt:i4>
      </vt:variant>
      <vt:variant>
        <vt:i4>0</vt:i4>
      </vt:variant>
      <vt:variant>
        <vt:i4>5</vt:i4>
      </vt:variant>
      <vt:variant>
        <vt:lpwstr/>
      </vt:variant>
      <vt:variant>
        <vt:lpwstr>_Toc211349856</vt:lpwstr>
      </vt:variant>
      <vt:variant>
        <vt:i4>1638463</vt:i4>
      </vt:variant>
      <vt:variant>
        <vt:i4>143</vt:i4>
      </vt:variant>
      <vt:variant>
        <vt:i4>0</vt:i4>
      </vt:variant>
      <vt:variant>
        <vt:i4>5</vt:i4>
      </vt:variant>
      <vt:variant>
        <vt:lpwstr/>
      </vt:variant>
      <vt:variant>
        <vt:lpwstr>_Toc211349855</vt:lpwstr>
      </vt:variant>
      <vt:variant>
        <vt:i4>1638463</vt:i4>
      </vt:variant>
      <vt:variant>
        <vt:i4>134</vt:i4>
      </vt:variant>
      <vt:variant>
        <vt:i4>0</vt:i4>
      </vt:variant>
      <vt:variant>
        <vt:i4>5</vt:i4>
      </vt:variant>
      <vt:variant>
        <vt:lpwstr/>
      </vt:variant>
      <vt:variant>
        <vt:lpwstr>_Toc211349854</vt:lpwstr>
      </vt:variant>
      <vt:variant>
        <vt:i4>1638463</vt:i4>
      </vt:variant>
      <vt:variant>
        <vt:i4>128</vt:i4>
      </vt:variant>
      <vt:variant>
        <vt:i4>0</vt:i4>
      </vt:variant>
      <vt:variant>
        <vt:i4>5</vt:i4>
      </vt:variant>
      <vt:variant>
        <vt:lpwstr/>
      </vt:variant>
      <vt:variant>
        <vt:lpwstr>_Toc211349853</vt:lpwstr>
      </vt:variant>
      <vt:variant>
        <vt:i4>1638463</vt:i4>
      </vt:variant>
      <vt:variant>
        <vt:i4>122</vt:i4>
      </vt:variant>
      <vt:variant>
        <vt:i4>0</vt:i4>
      </vt:variant>
      <vt:variant>
        <vt:i4>5</vt:i4>
      </vt:variant>
      <vt:variant>
        <vt:lpwstr/>
      </vt:variant>
      <vt:variant>
        <vt:lpwstr>_Toc211349852</vt:lpwstr>
      </vt:variant>
      <vt:variant>
        <vt:i4>1638463</vt:i4>
      </vt:variant>
      <vt:variant>
        <vt:i4>113</vt:i4>
      </vt:variant>
      <vt:variant>
        <vt:i4>0</vt:i4>
      </vt:variant>
      <vt:variant>
        <vt:i4>5</vt:i4>
      </vt:variant>
      <vt:variant>
        <vt:lpwstr/>
      </vt:variant>
      <vt:variant>
        <vt:lpwstr>_Toc211349851</vt:lpwstr>
      </vt:variant>
      <vt:variant>
        <vt:i4>1638463</vt:i4>
      </vt:variant>
      <vt:variant>
        <vt:i4>107</vt:i4>
      </vt:variant>
      <vt:variant>
        <vt:i4>0</vt:i4>
      </vt:variant>
      <vt:variant>
        <vt:i4>5</vt:i4>
      </vt:variant>
      <vt:variant>
        <vt:lpwstr/>
      </vt:variant>
      <vt:variant>
        <vt:lpwstr>_Toc211349850</vt:lpwstr>
      </vt:variant>
      <vt:variant>
        <vt:i4>1572927</vt:i4>
      </vt:variant>
      <vt:variant>
        <vt:i4>101</vt:i4>
      </vt:variant>
      <vt:variant>
        <vt:i4>0</vt:i4>
      </vt:variant>
      <vt:variant>
        <vt:i4>5</vt:i4>
      </vt:variant>
      <vt:variant>
        <vt:lpwstr/>
      </vt:variant>
      <vt:variant>
        <vt:lpwstr>_Toc211349849</vt:lpwstr>
      </vt:variant>
      <vt:variant>
        <vt:i4>1572927</vt:i4>
      </vt:variant>
      <vt:variant>
        <vt:i4>95</vt:i4>
      </vt:variant>
      <vt:variant>
        <vt:i4>0</vt:i4>
      </vt:variant>
      <vt:variant>
        <vt:i4>5</vt:i4>
      </vt:variant>
      <vt:variant>
        <vt:lpwstr/>
      </vt:variant>
      <vt:variant>
        <vt:lpwstr>_Toc211349848</vt:lpwstr>
      </vt:variant>
      <vt:variant>
        <vt:i4>1572927</vt:i4>
      </vt:variant>
      <vt:variant>
        <vt:i4>89</vt:i4>
      </vt:variant>
      <vt:variant>
        <vt:i4>0</vt:i4>
      </vt:variant>
      <vt:variant>
        <vt:i4>5</vt:i4>
      </vt:variant>
      <vt:variant>
        <vt:lpwstr/>
      </vt:variant>
      <vt:variant>
        <vt:lpwstr>_Toc211349847</vt:lpwstr>
      </vt:variant>
      <vt:variant>
        <vt:i4>1572927</vt:i4>
      </vt:variant>
      <vt:variant>
        <vt:i4>83</vt:i4>
      </vt:variant>
      <vt:variant>
        <vt:i4>0</vt:i4>
      </vt:variant>
      <vt:variant>
        <vt:i4>5</vt:i4>
      </vt:variant>
      <vt:variant>
        <vt:lpwstr/>
      </vt:variant>
      <vt:variant>
        <vt:lpwstr>_Toc211349846</vt:lpwstr>
      </vt:variant>
      <vt:variant>
        <vt:i4>1572927</vt:i4>
      </vt:variant>
      <vt:variant>
        <vt:i4>77</vt:i4>
      </vt:variant>
      <vt:variant>
        <vt:i4>0</vt:i4>
      </vt:variant>
      <vt:variant>
        <vt:i4>5</vt:i4>
      </vt:variant>
      <vt:variant>
        <vt:lpwstr/>
      </vt:variant>
      <vt:variant>
        <vt:lpwstr>_Toc211349845</vt:lpwstr>
      </vt:variant>
      <vt:variant>
        <vt:i4>1572927</vt:i4>
      </vt:variant>
      <vt:variant>
        <vt:i4>71</vt:i4>
      </vt:variant>
      <vt:variant>
        <vt:i4>0</vt:i4>
      </vt:variant>
      <vt:variant>
        <vt:i4>5</vt:i4>
      </vt:variant>
      <vt:variant>
        <vt:lpwstr/>
      </vt:variant>
      <vt:variant>
        <vt:lpwstr>_Toc211349844</vt:lpwstr>
      </vt:variant>
      <vt:variant>
        <vt:i4>1572927</vt:i4>
      </vt:variant>
      <vt:variant>
        <vt:i4>62</vt:i4>
      </vt:variant>
      <vt:variant>
        <vt:i4>0</vt:i4>
      </vt:variant>
      <vt:variant>
        <vt:i4>5</vt:i4>
      </vt:variant>
      <vt:variant>
        <vt:lpwstr/>
      </vt:variant>
      <vt:variant>
        <vt:lpwstr>_Toc211349843</vt:lpwstr>
      </vt:variant>
      <vt:variant>
        <vt:i4>1572927</vt:i4>
      </vt:variant>
      <vt:variant>
        <vt:i4>56</vt:i4>
      </vt:variant>
      <vt:variant>
        <vt:i4>0</vt:i4>
      </vt:variant>
      <vt:variant>
        <vt:i4>5</vt:i4>
      </vt:variant>
      <vt:variant>
        <vt:lpwstr/>
      </vt:variant>
      <vt:variant>
        <vt:lpwstr>_Toc211349842</vt:lpwstr>
      </vt:variant>
      <vt:variant>
        <vt:i4>1572927</vt:i4>
      </vt:variant>
      <vt:variant>
        <vt:i4>50</vt:i4>
      </vt:variant>
      <vt:variant>
        <vt:i4>0</vt:i4>
      </vt:variant>
      <vt:variant>
        <vt:i4>5</vt:i4>
      </vt:variant>
      <vt:variant>
        <vt:lpwstr/>
      </vt:variant>
      <vt:variant>
        <vt:lpwstr>_Toc211349841</vt:lpwstr>
      </vt:variant>
      <vt:variant>
        <vt:i4>1572927</vt:i4>
      </vt:variant>
      <vt:variant>
        <vt:i4>44</vt:i4>
      </vt:variant>
      <vt:variant>
        <vt:i4>0</vt:i4>
      </vt:variant>
      <vt:variant>
        <vt:i4>5</vt:i4>
      </vt:variant>
      <vt:variant>
        <vt:lpwstr/>
      </vt:variant>
      <vt:variant>
        <vt:lpwstr>_Toc211349840</vt:lpwstr>
      </vt:variant>
      <vt:variant>
        <vt:i4>2031679</vt:i4>
      </vt:variant>
      <vt:variant>
        <vt:i4>38</vt:i4>
      </vt:variant>
      <vt:variant>
        <vt:i4>0</vt:i4>
      </vt:variant>
      <vt:variant>
        <vt:i4>5</vt:i4>
      </vt:variant>
      <vt:variant>
        <vt:lpwstr/>
      </vt:variant>
      <vt:variant>
        <vt:lpwstr>_Toc211349839</vt:lpwstr>
      </vt:variant>
      <vt:variant>
        <vt:i4>2031679</vt:i4>
      </vt:variant>
      <vt:variant>
        <vt:i4>32</vt:i4>
      </vt:variant>
      <vt:variant>
        <vt:i4>0</vt:i4>
      </vt:variant>
      <vt:variant>
        <vt:i4>5</vt:i4>
      </vt:variant>
      <vt:variant>
        <vt:lpwstr/>
      </vt:variant>
      <vt:variant>
        <vt:lpwstr>_Toc211349838</vt:lpwstr>
      </vt:variant>
      <vt:variant>
        <vt:i4>2031679</vt:i4>
      </vt:variant>
      <vt:variant>
        <vt:i4>26</vt:i4>
      </vt:variant>
      <vt:variant>
        <vt:i4>0</vt:i4>
      </vt:variant>
      <vt:variant>
        <vt:i4>5</vt:i4>
      </vt:variant>
      <vt:variant>
        <vt:lpwstr/>
      </vt:variant>
      <vt:variant>
        <vt:lpwstr>_Toc211349837</vt:lpwstr>
      </vt:variant>
      <vt:variant>
        <vt:i4>2031679</vt:i4>
      </vt:variant>
      <vt:variant>
        <vt:i4>20</vt:i4>
      </vt:variant>
      <vt:variant>
        <vt:i4>0</vt:i4>
      </vt:variant>
      <vt:variant>
        <vt:i4>5</vt:i4>
      </vt:variant>
      <vt:variant>
        <vt:lpwstr/>
      </vt:variant>
      <vt:variant>
        <vt:lpwstr>_Toc211349836</vt:lpwstr>
      </vt:variant>
      <vt:variant>
        <vt:i4>2031679</vt:i4>
      </vt:variant>
      <vt:variant>
        <vt:i4>14</vt:i4>
      </vt:variant>
      <vt:variant>
        <vt:i4>0</vt:i4>
      </vt:variant>
      <vt:variant>
        <vt:i4>5</vt:i4>
      </vt:variant>
      <vt:variant>
        <vt:lpwstr/>
      </vt:variant>
      <vt:variant>
        <vt:lpwstr>_Toc211349835</vt:lpwstr>
      </vt:variant>
      <vt:variant>
        <vt:i4>2031679</vt:i4>
      </vt:variant>
      <vt:variant>
        <vt:i4>8</vt:i4>
      </vt:variant>
      <vt:variant>
        <vt:i4>0</vt:i4>
      </vt:variant>
      <vt:variant>
        <vt:i4>5</vt:i4>
      </vt:variant>
      <vt:variant>
        <vt:lpwstr/>
      </vt:variant>
      <vt:variant>
        <vt:lpwstr>_Toc211349834</vt:lpwstr>
      </vt:variant>
      <vt:variant>
        <vt:i4>2031679</vt:i4>
      </vt:variant>
      <vt:variant>
        <vt:i4>2</vt:i4>
      </vt:variant>
      <vt:variant>
        <vt:i4>0</vt:i4>
      </vt:variant>
      <vt:variant>
        <vt:i4>5</vt:i4>
      </vt:variant>
      <vt:variant>
        <vt:lpwstr/>
      </vt:variant>
      <vt:variant>
        <vt:lpwstr>_Toc211349833</vt:lpwstr>
      </vt:variant>
      <vt:variant>
        <vt:i4>6553709</vt:i4>
      </vt:variant>
      <vt:variant>
        <vt:i4>24</vt:i4>
      </vt:variant>
      <vt:variant>
        <vt:i4>0</vt:i4>
      </vt:variant>
      <vt:variant>
        <vt:i4>5</vt:i4>
      </vt:variant>
      <vt:variant>
        <vt:lpwstr>https://www.jobsandskills.gov.au/publications/occupation-shortage-report-june-2025</vt:lpwstr>
      </vt:variant>
      <vt:variant>
        <vt:lpwstr/>
      </vt:variant>
      <vt:variant>
        <vt:i4>4128866</vt:i4>
      </vt:variant>
      <vt:variant>
        <vt:i4>21</vt:i4>
      </vt:variant>
      <vt:variant>
        <vt:i4>0</vt:i4>
      </vt:variant>
      <vt:variant>
        <vt:i4>5</vt:i4>
      </vt:variant>
      <vt:variant>
        <vt:lpwstr>https://www.jobsandskills.gov.au/publications/occupation-shortage-report-march-2025</vt:lpwstr>
      </vt:variant>
      <vt:variant>
        <vt:lpwstr/>
      </vt:variant>
      <vt:variant>
        <vt:i4>1245203</vt:i4>
      </vt:variant>
      <vt:variant>
        <vt:i4>12</vt:i4>
      </vt:variant>
      <vt:variant>
        <vt:i4>0</vt:i4>
      </vt:variant>
      <vt:variant>
        <vt:i4>5</vt:i4>
      </vt:variant>
      <vt:variant>
        <vt:lpwstr>https://www.abs.gov.au/statistics/labour/employment-and-unemployment/participation-job-search-and-mobility-australia/feb-2025</vt:lpwstr>
      </vt:variant>
      <vt:variant>
        <vt:lpwstr/>
      </vt:variant>
      <vt:variant>
        <vt:i4>8257635</vt:i4>
      </vt:variant>
      <vt:variant>
        <vt:i4>9</vt:i4>
      </vt:variant>
      <vt:variant>
        <vt:i4>0</vt:i4>
      </vt:variant>
      <vt:variant>
        <vt:i4>5</vt:i4>
      </vt:variant>
      <vt:variant>
        <vt:lpwstr>https://www.rba.gov.au/publications/smp/2025/may/overview.html</vt:lpwstr>
      </vt:variant>
      <vt:variant>
        <vt:lpwstr/>
      </vt:variant>
      <vt:variant>
        <vt:i4>6684747</vt:i4>
      </vt:variant>
      <vt:variant>
        <vt:i4>6</vt:i4>
      </vt:variant>
      <vt:variant>
        <vt:i4>0</vt:i4>
      </vt:variant>
      <vt:variant>
        <vt:i4>5</vt:i4>
      </vt:variant>
      <vt:variant>
        <vt:lpwstr>https://treasury.gov.au/sites/default/files/2024-03/p2024-495252-full-report_0.pdf</vt:lpwstr>
      </vt:variant>
      <vt:variant>
        <vt:lpwstr/>
      </vt:variant>
      <vt:variant>
        <vt:i4>7012477</vt:i4>
      </vt:variant>
      <vt:variant>
        <vt:i4>3</vt:i4>
      </vt:variant>
      <vt:variant>
        <vt:i4>0</vt:i4>
      </vt:variant>
      <vt:variant>
        <vt:i4>5</vt:i4>
      </vt:variant>
      <vt:variant>
        <vt:lpwstr>https://www.jobsandskills.gov.au/data/recruitment-experiences-and-outlook-survey</vt:lpwstr>
      </vt:variant>
      <vt:variant>
        <vt:lpwstr>methodology</vt:lpwstr>
      </vt:variant>
      <vt:variant>
        <vt:i4>3473471</vt:i4>
      </vt:variant>
      <vt:variant>
        <vt:i4>0</vt:i4>
      </vt:variant>
      <vt:variant>
        <vt:i4>0</vt:i4>
      </vt:variant>
      <vt:variant>
        <vt:i4>5</vt:i4>
      </vt:variant>
      <vt:variant>
        <vt:lpwstr>https://www.jobsandskills.gov.au/studies/generative-artificial-intelligence-capacity-study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List</dc:title>
  <dc:subject/>
  <dc:creator>GOW,Lucy</dc:creator>
  <cp:keywords/>
  <dc:description/>
  <cp:lastModifiedBy>WEI,Annie</cp:lastModifiedBy>
  <cp:revision>4</cp:revision>
  <cp:lastPrinted>2026-04-08T21:23:00Z</cp:lastPrinted>
  <dcterms:created xsi:type="dcterms:W3CDTF">2026-04-08T21:19:00Z</dcterms:created>
  <dcterms:modified xsi:type="dcterms:W3CDTF">2026-04-08T21:25:00Z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y fmtid="{D5CDD505-2E9C-101B-9397-08002B2CF9AE}" pid="11" name="docLang">
    <vt:lpwstr>en</vt:lpwstr>
  </property>
</Properties>
</file>