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52B4" w14:textId="5BB69EBB" w:rsidR="00665863" w:rsidRDefault="00665863" w:rsidP="00B11937">
      <w:pPr>
        <w:rPr>
          <w:noProof/>
        </w:rPr>
      </w:pPr>
      <w:bookmarkStart w:id="0" w:name="_Hlk205565405"/>
      <w:bookmarkStart w:id="1" w:name="_Toc118443202"/>
      <w:bookmarkStart w:id="2" w:name="_Toc119418020"/>
      <w:bookmarkEnd w:id="0"/>
    </w:p>
    <w:p w14:paraId="01804EBB" w14:textId="5F4EEA09" w:rsidR="00665863" w:rsidRDefault="00665863" w:rsidP="00B11937">
      <w:pPr>
        <w:rPr>
          <w:noProof/>
        </w:rPr>
      </w:pPr>
    </w:p>
    <w:p w14:paraId="4BCC52F1" w14:textId="3FC9C460" w:rsidR="003E0B70" w:rsidRPr="00B11937" w:rsidRDefault="00093F7D" w:rsidP="00B11937">
      <w:r>
        <w:rPr>
          <w:noProof/>
        </w:rPr>
        <w:drawing>
          <wp:anchor distT="0" distB="0" distL="114300" distR="114300" simplePos="0" relativeHeight="251637760" behindDoc="0" locked="0" layoutInCell="1" allowOverlap="1" wp14:anchorId="0CBAD37C" wp14:editId="621E7C2B">
            <wp:simplePos x="0" y="0"/>
            <wp:positionH relativeFrom="page">
              <wp:align>right</wp:align>
            </wp:positionH>
            <wp:positionV relativeFrom="paragraph">
              <wp:posOffset>-1348740</wp:posOffset>
            </wp:positionV>
            <wp:extent cx="7550596" cy="1624330"/>
            <wp:effectExtent l="0" t="0" r="0" b="0"/>
            <wp:wrapNone/>
            <wp:docPr id="709284876"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p w14:paraId="65CE7F50" w14:textId="72C84372" w:rsidR="004F2369" w:rsidRDefault="00F367BE" w:rsidP="00665863">
      <w:pPr>
        <w:pStyle w:val="Heading1"/>
        <w:keepNext w:val="0"/>
      </w:pPr>
      <w:r>
        <w:t>RLMI Re</w:t>
      </w:r>
      <w:r w:rsidR="00FA030B">
        <w:t>sults</w:t>
      </w:r>
      <w:r w:rsidR="00E531E7">
        <w:t xml:space="preserve"> – </w:t>
      </w:r>
      <w:r w:rsidR="002A1606">
        <w:t>December</w:t>
      </w:r>
      <w:r w:rsidR="005240E7">
        <w:t xml:space="preserve"> 2025</w:t>
      </w:r>
    </w:p>
    <w:p w14:paraId="24281DA5" w14:textId="4858B735" w:rsidR="00DC6534" w:rsidRDefault="00DE597E" w:rsidP="00665863">
      <w:pPr>
        <w:pStyle w:val="Heading2"/>
        <w:keepNext w:val="0"/>
      </w:pPr>
      <w:r>
        <w:t>Key Findings</w:t>
      </w:r>
    </w:p>
    <w:p w14:paraId="0FE2FB3A" w14:textId="290BB630" w:rsidR="00054DEC" w:rsidRDefault="00054DEC" w:rsidP="00501019">
      <w:pPr>
        <w:pStyle w:val="ListParagraph"/>
        <w:numPr>
          <w:ilvl w:val="0"/>
          <w:numId w:val="35"/>
        </w:numPr>
        <w:ind w:left="714" w:hanging="357"/>
        <w:contextualSpacing w:val="0"/>
      </w:pPr>
      <w:r w:rsidRPr="00054DEC">
        <w:t xml:space="preserve">The RLMI has been expanded to </w:t>
      </w:r>
      <w:r w:rsidR="00D35336">
        <w:t xml:space="preserve">leverage </w:t>
      </w:r>
      <w:r w:rsidRPr="00054DEC">
        <w:t xml:space="preserve">10 </w:t>
      </w:r>
      <w:r w:rsidR="00D35336">
        <w:t xml:space="preserve">input </w:t>
      </w:r>
      <w:r w:rsidRPr="00054DEC">
        <w:t>indicators, including new measures of long</w:t>
      </w:r>
      <w:r w:rsidRPr="00054DEC">
        <w:rPr>
          <w:rFonts w:ascii="Cambria Math" w:hAnsi="Cambria Math" w:cs="Cambria Math"/>
        </w:rPr>
        <w:t>‑</w:t>
      </w:r>
      <w:r w:rsidRPr="00054DEC">
        <w:t>term income support, job matching efficiency, skill underutilisation, wage outcomes, and vacancy pressure, enabling a more comprehensive measure of labour market performance across regions.</w:t>
      </w:r>
      <w:r w:rsidR="00ED55E8">
        <w:t xml:space="preserve"> This improvement has been reflected across </w:t>
      </w:r>
      <w:r w:rsidR="00F52331">
        <w:t>the entire time series.</w:t>
      </w:r>
    </w:p>
    <w:p w14:paraId="1C8A812C" w14:textId="054B65AA" w:rsidR="00672004" w:rsidRPr="00054DEC" w:rsidRDefault="00672004" w:rsidP="00672004">
      <w:pPr>
        <w:pStyle w:val="ListParagraph"/>
        <w:numPr>
          <w:ilvl w:val="0"/>
          <w:numId w:val="35"/>
        </w:numPr>
        <w:ind w:left="714" w:hanging="357"/>
        <w:contextualSpacing w:val="0"/>
      </w:pPr>
      <w:r>
        <w:t xml:space="preserve">The December 2025 release also introduces a combined rating for Northern Australia, reflecting </w:t>
      </w:r>
      <w:r w:rsidRPr="00672004">
        <w:t>that labour markets and mobility patterns in Northern Australia operate across State and Territory boundaries, providing a more integrated evidence base to guide cross</w:t>
      </w:r>
      <w:r w:rsidRPr="00672004">
        <w:noBreakHyphen/>
        <w:t>jurisdictional jobs and skills planning.</w:t>
      </w:r>
    </w:p>
    <w:p w14:paraId="1F68669A" w14:textId="36A2DAA7" w:rsidR="005F0409" w:rsidRPr="00054DEC" w:rsidRDefault="00501019" w:rsidP="00672004">
      <w:pPr>
        <w:pStyle w:val="ListParagraph"/>
        <w:numPr>
          <w:ilvl w:val="0"/>
          <w:numId w:val="35"/>
        </w:numPr>
        <w:ind w:left="714" w:hanging="357"/>
        <w:contextualSpacing w:val="0"/>
      </w:pPr>
      <w:r w:rsidRPr="00054DEC">
        <w:t xml:space="preserve">The results show that </w:t>
      </w:r>
      <w:r w:rsidR="00523A10" w:rsidRPr="00054DEC">
        <w:t>R</w:t>
      </w:r>
      <w:r w:rsidR="00CF49DF" w:rsidRPr="00054DEC">
        <w:t xml:space="preserve">egional and remote areas </w:t>
      </w:r>
      <w:r w:rsidR="006F3CD3">
        <w:t xml:space="preserve">continue to be </w:t>
      </w:r>
      <w:r w:rsidR="00CF49DF" w:rsidRPr="00054DEC">
        <w:t xml:space="preserve">more likely to experience </w:t>
      </w:r>
      <w:r w:rsidR="00755ADC" w:rsidRPr="00054DEC">
        <w:t xml:space="preserve">relatively </w:t>
      </w:r>
      <w:r w:rsidR="00CF49DF" w:rsidRPr="00054DEC">
        <w:t xml:space="preserve">weaker labour market conditions than their </w:t>
      </w:r>
      <w:r w:rsidR="009564A5" w:rsidRPr="00054DEC">
        <w:t>major</w:t>
      </w:r>
      <w:r w:rsidR="00CF49DF" w:rsidRPr="00054DEC">
        <w:t xml:space="preserve"> city counterparts. </w:t>
      </w:r>
    </w:p>
    <w:p w14:paraId="70F030B0" w14:textId="13AE001B" w:rsidR="009C7E8F" w:rsidRDefault="009C7E8F" w:rsidP="00CC68E9">
      <w:pPr>
        <w:pStyle w:val="Heading3"/>
        <w:keepNext w:val="0"/>
        <w:keepLines w:val="0"/>
      </w:pPr>
      <w:r>
        <w:t>A more comprehensive measure of labour market performance</w:t>
      </w:r>
    </w:p>
    <w:p w14:paraId="688F56CD" w14:textId="12A98AF0" w:rsidR="000F4DD3" w:rsidRDefault="009C7E8F" w:rsidP="000F4DD3">
      <w:pPr>
        <w:pStyle w:val="Bodycopy"/>
      </w:pPr>
      <w:r>
        <w:t xml:space="preserve">The Regional Labour Market Indicator (RLMI) has been </w:t>
      </w:r>
      <w:r w:rsidR="00F52331">
        <w:t xml:space="preserve">enhanced </w:t>
      </w:r>
      <w:r>
        <w:t>to include 5 additional factors</w:t>
      </w:r>
      <w:r w:rsidR="000F4DD3">
        <w:t xml:space="preserve">, expanding the list of </w:t>
      </w:r>
      <w:r w:rsidR="00F52331">
        <w:t xml:space="preserve">input </w:t>
      </w:r>
      <w:r w:rsidR="000F4DD3">
        <w:t>factors to 10</w:t>
      </w:r>
      <w:r>
        <w:t xml:space="preserve">. </w:t>
      </w:r>
      <w:r w:rsidR="000F4DD3" w:rsidRPr="000F4DD3">
        <w:t xml:space="preserve">This </w:t>
      </w:r>
      <w:r w:rsidR="00F52331">
        <w:t>improve</w:t>
      </w:r>
      <w:r w:rsidR="00F52331" w:rsidRPr="000F4DD3">
        <w:t>ment</w:t>
      </w:r>
      <w:r w:rsidR="00F52331">
        <w:t xml:space="preserve"> </w:t>
      </w:r>
      <w:r w:rsidR="000F4DD3" w:rsidRPr="000F4DD3">
        <w:t>allows the RLMI to capture a broader set of labour</w:t>
      </w:r>
      <w:r w:rsidR="000F4DD3" w:rsidRPr="000F4DD3">
        <w:noBreakHyphen/>
        <w:t xml:space="preserve">market dynamics across labour supply, labour demand, and the interaction between the </w:t>
      </w:r>
      <w:r w:rsidR="00B93C09">
        <w:t>supply and demand</w:t>
      </w:r>
      <w:r w:rsidR="000F4DD3" w:rsidRPr="000F4DD3">
        <w:t>.</w:t>
      </w:r>
    </w:p>
    <w:p w14:paraId="22E86AAA" w14:textId="22B22BA6" w:rsidR="00B2653D" w:rsidRDefault="00B2653D" w:rsidP="00B2653D">
      <w:r>
        <w:rPr>
          <w:b/>
          <w:bCs/>
          <w:sz w:val="20"/>
          <w:szCs w:val="20"/>
        </w:rPr>
        <w:t>Table 1</w:t>
      </w:r>
      <w:r w:rsidRPr="00493EE9">
        <w:rPr>
          <w:b/>
          <w:bCs/>
          <w:sz w:val="20"/>
          <w:szCs w:val="20"/>
        </w:rPr>
        <w:t xml:space="preserve">: </w:t>
      </w:r>
      <w:r>
        <w:rPr>
          <w:b/>
          <w:bCs/>
          <w:sz w:val="20"/>
          <w:szCs w:val="20"/>
        </w:rPr>
        <w:t>New RLMI Indicators – December 2025</w:t>
      </w:r>
    </w:p>
    <w:tbl>
      <w:tblPr>
        <w:tblStyle w:val="PlainTable41"/>
        <w:tblW w:w="0" w:type="auto"/>
        <w:tblLook w:val="0480" w:firstRow="0" w:lastRow="0" w:firstColumn="1" w:lastColumn="0" w:noHBand="0" w:noVBand="1"/>
      </w:tblPr>
      <w:tblGrid>
        <w:gridCol w:w="2934"/>
        <w:gridCol w:w="4515"/>
        <w:gridCol w:w="1577"/>
      </w:tblGrid>
      <w:tr w:rsidR="00B2653D" w:rsidRPr="003E77F6" w14:paraId="6AA92AEE" w14:textId="77777777" w:rsidTr="009F6646">
        <w:trPr>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441170"/>
            <w:vAlign w:val="bottom"/>
          </w:tcPr>
          <w:p w14:paraId="5628DFD4" w14:textId="77777777" w:rsidR="00B2653D" w:rsidRPr="00F46CCF" w:rsidRDefault="00B2653D" w:rsidP="009F6646">
            <w:pPr>
              <w:spacing w:before="120" w:after="120"/>
              <w:rPr>
                <w:b w:val="0"/>
                <w:bCs w:val="0"/>
                <w:color w:val="FFFFFF"/>
                <w:lang w:val="en-US"/>
              </w:rPr>
            </w:pPr>
            <w:r w:rsidRPr="00F46CCF">
              <w:rPr>
                <w:b w:val="0"/>
                <w:bCs w:val="0"/>
                <w:color w:val="FFFFFF"/>
                <w:lang w:val="en-US"/>
              </w:rPr>
              <w:t>Factor</w:t>
            </w:r>
          </w:p>
        </w:tc>
        <w:tc>
          <w:tcPr>
            <w:tcW w:w="0" w:type="auto"/>
            <w:shd w:val="clear" w:color="auto" w:fill="441170"/>
            <w:vAlign w:val="bottom"/>
          </w:tcPr>
          <w:p w14:paraId="791FAC57" w14:textId="77777777" w:rsidR="00B2653D" w:rsidRPr="003E77F6" w:rsidRDefault="00B2653D" w:rsidP="009F6646">
            <w:pPr>
              <w:spacing w:before="120" w:after="120"/>
              <w:cnfStyle w:val="000000000000" w:firstRow="0" w:lastRow="0" w:firstColumn="0" w:lastColumn="0" w:oddVBand="0" w:evenVBand="0" w:oddHBand="0" w:evenHBand="0" w:firstRowFirstColumn="0" w:firstRowLastColumn="0" w:lastRowFirstColumn="0" w:lastRowLastColumn="0"/>
              <w:rPr>
                <w:color w:val="FFFFFF"/>
                <w:lang w:val="en-US"/>
              </w:rPr>
            </w:pPr>
            <w:r w:rsidRPr="003E77F6">
              <w:rPr>
                <w:color w:val="FFFFFF"/>
                <w:lang w:val="en-US"/>
              </w:rPr>
              <w:t>Description</w:t>
            </w:r>
          </w:p>
        </w:tc>
        <w:tc>
          <w:tcPr>
            <w:tcW w:w="0" w:type="auto"/>
            <w:shd w:val="clear" w:color="auto" w:fill="441170"/>
          </w:tcPr>
          <w:p w14:paraId="4F238E20" w14:textId="77777777" w:rsidR="00B2653D" w:rsidRDefault="00B2653D" w:rsidP="009F6646">
            <w:pPr>
              <w:spacing w:before="120" w:after="120"/>
              <w:jc w:val="center"/>
              <w:cnfStyle w:val="000000000000" w:firstRow="0" w:lastRow="0" w:firstColumn="0" w:lastColumn="0" w:oddVBand="0" w:evenVBand="0" w:oddHBand="0" w:evenHBand="0" w:firstRowFirstColumn="0" w:firstRowLastColumn="0" w:lastRowFirstColumn="0" w:lastRowLastColumn="0"/>
              <w:rPr>
                <w:color w:val="FFFFFF"/>
                <w:lang w:val="en-US"/>
              </w:rPr>
            </w:pPr>
            <w:r>
              <w:rPr>
                <w:color w:val="FFFFFF"/>
                <w:lang w:val="en-US"/>
              </w:rPr>
              <w:t>Factor Type</w:t>
            </w:r>
          </w:p>
        </w:tc>
      </w:tr>
      <w:tr w:rsidR="00B2653D" w:rsidRPr="009C2FB6" w14:paraId="5C625751" w14:textId="77777777" w:rsidTr="00421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E0D80E" w14:textId="3163FC1A" w:rsidR="00B2653D" w:rsidRPr="009C2FB6" w:rsidRDefault="00B2653D" w:rsidP="009F6646">
            <w:pPr>
              <w:spacing w:before="120" w:after="120"/>
              <w:rPr>
                <w:rFonts w:cs="Arial"/>
                <w:b w:val="0"/>
                <w:bCs w:val="0"/>
                <w:color w:val="000000"/>
              </w:rPr>
            </w:pPr>
            <w:r>
              <w:rPr>
                <w:rFonts w:cs="Arial"/>
                <w:b w:val="0"/>
                <w:bCs w:val="0"/>
                <w:color w:val="000000"/>
              </w:rPr>
              <w:t xml:space="preserve">JobSeeker income support for </w:t>
            </w:r>
            <w:r w:rsidRPr="009731A8">
              <w:rPr>
                <w:rFonts w:cs="Arial"/>
                <w:color w:val="000000"/>
              </w:rPr>
              <w:t>2 or more years</w:t>
            </w:r>
            <w:r>
              <w:rPr>
                <w:rFonts w:cs="Arial"/>
                <w:b w:val="0"/>
                <w:bCs w:val="0"/>
                <w:color w:val="000000"/>
              </w:rPr>
              <w:t xml:space="preserve"> rate</w:t>
            </w:r>
          </w:p>
        </w:tc>
        <w:tc>
          <w:tcPr>
            <w:tcW w:w="0" w:type="auto"/>
            <w:shd w:val="clear" w:color="auto" w:fill="FFFFFF" w:themeFill="background1"/>
          </w:tcPr>
          <w:p w14:paraId="2ACD8AFF" w14:textId="2CBBD8E8" w:rsidR="00B2653D" w:rsidRPr="009C2FB6" w:rsidRDefault="00B2653D" w:rsidP="009F6646">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rPr>
              <w:t>Proportion of the working age (15-64 years) population on JobSeeker Income Support for 2 or more years</w:t>
            </w:r>
          </w:p>
        </w:tc>
        <w:tc>
          <w:tcPr>
            <w:tcW w:w="0" w:type="auto"/>
            <w:shd w:val="clear" w:color="auto" w:fill="FFFFFF" w:themeFill="background1"/>
          </w:tcPr>
          <w:p w14:paraId="2A5A207F" w14:textId="05AB9107" w:rsidR="00B2653D" w:rsidRDefault="00B2653D" w:rsidP="009F6646">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rPr>
              <w:t>Supply</w:t>
            </w:r>
            <w:r w:rsidR="001B1567">
              <w:rPr>
                <w:rFonts w:cs="Arial"/>
                <w:color w:val="000000"/>
              </w:rPr>
              <w:t xml:space="preserve"> (structural)</w:t>
            </w:r>
          </w:p>
        </w:tc>
      </w:tr>
      <w:tr w:rsidR="00B2653D" w:rsidRPr="009C2FB6" w14:paraId="7CCFB825" w14:textId="77777777" w:rsidTr="0042190E">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43BCB1BE" w14:textId="6F060A3B" w:rsidR="00B2653D" w:rsidRPr="0011605D" w:rsidRDefault="00B2653D" w:rsidP="009F6646">
            <w:pPr>
              <w:spacing w:before="120" w:after="120"/>
              <w:rPr>
                <w:rFonts w:cs="Arial"/>
                <w:b w:val="0"/>
                <w:bCs w:val="0"/>
                <w:color w:val="000000"/>
              </w:rPr>
            </w:pPr>
            <w:r>
              <w:rPr>
                <w:rFonts w:cs="Arial"/>
                <w:b w:val="0"/>
                <w:bCs w:val="0"/>
                <w:color w:val="000000"/>
              </w:rPr>
              <w:t>Job vacancy rate</w:t>
            </w:r>
          </w:p>
        </w:tc>
        <w:tc>
          <w:tcPr>
            <w:tcW w:w="0" w:type="auto"/>
            <w:shd w:val="clear" w:color="auto" w:fill="F2F2F2" w:themeFill="background1" w:themeFillShade="F2"/>
          </w:tcPr>
          <w:p w14:paraId="38FB8E68" w14:textId="443E5512" w:rsidR="00B2653D" w:rsidRPr="003E77F6" w:rsidRDefault="00B2653D" w:rsidP="009F6646">
            <w:pPr>
              <w:spacing w:before="120" w:after="120"/>
              <w:cnfStyle w:val="000000000000" w:firstRow="0" w:lastRow="0" w:firstColumn="0" w:lastColumn="0" w:oddVBand="0" w:evenVBand="0" w:oddHBand="0" w:evenHBand="0" w:firstRowFirstColumn="0" w:firstRowLastColumn="0" w:lastRowFirstColumn="0" w:lastRowLastColumn="0"/>
              <w:rPr>
                <w:rFonts w:cs="Arial"/>
              </w:rPr>
            </w:pPr>
            <w:r>
              <w:rPr>
                <w:rFonts w:cs="Arial"/>
              </w:rPr>
              <w:t>The number of new job vacancies as a proportion of the labour force (%)</w:t>
            </w:r>
          </w:p>
        </w:tc>
        <w:tc>
          <w:tcPr>
            <w:tcW w:w="0" w:type="auto"/>
            <w:shd w:val="clear" w:color="auto" w:fill="F2F2F2" w:themeFill="background1" w:themeFillShade="F2"/>
          </w:tcPr>
          <w:p w14:paraId="2592F118" w14:textId="415529C4" w:rsidR="00B2653D" w:rsidRDefault="00B2653D" w:rsidP="009F6646">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rPr>
              <w:t>Demand</w:t>
            </w:r>
          </w:p>
        </w:tc>
      </w:tr>
      <w:tr w:rsidR="00B2653D" w:rsidRPr="009C2FB6" w14:paraId="53B3786B" w14:textId="77777777" w:rsidTr="00421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D85B67" w14:textId="00CF343B" w:rsidR="00B2653D" w:rsidRPr="007F1F37" w:rsidRDefault="00B2653D" w:rsidP="009F6646">
            <w:pPr>
              <w:spacing w:before="120" w:after="120"/>
              <w:rPr>
                <w:b w:val="0"/>
                <w:color w:val="000000"/>
              </w:rPr>
            </w:pPr>
            <w:r>
              <w:rPr>
                <w:rFonts w:cs="Arial"/>
                <w:b w:val="0"/>
                <w:bCs w:val="0"/>
                <w:color w:val="000000"/>
              </w:rPr>
              <w:t>Job matching efficiency rate</w:t>
            </w:r>
          </w:p>
        </w:tc>
        <w:tc>
          <w:tcPr>
            <w:tcW w:w="0" w:type="auto"/>
            <w:shd w:val="clear" w:color="auto" w:fill="auto"/>
          </w:tcPr>
          <w:p w14:paraId="523750EA" w14:textId="0D6D287E" w:rsidR="00B2653D" w:rsidRPr="007F1F37" w:rsidRDefault="00B2653D" w:rsidP="009F6646">
            <w:pPr>
              <w:spacing w:before="120" w:after="120"/>
              <w:cnfStyle w:val="000000100000" w:firstRow="0" w:lastRow="0" w:firstColumn="0" w:lastColumn="0" w:oddVBand="0" w:evenVBand="0" w:oddHBand="1" w:evenHBand="0" w:firstRowFirstColumn="0" w:firstRowLastColumn="0" w:lastRowFirstColumn="0" w:lastRowLastColumn="0"/>
              <w:rPr>
                <w:bCs/>
                <w:color w:val="000000"/>
              </w:rPr>
            </w:pPr>
            <w:r>
              <w:rPr>
                <w:rFonts w:cs="Arial"/>
                <w:color w:val="000000"/>
              </w:rPr>
              <w:t>The efficiency with which available jobseekers and vacancies result in successful hires (%)</w:t>
            </w:r>
          </w:p>
        </w:tc>
        <w:tc>
          <w:tcPr>
            <w:tcW w:w="0" w:type="auto"/>
            <w:shd w:val="clear" w:color="auto" w:fill="auto"/>
          </w:tcPr>
          <w:p w14:paraId="2F27FA53" w14:textId="1FA079B6" w:rsidR="00B2653D" w:rsidRDefault="00B2653D" w:rsidP="009F6646">
            <w:pPr>
              <w:spacing w:before="120" w:after="120"/>
              <w:jc w:val="center"/>
              <w:cnfStyle w:val="000000100000" w:firstRow="0" w:lastRow="0" w:firstColumn="0" w:lastColumn="0" w:oddVBand="0" w:evenVBand="0" w:oddHBand="1" w:evenHBand="0" w:firstRowFirstColumn="0" w:firstRowLastColumn="0" w:lastRowFirstColumn="0" w:lastRowLastColumn="0"/>
              <w:rPr>
                <w:bCs/>
                <w:color w:val="000000"/>
              </w:rPr>
            </w:pPr>
            <w:r>
              <w:rPr>
                <w:rFonts w:cs="Arial"/>
                <w:color w:val="000000"/>
              </w:rPr>
              <w:t>Intersection</w:t>
            </w:r>
          </w:p>
        </w:tc>
      </w:tr>
      <w:tr w:rsidR="00B2653D" w:rsidRPr="009C2FB6" w14:paraId="0E31E517" w14:textId="77777777" w:rsidTr="0042190E">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71F8547" w14:textId="2FC82FF9" w:rsidR="00B2653D" w:rsidRPr="00A978B1" w:rsidRDefault="00B2653D" w:rsidP="009F6646">
            <w:pPr>
              <w:spacing w:before="120" w:after="120"/>
              <w:rPr>
                <w:rFonts w:cs="Arial"/>
                <w:b w:val="0"/>
                <w:bCs w:val="0"/>
                <w:color w:val="000000"/>
              </w:rPr>
            </w:pPr>
            <w:r w:rsidRPr="00984674">
              <w:rPr>
                <w:rFonts w:cs="Arial"/>
                <w:b w:val="0"/>
                <w:bCs w:val="0"/>
                <w:color w:val="000000"/>
              </w:rPr>
              <w:t>Annual median wage growth</w:t>
            </w:r>
            <w:r>
              <w:rPr>
                <w:rFonts w:cs="Arial"/>
                <w:b w:val="0"/>
                <w:bCs w:val="0"/>
                <w:color w:val="000000"/>
              </w:rPr>
              <w:t xml:space="preserve"> rate</w:t>
            </w:r>
          </w:p>
        </w:tc>
        <w:tc>
          <w:tcPr>
            <w:tcW w:w="0" w:type="auto"/>
            <w:shd w:val="clear" w:color="auto" w:fill="F2F2F2" w:themeFill="background1" w:themeFillShade="F2"/>
          </w:tcPr>
          <w:p w14:paraId="7F48B78D" w14:textId="49E9D245" w:rsidR="00B2653D" w:rsidRPr="003E77F6" w:rsidRDefault="00B2653D" w:rsidP="009F6646">
            <w:pPr>
              <w:spacing w:before="120" w:after="120"/>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rPr>
              <w:t>The percentage change in median total income over the past year (%)</w:t>
            </w:r>
          </w:p>
        </w:tc>
        <w:tc>
          <w:tcPr>
            <w:tcW w:w="0" w:type="auto"/>
            <w:shd w:val="clear" w:color="auto" w:fill="F2F2F2" w:themeFill="background1" w:themeFillShade="F2"/>
          </w:tcPr>
          <w:p w14:paraId="23B6965C" w14:textId="3B58DC93" w:rsidR="00B2653D" w:rsidRDefault="00B2653D" w:rsidP="009F6646">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Intersection</w:t>
            </w:r>
          </w:p>
        </w:tc>
      </w:tr>
      <w:tr w:rsidR="00B2653D" w:rsidRPr="009C2FB6" w14:paraId="32C686FD" w14:textId="77777777" w:rsidTr="003D1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14:paraId="2B2E5A34" w14:textId="78AC73F9" w:rsidR="00B2653D" w:rsidRPr="00A978B1" w:rsidRDefault="00B2653D" w:rsidP="009F6646">
            <w:pPr>
              <w:spacing w:before="120" w:after="120"/>
              <w:rPr>
                <w:rFonts w:cs="Arial"/>
                <w:b w:val="0"/>
                <w:bCs w:val="0"/>
                <w:color w:val="000000"/>
              </w:rPr>
            </w:pPr>
            <w:r w:rsidRPr="00984674">
              <w:rPr>
                <w:rFonts w:cs="Arial"/>
                <w:b w:val="0"/>
                <w:bCs w:val="0"/>
                <w:color w:val="000000"/>
              </w:rPr>
              <w:t>Skill underutilisation</w:t>
            </w:r>
            <w:r>
              <w:rPr>
                <w:rFonts w:cs="Arial"/>
                <w:b w:val="0"/>
                <w:bCs w:val="0"/>
                <w:color w:val="000000"/>
              </w:rPr>
              <w:t xml:space="preserve"> rate</w:t>
            </w:r>
          </w:p>
        </w:tc>
        <w:tc>
          <w:tcPr>
            <w:tcW w:w="0" w:type="auto"/>
            <w:tcBorders>
              <w:bottom w:val="single" w:sz="4" w:space="0" w:color="auto"/>
            </w:tcBorders>
            <w:shd w:val="clear" w:color="auto" w:fill="auto"/>
          </w:tcPr>
          <w:p w14:paraId="2C47553C" w14:textId="4F0B1DA1" w:rsidR="00B2653D" w:rsidRPr="003E77F6" w:rsidRDefault="00B2653D" w:rsidP="009F6646">
            <w:pPr>
              <w:spacing w:before="120" w:after="120"/>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rPr>
              <w:t>Proportion of employed population working at a lower skill level than their qualification (%)</w:t>
            </w:r>
          </w:p>
        </w:tc>
        <w:tc>
          <w:tcPr>
            <w:tcW w:w="0" w:type="auto"/>
            <w:tcBorders>
              <w:bottom w:val="single" w:sz="4" w:space="0" w:color="auto"/>
            </w:tcBorders>
            <w:shd w:val="clear" w:color="auto" w:fill="auto"/>
          </w:tcPr>
          <w:p w14:paraId="479D9831" w14:textId="59D5B58F" w:rsidR="00B2653D" w:rsidRDefault="00B2653D" w:rsidP="009F6646">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Intersection</w:t>
            </w:r>
          </w:p>
        </w:tc>
      </w:tr>
    </w:tbl>
    <w:p w14:paraId="2AB1140C" w14:textId="77777777" w:rsidR="00197DB0" w:rsidRDefault="00197DB0" w:rsidP="00B2653D">
      <w:pPr>
        <w:pStyle w:val="Bodycopy"/>
        <w:rPr>
          <w:bCs/>
          <w:iCs/>
        </w:rPr>
      </w:pPr>
    </w:p>
    <w:p w14:paraId="02ADB398" w14:textId="73FF64CD" w:rsidR="00BC51F8" w:rsidRDefault="00BC51F8" w:rsidP="00A45FFC">
      <w:pPr>
        <w:pStyle w:val="Bodycopy"/>
        <w:rPr>
          <w:bCs/>
          <w:iCs/>
        </w:rPr>
      </w:pPr>
      <w:r w:rsidRPr="00BC51F8">
        <w:rPr>
          <w:bCs/>
          <w:iCs/>
        </w:rPr>
        <w:lastRenderedPageBreak/>
        <w:t>The updates introduced in the December 2025 release reflect the continued development of the RLMI,</w:t>
      </w:r>
      <w:r w:rsidR="00032163">
        <w:rPr>
          <w:bCs/>
          <w:iCs/>
        </w:rPr>
        <w:t xml:space="preserve"> and innovation in JSA data and methods,</w:t>
      </w:r>
      <w:r w:rsidRPr="00BC51F8">
        <w:rPr>
          <w:bCs/>
          <w:iCs/>
        </w:rPr>
        <w:t xml:space="preserve"> as JSA </w:t>
      </w:r>
      <w:r w:rsidR="00876C1D">
        <w:rPr>
          <w:bCs/>
          <w:iCs/>
        </w:rPr>
        <w:t xml:space="preserve">continues to </w:t>
      </w:r>
      <w:r w:rsidRPr="00BC51F8">
        <w:rPr>
          <w:bCs/>
          <w:iCs/>
        </w:rPr>
        <w:t xml:space="preserve">review and refine the </w:t>
      </w:r>
      <w:r w:rsidR="00032163">
        <w:rPr>
          <w:bCs/>
          <w:iCs/>
        </w:rPr>
        <w:t xml:space="preserve">input </w:t>
      </w:r>
      <w:r w:rsidRPr="00BC51F8">
        <w:rPr>
          <w:bCs/>
          <w:iCs/>
        </w:rPr>
        <w:t>factors included in the indicator</w:t>
      </w:r>
      <w:r w:rsidR="007E4561">
        <w:rPr>
          <w:bCs/>
          <w:iCs/>
        </w:rPr>
        <w:t xml:space="preserve">. This </w:t>
      </w:r>
      <w:r w:rsidRPr="00BC51F8">
        <w:rPr>
          <w:bCs/>
          <w:iCs/>
        </w:rPr>
        <w:t>ensure</w:t>
      </w:r>
      <w:r w:rsidR="007E4561">
        <w:rPr>
          <w:bCs/>
          <w:iCs/>
        </w:rPr>
        <w:t>s</w:t>
      </w:r>
      <w:r w:rsidRPr="00BC51F8">
        <w:rPr>
          <w:bCs/>
          <w:iCs/>
        </w:rPr>
        <w:t xml:space="preserve"> </w:t>
      </w:r>
      <w:r w:rsidR="007E4561">
        <w:rPr>
          <w:bCs/>
          <w:iCs/>
        </w:rPr>
        <w:t xml:space="preserve">the RLMI is </w:t>
      </w:r>
      <w:r w:rsidRPr="00BC51F8">
        <w:rPr>
          <w:bCs/>
          <w:iCs/>
        </w:rPr>
        <w:t xml:space="preserve">a </w:t>
      </w:r>
      <w:r w:rsidR="007E4561">
        <w:rPr>
          <w:bCs/>
          <w:iCs/>
        </w:rPr>
        <w:t xml:space="preserve">highly </w:t>
      </w:r>
      <w:r w:rsidRPr="00BC51F8">
        <w:rPr>
          <w:bCs/>
          <w:iCs/>
        </w:rPr>
        <w:t>robust and reliable measure of labour</w:t>
      </w:r>
      <w:r w:rsidRPr="00BC51F8">
        <w:rPr>
          <w:rFonts w:ascii="Cambria Math" w:hAnsi="Cambria Math" w:cs="Cambria Math"/>
          <w:bCs/>
          <w:iCs/>
        </w:rPr>
        <w:t>‑</w:t>
      </w:r>
      <w:r w:rsidRPr="00BC51F8">
        <w:rPr>
          <w:bCs/>
          <w:iCs/>
        </w:rPr>
        <w:t>market strength.</w:t>
      </w:r>
    </w:p>
    <w:p w14:paraId="65A7607F" w14:textId="4C607DC0" w:rsidR="00BC51F8" w:rsidRDefault="00A45FFC" w:rsidP="00A45FFC">
      <w:pPr>
        <w:pStyle w:val="Bodycopy"/>
        <w:rPr>
          <w:bCs/>
          <w:iCs/>
        </w:rPr>
      </w:pPr>
      <w:r>
        <w:rPr>
          <w:bCs/>
          <w:iCs/>
        </w:rPr>
        <w:t>For the job vacancy rate and the job matching efficiency rate, new data produced by JSA</w:t>
      </w:r>
      <w:r w:rsidR="00BC51F8">
        <w:rPr>
          <w:rStyle w:val="FootnoteReference"/>
        </w:rPr>
        <w:footnoteReference w:id="2"/>
      </w:r>
      <w:r>
        <w:rPr>
          <w:bCs/>
          <w:iCs/>
        </w:rPr>
        <w:t xml:space="preserve"> has enabled aspects reflecting employer-side pressures and the job-matching process to be reflected in the RLMI’s measurement of labour market strength. </w:t>
      </w:r>
    </w:p>
    <w:p w14:paraId="35AF64BD" w14:textId="5E545E02" w:rsidR="00A45FFC" w:rsidRPr="00B2653D" w:rsidRDefault="00A45FFC" w:rsidP="00A45FFC">
      <w:pPr>
        <w:pStyle w:val="Bodycopy"/>
        <w:rPr>
          <w:bCs/>
          <w:iCs/>
        </w:rPr>
      </w:pPr>
      <w:r>
        <w:rPr>
          <w:bCs/>
          <w:iCs/>
        </w:rPr>
        <w:t xml:space="preserve">Other additions, </w:t>
      </w:r>
      <w:r w:rsidRPr="00A45FFC">
        <w:rPr>
          <w:bCs/>
          <w:iCs/>
        </w:rPr>
        <w:t>including long</w:t>
      </w:r>
      <w:r w:rsidRPr="00A45FFC">
        <w:rPr>
          <w:bCs/>
          <w:iCs/>
        </w:rPr>
        <w:noBreakHyphen/>
        <w:t>term income</w:t>
      </w:r>
      <w:r w:rsidRPr="00A45FFC">
        <w:rPr>
          <w:bCs/>
          <w:iCs/>
        </w:rPr>
        <w:noBreakHyphen/>
        <w:t>support reliance, median income growth and skill underutilisation, have been introduced to capture important dimensions of labour</w:t>
      </w:r>
      <w:r w:rsidRPr="00A45FFC">
        <w:rPr>
          <w:bCs/>
          <w:iCs/>
        </w:rPr>
        <w:noBreakHyphen/>
        <w:t>market dynamics</w:t>
      </w:r>
      <w:r>
        <w:rPr>
          <w:bCs/>
          <w:iCs/>
        </w:rPr>
        <w:t xml:space="preserve"> that were not previously captured, enabling RLMI to </w:t>
      </w:r>
      <w:r w:rsidRPr="00B2653D">
        <w:rPr>
          <w:bCs/>
          <w:iCs/>
        </w:rPr>
        <w:t>better capture the different ways spare capacity can appear across regions.</w:t>
      </w:r>
    </w:p>
    <w:p w14:paraId="2980F546" w14:textId="77777777" w:rsidR="00B2653D" w:rsidRPr="00B2653D" w:rsidRDefault="00B2653D" w:rsidP="00B2653D">
      <w:pPr>
        <w:pStyle w:val="Bodycopy"/>
        <w:rPr>
          <w:bCs/>
          <w:iCs/>
        </w:rPr>
      </w:pPr>
      <w:r w:rsidRPr="00B2653D">
        <w:rPr>
          <w:bCs/>
          <w:iCs/>
        </w:rPr>
        <w:t>Together, the ten indicators provide a more comprehensive summary measure of labour</w:t>
      </w:r>
      <w:r w:rsidRPr="00B2653D">
        <w:rPr>
          <w:bCs/>
          <w:iCs/>
        </w:rPr>
        <w:noBreakHyphen/>
        <w:t>market performance by:</w:t>
      </w:r>
    </w:p>
    <w:p w14:paraId="534E45B0" w14:textId="77777777" w:rsidR="00B2653D" w:rsidRPr="00B2653D" w:rsidRDefault="00B2653D" w:rsidP="00B2653D">
      <w:pPr>
        <w:pStyle w:val="Bodycopy"/>
        <w:numPr>
          <w:ilvl w:val="0"/>
          <w:numId w:val="37"/>
        </w:numPr>
        <w:rPr>
          <w:bCs/>
          <w:iCs/>
        </w:rPr>
      </w:pPr>
      <w:r w:rsidRPr="00B2653D">
        <w:rPr>
          <w:b/>
          <w:bCs/>
          <w:iCs/>
        </w:rPr>
        <w:t>capturing both current and persistent forms of spare capacity</w:t>
      </w:r>
      <w:r w:rsidRPr="00B2653D">
        <w:rPr>
          <w:bCs/>
          <w:iCs/>
        </w:rPr>
        <w:t>, including long</w:t>
      </w:r>
      <w:r w:rsidRPr="00B2653D">
        <w:rPr>
          <w:bCs/>
          <w:iCs/>
        </w:rPr>
        <w:noBreakHyphen/>
        <w:t>term income</w:t>
      </w:r>
      <w:r w:rsidRPr="00B2653D">
        <w:rPr>
          <w:bCs/>
          <w:iCs/>
        </w:rPr>
        <w:noBreakHyphen/>
        <w:t xml:space="preserve">support receipt and underutilised </w:t>
      </w:r>
      <w:proofErr w:type="gramStart"/>
      <w:r w:rsidRPr="00B2653D">
        <w:rPr>
          <w:bCs/>
          <w:iCs/>
        </w:rPr>
        <w:t>skills;</w:t>
      </w:r>
      <w:proofErr w:type="gramEnd"/>
    </w:p>
    <w:p w14:paraId="7CD440CF" w14:textId="77777777" w:rsidR="00B2653D" w:rsidRPr="00B2653D" w:rsidRDefault="00B2653D" w:rsidP="00B2653D">
      <w:pPr>
        <w:pStyle w:val="Bodycopy"/>
        <w:numPr>
          <w:ilvl w:val="0"/>
          <w:numId w:val="37"/>
        </w:numPr>
        <w:rPr>
          <w:bCs/>
          <w:iCs/>
        </w:rPr>
      </w:pPr>
      <w:r w:rsidRPr="00B2653D">
        <w:rPr>
          <w:b/>
          <w:bCs/>
          <w:iCs/>
        </w:rPr>
        <w:t>reflecting employer</w:t>
      </w:r>
      <w:r w:rsidRPr="00B2653D">
        <w:rPr>
          <w:b/>
          <w:bCs/>
          <w:iCs/>
        </w:rPr>
        <w:noBreakHyphen/>
        <w:t>side pressures</w:t>
      </w:r>
      <w:r w:rsidRPr="00B2653D">
        <w:rPr>
          <w:bCs/>
          <w:iCs/>
        </w:rPr>
        <w:t xml:space="preserve">, such as elevated vacancy rates or difficulty filling </w:t>
      </w:r>
      <w:proofErr w:type="gramStart"/>
      <w:r w:rsidRPr="00B2653D">
        <w:rPr>
          <w:bCs/>
          <w:iCs/>
        </w:rPr>
        <w:t>roles;</w:t>
      </w:r>
      <w:proofErr w:type="gramEnd"/>
    </w:p>
    <w:p w14:paraId="75C7372A" w14:textId="77777777" w:rsidR="00B2653D" w:rsidRPr="00B2653D" w:rsidRDefault="00B2653D" w:rsidP="00B2653D">
      <w:pPr>
        <w:pStyle w:val="Bodycopy"/>
        <w:numPr>
          <w:ilvl w:val="0"/>
          <w:numId w:val="37"/>
        </w:numPr>
        <w:rPr>
          <w:bCs/>
          <w:iCs/>
        </w:rPr>
      </w:pPr>
      <w:r w:rsidRPr="00B2653D">
        <w:rPr>
          <w:b/>
          <w:bCs/>
          <w:iCs/>
        </w:rPr>
        <w:t>measuring how effectively jobseekers and employers are connected</w:t>
      </w:r>
      <w:r w:rsidRPr="00B2653D">
        <w:rPr>
          <w:bCs/>
          <w:iCs/>
        </w:rPr>
        <w:t>, through the job</w:t>
      </w:r>
      <w:r w:rsidRPr="00B2653D">
        <w:rPr>
          <w:bCs/>
          <w:iCs/>
        </w:rPr>
        <w:noBreakHyphen/>
        <w:t>matching process; and</w:t>
      </w:r>
    </w:p>
    <w:p w14:paraId="78E53D70" w14:textId="4E3C00A2" w:rsidR="000E14B0" w:rsidRDefault="00B2653D" w:rsidP="00B2653D">
      <w:pPr>
        <w:pStyle w:val="Bodycopy"/>
        <w:numPr>
          <w:ilvl w:val="0"/>
          <w:numId w:val="37"/>
        </w:numPr>
        <w:rPr>
          <w:bCs/>
          <w:iCs/>
        </w:rPr>
      </w:pPr>
      <w:r w:rsidRPr="00B2653D">
        <w:rPr>
          <w:b/>
          <w:bCs/>
          <w:iCs/>
        </w:rPr>
        <w:t>capturing how overall labour</w:t>
      </w:r>
      <w:r w:rsidRPr="00B2653D">
        <w:rPr>
          <w:rFonts w:ascii="Cambria Math" w:hAnsi="Cambria Math" w:cs="Cambria Math"/>
          <w:b/>
          <w:bCs/>
          <w:iCs/>
        </w:rPr>
        <w:t>‑</w:t>
      </w:r>
      <w:r w:rsidRPr="00B2653D">
        <w:rPr>
          <w:b/>
          <w:bCs/>
          <w:iCs/>
        </w:rPr>
        <w:t xml:space="preserve">market pressures are reflected in wage outcomes, </w:t>
      </w:r>
      <w:r w:rsidRPr="00B2653D">
        <w:rPr>
          <w:iCs/>
        </w:rPr>
        <w:t>providing an additional signal of tightness or spare capacity.</w:t>
      </w:r>
    </w:p>
    <w:p w14:paraId="58D70627" w14:textId="7FC9D755" w:rsidR="009C7E8F" w:rsidRDefault="00B2653D" w:rsidP="009C7E8F">
      <w:r w:rsidRPr="00B2653D">
        <w:t>Importantly, while the RLMI now draws on a wider set of indicators, its purpose is unchanged: it provides a single, easy</w:t>
      </w:r>
      <w:r w:rsidRPr="00B2653D">
        <w:rPr>
          <w:rFonts w:ascii="Cambria Math" w:hAnsi="Cambria Math" w:cs="Cambria Math"/>
        </w:rPr>
        <w:t>‑</w:t>
      </w:r>
      <w:r w:rsidRPr="00B2653D">
        <w:t>to</w:t>
      </w:r>
      <w:r w:rsidRPr="00B2653D">
        <w:rPr>
          <w:rFonts w:ascii="Cambria Math" w:hAnsi="Cambria Math" w:cs="Cambria Math"/>
        </w:rPr>
        <w:t>‑</w:t>
      </w:r>
      <w:r w:rsidRPr="00B2653D">
        <w:t>interpret summary measure that reflects relative labour</w:t>
      </w:r>
      <w:r w:rsidRPr="00B2653D">
        <w:rPr>
          <w:rFonts w:ascii="Cambria Math" w:hAnsi="Cambria Math" w:cs="Cambria Math"/>
        </w:rPr>
        <w:t>‑</w:t>
      </w:r>
      <w:r w:rsidRPr="00B2653D">
        <w:t>market performance and spare capacity across regions</w:t>
      </w:r>
      <w:r>
        <w:t>.</w:t>
      </w:r>
    </w:p>
    <w:p w14:paraId="05288C59" w14:textId="4281F85A" w:rsidR="00B2653D" w:rsidRDefault="00B2653D" w:rsidP="00B2653D">
      <w:pPr>
        <w:pStyle w:val="Bodycopy"/>
      </w:pPr>
      <w:r w:rsidRPr="00D56322">
        <w:t xml:space="preserve">Please refer to the </w:t>
      </w:r>
      <w:hyperlink r:id="rId10" w:anchor="methodology" w:history="1">
        <w:r w:rsidRPr="00D56322">
          <w:rPr>
            <w:rStyle w:val="Hyperlink"/>
          </w:rPr>
          <w:t>RLMI Methodology Paper</w:t>
        </w:r>
      </w:hyperlink>
      <w:r w:rsidRPr="00D56322">
        <w:t xml:space="preserve"> for more information on the RLMI, including its purpose and factor selection. </w:t>
      </w:r>
    </w:p>
    <w:tbl>
      <w:tblPr>
        <w:tblStyle w:val="CustomTablepulloutbox"/>
        <w:tblW w:w="0" w:type="auto"/>
        <w:tblLook w:val="04A0" w:firstRow="1" w:lastRow="0" w:firstColumn="1" w:lastColumn="0" w:noHBand="0" w:noVBand="1"/>
      </w:tblPr>
      <w:tblGrid>
        <w:gridCol w:w="8996"/>
      </w:tblGrid>
      <w:tr w:rsidR="004C7B8D" w14:paraId="35C09B12" w14:textId="77777777" w:rsidTr="006F0D93">
        <w:tc>
          <w:tcPr>
            <w:tcW w:w="8997" w:type="dxa"/>
          </w:tcPr>
          <w:p w14:paraId="1C110322" w14:textId="77777777" w:rsidR="004C7B8D" w:rsidRPr="007106F3" w:rsidRDefault="004C7B8D" w:rsidP="006F0D93">
            <w:pPr>
              <w:pStyle w:val="BoxHeading"/>
              <w:rPr>
                <w:sz w:val="24"/>
              </w:rPr>
            </w:pPr>
            <w:r>
              <w:rPr>
                <w:sz w:val="24"/>
              </w:rPr>
              <w:t>Northern Australia</w:t>
            </w:r>
          </w:p>
          <w:p w14:paraId="50BB1CA2" w14:textId="77777777" w:rsidR="004C7B8D" w:rsidRDefault="004C7B8D" w:rsidP="004C7B8D">
            <w:pPr>
              <w:pStyle w:val="BodyText"/>
              <w:rPr>
                <w:rFonts w:eastAsia="Times New Roman" w:cs="Arial"/>
                <w:szCs w:val="22"/>
                <w:lang w:eastAsia="en-AU"/>
              </w:rPr>
            </w:pPr>
            <w:r w:rsidRPr="004C7B8D">
              <w:rPr>
                <w:rFonts w:eastAsia="Times New Roman" w:cs="Arial"/>
                <w:szCs w:val="22"/>
                <w:lang w:eastAsia="en-AU"/>
              </w:rPr>
              <w:t>New in the December 2025 RLMI release is the inclusion of a combined rating for Northern Australia, produced in addition to the standard SA4</w:t>
            </w:r>
            <w:r w:rsidRPr="004C7B8D">
              <w:rPr>
                <w:rFonts w:ascii="Cambria Math" w:eastAsia="Times New Roman" w:hAnsi="Cambria Math" w:cs="Cambria Math"/>
                <w:szCs w:val="22"/>
                <w:lang w:eastAsia="en-AU"/>
              </w:rPr>
              <w:t>‑</w:t>
            </w:r>
            <w:r w:rsidRPr="004C7B8D">
              <w:rPr>
                <w:rFonts w:eastAsia="Times New Roman" w:cs="Arial"/>
                <w:szCs w:val="22"/>
                <w:lang w:eastAsia="en-AU"/>
              </w:rPr>
              <w:t xml:space="preserve">level ratings. This </w:t>
            </w:r>
            <w:proofErr w:type="spellStart"/>
            <w:r w:rsidRPr="004C7B8D">
              <w:rPr>
                <w:rFonts w:eastAsia="Times New Roman" w:cs="Arial"/>
                <w:szCs w:val="22"/>
                <w:lang w:eastAsia="en-AU"/>
              </w:rPr>
              <w:t>recognises</w:t>
            </w:r>
            <w:proofErr w:type="spellEnd"/>
            <w:r w:rsidRPr="004C7B8D">
              <w:rPr>
                <w:rFonts w:eastAsia="Times New Roman" w:cs="Arial"/>
                <w:szCs w:val="22"/>
                <w:lang w:eastAsia="en-AU"/>
              </w:rPr>
              <w:t xml:space="preserve"> Northern Australia as a single, multi</w:t>
            </w:r>
            <w:r w:rsidRPr="004C7B8D">
              <w:rPr>
                <w:rFonts w:ascii="Cambria Math" w:eastAsia="Times New Roman" w:hAnsi="Cambria Math" w:cs="Cambria Math"/>
                <w:szCs w:val="22"/>
                <w:lang w:eastAsia="en-AU"/>
              </w:rPr>
              <w:t>‑</w:t>
            </w:r>
            <w:r w:rsidRPr="004C7B8D">
              <w:rPr>
                <w:rFonts w:eastAsia="Times New Roman" w:cs="Arial"/>
                <w:szCs w:val="22"/>
                <w:lang w:eastAsia="en-AU"/>
              </w:rPr>
              <w:t>jurisdictional labour market.</w:t>
            </w:r>
          </w:p>
          <w:p w14:paraId="6CA0A65E" w14:textId="5D2ADF08" w:rsidR="004C7B8D" w:rsidRDefault="004C7B8D" w:rsidP="004C7B8D">
            <w:pPr>
              <w:pStyle w:val="BodyText"/>
              <w:numPr>
                <w:ilvl w:val="0"/>
                <w:numId w:val="38"/>
              </w:numPr>
              <w:rPr>
                <w:rFonts w:eastAsia="Times New Roman" w:cs="Arial"/>
                <w:szCs w:val="22"/>
                <w:lang w:eastAsia="en-AU"/>
              </w:rPr>
            </w:pPr>
            <w:r>
              <w:rPr>
                <w:rFonts w:eastAsia="Times New Roman" w:cs="Arial"/>
                <w:szCs w:val="22"/>
                <w:lang w:eastAsia="en-AU"/>
              </w:rPr>
              <w:t xml:space="preserve">Northern Australia comprises the following SA4 regions: Cairns, Central Queensland, Mackay – Isaac – Whitsunday, Queensland – Outback, Townsville, Western Australia – Outback (North), Darwin, and the Northern Territory – Outback. </w:t>
            </w:r>
          </w:p>
          <w:p w14:paraId="6A1B560A" w14:textId="2A4BBD65" w:rsidR="004C7B8D" w:rsidRPr="004C7B8D" w:rsidRDefault="004C7B8D" w:rsidP="006F0D93">
            <w:pPr>
              <w:pStyle w:val="BodyText"/>
              <w:rPr>
                <w:rFonts w:eastAsia="Times New Roman" w:cs="Arial"/>
                <w:lang w:val="en-AU" w:eastAsia="en-AU"/>
              </w:rPr>
            </w:pPr>
            <w:r w:rsidRPr="004C7B8D">
              <w:rPr>
                <w:rFonts w:eastAsia="Times New Roman" w:cs="Arial"/>
                <w:lang w:val="en-AU" w:eastAsia="en-AU"/>
              </w:rPr>
              <w:t xml:space="preserve">This addition </w:t>
            </w:r>
            <w:r w:rsidR="007A6B45">
              <w:rPr>
                <w:rFonts w:eastAsia="Times New Roman" w:cs="Arial"/>
                <w:lang w:val="en-AU" w:eastAsia="en-AU"/>
              </w:rPr>
              <w:t xml:space="preserve">acknowledges </w:t>
            </w:r>
            <w:r w:rsidRPr="004C7B8D">
              <w:rPr>
                <w:rFonts w:eastAsia="Times New Roman" w:cs="Arial"/>
                <w:lang w:val="en-AU" w:eastAsia="en-AU"/>
              </w:rPr>
              <w:t>that labour markets, workforce challenges and mobility patterns in Northern Australia routinely span State and Territory borders. This approach improves the consistency and quality of evidence available for Northern Australia, helping guide more effective, evidence</w:t>
            </w:r>
            <w:r w:rsidRPr="004C7B8D">
              <w:rPr>
                <w:rFonts w:eastAsia="Times New Roman" w:cs="Arial"/>
                <w:lang w:val="en-AU" w:eastAsia="en-AU"/>
              </w:rPr>
              <w:noBreakHyphen/>
              <w:t>based planning and decision</w:t>
            </w:r>
            <w:r w:rsidRPr="004C7B8D">
              <w:rPr>
                <w:rFonts w:eastAsia="Times New Roman" w:cs="Arial"/>
                <w:lang w:val="en-AU" w:eastAsia="en-AU"/>
              </w:rPr>
              <w:noBreakHyphen/>
              <w:t>making across the region.</w:t>
            </w:r>
          </w:p>
        </w:tc>
      </w:tr>
    </w:tbl>
    <w:p w14:paraId="14C4070A" w14:textId="77777777" w:rsidR="00936768" w:rsidRPr="00936768" w:rsidRDefault="00936768" w:rsidP="00936768"/>
    <w:p w14:paraId="4E4142EB" w14:textId="77777777" w:rsidR="00936768" w:rsidRPr="00936768" w:rsidRDefault="00936768" w:rsidP="00936768">
      <w:r w:rsidRPr="00936768">
        <w:br w:type="page"/>
      </w:r>
    </w:p>
    <w:p w14:paraId="329F06EE" w14:textId="3F4ED4AA" w:rsidR="00CC68E9" w:rsidRPr="00A070B7" w:rsidRDefault="00CC68E9" w:rsidP="00CC68E9">
      <w:pPr>
        <w:pStyle w:val="Heading3"/>
        <w:keepNext w:val="0"/>
        <w:keepLines w:val="0"/>
      </w:pPr>
      <w:r>
        <w:lastRenderedPageBreak/>
        <w:t>Labour market challenges are more pronounced in many regional areas</w:t>
      </w:r>
    </w:p>
    <w:p w14:paraId="68BF35B5" w14:textId="70CD47DC" w:rsidR="00897E41" w:rsidRDefault="00CD452F" w:rsidP="00582B5D">
      <w:pPr>
        <w:pStyle w:val="Bodycopy"/>
      </w:pPr>
      <w:r>
        <w:t xml:space="preserve">The </w:t>
      </w:r>
      <w:r w:rsidR="00B277DD">
        <w:t>December</w:t>
      </w:r>
      <w:r w:rsidR="005240E7">
        <w:t xml:space="preserve"> 2025</w:t>
      </w:r>
      <w:r>
        <w:t xml:space="preserve"> RLMI results </w:t>
      </w:r>
      <w:r w:rsidR="00036C69">
        <w:t xml:space="preserve">show </w:t>
      </w:r>
      <w:r>
        <w:t xml:space="preserve">that regional and remote </w:t>
      </w:r>
      <w:r w:rsidR="007D3239">
        <w:t xml:space="preserve">areas </w:t>
      </w:r>
      <w:r w:rsidR="006F3CD3">
        <w:t>continue to be</w:t>
      </w:r>
      <w:r>
        <w:t xml:space="preserve"> more likely to experience </w:t>
      </w:r>
      <w:r w:rsidR="003C761F">
        <w:t xml:space="preserve">relatively </w:t>
      </w:r>
      <w:r>
        <w:t xml:space="preserve">weaker labour market conditions than their </w:t>
      </w:r>
      <w:r w:rsidR="00EB66A5">
        <w:t>major</w:t>
      </w:r>
      <w:r>
        <w:t xml:space="preserve"> city counterparts, highlight</w:t>
      </w:r>
      <w:r w:rsidR="00B15249">
        <w:t>ing</w:t>
      </w:r>
      <w:r>
        <w:t xml:space="preserve"> the additional challenges face</w:t>
      </w:r>
      <w:r w:rsidR="007D3239">
        <w:t>d</w:t>
      </w:r>
      <w:r>
        <w:t xml:space="preserve"> in many region</w:t>
      </w:r>
      <w:r w:rsidR="007D3239">
        <w:t>al</w:t>
      </w:r>
      <w:r>
        <w:t xml:space="preserve"> areas by both employers and jobseekers (see Chart </w:t>
      </w:r>
      <w:r w:rsidR="0033423B">
        <w:t>1</w:t>
      </w:r>
      <w:r w:rsidR="00FD3BD4">
        <w:t>, below</w:t>
      </w:r>
      <w:r>
        <w:t xml:space="preserve">). </w:t>
      </w:r>
    </w:p>
    <w:p w14:paraId="55856B84" w14:textId="3E6299A7" w:rsidR="005D78A7" w:rsidRDefault="001954A5" w:rsidP="00582B5D">
      <w:pPr>
        <w:pStyle w:val="Bodycopy"/>
        <w:numPr>
          <w:ilvl w:val="0"/>
          <w:numId w:val="31"/>
        </w:numPr>
      </w:pPr>
      <w:r>
        <w:t>A</w:t>
      </w:r>
      <w:r w:rsidR="00E93E9B">
        <w:t>lmost</w:t>
      </w:r>
      <w:r>
        <w:t xml:space="preserve"> h</w:t>
      </w:r>
      <w:r w:rsidR="00D2244E">
        <w:t>alf of the SA4’s (1</w:t>
      </w:r>
      <w:r w:rsidR="00E93E9B">
        <w:t>7</w:t>
      </w:r>
      <w:r w:rsidR="00D2244E">
        <w:t xml:space="preserve"> out of</w:t>
      </w:r>
      <w:r>
        <w:t xml:space="preserve"> 37</w:t>
      </w:r>
      <w:r w:rsidR="00D2244E">
        <w:t xml:space="preserve">) located in regional areas were rated either ‘below average’ or ‘poor’ in </w:t>
      </w:r>
      <w:r w:rsidR="009C7E8F">
        <w:t>December</w:t>
      </w:r>
      <w:r w:rsidR="00DF46C2">
        <w:t xml:space="preserve"> 2025, while </w:t>
      </w:r>
      <w:r w:rsidR="00D2244E">
        <w:t xml:space="preserve">all </w:t>
      </w:r>
      <w:r w:rsidR="00AA311A">
        <w:t>six</w:t>
      </w:r>
      <w:r w:rsidR="00D2244E">
        <w:t xml:space="preserve"> (or 100%) remote areas were rated ‘poor’</w:t>
      </w:r>
      <w:r w:rsidR="00DF46C2">
        <w:t xml:space="preserve">. </w:t>
      </w:r>
    </w:p>
    <w:p w14:paraId="70702A80" w14:textId="5379991C" w:rsidR="00D2244E" w:rsidRDefault="009C7E8F" w:rsidP="00582B5D">
      <w:pPr>
        <w:pStyle w:val="Bodycopy"/>
        <w:numPr>
          <w:ilvl w:val="0"/>
          <w:numId w:val="31"/>
        </w:numPr>
      </w:pPr>
      <w:r>
        <w:t xml:space="preserve">Almost three quarters </w:t>
      </w:r>
      <w:r w:rsidR="00DF46C2">
        <w:t>of the SA4’s (</w:t>
      </w:r>
      <w:r>
        <w:t>32</w:t>
      </w:r>
      <w:r w:rsidR="00DF46C2">
        <w:t xml:space="preserve"> out of 44) located in major city areas were rated either ‘strong’ or ‘above average’ in </w:t>
      </w:r>
      <w:r>
        <w:t xml:space="preserve">December </w:t>
      </w:r>
      <w:r w:rsidR="00DF46C2">
        <w:t xml:space="preserve">2025. </w:t>
      </w:r>
    </w:p>
    <w:p w14:paraId="7004A699" w14:textId="47F64CF6" w:rsidR="00324789" w:rsidRPr="00400336" w:rsidRDefault="00E93E9B" w:rsidP="007E2E53">
      <w:pPr>
        <w:pStyle w:val="Caption"/>
        <w:spacing w:before="0" w:after="0"/>
        <w:rPr>
          <w:sz w:val="20"/>
          <w:szCs w:val="20"/>
        </w:rPr>
      </w:pPr>
      <w:r w:rsidRPr="00E93E9B">
        <w:rPr>
          <w:noProof/>
        </w:rPr>
        <w:drawing>
          <wp:anchor distT="0" distB="0" distL="114300" distR="114300" simplePos="0" relativeHeight="251660288" behindDoc="1" locked="0" layoutInCell="1" allowOverlap="1" wp14:anchorId="3052BF81" wp14:editId="3E71A574">
            <wp:simplePos x="0" y="0"/>
            <wp:positionH relativeFrom="page">
              <wp:posOffset>852178</wp:posOffset>
            </wp:positionH>
            <wp:positionV relativeFrom="paragraph">
              <wp:posOffset>6066244</wp:posOffset>
            </wp:positionV>
            <wp:extent cx="5294268" cy="316616"/>
            <wp:effectExtent l="19050" t="19050" r="20955" b="26670"/>
            <wp:wrapTight wrapText="bothSides">
              <wp:wrapPolygon edited="0">
                <wp:start x="-78" y="-1301"/>
                <wp:lineTo x="-78" y="22120"/>
                <wp:lineTo x="21608" y="22120"/>
                <wp:lineTo x="21608" y="-1301"/>
                <wp:lineTo x="-78" y="-1301"/>
              </wp:wrapPolygon>
            </wp:wrapTight>
            <wp:docPr id="26" name="Picture 25" descr="A legend of the RLMI rating categories (Strong, Above average, Average, Below average, Poor). ">
              <a:extLst xmlns:a="http://schemas.openxmlformats.org/drawingml/2006/main">
                <a:ext uri="{FF2B5EF4-FFF2-40B4-BE49-F238E27FC236}">
                  <a16:creationId xmlns:a16="http://schemas.microsoft.com/office/drawing/2014/main" id="{8972A19C-AEF7-962E-C41F-2939D71DDA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legend of the RLMI rating categories (Strong, Above average, Average, Below average, Poor). ">
                      <a:extLst>
                        <a:ext uri="{FF2B5EF4-FFF2-40B4-BE49-F238E27FC236}">
                          <a16:creationId xmlns:a16="http://schemas.microsoft.com/office/drawing/2014/main" id="{8972A19C-AEF7-962E-C41F-2939D71DDA5D}"/>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94268" cy="316616"/>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2A1606" w:rsidRPr="002A1606">
        <w:rPr>
          <w:noProof/>
        </w:rPr>
        <w:t xml:space="preserve"> </w:t>
      </w:r>
      <w:r w:rsidR="00324789" w:rsidRPr="004923E9">
        <w:rPr>
          <w:sz w:val="20"/>
          <w:szCs w:val="20"/>
        </w:rPr>
        <w:t xml:space="preserve">Chart 1: RLMI ratings of relative labour market performance, </w:t>
      </w:r>
      <w:r w:rsidR="002A1606">
        <w:rPr>
          <w:sz w:val="20"/>
          <w:szCs w:val="20"/>
        </w:rPr>
        <w:t>December</w:t>
      </w:r>
      <w:r w:rsidR="00AA0260" w:rsidRPr="004923E9">
        <w:rPr>
          <w:sz w:val="20"/>
          <w:szCs w:val="20"/>
        </w:rPr>
        <w:t xml:space="preserve"> 2025</w:t>
      </w:r>
    </w:p>
    <w:p w14:paraId="723B9831" w14:textId="5097B642" w:rsidR="00400336" w:rsidRPr="00324789" w:rsidRDefault="002A1606" w:rsidP="007E2E53">
      <w:pPr>
        <w:keepNext/>
        <w:spacing w:after="0"/>
        <w:jc w:val="center"/>
      </w:pPr>
      <w:r w:rsidRPr="002A1606">
        <w:rPr>
          <w:noProof/>
          <w:sz w:val="20"/>
          <w:szCs w:val="20"/>
        </w:rPr>
        <w:drawing>
          <wp:inline distT="0" distB="0" distL="0" distR="0" wp14:anchorId="6737E6D4" wp14:editId="49095165">
            <wp:extent cx="5731510" cy="5589270"/>
            <wp:effectExtent l="0" t="0" r="2540" b="0"/>
            <wp:docPr id="97268947" name="Picture 1" descr="A map of Australia displaying the RLMI ratings of labour market performance (strong, above average, average, below average, poor) by SA4. The map shows that regional and remote regions are more likely to experience weaker labour market conditions than major city are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68947" name="Picture 1" descr="A map of Australia displaying the RLMI ratings of labour market performance (strong, above average, average, below average, poor) by SA4. The map shows that regional and remote regions are more likely to experience weaker labour market conditions than major city areas. "/>
                    <pic:cNvPicPr/>
                  </pic:nvPicPr>
                  <pic:blipFill>
                    <a:blip r:embed="rId12"/>
                    <a:stretch>
                      <a:fillRect/>
                    </a:stretch>
                  </pic:blipFill>
                  <pic:spPr>
                    <a:xfrm>
                      <a:off x="0" y="0"/>
                      <a:ext cx="5731510" cy="5589270"/>
                    </a:xfrm>
                    <a:prstGeom prst="rect">
                      <a:avLst/>
                    </a:prstGeom>
                  </pic:spPr>
                </pic:pic>
              </a:graphicData>
            </a:graphic>
          </wp:inline>
        </w:drawing>
      </w:r>
    </w:p>
    <w:p w14:paraId="006C67A0" w14:textId="1B328C15" w:rsidR="00E93E9B" w:rsidRDefault="00E93E9B" w:rsidP="007E2E53">
      <w:pPr>
        <w:pStyle w:val="Source"/>
        <w:keepNext/>
        <w:spacing w:before="0" w:after="0"/>
      </w:pPr>
    </w:p>
    <w:p w14:paraId="0AAE604E" w14:textId="41C7CE9A" w:rsidR="00324789" w:rsidRDefault="00324789" w:rsidP="007E2E53">
      <w:pPr>
        <w:pStyle w:val="Source"/>
        <w:keepNext/>
        <w:spacing w:before="0" w:after="0"/>
      </w:pPr>
      <w:r>
        <w:t xml:space="preserve">Source: JSA, </w:t>
      </w:r>
      <w:r w:rsidRPr="007D069F">
        <w:rPr>
          <w:i/>
          <w:iCs/>
        </w:rPr>
        <w:t>Regional Labour Market Indicator (RLMI)</w:t>
      </w:r>
      <w:r>
        <w:t xml:space="preserve">, </w:t>
      </w:r>
      <w:r w:rsidR="002A1606">
        <w:t>December</w:t>
      </w:r>
      <w:r w:rsidR="005240E7">
        <w:t xml:space="preserve"> 2025</w:t>
      </w:r>
    </w:p>
    <w:p w14:paraId="62E16F7A" w14:textId="77777777" w:rsidR="00E93E9B" w:rsidRDefault="00E93E9B" w:rsidP="00A17299">
      <w:pPr>
        <w:pStyle w:val="Caption"/>
        <w:keepNext w:val="0"/>
        <w:rPr>
          <w:sz w:val="20"/>
          <w:szCs w:val="20"/>
        </w:rPr>
      </w:pPr>
    </w:p>
    <w:p w14:paraId="39A3430C" w14:textId="609C6535" w:rsidR="00B277DD" w:rsidRPr="00B277DD" w:rsidRDefault="00A17299" w:rsidP="00B277DD">
      <w:pPr>
        <w:pStyle w:val="Caption"/>
        <w:keepNext w:val="0"/>
        <w:rPr>
          <w:sz w:val="20"/>
          <w:szCs w:val="20"/>
        </w:rPr>
      </w:pPr>
      <w:r w:rsidRPr="004923E9">
        <w:rPr>
          <w:sz w:val="20"/>
          <w:szCs w:val="20"/>
        </w:rPr>
        <w:t xml:space="preserve">Chart 2: RLMI ratings of relative labour market performance, by selected Capital Cities, </w:t>
      </w:r>
      <w:r w:rsidR="002A1606">
        <w:rPr>
          <w:sz w:val="20"/>
          <w:szCs w:val="20"/>
        </w:rPr>
        <w:t>December</w:t>
      </w:r>
      <w:r w:rsidRPr="004923E9">
        <w:rPr>
          <w:sz w:val="20"/>
          <w:szCs w:val="20"/>
        </w:rPr>
        <w:t xml:space="preserve"> 2025</w:t>
      </w:r>
    </w:p>
    <w:p w14:paraId="391E7CB6" w14:textId="77777777" w:rsidR="00A17299" w:rsidRDefault="00B277DD" w:rsidP="00B277DD">
      <w:pPr>
        <w:jc w:val="center"/>
      </w:pPr>
      <w:r w:rsidRPr="00B277DD">
        <w:rPr>
          <w:noProof/>
        </w:rPr>
        <w:lastRenderedPageBreak/>
        <w:drawing>
          <wp:inline distT="0" distB="0" distL="0" distR="0" wp14:anchorId="15B6F408" wp14:editId="54FA98C8">
            <wp:extent cx="5731510" cy="4863465"/>
            <wp:effectExtent l="0" t="0" r="2540" b="0"/>
            <wp:docPr id="773632609" name="Picture 1" descr="A map of Australia's major cities displaying the RLMI ratings of labour market performance (strong, above average, average, below average, poor) by SA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632609" name="Picture 1" descr="A map of Australia's major cities displaying the RLMI ratings of labour market performance (strong, above average, average, below average, poor) by SA4. "/>
                    <pic:cNvPicPr/>
                  </pic:nvPicPr>
                  <pic:blipFill>
                    <a:blip r:embed="rId13"/>
                    <a:stretch>
                      <a:fillRect/>
                    </a:stretch>
                  </pic:blipFill>
                  <pic:spPr>
                    <a:xfrm>
                      <a:off x="0" y="0"/>
                      <a:ext cx="5731510" cy="4863465"/>
                    </a:xfrm>
                    <a:prstGeom prst="rect">
                      <a:avLst/>
                    </a:prstGeom>
                  </pic:spPr>
                </pic:pic>
              </a:graphicData>
            </a:graphic>
          </wp:inline>
        </w:drawing>
      </w:r>
    </w:p>
    <w:p w14:paraId="40106F4E" w14:textId="18FA07DA" w:rsidR="002A23A7" w:rsidRDefault="00B277DD" w:rsidP="00B277DD">
      <w:pPr>
        <w:pStyle w:val="Source"/>
        <w:spacing w:before="0" w:after="0"/>
      </w:pPr>
      <w:r>
        <w:t xml:space="preserve">Source: JSA, </w:t>
      </w:r>
      <w:r w:rsidRPr="007D069F">
        <w:rPr>
          <w:i/>
          <w:iCs/>
        </w:rPr>
        <w:t>Regional Labour Market Indicator (RLMI)</w:t>
      </w:r>
      <w:r>
        <w:t>, December 2025</w:t>
      </w:r>
    </w:p>
    <w:p w14:paraId="563E1CE8" w14:textId="77777777" w:rsidR="00791481" w:rsidRDefault="00791481">
      <w:pPr>
        <w:spacing w:after="160" w:line="259" w:lineRule="auto"/>
        <w:rPr>
          <w:rFonts w:eastAsiaTheme="majorEastAsia" w:cstheme="majorBidi"/>
          <w:b/>
          <w:sz w:val="32"/>
          <w:szCs w:val="26"/>
        </w:rPr>
      </w:pPr>
    </w:p>
    <w:p w14:paraId="3F732772" w14:textId="6216D4A5" w:rsidR="00B277DD" w:rsidRDefault="00B277DD">
      <w:pPr>
        <w:spacing w:after="160" w:line="259" w:lineRule="auto"/>
        <w:rPr>
          <w:rFonts w:eastAsiaTheme="majorEastAsia" w:cstheme="majorBidi"/>
          <w:b/>
          <w:sz w:val="32"/>
          <w:szCs w:val="26"/>
        </w:rPr>
      </w:pPr>
      <w:r>
        <w:rPr>
          <w:rFonts w:eastAsiaTheme="majorEastAsia" w:cstheme="majorBidi"/>
          <w:b/>
          <w:sz w:val="32"/>
          <w:szCs w:val="26"/>
        </w:rPr>
        <w:br w:type="page"/>
      </w:r>
    </w:p>
    <w:p w14:paraId="46439288" w14:textId="4B0BFA4E" w:rsidR="00FF2A2C" w:rsidRPr="00BC1B66" w:rsidRDefault="00FF2A2C" w:rsidP="00FF2A2C">
      <w:pPr>
        <w:pStyle w:val="Heading2"/>
        <w:keepNext w:val="0"/>
        <w:keepLines w:val="0"/>
      </w:pPr>
      <w:r w:rsidRPr="00BC1B66">
        <w:lastRenderedPageBreak/>
        <w:t xml:space="preserve">Labour Market Rating by SA4, </w:t>
      </w:r>
      <w:r w:rsidR="00B277DD">
        <w:t>December</w:t>
      </w:r>
      <w:r w:rsidR="00653BDD" w:rsidRPr="00BC1B66">
        <w:t xml:space="preserve"> 2025</w:t>
      </w:r>
    </w:p>
    <w:tbl>
      <w:tblPr>
        <w:tblW w:w="9600" w:type="dxa"/>
        <w:tblLook w:val="04A0" w:firstRow="1" w:lastRow="0" w:firstColumn="1" w:lastColumn="0" w:noHBand="0" w:noVBand="1"/>
      </w:tblPr>
      <w:tblGrid>
        <w:gridCol w:w="3320"/>
        <w:gridCol w:w="2200"/>
        <w:gridCol w:w="1460"/>
        <w:gridCol w:w="1460"/>
        <w:gridCol w:w="1160"/>
      </w:tblGrid>
      <w:tr w:rsidR="00B277DD" w:rsidRPr="00B277DD" w14:paraId="0E5C1233" w14:textId="77777777" w:rsidTr="00B277DD">
        <w:trPr>
          <w:trHeight w:val="283"/>
        </w:trPr>
        <w:tc>
          <w:tcPr>
            <w:tcW w:w="3320" w:type="dxa"/>
            <w:tcBorders>
              <w:top w:val="single" w:sz="4" w:space="0" w:color="auto"/>
              <w:left w:val="single" w:sz="4" w:space="0" w:color="auto"/>
              <w:bottom w:val="nil"/>
              <w:right w:val="single" w:sz="4" w:space="0" w:color="auto"/>
            </w:tcBorders>
            <w:shd w:val="clear" w:color="000000" w:fill="4B0985"/>
            <w:vAlign w:val="center"/>
            <w:hideMark/>
          </w:tcPr>
          <w:p w14:paraId="0650512F" w14:textId="77777777" w:rsidR="00B277DD" w:rsidRPr="00B277DD" w:rsidRDefault="00B277DD" w:rsidP="00B277DD">
            <w:pPr>
              <w:spacing w:after="0" w:line="240" w:lineRule="auto"/>
              <w:jc w:val="center"/>
              <w:rPr>
                <w:rFonts w:eastAsia="Times New Roman" w:cs="Arial"/>
                <w:b/>
                <w:bCs/>
                <w:color w:val="FFFFFF"/>
                <w:sz w:val="18"/>
                <w:szCs w:val="18"/>
                <w:lang w:eastAsia="en-AU"/>
              </w:rPr>
            </w:pPr>
            <w:r w:rsidRPr="00B277DD">
              <w:rPr>
                <w:rFonts w:eastAsia="Times New Roman" w:cs="Arial"/>
                <w:b/>
                <w:bCs/>
                <w:color w:val="FFFFFF"/>
                <w:sz w:val="18"/>
                <w:szCs w:val="18"/>
                <w:lang w:eastAsia="en-AU"/>
              </w:rPr>
              <w:t>Statistical Area Level 4 (SA4)</w:t>
            </w:r>
          </w:p>
        </w:tc>
        <w:tc>
          <w:tcPr>
            <w:tcW w:w="2200" w:type="dxa"/>
            <w:tcBorders>
              <w:top w:val="single" w:sz="4" w:space="0" w:color="auto"/>
              <w:left w:val="nil"/>
              <w:bottom w:val="nil"/>
              <w:right w:val="nil"/>
            </w:tcBorders>
            <w:shd w:val="clear" w:color="000000" w:fill="4B0985"/>
            <w:vAlign w:val="center"/>
            <w:hideMark/>
          </w:tcPr>
          <w:p w14:paraId="524734C4" w14:textId="77777777" w:rsidR="00B277DD" w:rsidRPr="00B277DD" w:rsidRDefault="00B277DD" w:rsidP="00B277DD">
            <w:pPr>
              <w:spacing w:after="0" w:line="240" w:lineRule="auto"/>
              <w:jc w:val="center"/>
              <w:rPr>
                <w:rFonts w:eastAsia="Times New Roman" w:cs="Arial"/>
                <w:b/>
                <w:bCs/>
                <w:color w:val="FFFFFF"/>
                <w:sz w:val="18"/>
                <w:szCs w:val="18"/>
                <w:lang w:eastAsia="en-AU"/>
              </w:rPr>
            </w:pPr>
            <w:r w:rsidRPr="00B277DD">
              <w:rPr>
                <w:rFonts w:eastAsia="Times New Roman" w:cs="Arial"/>
                <w:b/>
                <w:bCs/>
                <w:color w:val="FFFFFF"/>
                <w:sz w:val="18"/>
                <w:szCs w:val="18"/>
                <w:lang w:eastAsia="en-AU"/>
              </w:rPr>
              <w:t>Remoteness</w:t>
            </w:r>
          </w:p>
        </w:tc>
        <w:tc>
          <w:tcPr>
            <w:tcW w:w="1460" w:type="dxa"/>
            <w:tcBorders>
              <w:top w:val="single" w:sz="4" w:space="0" w:color="auto"/>
              <w:left w:val="single" w:sz="4" w:space="0" w:color="auto"/>
              <w:bottom w:val="single" w:sz="4" w:space="0" w:color="auto"/>
              <w:right w:val="single" w:sz="4" w:space="0" w:color="auto"/>
            </w:tcBorders>
            <w:shd w:val="clear" w:color="000000" w:fill="4B0985"/>
            <w:noWrap/>
            <w:vAlign w:val="center"/>
            <w:hideMark/>
          </w:tcPr>
          <w:p w14:paraId="10C021FE" w14:textId="77777777" w:rsidR="00B277DD" w:rsidRPr="00B277DD" w:rsidRDefault="00B277DD" w:rsidP="00B277DD">
            <w:pPr>
              <w:spacing w:after="0" w:line="240" w:lineRule="auto"/>
              <w:jc w:val="center"/>
              <w:rPr>
                <w:rFonts w:eastAsia="Times New Roman" w:cs="Arial"/>
                <w:b/>
                <w:bCs/>
                <w:color w:val="FFFFFF"/>
                <w:sz w:val="18"/>
                <w:szCs w:val="18"/>
                <w:lang w:eastAsia="en-AU"/>
              </w:rPr>
            </w:pPr>
            <w:r w:rsidRPr="00B277DD">
              <w:rPr>
                <w:rFonts w:eastAsia="Times New Roman" w:cs="Arial"/>
                <w:b/>
                <w:bCs/>
                <w:color w:val="FFFFFF"/>
                <w:sz w:val="18"/>
                <w:szCs w:val="18"/>
                <w:lang w:eastAsia="en-AU"/>
              </w:rPr>
              <w:t>Dec-24</w:t>
            </w:r>
          </w:p>
        </w:tc>
        <w:tc>
          <w:tcPr>
            <w:tcW w:w="1460" w:type="dxa"/>
            <w:tcBorders>
              <w:top w:val="single" w:sz="4" w:space="0" w:color="auto"/>
              <w:left w:val="nil"/>
              <w:bottom w:val="single" w:sz="4" w:space="0" w:color="auto"/>
              <w:right w:val="single" w:sz="4" w:space="0" w:color="auto"/>
            </w:tcBorders>
            <w:shd w:val="clear" w:color="000000" w:fill="4B0985"/>
            <w:noWrap/>
            <w:vAlign w:val="center"/>
            <w:hideMark/>
          </w:tcPr>
          <w:p w14:paraId="35E4B822" w14:textId="77777777" w:rsidR="00B277DD" w:rsidRPr="00B277DD" w:rsidRDefault="00B277DD" w:rsidP="00B277DD">
            <w:pPr>
              <w:spacing w:after="0" w:line="240" w:lineRule="auto"/>
              <w:jc w:val="center"/>
              <w:rPr>
                <w:rFonts w:eastAsia="Times New Roman" w:cs="Arial"/>
                <w:b/>
                <w:bCs/>
                <w:color w:val="FFFFFF"/>
                <w:sz w:val="18"/>
                <w:szCs w:val="18"/>
                <w:lang w:eastAsia="en-AU"/>
              </w:rPr>
            </w:pPr>
            <w:r w:rsidRPr="00B277DD">
              <w:rPr>
                <w:rFonts w:eastAsia="Times New Roman" w:cs="Arial"/>
                <w:b/>
                <w:bCs/>
                <w:color w:val="FFFFFF"/>
                <w:sz w:val="18"/>
                <w:szCs w:val="18"/>
                <w:lang w:eastAsia="en-AU"/>
              </w:rPr>
              <w:t>Dec-25</w:t>
            </w:r>
          </w:p>
        </w:tc>
        <w:tc>
          <w:tcPr>
            <w:tcW w:w="1160" w:type="dxa"/>
            <w:tcBorders>
              <w:top w:val="single" w:sz="4" w:space="0" w:color="auto"/>
              <w:left w:val="nil"/>
              <w:bottom w:val="single" w:sz="4" w:space="0" w:color="auto"/>
              <w:right w:val="single" w:sz="4" w:space="0" w:color="auto"/>
            </w:tcBorders>
            <w:shd w:val="clear" w:color="000000" w:fill="4B0985"/>
            <w:noWrap/>
            <w:vAlign w:val="center"/>
            <w:hideMark/>
          </w:tcPr>
          <w:p w14:paraId="2278C64C" w14:textId="77777777" w:rsidR="00B277DD" w:rsidRPr="00B277DD" w:rsidRDefault="00B277DD" w:rsidP="00B277DD">
            <w:pPr>
              <w:spacing w:after="0" w:line="240" w:lineRule="auto"/>
              <w:jc w:val="center"/>
              <w:rPr>
                <w:rFonts w:eastAsia="Times New Roman" w:cs="Arial"/>
                <w:b/>
                <w:bCs/>
                <w:color w:val="FFFFFF"/>
                <w:sz w:val="18"/>
                <w:szCs w:val="18"/>
                <w:lang w:eastAsia="en-AU"/>
              </w:rPr>
            </w:pPr>
            <w:r w:rsidRPr="00B277DD">
              <w:rPr>
                <w:rFonts w:eastAsia="Times New Roman" w:cs="Arial"/>
                <w:b/>
                <w:bCs/>
                <w:color w:val="FFFFFF"/>
                <w:sz w:val="18"/>
                <w:szCs w:val="18"/>
                <w:lang w:eastAsia="en-AU"/>
              </w:rPr>
              <w:t>Direction</w:t>
            </w:r>
          </w:p>
        </w:tc>
      </w:tr>
      <w:tr w:rsidR="00B277DD" w:rsidRPr="00B277DD" w14:paraId="2694822B" w14:textId="77777777" w:rsidTr="00B277DD">
        <w:trPr>
          <w:trHeight w:val="283"/>
        </w:trPr>
        <w:tc>
          <w:tcPr>
            <w:tcW w:w="3320" w:type="dxa"/>
            <w:tcBorders>
              <w:top w:val="single" w:sz="4" w:space="0" w:color="auto"/>
              <w:left w:val="single" w:sz="4" w:space="0" w:color="auto"/>
              <w:bottom w:val="nil"/>
              <w:right w:val="single" w:sz="4" w:space="0" w:color="auto"/>
            </w:tcBorders>
            <w:noWrap/>
            <w:vAlign w:val="bottom"/>
            <w:hideMark/>
          </w:tcPr>
          <w:p w14:paraId="7D32F807"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Central Coast</w:t>
            </w:r>
          </w:p>
        </w:tc>
        <w:tc>
          <w:tcPr>
            <w:tcW w:w="2200" w:type="dxa"/>
            <w:tcBorders>
              <w:top w:val="single" w:sz="4" w:space="0" w:color="auto"/>
              <w:left w:val="nil"/>
              <w:bottom w:val="nil"/>
              <w:right w:val="nil"/>
            </w:tcBorders>
            <w:noWrap/>
            <w:vAlign w:val="bottom"/>
            <w:hideMark/>
          </w:tcPr>
          <w:p w14:paraId="27622C04"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7C3F588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2533893C"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45248F2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77C1BD9E"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2A526B89"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Sydney - Baulkham Hills and Hawkesbury</w:t>
            </w:r>
          </w:p>
        </w:tc>
        <w:tc>
          <w:tcPr>
            <w:tcW w:w="2200" w:type="dxa"/>
            <w:tcBorders>
              <w:top w:val="nil"/>
              <w:left w:val="nil"/>
              <w:bottom w:val="nil"/>
              <w:right w:val="nil"/>
            </w:tcBorders>
            <w:noWrap/>
            <w:vAlign w:val="bottom"/>
            <w:hideMark/>
          </w:tcPr>
          <w:p w14:paraId="36F43E49"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5306565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352BA0C0"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65C2A85C"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44BEA2A7"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5E943B53"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Sydney - Blacktown</w:t>
            </w:r>
          </w:p>
        </w:tc>
        <w:tc>
          <w:tcPr>
            <w:tcW w:w="2200" w:type="dxa"/>
            <w:tcBorders>
              <w:top w:val="nil"/>
              <w:left w:val="nil"/>
              <w:bottom w:val="nil"/>
              <w:right w:val="nil"/>
            </w:tcBorders>
            <w:noWrap/>
            <w:vAlign w:val="bottom"/>
            <w:hideMark/>
          </w:tcPr>
          <w:p w14:paraId="77B4D2C3"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6F068D74"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696D9CD7"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2D26CE21"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12F557A7"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6072B243"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Sydney - City and Inner South</w:t>
            </w:r>
          </w:p>
        </w:tc>
        <w:tc>
          <w:tcPr>
            <w:tcW w:w="2200" w:type="dxa"/>
            <w:tcBorders>
              <w:top w:val="nil"/>
              <w:left w:val="nil"/>
              <w:bottom w:val="nil"/>
              <w:right w:val="nil"/>
            </w:tcBorders>
            <w:noWrap/>
            <w:vAlign w:val="bottom"/>
            <w:hideMark/>
          </w:tcPr>
          <w:p w14:paraId="2B2DAD20"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125776F9"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407BF9D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160" w:type="dxa"/>
            <w:tcBorders>
              <w:top w:val="nil"/>
              <w:left w:val="single" w:sz="4" w:space="0" w:color="auto"/>
              <w:bottom w:val="nil"/>
              <w:right w:val="single" w:sz="4" w:space="0" w:color="auto"/>
            </w:tcBorders>
            <w:shd w:val="clear" w:color="000000" w:fill="B91C1C"/>
            <w:noWrap/>
            <w:vAlign w:val="bottom"/>
            <w:hideMark/>
          </w:tcPr>
          <w:p w14:paraId="6F2C563D" w14:textId="77777777" w:rsidR="00B277DD" w:rsidRPr="00B277DD" w:rsidRDefault="00B277DD" w:rsidP="00B277DD">
            <w:pPr>
              <w:spacing w:after="0" w:line="240" w:lineRule="auto"/>
              <w:jc w:val="center"/>
              <w:rPr>
                <w:rFonts w:eastAsia="Times New Roman" w:cs="Arial"/>
                <w:color w:val="FFFFFF"/>
                <w:sz w:val="16"/>
                <w:szCs w:val="16"/>
                <w:lang w:eastAsia="en-AU"/>
              </w:rPr>
            </w:pPr>
            <w:r w:rsidRPr="00B277DD">
              <w:rPr>
                <w:rFonts w:eastAsia="Times New Roman" w:cs="Arial"/>
                <w:color w:val="FFFFFF"/>
                <w:sz w:val="16"/>
                <w:szCs w:val="16"/>
                <w:lang w:eastAsia="en-AU"/>
              </w:rPr>
              <w:t>Declined</w:t>
            </w:r>
          </w:p>
        </w:tc>
      </w:tr>
      <w:tr w:rsidR="00B277DD" w:rsidRPr="00B277DD" w14:paraId="49B55298"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69304DF3"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Sydney - Eastern Suburbs</w:t>
            </w:r>
          </w:p>
        </w:tc>
        <w:tc>
          <w:tcPr>
            <w:tcW w:w="2200" w:type="dxa"/>
            <w:tcBorders>
              <w:top w:val="nil"/>
              <w:left w:val="nil"/>
              <w:bottom w:val="nil"/>
              <w:right w:val="nil"/>
            </w:tcBorders>
            <w:noWrap/>
            <w:vAlign w:val="bottom"/>
            <w:hideMark/>
          </w:tcPr>
          <w:p w14:paraId="7D2B4A86"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00D7026D"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5384B9EE"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25DDD15B"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0ADDCFC0"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4C2E7672"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 xml:space="preserve">Sydney - Inner </w:t>
            </w:r>
            <w:proofErr w:type="gramStart"/>
            <w:r w:rsidRPr="00B277DD">
              <w:rPr>
                <w:rFonts w:eastAsia="Times New Roman" w:cs="Arial"/>
                <w:color w:val="000000"/>
                <w:sz w:val="16"/>
                <w:szCs w:val="16"/>
                <w:lang w:eastAsia="en-AU"/>
              </w:rPr>
              <w:t>South West</w:t>
            </w:r>
            <w:proofErr w:type="gramEnd"/>
          </w:p>
        </w:tc>
        <w:tc>
          <w:tcPr>
            <w:tcW w:w="2200" w:type="dxa"/>
            <w:tcBorders>
              <w:top w:val="nil"/>
              <w:left w:val="nil"/>
              <w:bottom w:val="nil"/>
              <w:right w:val="nil"/>
            </w:tcBorders>
            <w:noWrap/>
            <w:vAlign w:val="bottom"/>
            <w:hideMark/>
          </w:tcPr>
          <w:p w14:paraId="2D82DC77"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10508E09"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7D65A9B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402C9F08"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19CED22E"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7A77A40E"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Sydney - Inner West</w:t>
            </w:r>
          </w:p>
        </w:tc>
        <w:tc>
          <w:tcPr>
            <w:tcW w:w="2200" w:type="dxa"/>
            <w:tcBorders>
              <w:top w:val="nil"/>
              <w:left w:val="nil"/>
              <w:bottom w:val="nil"/>
              <w:right w:val="nil"/>
            </w:tcBorders>
            <w:noWrap/>
            <w:vAlign w:val="bottom"/>
            <w:hideMark/>
          </w:tcPr>
          <w:p w14:paraId="5ADDACD6"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053C8269"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7D63A280"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725DF6B7"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4165BF94"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2E61E064"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Sydney - North Sydney and Hornsby</w:t>
            </w:r>
          </w:p>
        </w:tc>
        <w:tc>
          <w:tcPr>
            <w:tcW w:w="2200" w:type="dxa"/>
            <w:tcBorders>
              <w:top w:val="nil"/>
              <w:left w:val="nil"/>
              <w:bottom w:val="nil"/>
              <w:right w:val="nil"/>
            </w:tcBorders>
            <w:noWrap/>
            <w:vAlign w:val="bottom"/>
            <w:hideMark/>
          </w:tcPr>
          <w:p w14:paraId="7BEA2036"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5FE2A72F"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1534A1C0"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1F2DF6E7"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258AAAAD"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77736B6D"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Sydney - Northern Beaches</w:t>
            </w:r>
          </w:p>
        </w:tc>
        <w:tc>
          <w:tcPr>
            <w:tcW w:w="2200" w:type="dxa"/>
            <w:tcBorders>
              <w:top w:val="nil"/>
              <w:left w:val="nil"/>
              <w:bottom w:val="nil"/>
              <w:right w:val="nil"/>
            </w:tcBorders>
            <w:noWrap/>
            <w:vAlign w:val="bottom"/>
            <w:hideMark/>
          </w:tcPr>
          <w:p w14:paraId="21ED2C8F"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22D33C7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1CC2BABB"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75825F30"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315C9D9C"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53C27A99"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 xml:space="preserve">Sydney - Outer </w:t>
            </w:r>
            <w:proofErr w:type="gramStart"/>
            <w:r w:rsidRPr="00B277DD">
              <w:rPr>
                <w:rFonts w:eastAsia="Times New Roman" w:cs="Arial"/>
                <w:color w:val="000000"/>
                <w:sz w:val="16"/>
                <w:szCs w:val="16"/>
                <w:lang w:eastAsia="en-AU"/>
              </w:rPr>
              <w:t>South West</w:t>
            </w:r>
            <w:proofErr w:type="gramEnd"/>
          </w:p>
        </w:tc>
        <w:tc>
          <w:tcPr>
            <w:tcW w:w="2200" w:type="dxa"/>
            <w:tcBorders>
              <w:top w:val="nil"/>
              <w:left w:val="nil"/>
              <w:bottom w:val="nil"/>
              <w:right w:val="nil"/>
            </w:tcBorders>
            <w:noWrap/>
            <w:vAlign w:val="bottom"/>
            <w:hideMark/>
          </w:tcPr>
          <w:p w14:paraId="66E631EC"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28160B9E"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70C880E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57068D0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54F0AD4C"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49172444"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Sydney - Outer West and Blue Mountains</w:t>
            </w:r>
          </w:p>
        </w:tc>
        <w:tc>
          <w:tcPr>
            <w:tcW w:w="2200" w:type="dxa"/>
            <w:tcBorders>
              <w:top w:val="nil"/>
              <w:left w:val="nil"/>
              <w:bottom w:val="nil"/>
              <w:right w:val="nil"/>
            </w:tcBorders>
            <w:noWrap/>
            <w:vAlign w:val="bottom"/>
            <w:hideMark/>
          </w:tcPr>
          <w:p w14:paraId="17D72031"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32FAC95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5A0A409B"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565D50C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105B3CEB"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30350FA2"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Sydney - Parramatta</w:t>
            </w:r>
          </w:p>
        </w:tc>
        <w:tc>
          <w:tcPr>
            <w:tcW w:w="2200" w:type="dxa"/>
            <w:tcBorders>
              <w:top w:val="nil"/>
              <w:left w:val="nil"/>
              <w:bottom w:val="nil"/>
              <w:right w:val="nil"/>
            </w:tcBorders>
            <w:noWrap/>
            <w:vAlign w:val="bottom"/>
            <w:hideMark/>
          </w:tcPr>
          <w:p w14:paraId="7EA57737"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2CDB701E"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7969018B"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4C6D18BF"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28810F02"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173CBB92"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Sydney - Ryde</w:t>
            </w:r>
          </w:p>
        </w:tc>
        <w:tc>
          <w:tcPr>
            <w:tcW w:w="2200" w:type="dxa"/>
            <w:tcBorders>
              <w:top w:val="nil"/>
              <w:left w:val="nil"/>
              <w:bottom w:val="nil"/>
              <w:right w:val="nil"/>
            </w:tcBorders>
            <w:noWrap/>
            <w:vAlign w:val="bottom"/>
            <w:hideMark/>
          </w:tcPr>
          <w:p w14:paraId="0FF48C5C"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33B9615E"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69D9129C"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47ABE51B"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081ADEE9"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7A297D2A"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 xml:space="preserve">Sydney - </w:t>
            </w:r>
            <w:proofErr w:type="gramStart"/>
            <w:r w:rsidRPr="00B277DD">
              <w:rPr>
                <w:rFonts w:eastAsia="Times New Roman" w:cs="Arial"/>
                <w:color w:val="000000"/>
                <w:sz w:val="16"/>
                <w:szCs w:val="16"/>
                <w:lang w:eastAsia="en-AU"/>
              </w:rPr>
              <w:t>South West</w:t>
            </w:r>
            <w:proofErr w:type="gramEnd"/>
          </w:p>
        </w:tc>
        <w:tc>
          <w:tcPr>
            <w:tcW w:w="2200" w:type="dxa"/>
            <w:tcBorders>
              <w:top w:val="nil"/>
              <w:left w:val="nil"/>
              <w:bottom w:val="nil"/>
              <w:right w:val="nil"/>
            </w:tcBorders>
            <w:noWrap/>
            <w:vAlign w:val="bottom"/>
            <w:hideMark/>
          </w:tcPr>
          <w:p w14:paraId="24B3B25D"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1CCE683D"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3581A675"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49DB961E"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58F2618A"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09E6343D"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Sydney - Sutherland</w:t>
            </w:r>
          </w:p>
        </w:tc>
        <w:tc>
          <w:tcPr>
            <w:tcW w:w="2200" w:type="dxa"/>
            <w:tcBorders>
              <w:top w:val="nil"/>
              <w:left w:val="nil"/>
              <w:bottom w:val="nil"/>
              <w:right w:val="nil"/>
            </w:tcBorders>
            <w:noWrap/>
            <w:vAlign w:val="bottom"/>
            <w:hideMark/>
          </w:tcPr>
          <w:p w14:paraId="5F6EC659"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37BC3B65"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4B3F5D38"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58E80AC7"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70A0B1A4"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6594BE87"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Capital Region</w:t>
            </w:r>
          </w:p>
        </w:tc>
        <w:tc>
          <w:tcPr>
            <w:tcW w:w="2200" w:type="dxa"/>
            <w:tcBorders>
              <w:top w:val="nil"/>
              <w:left w:val="nil"/>
              <w:bottom w:val="nil"/>
              <w:right w:val="nil"/>
            </w:tcBorders>
            <w:noWrap/>
            <w:vAlign w:val="bottom"/>
            <w:hideMark/>
          </w:tcPr>
          <w:p w14:paraId="165E2141"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342E76C8"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758FAB0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23A0F340"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60122535"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5FCBE726"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New South Wales - Central West</w:t>
            </w:r>
          </w:p>
        </w:tc>
        <w:tc>
          <w:tcPr>
            <w:tcW w:w="2200" w:type="dxa"/>
            <w:tcBorders>
              <w:top w:val="nil"/>
              <w:left w:val="nil"/>
              <w:bottom w:val="nil"/>
              <w:right w:val="nil"/>
            </w:tcBorders>
            <w:noWrap/>
            <w:vAlign w:val="bottom"/>
            <w:hideMark/>
          </w:tcPr>
          <w:p w14:paraId="2C6F7F56"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4C74DA9C"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39F380BE"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4D9ECC58"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0C35E83A"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332A48E8"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Coffs Harbour - Grafton</w:t>
            </w:r>
          </w:p>
        </w:tc>
        <w:tc>
          <w:tcPr>
            <w:tcW w:w="2200" w:type="dxa"/>
            <w:tcBorders>
              <w:top w:val="nil"/>
              <w:left w:val="nil"/>
              <w:bottom w:val="nil"/>
              <w:right w:val="nil"/>
            </w:tcBorders>
            <w:noWrap/>
            <w:vAlign w:val="bottom"/>
            <w:hideMark/>
          </w:tcPr>
          <w:p w14:paraId="783BC046"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274C2F0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30B4BABE"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206CE264"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43F9DC13"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0B1AC101"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Far West and Orana</w:t>
            </w:r>
          </w:p>
        </w:tc>
        <w:tc>
          <w:tcPr>
            <w:tcW w:w="2200" w:type="dxa"/>
            <w:tcBorders>
              <w:top w:val="nil"/>
              <w:left w:val="nil"/>
              <w:bottom w:val="nil"/>
              <w:right w:val="nil"/>
            </w:tcBorders>
            <w:noWrap/>
            <w:vAlign w:val="bottom"/>
            <w:hideMark/>
          </w:tcPr>
          <w:p w14:paraId="1C6B053A"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Remote</w:t>
            </w:r>
          </w:p>
        </w:tc>
        <w:tc>
          <w:tcPr>
            <w:tcW w:w="1460" w:type="dxa"/>
            <w:tcBorders>
              <w:top w:val="nil"/>
              <w:left w:val="single" w:sz="4" w:space="0" w:color="auto"/>
              <w:bottom w:val="nil"/>
              <w:right w:val="single" w:sz="4" w:space="0" w:color="auto"/>
            </w:tcBorders>
            <w:noWrap/>
            <w:vAlign w:val="bottom"/>
            <w:hideMark/>
          </w:tcPr>
          <w:p w14:paraId="50B44EF2"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304581B1"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758D2CB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7C61A21A"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637C8C28"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Hunter Valley exc Newcastle</w:t>
            </w:r>
          </w:p>
        </w:tc>
        <w:tc>
          <w:tcPr>
            <w:tcW w:w="2200" w:type="dxa"/>
            <w:tcBorders>
              <w:top w:val="nil"/>
              <w:left w:val="nil"/>
              <w:bottom w:val="nil"/>
              <w:right w:val="nil"/>
            </w:tcBorders>
            <w:noWrap/>
            <w:vAlign w:val="bottom"/>
            <w:hideMark/>
          </w:tcPr>
          <w:p w14:paraId="3C19D0C5"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456AE12B"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304D1307"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17DFB64F"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7A720F7F"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4894C27F"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Illawarra</w:t>
            </w:r>
          </w:p>
        </w:tc>
        <w:tc>
          <w:tcPr>
            <w:tcW w:w="2200" w:type="dxa"/>
            <w:tcBorders>
              <w:top w:val="nil"/>
              <w:left w:val="nil"/>
              <w:bottom w:val="nil"/>
              <w:right w:val="nil"/>
            </w:tcBorders>
            <w:noWrap/>
            <w:vAlign w:val="bottom"/>
            <w:hideMark/>
          </w:tcPr>
          <w:p w14:paraId="0DF65024"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3D6D2BED"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203AFB71"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11CCD77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10BC6369"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04C9683C"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Mid North Coast</w:t>
            </w:r>
          </w:p>
        </w:tc>
        <w:tc>
          <w:tcPr>
            <w:tcW w:w="2200" w:type="dxa"/>
            <w:tcBorders>
              <w:top w:val="nil"/>
              <w:left w:val="nil"/>
              <w:bottom w:val="nil"/>
              <w:right w:val="nil"/>
            </w:tcBorders>
            <w:noWrap/>
            <w:vAlign w:val="bottom"/>
            <w:hideMark/>
          </w:tcPr>
          <w:p w14:paraId="3DB08B42"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38DB2510"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4A29B898"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3D9B7AA2"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78D5EC05"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263E5C5B"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Murray</w:t>
            </w:r>
          </w:p>
        </w:tc>
        <w:tc>
          <w:tcPr>
            <w:tcW w:w="2200" w:type="dxa"/>
            <w:tcBorders>
              <w:top w:val="nil"/>
              <w:left w:val="nil"/>
              <w:bottom w:val="nil"/>
              <w:right w:val="nil"/>
            </w:tcBorders>
            <w:noWrap/>
            <w:vAlign w:val="bottom"/>
            <w:hideMark/>
          </w:tcPr>
          <w:p w14:paraId="4169E527"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1688D7B2"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1AC788EE"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73DCCDF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12B8BB17"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41CC68B0"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 xml:space="preserve">New England and </w:t>
            </w:r>
            <w:proofErr w:type="gramStart"/>
            <w:r w:rsidRPr="00B277DD">
              <w:rPr>
                <w:rFonts w:eastAsia="Times New Roman" w:cs="Arial"/>
                <w:color w:val="000000"/>
                <w:sz w:val="16"/>
                <w:szCs w:val="16"/>
                <w:lang w:eastAsia="en-AU"/>
              </w:rPr>
              <w:t>North West</w:t>
            </w:r>
            <w:proofErr w:type="gramEnd"/>
          </w:p>
        </w:tc>
        <w:tc>
          <w:tcPr>
            <w:tcW w:w="2200" w:type="dxa"/>
            <w:tcBorders>
              <w:top w:val="nil"/>
              <w:left w:val="nil"/>
              <w:bottom w:val="nil"/>
              <w:right w:val="nil"/>
            </w:tcBorders>
            <w:noWrap/>
            <w:vAlign w:val="bottom"/>
            <w:hideMark/>
          </w:tcPr>
          <w:p w14:paraId="59D8FEEE"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74B8C5E0"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6F8C254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6E7ED4DB"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2DAECE1A"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53EE19A0"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Newcastle and Lake Macquarie</w:t>
            </w:r>
          </w:p>
        </w:tc>
        <w:tc>
          <w:tcPr>
            <w:tcW w:w="2200" w:type="dxa"/>
            <w:tcBorders>
              <w:top w:val="nil"/>
              <w:left w:val="nil"/>
              <w:bottom w:val="nil"/>
              <w:right w:val="nil"/>
            </w:tcBorders>
            <w:noWrap/>
            <w:vAlign w:val="bottom"/>
            <w:hideMark/>
          </w:tcPr>
          <w:p w14:paraId="7059F8C5"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46A9A21D"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74BD18CF"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156DBB15"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14FD9AB5"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26257B23"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Richmond - Tweed</w:t>
            </w:r>
          </w:p>
        </w:tc>
        <w:tc>
          <w:tcPr>
            <w:tcW w:w="2200" w:type="dxa"/>
            <w:tcBorders>
              <w:top w:val="nil"/>
              <w:left w:val="nil"/>
              <w:bottom w:val="nil"/>
              <w:right w:val="nil"/>
            </w:tcBorders>
            <w:noWrap/>
            <w:vAlign w:val="bottom"/>
            <w:hideMark/>
          </w:tcPr>
          <w:p w14:paraId="06F1B054"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01064C5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69ABD742"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160" w:type="dxa"/>
            <w:tcBorders>
              <w:top w:val="nil"/>
              <w:left w:val="single" w:sz="4" w:space="0" w:color="auto"/>
              <w:bottom w:val="nil"/>
              <w:right w:val="single" w:sz="4" w:space="0" w:color="auto"/>
            </w:tcBorders>
            <w:shd w:val="clear" w:color="000000" w:fill="047817"/>
            <w:noWrap/>
            <w:vAlign w:val="bottom"/>
            <w:hideMark/>
          </w:tcPr>
          <w:p w14:paraId="006DF285" w14:textId="77777777" w:rsidR="00B277DD" w:rsidRPr="00B277DD" w:rsidRDefault="00B277DD" w:rsidP="00B277DD">
            <w:pPr>
              <w:spacing w:after="0" w:line="240" w:lineRule="auto"/>
              <w:jc w:val="center"/>
              <w:rPr>
                <w:rFonts w:eastAsia="Times New Roman" w:cs="Arial"/>
                <w:color w:val="FFFFFF"/>
                <w:sz w:val="16"/>
                <w:szCs w:val="16"/>
                <w:lang w:eastAsia="en-AU"/>
              </w:rPr>
            </w:pPr>
            <w:r w:rsidRPr="00B277DD">
              <w:rPr>
                <w:rFonts w:eastAsia="Times New Roman" w:cs="Arial"/>
                <w:color w:val="FFFFFF"/>
                <w:sz w:val="16"/>
                <w:szCs w:val="16"/>
                <w:lang w:eastAsia="en-AU"/>
              </w:rPr>
              <w:t>Improved</w:t>
            </w:r>
          </w:p>
        </w:tc>
      </w:tr>
      <w:tr w:rsidR="00B277DD" w:rsidRPr="00B277DD" w14:paraId="601ACCC7"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6024C2AE"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Riverina</w:t>
            </w:r>
          </w:p>
        </w:tc>
        <w:tc>
          <w:tcPr>
            <w:tcW w:w="2200" w:type="dxa"/>
            <w:tcBorders>
              <w:top w:val="nil"/>
              <w:left w:val="nil"/>
              <w:bottom w:val="nil"/>
              <w:right w:val="nil"/>
            </w:tcBorders>
            <w:noWrap/>
            <w:vAlign w:val="bottom"/>
            <w:hideMark/>
          </w:tcPr>
          <w:p w14:paraId="7D4D8A00"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22B42307"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73B09549"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585C183D"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7C3F5904" w14:textId="77777777" w:rsidTr="00B277DD">
        <w:trPr>
          <w:trHeight w:val="283"/>
        </w:trPr>
        <w:tc>
          <w:tcPr>
            <w:tcW w:w="3320" w:type="dxa"/>
            <w:tcBorders>
              <w:top w:val="nil"/>
              <w:left w:val="single" w:sz="4" w:space="0" w:color="auto"/>
              <w:bottom w:val="single" w:sz="4" w:space="0" w:color="auto"/>
              <w:right w:val="single" w:sz="4" w:space="0" w:color="auto"/>
            </w:tcBorders>
            <w:noWrap/>
            <w:vAlign w:val="bottom"/>
            <w:hideMark/>
          </w:tcPr>
          <w:p w14:paraId="7F2EC85A"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Southern Highlands and Shoalhaven</w:t>
            </w:r>
          </w:p>
        </w:tc>
        <w:tc>
          <w:tcPr>
            <w:tcW w:w="2200" w:type="dxa"/>
            <w:tcBorders>
              <w:top w:val="nil"/>
              <w:left w:val="nil"/>
              <w:bottom w:val="single" w:sz="4" w:space="0" w:color="auto"/>
              <w:right w:val="nil"/>
            </w:tcBorders>
            <w:noWrap/>
            <w:vAlign w:val="bottom"/>
            <w:hideMark/>
          </w:tcPr>
          <w:p w14:paraId="40C931A3"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single" w:sz="4" w:space="0" w:color="auto"/>
              <w:right w:val="single" w:sz="4" w:space="0" w:color="auto"/>
            </w:tcBorders>
            <w:noWrap/>
            <w:vAlign w:val="bottom"/>
            <w:hideMark/>
          </w:tcPr>
          <w:p w14:paraId="01820752"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460" w:type="dxa"/>
            <w:tcBorders>
              <w:top w:val="nil"/>
              <w:left w:val="nil"/>
              <w:bottom w:val="single" w:sz="4" w:space="0" w:color="auto"/>
              <w:right w:val="single" w:sz="4" w:space="0" w:color="auto"/>
            </w:tcBorders>
            <w:noWrap/>
            <w:vAlign w:val="bottom"/>
            <w:hideMark/>
          </w:tcPr>
          <w:p w14:paraId="745F84BE"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160" w:type="dxa"/>
            <w:tcBorders>
              <w:top w:val="nil"/>
              <w:left w:val="nil"/>
              <w:bottom w:val="single" w:sz="4" w:space="0" w:color="auto"/>
              <w:right w:val="single" w:sz="4" w:space="0" w:color="auto"/>
            </w:tcBorders>
            <w:noWrap/>
            <w:vAlign w:val="bottom"/>
            <w:hideMark/>
          </w:tcPr>
          <w:p w14:paraId="0F745075"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613EFEA2"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2546D75B"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Melbourne - Inner</w:t>
            </w:r>
          </w:p>
        </w:tc>
        <w:tc>
          <w:tcPr>
            <w:tcW w:w="2200" w:type="dxa"/>
            <w:tcBorders>
              <w:top w:val="nil"/>
              <w:left w:val="nil"/>
              <w:bottom w:val="nil"/>
              <w:right w:val="nil"/>
            </w:tcBorders>
            <w:noWrap/>
            <w:vAlign w:val="bottom"/>
            <w:hideMark/>
          </w:tcPr>
          <w:p w14:paraId="29C07CED"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588552C8"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0DC5B5D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74DD1A18"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0F9202DF"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48BB66B1"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Melbourne - Inner East</w:t>
            </w:r>
          </w:p>
        </w:tc>
        <w:tc>
          <w:tcPr>
            <w:tcW w:w="2200" w:type="dxa"/>
            <w:tcBorders>
              <w:top w:val="nil"/>
              <w:left w:val="nil"/>
              <w:bottom w:val="nil"/>
              <w:right w:val="nil"/>
            </w:tcBorders>
            <w:noWrap/>
            <w:vAlign w:val="bottom"/>
            <w:hideMark/>
          </w:tcPr>
          <w:p w14:paraId="585F65F9"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5ED7DAD8"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19F3850F"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2E445C34"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21DC7DAD"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6F84DF87"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Melbourne - Inner South</w:t>
            </w:r>
          </w:p>
        </w:tc>
        <w:tc>
          <w:tcPr>
            <w:tcW w:w="2200" w:type="dxa"/>
            <w:tcBorders>
              <w:top w:val="nil"/>
              <w:left w:val="nil"/>
              <w:bottom w:val="nil"/>
              <w:right w:val="nil"/>
            </w:tcBorders>
            <w:noWrap/>
            <w:vAlign w:val="bottom"/>
            <w:hideMark/>
          </w:tcPr>
          <w:p w14:paraId="578038ED"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6D14B1BD"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4DF3911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14126C9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309C4A16"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22CE1EC1"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 xml:space="preserve">Melbourne - </w:t>
            </w:r>
            <w:proofErr w:type="gramStart"/>
            <w:r w:rsidRPr="00B277DD">
              <w:rPr>
                <w:rFonts w:eastAsia="Times New Roman" w:cs="Arial"/>
                <w:color w:val="000000"/>
                <w:sz w:val="16"/>
                <w:szCs w:val="16"/>
                <w:lang w:eastAsia="en-AU"/>
              </w:rPr>
              <w:t>North East</w:t>
            </w:r>
            <w:proofErr w:type="gramEnd"/>
          </w:p>
        </w:tc>
        <w:tc>
          <w:tcPr>
            <w:tcW w:w="2200" w:type="dxa"/>
            <w:tcBorders>
              <w:top w:val="nil"/>
              <w:left w:val="nil"/>
              <w:bottom w:val="nil"/>
              <w:right w:val="nil"/>
            </w:tcBorders>
            <w:noWrap/>
            <w:vAlign w:val="bottom"/>
            <w:hideMark/>
          </w:tcPr>
          <w:p w14:paraId="587EA1D6"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0D1372C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3E26DC3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73DAEBFD"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45351E91"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76D30D86"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 xml:space="preserve">Melbourne - </w:t>
            </w:r>
            <w:proofErr w:type="gramStart"/>
            <w:r w:rsidRPr="00B277DD">
              <w:rPr>
                <w:rFonts w:eastAsia="Times New Roman" w:cs="Arial"/>
                <w:color w:val="000000"/>
                <w:sz w:val="16"/>
                <w:szCs w:val="16"/>
                <w:lang w:eastAsia="en-AU"/>
              </w:rPr>
              <w:t>North West</w:t>
            </w:r>
            <w:proofErr w:type="gramEnd"/>
          </w:p>
        </w:tc>
        <w:tc>
          <w:tcPr>
            <w:tcW w:w="2200" w:type="dxa"/>
            <w:tcBorders>
              <w:top w:val="nil"/>
              <w:left w:val="nil"/>
              <w:bottom w:val="nil"/>
              <w:right w:val="nil"/>
            </w:tcBorders>
            <w:noWrap/>
            <w:vAlign w:val="bottom"/>
            <w:hideMark/>
          </w:tcPr>
          <w:p w14:paraId="19BABE3A"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2C2063F4"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71A759E9"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3C312A6B"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49C2D139"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21E27665"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Melbourne - Outer East</w:t>
            </w:r>
          </w:p>
        </w:tc>
        <w:tc>
          <w:tcPr>
            <w:tcW w:w="2200" w:type="dxa"/>
            <w:tcBorders>
              <w:top w:val="nil"/>
              <w:left w:val="nil"/>
              <w:bottom w:val="nil"/>
              <w:right w:val="nil"/>
            </w:tcBorders>
            <w:noWrap/>
            <w:vAlign w:val="bottom"/>
            <w:hideMark/>
          </w:tcPr>
          <w:p w14:paraId="07E4D2BE"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7075728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64B7850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6F772B3E"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2BE388E7"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51E16088"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 xml:space="preserve">Melbourne - </w:t>
            </w:r>
            <w:proofErr w:type="gramStart"/>
            <w:r w:rsidRPr="00B277DD">
              <w:rPr>
                <w:rFonts w:eastAsia="Times New Roman" w:cs="Arial"/>
                <w:color w:val="000000"/>
                <w:sz w:val="16"/>
                <w:szCs w:val="16"/>
                <w:lang w:eastAsia="en-AU"/>
              </w:rPr>
              <w:t>South East</w:t>
            </w:r>
            <w:proofErr w:type="gramEnd"/>
          </w:p>
        </w:tc>
        <w:tc>
          <w:tcPr>
            <w:tcW w:w="2200" w:type="dxa"/>
            <w:tcBorders>
              <w:top w:val="nil"/>
              <w:left w:val="nil"/>
              <w:bottom w:val="nil"/>
              <w:right w:val="nil"/>
            </w:tcBorders>
            <w:noWrap/>
            <w:vAlign w:val="bottom"/>
            <w:hideMark/>
          </w:tcPr>
          <w:p w14:paraId="4E411FAA"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3368A9EE"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514BDBE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160" w:type="dxa"/>
            <w:tcBorders>
              <w:top w:val="nil"/>
              <w:left w:val="single" w:sz="4" w:space="0" w:color="auto"/>
              <w:bottom w:val="nil"/>
              <w:right w:val="single" w:sz="4" w:space="0" w:color="auto"/>
            </w:tcBorders>
            <w:shd w:val="clear" w:color="000000" w:fill="B91C1C"/>
            <w:noWrap/>
            <w:vAlign w:val="bottom"/>
            <w:hideMark/>
          </w:tcPr>
          <w:p w14:paraId="663F77CB" w14:textId="77777777" w:rsidR="00B277DD" w:rsidRPr="00B277DD" w:rsidRDefault="00B277DD" w:rsidP="00B277DD">
            <w:pPr>
              <w:spacing w:after="0" w:line="240" w:lineRule="auto"/>
              <w:jc w:val="center"/>
              <w:rPr>
                <w:rFonts w:eastAsia="Times New Roman" w:cs="Arial"/>
                <w:color w:val="FFFFFF"/>
                <w:sz w:val="16"/>
                <w:szCs w:val="16"/>
                <w:lang w:eastAsia="en-AU"/>
              </w:rPr>
            </w:pPr>
            <w:r w:rsidRPr="00B277DD">
              <w:rPr>
                <w:rFonts w:eastAsia="Times New Roman" w:cs="Arial"/>
                <w:color w:val="FFFFFF"/>
                <w:sz w:val="16"/>
                <w:szCs w:val="16"/>
                <w:lang w:eastAsia="en-AU"/>
              </w:rPr>
              <w:t>Declined</w:t>
            </w:r>
          </w:p>
        </w:tc>
      </w:tr>
      <w:tr w:rsidR="00B277DD" w:rsidRPr="00B277DD" w14:paraId="6FB831ED"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5307DDCF"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Melbourne - West</w:t>
            </w:r>
          </w:p>
        </w:tc>
        <w:tc>
          <w:tcPr>
            <w:tcW w:w="2200" w:type="dxa"/>
            <w:tcBorders>
              <w:top w:val="nil"/>
              <w:left w:val="nil"/>
              <w:bottom w:val="nil"/>
              <w:right w:val="nil"/>
            </w:tcBorders>
            <w:noWrap/>
            <w:vAlign w:val="bottom"/>
            <w:hideMark/>
          </w:tcPr>
          <w:p w14:paraId="6FD52A82"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5FCCB509"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4B4A0531"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71B60A5B"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7104AE36"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08604E75"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Mornington Peninsula</w:t>
            </w:r>
          </w:p>
        </w:tc>
        <w:tc>
          <w:tcPr>
            <w:tcW w:w="2200" w:type="dxa"/>
            <w:tcBorders>
              <w:top w:val="nil"/>
              <w:left w:val="nil"/>
              <w:bottom w:val="nil"/>
              <w:right w:val="nil"/>
            </w:tcBorders>
            <w:noWrap/>
            <w:vAlign w:val="bottom"/>
            <w:hideMark/>
          </w:tcPr>
          <w:p w14:paraId="71AE8DA2"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507C635B"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4EFC7C4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473901BE"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6A34416D"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5B9C45CD"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Ballarat</w:t>
            </w:r>
          </w:p>
        </w:tc>
        <w:tc>
          <w:tcPr>
            <w:tcW w:w="2200" w:type="dxa"/>
            <w:tcBorders>
              <w:top w:val="nil"/>
              <w:left w:val="nil"/>
              <w:bottom w:val="nil"/>
              <w:right w:val="nil"/>
            </w:tcBorders>
            <w:noWrap/>
            <w:vAlign w:val="bottom"/>
            <w:hideMark/>
          </w:tcPr>
          <w:p w14:paraId="152EB0CD"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3B416E75"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58374B01"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5C4550A9"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0CB01BF6"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71BEF139"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Bendigo</w:t>
            </w:r>
          </w:p>
        </w:tc>
        <w:tc>
          <w:tcPr>
            <w:tcW w:w="2200" w:type="dxa"/>
            <w:tcBorders>
              <w:top w:val="nil"/>
              <w:left w:val="nil"/>
              <w:bottom w:val="nil"/>
              <w:right w:val="nil"/>
            </w:tcBorders>
            <w:noWrap/>
            <w:vAlign w:val="bottom"/>
            <w:hideMark/>
          </w:tcPr>
          <w:p w14:paraId="453916DC"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3A2ED934"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324F6D38"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2C1DC234"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216B9CAF"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5B2D6264"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Geelong</w:t>
            </w:r>
          </w:p>
        </w:tc>
        <w:tc>
          <w:tcPr>
            <w:tcW w:w="2200" w:type="dxa"/>
            <w:tcBorders>
              <w:top w:val="nil"/>
              <w:left w:val="nil"/>
              <w:bottom w:val="nil"/>
              <w:right w:val="nil"/>
            </w:tcBorders>
            <w:noWrap/>
            <w:vAlign w:val="bottom"/>
            <w:hideMark/>
          </w:tcPr>
          <w:p w14:paraId="77246EBE"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4BB955C0"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201B81C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5A4EF075"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57236827"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3866B9CB"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Hume</w:t>
            </w:r>
          </w:p>
        </w:tc>
        <w:tc>
          <w:tcPr>
            <w:tcW w:w="2200" w:type="dxa"/>
            <w:tcBorders>
              <w:top w:val="nil"/>
              <w:left w:val="nil"/>
              <w:bottom w:val="nil"/>
              <w:right w:val="nil"/>
            </w:tcBorders>
            <w:noWrap/>
            <w:vAlign w:val="bottom"/>
            <w:hideMark/>
          </w:tcPr>
          <w:p w14:paraId="57F280E1"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0D47134E"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7ABC497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single" w:sz="4" w:space="0" w:color="auto"/>
              <w:bottom w:val="nil"/>
              <w:right w:val="single" w:sz="4" w:space="0" w:color="auto"/>
            </w:tcBorders>
            <w:shd w:val="clear" w:color="000000" w:fill="047817"/>
            <w:noWrap/>
            <w:vAlign w:val="bottom"/>
            <w:hideMark/>
          </w:tcPr>
          <w:p w14:paraId="245B2190" w14:textId="77777777" w:rsidR="00B277DD" w:rsidRPr="00B277DD" w:rsidRDefault="00B277DD" w:rsidP="00B277DD">
            <w:pPr>
              <w:spacing w:after="0" w:line="240" w:lineRule="auto"/>
              <w:jc w:val="center"/>
              <w:rPr>
                <w:rFonts w:eastAsia="Times New Roman" w:cs="Arial"/>
                <w:color w:val="FFFFFF"/>
                <w:sz w:val="16"/>
                <w:szCs w:val="16"/>
                <w:lang w:eastAsia="en-AU"/>
              </w:rPr>
            </w:pPr>
            <w:r w:rsidRPr="00B277DD">
              <w:rPr>
                <w:rFonts w:eastAsia="Times New Roman" w:cs="Arial"/>
                <w:color w:val="FFFFFF"/>
                <w:sz w:val="16"/>
                <w:szCs w:val="16"/>
                <w:lang w:eastAsia="en-AU"/>
              </w:rPr>
              <w:t>Improved</w:t>
            </w:r>
          </w:p>
        </w:tc>
      </w:tr>
      <w:tr w:rsidR="00B277DD" w:rsidRPr="00B277DD" w14:paraId="795D28DF"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045F8E04"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Latrobe - Gippsland</w:t>
            </w:r>
          </w:p>
        </w:tc>
        <w:tc>
          <w:tcPr>
            <w:tcW w:w="2200" w:type="dxa"/>
            <w:tcBorders>
              <w:top w:val="nil"/>
              <w:left w:val="nil"/>
              <w:bottom w:val="nil"/>
              <w:right w:val="nil"/>
            </w:tcBorders>
            <w:noWrap/>
            <w:vAlign w:val="bottom"/>
            <w:hideMark/>
          </w:tcPr>
          <w:p w14:paraId="60D7EDDE"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56CD4340"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1B99D3C8"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775E57D9"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0B3725A1"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05F5FBC2"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 xml:space="preserve">Victoria - </w:t>
            </w:r>
            <w:proofErr w:type="gramStart"/>
            <w:r w:rsidRPr="00B277DD">
              <w:rPr>
                <w:rFonts w:eastAsia="Times New Roman" w:cs="Arial"/>
                <w:color w:val="000000"/>
                <w:sz w:val="16"/>
                <w:szCs w:val="16"/>
                <w:lang w:eastAsia="en-AU"/>
              </w:rPr>
              <w:t>North West</w:t>
            </w:r>
            <w:proofErr w:type="gramEnd"/>
          </w:p>
        </w:tc>
        <w:tc>
          <w:tcPr>
            <w:tcW w:w="2200" w:type="dxa"/>
            <w:tcBorders>
              <w:top w:val="nil"/>
              <w:left w:val="nil"/>
              <w:bottom w:val="nil"/>
              <w:right w:val="nil"/>
            </w:tcBorders>
            <w:noWrap/>
            <w:vAlign w:val="bottom"/>
            <w:hideMark/>
          </w:tcPr>
          <w:p w14:paraId="48C807FC"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3CE72577"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0A9514AF"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160" w:type="dxa"/>
            <w:tcBorders>
              <w:top w:val="nil"/>
              <w:left w:val="single" w:sz="4" w:space="0" w:color="auto"/>
              <w:bottom w:val="nil"/>
              <w:right w:val="single" w:sz="4" w:space="0" w:color="auto"/>
            </w:tcBorders>
            <w:shd w:val="clear" w:color="000000" w:fill="047817"/>
            <w:noWrap/>
            <w:vAlign w:val="bottom"/>
            <w:hideMark/>
          </w:tcPr>
          <w:p w14:paraId="144737DF" w14:textId="77777777" w:rsidR="00B277DD" w:rsidRPr="00B277DD" w:rsidRDefault="00B277DD" w:rsidP="00B277DD">
            <w:pPr>
              <w:spacing w:after="0" w:line="240" w:lineRule="auto"/>
              <w:jc w:val="center"/>
              <w:rPr>
                <w:rFonts w:eastAsia="Times New Roman" w:cs="Arial"/>
                <w:color w:val="FFFFFF"/>
                <w:sz w:val="16"/>
                <w:szCs w:val="16"/>
                <w:lang w:eastAsia="en-AU"/>
              </w:rPr>
            </w:pPr>
            <w:r w:rsidRPr="00B277DD">
              <w:rPr>
                <w:rFonts w:eastAsia="Times New Roman" w:cs="Arial"/>
                <w:color w:val="FFFFFF"/>
                <w:sz w:val="16"/>
                <w:szCs w:val="16"/>
                <w:lang w:eastAsia="en-AU"/>
              </w:rPr>
              <w:t>Improved</w:t>
            </w:r>
          </w:p>
        </w:tc>
      </w:tr>
      <w:tr w:rsidR="00B277DD" w:rsidRPr="00B277DD" w14:paraId="45FCAE79" w14:textId="77777777" w:rsidTr="00B277DD">
        <w:trPr>
          <w:trHeight w:val="283"/>
        </w:trPr>
        <w:tc>
          <w:tcPr>
            <w:tcW w:w="3320" w:type="dxa"/>
            <w:tcBorders>
              <w:top w:val="nil"/>
              <w:left w:val="single" w:sz="4" w:space="0" w:color="auto"/>
              <w:bottom w:val="nil"/>
              <w:right w:val="single" w:sz="4" w:space="0" w:color="auto"/>
            </w:tcBorders>
            <w:noWrap/>
            <w:vAlign w:val="bottom"/>
            <w:hideMark/>
          </w:tcPr>
          <w:p w14:paraId="5DAB4D21"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Shepparton</w:t>
            </w:r>
          </w:p>
        </w:tc>
        <w:tc>
          <w:tcPr>
            <w:tcW w:w="2200" w:type="dxa"/>
            <w:tcBorders>
              <w:top w:val="nil"/>
              <w:left w:val="nil"/>
              <w:bottom w:val="nil"/>
              <w:right w:val="nil"/>
            </w:tcBorders>
            <w:noWrap/>
            <w:vAlign w:val="bottom"/>
            <w:hideMark/>
          </w:tcPr>
          <w:p w14:paraId="0FBADB4F"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0E7C23E5"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4B79B287"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160" w:type="dxa"/>
            <w:tcBorders>
              <w:top w:val="nil"/>
              <w:left w:val="single" w:sz="4" w:space="0" w:color="auto"/>
              <w:bottom w:val="nil"/>
              <w:right w:val="single" w:sz="4" w:space="0" w:color="auto"/>
            </w:tcBorders>
            <w:shd w:val="clear" w:color="000000" w:fill="047817"/>
            <w:noWrap/>
            <w:vAlign w:val="bottom"/>
            <w:hideMark/>
          </w:tcPr>
          <w:p w14:paraId="16C2B093" w14:textId="77777777" w:rsidR="00B277DD" w:rsidRPr="00B277DD" w:rsidRDefault="00B277DD" w:rsidP="00B277DD">
            <w:pPr>
              <w:spacing w:after="0" w:line="240" w:lineRule="auto"/>
              <w:jc w:val="center"/>
              <w:rPr>
                <w:rFonts w:eastAsia="Times New Roman" w:cs="Arial"/>
                <w:color w:val="FFFFFF"/>
                <w:sz w:val="16"/>
                <w:szCs w:val="16"/>
                <w:lang w:eastAsia="en-AU"/>
              </w:rPr>
            </w:pPr>
            <w:r w:rsidRPr="00B277DD">
              <w:rPr>
                <w:rFonts w:eastAsia="Times New Roman" w:cs="Arial"/>
                <w:color w:val="FFFFFF"/>
                <w:sz w:val="16"/>
                <w:szCs w:val="16"/>
                <w:lang w:eastAsia="en-AU"/>
              </w:rPr>
              <w:t>Improved</w:t>
            </w:r>
          </w:p>
        </w:tc>
      </w:tr>
      <w:tr w:rsidR="00B277DD" w:rsidRPr="00B277DD" w14:paraId="731F8FA1" w14:textId="77777777" w:rsidTr="00B277DD">
        <w:trPr>
          <w:trHeight w:val="283"/>
        </w:trPr>
        <w:tc>
          <w:tcPr>
            <w:tcW w:w="3320" w:type="dxa"/>
            <w:tcBorders>
              <w:top w:val="nil"/>
              <w:left w:val="single" w:sz="4" w:space="0" w:color="auto"/>
              <w:bottom w:val="single" w:sz="4" w:space="0" w:color="auto"/>
              <w:right w:val="single" w:sz="4" w:space="0" w:color="auto"/>
            </w:tcBorders>
            <w:noWrap/>
            <w:vAlign w:val="bottom"/>
            <w:hideMark/>
          </w:tcPr>
          <w:p w14:paraId="09BE4535"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 xml:space="preserve">Warrnambool and </w:t>
            </w:r>
            <w:proofErr w:type="gramStart"/>
            <w:r w:rsidRPr="00B277DD">
              <w:rPr>
                <w:rFonts w:eastAsia="Times New Roman" w:cs="Arial"/>
                <w:color w:val="000000"/>
                <w:sz w:val="16"/>
                <w:szCs w:val="16"/>
                <w:lang w:eastAsia="en-AU"/>
              </w:rPr>
              <w:t>South West</w:t>
            </w:r>
            <w:proofErr w:type="gramEnd"/>
          </w:p>
        </w:tc>
        <w:tc>
          <w:tcPr>
            <w:tcW w:w="2200" w:type="dxa"/>
            <w:tcBorders>
              <w:top w:val="nil"/>
              <w:left w:val="nil"/>
              <w:bottom w:val="single" w:sz="4" w:space="0" w:color="auto"/>
              <w:right w:val="nil"/>
            </w:tcBorders>
            <w:noWrap/>
            <w:vAlign w:val="bottom"/>
            <w:hideMark/>
          </w:tcPr>
          <w:p w14:paraId="6371AF49"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single" w:sz="4" w:space="0" w:color="auto"/>
              <w:right w:val="single" w:sz="4" w:space="0" w:color="auto"/>
            </w:tcBorders>
            <w:noWrap/>
            <w:vAlign w:val="bottom"/>
            <w:hideMark/>
          </w:tcPr>
          <w:p w14:paraId="1B5E63BB"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460" w:type="dxa"/>
            <w:tcBorders>
              <w:top w:val="nil"/>
              <w:left w:val="nil"/>
              <w:bottom w:val="single" w:sz="4" w:space="0" w:color="auto"/>
              <w:right w:val="single" w:sz="4" w:space="0" w:color="auto"/>
            </w:tcBorders>
            <w:noWrap/>
            <w:vAlign w:val="bottom"/>
            <w:hideMark/>
          </w:tcPr>
          <w:p w14:paraId="0F24B91B"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160" w:type="dxa"/>
            <w:tcBorders>
              <w:top w:val="nil"/>
              <w:left w:val="nil"/>
              <w:bottom w:val="single" w:sz="4" w:space="0" w:color="auto"/>
              <w:right w:val="single" w:sz="4" w:space="0" w:color="auto"/>
            </w:tcBorders>
            <w:noWrap/>
            <w:vAlign w:val="bottom"/>
            <w:hideMark/>
          </w:tcPr>
          <w:p w14:paraId="0EDDEED1"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bl>
    <w:p w14:paraId="5D349BA3" w14:textId="77777777" w:rsidR="00FF2A2C" w:rsidRPr="00BC1B66" w:rsidRDefault="00FF2A2C" w:rsidP="00FF2A2C"/>
    <w:p w14:paraId="19FC918F" w14:textId="77777777" w:rsidR="00BC1B66" w:rsidRDefault="00BC1B66" w:rsidP="00FF2A2C">
      <w:pPr>
        <w:sectPr w:rsidR="00BC1B66" w:rsidSect="00AC0C2F">
          <w:footerReference w:type="default" r:id="rId14"/>
          <w:footerReference w:type="first" r:id="rId15"/>
          <w:pgSz w:w="11906" w:h="16838"/>
          <w:pgMar w:top="1276" w:right="1440" w:bottom="1134" w:left="1440" w:header="0" w:footer="539" w:gutter="0"/>
          <w:cols w:space="708"/>
          <w:titlePg/>
          <w:docGrid w:linePitch="360"/>
        </w:sectPr>
      </w:pPr>
    </w:p>
    <w:tbl>
      <w:tblPr>
        <w:tblW w:w="9600" w:type="dxa"/>
        <w:tblLook w:val="04A0" w:firstRow="1" w:lastRow="0" w:firstColumn="1" w:lastColumn="0" w:noHBand="0" w:noVBand="1"/>
      </w:tblPr>
      <w:tblGrid>
        <w:gridCol w:w="3347"/>
        <w:gridCol w:w="2173"/>
        <w:gridCol w:w="1460"/>
        <w:gridCol w:w="1460"/>
        <w:gridCol w:w="1160"/>
      </w:tblGrid>
      <w:tr w:rsidR="00B277DD" w:rsidRPr="00B277DD" w14:paraId="380ABCF3" w14:textId="77777777" w:rsidTr="00B277DD">
        <w:trPr>
          <w:trHeight w:val="283"/>
        </w:trPr>
        <w:tc>
          <w:tcPr>
            <w:tcW w:w="3347" w:type="dxa"/>
            <w:tcBorders>
              <w:top w:val="nil"/>
              <w:left w:val="single" w:sz="4" w:space="0" w:color="auto"/>
              <w:bottom w:val="nil"/>
              <w:right w:val="single" w:sz="4" w:space="0" w:color="auto"/>
            </w:tcBorders>
            <w:shd w:val="clear" w:color="000000" w:fill="4B0985"/>
            <w:vAlign w:val="center"/>
            <w:hideMark/>
          </w:tcPr>
          <w:p w14:paraId="4BB17AA5" w14:textId="77777777" w:rsidR="00B277DD" w:rsidRPr="00B277DD" w:rsidRDefault="00B277DD" w:rsidP="00B277DD">
            <w:pPr>
              <w:spacing w:after="0" w:line="240" w:lineRule="auto"/>
              <w:jc w:val="center"/>
              <w:rPr>
                <w:rFonts w:eastAsia="Times New Roman" w:cs="Arial"/>
                <w:b/>
                <w:bCs/>
                <w:color w:val="FFFFFF"/>
                <w:sz w:val="18"/>
                <w:szCs w:val="18"/>
                <w:lang w:eastAsia="en-AU"/>
              </w:rPr>
            </w:pPr>
            <w:r w:rsidRPr="00B277DD">
              <w:rPr>
                <w:rFonts w:eastAsia="Times New Roman" w:cs="Arial"/>
                <w:b/>
                <w:bCs/>
                <w:color w:val="FFFFFF"/>
                <w:sz w:val="18"/>
                <w:szCs w:val="18"/>
                <w:lang w:eastAsia="en-AU"/>
              </w:rPr>
              <w:lastRenderedPageBreak/>
              <w:t>Statistical Area Level 4 (SA4)</w:t>
            </w:r>
          </w:p>
        </w:tc>
        <w:tc>
          <w:tcPr>
            <w:tcW w:w="2173" w:type="dxa"/>
            <w:tcBorders>
              <w:top w:val="single" w:sz="4" w:space="0" w:color="auto"/>
              <w:left w:val="nil"/>
              <w:bottom w:val="nil"/>
              <w:right w:val="nil"/>
            </w:tcBorders>
            <w:shd w:val="clear" w:color="000000" w:fill="4B0985"/>
            <w:vAlign w:val="center"/>
            <w:hideMark/>
          </w:tcPr>
          <w:p w14:paraId="72BAEF85" w14:textId="77777777" w:rsidR="00B277DD" w:rsidRPr="00B277DD" w:rsidRDefault="00B277DD" w:rsidP="00B277DD">
            <w:pPr>
              <w:spacing w:after="0" w:line="240" w:lineRule="auto"/>
              <w:jc w:val="center"/>
              <w:rPr>
                <w:rFonts w:eastAsia="Times New Roman" w:cs="Arial"/>
                <w:b/>
                <w:bCs/>
                <w:color w:val="FFFFFF"/>
                <w:sz w:val="18"/>
                <w:szCs w:val="18"/>
                <w:lang w:eastAsia="en-AU"/>
              </w:rPr>
            </w:pPr>
            <w:r w:rsidRPr="00B277DD">
              <w:rPr>
                <w:rFonts w:eastAsia="Times New Roman" w:cs="Arial"/>
                <w:b/>
                <w:bCs/>
                <w:color w:val="FFFFFF"/>
                <w:sz w:val="18"/>
                <w:szCs w:val="18"/>
                <w:lang w:eastAsia="en-AU"/>
              </w:rPr>
              <w:t>Remoteness</w:t>
            </w:r>
          </w:p>
        </w:tc>
        <w:tc>
          <w:tcPr>
            <w:tcW w:w="1460" w:type="dxa"/>
            <w:tcBorders>
              <w:top w:val="nil"/>
              <w:left w:val="nil"/>
              <w:bottom w:val="single" w:sz="4" w:space="0" w:color="auto"/>
              <w:right w:val="nil"/>
            </w:tcBorders>
            <w:shd w:val="clear" w:color="000000" w:fill="4B0985"/>
            <w:noWrap/>
            <w:vAlign w:val="center"/>
            <w:hideMark/>
          </w:tcPr>
          <w:p w14:paraId="0883AA85" w14:textId="77777777" w:rsidR="00B277DD" w:rsidRPr="00B277DD" w:rsidRDefault="00B277DD" w:rsidP="00B277DD">
            <w:pPr>
              <w:spacing w:after="0" w:line="240" w:lineRule="auto"/>
              <w:jc w:val="center"/>
              <w:rPr>
                <w:rFonts w:eastAsia="Times New Roman" w:cs="Arial"/>
                <w:b/>
                <w:bCs/>
                <w:color w:val="FFFFFF"/>
                <w:sz w:val="18"/>
                <w:szCs w:val="18"/>
                <w:lang w:eastAsia="en-AU"/>
              </w:rPr>
            </w:pPr>
            <w:r w:rsidRPr="00B277DD">
              <w:rPr>
                <w:rFonts w:eastAsia="Times New Roman" w:cs="Arial"/>
                <w:b/>
                <w:bCs/>
                <w:color w:val="FFFFFF"/>
                <w:sz w:val="18"/>
                <w:szCs w:val="18"/>
                <w:lang w:eastAsia="en-AU"/>
              </w:rPr>
              <w:t>Dec-24</w:t>
            </w:r>
          </w:p>
        </w:tc>
        <w:tc>
          <w:tcPr>
            <w:tcW w:w="1460" w:type="dxa"/>
            <w:tcBorders>
              <w:top w:val="nil"/>
              <w:left w:val="nil"/>
              <w:bottom w:val="single" w:sz="4" w:space="0" w:color="auto"/>
              <w:right w:val="nil"/>
            </w:tcBorders>
            <w:shd w:val="clear" w:color="000000" w:fill="4B0985"/>
            <w:noWrap/>
            <w:vAlign w:val="center"/>
            <w:hideMark/>
          </w:tcPr>
          <w:p w14:paraId="3E3164B1" w14:textId="77777777" w:rsidR="00B277DD" w:rsidRPr="00B277DD" w:rsidRDefault="00B277DD" w:rsidP="00B277DD">
            <w:pPr>
              <w:spacing w:after="0" w:line="240" w:lineRule="auto"/>
              <w:jc w:val="center"/>
              <w:rPr>
                <w:rFonts w:eastAsia="Times New Roman" w:cs="Arial"/>
                <w:b/>
                <w:bCs/>
                <w:color w:val="FFFFFF"/>
                <w:sz w:val="18"/>
                <w:szCs w:val="18"/>
                <w:lang w:eastAsia="en-AU"/>
              </w:rPr>
            </w:pPr>
            <w:r w:rsidRPr="00B277DD">
              <w:rPr>
                <w:rFonts w:eastAsia="Times New Roman" w:cs="Arial"/>
                <w:b/>
                <w:bCs/>
                <w:color w:val="FFFFFF"/>
                <w:sz w:val="18"/>
                <w:szCs w:val="18"/>
                <w:lang w:eastAsia="en-AU"/>
              </w:rPr>
              <w:t>Dec-25</w:t>
            </w:r>
          </w:p>
        </w:tc>
        <w:tc>
          <w:tcPr>
            <w:tcW w:w="1160" w:type="dxa"/>
            <w:tcBorders>
              <w:top w:val="nil"/>
              <w:left w:val="single" w:sz="4" w:space="0" w:color="auto"/>
              <w:bottom w:val="single" w:sz="4" w:space="0" w:color="auto"/>
              <w:right w:val="single" w:sz="4" w:space="0" w:color="auto"/>
            </w:tcBorders>
            <w:shd w:val="clear" w:color="000000" w:fill="4B0985"/>
            <w:noWrap/>
            <w:vAlign w:val="center"/>
            <w:hideMark/>
          </w:tcPr>
          <w:p w14:paraId="07F0B2DF" w14:textId="77777777" w:rsidR="00B277DD" w:rsidRPr="00B277DD" w:rsidRDefault="00B277DD" w:rsidP="00B277DD">
            <w:pPr>
              <w:spacing w:after="0" w:line="240" w:lineRule="auto"/>
              <w:jc w:val="center"/>
              <w:rPr>
                <w:rFonts w:eastAsia="Times New Roman" w:cs="Arial"/>
                <w:b/>
                <w:bCs/>
                <w:color w:val="FFFFFF"/>
                <w:sz w:val="18"/>
                <w:szCs w:val="18"/>
                <w:lang w:eastAsia="en-AU"/>
              </w:rPr>
            </w:pPr>
            <w:r w:rsidRPr="00B277DD">
              <w:rPr>
                <w:rFonts w:eastAsia="Times New Roman" w:cs="Arial"/>
                <w:b/>
                <w:bCs/>
                <w:color w:val="FFFFFF"/>
                <w:sz w:val="18"/>
                <w:szCs w:val="18"/>
                <w:lang w:eastAsia="en-AU"/>
              </w:rPr>
              <w:t>Direction</w:t>
            </w:r>
          </w:p>
        </w:tc>
      </w:tr>
      <w:tr w:rsidR="00B277DD" w:rsidRPr="00B277DD" w14:paraId="7ECB4851"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0EFF8900"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Brisbane - East</w:t>
            </w:r>
          </w:p>
        </w:tc>
        <w:tc>
          <w:tcPr>
            <w:tcW w:w="2173" w:type="dxa"/>
            <w:tcBorders>
              <w:top w:val="nil"/>
              <w:left w:val="nil"/>
              <w:bottom w:val="nil"/>
              <w:right w:val="nil"/>
            </w:tcBorders>
            <w:noWrap/>
            <w:vAlign w:val="bottom"/>
            <w:hideMark/>
          </w:tcPr>
          <w:p w14:paraId="7C378CDA"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7A238ED0"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412AB91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1F0ADCF4"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5E28646F"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57A236CC"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Brisbane - North</w:t>
            </w:r>
          </w:p>
        </w:tc>
        <w:tc>
          <w:tcPr>
            <w:tcW w:w="2173" w:type="dxa"/>
            <w:tcBorders>
              <w:top w:val="nil"/>
              <w:left w:val="nil"/>
              <w:bottom w:val="nil"/>
              <w:right w:val="nil"/>
            </w:tcBorders>
            <w:noWrap/>
            <w:vAlign w:val="bottom"/>
            <w:hideMark/>
          </w:tcPr>
          <w:p w14:paraId="051D1531"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47C2AD8D"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1288CF45"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258443C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1B5C2F6E"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4EA1D2EF"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Brisbane - South</w:t>
            </w:r>
          </w:p>
        </w:tc>
        <w:tc>
          <w:tcPr>
            <w:tcW w:w="2173" w:type="dxa"/>
            <w:tcBorders>
              <w:top w:val="nil"/>
              <w:left w:val="nil"/>
              <w:bottom w:val="nil"/>
              <w:right w:val="nil"/>
            </w:tcBorders>
            <w:noWrap/>
            <w:vAlign w:val="bottom"/>
            <w:hideMark/>
          </w:tcPr>
          <w:p w14:paraId="31260825"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1B134DCF"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4E9CB3EC"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6CAF47A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6FEEAB10"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3A944223"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Brisbane - West</w:t>
            </w:r>
          </w:p>
        </w:tc>
        <w:tc>
          <w:tcPr>
            <w:tcW w:w="2173" w:type="dxa"/>
            <w:tcBorders>
              <w:top w:val="nil"/>
              <w:left w:val="nil"/>
              <w:bottom w:val="nil"/>
              <w:right w:val="nil"/>
            </w:tcBorders>
            <w:noWrap/>
            <w:vAlign w:val="bottom"/>
            <w:hideMark/>
          </w:tcPr>
          <w:p w14:paraId="64BA14E0"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51BFBF3F"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4418C6F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05963EA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18BA4FA4"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32258491"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Brisbane Inner City</w:t>
            </w:r>
          </w:p>
        </w:tc>
        <w:tc>
          <w:tcPr>
            <w:tcW w:w="2173" w:type="dxa"/>
            <w:tcBorders>
              <w:top w:val="nil"/>
              <w:left w:val="nil"/>
              <w:bottom w:val="nil"/>
              <w:right w:val="nil"/>
            </w:tcBorders>
            <w:noWrap/>
            <w:vAlign w:val="bottom"/>
            <w:hideMark/>
          </w:tcPr>
          <w:p w14:paraId="645B7CF9"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24D6558B"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4D9C7D5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0781C6F5"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3E400A08"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3E8E079E"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Ipswich</w:t>
            </w:r>
          </w:p>
        </w:tc>
        <w:tc>
          <w:tcPr>
            <w:tcW w:w="2173" w:type="dxa"/>
            <w:tcBorders>
              <w:top w:val="nil"/>
              <w:left w:val="nil"/>
              <w:bottom w:val="nil"/>
              <w:right w:val="nil"/>
            </w:tcBorders>
            <w:noWrap/>
            <w:vAlign w:val="bottom"/>
            <w:hideMark/>
          </w:tcPr>
          <w:p w14:paraId="69C70559"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13251614"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10CCC294"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160" w:type="dxa"/>
            <w:tcBorders>
              <w:top w:val="nil"/>
              <w:left w:val="single" w:sz="4" w:space="0" w:color="auto"/>
              <w:bottom w:val="nil"/>
              <w:right w:val="single" w:sz="4" w:space="0" w:color="auto"/>
            </w:tcBorders>
            <w:shd w:val="clear" w:color="000000" w:fill="B91C1C"/>
            <w:noWrap/>
            <w:vAlign w:val="bottom"/>
            <w:hideMark/>
          </w:tcPr>
          <w:p w14:paraId="1A515BEB" w14:textId="77777777" w:rsidR="00B277DD" w:rsidRPr="00B277DD" w:rsidRDefault="00B277DD" w:rsidP="00B277DD">
            <w:pPr>
              <w:spacing w:after="0" w:line="240" w:lineRule="auto"/>
              <w:jc w:val="center"/>
              <w:rPr>
                <w:rFonts w:eastAsia="Times New Roman" w:cs="Arial"/>
                <w:color w:val="FFFFFF"/>
                <w:sz w:val="16"/>
                <w:szCs w:val="16"/>
                <w:lang w:eastAsia="en-AU"/>
              </w:rPr>
            </w:pPr>
            <w:r w:rsidRPr="00B277DD">
              <w:rPr>
                <w:rFonts w:eastAsia="Times New Roman" w:cs="Arial"/>
                <w:color w:val="FFFFFF"/>
                <w:sz w:val="16"/>
                <w:szCs w:val="16"/>
                <w:lang w:eastAsia="en-AU"/>
              </w:rPr>
              <w:t>Declined</w:t>
            </w:r>
          </w:p>
        </w:tc>
      </w:tr>
      <w:tr w:rsidR="00B277DD" w:rsidRPr="00B277DD" w14:paraId="4E54BFAB"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39CDAF92"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Logan - Beaudesert</w:t>
            </w:r>
          </w:p>
        </w:tc>
        <w:tc>
          <w:tcPr>
            <w:tcW w:w="2173" w:type="dxa"/>
            <w:tcBorders>
              <w:top w:val="nil"/>
              <w:left w:val="nil"/>
              <w:bottom w:val="nil"/>
              <w:right w:val="nil"/>
            </w:tcBorders>
            <w:noWrap/>
            <w:vAlign w:val="bottom"/>
            <w:hideMark/>
          </w:tcPr>
          <w:p w14:paraId="22D545A3"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6ADD50A2"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476B4F90"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160" w:type="dxa"/>
            <w:tcBorders>
              <w:top w:val="nil"/>
              <w:left w:val="single" w:sz="4" w:space="0" w:color="auto"/>
              <w:bottom w:val="nil"/>
              <w:right w:val="single" w:sz="4" w:space="0" w:color="auto"/>
            </w:tcBorders>
            <w:shd w:val="clear" w:color="000000" w:fill="B91C1C"/>
            <w:noWrap/>
            <w:vAlign w:val="bottom"/>
            <w:hideMark/>
          </w:tcPr>
          <w:p w14:paraId="7AD812C3" w14:textId="77777777" w:rsidR="00B277DD" w:rsidRPr="00B277DD" w:rsidRDefault="00B277DD" w:rsidP="00B277DD">
            <w:pPr>
              <w:spacing w:after="0" w:line="240" w:lineRule="auto"/>
              <w:jc w:val="center"/>
              <w:rPr>
                <w:rFonts w:eastAsia="Times New Roman" w:cs="Arial"/>
                <w:color w:val="FFFFFF"/>
                <w:sz w:val="16"/>
                <w:szCs w:val="16"/>
                <w:lang w:eastAsia="en-AU"/>
              </w:rPr>
            </w:pPr>
            <w:r w:rsidRPr="00B277DD">
              <w:rPr>
                <w:rFonts w:eastAsia="Times New Roman" w:cs="Arial"/>
                <w:color w:val="FFFFFF"/>
                <w:sz w:val="16"/>
                <w:szCs w:val="16"/>
                <w:lang w:eastAsia="en-AU"/>
              </w:rPr>
              <w:t>Declined</w:t>
            </w:r>
          </w:p>
        </w:tc>
      </w:tr>
      <w:tr w:rsidR="00B277DD" w:rsidRPr="00B277DD" w14:paraId="3770C342"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2449F4A4"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Moreton Bay - North</w:t>
            </w:r>
          </w:p>
        </w:tc>
        <w:tc>
          <w:tcPr>
            <w:tcW w:w="2173" w:type="dxa"/>
            <w:tcBorders>
              <w:top w:val="nil"/>
              <w:left w:val="nil"/>
              <w:bottom w:val="nil"/>
              <w:right w:val="nil"/>
            </w:tcBorders>
            <w:noWrap/>
            <w:vAlign w:val="bottom"/>
            <w:hideMark/>
          </w:tcPr>
          <w:p w14:paraId="443AF22C"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24695D79"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7933BC7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50D2862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62AB1585"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7BFF8CF2"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Moreton Bay - South</w:t>
            </w:r>
          </w:p>
        </w:tc>
        <w:tc>
          <w:tcPr>
            <w:tcW w:w="2173" w:type="dxa"/>
            <w:tcBorders>
              <w:top w:val="nil"/>
              <w:left w:val="nil"/>
              <w:bottom w:val="nil"/>
              <w:right w:val="nil"/>
            </w:tcBorders>
            <w:noWrap/>
            <w:vAlign w:val="bottom"/>
            <w:hideMark/>
          </w:tcPr>
          <w:p w14:paraId="15CF152E"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446C4387"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08676644"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01CAF87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29594101"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586567CF"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Cairns</w:t>
            </w:r>
          </w:p>
        </w:tc>
        <w:tc>
          <w:tcPr>
            <w:tcW w:w="2173" w:type="dxa"/>
            <w:tcBorders>
              <w:top w:val="nil"/>
              <w:left w:val="nil"/>
              <w:bottom w:val="nil"/>
              <w:right w:val="nil"/>
            </w:tcBorders>
            <w:noWrap/>
            <w:vAlign w:val="bottom"/>
            <w:hideMark/>
          </w:tcPr>
          <w:p w14:paraId="454C4E89"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1B6DAB8C"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595AE22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0EA349F7"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7F2E034E"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601F86A6"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Darling Downs - Maranoa</w:t>
            </w:r>
          </w:p>
        </w:tc>
        <w:tc>
          <w:tcPr>
            <w:tcW w:w="2173" w:type="dxa"/>
            <w:tcBorders>
              <w:top w:val="nil"/>
              <w:left w:val="nil"/>
              <w:bottom w:val="nil"/>
              <w:right w:val="nil"/>
            </w:tcBorders>
            <w:noWrap/>
            <w:vAlign w:val="bottom"/>
            <w:hideMark/>
          </w:tcPr>
          <w:p w14:paraId="347D6C7E"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4AB7DD9D"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0ABDA09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160" w:type="dxa"/>
            <w:tcBorders>
              <w:top w:val="nil"/>
              <w:left w:val="single" w:sz="4" w:space="0" w:color="auto"/>
              <w:bottom w:val="nil"/>
              <w:right w:val="single" w:sz="4" w:space="0" w:color="auto"/>
            </w:tcBorders>
            <w:shd w:val="clear" w:color="000000" w:fill="B91C1C"/>
            <w:noWrap/>
            <w:vAlign w:val="bottom"/>
            <w:hideMark/>
          </w:tcPr>
          <w:p w14:paraId="27C65816" w14:textId="77777777" w:rsidR="00B277DD" w:rsidRPr="00B277DD" w:rsidRDefault="00B277DD" w:rsidP="00B277DD">
            <w:pPr>
              <w:spacing w:after="0" w:line="240" w:lineRule="auto"/>
              <w:jc w:val="center"/>
              <w:rPr>
                <w:rFonts w:eastAsia="Times New Roman" w:cs="Arial"/>
                <w:color w:val="FFFFFF"/>
                <w:sz w:val="16"/>
                <w:szCs w:val="16"/>
                <w:lang w:eastAsia="en-AU"/>
              </w:rPr>
            </w:pPr>
            <w:r w:rsidRPr="00B277DD">
              <w:rPr>
                <w:rFonts w:eastAsia="Times New Roman" w:cs="Arial"/>
                <w:color w:val="FFFFFF"/>
                <w:sz w:val="16"/>
                <w:szCs w:val="16"/>
                <w:lang w:eastAsia="en-AU"/>
              </w:rPr>
              <w:t>Declined</w:t>
            </w:r>
          </w:p>
        </w:tc>
      </w:tr>
      <w:tr w:rsidR="00B277DD" w:rsidRPr="00B277DD" w14:paraId="18884B5F"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2341B3D6"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Central Queensland</w:t>
            </w:r>
          </w:p>
        </w:tc>
        <w:tc>
          <w:tcPr>
            <w:tcW w:w="2173" w:type="dxa"/>
            <w:tcBorders>
              <w:top w:val="nil"/>
              <w:left w:val="nil"/>
              <w:bottom w:val="nil"/>
              <w:right w:val="nil"/>
            </w:tcBorders>
            <w:noWrap/>
            <w:vAlign w:val="bottom"/>
            <w:hideMark/>
          </w:tcPr>
          <w:p w14:paraId="2A9CCCD2"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5C6A50FB"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75B18BF7"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37537A51"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2FA6FDDB"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3FC03C1A"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Gold Coast</w:t>
            </w:r>
          </w:p>
        </w:tc>
        <w:tc>
          <w:tcPr>
            <w:tcW w:w="2173" w:type="dxa"/>
            <w:tcBorders>
              <w:top w:val="nil"/>
              <w:left w:val="nil"/>
              <w:bottom w:val="nil"/>
              <w:right w:val="nil"/>
            </w:tcBorders>
            <w:noWrap/>
            <w:vAlign w:val="bottom"/>
            <w:hideMark/>
          </w:tcPr>
          <w:p w14:paraId="4CCE7AF3"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284F9D6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1155A207"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single" w:sz="4" w:space="0" w:color="auto"/>
              <w:bottom w:val="nil"/>
              <w:right w:val="single" w:sz="4" w:space="0" w:color="auto"/>
            </w:tcBorders>
            <w:shd w:val="clear" w:color="000000" w:fill="B91C1C"/>
            <w:noWrap/>
            <w:vAlign w:val="bottom"/>
            <w:hideMark/>
          </w:tcPr>
          <w:p w14:paraId="1D35AFD3" w14:textId="77777777" w:rsidR="00B277DD" w:rsidRPr="00B277DD" w:rsidRDefault="00B277DD" w:rsidP="00B277DD">
            <w:pPr>
              <w:spacing w:after="0" w:line="240" w:lineRule="auto"/>
              <w:jc w:val="center"/>
              <w:rPr>
                <w:rFonts w:eastAsia="Times New Roman" w:cs="Arial"/>
                <w:color w:val="FFFFFF"/>
                <w:sz w:val="16"/>
                <w:szCs w:val="16"/>
                <w:lang w:eastAsia="en-AU"/>
              </w:rPr>
            </w:pPr>
            <w:r w:rsidRPr="00B277DD">
              <w:rPr>
                <w:rFonts w:eastAsia="Times New Roman" w:cs="Arial"/>
                <w:color w:val="FFFFFF"/>
                <w:sz w:val="16"/>
                <w:szCs w:val="16"/>
                <w:lang w:eastAsia="en-AU"/>
              </w:rPr>
              <w:t>Declined</w:t>
            </w:r>
          </w:p>
        </w:tc>
      </w:tr>
      <w:tr w:rsidR="00B277DD" w:rsidRPr="00B277DD" w14:paraId="6C2EEB70"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346589FC"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Mackay - Isaac - Whitsunday</w:t>
            </w:r>
          </w:p>
        </w:tc>
        <w:tc>
          <w:tcPr>
            <w:tcW w:w="2173" w:type="dxa"/>
            <w:tcBorders>
              <w:top w:val="nil"/>
              <w:left w:val="nil"/>
              <w:bottom w:val="nil"/>
              <w:right w:val="nil"/>
            </w:tcBorders>
            <w:noWrap/>
            <w:vAlign w:val="bottom"/>
            <w:hideMark/>
          </w:tcPr>
          <w:p w14:paraId="366B50B4"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4E03E028"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05BB4569"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7C628FAD"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788BAB44"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5F0B10CF"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Queensland - Outback</w:t>
            </w:r>
          </w:p>
        </w:tc>
        <w:tc>
          <w:tcPr>
            <w:tcW w:w="2173" w:type="dxa"/>
            <w:tcBorders>
              <w:top w:val="nil"/>
              <w:left w:val="nil"/>
              <w:bottom w:val="nil"/>
              <w:right w:val="nil"/>
            </w:tcBorders>
            <w:noWrap/>
            <w:vAlign w:val="bottom"/>
            <w:hideMark/>
          </w:tcPr>
          <w:p w14:paraId="4690CF68"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Remote</w:t>
            </w:r>
          </w:p>
        </w:tc>
        <w:tc>
          <w:tcPr>
            <w:tcW w:w="1460" w:type="dxa"/>
            <w:tcBorders>
              <w:top w:val="nil"/>
              <w:left w:val="single" w:sz="4" w:space="0" w:color="auto"/>
              <w:bottom w:val="nil"/>
              <w:right w:val="single" w:sz="4" w:space="0" w:color="auto"/>
            </w:tcBorders>
            <w:noWrap/>
            <w:vAlign w:val="bottom"/>
            <w:hideMark/>
          </w:tcPr>
          <w:p w14:paraId="3C71AC70"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6FF10E7D"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0DC5CE65"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6BF97554"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213640D9"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Sunshine Coast</w:t>
            </w:r>
          </w:p>
        </w:tc>
        <w:tc>
          <w:tcPr>
            <w:tcW w:w="2173" w:type="dxa"/>
            <w:tcBorders>
              <w:top w:val="nil"/>
              <w:left w:val="nil"/>
              <w:bottom w:val="nil"/>
              <w:right w:val="nil"/>
            </w:tcBorders>
            <w:noWrap/>
            <w:vAlign w:val="bottom"/>
            <w:hideMark/>
          </w:tcPr>
          <w:p w14:paraId="39628319"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134C2DC0"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6C83E627"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1B216A58"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3CD51384"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5C16FCAB"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Toowoomba</w:t>
            </w:r>
          </w:p>
        </w:tc>
        <w:tc>
          <w:tcPr>
            <w:tcW w:w="2173" w:type="dxa"/>
            <w:tcBorders>
              <w:top w:val="nil"/>
              <w:left w:val="nil"/>
              <w:bottom w:val="nil"/>
              <w:right w:val="nil"/>
            </w:tcBorders>
            <w:noWrap/>
            <w:vAlign w:val="bottom"/>
            <w:hideMark/>
          </w:tcPr>
          <w:p w14:paraId="78E80E59"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797B718D"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0FC02CEE"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5A885FEE"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37C6A7F2"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555A7190"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Townsville</w:t>
            </w:r>
          </w:p>
        </w:tc>
        <w:tc>
          <w:tcPr>
            <w:tcW w:w="2173" w:type="dxa"/>
            <w:tcBorders>
              <w:top w:val="nil"/>
              <w:left w:val="nil"/>
              <w:bottom w:val="nil"/>
              <w:right w:val="nil"/>
            </w:tcBorders>
            <w:noWrap/>
            <w:vAlign w:val="bottom"/>
            <w:hideMark/>
          </w:tcPr>
          <w:p w14:paraId="09C38D83"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2E189928"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00B860B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3C62DD0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3520FE06" w14:textId="77777777" w:rsidTr="00B277DD">
        <w:trPr>
          <w:trHeight w:val="283"/>
        </w:trPr>
        <w:tc>
          <w:tcPr>
            <w:tcW w:w="3347" w:type="dxa"/>
            <w:tcBorders>
              <w:top w:val="nil"/>
              <w:left w:val="single" w:sz="4" w:space="0" w:color="auto"/>
              <w:bottom w:val="single" w:sz="4" w:space="0" w:color="auto"/>
              <w:right w:val="single" w:sz="4" w:space="0" w:color="auto"/>
            </w:tcBorders>
            <w:noWrap/>
            <w:vAlign w:val="bottom"/>
            <w:hideMark/>
          </w:tcPr>
          <w:p w14:paraId="5B25AFA7"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Wide Bay</w:t>
            </w:r>
          </w:p>
        </w:tc>
        <w:tc>
          <w:tcPr>
            <w:tcW w:w="2173" w:type="dxa"/>
            <w:tcBorders>
              <w:top w:val="nil"/>
              <w:left w:val="nil"/>
              <w:bottom w:val="single" w:sz="4" w:space="0" w:color="auto"/>
              <w:right w:val="nil"/>
            </w:tcBorders>
            <w:noWrap/>
            <w:vAlign w:val="bottom"/>
            <w:hideMark/>
          </w:tcPr>
          <w:p w14:paraId="4FD0711C"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single" w:sz="4" w:space="0" w:color="auto"/>
              <w:right w:val="single" w:sz="4" w:space="0" w:color="auto"/>
            </w:tcBorders>
            <w:noWrap/>
            <w:vAlign w:val="bottom"/>
            <w:hideMark/>
          </w:tcPr>
          <w:p w14:paraId="0A90180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460" w:type="dxa"/>
            <w:tcBorders>
              <w:top w:val="nil"/>
              <w:left w:val="nil"/>
              <w:bottom w:val="single" w:sz="4" w:space="0" w:color="auto"/>
              <w:right w:val="single" w:sz="4" w:space="0" w:color="auto"/>
            </w:tcBorders>
            <w:noWrap/>
            <w:vAlign w:val="bottom"/>
            <w:hideMark/>
          </w:tcPr>
          <w:p w14:paraId="54F6FB71"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160" w:type="dxa"/>
            <w:tcBorders>
              <w:top w:val="nil"/>
              <w:left w:val="nil"/>
              <w:bottom w:val="single" w:sz="4" w:space="0" w:color="auto"/>
              <w:right w:val="single" w:sz="4" w:space="0" w:color="auto"/>
            </w:tcBorders>
            <w:noWrap/>
            <w:vAlign w:val="bottom"/>
            <w:hideMark/>
          </w:tcPr>
          <w:p w14:paraId="221906A7"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138BF0F7"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4DBDFF59"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Adelaide - Central and Hills</w:t>
            </w:r>
          </w:p>
        </w:tc>
        <w:tc>
          <w:tcPr>
            <w:tcW w:w="2173" w:type="dxa"/>
            <w:tcBorders>
              <w:top w:val="nil"/>
              <w:left w:val="nil"/>
              <w:bottom w:val="nil"/>
              <w:right w:val="nil"/>
            </w:tcBorders>
            <w:noWrap/>
            <w:vAlign w:val="bottom"/>
            <w:hideMark/>
          </w:tcPr>
          <w:p w14:paraId="0CF9EB00"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6AB92787"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5C2E5FA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7A185BF0"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22DC7EBF"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7AA7E10F"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Adelaide - North</w:t>
            </w:r>
          </w:p>
        </w:tc>
        <w:tc>
          <w:tcPr>
            <w:tcW w:w="2173" w:type="dxa"/>
            <w:tcBorders>
              <w:top w:val="nil"/>
              <w:left w:val="nil"/>
              <w:bottom w:val="nil"/>
              <w:right w:val="nil"/>
            </w:tcBorders>
            <w:noWrap/>
            <w:vAlign w:val="bottom"/>
            <w:hideMark/>
          </w:tcPr>
          <w:p w14:paraId="1571F889"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50584B74"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66537702"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160" w:type="dxa"/>
            <w:tcBorders>
              <w:top w:val="nil"/>
              <w:left w:val="single" w:sz="4" w:space="0" w:color="auto"/>
              <w:bottom w:val="nil"/>
              <w:right w:val="single" w:sz="4" w:space="0" w:color="auto"/>
            </w:tcBorders>
            <w:shd w:val="clear" w:color="000000" w:fill="047817"/>
            <w:noWrap/>
            <w:vAlign w:val="bottom"/>
            <w:hideMark/>
          </w:tcPr>
          <w:p w14:paraId="2B0967B6" w14:textId="77777777" w:rsidR="00B277DD" w:rsidRPr="00B277DD" w:rsidRDefault="00B277DD" w:rsidP="00B277DD">
            <w:pPr>
              <w:spacing w:after="0" w:line="240" w:lineRule="auto"/>
              <w:jc w:val="center"/>
              <w:rPr>
                <w:rFonts w:eastAsia="Times New Roman" w:cs="Arial"/>
                <w:color w:val="FFFFFF"/>
                <w:sz w:val="16"/>
                <w:szCs w:val="16"/>
                <w:lang w:eastAsia="en-AU"/>
              </w:rPr>
            </w:pPr>
            <w:r w:rsidRPr="00B277DD">
              <w:rPr>
                <w:rFonts w:eastAsia="Times New Roman" w:cs="Arial"/>
                <w:color w:val="FFFFFF"/>
                <w:sz w:val="16"/>
                <w:szCs w:val="16"/>
                <w:lang w:eastAsia="en-AU"/>
              </w:rPr>
              <w:t>Improved</w:t>
            </w:r>
          </w:p>
        </w:tc>
      </w:tr>
      <w:tr w:rsidR="00B277DD" w:rsidRPr="00B277DD" w14:paraId="59EEF179"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7FF71FC1"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Adelaide - South</w:t>
            </w:r>
          </w:p>
        </w:tc>
        <w:tc>
          <w:tcPr>
            <w:tcW w:w="2173" w:type="dxa"/>
            <w:tcBorders>
              <w:top w:val="nil"/>
              <w:left w:val="nil"/>
              <w:bottom w:val="nil"/>
              <w:right w:val="nil"/>
            </w:tcBorders>
            <w:noWrap/>
            <w:vAlign w:val="bottom"/>
            <w:hideMark/>
          </w:tcPr>
          <w:p w14:paraId="468A1C0F"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3B63497C"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6B06F24F"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single" w:sz="4" w:space="0" w:color="auto"/>
              <w:bottom w:val="nil"/>
              <w:right w:val="single" w:sz="4" w:space="0" w:color="auto"/>
            </w:tcBorders>
            <w:shd w:val="clear" w:color="000000" w:fill="047817"/>
            <w:noWrap/>
            <w:vAlign w:val="bottom"/>
            <w:hideMark/>
          </w:tcPr>
          <w:p w14:paraId="048ABFDB" w14:textId="77777777" w:rsidR="00B277DD" w:rsidRPr="00B277DD" w:rsidRDefault="00B277DD" w:rsidP="00B277DD">
            <w:pPr>
              <w:spacing w:after="0" w:line="240" w:lineRule="auto"/>
              <w:jc w:val="center"/>
              <w:rPr>
                <w:rFonts w:eastAsia="Times New Roman" w:cs="Arial"/>
                <w:color w:val="FFFFFF"/>
                <w:sz w:val="16"/>
                <w:szCs w:val="16"/>
                <w:lang w:eastAsia="en-AU"/>
              </w:rPr>
            </w:pPr>
            <w:r w:rsidRPr="00B277DD">
              <w:rPr>
                <w:rFonts w:eastAsia="Times New Roman" w:cs="Arial"/>
                <w:color w:val="FFFFFF"/>
                <w:sz w:val="16"/>
                <w:szCs w:val="16"/>
                <w:lang w:eastAsia="en-AU"/>
              </w:rPr>
              <w:t>Improved</w:t>
            </w:r>
          </w:p>
        </w:tc>
      </w:tr>
      <w:tr w:rsidR="00B277DD" w:rsidRPr="00B277DD" w14:paraId="5D929496"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3EB2A2A6"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Adelaide - West</w:t>
            </w:r>
          </w:p>
        </w:tc>
        <w:tc>
          <w:tcPr>
            <w:tcW w:w="2173" w:type="dxa"/>
            <w:tcBorders>
              <w:top w:val="nil"/>
              <w:left w:val="nil"/>
              <w:bottom w:val="nil"/>
              <w:right w:val="nil"/>
            </w:tcBorders>
            <w:noWrap/>
            <w:vAlign w:val="bottom"/>
            <w:hideMark/>
          </w:tcPr>
          <w:p w14:paraId="66167F29"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08194554"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4C855D8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single" w:sz="4" w:space="0" w:color="auto"/>
              <w:bottom w:val="nil"/>
              <w:right w:val="single" w:sz="4" w:space="0" w:color="auto"/>
            </w:tcBorders>
            <w:shd w:val="clear" w:color="000000" w:fill="047817"/>
            <w:noWrap/>
            <w:vAlign w:val="bottom"/>
            <w:hideMark/>
          </w:tcPr>
          <w:p w14:paraId="33624F8D" w14:textId="77777777" w:rsidR="00B277DD" w:rsidRPr="00B277DD" w:rsidRDefault="00B277DD" w:rsidP="00B277DD">
            <w:pPr>
              <w:spacing w:after="0" w:line="240" w:lineRule="auto"/>
              <w:jc w:val="center"/>
              <w:rPr>
                <w:rFonts w:eastAsia="Times New Roman" w:cs="Arial"/>
                <w:color w:val="FFFFFF"/>
                <w:sz w:val="16"/>
                <w:szCs w:val="16"/>
                <w:lang w:eastAsia="en-AU"/>
              </w:rPr>
            </w:pPr>
            <w:r w:rsidRPr="00B277DD">
              <w:rPr>
                <w:rFonts w:eastAsia="Times New Roman" w:cs="Arial"/>
                <w:color w:val="FFFFFF"/>
                <w:sz w:val="16"/>
                <w:szCs w:val="16"/>
                <w:lang w:eastAsia="en-AU"/>
              </w:rPr>
              <w:t>Improved</w:t>
            </w:r>
          </w:p>
        </w:tc>
      </w:tr>
      <w:tr w:rsidR="00B277DD" w:rsidRPr="00B277DD" w14:paraId="3353D34B"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5B5B1974"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Barossa - Yorke - Mid North</w:t>
            </w:r>
          </w:p>
        </w:tc>
        <w:tc>
          <w:tcPr>
            <w:tcW w:w="2173" w:type="dxa"/>
            <w:tcBorders>
              <w:top w:val="nil"/>
              <w:left w:val="nil"/>
              <w:bottom w:val="nil"/>
              <w:right w:val="nil"/>
            </w:tcBorders>
            <w:noWrap/>
            <w:vAlign w:val="bottom"/>
            <w:hideMark/>
          </w:tcPr>
          <w:p w14:paraId="50EC649C"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17DC9CF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057ED04E"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6D09FDA0"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476A1D4D"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31DDBAF0"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South Australia - Outback</w:t>
            </w:r>
          </w:p>
        </w:tc>
        <w:tc>
          <w:tcPr>
            <w:tcW w:w="2173" w:type="dxa"/>
            <w:tcBorders>
              <w:top w:val="nil"/>
              <w:left w:val="nil"/>
              <w:bottom w:val="nil"/>
              <w:right w:val="nil"/>
            </w:tcBorders>
            <w:noWrap/>
            <w:vAlign w:val="bottom"/>
            <w:hideMark/>
          </w:tcPr>
          <w:p w14:paraId="22596919"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Remote</w:t>
            </w:r>
          </w:p>
        </w:tc>
        <w:tc>
          <w:tcPr>
            <w:tcW w:w="1460" w:type="dxa"/>
            <w:tcBorders>
              <w:top w:val="nil"/>
              <w:left w:val="single" w:sz="4" w:space="0" w:color="auto"/>
              <w:bottom w:val="nil"/>
              <w:right w:val="single" w:sz="4" w:space="0" w:color="auto"/>
            </w:tcBorders>
            <w:noWrap/>
            <w:vAlign w:val="bottom"/>
            <w:hideMark/>
          </w:tcPr>
          <w:p w14:paraId="5B21AABD"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359FF984"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55340329"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00B3B749" w14:textId="77777777" w:rsidTr="00B277DD">
        <w:trPr>
          <w:trHeight w:val="283"/>
        </w:trPr>
        <w:tc>
          <w:tcPr>
            <w:tcW w:w="3347" w:type="dxa"/>
            <w:tcBorders>
              <w:top w:val="nil"/>
              <w:left w:val="single" w:sz="4" w:space="0" w:color="auto"/>
              <w:bottom w:val="single" w:sz="4" w:space="0" w:color="auto"/>
              <w:right w:val="single" w:sz="4" w:space="0" w:color="auto"/>
            </w:tcBorders>
            <w:noWrap/>
            <w:vAlign w:val="bottom"/>
            <w:hideMark/>
          </w:tcPr>
          <w:p w14:paraId="4CF2F1E8"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 xml:space="preserve">South Australia - </w:t>
            </w:r>
            <w:proofErr w:type="gramStart"/>
            <w:r w:rsidRPr="00B277DD">
              <w:rPr>
                <w:rFonts w:eastAsia="Times New Roman" w:cs="Arial"/>
                <w:color w:val="000000"/>
                <w:sz w:val="16"/>
                <w:szCs w:val="16"/>
                <w:lang w:eastAsia="en-AU"/>
              </w:rPr>
              <w:t>South East</w:t>
            </w:r>
            <w:proofErr w:type="gramEnd"/>
          </w:p>
        </w:tc>
        <w:tc>
          <w:tcPr>
            <w:tcW w:w="2173" w:type="dxa"/>
            <w:tcBorders>
              <w:top w:val="nil"/>
              <w:left w:val="nil"/>
              <w:bottom w:val="single" w:sz="4" w:space="0" w:color="auto"/>
              <w:right w:val="nil"/>
            </w:tcBorders>
            <w:noWrap/>
            <w:vAlign w:val="bottom"/>
            <w:hideMark/>
          </w:tcPr>
          <w:p w14:paraId="1F373071"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single" w:sz="4" w:space="0" w:color="auto"/>
              <w:right w:val="single" w:sz="4" w:space="0" w:color="auto"/>
            </w:tcBorders>
            <w:noWrap/>
            <w:vAlign w:val="bottom"/>
            <w:hideMark/>
          </w:tcPr>
          <w:p w14:paraId="234A2CC1"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460" w:type="dxa"/>
            <w:tcBorders>
              <w:top w:val="nil"/>
              <w:left w:val="nil"/>
              <w:bottom w:val="single" w:sz="4" w:space="0" w:color="auto"/>
              <w:right w:val="single" w:sz="4" w:space="0" w:color="auto"/>
            </w:tcBorders>
            <w:noWrap/>
            <w:vAlign w:val="bottom"/>
            <w:hideMark/>
          </w:tcPr>
          <w:p w14:paraId="6FA3A97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160" w:type="dxa"/>
            <w:tcBorders>
              <w:top w:val="nil"/>
              <w:left w:val="nil"/>
              <w:bottom w:val="single" w:sz="4" w:space="0" w:color="auto"/>
              <w:right w:val="single" w:sz="4" w:space="0" w:color="auto"/>
            </w:tcBorders>
            <w:noWrap/>
            <w:vAlign w:val="bottom"/>
            <w:hideMark/>
          </w:tcPr>
          <w:p w14:paraId="74A88999"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5FB8661E"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098B1303"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Mandurah</w:t>
            </w:r>
          </w:p>
        </w:tc>
        <w:tc>
          <w:tcPr>
            <w:tcW w:w="2173" w:type="dxa"/>
            <w:tcBorders>
              <w:top w:val="nil"/>
              <w:left w:val="nil"/>
              <w:bottom w:val="nil"/>
              <w:right w:val="nil"/>
            </w:tcBorders>
            <w:noWrap/>
            <w:vAlign w:val="bottom"/>
            <w:hideMark/>
          </w:tcPr>
          <w:p w14:paraId="37650301"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3931031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28502A5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267488FF"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6B400651"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403271AD"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Perth - Inner</w:t>
            </w:r>
          </w:p>
        </w:tc>
        <w:tc>
          <w:tcPr>
            <w:tcW w:w="2173" w:type="dxa"/>
            <w:tcBorders>
              <w:top w:val="nil"/>
              <w:left w:val="nil"/>
              <w:bottom w:val="nil"/>
              <w:right w:val="nil"/>
            </w:tcBorders>
            <w:noWrap/>
            <w:vAlign w:val="bottom"/>
            <w:hideMark/>
          </w:tcPr>
          <w:p w14:paraId="6A3FDF73"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2F6C244E"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62B9A2E5"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06AB0DE0"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185F9B5C"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123F3742"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 xml:space="preserve">Perth - </w:t>
            </w:r>
            <w:proofErr w:type="gramStart"/>
            <w:r w:rsidRPr="00B277DD">
              <w:rPr>
                <w:rFonts w:eastAsia="Times New Roman" w:cs="Arial"/>
                <w:color w:val="000000"/>
                <w:sz w:val="16"/>
                <w:szCs w:val="16"/>
                <w:lang w:eastAsia="en-AU"/>
              </w:rPr>
              <w:t>North East</w:t>
            </w:r>
            <w:proofErr w:type="gramEnd"/>
          </w:p>
        </w:tc>
        <w:tc>
          <w:tcPr>
            <w:tcW w:w="2173" w:type="dxa"/>
            <w:tcBorders>
              <w:top w:val="nil"/>
              <w:left w:val="nil"/>
              <w:bottom w:val="nil"/>
              <w:right w:val="nil"/>
            </w:tcBorders>
            <w:noWrap/>
            <w:vAlign w:val="bottom"/>
            <w:hideMark/>
          </w:tcPr>
          <w:p w14:paraId="1E378CC3"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541FC7A4"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623ABE4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02A1E87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31F6523B"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26D7DD83"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 xml:space="preserve">Perth - </w:t>
            </w:r>
            <w:proofErr w:type="gramStart"/>
            <w:r w:rsidRPr="00B277DD">
              <w:rPr>
                <w:rFonts w:eastAsia="Times New Roman" w:cs="Arial"/>
                <w:color w:val="000000"/>
                <w:sz w:val="16"/>
                <w:szCs w:val="16"/>
                <w:lang w:eastAsia="en-AU"/>
              </w:rPr>
              <w:t>North West</w:t>
            </w:r>
            <w:proofErr w:type="gramEnd"/>
          </w:p>
        </w:tc>
        <w:tc>
          <w:tcPr>
            <w:tcW w:w="2173" w:type="dxa"/>
            <w:tcBorders>
              <w:top w:val="nil"/>
              <w:left w:val="nil"/>
              <w:bottom w:val="nil"/>
              <w:right w:val="nil"/>
            </w:tcBorders>
            <w:noWrap/>
            <w:vAlign w:val="bottom"/>
            <w:hideMark/>
          </w:tcPr>
          <w:p w14:paraId="4259A0D7"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037C1F11"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4BC0832D"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33753170"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3E3989ED"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51BD7248"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 xml:space="preserve">Perth - </w:t>
            </w:r>
            <w:proofErr w:type="gramStart"/>
            <w:r w:rsidRPr="00B277DD">
              <w:rPr>
                <w:rFonts w:eastAsia="Times New Roman" w:cs="Arial"/>
                <w:color w:val="000000"/>
                <w:sz w:val="16"/>
                <w:szCs w:val="16"/>
                <w:lang w:eastAsia="en-AU"/>
              </w:rPr>
              <w:t>South East</w:t>
            </w:r>
            <w:proofErr w:type="gramEnd"/>
          </w:p>
        </w:tc>
        <w:tc>
          <w:tcPr>
            <w:tcW w:w="2173" w:type="dxa"/>
            <w:tcBorders>
              <w:top w:val="nil"/>
              <w:left w:val="nil"/>
              <w:bottom w:val="nil"/>
              <w:right w:val="nil"/>
            </w:tcBorders>
            <w:noWrap/>
            <w:vAlign w:val="bottom"/>
            <w:hideMark/>
          </w:tcPr>
          <w:p w14:paraId="6BD60D9E"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0DD561F5"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4E1BBBB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18FD0871"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337C3E32"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406D2FC0"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 xml:space="preserve">Perth - </w:t>
            </w:r>
            <w:proofErr w:type="gramStart"/>
            <w:r w:rsidRPr="00B277DD">
              <w:rPr>
                <w:rFonts w:eastAsia="Times New Roman" w:cs="Arial"/>
                <w:color w:val="000000"/>
                <w:sz w:val="16"/>
                <w:szCs w:val="16"/>
                <w:lang w:eastAsia="en-AU"/>
              </w:rPr>
              <w:t>South West</w:t>
            </w:r>
            <w:proofErr w:type="gramEnd"/>
          </w:p>
        </w:tc>
        <w:tc>
          <w:tcPr>
            <w:tcW w:w="2173" w:type="dxa"/>
            <w:tcBorders>
              <w:top w:val="nil"/>
              <w:left w:val="nil"/>
              <w:bottom w:val="nil"/>
              <w:right w:val="nil"/>
            </w:tcBorders>
            <w:noWrap/>
            <w:vAlign w:val="bottom"/>
            <w:hideMark/>
          </w:tcPr>
          <w:p w14:paraId="37CDACBF"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6868E69D"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1B63FCF7"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65EC40BB"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0989C14B"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406ACC18"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Bunbury</w:t>
            </w:r>
          </w:p>
        </w:tc>
        <w:tc>
          <w:tcPr>
            <w:tcW w:w="2173" w:type="dxa"/>
            <w:tcBorders>
              <w:top w:val="nil"/>
              <w:left w:val="nil"/>
              <w:bottom w:val="nil"/>
              <w:right w:val="nil"/>
            </w:tcBorders>
            <w:noWrap/>
            <w:vAlign w:val="bottom"/>
            <w:hideMark/>
          </w:tcPr>
          <w:p w14:paraId="5C249CF1"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03A5BCCB"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0848792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5F5CE35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1F5E41AC"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04C9216F"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Western Australia - Outback (North and South)</w:t>
            </w:r>
          </w:p>
        </w:tc>
        <w:tc>
          <w:tcPr>
            <w:tcW w:w="2173" w:type="dxa"/>
            <w:tcBorders>
              <w:top w:val="nil"/>
              <w:left w:val="nil"/>
              <w:bottom w:val="nil"/>
              <w:right w:val="nil"/>
            </w:tcBorders>
            <w:noWrap/>
            <w:vAlign w:val="bottom"/>
            <w:hideMark/>
          </w:tcPr>
          <w:p w14:paraId="331441DE"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Remote</w:t>
            </w:r>
          </w:p>
        </w:tc>
        <w:tc>
          <w:tcPr>
            <w:tcW w:w="1460" w:type="dxa"/>
            <w:tcBorders>
              <w:top w:val="nil"/>
              <w:left w:val="single" w:sz="4" w:space="0" w:color="auto"/>
              <w:bottom w:val="nil"/>
              <w:right w:val="single" w:sz="4" w:space="0" w:color="auto"/>
            </w:tcBorders>
            <w:noWrap/>
            <w:vAlign w:val="bottom"/>
            <w:hideMark/>
          </w:tcPr>
          <w:p w14:paraId="2B2FB160"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5FB46D8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27DB33C8"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374194BC" w14:textId="77777777" w:rsidTr="00B277DD">
        <w:trPr>
          <w:trHeight w:val="283"/>
        </w:trPr>
        <w:tc>
          <w:tcPr>
            <w:tcW w:w="3347" w:type="dxa"/>
            <w:tcBorders>
              <w:top w:val="nil"/>
              <w:left w:val="single" w:sz="4" w:space="0" w:color="auto"/>
              <w:bottom w:val="single" w:sz="4" w:space="0" w:color="auto"/>
              <w:right w:val="single" w:sz="4" w:space="0" w:color="auto"/>
            </w:tcBorders>
            <w:noWrap/>
            <w:vAlign w:val="bottom"/>
            <w:hideMark/>
          </w:tcPr>
          <w:p w14:paraId="7E0A17EE"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Western Australia - Wheat Belt</w:t>
            </w:r>
          </w:p>
        </w:tc>
        <w:tc>
          <w:tcPr>
            <w:tcW w:w="2173" w:type="dxa"/>
            <w:tcBorders>
              <w:top w:val="nil"/>
              <w:left w:val="nil"/>
              <w:bottom w:val="single" w:sz="4" w:space="0" w:color="auto"/>
              <w:right w:val="nil"/>
            </w:tcBorders>
            <w:noWrap/>
            <w:vAlign w:val="bottom"/>
            <w:hideMark/>
          </w:tcPr>
          <w:p w14:paraId="64450B5B"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single" w:sz="4" w:space="0" w:color="auto"/>
              <w:right w:val="single" w:sz="4" w:space="0" w:color="auto"/>
            </w:tcBorders>
            <w:noWrap/>
            <w:vAlign w:val="bottom"/>
            <w:hideMark/>
          </w:tcPr>
          <w:p w14:paraId="47D192AD"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Average</w:t>
            </w:r>
          </w:p>
        </w:tc>
        <w:tc>
          <w:tcPr>
            <w:tcW w:w="1460" w:type="dxa"/>
            <w:tcBorders>
              <w:top w:val="nil"/>
              <w:left w:val="nil"/>
              <w:bottom w:val="single" w:sz="4" w:space="0" w:color="auto"/>
              <w:right w:val="single" w:sz="4" w:space="0" w:color="auto"/>
            </w:tcBorders>
            <w:noWrap/>
            <w:vAlign w:val="bottom"/>
            <w:hideMark/>
          </w:tcPr>
          <w:p w14:paraId="4DF4D0E9"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160" w:type="dxa"/>
            <w:tcBorders>
              <w:top w:val="nil"/>
              <w:left w:val="single" w:sz="4" w:space="0" w:color="auto"/>
              <w:bottom w:val="single" w:sz="4" w:space="0" w:color="auto"/>
              <w:right w:val="single" w:sz="4" w:space="0" w:color="auto"/>
            </w:tcBorders>
            <w:shd w:val="clear" w:color="000000" w:fill="B91C1C"/>
            <w:noWrap/>
            <w:vAlign w:val="bottom"/>
            <w:hideMark/>
          </w:tcPr>
          <w:p w14:paraId="43FF6139" w14:textId="77777777" w:rsidR="00B277DD" w:rsidRPr="00B277DD" w:rsidRDefault="00B277DD" w:rsidP="00B277DD">
            <w:pPr>
              <w:spacing w:after="0" w:line="240" w:lineRule="auto"/>
              <w:jc w:val="center"/>
              <w:rPr>
                <w:rFonts w:eastAsia="Times New Roman" w:cs="Arial"/>
                <w:color w:val="FFFFFF"/>
                <w:sz w:val="16"/>
                <w:szCs w:val="16"/>
                <w:lang w:eastAsia="en-AU"/>
              </w:rPr>
            </w:pPr>
            <w:r w:rsidRPr="00B277DD">
              <w:rPr>
                <w:rFonts w:eastAsia="Times New Roman" w:cs="Arial"/>
                <w:color w:val="FFFFFF"/>
                <w:sz w:val="16"/>
                <w:szCs w:val="16"/>
                <w:lang w:eastAsia="en-AU"/>
              </w:rPr>
              <w:t>Declined</w:t>
            </w:r>
          </w:p>
        </w:tc>
      </w:tr>
      <w:tr w:rsidR="00B277DD" w:rsidRPr="00B277DD" w14:paraId="2B5D3482"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69F3BFA5"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Hobart</w:t>
            </w:r>
          </w:p>
        </w:tc>
        <w:tc>
          <w:tcPr>
            <w:tcW w:w="2173" w:type="dxa"/>
            <w:tcBorders>
              <w:top w:val="nil"/>
              <w:left w:val="nil"/>
              <w:bottom w:val="nil"/>
              <w:right w:val="nil"/>
            </w:tcBorders>
            <w:noWrap/>
            <w:vAlign w:val="bottom"/>
            <w:hideMark/>
          </w:tcPr>
          <w:p w14:paraId="470C047E"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331530A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4EF8A9E5"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349AA29D"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6045BABB"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31B4200A"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 xml:space="preserve">Launceston and </w:t>
            </w:r>
            <w:proofErr w:type="gramStart"/>
            <w:r w:rsidRPr="00B277DD">
              <w:rPr>
                <w:rFonts w:eastAsia="Times New Roman" w:cs="Arial"/>
                <w:color w:val="000000"/>
                <w:sz w:val="16"/>
                <w:szCs w:val="16"/>
                <w:lang w:eastAsia="en-AU"/>
              </w:rPr>
              <w:t>North East</w:t>
            </w:r>
            <w:proofErr w:type="gramEnd"/>
          </w:p>
        </w:tc>
        <w:tc>
          <w:tcPr>
            <w:tcW w:w="2173" w:type="dxa"/>
            <w:tcBorders>
              <w:top w:val="nil"/>
              <w:left w:val="nil"/>
              <w:bottom w:val="nil"/>
              <w:right w:val="nil"/>
            </w:tcBorders>
            <w:noWrap/>
            <w:vAlign w:val="bottom"/>
            <w:hideMark/>
          </w:tcPr>
          <w:p w14:paraId="663DFE0A"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7347C0BD"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22B9FD3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5433BF7B"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2C1007B0"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6E198B19"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 xml:space="preserve">Tasmania - </w:t>
            </w:r>
            <w:proofErr w:type="gramStart"/>
            <w:r w:rsidRPr="00B277DD">
              <w:rPr>
                <w:rFonts w:eastAsia="Times New Roman" w:cs="Arial"/>
                <w:color w:val="000000"/>
                <w:sz w:val="16"/>
                <w:szCs w:val="16"/>
                <w:lang w:eastAsia="en-AU"/>
              </w:rPr>
              <w:t>South East</w:t>
            </w:r>
            <w:proofErr w:type="gramEnd"/>
          </w:p>
        </w:tc>
        <w:tc>
          <w:tcPr>
            <w:tcW w:w="2173" w:type="dxa"/>
            <w:tcBorders>
              <w:top w:val="nil"/>
              <w:left w:val="nil"/>
              <w:bottom w:val="nil"/>
              <w:right w:val="nil"/>
            </w:tcBorders>
            <w:noWrap/>
            <w:vAlign w:val="bottom"/>
            <w:hideMark/>
          </w:tcPr>
          <w:p w14:paraId="64FA1EE3"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6A7FDE60"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46830901"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2BFD3611"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46927E80" w14:textId="77777777" w:rsidTr="00B277DD">
        <w:trPr>
          <w:trHeight w:val="283"/>
        </w:trPr>
        <w:tc>
          <w:tcPr>
            <w:tcW w:w="3347" w:type="dxa"/>
            <w:tcBorders>
              <w:top w:val="nil"/>
              <w:left w:val="single" w:sz="4" w:space="0" w:color="auto"/>
              <w:bottom w:val="single" w:sz="4" w:space="0" w:color="auto"/>
              <w:right w:val="single" w:sz="4" w:space="0" w:color="auto"/>
            </w:tcBorders>
            <w:noWrap/>
            <w:vAlign w:val="bottom"/>
            <w:hideMark/>
          </w:tcPr>
          <w:p w14:paraId="7E03B8C9"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 xml:space="preserve">Tasmania - West and </w:t>
            </w:r>
            <w:proofErr w:type="gramStart"/>
            <w:r w:rsidRPr="00B277DD">
              <w:rPr>
                <w:rFonts w:eastAsia="Times New Roman" w:cs="Arial"/>
                <w:color w:val="000000"/>
                <w:sz w:val="16"/>
                <w:szCs w:val="16"/>
                <w:lang w:eastAsia="en-AU"/>
              </w:rPr>
              <w:t>North West</w:t>
            </w:r>
            <w:proofErr w:type="gramEnd"/>
          </w:p>
        </w:tc>
        <w:tc>
          <w:tcPr>
            <w:tcW w:w="2173" w:type="dxa"/>
            <w:tcBorders>
              <w:top w:val="nil"/>
              <w:left w:val="nil"/>
              <w:bottom w:val="single" w:sz="4" w:space="0" w:color="auto"/>
              <w:right w:val="nil"/>
            </w:tcBorders>
            <w:noWrap/>
            <w:vAlign w:val="bottom"/>
            <w:hideMark/>
          </w:tcPr>
          <w:p w14:paraId="6FD4ECA8"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Remote</w:t>
            </w:r>
          </w:p>
        </w:tc>
        <w:tc>
          <w:tcPr>
            <w:tcW w:w="1460" w:type="dxa"/>
            <w:tcBorders>
              <w:top w:val="nil"/>
              <w:left w:val="single" w:sz="4" w:space="0" w:color="auto"/>
              <w:bottom w:val="single" w:sz="4" w:space="0" w:color="auto"/>
              <w:right w:val="single" w:sz="4" w:space="0" w:color="auto"/>
            </w:tcBorders>
            <w:noWrap/>
            <w:vAlign w:val="bottom"/>
            <w:hideMark/>
          </w:tcPr>
          <w:p w14:paraId="5687C9C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460" w:type="dxa"/>
            <w:tcBorders>
              <w:top w:val="nil"/>
              <w:left w:val="nil"/>
              <w:bottom w:val="single" w:sz="4" w:space="0" w:color="auto"/>
              <w:right w:val="single" w:sz="4" w:space="0" w:color="auto"/>
            </w:tcBorders>
            <w:noWrap/>
            <w:vAlign w:val="bottom"/>
            <w:hideMark/>
          </w:tcPr>
          <w:p w14:paraId="32542ADD"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160" w:type="dxa"/>
            <w:tcBorders>
              <w:top w:val="nil"/>
              <w:left w:val="nil"/>
              <w:bottom w:val="single" w:sz="4" w:space="0" w:color="auto"/>
              <w:right w:val="single" w:sz="4" w:space="0" w:color="auto"/>
            </w:tcBorders>
            <w:noWrap/>
            <w:vAlign w:val="bottom"/>
            <w:hideMark/>
          </w:tcPr>
          <w:p w14:paraId="61FD1EC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36989560" w14:textId="77777777" w:rsidTr="00B277DD">
        <w:trPr>
          <w:trHeight w:val="283"/>
        </w:trPr>
        <w:tc>
          <w:tcPr>
            <w:tcW w:w="3347" w:type="dxa"/>
            <w:tcBorders>
              <w:top w:val="nil"/>
              <w:left w:val="single" w:sz="4" w:space="0" w:color="auto"/>
              <w:bottom w:val="nil"/>
              <w:right w:val="single" w:sz="4" w:space="0" w:color="auto"/>
            </w:tcBorders>
            <w:noWrap/>
            <w:vAlign w:val="bottom"/>
            <w:hideMark/>
          </w:tcPr>
          <w:p w14:paraId="7D0BD5E7"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Darwin</w:t>
            </w:r>
          </w:p>
        </w:tc>
        <w:tc>
          <w:tcPr>
            <w:tcW w:w="2173" w:type="dxa"/>
            <w:tcBorders>
              <w:top w:val="nil"/>
              <w:left w:val="nil"/>
              <w:bottom w:val="nil"/>
              <w:right w:val="nil"/>
            </w:tcBorders>
            <w:noWrap/>
            <w:vAlign w:val="bottom"/>
            <w:hideMark/>
          </w:tcPr>
          <w:p w14:paraId="4A1A0437"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6320913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736FBFA6"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211826E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1A738C9A" w14:textId="77777777" w:rsidTr="00B277DD">
        <w:trPr>
          <w:trHeight w:val="283"/>
        </w:trPr>
        <w:tc>
          <w:tcPr>
            <w:tcW w:w="3347" w:type="dxa"/>
            <w:tcBorders>
              <w:top w:val="nil"/>
              <w:left w:val="single" w:sz="4" w:space="0" w:color="auto"/>
              <w:bottom w:val="single" w:sz="4" w:space="0" w:color="auto"/>
              <w:right w:val="single" w:sz="4" w:space="0" w:color="auto"/>
            </w:tcBorders>
            <w:noWrap/>
            <w:vAlign w:val="bottom"/>
            <w:hideMark/>
          </w:tcPr>
          <w:p w14:paraId="16A76596"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Northern Territory - Outback</w:t>
            </w:r>
          </w:p>
        </w:tc>
        <w:tc>
          <w:tcPr>
            <w:tcW w:w="2173" w:type="dxa"/>
            <w:tcBorders>
              <w:top w:val="nil"/>
              <w:left w:val="nil"/>
              <w:bottom w:val="single" w:sz="4" w:space="0" w:color="auto"/>
              <w:right w:val="nil"/>
            </w:tcBorders>
            <w:noWrap/>
            <w:vAlign w:val="bottom"/>
            <w:hideMark/>
          </w:tcPr>
          <w:p w14:paraId="2EF0D993"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Remote</w:t>
            </w:r>
          </w:p>
        </w:tc>
        <w:tc>
          <w:tcPr>
            <w:tcW w:w="1460" w:type="dxa"/>
            <w:tcBorders>
              <w:top w:val="nil"/>
              <w:left w:val="single" w:sz="4" w:space="0" w:color="auto"/>
              <w:bottom w:val="single" w:sz="4" w:space="0" w:color="auto"/>
              <w:right w:val="single" w:sz="4" w:space="0" w:color="auto"/>
            </w:tcBorders>
            <w:noWrap/>
            <w:vAlign w:val="bottom"/>
            <w:hideMark/>
          </w:tcPr>
          <w:p w14:paraId="68D7AB1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460" w:type="dxa"/>
            <w:tcBorders>
              <w:top w:val="nil"/>
              <w:left w:val="nil"/>
              <w:bottom w:val="single" w:sz="4" w:space="0" w:color="auto"/>
              <w:right w:val="single" w:sz="4" w:space="0" w:color="auto"/>
            </w:tcBorders>
            <w:noWrap/>
            <w:vAlign w:val="bottom"/>
            <w:hideMark/>
          </w:tcPr>
          <w:p w14:paraId="34CAED77"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Poor</w:t>
            </w:r>
          </w:p>
        </w:tc>
        <w:tc>
          <w:tcPr>
            <w:tcW w:w="1160" w:type="dxa"/>
            <w:tcBorders>
              <w:top w:val="nil"/>
              <w:left w:val="nil"/>
              <w:bottom w:val="single" w:sz="4" w:space="0" w:color="auto"/>
              <w:right w:val="single" w:sz="4" w:space="0" w:color="auto"/>
            </w:tcBorders>
            <w:noWrap/>
            <w:vAlign w:val="bottom"/>
            <w:hideMark/>
          </w:tcPr>
          <w:p w14:paraId="6804C7D8"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65E31E1C" w14:textId="77777777" w:rsidTr="00B277DD">
        <w:trPr>
          <w:trHeight w:val="283"/>
        </w:trPr>
        <w:tc>
          <w:tcPr>
            <w:tcW w:w="3347" w:type="dxa"/>
            <w:tcBorders>
              <w:top w:val="nil"/>
              <w:left w:val="single" w:sz="4" w:space="0" w:color="auto"/>
              <w:bottom w:val="single" w:sz="4" w:space="0" w:color="auto"/>
              <w:right w:val="single" w:sz="4" w:space="0" w:color="auto"/>
            </w:tcBorders>
            <w:noWrap/>
            <w:vAlign w:val="bottom"/>
            <w:hideMark/>
          </w:tcPr>
          <w:p w14:paraId="5DE5AF55"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Australian Capital Territory</w:t>
            </w:r>
          </w:p>
        </w:tc>
        <w:tc>
          <w:tcPr>
            <w:tcW w:w="2173" w:type="dxa"/>
            <w:tcBorders>
              <w:top w:val="nil"/>
              <w:left w:val="nil"/>
              <w:bottom w:val="single" w:sz="4" w:space="0" w:color="auto"/>
              <w:right w:val="nil"/>
            </w:tcBorders>
            <w:noWrap/>
            <w:vAlign w:val="bottom"/>
            <w:hideMark/>
          </w:tcPr>
          <w:p w14:paraId="4F844358"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Major City</w:t>
            </w:r>
          </w:p>
        </w:tc>
        <w:tc>
          <w:tcPr>
            <w:tcW w:w="1460" w:type="dxa"/>
            <w:tcBorders>
              <w:top w:val="nil"/>
              <w:left w:val="single" w:sz="4" w:space="0" w:color="auto"/>
              <w:bottom w:val="single" w:sz="4" w:space="0" w:color="auto"/>
              <w:right w:val="single" w:sz="4" w:space="0" w:color="auto"/>
            </w:tcBorders>
            <w:noWrap/>
            <w:vAlign w:val="bottom"/>
            <w:hideMark/>
          </w:tcPr>
          <w:p w14:paraId="20185D4A"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460" w:type="dxa"/>
            <w:tcBorders>
              <w:top w:val="nil"/>
              <w:left w:val="nil"/>
              <w:bottom w:val="single" w:sz="4" w:space="0" w:color="auto"/>
              <w:right w:val="single" w:sz="4" w:space="0" w:color="auto"/>
            </w:tcBorders>
            <w:noWrap/>
            <w:vAlign w:val="bottom"/>
            <w:hideMark/>
          </w:tcPr>
          <w:p w14:paraId="61BF9CF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Strong</w:t>
            </w:r>
          </w:p>
        </w:tc>
        <w:tc>
          <w:tcPr>
            <w:tcW w:w="1160" w:type="dxa"/>
            <w:tcBorders>
              <w:top w:val="nil"/>
              <w:left w:val="nil"/>
              <w:bottom w:val="single" w:sz="4" w:space="0" w:color="auto"/>
              <w:right w:val="single" w:sz="4" w:space="0" w:color="auto"/>
            </w:tcBorders>
            <w:noWrap/>
            <w:vAlign w:val="bottom"/>
            <w:hideMark/>
          </w:tcPr>
          <w:p w14:paraId="0EF4F18B"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r w:rsidR="00B277DD" w:rsidRPr="00B277DD" w14:paraId="194AF769" w14:textId="77777777" w:rsidTr="00B277DD">
        <w:trPr>
          <w:trHeight w:val="283"/>
        </w:trPr>
        <w:tc>
          <w:tcPr>
            <w:tcW w:w="3347" w:type="dxa"/>
            <w:tcBorders>
              <w:top w:val="nil"/>
              <w:left w:val="single" w:sz="4" w:space="0" w:color="auto"/>
              <w:bottom w:val="single" w:sz="4" w:space="0" w:color="auto"/>
              <w:right w:val="single" w:sz="4" w:space="0" w:color="auto"/>
            </w:tcBorders>
            <w:noWrap/>
            <w:vAlign w:val="bottom"/>
            <w:hideMark/>
          </w:tcPr>
          <w:p w14:paraId="5507165A" w14:textId="77777777" w:rsidR="00B277DD" w:rsidRPr="00B277DD" w:rsidRDefault="00B277DD" w:rsidP="00B277DD">
            <w:pPr>
              <w:spacing w:after="0" w:line="240" w:lineRule="auto"/>
              <w:rPr>
                <w:rFonts w:eastAsia="Times New Roman" w:cs="Arial"/>
                <w:i/>
                <w:iCs/>
                <w:color w:val="000000"/>
                <w:sz w:val="16"/>
                <w:szCs w:val="16"/>
                <w:lang w:eastAsia="en-AU"/>
              </w:rPr>
            </w:pPr>
            <w:r w:rsidRPr="00B277DD">
              <w:rPr>
                <w:rFonts w:eastAsia="Times New Roman" w:cs="Arial"/>
                <w:i/>
                <w:iCs/>
                <w:color w:val="000000"/>
                <w:sz w:val="16"/>
                <w:szCs w:val="16"/>
                <w:lang w:eastAsia="en-AU"/>
              </w:rPr>
              <w:t>Northern Australia</w:t>
            </w:r>
          </w:p>
        </w:tc>
        <w:tc>
          <w:tcPr>
            <w:tcW w:w="2173" w:type="dxa"/>
            <w:tcBorders>
              <w:top w:val="nil"/>
              <w:left w:val="nil"/>
              <w:bottom w:val="single" w:sz="4" w:space="0" w:color="auto"/>
              <w:right w:val="single" w:sz="4" w:space="0" w:color="auto"/>
            </w:tcBorders>
            <w:noWrap/>
            <w:vAlign w:val="bottom"/>
            <w:hideMark/>
          </w:tcPr>
          <w:p w14:paraId="0BF1500B" w14:textId="77777777" w:rsidR="00B277DD" w:rsidRPr="00B277DD" w:rsidRDefault="00B277DD" w:rsidP="00B277DD">
            <w:pPr>
              <w:spacing w:after="0" w:line="240" w:lineRule="auto"/>
              <w:rPr>
                <w:rFonts w:eastAsia="Times New Roman" w:cs="Arial"/>
                <w:color w:val="000000"/>
                <w:sz w:val="16"/>
                <w:szCs w:val="16"/>
                <w:lang w:eastAsia="en-AU"/>
              </w:rPr>
            </w:pPr>
            <w:r w:rsidRPr="00B277DD">
              <w:rPr>
                <w:rFonts w:eastAsia="Times New Roman" w:cs="Arial"/>
                <w:color w:val="000000"/>
                <w:sz w:val="16"/>
                <w:szCs w:val="16"/>
                <w:lang w:eastAsia="en-AU"/>
              </w:rPr>
              <w:t> </w:t>
            </w:r>
          </w:p>
        </w:tc>
        <w:tc>
          <w:tcPr>
            <w:tcW w:w="1460" w:type="dxa"/>
            <w:tcBorders>
              <w:top w:val="nil"/>
              <w:left w:val="nil"/>
              <w:bottom w:val="single" w:sz="4" w:space="0" w:color="auto"/>
              <w:right w:val="single" w:sz="4" w:space="0" w:color="auto"/>
            </w:tcBorders>
            <w:noWrap/>
            <w:vAlign w:val="bottom"/>
            <w:hideMark/>
          </w:tcPr>
          <w:p w14:paraId="43986533"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460" w:type="dxa"/>
            <w:tcBorders>
              <w:top w:val="nil"/>
              <w:left w:val="nil"/>
              <w:bottom w:val="single" w:sz="4" w:space="0" w:color="auto"/>
              <w:right w:val="single" w:sz="4" w:space="0" w:color="auto"/>
            </w:tcBorders>
            <w:noWrap/>
            <w:vAlign w:val="bottom"/>
            <w:hideMark/>
          </w:tcPr>
          <w:p w14:paraId="486F4000"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Below average</w:t>
            </w:r>
          </w:p>
        </w:tc>
        <w:tc>
          <w:tcPr>
            <w:tcW w:w="1160" w:type="dxa"/>
            <w:tcBorders>
              <w:top w:val="nil"/>
              <w:left w:val="nil"/>
              <w:bottom w:val="single" w:sz="4" w:space="0" w:color="auto"/>
              <w:right w:val="single" w:sz="4" w:space="0" w:color="auto"/>
            </w:tcBorders>
            <w:noWrap/>
            <w:vAlign w:val="bottom"/>
            <w:hideMark/>
          </w:tcPr>
          <w:p w14:paraId="6EF71E1B" w14:textId="77777777" w:rsidR="00B277DD" w:rsidRPr="00B277DD" w:rsidRDefault="00B277DD" w:rsidP="00B277DD">
            <w:pPr>
              <w:spacing w:after="0" w:line="240" w:lineRule="auto"/>
              <w:jc w:val="center"/>
              <w:rPr>
                <w:rFonts w:eastAsia="Times New Roman" w:cs="Arial"/>
                <w:color w:val="000000"/>
                <w:sz w:val="16"/>
                <w:szCs w:val="16"/>
                <w:lang w:eastAsia="en-AU"/>
              </w:rPr>
            </w:pPr>
            <w:r w:rsidRPr="00B277DD">
              <w:rPr>
                <w:rFonts w:eastAsia="Times New Roman" w:cs="Arial"/>
                <w:color w:val="000000"/>
                <w:sz w:val="16"/>
                <w:szCs w:val="16"/>
                <w:lang w:eastAsia="en-AU"/>
              </w:rPr>
              <w:t>Stable</w:t>
            </w:r>
          </w:p>
        </w:tc>
      </w:tr>
    </w:tbl>
    <w:p w14:paraId="07BF7453" w14:textId="6A89F58E" w:rsidR="00936768" w:rsidRDefault="00076490" w:rsidP="005B548E">
      <w:pPr>
        <w:rPr>
          <w:i/>
          <w:iCs/>
          <w:sz w:val="18"/>
          <w:szCs w:val="18"/>
        </w:rPr>
      </w:pPr>
      <w:r w:rsidRPr="005B548E">
        <w:rPr>
          <w:i/>
          <w:iCs/>
          <w:sz w:val="18"/>
          <w:szCs w:val="18"/>
        </w:rPr>
        <w:t xml:space="preserve">Source: JSA, Regional Labour Market Indicator (RLMI), </w:t>
      </w:r>
      <w:r w:rsidR="00B277DD">
        <w:rPr>
          <w:i/>
          <w:iCs/>
          <w:sz w:val="18"/>
          <w:szCs w:val="18"/>
        </w:rPr>
        <w:t>December</w:t>
      </w:r>
      <w:r w:rsidRPr="005B548E">
        <w:rPr>
          <w:i/>
          <w:iCs/>
          <w:sz w:val="18"/>
          <w:szCs w:val="18"/>
        </w:rPr>
        <w:t xml:space="preserve"> 2025</w:t>
      </w:r>
    </w:p>
    <w:p w14:paraId="499E2679" w14:textId="77777777" w:rsidR="00936768" w:rsidRDefault="00936768">
      <w:pPr>
        <w:spacing w:after="160" w:line="259" w:lineRule="auto"/>
        <w:rPr>
          <w:i/>
          <w:iCs/>
          <w:sz w:val="18"/>
          <w:szCs w:val="18"/>
        </w:rPr>
      </w:pPr>
      <w:r>
        <w:rPr>
          <w:i/>
          <w:iCs/>
          <w:sz w:val="18"/>
          <w:szCs w:val="18"/>
        </w:rPr>
        <w:br w:type="page"/>
      </w:r>
    </w:p>
    <w:p w14:paraId="0573EB2E" w14:textId="65A940CB" w:rsidR="00C14AB0" w:rsidRDefault="00C15510" w:rsidP="003539A0">
      <w:pPr>
        <w:pStyle w:val="Heading2"/>
        <w:keepNext w:val="0"/>
        <w:keepLines w:val="0"/>
      </w:pPr>
      <w:r>
        <w:lastRenderedPageBreak/>
        <w:t>R</w:t>
      </w:r>
      <w:r w:rsidR="00C877C1">
        <w:t xml:space="preserve">LMI </w:t>
      </w:r>
      <w:r w:rsidR="00C14AB0">
        <w:t>Explanatory Notes</w:t>
      </w:r>
    </w:p>
    <w:p w14:paraId="02D2FA36" w14:textId="4EEF30EE" w:rsidR="00C877C1" w:rsidRPr="00A070B7" w:rsidRDefault="004302C6" w:rsidP="00C877C1">
      <w:pPr>
        <w:pStyle w:val="Heading3"/>
      </w:pPr>
      <w:r>
        <w:t>Overview</w:t>
      </w:r>
    </w:p>
    <w:p w14:paraId="6782B629" w14:textId="45981AE3" w:rsidR="00C14228" w:rsidRDefault="000E14B0" w:rsidP="00D56322">
      <w:pPr>
        <w:pStyle w:val="Bodycopy"/>
        <w:rPr>
          <w:bCs/>
          <w:iCs/>
        </w:rPr>
      </w:pPr>
      <w:r>
        <w:rPr>
          <w:bCs/>
          <w:iCs/>
        </w:rPr>
        <w:t xml:space="preserve">The Regional Labour Market Indicator (RLMI) combines </w:t>
      </w:r>
      <w:r w:rsidR="00C14228" w:rsidRPr="00EC6367">
        <w:rPr>
          <w:bCs/>
          <w:iCs/>
        </w:rPr>
        <w:t>key</w:t>
      </w:r>
      <w:r w:rsidR="00C14228">
        <w:rPr>
          <w:bCs/>
          <w:iCs/>
        </w:rPr>
        <w:t xml:space="preserve"> indicators of labour supply and demand, including several indicators capturing dynamics at the intersection of those dimensions, into a </w:t>
      </w:r>
      <w:r w:rsidR="00C14228" w:rsidRPr="00EC6367">
        <w:rPr>
          <w:bCs/>
          <w:iCs/>
        </w:rPr>
        <w:t>single, and easy to interpret, summary measure</w:t>
      </w:r>
      <w:r w:rsidR="00C14228">
        <w:rPr>
          <w:bCs/>
          <w:iCs/>
        </w:rPr>
        <w:t xml:space="preserve">. </w:t>
      </w:r>
    </w:p>
    <w:p w14:paraId="65317624" w14:textId="1F3FBA0E" w:rsidR="005D78A7" w:rsidRDefault="00A95CBF" w:rsidP="00D56322">
      <w:pPr>
        <w:pStyle w:val="Bodycopy"/>
      </w:pPr>
      <w:r>
        <w:t>R</w:t>
      </w:r>
      <w:r w:rsidR="00C877C1" w:rsidRPr="00C877C1">
        <w:t xml:space="preserve">egions </w:t>
      </w:r>
      <w:r>
        <w:t xml:space="preserve">are </w:t>
      </w:r>
      <w:r w:rsidR="00C877C1" w:rsidRPr="00C877C1">
        <w:t xml:space="preserve">grouped into distinct categories of </w:t>
      </w:r>
      <w:r w:rsidR="00B57721">
        <w:t xml:space="preserve">relative </w:t>
      </w:r>
      <w:r w:rsidR="00C877C1" w:rsidRPr="00C877C1">
        <w:t>overall labour market performance, ranging from ‘poor’ to ‘strong’</w:t>
      </w:r>
      <w:r>
        <w:t>,</w:t>
      </w:r>
      <w:r w:rsidR="00C877C1" w:rsidRPr="00C877C1">
        <w:t xml:space="preserve"> which provides an accurate and reliable view of labour market performance</w:t>
      </w:r>
      <w:r w:rsidR="00BE1900">
        <w:t>, relative to the national average</w:t>
      </w:r>
      <w:r w:rsidR="00C877C1" w:rsidRPr="00C877C1">
        <w:t xml:space="preserve">. </w:t>
      </w:r>
    </w:p>
    <w:p w14:paraId="5D3223CF" w14:textId="77777777" w:rsidR="00C14228" w:rsidRDefault="00C14228" w:rsidP="00C14228">
      <w:pPr>
        <w:spacing w:before="120" w:after="120" w:line="276" w:lineRule="auto"/>
        <w:rPr>
          <w:bCs/>
          <w:iCs/>
        </w:rPr>
      </w:pPr>
      <w:r>
        <w:rPr>
          <w:bCs/>
          <w:iCs/>
        </w:rPr>
        <w:t xml:space="preserve">A strong labour market, that is characterised by a high rate of employment, where employers can attract, develop and retain sufficient suitable labour to meet current skills needs, and where employment opportunities are broadly accessible and secure, help drive a more productive economy that is central to building a prosperous and inclusive society. </w:t>
      </w:r>
    </w:p>
    <w:p w14:paraId="65C636F2" w14:textId="4A9153D1" w:rsidR="00C877C1" w:rsidRDefault="00762464" w:rsidP="00C877C1">
      <w:pPr>
        <w:keepNext/>
        <w:keepLines/>
        <w:spacing w:before="120" w:after="120" w:line="23" w:lineRule="atLeast"/>
        <w:outlineLvl w:val="2"/>
        <w:rPr>
          <w:rFonts w:eastAsia="Times New Roman" w:cs="Times New Roman"/>
          <w:b/>
          <w:color w:val="4B0885"/>
          <w:sz w:val="26"/>
          <w:szCs w:val="24"/>
        </w:rPr>
      </w:pPr>
      <w:r>
        <w:rPr>
          <w:rFonts w:eastAsia="Times New Roman" w:cs="Times New Roman"/>
          <w:b/>
          <w:color w:val="4B0885"/>
          <w:sz w:val="26"/>
          <w:szCs w:val="24"/>
        </w:rPr>
        <w:t>Factors used to assess labour market performance</w:t>
      </w:r>
    </w:p>
    <w:p w14:paraId="143A1113" w14:textId="697B3315" w:rsidR="00C14228" w:rsidRPr="00C14228" w:rsidRDefault="00C14228" w:rsidP="00C14228">
      <w:pPr>
        <w:spacing w:before="120" w:after="120" w:line="276" w:lineRule="auto"/>
      </w:pPr>
      <w:r>
        <w:t xml:space="preserve">The 10 </w:t>
      </w:r>
      <w:r w:rsidR="002A60E3">
        <w:t xml:space="preserve">input </w:t>
      </w:r>
      <w:r>
        <w:t xml:space="preserve">factors currently included in the RLMI are listed below. The factors can be grouped into broader measures of labour supply, demand, with several indicators capturing dynamics at the intersection of these dimensions. </w:t>
      </w:r>
    </w:p>
    <w:tbl>
      <w:tblPr>
        <w:tblStyle w:val="PlainTable41"/>
        <w:tblW w:w="0" w:type="auto"/>
        <w:tblLook w:val="0480" w:firstRow="0" w:lastRow="0" w:firstColumn="1" w:lastColumn="0" w:noHBand="0" w:noVBand="1"/>
      </w:tblPr>
      <w:tblGrid>
        <w:gridCol w:w="2152"/>
        <w:gridCol w:w="3093"/>
        <w:gridCol w:w="1087"/>
        <w:gridCol w:w="972"/>
        <w:gridCol w:w="1008"/>
        <w:gridCol w:w="714"/>
      </w:tblGrid>
      <w:tr w:rsidR="00936768" w:rsidRPr="00DC2212" w14:paraId="563BB579" w14:textId="77777777" w:rsidTr="00936768">
        <w:trPr>
          <w:tblHeader/>
        </w:trPr>
        <w:tc>
          <w:tcPr>
            <w:cnfStyle w:val="001000000000" w:firstRow="0" w:lastRow="0" w:firstColumn="1" w:lastColumn="0" w:oddVBand="0" w:evenVBand="0" w:oddHBand="0" w:evenHBand="0" w:firstRowFirstColumn="0" w:firstRowLastColumn="0" w:lastRowFirstColumn="0" w:lastRowLastColumn="0"/>
            <w:tcW w:w="2152" w:type="dxa"/>
            <w:shd w:val="clear" w:color="auto" w:fill="441170"/>
            <w:vAlign w:val="bottom"/>
          </w:tcPr>
          <w:p w14:paraId="198B587E" w14:textId="77777777" w:rsidR="00936768" w:rsidRPr="00DC2212" w:rsidRDefault="00936768" w:rsidP="009F6646">
            <w:pPr>
              <w:spacing w:before="120" w:after="120"/>
              <w:rPr>
                <w:b w:val="0"/>
                <w:bCs w:val="0"/>
                <w:color w:val="FFFFFF"/>
                <w:sz w:val="16"/>
                <w:szCs w:val="16"/>
                <w:lang w:val="en-US"/>
              </w:rPr>
            </w:pPr>
            <w:r w:rsidRPr="00DC2212">
              <w:rPr>
                <w:b w:val="0"/>
                <w:bCs w:val="0"/>
                <w:color w:val="FFFFFF"/>
                <w:sz w:val="16"/>
                <w:szCs w:val="16"/>
                <w:lang w:val="en-US"/>
              </w:rPr>
              <w:t>Factor</w:t>
            </w:r>
          </w:p>
        </w:tc>
        <w:tc>
          <w:tcPr>
            <w:tcW w:w="3093" w:type="dxa"/>
            <w:shd w:val="clear" w:color="auto" w:fill="441170"/>
            <w:vAlign w:val="bottom"/>
          </w:tcPr>
          <w:p w14:paraId="11CEA5E7" w14:textId="77777777" w:rsidR="00936768" w:rsidRPr="00DC2212" w:rsidRDefault="00936768" w:rsidP="009F6646">
            <w:pPr>
              <w:spacing w:before="120" w:after="120"/>
              <w:cnfStyle w:val="000000000000" w:firstRow="0" w:lastRow="0" w:firstColumn="0" w:lastColumn="0" w:oddVBand="0" w:evenVBand="0" w:oddHBand="0" w:evenHBand="0" w:firstRowFirstColumn="0" w:firstRowLastColumn="0" w:lastRowFirstColumn="0" w:lastRowLastColumn="0"/>
              <w:rPr>
                <w:color w:val="FFFFFF"/>
                <w:sz w:val="16"/>
                <w:szCs w:val="16"/>
                <w:lang w:val="en-US"/>
              </w:rPr>
            </w:pPr>
            <w:r w:rsidRPr="00DC2212">
              <w:rPr>
                <w:color w:val="FFFFFF"/>
                <w:sz w:val="16"/>
                <w:szCs w:val="16"/>
                <w:lang w:val="en-US"/>
              </w:rPr>
              <w:t>Description</w:t>
            </w:r>
          </w:p>
        </w:tc>
        <w:tc>
          <w:tcPr>
            <w:tcW w:w="1087" w:type="dxa"/>
            <w:shd w:val="clear" w:color="auto" w:fill="441170"/>
          </w:tcPr>
          <w:p w14:paraId="3FBF5760" w14:textId="77777777" w:rsidR="00936768" w:rsidRPr="00DC2212" w:rsidRDefault="00936768" w:rsidP="009F6646">
            <w:pPr>
              <w:spacing w:before="120" w:after="120"/>
              <w:jc w:val="center"/>
              <w:cnfStyle w:val="000000000000" w:firstRow="0" w:lastRow="0" w:firstColumn="0" w:lastColumn="0" w:oddVBand="0" w:evenVBand="0" w:oddHBand="0" w:evenHBand="0" w:firstRowFirstColumn="0" w:firstRowLastColumn="0" w:lastRowFirstColumn="0" w:lastRowLastColumn="0"/>
              <w:rPr>
                <w:color w:val="FFFFFF"/>
                <w:sz w:val="16"/>
                <w:szCs w:val="16"/>
                <w:lang w:val="en-US"/>
              </w:rPr>
            </w:pPr>
            <w:r w:rsidRPr="00DC2212">
              <w:rPr>
                <w:color w:val="FFFFFF"/>
                <w:sz w:val="16"/>
                <w:szCs w:val="16"/>
                <w:lang w:val="en-US"/>
              </w:rPr>
              <w:t>Factor Type</w:t>
            </w:r>
          </w:p>
        </w:tc>
        <w:tc>
          <w:tcPr>
            <w:tcW w:w="0" w:type="auto"/>
            <w:shd w:val="clear" w:color="auto" w:fill="441170"/>
          </w:tcPr>
          <w:p w14:paraId="36A578AC" w14:textId="1F9EBD29" w:rsidR="00936768" w:rsidRPr="00DC2212" w:rsidRDefault="00936768" w:rsidP="009F6646">
            <w:pPr>
              <w:spacing w:before="120" w:after="120"/>
              <w:jc w:val="center"/>
              <w:cnfStyle w:val="000000000000" w:firstRow="0" w:lastRow="0" w:firstColumn="0" w:lastColumn="0" w:oddVBand="0" w:evenVBand="0" w:oddHBand="0" w:evenHBand="0" w:firstRowFirstColumn="0" w:firstRowLastColumn="0" w:lastRowFirstColumn="0" w:lastRowLastColumn="0"/>
              <w:rPr>
                <w:color w:val="FFFFFF"/>
                <w:sz w:val="16"/>
                <w:szCs w:val="16"/>
                <w:lang w:val="en-US"/>
              </w:rPr>
            </w:pPr>
            <w:r w:rsidRPr="00DC2212">
              <w:rPr>
                <w:color w:val="FFFFFF"/>
                <w:sz w:val="16"/>
                <w:szCs w:val="16"/>
                <w:lang w:val="en-US"/>
              </w:rPr>
              <w:t>Availability</w:t>
            </w:r>
          </w:p>
        </w:tc>
        <w:tc>
          <w:tcPr>
            <w:tcW w:w="0" w:type="auto"/>
            <w:shd w:val="clear" w:color="auto" w:fill="441170"/>
          </w:tcPr>
          <w:p w14:paraId="36631090" w14:textId="7E2398AF" w:rsidR="00936768" w:rsidRPr="00DC2212" w:rsidRDefault="00936768" w:rsidP="009F6646">
            <w:pPr>
              <w:spacing w:before="120" w:after="120"/>
              <w:jc w:val="center"/>
              <w:cnfStyle w:val="000000000000" w:firstRow="0" w:lastRow="0" w:firstColumn="0" w:lastColumn="0" w:oddVBand="0" w:evenVBand="0" w:oddHBand="0" w:evenHBand="0" w:firstRowFirstColumn="0" w:firstRowLastColumn="0" w:lastRowFirstColumn="0" w:lastRowLastColumn="0"/>
              <w:rPr>
                <w:color w:val="FFFFFF"/>
                <w:sz w:val="16"/>
                <w:szCs w:val="16"/>
                <w:lang w:val="en-US"/>
              </w:rPr>
            </w:pPr>
            <w:r w:rsidRPr="00DC2212">
              <w:rPr>
                <w:color w:val="FFFFFF"/>
                <w:sz w:val="16"/>
                <w:szCs w:val="16"/>
                <w:lang w:val="en-US"/>
              </w:rPr>
              <w:t>Geography</w:t>
            </w:r>
          </w:p>
        </w:tc>
        <w:tc>
          <w:tcPr>
            <w:tcW w:w="0" w:type="auto"/>
            <w:shd w:val="clear" w:color="auto" w:fill="441170"/>
          </w:tcPr>
          <w:p w14:paraId="117F285A" w14:textId="77777777" w:rsidR="00936768" w:rsidRPr="00DC2212" w:rsidRDefault="00936768" w:rsidP="009F6646">
            <w:pPr>
              <w:spacing w:before="120" w:after="120"/>
              <w:jc w:val="center"/>
              <w:cnfStyle w:val="000000000000" w:firstRow="0" w:lastRow="0" w:firstColumn="0" w:lastColumn="0" w:oddVBand="0" w:evenVBand="0" w:oddHBand="0" w:evenHBand="0" w:firstRowFirstColumn="0" w:firstRowLastColumn="0" w:lastRowFirstColumn="0" w:lastRowLastColumn="0"/>
              <w:rPr>
                <w:color w:val="FFFFFF"/>
                <w:sz w:val="16"/>
                <w:szCs w:val="16"/>
                <w:lang w:val="en-US"/>
              </w:rPr>
            </w:pPr>
            <w:r w:rsidRPr="00DC2212">
              <w:rPr>
                <w:color w:val="FFFFFF"/>
                <w:sz w:val="16"/>
                <w:szCs w:val="16"/>
                <w:lang w:val="en-US"/>
              </w:rPr>
              <w:t>Weight</w:t>
            </w:r>
          </w:p>
        </w:tc>
      </w:tr>
      <w:tr w:rsidR="00936768" w:rsidRPr="00DC2212" w14:paraId="6E778BC8" w14:textId="77777777" w:rsidTr="009367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shd w:val="clear" w:color="auto" w:fill="F2F2F2" w:themeFill="background1" w:themeFillShade="F2"/>
          </w:tcPr>
          <w:p w14:paraId="4BADC650" w14:textId="77777777" w:rsidR="00936768" w:rsidRPr="00DC2212" w:rsidRDefault="00936768" w:rsidP="009F6646">
            <w:pPr>
              <w:spacing w:before="120" w:after="120"/>
              <w:rPr>
                <w:rFonts w:cs="Arial"/>
                <w:b w:val="0"/>
                <w:bCs w:val="0"/>
                <w:color w:val="000000"/>
                <w:sz w:val="16"/>
                <w:szCs w:val="16"/>
              </w:rPr>
            </w:pPr>
            <w:r w:rsidRPr="00DC2212">
              <w:rPr>
                <w:b w:val="0"/>
                <w:color w:val="000000"/>
                <w:sz w:val="16"/>
                <w:szCs w:val="16"/>
              </w:rPr>
              <w:t xml:space="preserve">Employment </w:t>
            </w:r>
            <w:r w:rsidRPr="00DC2212">
              <w:rPr>
                <w:rFonts w:cs="Arial"/>
                <w:b w:val="0"/>
                <w:bCs w:val="0"/>
                <w:color w:val="000000"/>
                <w:sz w:val="16"/>
                <w:szCs w:val="16"/>
              </w:rPr>
              <w:t>rate (15-64</w:t>
            </w:r>
            <w:r w:rsidRPr="00DC2212">
              <w:rPr>
                <w:b w:val="0"/>
                <w:color w:val="000000"/>
                <w:sz w:val="16"/>
                <w:szCs w:val="16"/>
              </w:rPr>
              <w:t xml:space="preserve"> years</w:t>
            </w:r>
            <w:r w:rsidRPr="00DC2212">
              <w:rPr>
                <w:rFonts w:cs="Arial"/>
                <w:b w:val="0"/>
                <w:bCs w:val="0"/>
                <w:color w:val="000000"/>
                <w:sz w:val="16"/>
                <w:szCs w:val="16"/>
              </w:rPr>
              <w:t>)</w:t>
            </w:r>
          </w:p>
        </w:tc>
        <w:tc>
          <w:tcPr>
            <w:tcW w:w="3093" w:type="dxa"/>
            <w:shd w:val="clear" w:color="auto" w:fill="F2F2F2" w:themeFill="background1" w:themeFillShade="F2"/>
          </w:tcPr>
          <w:p w14:paraId="649DBF5B" w14:textId="77777777" w:rsidR="00936768" w:rsidRPr="00DC2212" w:rsidRDefault="00936768" w:rsidP="009F6646">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sz w:val="16"/>
                <w:szCs w:val="16"/>
              </w:rPr>
              <w:t>The number of employed persons as a proportion of the working age (15-64 years) population (%)</w:t>
            </w:r>
          </w:p>
        </w:tc>
        <w:tc>
          <w:tcPr>
            <w:tcW w:w="1087" w:type="dxa"/>
            <w:shd w:val="clear" w:color="auto" w:fill="F2F2F2" w:themeFill="background1" w:themeFillShade="F2"/>
          </w:tcPr>
          <w:p w14:paraId="12C2ED2A" w14:textId="77777777" w:rsidR="00936768" w:rsidRPr="00DC2212" w:rsidRDefault="00936768" w:rsidP="009F6646">
            <w:pPr>
              <w:spacing w:before="120"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DC2212">
              <w:rPr>
                <w:rFonts w:cs="Arial"/>
                <w:sz w:val="16"/>
                <w:szCs w:val="16"/>
              </w:rPr>
              <w:t>Supply</w:t>
            </w:r>
          </w:p>
        </w:tc>
        <w:tc>
          <w:tcPr>
            <w:tcW w:w="0" w:type="auto"/>
            <w:shd w:val="clear" w:color="auto" w:fill="F2F2F2" w:themeFill="background1" w:themeFillShade="F2"/>
          </w:tcPr>
          <w:p w14:paraId="4A84BAEE" w14:textId="0E0DF8CD" w:rsidR="00936768" w:rsidRPr="00DC2212" w:rsidRDefault="00936768" w:rsidP="009F6646">
            <w:pPr>
              <w:spacing w:before="120"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DC2212">
              <w:rPr>
                <w:rFonts w:cs="Arial"/>
                <w:sz w:val="16"/>
                <w:szCs w:val="16"/>
              </w:rPr>
              <w:t>Monthly</w:t>
            </w:r>
          </w:p>
        </w:tc>
        <w:tc>
          <w:tcPr>
            <w:tcW w:w="0" w:type="auto"/>
            <w:shd w:val="clear" w:color="auto" w:fill="F2F2F2" w:themeFill="background1" w:themeFillShade="F2"/>
          </w:tcPr>
          <w:p w14:paraId="396C5D1C" w14:textId="05132525" w:rsidR="00936768" w:rsidRPr="00DC2212" w:rsidRDefault="00936768" w:rsidP="009F6646">
            <w:pPr>
              <w:spacing w:before="120"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DC2212">
              <w:rPr>
                <w:rFonts w:cs="Arial"/>
                <w:sz w:val="16"/>
                <w:szCs w:val="16"/>
              </w:rPr>
              <w:t>SA4</w:t>
            </w:r>
          </w:p>
        </w:tc>
        <w:tc>
          <w:tcPr>
            <w:tcW w:w="0" w:type="auto"/>
            <w:shd w:val="clear" w:color="auto" w:fill="F2F2F2" w:themeFill="background1" w:themeFillShade="F2"/>
          </w:tcPr>
          <w:p w14:paraId="0D3CBEFC" w14:textId="77777777" w:rsidR="00936768" w:rsidRPr="00DC2212" w:rsidRDefault="00936768" w:rsidP="009F6646">
            <w:pPr>
              <w:spacing w:before="120"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DC2212">
              <w:rPr>
                <w:rFonts w:cs="Arial"/>
                <w:sz w:val="16"/>
                <w:szCs w:val="16"/>
              </w:rPr>
              <w:t>20%</w:t>
            </w:r>
          </w:p>
        </w:tc>
      </w:tr>
      <w:tr w:rsidR="00936768" w:rsidRPr="00DC2212" w14:paraId="54697506" w14:textId="77777777" w:rsidTr="00936768">
        <w:tc>
          <w:tcPr>
            <w:cnfStyle w:val="001000000000" w:firstRow="0" w:lastRow="0" w:firstColumn="1" w:lastColumn="0" w:oddVBand="0" w:evenVBand="0" w:oddHBand="0" w:evenHBand="0" w:firstRowFirstColumn="0" w:firstRowLastColumn="0" w:lastRowFirstColumn="0" w:lastRowLastColumn="0"/>
            <w:tcW w:w="2152" w:type="dxa"/>
            <w:shd w:val="clear" w:color="auto" w:fill="FFFFFF" w:themeFill="background1"/>
          </w:tcPr>
          <w:p w14:paraId="7B3A675F" w14:textId="77777777" w:rsidR="00936768" w:rsidRPr="00DC2212" w:rsidRDefault="00936768" w:rsidP="009F6646">
            <w:pPr>
              <w:spacing w:before="120" w:after="120"/>
              <w:rPr>
                <w:rFonts w:cs="Arial"/>
                <w:b w:val="0"/>
                <w:bCs w:val="0"/>
                <w:color w:val="000000"/>
                <w:sz w:val="16"/>
                <w:szCs w:val="16"/>
              </w:rPr>
            </w:pPr>
            <w:r w:rsidRPr="00DC2212">
              <w:rPr>
                <w:rFonts w:cs="Arial"/>
                <w:b w:val="0"/>
                <w:bCs w:val="0"/>
                <w:color w:val="000000"/>
                <w:sz w:val="16"/>
                <w:szCs w:val="16"/>
              </w:rPr>
              <w:t xml:space="preserve">Unemployment rate </w:t>
            </w:r>
          </w:p>
        </w:tc>
        <w:tc>
          <w:tcPr>
            <w:tcW w:w="3093" w:type="dxa"/>
            <w:shd w:val="clear" w:color="auto" w:fill="FFFFFF" w:themeFill="background1"/>
          </w:tcPr>
          <w:p w14:paraId="0A9CA120" w14:textId="77777777" w:rsidR="00936768" w:rsidRPr="00DC2212" w:rsidRDefault="00936768" w:rsidP="009F6646">
            <w:pPr>
              <w:spacing w:before="120" w:after="120"/>
              <w:cnfStyle w:val="000000000000" w:firstRow="0" w:lastRow="0" w:firstColumn="0" w:lastColumn="0" w:oddVBand="0" w:evenVBand="0" w:oddHBand="0" w:evenHBand="0" w:firstRowFirstColumn="0" w:firstRowLastColumn="0" w:lastRowFirstColumn="0" w:lastRowLastColumn="0"/>
              <w:rPr>
                <w:rFonts w:cs="Arial"/>
                <w:sz w:val="16"/>
                <w:szCs w:val="16"/>
              </w:rPr>
            </w:pPr>
            <w:r w:rsidRPr="00DC2212">
              <w:rPr>
                <w:rFonts w:cs="Arial"/>
                <w:sz w:val="16"/>
                <w:szCs w:val="16"/>
              </w:rPr>
              <w:t>The number of unemployed persons as a proportion of the total labour force (%)</w:t>
            </w:r>
          </w:p>
        </w:tc>
        <w:tc>
          <w:tcPr>
            <w:tcW w:w="1087" w:type="dxa"/>
            <w:shd w:val="clear" w:color="auto" w:fill="FFFFFF" w:themeFill="background1"/>
          </w:tcPr>
          <w:p w14:paraId="35DDF49C" w14:textId="77777777" w:rsidR="00936768" w:rsidRPr="00DC2212" w:rsidRDefault="00936768" w:rsidP="009F6646">
            <w:pPr>
              <w:spacing w:before="120" w:after="12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DC2212">
              <w:rPr>
                <w:rFonts w:cs="Arial"/>
                <w:sz w:val="16"/>
                <w:szCs w:val="16"/>
              </w:rPr>
              <w:t>Supply</w:t>
            </w:r>
          </w:p>
        </w:tc>
        <w:tc>
          <w:tcPr>
            <w:tcW w:w="0" w:type="auto"/>
            <w:shd w:val="clear" w:color="auto" w:fill="FFFFFF" w:themeFill="background1"/>
          </w:tcPr>
          <w:p w14:paraId="77A6F94F" w14:textId="45901319" w:rsidR="00936768" w:rsidRPr="00DC2212" w:rsidRDefault="00936768" w:rsidP="009F6646">
            <w:pPr>
              <w:spacing w:before="120" w:after="12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DC2212">
              <w:rPr>
                <w:rFonts w:cs="Arial"/>
                <w:sz w:val="16"/>
                <w:szCs w:val="16"/>
              </w:rPr>
              <w:t>Monthly</w:t>
            </w:r>
          </w:p>
        </w:tc>
        <w:tc>
          <w:tcPr>
            <w:tcW w:w="0" w:type="auto"/>
            <w:shd w:val="clear" w:color="auto" w:fill="FFFFFF" w:themeFill="background1"/>
          </w:tcPr>
          <w:p w14:paraId="0A23523A" w14:textId="61042908" w:rsidR="00936768" w:rsidRPr="00DC2212" w:rsidRDefault="00936768" w:rsidP="009F6646">
            <w:pPr>
              <w:spacing w:before="120" w:after="12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DC2212">
              <w:rPr>
                <w:rFonts w:cs="Arial"/>
                <w:sz w:val="16"/>
                <w:szCs w:val="16"/>
              </w:rPr>
              <w:t>SA4</w:t>
            </w:r>
          </w:p>
        </w:tc>
        <w:tc>
          <w:tcPr>
            <w:tcW w:w="0" w:type="auto"/>
            <w:shd w:val="clear" w:color="auto" w:fill="FFFFFF" w:themeFill="background1"/>
          </w:tcPr>
          <w:p w14:paraId="081623D6" w14:textId="77777777" w:rsidR="00936768" w:rsidRPr="00DC2212" w:rsidRDefault="00936768" w:rsidP="009F6646">
            <w:pPr>
              <w:spacing w:before="120" w:after="12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DC2212">
              <w:rPr>
                <w:rFonts w:cs="Arial"/>
                <w:sz w:val="16"/>
                <w:szCs w:val="16"/>
              </w:rPr>
              <w:t>5%</w:t>
            </w:r>
          </w:p>
        </w:tc>
      </w:tr>
      <w:tr w:rsidR="00936768" w:rsidRPr="00DC2212" w14:paraId="48ACA4C0" w14:textId="77777777" w:rsidTr="009367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shd w:val="clear" w:color="auto" w:fill="F2F2F2" w:themeFill="background1" w:themeFillShade="F2"/>
          </w:tcPr>
          <w:p w14:paraId="6CBB4E6E" w14:textId="77777777" w:rsidR="00936768" w:rsidRPr="00DC2212" w:rsidRDefault="00936768" w:rsidP="009F6646">
            <w:pPr>
              <w:spacing w:before="120" w:after="120"/>
              <w:rPr>
                <w:b w:val="0"/>
                <w:color w:val="000000"/>
                <w:sz w:val="16"/>
                <w:szCs w:val="16"/>
              </w:rPr>
            </w:pPr>
            <w:proofErr w:type="spellStart"/>
            <w:r w:rsidRPr="00DC2212">
              <w:rPr>
                <w:b w:val="0"/>
                <w:color w:val="000000"/>
                <w:sz w:val="16"/>
                <w:szCs w:val="16"/>
              </w:rPr>
              <w:t>JobSeeker</w:t>
            </w:r>
            <w:proofErr w:type="spellEnd"/>
            <w:r w:rsidRPr="00DC2212">
              <w:rPr>
                <w:b w:val="0"/>
                <w:color w:val="000000"/>
                <w:sz w:val="16"/>
                <w:szCs w:val="16"/>
              </w:rPr>
              <w:t xml:space="preserve"> income support rate</w:t>
            </w:r>
          </w:p>
        </w:tc>
        <w:tc>
          <w:tcPr>
            <w:tcW w:w="3093" w:type="dxa"/>
            <w:shd w:val="clear" w:color="auto" w:fill="F2F2F2" w:themeFill="background1" w:themeFillShade="F2"/>
          </w:tcPr>
          <w:p w14:paraId="68BCB756" w14:textId="77777777" w:rsidR="00936768" w:rsidRPr="00DC2212" w:rsidRDefault="00936768" w:rsidP="009F6646">
            <w:pPr>
              <w:spacing w:before="120" w:after="120"/>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DC2212">
              <w:rPr>
                <w:bCs/>
                <w:color w:val="000000"/>
                <w:sz w:val="16"/>
                <w:szCs w:val="16"/>
              </w:rPr>
              <w:t>Proportion of the working age (15-64 years) population on JobSeeker Income Support*</w:t>
            </w:r>
          </w:p>
        </w:tc>
        <w:tc>
          <w:tcPr>
            <w:tcW w:w="1087" w:type="dxa"/>
            <w:shd w:val="clear" w:color="auto" w:fill="F2F2F2" w:themeFill="background1" w:themeFillShade="F2"/>
          </w:tcPr>
          <w:p w14:paraId="2AD2554E" w14:textId="77777777" w:rsidR="00936768" w:rsidRPr="00DC2212" w:rsidRDefault="00936768" w:rsidP="009F6646">
            <w:pPr>
              <w:spacing w:before="120" w:after="120"/>
              <w:jc w:val="center"/>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DC2212">
              <w:rPr>
                <w:bCs/>
                <w:color w:val="000000"/>
                <w:sz w:val="16"/>
                <w:szCs w:val="16"/>
              </w:rPr>
              <w:t>Supply</w:t>
            </w:r>
          </w:p>
        </w:tc>
        <w:tc>
          <w:tcPr>
            <w:tcW w:w="0" w:type="auto"/>
            <w:shd w:val="clear" w:color="auto" w:fill="F2F2F2" w:themeFill="background1" w:themeFillShade="F2"/>
          </w:tcPr>
          <w:p w14:paraId="22AB25DF" w14:textId="532BDB9B" w:rsidR="00936768" w:rsidRPr="00DC2212" w:rsidRDefault="00936768" w:rsidP="009F6646">
            <w:pPr>
              <w:spacing w:before="120" w:after="120"/>
              <w:jc w:val="center"/>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DC2212">
              <w:rPr>
                <w:bCs/>
                <w:color w:val="000000"/>
                <w:sz w:val="16"/>
                <w:szCs w:val="16"/>
              </w:rPr>
              <w:t>Monthly</w:t>
            </w:r>
          </w:p>
        </w:tc>
        <w:tc>
          <w:tcPr>
            <w:tcW w:w="0" w:type="auto"/>
            <w:shd w:val="clear" w:color="auto" w:fill="F2F2F2" w:themeFill="background1" w:themeFillShade="F2"/>
          </w:tcPr>
          <w:p w14:paraId="683A67B8" w14:textId="5BB750FF" w:rsidR="00936768" w:rsidRPr="00DC2212" w:rsidRDefault="00936768" w:rsidP="009F6646">
            <w:pPr>
              <w:spacing w:before="120" w:after="120"/>
              <w:jc w:val="center"/>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DC2212">
              <w:rPr>
                <w:bCs/>
                <w:color w:val="000000"/>
                <w:sz w:val="16"/>
                <w:szCs w:val="16"/>
              </w:rPr>
              <w:t>SA4</w:t>
            </w:r>
          </w:p>
        </w:tc>
        <w:tc>
          <w:tcPr>
            <w:tcW w:w="0" w:type="auto"/>
            <w:shd w:val="clear" w:color="auto" w:fill="F2F2F2" w:themeFill="background1" w:themeFillShade="F2"/>
          </w:tcPr>
          <w:p w14:paraId="23A9EB17" w14:textId="77777777" w:rsidR="00936768" w:rsidRPr="00DC2212" w:rsidRDefault="00936768" w:rsidP="009F6646">
            <w:pPr>
              <w:spacing w:before="120" w:after="120"/>
              <w:jc w:val="center"/>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DC2212">
              <w:rPr>
                <w:bCs/>
                <w:color w:val="000000"/>
                <w:sz w:val="16"/>
                <w:szCs w:val="16"/>
              </w:rPr>
              <w:t>15%</w:t>
            </w:r>
          </w:p>
        </w:tc>
      </w:tr>
      <w:tr w:rsidR="00936768" w:rsidRPr="00DC2212" w14:paraId="6AF0F902" w14:textId="77777777" w:rsidTr="00936768">
        <w:tc>
          <w:tcPr>
            <w:cnfStyle w:val="001000000000" w:firstRow="0" w:lastRow="0" w:firstColumn="1" w:lastColumn="0" w:oddVBand="0" w:evenVBand="0" w:oddHBand="0" w:evenHBand="0" w:firstRowFirstColumn="0" w:firstRowLastColumn="0" w:lastRowFirstColumn="0" w:lastRowLastColumn="0"/>
            <w:tcW w:w="2152" w:type="dxa"/>
            <w:shd w:val="clear" w:color="auto" w:fill="FFFFFF" w:themeFill="background1"/>
          </w:tcPr>
          <w:p w14:paraId="223939F6" w14:textId="77777777" w:rsidR="00936768" w:rsidRPr="00DC2212" w:rsidRDefault="00936768" w:rsidP="009F6646">
            <w:pPr>
              <w:spacing w:before="120" w:after="120"/>
              <w:rPr>
                <w:rFonts w:cs="Arial"/>
                <w:b w:val="0"/>
                <w:bCs w:val="0"/>
                <w:color w:val="000000"/>
                <w:sz w:val="16"/>
                <w:szCs w:val="16"/>
              </w:rPr>
            </w:pPr>
            <w:proofErr w:type="spellStart"/>
            <w:r w:rsidRPr="00DC2212">
              <w:rPr>
                <w:rFonts w:cs="Arial"/>
                <w:b w:val="0"/>
                <w:bCs w:val="0"/>
                <w:color w:val="000000"/>
                <w:sz w:val="16"/>
                <w:szCs w:val="16"/>
              </w:rPr>
              <w:t>JobSeeker</w:t>
            </w:r>
            <w:proofErr w:type="spellEnd"/>
            <w:r w:rsidRPr="00DC2212">
              <w:rPr>
                <w:rFonts w:cs="Arial"/>
                <w:b w:val="0"/>
                <w:bCs w:val="0"/>
                <w:color w:val="000000"/>
                <w:sz w:val="16"/>
                <w:szCs w:val="16"/>
              </w:rPr>
              <w:t xml:space="preserve"> income support for </w:t>
            </w:r>
            <w:r w:rsidRPr="00DC2212">
              <w:rPr>
                <w:rFonts w:cs="Arial"/>
                <w:color w:val="000000"/>
                <w:sz w:val="16"/>
                <w:szCs w:val="16"/>
              </w:rPr>
              <w:t>2 or more years</w:t>
            </w:r>
            <w:r w:rsidRPr="00DC2212">
              <w:rPr>
                <w:rFonts w:cs="Arial"/>
                <w:b w:val="0"/>
                <w:bCs w:val="0"/>
                <w:color w:val="000000"/>
                <w:sz w:val="16"/>
                <w:szCs w:val="16"/>
              </w:rPr>
              <w:t xml:space="preserve"> rate</w:t>
            </w:r>
          </w:p>
        </w:tc>
        <w:tc>
          <w:tcPr>
            <w:tcW w:w="3093" w:type="dxa"/>
            <w:shd w:val="clear" w:color="auto" w:fill="FFFFFF" w:themeFill="background1"/>
          </w:tcPr>
          <w:p w14:paraId="08714E8A" w14:textId="68E33CC0" w:rsidR="00936768" w:rsidRPr="00DC2212" w:rsidRDefault="00936768" w:rsidP="009F6646">
            <w:pPr>
              <w:spacing w:before="120" w:after="120"/>
              <w:cnfStyle w:val="000000000000" w:firstRow="0" w:lastRow="0" w:firstColumn="0" w:lastColumn="0" w:oddVBand="0" w:evenVBand="0" w:oddHBand="0" w:evenHBand="0" w:firstRowFirstColumn="0" w:firstRowLastColumn="0" w:lastRowFirstColumn="0" w:lastRowLastColumn="0"/>
              <w:rPr>
                <w:rFonts w:cs="Arial"/>
                <w:sz w:val="16"/>
                <w:szCs w:val="16"/>
              </w:rPr>
            </w:pPr>
            <w:r w:rsidRPr="00DC2212">
              <w:rPr>
                <w:rFonts w:cs="Arial"/>
                <w:sz w:val="16"/>
                <w:szCs w:val="16"/>
              </w:rPr>
              <w:t>Proportion of the working age (15-64 years) population on JobSeeker Income Support for 2 or more years</w:t>
            </w:r>
            <w:r w:rsidRPr="00982392">
              <w:rPr>
                <w:rFonts w:cs="Arial"/>
                <w:color w:val="000000"/>
                <w:sz w:val="16"/>
                <w:szCs w:val="16"/>
                <w:vertAlign w:val="superscript"/>
              </w:rPr>
              <w:t>1</w:t>
            </w:r>
          </w:p>
        </w:tc>
        <w:tc>
          <w:tcPr>
            <w:tcW w:w="1087" w:type="dxa"/>
            <w:shd w:val="clear" w:color="auto" w:fill="FFFFFF" w:themeFill="background1"/>
          </w:tcPr>
          <w:p w14:paraId="7DDEB223" w14:textId="0CEB27BA" w:rsidR="00936768" w:rsidRPr="00DC2212" w:rsidRDefault="00936768" w:rsidP="009F6646">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Supply (structural)</w:t>
            </w:r>
          </w:p>
        </w:tc>
        <w:tc>
          <w:tcPr>
            <w:tcW w:w="0" w:type="auto"/>
            <w:shd w:val="clear" w:color="auto" w:fill="FFFFFF" w:themeFill="background1"/>
          </w:tcPr>
          <w:p w14:paraId="05FEE6CB" w14:textId="0A8EAA3E" w:rsidR="00936768" w:rsidRPr="00DC2212" w:rsidRDefault="00936768" w:rsidP="009F6646">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Monthly</w:t>
            </w:r>
          </w:p>
        </w:tc>
        <w:tc>
          <w:tcPr>
            <w:tcW w:w="0" w:type="auto"/>
            <w:shd w:val="clear" w:color="auto" w:fill="FFFFFF" w:themeFill="background1"/>
          </w:tcPr>
          <w:p w14:paraId="2E90B06B" w14:textId="1AD8B0AF" w:rsidR="00936768" w:rsidRPr="00DC2212" w:rsidDel="00E97ACE" w:rsidRDefault="00936768" w:rsidP="009F6646">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SA4</w:t>
            </w:r>
          </w:p>
        </w:tc>
        <w:tc>
          <w:tcPr>
            <w:tcW w:w="0" w:type="auto"/>
            <w:shd w:val="clear" w:color="auto" w:fill="FFFFFF" w:themeFill="background1"/>
          </w:tcPr>
          <w:p w14:paraId="7FCCB2B6" w14:textId="77777777" w:rsidR="00936768" w:rsidRPr="00DC2212" w:rsidRDefault="00936768" w:rsidP="009F6646">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20%</w:t>
            </w:r>
          </w:p>
        </w:tc>
      </w:tr>
      <w:tr w:rsidR="00936768" w:rsidRPr="00DC2212" w14:paraId="0D2A5C7D" w14:textId="77777777" w:rsidTr="009367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shd w:val="clear" w:color="auto" w:fill="F2F2F2" w:themeFill="background1" w:themeFillShade="F2"/>
          </w:tcPr>
          <w:p w14:paraId="398DBC89" w14:textId="0C59AAD8" w:rsidR="00936768" w:rsidRPr="00DC2212" w:rsidRDefault="00936768" w:rsidP="001B1567">
            <w:pPr>
              <w:spacing w:before="120" w:after="120"/>
              <w:rPr>
                <w:rFonts w:cs="Arial"/>
                <w:b w:val="0"/>
                <w:bCs w:val="0"/>
                <w:color w:val="000000"/>
                <w:sz w:val="16"/>
                <w:szCs w:val="16"/>
              </w:rPr>
            </w:pPr>
            <w:r w:rsidRPr="00DC2212">
              <w:rPr>
                <w:rFonts w:cs="Arial"/>
                <w:b w:val="0"/>
                <w:bCs w:val="0"/>
                <w:color w:val="000000"/>
                <w:sz w:val="16"/>
                <w:szCs w:val="16"/>
              </w:rPr>
              <w:t>Underemployment rate</w:t>
            </w:r>
          </w:p>
        </w:tc>
        <w:tc>
          <w:tcPr>
            <w:tcW w:w="3093" w:type="dxa"/>
            <w:shd w:val="clear" w:color="auto" w:fill="F2F2F2" w:themeFill="background1" w:themeFillShade="F2"/>
          </w:tcPr>
          <w:p w14:paraId="0D86A286" w14:textId="67C20848" w:rsidR="00936768" w:rsidRPr="00DC2212" w:rsidRDefault="00936768" w:rsidP="001B1567">
            <w:pPr>
              <w:spacing w:before="120" w:after="120"/>
              <w:cnfStyle w:val="000000100000" w:firstRow="0" w:lastRow="0" w:firstColumn="0" w:lastColumn="0" w:oddVBand="0" w:evenVBand="0" w:oddHBand="1" w:evenHBand="0" w:firstRowFirstColumn="0" w:firstRowLastColumn="0" w:lastRowFirstColumn="0" w:lastRowLastColumn="0"/>
              <w:rPr>
                <w:rFonts w:cs="Arial"/>
                <w:sz w:val="16"/>
                <w:szCs w:val="16"/>
              </w:rPr>
            </w:pPr>
            <w:r w:rsidRPr="00DC2212">
              <w:rPr>
                <w:rFonts w:cs="Arial"/>
                <w:color w:val="000000"/>
                <w:sz w:val="16"/>
                <w:szCs w:val="16"/>
              </w:rPr>
              <w:t>The number of underemployed persons as a proportion of the labour force (%)</w:t>
            </w:r>
          </w:p>
        </w:tc>
        <w:tc>
          <w:tcPr>
            <w:tcW w:w="1087" w:type="dxa"/>
            <w:shd w:val="clear" w:color="auto" w:fill="F2F2F2" w:themeFill="background1" w:themeFillShade="F2"/>
          </w:tcPr>
          <w:p w14:paraId="01159E7D" w14:textId="24F09F2A" w:rsidR="00936768" w:rsidRPr="00DC2212" w:rsidRDefault="00936768" w:rsidP="001B1567">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Supply</w:t>
            </w:r>
          </w:p>
        </w:tc>
        <w:tc>
          <w:tcPr>
            <w:tcW w:w="0" w:type="auto"/>
            <w:shd w:val="clear" w:color="auto" w:fill="F2F2F2" w:themeFill="background1" w:themeFillShade="F2"/>
          </w:tcPr>
          <w:p w14:paraId="61977ADE" w14:textId="59D4D7C5" w:rsidR="00936768" w:rsidRPr="00DC2212" w:rsidRDefault="00936768" w:rsidP="001B1567">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Monthly</w:t>
            </w:r>
          </w:p>
        </w:tc>
        <w:tc>
          <w:tcPr>
            <w:tcW w:w="0" w:type="auto"/>
            <w:shd w:val="clear" w:color="auto" w:fill="F2F2F2" w:themeFill="background1" w:themeFillShade="F2"/>
          </w:tcPr>
          <w:p w14:paraId="50E621A3" w14:textId="50319EF8" w:rsidR="00936768" w:rsidRPr="00DC2212" w:rsidRDefault="00936768" w:rsidP="001B1567">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GCCSA</w:t>
            </w:r>
          </w:p>
        </w:tc>
        <w:tc>
          <w:tcPr>
            <w:tcW w:w="0" w:type="auto"/>
            <w:shd w:val="clear" w:color="auto" w:fill="F2F2F2" w:themeFill="background1" w:themeFillShade="F2"/>
          </w:tcPr>
          <w:p w14:paraId="27A557E9" w14:textId="469D4B2F" w:rsidR="00936768" w:rsidRPr="00DC2212" w:rsidRDefault="00936768" w:rsidP="001B1567">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4%</w:t>
            </w:r>
          </w:p>
        </w:tc>
      </w:tr>
      <w:tr w:rsidR="00936768" w:rsidRPr="00DC2212" w14:paraId="616E41A7" w14:textId="77777777" w:rsidTr="00936768">
        <w:tc>
          <w:tcPr>
            <w:cnfStyle w:val="001000000000" w:firstRow="0" w:lastRow="0" w:firstColumn="1" w:lastColumn="0" w:oddVBand="0" w:evenVBand="0" w:oddHBand="0" w:evenHBand="0" w:firstRowFirstColumn="0" w:firstRowLastColumn="0" w:lastRowFirstColumn="0" w:lastRowLastColumn="0"/>
            <w:tcW w:w="2152" w:type="dxa"/>
          </w:tcPr>
          <w:p w14:paraId="2D2AEEE5" w14:textId="46B42160" w:rsidR="00936768" w:rsidRPr="00DC2212" w:rsidRDefault="00936768" w:rsidP="001B1567">
            <w:pPr>
              <w:spacing w:before="120" w:after="120"/>
              <w:rPr>
                <w:rFonts w:cs="Arial"/>
                <w:b w:val="0"/>
                <w:bCs w:val="0"/>
                <w:color w:val="000000"/>
                <w:sz w:val="16"/>
                <w:szCs w:val="16"/>
              </w:rPr>
            </w:pPr>
            <w:r w:rsidRPr="00DC2212">
              <w:rPr>
                <w:rFonts w:cs="Arial"/>
                <w:b w:val="0"/>
                <w:bCs w:val="0"/>
                <w:color w:val="000000"/>
                <w:sz w:val="16"/>
                <w:szCs w:val="16"/>
              </w:rPr>
              <w:t>Job vacancy rate</w:t>
            </w:r>
          </w:p>
        </w:tc>
        <w:tc>
          <w:tcPr>
            <w:tcW w:w="3093" w:type="dxa"/>
          </w:tcPr>
          <w:p w14:paraId="631B859B" w14:textId="1CD9FD80" w:rsidR="00936768" w:rsidRPr="00DC2212" w:rsidRDefault="00936768" w:rsidP="001B1567">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sz w:val="16"/>
                <w:szCs w:val="16"/>
              </w:rPr>
              <w:t>The number of new job vacancies as a proportion of the labour force (%)</w:t>
            </w:r>
          </w:p>
        </w:tc>
        <w:tc>
          <w:tcPr>
            <w:tcW w:w="1087" w:type="dxa"/>
          </w:tcPr>
          <w:p w14:paraId="31E170EA" w14:textId="0E7643F5" w:rsidR="00936768" w:rsidRPr="00DC2212" w:rsidRDefault="00936768" w:rsidP="001B156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Demand</w:t>
            </w:r>
          </w:p>
        </w:tc>
        <w:tc>
          <w:tcPr>
            <w:tcW w:w="0" w:type="auto"/>
          </w:tcPr>
          <w:p w14:paraId="4E245F48" w14:textId="04B03277" w:rsidR="00936768" w:rsidRPr="00DC2212" w:rsidRDefault="00936768" w:rsidP="001B156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Monthly</w:t>
            </w:r>
          </w:p>
        </w:tc>
        <w:tc>
          <w:tcPr>
            <w:tcW w:w="0" w:type="auto"/>
          </w:tcPr>
          <w:p w14:paraId="3E02F68B" w14:textId="0B5291D9" w:rsidR="00936768" w:rsidRPr="00DC2212" w:rsidRDefault="00936768" w:rsidP="001B156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SA4</w:t>
            </w:r>
            <w:r w:rsidRPr="00CC2866">
              <w:rPr>
                <w:rFonts w:cs="Arial"/>
                <w:color w:val="000000"/>
                <w:sz w:val="16"/>
                <w:szCs w:val="16"/>
                <w:vertAlign w:val="superscript"/>
              </w:rPr>
              <w:t>2</w:t>
            </w:r>
          </w:p>
        </w:tc>
        <w:tc>
          <w:tcPr>
            <w:tcW w:w="0" w:type="auto"/>
          </w:tcPr>
          <w:p w14:paraId="12B9152E" w14:textId="1CA358A6" w:rsidR="00936768" w:rsidRPr="00DC2212" w:rsidRDefault="00936768" w:rsidP="001B156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10%</w:t>
            </w:r>
          </w:p>
        </w:tc>
      </w:tr>
      <w:tr w:rsidR="00936768" w:rsidRPr="00DC2212" w14:paraId="48D852DB" w14:textId="77777777" w:rsidTr="009367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shd w:val="clear" w:color="auto" w:fill="F2F2F2" w:themeFill="background1" w:themeFillShade="F2"/>
          </w:tcPr>
          <w:p w14:paraId="5DD9897E" w14:textId="475FAEE4" w:rsidR="00936768" w:rsidRPr="00DC2212" w:rsidRDefault="00936768" w:rsidP="001B1567">
            <w:pPr>
              <w:spacing w:before="120" w:after="120"/>
              <w:rPr>
                <w:rFonts w:cs="Arial"/>
                <w:color w:val="000000"/>
                <w:sz w:val="16"/>
                <w:szCs w:val="16"/>
              </w:rPr>
            </w:pPr>
            <w:r w:rsidRPr="00DC2212">
              <w:rPr>
                <w:rFonts w:cs="Arial"/>
                <w:b w:val="0"/>
                <w:bCs w:val="0"/>
                <w:color w:val="000000"/>
                <w:sz w:val="16"/>
                <w:szCs w:val="16"/>
              </w:rPr>
              <w:t>Job matching efficiency rate</w:t>
            </w:r>
          </w:p>
        </w:tc>
        <w:tc>
          <w:tcPr>
            <w:tcW w:w="3093" w:type="dxa"/>
            <w:shd w:val="clear" w:color="auto" w:fill="F2F2F2" w:themeFill="background1" w:themeFillShade="F2"/>
          </w:tcPr>
          <w:p w14:paraId="7D7CA134" w14:textId="7326BDC9" w:rsidR="00936768" w:rsidRPr="00DC2212" w:rsidRDefault="00936768" w:rsidP="001B1567">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The efficiency with which available jobseekers and vacancies result in successful hires (%)</w:t>
            </w:r>
          </w:p>
        </w:tc>
        <w:tc>
          <w:tcPr>
            <w:tcW w:w="1087" w:type="dxa"/>
            <w:shd w:val="clear" w:color="auto" w:fill="F2F2F2" w:themeFill="background1" w:themeFillShade="F2"/>
          </w:tcPr>
          <w:p w14:paraId="31414074" w14:textId="63E3002F" w:rsidR="00936768" w:rsidRPr="00DC2212" w:rsidRDefault="00936768" w:rsidP="001B1567">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Intersection</w:t>
            </w:r>
          </w:p>
        </w:tc>
        <w:tc>
          <w:tcPr>
            <w:tcW w:w="0" w:type="auto"/>
            <w:shd w:val="clear" w:color="auto" w:fill="F2F2F2" w:themeFill="background1" w:themeFillShade="F2"/>
          </w:tcPr>
          <w:p w14:paraId="099BC299" w14:textId="096CB497" w:rsidR="00936768" w:rsidRPr="00DC2212" w:rsidRDefault="00936768" w:rsidP="001B1567">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Monthly</w:t>
            </w:r>
          </w:p>
        </w:tc>
        <w:tc>
          <w:tcPr>
            <w:tcW w:w="0" w:type="auto"/>
            <w:shd w:val="clear" w:color="auto" w:fill="F2F2F2" w:themeFill="background1" w:themeFillShade="F2"/>
          </w:tcPr>
          <w:p w14:paraId="062C8EBF" w14:textId="64681FE0" w:rsidR="00936768" w:rsidRPr="00DC2212" w:rsidRDefault="00936768" w:rsidP="001B1567">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SA4</w:t>
            </w:r>
          </w:p>
        </w:tc>
        <w:tc>
          <w:tcPr>
            <w:tcW w:w="0" w:type="auto"/>
            <w:shd w:val="clear" w:color="auto" w:fill="F2F2F2" w:themeFill="background1" w:themeFillShade="F2"/>
          </w:tcPr>
          <w:p w14:paraId="766CD946" w14:textId="7C69FCE3" w:rsidR="00936768" w:rsidRPr="00DC2212" w:rsidRDefault="00936768" w:rsidP="001B1567">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20%</w:t>
            </w:r>
          </w:p>
        </w:tc>
      </w:tr>
      <w:tr w:rsidR="00936768" w:rsidRPr="00DC2212" w14:paraId="2F8779C6" w14:textId="77777777" w:rsidTr="00936768">
        <w:tc>
          <w:tcPr>
            <w:cnfStyle w:val="001000000000" w:firstRow="0" w:lastRow="0" w:firstColumn="1" w:lastColumn="0" w:oddVBand="0" w:evenVBand="0" w:oddHBand="0" w:evenHBand="0" w:firstRowFirstColumn="0" w:firstRowLastColumn="0" w:lastRowFirstColumn="0" w:lastRowLastColumn="0"/>
            <w:tcW w:w="2152" w:type="dxa"/>
          </w:tcPr>
          <w:p w14:paraId="2DEF8249" w14:textId="7B756B66" w:rsidR="00936768" w:rsidRPr="00DC2212" w:rsidRDefault="00936768" w:rsidP="001B1567">
            <w:pPr>
              <w:spacing w:before="120" w:after="120"/>
              <w:rPr>
                <w:rFonts w:cs="Arial"/>
                <w:color w:val="000000"/>
                <w:sz w:val="16"/>
                <w:szCs w:val="16"/>
              </w:rPr>
            </w:pPr>
            <w:r w:rsidRPr="00DC2212">
              <w:rPr>
                <w:rFonts w:cs="Arial"/>
                <w:b w:val="0"/>
                <w:bCs w:val="0"/>
                <w:color w:val="000000"/>
                <w:sz w:val="16"/>
                <w:szCs w:val="16"/>
              </w:rPr>
              <w:t>Vacancy fill rate</w:t>
            </w:r>
          </w:p>
        </w:tc>
        <w:tc>
          <w:tcPr>
            <w:tcW w:w="3093" w:type="dxa"/>
          </w:tcPr>
          <w:p w14:paraId="5866057B" w14:textId="62A6300C" w:rsidR="00936768" w:rsidRPr="00DC2212" w:rsidRDefault="00936768" w:rsidP="001B1567">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The percentage of vacancies that have been filled (%)</w:t>
            </w:r>
          </w:p>
        </w:tc>
        <w:tc>
          <w:tcPr>
            <w:tcW w:w="1087" w:type="dxa"/>
          </w:tcPr>
          <w:p w14:paraId="5CED2D27" w14:textId="1C8E3047" w:rsidR="00936768" w:rsidRPr="00DC2212" w:rsidRDefault="00936768" w:rsidP="001B156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Intersection</w:t>
            </w:r>
          </w:p>
        </w:tc>
        <w:tc>
          <w:tcPr>
            <w:tcW w:w="0" w:type="auto"/>
          </w:tcPr>
          <w:p w14:paraId="09887352" w14:textId="60E9ADE4" w:rsidR="00936768" w:rsidRPr="00DC2212" w:rsidRDefault="00936768" w:rsidP="001B156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Monthly</w:t>
            </w:r>
          </w:p>
        </w:tc>
        <w:tc>
          <w:tcPr>
            <w:tcW w:w="0" w:type="auto"/>
          </w:tcPr>
          <w:p w14:paraId="5CDFE470" w14:textId="79B1D8B7" w:rsidR="00936768" w:rsidRPr="00DC2212" w:rsidRDefault="00936768" w:rsidP="001B156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GCCSA</w:t>
            </w:r>
          </w:p>
        </w:tc>
        <w:tc>
          <w:tcPr>
            <w:tcW w:w="0" w:type="auto"/>
          </w:tcPr>
          <w:p w14:paraId="144B8058" w14:textId="1E8C93DF" w:rsidR="00936768" w:rsidRPr="00DC2212" w:rsidRDefault="00936768" w:rsidP="001B156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4%</w:t>
            </w:r>
          </w:p>
        </w:tc>
      </w:tr>
      <w:tr w:rsidR="00936768" w:rsidRPr="00DC2212" w14:paraId="699E8614" w14:textId="77777777" w:rsidTr="009367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shd w:val="clear" w:color="auto" w:fill="F2F2F2" w:themeFill="background1" w:themeFillShade="F2"/>
          </w:tcPr>
          <w:p w14:paraId="7B57778B" w14:textId="20B02E0E" w:rsidR="00936768" w:rsidRPr="00DC2212" w:rsidRDefault="00936768" w:rsidP="001B1567">
            <w:pPr>
              <w:spacing w:before="120" w:after="120"/>
              <w:rPr>
                <w:rFonts w:cs="Arial"/>
                <w:b w:val="0"/>
                <w:bCs w:val="0"/>
                <w:color w:val="000000"/>
                <w:sz w:val="16"/>
                <w:szCs w:val="16"/>
              </w:rPr>
            </w:pPr>
            <w:r w:rsidRPr="00DC2212">
              <w:rPr>
                <w:rFonts w:cs="Arial"/>
                <w:b w:val="0"/>
                <w:bCs w:val="0"/>
                <w:color w:val="000000"/>
                <w:sz w:val="16"/>
                <w:szCs w:val="16"/>
              </w:rPr>
              <w:t xml:space="preserve">Annual median </w:t>
            </w:r>
            <w:r>
              <w:rPr>
                <w:rFonts w:cs="Arial"/>
                <w:b w:val="0"/>
                <w:bCs w:val="0"/>
                <w:color w:val="000000"/>
                <w:sz w:val="16"/>
                <w:szCs w:val="16"/>
              </w:rPr>
              <w:t>income</w:t>
            </w:r>
            <w:r w:rsidRPr="00DC2212">
              <w:rPr>
                <w:rFonts w:cs="Arial"/>
                <w:b w:val="0"/>
                <w:bCs w:val="0"/>
                <w:color w:val="000000"/>
                <w:sz w:val="16"/>
                <w:szCs w:val="16"/>
              </w:rPr>
              <w:t xml:space="preserve"> growth rate</w:t>
            </w:r>
          </w:p>
        </w:tc>
        <w:tc>
          <w:tcPr>
            <w:tcW w:w="3093" w:type="dxa"/>
            <w:shd w:val="clear" w:color="auto" w:fill="F2F2F2" w:themeFill="background1" w:themeFillShade="F2"/>
          </w:tcPr>
          <w:p w14:paraId="65920ECC" w14:textId="6470D8FA" w:rsidR="00936768" w:rsidRPr="00DC2212" w:rsidRDefault="00936768" w:rsidP="001B1567">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The percentage change in median total income over the past year (%)</w:t>
            </w:r>
          </w:p>
        </w:tc>
        <w:tc>
          <w:tcPr>
            <w:tcW w:w="1087" w:type="dxa"/>
            <w:shd w:val="clear" w:color="auto" w:fill="F2F2F2" w:themeFill="background1" w:themeFillShade="F2"/>
          </w:tcPr>
          <w:p w14:paraId="2F4E9954" w14:textId="49252425" w:rsidR="00936768" w:rsidRPr="00DC2212" w:rsidRDefault="00936768" w:rsidP="001B1567">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Intersection</w:t>
            </w:r>
          </w:p>
        </w:tc>
        <w:tc>
          <w:tcPr>
            <w:tcW w:w="0" w:type="auto"/>
            <w:shd w:val="clear" w:color="auto" w:fill="F2F2F2" w:themeFill="background1" w:themeFillShade="F2"/>
          </w:tcPr>
          <w:p w14:paraId="30CA7EF8" w14:textId="0E252CC1" w:rsidR="00936768" w:rsidRPr="00DC2212" w:rsidRDefault="00936768" w:rsidP="001B1567">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Yearly</w:t>
            </w:r>
            <w:r w:rsidRPr="00CC2866">
              <w:rPr>
                <w:rFonts w:cs="Arial"/>
                <w:color w:val="000000"/>
                <w:sz w:val="16"/>
                <w:szCs w:val="16"/>
                <w:vertAlign w:val="superscript"/>
              </w:rPr>
              <w:t>3</w:t>
            </w:r>
          </w:p>
        </w:tc>
        <w:tc>
          <w:tcPr>
            <w:tcW w:w="0" w:type="auto"/>
            <w:shd w:val="clear" w:color="auto" w:fill="F2F2F2" w:themeFill="background1" w:themeFillShade="F2"/>
          </w:tcPr>
          <w:p w14:paraId="0987098F" w14:textId="52BCD1D3" w:rsidR="00936768" w:rsidRPr="00DC2212" w:rsidRDefault="00936768" w:rsidP="001B1567">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SA4</w:t>
            </w:r>
          </w:p>
        </w:tc>
        <w:tc>
          <w:tcPr>
            <w:tcW w:w="0" w:type="auto"/>
            <w:shd w:val="clear" w:color="auto" w:fill="F2F2F2" w:themeFill="background1" w:themeFillShade="F2"/>
          </w:tcPr>
          <w:p w14:paraId="1C865CB0" w14:textId="741FDE01" w:rsidR="00936768" w:rsidRPr="00DC2212" w:rsidRDefault="00936768" w:rsidP="001B1567">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1%</w:t>
            </w:r>
          </w:p>
        </w:tc>
      </w:tr>
      <w:tr w:rsidR="00936768" w:rsidRPr="00DC2212" w14:paraId="2D5172AB" w14:textId="77777777" w:rsidTr="00936768">
        <w:tc>
          <w:tcPr>
            <w:cnfStyle w:val="001000000000" w:firstRow="0" w:lastRow="0" w:firstColumn="1" w:lastColumn="0" w:oddVBand="0" w:evenVBand="0" w:oddHBand="0" w:evenHBand="0" w:firstRowFirstColumn="0" w:firstRowLastColumn="0" w:lastRowFirstColumn="0" w:lastRowLastColumn="0"/>
            <w:tcW w:w="2152" w:type="dxa"/>
            <w:tcBorders>
              <w:bottom w:val="single" w:sz="4" w:space="0" w:color="auto"/>
            </w:tcBorders>
          </w:tcPr>
          <w:p w14:paraId="018AABAC" w14:textId="35E6661D" w:rsidR="00936768" w:rsidRPr="00DC2212" w:rsidRDefault="00936768" w:rsidP="001B1567">
            <w:pPr>
              <w:spacing w:before="120" w:after="120"/>
              <w:rPr>
                <w:rFonts w:cs="Arial"/>
                <w:b w:val="0"/>
                <w:bCs w:val="0"/>
                <w:color w:val="000000"/>
                <w:sz w:val="16"/>
                <w:szCs w:val="16"/>
              </w:rPr>
            </w:pPr>
            <w:r w:rsidRPr="00DC2212">
              <w:rPr>
                <w:rFonts w:cs="Arial"/>
                <w:b w:val="0"/>
                <w:bCs w:val="0"/>
                <w:color w:val="000000"/>
                <w:sz w:val="16"/>
                <w:szCs w:val="16"/>
              </w:rPr>
              <w:t>Skill underutilisation rate</w:t>
            </w:r>
          </w:p>
        </w:tc>
        <w:tc>
          <w:tcPr>
            <w:tcW w:w="3093" w:type="dxa"/>
            <w:tcBorders>
              <w:bottom w:val="single" w:sz="4" w:space="0" w:color="auto"/>
            </w:tcBorders>
          </w:tcPr>
          <w:p w14:paraId="3FE8A95F" w14:textId="02B297C9" w:rsidR="00936768" w:rsidRPr="00DC2212" w:rsidRDefault="00936768" w:rsidP="001B1567">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Proportion of employed population working at a lower skill level than their qualification (%)</w:t>
            </w:r>
          </w:p>
        </w:tc>
        <w:tc>
          <w:tcPr>
            <w:tcW w:w="1087" w:type="dxa"/>
            <w:tcBorders>
              <w:bottom w:val="single" w:sz="4" w:space="0" w:color="auto"/>
            </w:tcBorders>
          </w:tcPr>
          <w:p w14:paraId="5BB66AB7" w14:textId="73ADA868" w:rsidR="00936768" w:rsidRPr="00DC2212" w:rsidRDefault="00936768" w:rsidP="001B156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Intersection</w:t>
            </w:r>
          </w:p>
        </w:tc>
        <w:tc>
          <w:tcPr>
            <w:tcW w:w="0" w:type="auto"/>
            <w:tcBorders>
              <w:bottom w:val="single" w:sz="4" w:space="0" w:color="auto"/>
            </w:tcBorders>
          </w:tcPr>
          <w:p w14:paraId="4B0674E8" w14:textId="4332A149" w:rsidR="00936768" w:rsidRPr="00DC2212" w:rsidRDefault="00936768" w:rsidP="001B156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5-yearly</w:t>
            </w:r>
            <w:r w:rsidRPr="00CC2866">
              <w:rPr>
                <w:rFonts w:cs="Arial"/>
                <w:color w:val="000000"/>
                <w:sz w:val="16"/>
                <w:szCs w:val="16"/>
                <w:vertAlign w:val="superscript"/>
              </w:rPr>
              <w:t>3</w:t>
            </w:r>
          </w:p>
          <w:p w14:paraId="3632E5A1" w14:textId="41F891F3" w:rsidR="00936768" w:rsidRPr="00DC2212" w:rsidRDefault="00936768" w:rsidP="001B156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c>
          <w:tcPr>
            <w:tcW w:w="0" w:type="auto"/>
            <w:tcBorders>
              <w:bottom w:val="single" w:sz="4" w:space="0" w:color="auto"/>
            </w:tcBorders>
          </w:tcPr>
          <w:p w14:paraId="3BFAD106" w14:textId="6375B879" w:rsidR="00936768" w:rsidRPr="00DC2212" w:rsidRDefault="00936768" w:rsidP="001B156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SA4</w:t>
            </w:r>
          </w:p>
        </w:tc>
        <w:tc>
          <w:tcPr>
            <w:tcW w:w="0" w:type="auto"/>
            <w:tcBorders>
              <w:bottom w:val="single" w:sz="4" w:space="0" w:color="auto"/>
            </w:tcBorders>
          </w:tcPr>
          <w:p w14:paraId="2031B09E" w14:textId="411DCA58" w:rsidR="00936768" w:rsidRPr="00DC2212" w:rsidRDefault="00936768" w:rsidP="001B156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1%</w:t>
            </w:r>
          </w:p>
        </w:tc>
      </w:tr>
    </w:tbl>
    <w:p w14:paraId="7292734C" w14:textId="7B886D6B" w:rsidR="00DD3D07" w:rsidRPr="00CC2866" w:rsidRDefault="00CC2866" w:rsidP="00DD3D07">
      <w:pPr>
        <w:rPr>
          <w:rFonts w:cs="Arial"/>
          <w:color w:val="000000"/>
          <w:sz w:val="16"/>
          <w:szCs w:val="16"/>
        </w:rPr>
      </w:pPr>
      <w:r w:rsidRPr="00CC2866">
        <w:rPr>
          <w:sz w:val="16"/>
          <w:szCs w:val="16"/>
          <w:vertAlign w:val="superscript"/>
        </w:rPr>
        <w:t>1</w:t>
      </w:r>
      <w:r w:rsidR="00DD3D07" w:rsidRPr="00CC2866">
        <w:rPr>
          <w:rFonts w:cs="Arial"/>
          <w:sz w:val="16"/>
          <w:szCs w:val="16"/>
        </w:rPr>
        <w:t xml:space="preserve"> </w:t>
      </w:r>
      <w:bookmarkStart w:id="3" w:name="_Hlk149220454"/>
      <w:proofErr w:type="spellStart"/>
      <w:r w:rsidR="00DD3D07" w:rsidRPr="00CC2866">
        <w:rPr>
          <w:rFonts w:cs="Arial"/>
          <w:sz w:val="16"/>
          <w:szCs w:val="16"/>
        </w:rPr>
        <w:t>JobSeeker</w:t>
      </w:r>
      <w:proofErr w:type="spellEnd"/>
      <w:r w:rsidR="00DD3D07" w:rsidRPr="00CC2866">
        <w:rPr>
          <w:rFonts w:cs="Arial"/>
          <w:sz w:val="16"/>
          <w:szCs w:val="16"/>
        </w:rPr>
        <w:t xml:space="preserve"> income support’ is a combination of the </w:t>
      </w:r>
      <w:r w:rsidR="00DD3D07" w:rsidRPr="00CC2866">
        <w:rPr>
          <w:rFonts w:cs="Arial"/>
          <w:color w:val="000000"/>
          <w:sz w:val="16"/>
          <w:szCs w:val="16"/>
        </w:rPr>
        <w:t>JobSeeker payment and Youth Allowance (other) payment</w:t>
      </w:r>
      <w:bookmarkEnd w:id="3"/>
    </w:p>
    <w:p w14:paraId="775E0F89" w14:textId="78F29AAF" w:rsidR="00DD3D07" w:rsidRPr="00CC2866" w:rsidRDefault="00CC2866" w:rsidP="00DD3D07">
      <w:pPr>
        <w:rPr>
          <w:rFonts w:cs="Arial"/>
          <w:color w:val="000000"/>
          <w:sz w:val="16"/>
          <w:szCs w:val="16"/>
        </w:rPr>
      </w:pPr>
      <w:r w:rsidRPr="00CC2866">
        <w:rPr>
          <w:rFonts w:cs="Arial"/>
          <w:color w:val="000000"/>
          <w:sz w:val="16"/>
          <w:szCs w:val="16"/>
          <w:vertAlign w:val="superscript"/>
        </w:rPr>
        <w:t xml:space="preserve">2 </w:t>
      </w:r>
      <w:r w:rsidR="00DD3D07" w:rsidRPr="00CC2866">
        <w:rPr>
          <w:rFonts w:cs="Arial"/>
          <w:color w:val="000000"/>
          <w:sz w:val="16"/>
          <w:szCs w:val="16"/>
        </w:rPr>
        <w:t>Measured at the Greater Capital City Statistical Area (GCCSA) for Major Cities (Sydney, Melbourne, Brisbane, Adelaide, Perth)</w:t>
      </w:r>
    </w:p>
    <w:p w14:paraId="5376C0C3" w14:textId="007F3E2B" w:rsidR="00CC2866" w:rsidRPr="00CC2866" w:rsidRDefault="00CC2866" w:rsidP="00CC2866">
      <w:pPr>
        <w:rPr>
          <w:rFonts w:cs="Arial"/>
          <w:color w:val="000000"/>
          <w:sz w:val="16"/>
          <w:szCs w:val="16"/>
        </w:rPr>
      </w:pPr>
      <w:r w:rsidRPr="00CC2866">
        <w:rPr>
          <w:rFonts w:cs="Arial"/>
          <w:color w:val="000000"/>
          <w:sz w:val="16"/>
          <w:szCs w:val="16"/>
          <w:vertAlign w:val="superscript"/>
        </w:rPr>
        <w:lastRenderedPageBreak/>
        <w:t xml:space="preserve">3 </w:t>
      </w:r>
      <w:r w:rsidRPr="00CC2866">
        <w:rPr>
          <w:rFonts w:eastAsia="Arial" w:cs="Arial"/>
          <w:sz w:val="16"/>
          <w:szCs w:val="16"/>
        </w:rPr>
        <w:t xml:space="preserve">Note, </w:t>
      </w:r>
      <w:r w:rsidRPr="00CC2866">
        <w:rPr>
          <w:rFonts w:eastAsia="Times New Roman" w:cs="Arial"/>
          <w:sz w:val="16"/>
          <w:szCs w:val="16"/>
          <w:lang w:eastAsia="en-AU"/>
        </w:rPr>
        <w:t>the data is released with a substantial delay (typically 1–2 years after collection), which limits its usefulness for assessing current labour market conditions.</w:t>
      </w:r>
    </w:p>
    <w:p w14:paraId="0009F843" w14:textId="2E32CD11" w:rsidR="00E531E7" w:rsidRPr="00A070B7" w:rsidRDefault="00E531E7" w:rsidP="00E531E7">
      <w:pPr>
        <w:pStyle w:val="Heading3"/>
      </w:pPr>
      <w:r>
        <w:t>Methodology</w:t>
      </w:r>
    </w:p>
    <w:p w14:paraId="58B70364" w14:textId="40171269" w:rsidR="00E531E7" w:rsidRPr="00D56322" w:rsidRDefault="00E531E7" w:rsidP="00D56322">
      <w:pPr>
        <w:pStyle w:val="Bodycopy"/>
      </w:pPr>
      <w:r w:rsidRPr="00D56322">
        <w:t xml:space="preserve">Please refer to the </w:t>
      </w:r>
      <w:hyperlink r:id="rId16" w:anchor="methodology" w:history="1">
        <w:r w:rsidRPr="00D56322">
          <w:rPr>
            <w:rStyle w:val="Hyperlink"/>
          </w:rPr>
          <w:t>RLMI Methodology Paper</w:t>
        </w:r>
      </w:hyperlink>
      <w:r w:rsidRPr="00D56322">
        <w:t xml:space="preserve"> for more information on the RLMI, including its purpose and factor selection. </w:t>
      </w:r>
    </w:p>
    <w:p w14:paraId="72662E0D" w14:textId="72C05CDA" w:rsidR="00550453" w:rsidRPr="00A070B7" w:rsidRDefault="00550453" w:rsidP="00550453">
      <w:pPr>
        <w:pStyle w:val="Heading3"/>
      </w:pPr>
      <w:r>
        <w:t>Referencing this report</w:t>
      </w:r>
    </w:p>
    <w:p w14:paraId="3199359A" w14:textId="163EC78D" w:rsidR="00C14AB0" w:rsidRPr="00550453" w:rsidRDefault="00550453" w:rsidP="00D56322">
      <w:pPr>
        <w:pStyle w:val="Bodycopy"/>
        <w:rPr>
          <w:i/>
          <w:iCs/>
        </w:rPr>
      </w:pPr>
      <w:r>
        <w:t xml:space="preserve">Data in this release should be referenced as: </w:t>
      </w:r>
      <w:r w:rsidRPr="00D56322">
        <w:t>Jobs and Skills Australia, RLMI</w:t>
      </w:r>
      <w:r w:rsidR="00160B42" w:rsidRPr="00D56322">
        <w:t>,</w:t>
      </w:r>
      <w:r w:rsidRPr="00D56322">
        <w:t xml:space="preserve"> </w:t>
      </w:r>
      <w:r w:rsidR="00606824">
        <w:t>December</w:t>
      </w:r>
      <w:r w:rsidR="005D78A7">
        <w:t xml:space="preserve"> 2025</w:t>
      </w:r>
    </w:p>
    <w:p w14:paraId="4372BC12" w14:textId="571A943F" w:rsidR="003C484A" w:rsidRPr="00A070B7" w:rsidRDefault="003C484A" w:rsidP="003C484A">
      <w:pPr>
        <w:pStyle w:val="Heading3"/>
      </w:pPr>
      <w:r>
        <w:t>Contact us</w:t>
      </w:r>
    </w:p>
    <w:p w14:paraId="5F62B650" w14:textId="10E04359" w:rsidR="0060697E" w:rsidRPr="004302C6" w:rsidRDefault="003C484A" w:rsidP="00D56322">
      <w:pPr>
        <w:pStyle w:val="Bodycopy"/>
        <w:rPr>
          <w:color w:val="013D74" w:themeColor="hyperlink"/>
          <w:u w:val="single"/>
        </w:rPr>
      </w:pPr>
      <w:r>
        <w:t xml:space="preserve">For additional information, email </w:t>
      </w:r>
      <w:hyperlink r:id="rId17" w:history="1">
        <w:r w:rsidRPr="003C5B58">
          <w:rPr>
            <w:rStyle w:val="Hyperlink"/>
          </w:rPr>
          <w:t>RegionalWorkforceAssessment@jobsandskills.gov.au</w:t>
        </w:r>
      </w:hyperlink>
      <w:bookmarkEnd w:id="1"/>
      <w:bookmarkEnd w:id="2"/>
    </w:p>
    <w:sectPr w:rsidR="0060697E" w:rsidRPr="004302C6" w:rsidSect="00BC1B66">
      <w:pgSz w:w="11906" w:h="16838"/>
      <w:pgMar w:top="1276" w:right="1440" w:bottom="1134" w:left="1440" w:header="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EC91D" w14:textId="77777777" w:rsidR="00B0767A" w:rsidRDefault="00B0767A" w:rsidP="008C0056">
      <w:r>
        <w:separator/>
      </w:r>
    </w:p>
  </w:endnote>
  <w:endnote w:type="continuationSeparator" w:id="0">
    <w:p w14:paraId="6F48B53C" w14:textId="77777777" w:rsidR="00B0767A" w:rsidRDefault="00B0767A" w:rsidP="008C0056">
      <w:r>
        <w:continuationSeparator/>
      </w:r>
    </w:p>
  </w:endnote>
  <w:endnote w:type="continuationNotice" w:id="1">
    <w:p w14:paraId="4CD187A1" w14:textId="77777777" w:rsidR="00B0767A" w:rsidRDefault="00B0767A"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53515"/>
      <w:docPartObj>
        <w:docPartGallery w:val="Page Numbers (Bottom of Page)"/>
        <w:docPartUnique/>
      </w:docPartObj>
    </w:sdtPr>
    <w:sdtEndPr>
      <w:rPr>
        <w:noProof/>
      </w:rPr>
    </w:sdtEndPr>
    <w:sdtContent>
      <w:p w14:paraId="1DE9E510" w14:textId="61318329" w:rsidR="003708C1" w:rsidRPr="00991526" w:rsidRDefault="00051CBE" w:rsidP="00991526">
        <w:pPr>
          <w:pStyle w:val="Footer"/>
        </w:pPr>
        <w:r w:rsidRPr="00991526">
          <w:t xml:space="preserve">Jobs and Skills Australia – </w:t>
        </w:r>
        <w:r w:rsidR="002A1606">
          <w:t>RLMI Results – December 2025</w:t>
        </w:r>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298338"/>
      <w:docPartObj>
        <w:docPartGallery w:val="Page Numbers (Bottom of Page)"/>
        <w:docPartUnique/>
      </w:docPartObj>
    </w:sdtPr>
    <w:sdtEndPr>
      <w:rPr>
        <w:noProof/>
      </w:rPr>
    </w:sdtEndPr>
    <w:sdtContent>
      <w:p w14:paraId="1506E6C8" w14:textId="621FC801" w:rsidR="00B30EAB" w:rsidRDefault="00B30EAB" w:rsidP="00B30EAB">
        <w:pPr>
          <w:pStyle w:val="Footer"/>
          <w:tabs>
            <w:tab w:val="left" w:pos="8925"/>
          </w:tabs>
        </w:pPr>
        <w:r w:rsidRPr="00991526">
          <w:t xml:space="preserve">Jobs and Skills Australia – </w:t>
        </w:r>
        <w:r w:rsidR="002A1606">
          <w:t>RLMI Results – December 2025</w:t>
        </w:r>
        <w:r>
          <w:tab/>
        </w:r>
        <w:r>
          <w:tab/>
        </w:r>
        <w:r w:rsidRPr="00991526">
          <w:fldChar w:fldCharType="begin"/>
        </w:r>
        <w:r w:rsidRPr="00991526">
          <w:instrText xml:space="preserve"> PAGE   \* MERGEFORMAT </w:instrText>
        </w:r>
        <w:r w:rsidRPr="00991526">
          <w:fldChar w:fldCharType="separate"/>
        </w:r>
        <w:r>
          <w:t>1</w:t>
        </w:r>
        <w:r w:rsidRPr="0099152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9A8C" w14:textId="77777777" w:rsidR="00B0767A" w:rsidRDefault="00B0767A" w:rsidP="008C0056">
      <w:r>
        <w:separator/>
      </w:r>
    </w:p>
  </w:footnote>
  <w:footnote w:type="continuationSeparator" w:id="0">
    <w:p w14:paraId="3C726226" w14:textId="77777777" w:rsidR="00B0767A" w:rsidRDefault="00B0767A" w:rsidP="008C0056">
      <w:r>
        <w:continuationSeparator/>
      </w:r>
    </w:p>
  </w:footnote>
  <w:footnote w:type="continuationNotice" w:id="1">
    <w:p w14:paraId="366B0B19" w14:textId="77777777" w:rsidR="00B0767A" w:rsidRDefault="00B0767A" w:rsidP="008C0056"/>
  </w:footnote>
  <w:footnote w:id="2">
    <w:p w14:paraId="2CC50A8A" w14:textId="197218DB" w:rsidR="00BC51F8" w:rsidRDefault="00BC51F8" w:rsidP="00BC51F8">
      <w:pPr>
        <w:pStyle w:val="FootnoteText"/>
      </w:pPr>
      <w:r>
        <w:rPr>
          <w:rStyle w:val="FootnoteReference"/>
        </w:rPr>
        <w:footnoteRef/>
      </w:r>
      <w:r>
        <w:t xml:space="preserve"> </w:t>
      </w:r>
      <w:r>
        <w:rPr>
          <w:rFonts w:asciiTheme="minorHAnsi" w:hAnsiTheme="minorHAnsi" w:cstheme="minorHAnsi"/>
          <w:sz w:val="18"/>
          <w:szCs w:val="18"/>
        </w:rPr>
        <w:t xml:space="preserve">JSA, </w:t>
      </w:r>
      <w:hyperlink r:id="rId1" w:history="1">
        <w:r w:rsidRPr="00BC51F8">
          <w:rPr>
            <w:rStyle w:val="Hyperlink"/>
            <w:rFonts w:asciiTheme="minorHAnsi" w:hAnsiTheme="minorHAnsi" w:cstheme="minorHAnsi"/>
            <w:sz w:val="18"/>
            <w:szCs w:val="18"/>
          </w:rPr>
          <w:t>Total New Vacancies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8764AD"/>
    <w:multiLevelType w:val="hybridMultilevel"/>
    <w:tmpl w:val="F9222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0B452B"/>
    <w:multiLevelType w:val="hybridMultilevel"/>
    <w:tmpl w:val="6A2A2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C094AC5"/>
    <w:multiLevelType w:val="hybridMultilevel"/>
    <w:tmpl w:val="7BA290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2" w15:restartNumberingAfterBreak="0">
    <w:nsid w:val="1DF4586B"/>
    <w:multiLevelType w:val="hybridMultilevel"/>
    <w:tmpl w:val="9ADC4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2028CD"/>
    <w:multiLevelType w:val="hybridMultilevel"/>
    <w:tmpl w:val="D276B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E62DED"/>
    <w:multiLevelType w:val="hybridMultilevel"/>
    <w:tmpl w:val="4CDE5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DE2BF5"/>
    <w:multiLevelType w:val="hybridMultilevel"/>
    <w:tmpl w:val="FF6ED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BE4CF8"/>
    <w:multiLevelType w:val="multilevel"/>
    <w:tmpl w:val="3C34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3C5ED4"/>
    <w:multiLevelType w:val="hybridMultilevel"/>
    <w:tmpl w:val="05306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E2033E"/>
    <w:multiLevelType w:val="hybridMultilevel"/>
    <w:tmpl w:val="1EAE7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E737CE"/>
    <w:multiLevelType w:val="hybridMultilevel"/>
    <w:tmpl w:val="28164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812426"/>
    <w:multiLevelType w:val="hybridMultilevel"/>
    <w:tmpl w:val="EF345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5A2F9A"/>
    <w:multiLevelType w:val="hybridMultilevel"/>
    <w:tmpl w:val="A06E4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873D01"/>
    <w:multiLevelType w:val="hybridMultilevel"/>
    <w:tmpl w:val="219E0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E84A8F"/>
    <w:multiLevelType w:val="hybridMultilevel"/>
    <w:tmpl w:val="2D1AB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A45E07"/>
    <w:multiLevelType w:val="hybridMultilevel"/>
    <w:tmpl w:val="115EA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C04E14"/>
    <w:multiLevelType w:val="hybridMultilevel"/>
    <w:tmpl w:val="11A89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1D418D5"/>
    <w:multiLevelType w:val="hybridMultilevel"/>
    <w:tmpl w:val="5AA86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8E45A6"/>
    <w:multiLevelType w:val="hybridMultilevel"/>
    <w:tmpl w:val="62B42F6A"/>
    <w:lvl w:ilvl="0" w:tplc="5EE286E0">
      <w:start w:val="1"/>
      <w:numFmt w:val="decimal"/>
      <w:lvlText w:val="%1."/>
      <w:lvlJc w:val="left"/>
      <w:pPr>
        <w:ind w:left="1320" w:hanging="360"/>
      </w:pPr>
    </w:lvl>
    <w:lvl w:ilvl="1" w:tplc="D00E418C">
      <w:start w:val="1"/>
      <w:numFmt w:val="decimal"/>
      <w:lvlText w:val="%2."/>
      <w:lvlJc w:val="left"/>
      <w:pPr>
        <w:ind w:left="1320" w:hanging="360"/>
      </w:pPr>
    </w:lvl>
    <w:lvl w:ilvl="2" w:tplc="17A4752C">
      <w:start w:val="1"/>
      <w:numFmt w:val="decimal"/>
      <w:lvlText w:val="%3."/>
      <w:lvlJc w:val="left"/>
      <w:pPr>
        <w:ind w:left="1320" w:hanging="360"/>
      </w:pPr>
    </w:lvl>
    <w:lvl w:ilvl="3" w:tplc="BD92259C">
      <w:start w:val="1"/>
      <w:numFmt w:val="decimal"/>
      <w:lvlText w:val="%4."/>
      <w:lvlJc w:val="left"/>
      <w:pPr>
        <w:ind w:left="1320" w:hanging="360"/>
      </w:pPr>
    </w:lvl>
    <w:lvl w:ilvl="4" w:tplc="32507476">
      <w:start w:val="1"/>
      <w:numFmt w:val="decimal"/>
      <w:lvlText w:val="%5."/>
      <w:lvlJc w:val="left"/>
      <w:pPr>
        <w:ind w:left="1320" w:hanging="360"/>
      </w:pPr>
    </w:lvl>
    <w:lvl w:ilvl="5" w:tplc="5914B214">
      <w:start w:val="1"/>
      <w:numFmt w:val="decimal"/>
      <w:lvlText w:val="%6."/>
      <w:lvlJc w:val="left"/>
      <w:pPr>
        <w:ind w:left="1320" w:hanging="360"/>
      </w:pPr>
    </w:lvl>
    <w:lvl w:ilvl="6" w:tplc="34CA9F50">
      <w:start w:val="1"/>
      <w:numFmt w:val="decimal"/>
      <w:lvlText w:val="%7."/>
      <w:lvlJc w:val="left"/>
      <w:pPr>
        <w:ind w:left="1320" w:hanging="360"/>
      </w:pPr>
    </w:lvl>
    <w:lvl w:ilvl="7" w:tplc="2796EE54">
      <w:start w:val="1"/>
      <w:numFmt w:val="decimal"/>
      <w:lvlText w:val="%8."/>
      <w:lvlJc w:val="left"/>
      <w:pPr>
        <w:ind w:left="1320" w:hanging="360"/>
      </w:pPr>
    </w:lvl>
    <w:lvl w:ilvl="8" w:tplc="CC50BEAA">
      <w:start w:val="1"/>
      <w:numFmt w:val="decimal"/>
      <w:lvlText w:val="%9."/>
      <w:lvlJc w:val="left"/>
      <w:pPr>
        <w:ind w:left="1320" w:hanging="360"/>
      </w:pPr>
    </w:lvl>
  </w:abstractNum>
  <w:abstractNum w:abstractNumId="33" w15:restartNumberingAfterBreak="0">
    <w:nsid w:val="77FF34B9"/>
    <w:multiLevelType w:val="hybridMultilevel"/>
    <w:tmpl w:val="988A8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174D01"/>
    <w:multiLevelType w:val="hybridMultilevel"/>
    <w:tmpl w:val="EF5C5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6C59AE"/>
    <w:multiLevelType w:val="hybridMultilevel"/>
    <w:tmpl w:val="86FE4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CAF16D9"/>
    <w:multiLevelType w:val="hybridMultilevel"/>
    <w:tmpl w:val="599C3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7269666">
    <w:abstractNumId w:val="36"/>
  </w:num>
  <w:num w:numId="2" w16cid:durableId="1668050683">
    <w:abstractNumId w:val="17"/>
  </w:num>
  <w:num w:numId="3" w16cid:durableId="1683042470">
    <w:abstractNumId w:val="6"/>
  </w:num>
  <w:num w:numId="4" w16cid:durableId="133523604">
    <w:abstractNumId w:val="28"/>
  </w:num>
  <w:num w:numId="5" w16cid:durableId="1994024302">
    <w:abstractNumId w:val="30"/>
  </w:num>
  <w:num w:numId="6" w16cid:durableId="1358852113">
    <w:abstractNumId w:val="16"/>
  </w:num>
  <w:num w:numId="7" w16cid:durableId="2047246184">
    <w:abstractNumId w:val="11"/>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3"/>
  </w:num>
  <w:num w:numId="15" w16cid:durableId="406730085">
    <w:abstractNumId w:val="9"/>
  </w:num>
  <w:num w:numId="16" w16cid:durableId="1294024271">
    <w:abstractNumId w:val="12"/>
  </w:num>
  <w:num w:numId="17" w16cid:durableId="1171214774">
    <w:abstractNumId w:val="35"/>
  </w:num>
  <w:num w:numId="18" w16cid:durableId="1768621288">
    <w:abstractNumId w:val="26"/>
  </w:num>
  <w:num w:numId="19" w16cid:durableId="328022315">
    <w:abstractNumId w:val="27"/>
  </w:num>
  <w:num w:numId="20" w16cid:durableId="1320310342">
    <w:abstractNumId w:val="33"/>
  </w:num>
  <w:num w:numId="21" w16cid:durableId="197200729">
    <w:abstractNumId w:val="37"/>
  </w:num>
  <w:num w:numId="22" w16cid:durableId="1971665784">
    <w:abstractNumId w:val="14"/>
  </w:num>
  <w:num w:numId="23" w16cid:durableId="1031422524">
    <w:abstractNumId w:val="22"/>
  </w:num>
  <w:num w:numId="24" w16cid:durableId="536358639">
    <w:abstractNumId w:val="20"/>
  </w:num>
  <w:num w:numId="25" w16cid:durableId="121922272">
    <w:abstractNumId w:val="34"/>
  </w:num>
  <w:num w:numId="26" w16cid:durableId="101149934">
    <w:abstractNumId w:val="18"/>
  </w:num>
  <w:num w:numId="27" w16cid:durableId="1570656848">
    <w:abstractNumId w:val="8"/>
  </w:num>
  <w:num w:numId="28" w16cid:durableId="481897671">
    <w:abstractNumId w:val="7"/>
  </w:num>
  <w:num w:numId="29" w16cid:durableId="582878536">
    <w:abstractNumId w:val="23"/>
  </w:num>
  <w:num w:numId="30" w16cid:durableId="303118831">
    <w:abstractNumId w:val="32"/>
  </w:num>
  <w:num w:numId="31" w16cid:durableId="465902375">
    <w:abstractNumId w:val="24"/>
  </w:num>
  <w:num w:numId="32" w16cid:durableId="1962375368">
    <w:abstractNumId w:val="29"/>
  </w:num>
  <w:num w:numId="33" w16cid:durableId="920649946">
    <w:abstractNumId w:val="25"/>
  </w:num>
  <w:num w:numId="34" w16cid:durableId="1693191146">
    <w:abstractNumId w:val="15"/>
  </w:num>
  <w:num w:numId="35" w16cid:durableId="1057826418">
    <w:abstractNumId w:val="10"/>
  </w:num>
  <w:num w:numId="36" w16cid:durableId="1667516543">
    <w:abstractNumId w:val="31"/>
  </w:num>
  <w:num w:numId="37" w16cid:durableId="517694379">
    <w:abstractNumId w:val="19"/>
  </w:num>
  <w:num w:numId="38" w16cid:durableId="6867569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11C7"/>
    <w:rsid w:val="00003363"/>
    <w:rsid w:val="00003E8E"/>
    <w:rsid w:val="000146A9"/>
    <w:rsid w:val="000148D3"/>
    <w:rsid w:val="00025BD0"/>
    <w:rsid w:val="000261A3"/>
    <w:rsid w:val="00027145"/>
    <w:rsid w:val="000316B1"/>
    <w:rsid w:val="00032163"/>
    <w:rsid w:val="00032906"/>
    <w:rsid w:val="0003316F"/>
    <w:rsid w:val="00033C4C"/>
    <w:rsid w:val="000344A7"/>
    <w:rsid w:val="00034FDC"/>
    <w:rsid w:val="0003506D"/>
    <w:rsid w:val="00036270"/>
    <w:rsid w:val="00036C69"/>
    <w:rsid w:val="00037EB9"/>
    <w:rsid w:val="000404CE"/>
    <w:rsid w:val="0004100D"/>
    <w:rsid w:val="00041073"/>
    <w:rsid w:val="000412B5"/>
    <w:rsid w:val="000422D4"/>
    <w:rsid w:val="00042375"/>
    <w:rsid w:val="00042611"/>
    <w:rsid w:val="00044AC3"/>
    <w:rsid w:val="00044B8A"/>
    <w:rsid w:val="00045D5F"/>
    <w:rsid w:val="00046750"/>
    <w:rsid w:val="00046F03"/>
    <w:rsid w:val="00051CBE"/>
    <w:rsid w:val="00052436"/>
    <w:rsid w:val="0005327C"/>
    <w:rsid w:val="00054DEC"/>
    <w:rsid w:val="0005518A"/>
    <w:rsid w:val="0005530D"/>
    <w:rsid w:val="000572BD"/>
    <w:rsid w:val="00057426"/>
    <w:rsid w:val="00066604"/>
    <w:rsid w:val="00066E9C"/>
    <w:rsid w:val="000707FE"/>
    <w:rsid w:val="000726EA"/>
    <w:rsid w:val="00076490"/>
    <w:rsid w:val="0008139B"/>
    <w:rsid w:val="00085C30"/>
    <w:rsid w:val="000860AD"/>
    <w:rsid w:val="0008649A"/>
    <w:rsid w:val="00086E59"/>
    <w:rsid w:val="00090D67"/>
    <w:rsid w:val="00093DA4"/>
    <w:rsid w:val="00093F7D"/>
    <w:rsid w:val="000945B2"/>
    <w:rsid w:val="00095258"/>
    <w:rsid w:val="00095B90"/>
    <w:rsid w:val="00095E11"/>
    <w:rsid w:val="000A145A"/>
    <w:rsid w:val="000A2382"/>
    <w:rsid w:val="000A42C1"/>
    <w:rsid w:val="000A57AC"/>
    <w:rsid w:val="000A7F1E"/>
    <w:rsid w:val="000B006F"/>
    <w:rsid w:val="000B0148"/>
    <w:rsid w:val="000B3BAF"/>
    <w:rsid w:val="000B6324"/>
    <w:rsid w:val="000C0BA2"/>
    <w:rsid w:val="000C2A3D"/>
    <w:rsid w:val="000C2A53"/>
    <w:rsid w:val="000D009F"/>
    <w:rsid w:val="000D07A8"/>
    <w:rsid w:val="000D4B2F"/>
    <w:rsid w:val="000D5BA3"/>
    <w:rsid w:val="000D5FCE"/>
    <w:rsid w:val="000D6745"/>
    <w:rsid w:val="000D6959"/>
    <w:rsid w:val="000E14B0"/>
    <w:rsid w:val="000E38BA"/>
    <w:rsid w:val="000E7042"/>
    <w:rsid w:val="000E7A03"/>
    <w:rsid w:val="000E7DED"/>
    <w:rsid w:val="000F245F"/>
    <w:rsid w:val="000F26FB"/>
    <w:rsid w:val="000F2844"/>
    <w:rsid w:val="000F2EA6"/>
    <w:rsid w:val="000F4DD3"/>
    <w:rsid w:val="000F5437"/>
    <w:rsid w:val="00101FBF"/>
    <w:rsid w:val="00103358"/>
    <w:rsid w:val="00105C9C"/>
    <w:rsid w:val="00110458"/>
    <w:rsid w:val="00111514"/>
    <w:rsid w:val="00111745"/>
    <w:rsid w:val="001128B3"/>
    <w:rsid w:val="001134ED"/>
    <w:rsid w:val="00114174"/>
    <w:rsid w:val="00116DFE"/>
    <w:rsid w:val="00116E40"/>
    <w:rsid w:val="00117025"/>
    <w:rsid w:val="00123DFA"/>
    <w:rsid w:val="00124D9E"/>
    <w:rsid w:val="00125C36"/>
    <w:rsid w:val="00125FF1"/>
    <w:rsid w:val="001306D6"/>
    <w:rsid w:val="00131E18"/>
    <w:rsid w:val="00131E99"/>
    <w:rsid w:val="001431DB"/>
    <w:rsid w:val="00143208"/>
    <w:rsid w:val="00144A2F"/>
    <w:rsid w:val="00146B61"/>
    <w:rsid w:val="00150AEB"/>
    <w:rsid w:val="001513BD"/>
    <w:rsid w:val="001516BF"/>
    <w:rsid w:val="0015214F"/>
    <w:rsid w:val="0015298C"/>
    <w:rsid w:val="001534EA"/>
    <w:rsid w:val="00160B42"/>
    <w:rsid w:val="001624D8"/>
    <w:rsid w:val="00163475"/>
    <w:rsid w:val="0016406E"/>
    <w:rsid w:val="00164614"/>
    <w:rsid w:val="00165065"/>
    <w:rsid w:val="00170157"/>
    <w:rsid w:val="00172C39"/>
    <w:rsid w:val="0017574A"/>
    <w:rsid w:val="00175998"/>
    <w:rsid w:val="001763D1"/>
    <w:rsid w:val="00183C55"/>
    <w:rsid w:val="00183D17"/>
    <w:rsid w:val="00186DC1"/>
    <w:rsid w:val="00191222"/>
    <w:rsid w:val="001918A6"/>
    <w:rsid w:val="00192485"/>
    <w:rsid w:val="00192BED"/>
    <w:rsid w:val="00194459"/>
    <w:rsid w:val="00194F51"/>
    <w:rsid w:val="001954A5"/>
    <w:rsid w:val="001968EB"/>
    <w:rsid w:val="00197DB0"/>
    <w:rsid w:val="001A22A8"/>
    <w:rsid w:val="001B1567"/>
    <w:rsid w:val="001B274F"/>
    <w:rsid w:val="001B57E5"/>
    <w:rsid w:val="001B5A11"/>
    <w:rsid w:val="001B7035"/>
    <w:rsid w:val="001B7F1C"/>
    <w:rsid w:val="001C058A"/>
    <w:rsid w:val="001C0CB2"/>
    <w:rsid w:val="001C0D18"/>
    <w:rsid w:val="001C381D"/>
    <w:rsid w:val="001C3AAD"/>
    <w:rsid w:val="001C59E2"/>
    <w:rsid w:val="001C68E0"/>
    <w:rsid w:val="001C6BA8"/>
    <w:rsid w:val="001D1BA0"/>
    <w:rsid w:val="001D3663"/>
    <w:rsid w:val="001D42D2"/>
    <w:rsid w:val="001D55A3"/>
    <w:rsid w:val="001D7829"/>
    <w:rsid w:val="001E10E3"/>
    <w:rsid w:val="001E2D03"/>
    <w:rsid w:val="001E4423"/>
    <w:rsid w:val="001E58C4"/>
    <w:rsid w:val="001E6F09"/>
    <w:rsid w:val="001E7EBC"/>
    <w:rsid w:val="001F108B"/>
    <w:rsid w:val="001F36D6"/>
    <w:rsid w:val="001F5927"/>
    <w:rsid w:val="001F59D3"/>
    <w:rsid w:val="00201022"/>
    <w:rsid w:val="0020169F"/>
    <w:rsid w:val="00201984"/>
    <w:rsid w:val="002032B5"/>
    <w:rsid w:val="00203F57"/>
    <w:rsid w:val="00204A57"/>
    <w:rsid w:val="00204C08"/>
    <w:rsid w:val="00206249"/>
    <w:rsid w:val="002078E2"/>
    <w:rsid w:val="00207A2E"/>
    <w:rsid w:val="00210680"/>
    <w:rsid w:val="002109DB"/>
    <w:rsid w:val="00211CE8"/>
    <w:rsid w:val="0021439F"/>
    <w:rsid w:val="00214687"/>
    <w:rsid w:val="00215C7C"/>
    <w:rsid w:val="00216B01"/>
    <w:rsid w:val="00220F11"/>
    <w:rsid w:val="002245D5"/>
    <w:rsid w:val="00233A75"/>
    <w:rsid w:val="002377FC"/>
    <w:rsid w:val="002406D5"/>
    <w:rsid w:val="0024392D"/>
    <w:rsid w:val="00244550"/>
    <w:rsid w:val="00246A44"/>
    <w:rsid w:val="00247C24"/>
    <w:rsid w:val="00251456"/>
    <w:rsid w:val="00254AD6"/>
    <w:rsid w:val="0025573A"/>
    <w:rsid w:val="00255903"/>
    <w:rsid w:val="002562D9"/>
    <w:rsid w:val="002618DF"/>
    <w:rsid w:val="00261D00"/>
    <w:rsid w:val="00261D71"/>
    <w:rsid w:val="002633D9"/>
    <w:rsid w:val="00263461"/>
    <w:rsid w:val="00263BEE"/>
    <w:rsid w:val="00266C5E"/>
    <w:rsid w:val="00267083"/>
    <w:rsid w:val="00270225"/>
    <w:rsid w:val="00276640"/>
    <w:rsid w:val="00276E27"/>
    <w:rsid w:val="00280AC6"/>
    <w:rsid w:val="00281A5D"/>
    <w:rsid w:val="002824C3"/>
    <w:rsid w:val="002827D8"/>
    <w:rsid w:val="00285FEE"/>
    <w:rsid w:val="0029200E"/>
    <w:rsid w:val="002927DB"/>
    <w:rsid w:val="00293C17"/>
    <w:rsid w:val="002950ED"/>
    <w:rsid w:val="00296166"/>
    <w:rsid w:val="00297C4F"/>
    <w:rsid w:val="002A0607"/>
    <w:rsid w:val="002A1606"/>
    <w:rsid w:val="002A1BFF"/>
    <w:rsid w:val="002A23A7"/>
    <w:rsid w:val="002A41E3"/>
    <w:rsid w:val="002A4B17"/>
    <w:rsid w:val="002A60E3"/>
    <w:rsid w:val="002A6562"/>
    <w:rsid w:val="002B0C34"/>
    <w:rsid w:val="002B1150"/>
    <w:rsid w:val="002B3986"/>
    <w:rsid w:val="002B7C96"/>
    <w:rsid w:val="002C2B39"/>
    <w:rsid w:val="002C30E8"/>
    <w:rsid w:val="002C44EE"/>
    <w:rsid w:val="002D14DB"/>
    <w:rsid w:val="002D1AAA"/>
    <w:rsid w:val="002D39AC"/>
    <w:rsid w:val="002D68E2"/>
    <w:rsid w:val="002E0618"/>
    <w:rsid w:val="002E0E18"/>
    <w:rsid w:val="002E3B50"/>
    <w:rsid w:val="002E487D"/>
    <w:rsid w:val="002E5B03"/>
    <w:rsid w:val="002E6E2F"/>
    <w:rsid w:val="002F0B5B"/>
    <w:rsid w:val="002F1B75"/>
    <w:rsid w:val="002F2F6F"/>
    <w:rsid w:val="002F36BC"/>
    <w:rsid w:val="002F39F7"/>
    <w:rsid w:val="002F3EB5"/>
    <w:rsid w:val="002F5690"/>
    <w:rsid w:val="002F644E"/>
    <w:rsid w:val="002F7532"/>
    <w:rsid w:val="00302B2A"/>
    <w:rsid w:val="00305910"/>
    <w:rsid w:val="003060CC"/>
    <w:rsid w:val="00306575"/>
    <w:rsid w:val="00306C0E"/>
    <w:rsid w:val="003078AB"/>
    <w:rsid w:val="00310CA1"/>
    <w:rsid w:val="003122CC"/>
    <w:rsid w:val="00313B29"/>
    <w:rsid w:val="003147AA"/>
    <w:rsid w:val="00314E27"/>
    <w:rsid w:val="00323B9A"/>
    <w:rsid w:val="00324789"/>
    <w:rsid w:val="003251FC"/>
    <w:rsid w:val="00327AB4"/>
    <w:rsid w:val="00330F12"/>
    <w:rsid w:val="0033423B"/>
    <w:rsid w:val="0033648B"/>
    <w:rsid w:val="003370CB"/>
    <w:rsid w:val="0033752C"/>
    <w:rsid w:val="00341011"/>
    <w:rsid w:val="00341F78"/>
    <w:rsid w:val="003452D1"/>
    <w:rsid w:val="00347A22"/>
    <w:rsid w:val="00347C20"/>
    <w:rsid w:val="00350849"/>
    <w:rsid w:val="00351157"/>
    <w:rsid w:val="0035131B"/>
    <w:rsid w:val="00352D2B"/>
    <w:rsid w:val="003539A0"/>
    <w:rsid w:val="00354966"/>
    <w:rsid w:val="00354AC0"/>
    <w:rsid w:val="00356368"/>
    <w:rsid w:val="00360F43"/>
    <w:rsid w:val="003661FC"/>
    <w:rsid w:val="00366923"/>
    <w:rsid w:val="00367AFE"/>
    <w:rsid w:val="003708C1"/>
    <w:rsid w:val="0037139A"/>
    <w:rsid w:val="00372A6A"/>
    <w:rsid w:val="00374632"/>
    <w:rsid w:val="00374E1D"/>
    <w:rsid w:val="003768F7"/>
    <w:rsid w:val="00385788"/>
    <w:rsid w:val="00385ABF"/>
    <w:rsid w:val="0039115D"/>
    <w:rsid w:val="003926FD"/>
    <w:rsid w:val="003936D2"/>
    <w:rsid w:val="00394226"/>
    <w:rsid w:val="00394BD6"/>
    <w:rsid w:val="003957CD"/>
    <w:rsid w:val="00396532"/>
    <w:rsid w:val="003A0D69"/>
    <w:rsid w:val="003A0E79"/>
    <w:rsid w:val="003A0F5E"/>
    <w:rsid w:val="003A2337"/>
    <w:rsid w:val="003A2419"/>
    <w:rsid w:val="003A2F22"/>
    <w:rsid w:val="003A4B93"/>
    <w:rsid w:val="003A6210"/>
    <w:rsid w:val="003B38C5"/>
    <w:rsid w:val="003B474F"/>
    <w:rsid w:val="003C1B28"/>
    <w:rsid w:val="003C1E9B"/>
    <w:rsid w:val="003C2BD7"/>
    <w:rsid w:val="003C484A"/>
    <w:rsid w:val="003C761F"/>
    <w:rsid w:val="003D0D4D"/>
    <w:rsid w:val="003D1F0A"/>
    <w:rsid w:val="003D42BC"/>
    <w:rsid w:val="003D48E5"/>
    <w:rsid w:val="003D7057"/>
    <w:rsid w:val="003E012E"/>
    <w:rsid w:val="003E0796"/>
    <w:rsid w:val="003E0B70"/>
    <w:rsid w:val="003E3395"/>
    <w:rsid w:val="003E717A"/>
    <w:rsid w:val="003F013C"/>
    <w:rsid w:val="003F1578"/>
    <w:rsid w:val="003F268A"/>
    <w:rsid w:val="003F36DF"/>
    <w:rsid w:val="00400336"/>
    <w:rsid w:val="00402497"/>
    <w:rsid w:val="00404D12"/>
    <w:rsid w:val="004118EA"/>
    <w:rsid w:val="00411C28"/>
    <w:rsid w:val="0041316B"/>
    <w:rsid w:val="00414A4A"/>
    <w:rsid w:val="0041571C"/>
    <w:rsid w:val="00417562"/>
    <w:rsid w:val="00420635"/>
    <w:rsid w:val="00421CB2"/>
    <w:rsid w:val="00422AD4"/>
    <w:rsid w:val="004232A5"/>
    <w:rsid w:val="004302C6"/>
    <w:rsid w:val="00431BE4"/>
    <w:rsid w:val="00431BFC"/>
    <w:rsid w:val="0043370D"/>
    <w:rsid w:val="00434796"/>
    <w:rsid w:val="00435045"/>
    <w:rsid w:val="00435A17"/>
    <w:rsid w:val="00436200"/>
    <w:rsid w:val="00437270"/>
    <w:rsid w:val="00437898"/>
    <w:rsid w:val="00437F6C"/>
    <w:rsid w:val="00440C82"/>
    <w:rsid w:val="004418A8"/>
    <w:rsid w:val="004419AD"/>
    <w:rsid w:val="0044222F"/>
    <w:rsid w:val="0044373C"/>
    <w:rsid w:val="004440ED"/>
    <w:rsid w:val="00445572"/>
    <w:rsid w:val="00445B15"/>
    <w:rsid w:val="00446164"/>
    <w:rsid w:val="004523AA"/>
    <w:rsid w:val="00453F6D"/>
    <w:rsid w:val="004543E0"/>
    <w:rsid w:val="00457F7C"/>
    <w:rsid w:val="004622A1"/>
    <w:rsid w:val="00465736"/>
    <w:rsid w:val="0047164A"/>
    <w:rsid w:val="00473083"/>
    <w:rsid w:val="00475138"/>
    <w:rsid w:val="00475549"/>
    <w:rsid w:val="004773D3"/>
    <w:rsid w:val="00482379"/>
    <w:rsid w:val="00486863"/>
    <w:rsid w:val="00487296"/>
    <w:rsid w:val="00487B1D"/>
    <w:rsid w:val="00487B65"/>
    <w:rsid w:val="00487D0C"/>
    <w:rsid w:val="004923E9"/>
    <w:rsid w:val="0049306F"/>
    <w:rsid w:val="00493EE9"/>
    <w:rsid w:val="004959E6"/>
    <w:rsid w:val="00496C4D"/>
    <w:rsid w:val="00497E93"/>
    <w:rsid w:val="004A0580"/>
    <w:rsid w:val="004A4353"/>
    <w:rsid w:val="004A452A"/>
    <w:rsid w:val="004A480D"/>
    <w:rsid w:val="004A656F"/>
    <w:rsid w:val="004B25B3"/>
    <w:rsid w:val="004C3806"/>
    <w:rsid w:val="004C542A"/>
    <w:rsid w:val="004C705B"/>
    <w:rsid w:val="004C7B8D"/>
    <w:rsid w:val="004C7C64"/>
    <w:rsid w:val="004D0F14"/>
    <w:rsid w:val="004D2139"/>
    <w:rsid w:val="004D22A5"/>
    <w:rsid w:val="004D2AA6"/>
    <w:rsid w:val="004D2C9E"/>
    <w:rsid w:val="004D3224"/>
    <w:rsid w:val="004D3A08"/>
    <w:rsid w:val="004E0B8B"/>
    <w:rsid w:val="004E52C5"/>
    <w:rsid w:val="004F2369"/>
    <w:rsid w:val="004F3922"/>
    <w:rsid w:val="004F5082"/>
    <w:rsid w:val="004F5749"/>
    <w:rsid w:val="004F6CD8"/>
    <w:rsid w:val="00501019"/>
    <w:rsid w:val="00503128"/>
    <w:rsid w:val="00503DA8"/>
    <w:rsid w:val="00505B43"/>
    <w:rsid w:val="00506152"/>
    <w:rsid w:val="00506B0F"/>
    <w:rsid w:val="00506CD7"/>
    <w:rsid w:val="005073B1"/>
    <w:rsid w:val="005109B7"/>
    <w:rsid w:val="005112BE"/>
    <w:rsid w:val="00511F38"/>
    <w:rsid w:val="00511F8A"/>
    <w:rsid w:val="00513C8F"/>
    <w:rsid w:val="0051507F"/>
    <w:rsid w:val="005159BD"/>
    <w:rsid w:val="0051627E"/>
    <w:rsid w:val="00523A10"/>
    <w:rsid w:val="00523DAA"/>
    <w:rsid w:val="005240E7"/>
    <w:rsid w:val="00532929"/>
    <w:rsid w:val="00534437"/>
    <w:rsid w:val="0053485E"/>
    <w:rsid w:val="005361F9"/>
    <w:rsid w:val="00540ABC"/>
    <w:rsid w:val="005411A8"/>
    <w:rsid w:val="00543D06"/>
    <w:rsid w:val="005446B5"/>
    <w:rsid w:val="00550453"/>
    <w:rsid w:val="005513E7"/>
    <w:rsid w:val="005533B5"/>
    <w:rsid w:val="00553D11"/>
    <w:rsid w:val="00553E52"/>
    <w:rsid w:val="005548B1"/>
    <w:rsid w:val="00555157"/>
    <w:rsid w:val="00561586"/>
    <w:rsid w:val="00564967"/>
    <w:rsid w:val="00567E50"/>
    <w:rsid w:val="00570315"/>
    <w:rsid w:val="00570FC1"/>
    <w:rsid w:val="0057143D"/>
    <w:rsid w:val="00572133"/>
    <w:rsid w:val="00580118"/>
    <w:rsid w:val="00581780"/>
    <w:rsid w:val="005818E7"/>
    <w:rsid w:val="00582B5D"/>
    <w:rsid w:val="00584E9E"/>
    <w:rsid w:val="005863D9"/>
    <w:rsid w:val="0058794E"/>
    <w:rsid w:val="00591208"/>
    <w:rsid w:val="00591B41"/>
    <w:rsid w:val="00592584"/>
    <w:rsid w:val="00595D9B"/>
    <w:rsid w:val="00595F7C"/>
    <w:rsid w:val="005964AC"/>
    <w:rsid w:val="00597EF7"/>
    <w:rsid w:val="005A08BB"/>
    <w:rsid w:val="005A0CD0"/>
    <w:rsid w:val="005A0ECF"/>
    <w:rsid w:val="005A11B9"/>
    <w:rsid w:val="005A2035"/>
    <w:rsid w:val="005A259A"/>
    <w:rsid w:val="005A2862"/>
    <w:rsid w:val="005A3014"/>
    <w:rsid w:val="005A5083"/>
    <w:rsid w:val="005A580A"/>
    <w:rsid w:val="005A5A3F"/>
    <w:rsid w:val="005A63CB"/>
    <w:rsid w:val="005A7E4B"/>
    <w:rsid w:val="005B1096"/>
    <w:rsid w:val="005B2318"/>
    <w:rsid w:val="005B353F"/>
    <w:rsid w:val="005B4F38"/>
    <w:rsid w:val="005B548E"/>
    <w:rsid w:val="005B5A7A"/>
    <w:rsid w:val="005B60AC"/>
    <w:rsid w:val="005C0BD4"/>
    <w:rsid w:val="005C1000"/>
    <w:rsid w:val="005C23B0"/>
    <w:rsid w:val="005C5BF0"/>
    <w:rsid w:val="005C6471"/>
    <w:rsid w:val="005D137B"/>
    <w:rsid w:val="005D2795"/>
    <w:rsid w:val="005D467D"/>
    <w:rsid w:val="005D4AEC"/>
    <w:rsid w:val="005D4F28"/>
    <w:rsid w:val="005D6DFD"/>
    <w:rsid w:val="005D743E"/>
    <w:rsid w:val="005D78A7"/>
    <w:rsid w:val="005E18D8"/>
    <w:rsid w:val="005F0409"/>
    <w:rsid w:val="005F19D7"/>
    <w:rsid w:val="005F1D41"/>
    <w:rsid w:val="005F1E8D"/>
    <w:rsid w:val="005F1E91"/>
    <w:rsid w:val="005F3A9E"/>
    <w:rsid w:val="005F3D87"/>
    <w:rsid w:val="005F5327"/>
    <w:rsid w:val="005F6744"/>
    <w:rsid w:val="005F6F27"/>
    <w:rsid w:val="00600AC2"/>
    <w:rsid w:val="00600B80"/>
    <w:rsid w:val="0060105C"/>
    <w:rsid w:val="006014A5"/>
    <w:rsid w:val="00601A22"/>
    <w:rsid w:val="006029D6"/>
    <w:rsid w:val="00605A80"/>
    <w:rsid w:val="006066C4"/>
    <w:rsid w:val="00606824"/>
    <w:rsid w:val="0060697E"/>
    <w:rsid w:val="006112A4"/>
    <w:rsid w:val="0061234E"/>
    <w:rsid w:val="006141C2"/>
    <w:rsid w:val="00615327"/>
    <w:rsid w:val="00616134"/>
    <w:rsid w:val="0061666E"/>
    <w:rsid w:val="00617112"/>
    <w:rsid w:val="00617C81"/>
    <w:rsid w:val="006204AA"/>
    <w:rsid w:val="00620535"/>
    <w:rsid w:val="00631632"/>
    <w:rsid w:val="00633D4C"/>
    <w:rsid w:val="00634BD1"/>
    <w:rsid w:val="00634EB6"/>
    <w:rsid w:val="00635255"/>
    <w:rsid w:val="0064002D"/>
    <w:rsid w:val="00640E8A"/>
    <w:rsid w:val="00641427"/>
    <w:rsid w:val="00641C05"/>
    <w:rsid w:val="006423C4"/>
    <w:rsid w:val="006429B2"/>
    <w:rsid w:val="00642A9A"/>
    <w:rsid w:val="00642F08"/>
    <w:rsid w:val="00644B80"/>
    <w:rsid w:val="00646F14"/>
    <w:rsid w:val="00647290"/>
    <w:rsid w:val="00651480"/>
    <w:rsid w:val="006514E4"/>
    <w:rsid w:val="00653B49"/>
    <w:rsid w:val="00653BDD"/>
    <w:rsid w:val="00655BCA"/>
    <w:rsid w:val="006606E0"/>
    <w:rsid w:val="00663240"/>
    <w:rsid w:val="00665863"/>
    <w:rsid w:val="006670A4"/>
    <w:rsid w:val="00672004"/>
    <w:rsid w:val="00672CAD"/>
    <w:rsid w:val="00674BE1"/>
    <w:rsid w:val="00677034"/>
    <w:rsid w:val="006772C3"/>
    <w:rsid w:val="00677550"/>
    <w:rsid w:val="0068159E"/>
    <w:rsid w:val="0068167E"/>
    <w:rsid w:val="00681DAC"/>
    <w:rsid w:val="00683728"/>
    <w:rsid w:val="00683EA4"/>
    <w:rsid w:val="00684AE8"/>
    <w:rsid w:val="00685509"/>
    <w:rsid w:val="0068665B"/>
    <w:rsid w:val="006869C5"/>
    <w:rsid w:val="00686FA3"/>
    <w:rsid w:val="00687DEF"/>
    <w:rsid w:val="00691291"/>
    <w:rsid w:val="00693BA4"/>
    <w:rsid w:val="00693E00"/>
    <w:rsid w:val="0069561E"/>
    <w:rsid w:val="006A0C2E"/>
    <w:rsid w:val="006A1843"/>
    <w:rsid w:val="006A3F7B"/>
    <w:rsid w:val="006B1365"/>
    <w:rsid w:val="006B6476"/>
    <w:rsid w:val="006B6C94"/>
    <w:rsid w:val="006C06BF"/>
    <w:rsid w:val="006C282B"/>
    <w:rsid w:val="006C5079"/>
    <w:rsid w:val="006C70AC"/>
    <w:rsid w:val="006C77DE"/>
    <w:rsid w:val="006D2345"/>
    <w:rsid w:val="006D3088"/>
    <w:rsid w:val="006D3281"/>
    <w:rsid w:val="006D5FE6"/>
    <w:rsid w:val="006E0626"/>
    <w:rsid w:val="006E1136"/>
    <w:rsid w:val="006E4BED"/>
    <w:rsid w:val="006E73A2"/>
    <w:rsid w:val="006F1D54"/>
    <w:rsid w:val="006F2EF6"/>
    <w:rsid w:val="006F3CD3"/>
    <w:rsid w:val="006F4A31"/>
    <w:rsid w:val="006F5115"/>
    <w:rsid w:val="006F7520"/>
    <w:rsid w:val="007026E6"/>
    <w:rsid w:val="007026F2"/>
    <w:rsid w:val="00702CB5"/>
    <w:rsid w:val="00703260"/>
    <w:rsid w:val="00703EA6"/>
    <w:rsid w:val="00705179"/>
    <w:rsid w:val="00706431"/>
    <w:rsid w:val="00706AEF"/>
    <w:rsid w:val="00710DAA"/>
    <w:rsid w:val="007117F1"/>
    <w:rsid w:val="007119BB"/>
    <w:rsid w:val="007126F3"/>
    <w:rsid w:val="0071394E"/>
    <w:rsid w:val="00713A74"/>
    <w:rsid w:val="00715CF2"/>
    <w:rsid w:val="00716A50"/>
    <w:rsid w:val="007175D2"/>
    <w:rsid w:val="00717636"/>
    <w:rsid w:val="007176BE"/>
    <w:rsid w:val="007177A7"/>
    <w:rsid w:val="00717D2F"/>
    <w:rsid w:val="00721BA6"/>
    <w:rsid w:val="007223F1"/>
    <w:rsid w:val="0072616C"/>
    <w:rsid w:val="00727028"/>
    <w:rsid w:val="0073015B"/>
    <w:rsid w:val="00731C3B"/>
    <w:rsid w:val="00733A62"/>
    <w:rsid w:val="0073513A"/>
    <w:rsid w:val="007371B3"/>
    <w:rsid w:val="007374F9"/>
    <w:rsid w:val="007405AF"/>
    <w:rsid w:val="00740E7D"/>
    <w:rsid w:val="00741AB8"/>
    <w:rsid w:val="00741B4D"/>
    <w:rsid w:val="0074217E"/>
    <w:rsid w:val="00742C00"/>
    <w:rsid w:val="00746A43"/>
    <w:rsid w:val="00747569"/>
    <w:rsid w:val="00753271"/>
    <w:rsid w:val="00754AB9"/>
    <w:rsid w:val="00755ADC"/>
    <w:rsid w:val="007576ED"/>
    <w:rsid w:val="00757BF7"/>
    <w:rsid w:val="00760832"/>
    <w:rsid w:val="00762464"/>
    <w:rsid w:val="00764779"/>
    <w:rsid w:val="007648BA"/>
    <w:rsid w:val="00767C3A"/>
    <w:rsid w:val="00767C90"/>
    <w:rsid w:val="00775137"/>
    <w:rsid w:val="0077524B"/>
    <w:rsid w:val="007755A3"/>
    <w:rsid w:val="007766BD"/>
    <w:rsid w:val="00777D95"/>
    <w:rsid w:val="00780734"/>
    <w:rsid w:val="00780AAA"/>
    <w:rsid w:val="00781A2C"/>
    <w:rsid w:val="00782490"/>
    <w:rsid w:val="007832ED"/>
    <w:rsid w:val="00784C7F"/>
    <w:rsid w:val="00785AD7"/>
    <w:rsid w:val="007866FA"/>
    <w:rsid w:val="00790EA4"/>
    <w:rsid w:val="00791481"/>
    <w:rsid w:val="00793DE3"/>
    <w:rsid w:val="0079464E"/>
    <w:rsid w:val="007A3F61"/>
    <w:rsid w:val="007A4241"/>
    <w:rsid w:val="007A5668"/>
    <w:rsid w:val="007A6B45"/>
    <w:rsid w:val="007A7572"/>
    <w:rsid w:val="007A7763"/>
    <w:rsid w:val="007B0EC1"/>
    <w:rsid w:val="007B100A"/>
    <w:rsid w:val="007B1D23"/>
    <w:rsid w:val="007B21A5"/>
    <w:rsid w:val="007B2AD6"/>
    <w:rsid w:val="007B3938"/>
    <w:rsid w:val="007C038A"/>
    <w:rsid w:val="007C04C1"/>
    <w:rsid w:val="007C0C94"/>
    <w:rsid w:val="007C3DFC"/>
    <w:rsid w:val="007C4DD0"/>
    <w:rsid w:val="007C57C1"/>
    <w:rsid w:val="007C6AEC"/>
    <w:rsid w:val="007D069F"/>
    <w:rsid w:val="007D0AF4"/>
    <w:rsid w:val="007D1C60"/>
    <w:rsid w:val="007D2B8D"/>
    <w:rsid w:val="007D3239"/>
    <w:rsid w:val="007D45D6"/>
    <w:rsid w:val="007D4ED8"/>
    <w:rsid w:val="007D501F"/>
    <w:rsid w:val="007D799D"/>
    <w:rsid w:val="007E2E53"/>
    <w:rsid w:val="007E4561"/>
    <w:rsid w:val="007E5F2E"/>
    <w:rsid w:val="007F23FB"/>
    <w:rsid w:val="007F32B0"/>
    <w:rsid w:val="007F5CCD"/>
    <w:rsid w:val="007F6B0C"/>
    <w:rsid w:val="007F7DBD"/>
    <w:rsid w:val="00800EE1"/>
    <w:rsid w:val="00802F0D"/>
    <w:rsid w:val="00805953"/>
    <w:rsid w:val="008059E3"/>
    <w:rsid w:val="00806934"/>
    <w:rsid w:val="00807C9F"/>
    <w:rsid w:val="0081136A"/>
    <w:rsid w:val="00811B37"/>
    <w:rsid w:val="00811F26"/>
    <w:rsid w:val="0081305D"/>
    <w:rsid w:val="008139CC"/>
    <w:rsid w:val="00814D30"/>
    <w:rsid w:val="0081792F"/>
    <w:rsid w:val="008215D5"/>
    <w:rsid w:val="00821ABA"/>
    <w:rsid w:val="008225FF"/>
    <w:rsid w:val="0082535B"/>
    <w:rsid w:val="00836DA0"/>
    <w:rsid w:val="00836DA8"/>
    <w:rsid w:val="00837EDC"/>
    <w:rsid w:val="008407F1"/>
    <w:rsid w:val="00840DAA"/>
    <w:rsid w:val="0084197B"/>
    <w:rsid w:val="008428D3"/>
    <w:rsid w:val="008432B5"/>
    <w:rsid w:val="0084591A"/>
    <w:rsid w:val="0084740A"/>
    <w:rsid w:val="00852D25"/>
    <w:rsid w:val="00853701"/>
    <w:rsid w:val="00854580"/>
    <w:rsid w:val="0085597D"/>
    <w:rsid w:val="00855D7A"/>
    <w:rsid w:val="00856281"/>
    <w:rsid w:val="00857878"/>
    <w:rsid w:val="00857E1B"/>
    <w:rsid w:val="00860DDE"/>
    <w:rsid w:val="00861259"/>
    <w:rsid w:val="00861BB2"/>
    <w:rsid w:val="008634C2"/>
    <w:rsid w:val="00864D48"/>
    <w:rsid w:val="00864EEA"/>
    <w:rsid w:val="00865A7B"/>
    <w:rsid w:val="00865E4F"/>
    <w:rsid w:val="00866663"/>
    <w:rsid w:val="00872458"/>
    <w:rsid w:val="008731A1"/>
    <w:rsid w:val="00873BE7"/>
    <w:rsid w:val="00874BF6"/>
    <w:rsid w:val="00874CB7"/>
    <w:rsid w:val="00875EDF"/>
    <w:rsid w:val="00876508"/>
    <w:rsid w:val="00876C1D"/>
    <w:rsid w:val="0087706C"/>
    <w:rsid w:val="008822BA"/>
    <w:rsid w:val="00883E2A"/>
    <w:rsid w:val="00884EF3"/>
    <w:rsid w:val="00886A15"/>
    <w:rsid w:val="00887072"/>
    <w:rsid w:val="00891051"/>
    <w:rsid w:val="008938DA"/>
    <w:rsid w:val="00893BEF"/>
    <w:rsid w:val="00893FE4"/>
    <w:rsid w:val="00897E41"/>
    <w:rsid w:val="008A1022"/>
    <w:rsid w:val="008A4703"/>
    <w:rsid w:val="008A5586"/>
    <w:rsid w:val="008A6964"/>
    <w:rsid w:val="008B3E7B"/>
    <w:rsid w:val="008B3E8F"/>
    <w:rsid w:val="008C0056"/>
    <w:rsid w:val="008C21E1"/>
    <w:rsid w:val="008D0DC9"/>
    <w:rsid w:val="008D59B9"/>
    <w:rsid w:val="008D61A9"/>
    <w:rsid w:val="008D7453"/>
    <w:rsid w:val="008D76F6"/>
    <w:rsid w:val="008D7BB6"/>
    <w:rsid w:val="008E0D5E"/>
    <w:rsid w:val="008E69F6"/>
    <w:rsid w:val="008F0093"/>
    <w:rsid w:val="008F134F"/>
    <w:rsid w:val="008F2F17"/>
    <w:rsid w:val="008F2F5C"/>
    <w:rsid w:val="008F3E03"/>
    <w:rsid w:val="008F5797"/>
    <w:rsid w:val="008F5966"/>
    <w:rsid w:val="00902192"/>
    <w:rsid w:val="00904962"/>
    <w:rsid w:val="00904E9B"/>
    <w:rsid w:val="009056A3"/>
    <w:rsid w:val="009062AE"/>
    <w:rsid w:val="00911A4E"/>
    <w:rsid w:val="00911C70"/>
    <w:rsid w:val="00911E3E"/>
    <w:rsid w:val="00913ED6"/>
    <w:rsid w:val="0091557B"/>
    <w:rsid w:val="00915F44"/>
    <w:rsid w:val="00917CE4"/>
    <w:rsid w:val="00923B0D"/>
    <w:rsid w:val="0092478E"/>
    <w:rsid w:val="00924BD5"/>
    <w:rsid w:val="00927604"/>
    <w:rsid w:val="00930B3C"/>
    <w:rsid w:val="00935CB3"/>
    <w:rsid w:val="00936768"/>
    <w:rsid w:val="00937A11"/>
    <w:rsid w:val="00941773"/>
    <w:rsid w:val="009417F7"/>
    <w:rsid w:val="009422C6"/>
    <w:rsid w:val="009426F3"/>
    <w:rsid w:val="00945CAD"/>
    <w:rsid w:val="00950962"/>
    <w:rsid w:val="00952756"/>
    <w:rsid w:val="00952A74"/>
    <w:rsid w:val="00956048"/>
    <w:rsid w:val="00956171"/>
    <w:rsid w:val="009564A5"/>
    <w:rsid w:val="00956AA9"/>
    <w:rsid w:val="009572B4"/>
    <w:rsid w:val="009605CB"/>
    <w:rsid w:val="00963A56"/>
    <w:rsid w:val="00963C9F"/>
    <w:rsid w:val="00963F49"/>
    <w:rsid w:val="00965094"/>
    <w:rsid w:val="0096517C"/>
    <w:rsid w:val="00965712"/>
    <w:rsid w:val="00966099"/>
    <w:rsid w:val="00966619"/>
    <w:rsid w:val="00970214"/>
    <w:rsid w:val="009708AE"/>
    <w:rsid w:val="00972144"/>
    <w:rsid w:val="00973117"/>
    <w:rsid w:val="00973962"/>
    <w:rsid w:val="0097425F"/>
    <w:rsid w:val="00974636"/>
    <w:rsid w:val="00977338"/>
    <w:rsid w:val="00977685"/>
    <w:rsid w:val="009804D2"/>
    <w:rsid w:val="00982392"/>
    <w:rsid w:val="00982480"/>
    <w:rsid w:val="009834D2"/>
    <w:rsid w:val="009858C3"/>
    <w:rsid w:val="00991526"/>
    <w:rsid w:val="00991DED"/>
    <w:rsid w:val="00993BBF"/>
    <w:rsid w:val="00993E80"/>
    <w:rsid w:val="00997F6C"/>
    <w:rsid w:val="009A0032"/>
    <w:rsid w:val="009A0A07"/>
    <w:rsid w:val="009A0A6A"/>
    <w:rsid w:val="009A0E76"/>
    <w:rsid w:val="009A1FF3"/>
    <w:rsid w:val="009A36DF"/>
    <w:rsid w:val="009A4290"/>
    <w:rsid w:val="009A4DC6"/>
    <w:rsid w:val="009A5BC4"/>
    <w:rsid w:val="009A6FE4"/>
    <w:rsid w:val="009A7D43"/>
    <w:rsid w:val="009B0BC5"/>
    <w:rsid w:val="009B2A1F"/>
    <w:rsid w:val="009B34AC"/>
    <w:rsid w:val="009B4A90"/>
    <w:rsid w:val="009B609B"/>
    <w:rsid w:val="009B614B"/>
    <w:rsid w:val="009B7476"/>
    <w:rsid w:val="009C0EFC"/>
    <w:rsid w:val="009C1B2F"/>
    <w:rsid w:val="009C3CB0"/>
    <w:rsid w:val="009C4CA6"/>
    <w:rsid w:val="009C56D1"/>
    <w:rsid w:val="009C74F7"/>
    <w:rsid w:val="009C7E8F"/>
    <w:rsid w:val="009D18C2"/>
    <w:rsid w:val="009D236A"/>
    <w:rsid w:val="009D3B3A"/>
    <w:rsid w:val="009D50E8"/>
    <w:rsid w:val="009D56B0"/>
    <w:rsid w:val="009D5A36"/>
    <w:rsid w:val="009E34D5"/>
    <w:rsid w:val="009E383F"/>
    <w:rsid w:val="009E4054"/>
    <w:rsid w:val="009E718A"/>
    <w:rsid w:val="009F06EB"/>
    <w:rsid w:val="009F4558"/>
    <w:rsid w:val="009F4A74"/>
    <w:rsid w:val="009F4D35"/>
    <w:rsid w:val="009F7A5A"/>
    <w:rsid w:val="00A0293E"/>
    <w:rsid w:val="00A032B7"/>
    <w:rsid w:val="00A03C15"/>
    <w:rsid w:val="00A051F7"/>
    <w:rsid w:val="00A0641E"/>
    <w:rsid w:val="00A070B7"/>
    <w:rsid w:val="00A11E29"/>
    <w:rsid w:val="00A13691"/>
    <w:rsid w:val="00A13A11"/>
    <w:rsid w:val="00A142EA"/>
    <w:rsid w:val="00A14752"/>
    <w:rsid w:val="00A17299"/>
    <w:rsid w:val="00A23F46"/>
    <w:rsid w:val="00A2405F"/>
    <w:rsid w:val="00A275F3"/>
    <w:rsid w:val="00A27F7B"/>
    <w:rsid w:val="00A3043E"/>
    <w:rsid w:val="00A339E5"/>
    <w:rsid w:val="00A35814"/>
    <w:rsid w:val="00A3639C"/>
    <w:rsid w:val="00A36734"/>
    <w:rsid w:val="00A369AC"/>
    <w:rsid w:val="00A3743B"/>
    <w:rsid w:val="00A414BC"/>
    <w:rsid w:val="00A43021"/>
    <w:rsid w:val="00A43163"/>
    <w:rsid w:val="00A435F8"/>
    <w:rsid w:val="00A4461A"/>
    <w:rsid w:val="00A459DE"/>
    <w:rsid w:val="00A45FFC"/>
    <w:rsid w:val="00A50D02"/>
    <w:rsid w:val="00A52D23"/>
    <w:rsid w:val="00A5508E"/>
    <w:rsid w:val="00A55776"/>
    <w:rsid w:val="00A55D47"/>
    <w:rsid w:val="00A57AB2"/>
    <w:rsid w:val="00A60476"/>
    <w:rsid w:val="00A61A9F"/>
    <w:rsid w:val="00A62216"/>
    <w:rsid w:val="00A6491C"/>
    <w:rsid w:val="00A65038"/>
    <w:rsid w:val="00A65913"/>
    <w:rsid w:val="00A70A4D"/>
    <w:rsid w:val="00A71A69"/>
    <w:rsid w:val="00A7229C"/>
    <w:rsid w:val="00A7486F"/>
    <w:rsid w:val="00A74E0F"/>
    <w:rsid w:val="00A7500E"/>
    <w:rsid w:val="00A7699B"/>
    <w:rsid w:val="00A8077F"/>
    <w:rsid w:val="00A80E09"/>
    <w:rsid w:val="00A83BB3"/>
    <w:rsid w:val="00A851E3"/>
    <w:rsid w:val="00A85919"/>
    <w:rsid w:val="00A8731D"/>
    <w:rsid w:val="00A87673"/>
    <w:rsid w:val="00A9012A"/>
    <w:rsid w:val="00A909D5"/>
    <w:rsid w:val="00A93A77"/>
    <w:rsid w:val="00A93DF6"/>
    <w:rsid w:val="00A948FE"/>
    <w:rsid w:val="00A94AB4"/>
    <w:rsid w:val="00A95CBF"/>
    <w:rsid w:val="00A970F2"/>
    <w:rsid w:val="00AA0260"/>
    <w:rsid w:val="00AA2E4F"/>
    <w:rsid w:val="00AA311A"/>
    <w:rsid w:val="00AA3BB9"/>
    <w:rsid w:val="00AA796F"/>
    <w:rsid w:val="00AB05B7"/>
    <w:rsid w:val="00AB074D"/>
    <w:rsid w:val="00AB27A1"/>
    <w:rsid w:val="00AB5FC6"/>
    <w:rsid w:val="00AB790F"/>
    <w:rsid w:val="00AC08D2"/>
    <w:rsid w:val="00AC0C2F"/>
    <w:rsid w:val="00AC1BEE"/>
    <w:rsid w:val="00AC21F8"/>
    <w:rsid w:val="00AC3E56"/>
    <w:rsid w:val="00AC4BDA"/>
    <w:rsid w:val="00AC5934"/>
    <w:rsid w:val="00AC6A5E"/>
    <w:rsid w:val="00AC7DFB"/>
    <w:rsid w:val="00AD0C81"/>
    <w:rsid w:val="00AD584C"/>
    <w:rsid w:val="00AD5DA3"/>
    <w:rsid w:val="00AD6242"/>
    <w:rsid w:val="00AE1EED"/>
    <w:rsid w:val="00AE220C"/>
    <w:rsid w:val="00AE68CA"/>
    <w:rsid w:val="00AE7072"/>
    <w:rsid w:val="00AF2783"/>
    <w:rsid w:val="00AF2957"/>
    <w:rsid w:val="00AF3C5A"/>
    <w:rsid w:val="00AF57B3"/>
    <w:rsid w:val="00AF7D27"/>
    <w:rsid w:val="00B03DE7"/>
    <w:rsid w:val="00B04E3B"/>
    <w:rsid w:val="00B0698D"/>
    <w:rsid w:val="00B0699C"/>
    <w:rsid w:val="00B0767A"/>
    <w:rsid w:val="00B10FC9"/>
    <w:rsid w:val="00B1131A"/>
    <w:rsid w:val="00B11937"/>
    <w:rsid w:val="00B12498"/>
    <w:rsid w:val="00B12F76"/>
    <w:rsid w:val="00B131D7"/>
    <w:rsid w:val="00B138A8"/>
    <w:rsid w:val="00B15249"/>
    <w:rsid w:val="00B15618"/>
    <w:rsid w:val="00B15DF5"/>
    <w:rsid w:val="00B1661A"/>
    <w:rsid w:val="00B1672D"/>
    <w:rsid w:val="00B16B74"/>
    <w:rsid w:val="00B16D43"/>
    <w:rsid w:val="00B176FD"/>
    <w:rsid w:val="00B21702"/>
    <w:rsid w:val="00B21E09"/>
    <w:rsid w:val="00B23B38"/>
    <w:rsid w:val="00B2527F"/>
    <w:rsid w:val="00B2653D"/>
    <w:rsid w:val="00B26558"/>
    <w:rsid w:val="00B26C3D"/>
    <w:rsid w:val="00B275AC"/>
    <w:rsid w:val="00B27734"/>
    <w:rsid w:val="00B277DD"/>
    <w:rsid w:val="00B30EAB"/>
    <w:rsid w:val="00B31756"/>
    <w:rsid w:val="00B32201"/>
    <w:rsid w:val="00B366DB"/>
    <w:rsid w:val="00B37667"/>
    <w:rsid w:val="00B3774E"/>
    <w:rsid w:val="00B40BF6"/>
    <w:rsid w:val="00B42CEC"/>
    <w:rsid w:val="00B44B46"/>
    <w:rsid w:val="00B44BFF"/>
    <w:rsid w:val="00B5117D"/>
    <w:rsid w:val="00B51B21"/>
    <w:rsid w:val="00B532DB"/>
    <w:rsid w:val="00B545CC"/>
    <w:rsid w:val="00B54794"/>
    <w:rsid w:val="00B55005"/>
    <w:rsid w:val="00B55735"/>
    <w:rsid w:val="00B55B9A"/>
    <w:rsid w:val="00B55EFB"/>
    <w:rsid w:val="00B57721"/>
    <w:rsid w:val="00B61F3E"/>
    <w:rsid w:val="00B65661"/>
    <w:rsid w:val="00B72465"/>
    <w:rsid w:val="00B725FB"/>
    <w:rsid w:val="00B72A6C"/>
    <w:rsid w:val="00B72B74"/>
    <w:rsid w:val="00B76CE9"/>
    <w:rsid w:val="00B819FE"/>
    <w:rsid w:val="00B839A2"/>
    <w:rsid w:val="00B83DD1"/>
    <w:rsid w:val="00B850E8"/>
    <w:rsid w:val="00B86033"/>
    <w:rsid w:val="00B86106"/>
    <w:rsid w:val="00B9031B"/>
    <w:rsid w:val="00B927D9"/>
    <w:rsid w:val="00B93C09"/>
    <w:rsid w:val="00B94111"/>
    <w:rsid w:val="00B94F0A"/>
    <w:rsid w:val="00B95E21"/>
    <w:rsid w:val="00B95FED"/>
    <w:rsid w:val="00B96B2D"/>
    <w:rsid w:val="00BA18F6"/>
    <w:rsid w:val="00BA38A0"/>
    <w:rsid w:val="00BA4854"/>
    <w:rsid w:val="00BB2ACB"/>
    <w:rsid w:val="00BB2F80"/>
    <w:rsid w:val="00BB4CD2"/>
    <w:rsid w:val="00BB5271"/>
    <w:rsid w:val="00BC1378"/>
    <w:rsid w:val="00BC1B66"/>
    <w:rsid w:val="00BC218F"/>
    <w:rsid w:val="00BC51F8"/>
    <w:rsid w:val="00BD174F"/>
    <w:rsid w:val="00BD22DA"/>
    <w:rsid w:val="00BD5583"/>
    <w:rsid w:val="00BD5D69"/>
    <w:rsid w:val="00BD60AB"/>
    <w:rsid w:val="00BE08FE"/>
    <w:rsid w:val="00BE0FFD"/>
    <w:rsid w:val="00BE13B4"/>
    <w:rsid w:val="00BE1646"/>
    <w:rsid w:val="00BE1900"/>
    <w:rsid w:val="00BE2AB7"/>
    <w:rsid w:val="00BE3527"/>
    <w:rsid w:val="00BE4587"/>
    <w:rsid w:val="00BE46FD"/>
    <w:rsid w:val="00BE5400"/>
    <w:rsid w:val="00BE68F3"/>
    <w:rsid w:val="00BE7C9E"/>
    <w:rsid w:val="00BF2EE2"/>
    <w:rsid w:val="00BF3528"/>
    <w:rsid w:val="00BF40A7"/>
    <w:rsid w:val="00BF6AAF"/>
    <w:rsid w:val="00BF759A"/>
    <w:rsid w:val="00C03405"/>
    <w:rsid w:val="00C03955"/>
    <w:rsid w:val="00C04290"/>
    <w:rsid w:val="00C061EA"/>
    <w:rsid w:val="00C074E3"/>
    <w:rsid w:val="00C07BF6"/>
    <w:rsid w:val="00C07D51"/>
    <w:rsid w:val="00C07DFB"/>
    <w:rsid w:val="00C12145"/>
    <w:rsid w:val="00C12E78"/>
    <w:rsid w:val="00C14228"/>
    <w:rsid w:val="00C14AB0"/>
    <w:rsid w:val="00C15510"/>
    <w:rsid w:val="00C16644"/>
    <w:rsid w:val="00C179AD"/>
    <w:rsid w:val="00C23E5B"/>
    <w:rsid w:val="00C2734A"/>
    <w:rsid w:val="00C27FFB"/>
    <w:rsid w:val="00C36D16"/>
    <w:rsid w:val="00C404CA"/>
    <w:rsid w:val="00C40E20"/>
    <w:rsid w:val="00C4249F"/>
    <w:rsid w:val="00C42B95"/>
    <w:rsid w:val="00C46D3E"/>
    <w:rsid w:val="00C52ABF"/>
    <w:rsid w:val="00C52FE0"/>
    <w:rsid w:val="00C558F4"/>
    <w:rsid w:val="00C61A5A"/>
    <w:rsid w:val="00C63456"/>
    <w:rsid w:val="00C63D38"/>
    <w:rsid w:val="00C6447C"/>
    <w:rsid w:val="00C64973"/>
    <w:rsid w:val="00C71020"/>
    <w:rsid w:val="00C7420D"/>
    <w:rsid w:val="00C754CC"/>
    <w:rsid w:val="00C75A0D"/>
    <w:rsid w:val="00C83737"/>
    <w:rsid w:val="00C84B60"/>
    <w:rsid w:val="00C877C1"/>
    <w:rsid w:val="00C91F4E"/>
    <w:rsid w:val="00C93749"/>
    <w:rsid w:val="00C93D43"/>
    <w:rsid w:val="00C94C24"/>
    <w:rsid w:val="00C970B1"/>
    <w:rsid w:val="00C97161"/>
    <w:rsid w:val="00CA22AC"/>
    <w:rsid w:val="00CA6AF3"/>
    <w:rsid w:val="00CB2D12"/>
    <w:rsid w:val="00CB41F2"/>
    <w:rsid w:val="00CB5919"/>
    <w:rsid w:val="00CB5F31"/>
    <w:rsid w:val="00CC1B2A"/>
    <w:rsid w:val="00CC2866"/>
    <w:rsid w:val="00CC32B2"/>
    <w:rsid w:val="00CC576C"/>
    <w:rsid w:val="00CC68E9"/>
    <w:rsid w:val="00CC6A65"/>
    <w:rsid w:val="00CD0493"/>
    <w:rsid w:val="00CD066C"/>
    <w:rsid w:val="00CD06DC"/>
    <w:rsid w:val="00CD130A"/>
    <w:rsid w:val="00CD1F19"/>
    <w:rsid w:val="00CD452F"/>
    <w:rsid w:val="00CD494D"/>
    <w:rsid w:val="00CD5555"/>
    <w:rsid w:val="00CD6C79"/>
    <w:rsid w:val="00CD6F0F"/>
    <w:rsid w:val="00CE03A4"/>
    <w:rsid w:val="00CE1816"/>
    <w:rsid w:val="00CE1F7E"/>
    <w:rsid w:val="00CE5E15"/>
    <w:rsid w:val="00CE66BC"/>
    <w:rsid w:val="00CE6EEC"/>
    <w:rsid w:val="00CE71A4"/>
    <w:rsid w:val="00CF277F"/>
    <w:rsid w:val="00CF30BD"/>
    <w:rsid w:val="00CF3282"/>
    <w:rsid w:val="00CF49DF"/>
    <w:rsid w:val="00CF568D"/>
    <w:rsid w:val="00CF78B0"/>
    <w:rsid w:val="00D027C8"/>
    <w:rsid w:val="00D03812"/>
    <w:rsid w:val="00D045C6"/>
    <w:rsid w:val="00D048F7"/>
    <w:rsid w:val="00D05054"/>
    <w:rsid w:val="00D05305"/>
    <w:rsid w:val="00D057BB"/>
    <w:rsid w:val="00D10911"/>
    <w:rsid w:val="00D10B90"/>
    <w:rsid w:val="00D125F6"/>
    <w:rsid w:val="00D12938"/>
    <w:rsid w:val="00D13318"/>
    <w:rsid w:val="00D138C0"/>
    <w:rsid w:val="00D13FD8"/>
    <w:rsid w:val="00D14F04"/>
    <w:rsid w:val="00D154D9"/>
    <w:rsid w:val="00D16342"/>
    <w:rsid w:val="00D1705C"/>
    <w:rsid w:val="00D177B2"/>
    <w:rsid w:val="00D21F38"/>
    <w:rsid w:val="00D2244E"/>
    <w:rsid w:val="00D238E3"/>
    <w:rsid w:val="00D241DE"/>
    <w:rsid w:val="00D246C9"/>
    <w:rsid w:val="00D2513B"/>
    <w:rsid w:val="00D263D6"/>
    <w:rsid w:val="00D26A23"/>
    <w:rsid w:val="00D31218"/>
    <w:rsid w:val="00D31FDA"/>
    <w:rsid w:val="00D33529"/>
    <w:rsid w:val="00D34692"/>
    <w:rsid w:val="00D35336"/>
    <w:rsid w:val="00D36D46"/>
    <w:rsid w:val="00D4055A"/>
    <w:rsid w:val="00D4278A"/>
    <w:rsid w:val="00D4302A"/>
    <w:rsid w:val="00D436E8"/>
    <w:rsid w:val="00D4726C"/>
    <w:rsid w:val="00D500BB"/>
    <w:rsid w:val="00D50333"/>
    <w:rsid w:val="00D509CB"/>
    <w:rsid w:val="00D5419D"/>
    <w:rsid w:val="00D5420B"/>
    <w:rsid w:val="00D551C5"/>
    <w:rsid w:val="00D56072"/>
    <w:rsid w:val="00D56322"/>
    <w:rsid w:val="00D56B38"/>
    <w:rsid w:val="00D62D35"/>
    <w:rsid w:val="00D64A57"/>
    <w:rsid w:val="00D64B55"/>
    <w:rsid w:val="00D64E99"/>
    <w:rsid w:val="00D658D0"/>
    <w:rsid w:val="00D66B95"/>
    <w:rsid w:val="00D6713D"/>
    <w:rsid w:val="00D70F5A"/>
    <w:rsid w:val="00D70F8A"/>
    <w:rsid w:val="00D71EFE"/>
    <w:rsid w:val="00D72DC2"/>
    <w:rsid w:val="00D73EA4"/>
    <w:rsid w:val="00D74476"/>
    <w:rsid w:val="00D76E16"/>
    <w:rsid w:val="00D804C9"/>
    <w:rsid w:val="00D81E78"/>
    <w:rsid w:val="00D82891"/>
    <w:rsid w:val="00D83020"/>
    <w:rsid w:val="00D8323E"/>
    <w:rsid w:val="00D83E2C"/>
    <w:rsid w:val="00D8537C"/>
    <w:rsid w:val="00D8583A"/>
    <w:rsid w:val="00D92118"/>
    <w:rsid w:val="00D92316"/>
    <w:rsid w:val="00D94EBF"/>
    <w:rsid w:val="00D95EC9"/>
    <w:rsid w:val="00D966C8"/>
    <w:rsid w:val="00D96A1E"/>
    <w:rsid w:val="00DA14E3"/>
    <w:rsid w:val="00DA1F48"/>
    <w:rsid w:val="00DA2626"/>
    <w:rsid w:val="00DA62C8"/>
    <w:rsid w:val="00DA7857"/>
    <w:rsid w:val="00DA7E7F"/>
    <w:rsid w:val="00DB0916"/>
    <w:rsid w:val="00DB13D5"/>
    <w:rsid w:val="00DB4EFD"/>
    <w:rsid w:val="00DC0368"/>
    <w:rsid w:val="00DC2212"/>
    <w:rsid w:val="00DC6534"/>
    <w:rsid w:val="00DC69D9"/>
    <w:rsid w:val="00DC6A05"/>
    <w:rsid w:val="00DC6BC0"/>
    <w:rsid w:val="00DD04CA"/>
    <w:rsid w:val="00DD1CF1"/>
    <w:rsid w:val="00DD22CA"/>
    <w:rsid w:val="00DD3128"/>
    <w:rsid w:val="00DD32CF"/>
    <w:rsid w:val="00DD3D07"/>
    <w:rsid w:val="00DD4396"/>
    <w:rsid w:val="00DD4A34"/>
    <w:rsid w:val="00DD71F3"/>
    <w:rsid w:val="00DE251A"/>
    <w:rsid w:val="00DE3949"/>
    <w:rsid w:val="00DE4414"/>
    <w:rsid w:val="00DE4605"/>
    <w:rsid w:val="00DE4EE7"/>
    <w:rsid w:val="00DE597E"/>
    <w:rsid w:val="00DE5F7B"/>
    <w:rsid w:val="00DE70AA"/>
    <w:rsid w:val="00DF0F64"/>
    <w:rsid w:val="00DF147A"/>
    <w:rsid w:val="00DF1740"/>
    <w:rsid w:val="00DF23E4"/>
    <w:rsid w:val="00DF2852"/>
    <w:rsid w:val="00DF37AA"/>
    <w:rsid w:val="00DF46C2"/>
    <w:rsid w:val="00DF6668"/>
    <w:rsid w:val="00DF77A6"/>
    <w:rsid w:val="00E00203"/>
    <w:rsid w:val="00E03E1B"/>
    <w:rsid w:val="00E05C41"/>
    <w:rsid w:val="00E05C49"/>
    <w:rsid w:val="00E0621D"/>
    <w:rsid w:val="00E06E6B"/>
    <w:rsid w:val="00E12EEB"/>
    <w:rsid w:val="00E148F7"/>
    <w:rsid w:val="00E156A3"/>
    <w:rsid w:val="00E21A5F"/>
    <w:rsid w:val="00E2301C"/>
    <w:rsid w:val="00E238C2"/>
    <w:rsid w:val="00E24293"/>
    <w:rsid w:val="00E254EA"/>
    <w:rsid w:val="00E255B8"/>
    <w:rsid w:val="00E27F17"/>
    <w:rsid w:val="00E3106D"/>
    <w:rsid w:val="00E316A4"/>
    <w:rsid w:val="00E32512"/>
    <w:rsid w:val="00E36EE7"/>
    <w:rsid w:val="00E3795A"/>
    <w:rsid w:val="00E402A3"/>
    <w:rsid w:val="00E419B6"/>
    <w:rsid w:val="00E4494F"/>
    <w:rsid w:val="00E464AC"/>
    <w:rsid w:val="00E46597"/>
    <w:rsid w:val="00E47E48"/>
    <w:rsid w:val="00E52317"/>
    <w:rsid w:val="00E531E7"/>
    <w:rsid w:val="00E53E81"/>
    <w:rsid w:val="00E54ABC"/>
    <w:rsid w:val="00E554F9"/>
    <w:rsid w:val="00E56D6D"/>
    <w:rsid w:val="00E570C0"/>
    <w:rsid w:val="00E57ACE"/>
    <w:rsid w:val="00E60803"/>
    <w:rsid w:val="00E614DC"/>
    <w:rsid w:val="00E61856"/>
    <w:rsid w:val="00E61ADA"/>
    <w:rsid w:val="00E6355A"/>
    <w:rsid w:val="00E63C08"/>
    <w:rsid w:val="00E7418D"/>
    <w:rsid w:val="00E7498E"/>
    <w:rsid w:val="00E75D71"/>
    <w:rsid w:val="00E80980"/>
    <w:rsid w:val="00E82758"/>
    <w:rsid w:val="00E82EEB"/>
    <w:rsid w:val="00E83793"/>
    <w:rsid w:val="00E8392F"/>
    <w:rsid w:val="00E83FAD"/>
    <w:rsid w:val="00E83FB3"/>
    <w:rsid w:val="00E846FC"/>
    <w:rsid w:val="00E85312"/>
    <w:rsid w:val="00E85606"/>
    <w:rsid w:val="00E9032E"/>
    <w:rsid w:val="00E92765"/>
    <w:rsid w:val="00E92E50"/>
    <w:rsid w:val="00E93E9B"/>
    <w:rsid w:val="00E97248"/>
    <w:rsid w:val="00E978F7"/>
    <w:rsid w:val="00E97F1F"/>
    <w:rsid w:val="00EA04CB"/>
    <w:rsid w:val="00EA2309"/>
    <w:rsid w:val="00EA34EE"/>
    <w:rsid w:val="00EA56B1"/>
    <w:rsid w:val="00EA5B57"/>
    <w:rsid w:val="00EA6530"/>
    <w:rsid w:val="00EA7383"/>
    <w:rsid w:val="00EB0248"/>
    <w:rsid w:val="00EB149B"/>
    <w:rsid w:val="00EB318E"/>
    <w:rsid w:val="00EB66A5"/>
    <w:rsid w:val="00EB6B00"/>
    <w:rsid w:val="00EB6B22"/>
    <w:rsid w:val="00EB737F"/>
    <w:rsid w:val="00ED07CD"/>
    <w:rsid w:val="00ED0CF8"/>
    <w:rsid w:val="00ED1D58"/>
    <w:rsid w:val="00ED2051"/>
    <w:rsid w:val="00ED2C5B"/>
    <w:rsid w:val="00ED4F28"/>
    <w:rsid w:val="00ED530B"/>
    <w:rsid w:val="00ED538C"/>
    <w:rsid w:val="00ED55E8"/>
    <w:rsid w:val="00EE202F"/>
    <w:rsid w:val="00EE2CA5"/>
    <w:rsid w:val="00EE36FF"/>
    <w:rsid w:val="00EE39E3"/>
    <w:rsid w:val="00EE46D0"/>
    <w:rsid w:val="00EE49FB"/>
    <w:rsid w:val="00EE716A"/>
    <w:rsid w:val="00EF0E11"/>
    <w:rsid w:val="00EF12D6"/>
    <w:rsid w:val="00EF2CFE"/>
    <w:rsid w:val="00EF3191"/>
    <w:rsid w:val="00EF3EC1"/>
    <w:rsid w:val="00EF503A"/>
    <w:rsid w:val="00EF7566"/>
    <w:rsid w:val="00F00D42"/>
    <w:rsid w:val="00F01D0D"/>
    <w:rsid w:val="00F01D6B"/>
    <w:rsid w:val="00F02372"/>
    <w:rsid w:val="00F04169"/>
    <w:rsid w:val="00F0494E"/>
    <w:rsid w:val="00F04E14"/>
    <w:rsid w:val="00F05BDD"/>
    <w:rsid w:val="00F064E5"/>
    <w:rsid w:val="00F06BC4"/>
    <w:rsid w:val="00F10A19"/>
    <w:rsid w:val="00F11DE4"/>
    <w:rsid w:val="00F1229B"/>
    <w:rsid w:val="00F12D24"/>
    <w:rsid w:val="00F13286"/>
    <w:rsid w:val="00F13C55"/>
    <w:rsid w:val="00F147DF"/>
    <w:rsid w:val="00F154E4"/>
    <w:rsid w:val="00F16142"/>
    <w:rsid w:val="00F21075"/>
    <w:rsid w:val="00F21C92"/>
    <w:rsid w:val="00F2332D"/>
    <w:rsid w:val="00F23AFB"/>
    <w:rsid w:val="00F2586E"/>
    <w:rsid w:val="00F2660D"/>
    <w:rsid w:val="00F31536"/>
    <w:rsid w:val="00F32A73"/>
    <w:rsid w:val="00F32D7A"/>
    <w:rsid w:val="00F33ECC"/>
    <w:rsid w:val="00F3610A"/>
    <w:rsid w:val="00F36646"/>
    <w:rsid w:val="00F367BE"/>
    <w:rsid w:val="00F40DA7"/>
    <w:rsid w:val="00F40E3F"/>
    <w:rsid w:val="00F43668"/>
    <w:rsid w:val="00F4374D"/>
    <w:rsid w:val="00F43CEF"/>
    <w:rsid w:val="00F456CB"/>
    <w:rsid w:val="00F50A60"/>
    <w:rsid w:val="00F51837"/>
    <w:rsid w:val="00F52331"/>
    <w:rsid w:val="00F55684"/>
    <w:rsid w:val="00F55D3B"/>
    <w:rsid w:val="00F55E28"/>
    <w:rsid w:val="00F57F09"/>
    <w:rsid w:val="00F612A5"/>
    <w:rsid w:val="00F61B23"/>
    <w:rsid w:val="00F6242E"/>
    <w:rsid w:val="00F627D7"/>
    <w:rsid w:val="00F63A24"/>
    <w:rsid w:val="00F64470"/>
    <w:rsid w:val="00F64901"/>
    <w:rsid w:val="00F65A3E"/>
    <w:rsid w:val="00F739F5"/>
    <w:rsid w:val="00F80ABA"/>
    <w:rsid w:val="00F8257B"/>
    <w:rsid w:val="00F83526"/>
    <w:rsid w:val="00F8542C"/>
    <w:rsid w:val="00F918D5"/>
    <w:rsid w:val="00F91BF0"/>
    <w:rsid w:val="00F91C13"/>
    <w:rsid w:val="00F94587"/>
    <w:rsid w:val="00F97459"/>
    <w:rsid w:val="00F97B7E"/>
    <w:rsid w:val="00FA030B"/>
    <w:rsid w:val="00FA0373"/>
    <w:rsid w:val="00FA2284"/>
    <w:rsid w:val="00FA320C"/>
    <w:rsid w:val="00FA44EE"/>
    <w:rsid w:val="00FA6595"/>
    <w:rsid w:val="00FB0CEE"/>
    <w:rsid w:val="00FB23A0"/>
    <w:rsid w:val="00FB24FB"/>
    <w:rsid w:val="00FB2BE4"/>
    <w:rsid w:val="00FB308F"/>
    <w:rsid w:val="00FB3111"/>
    <w:rsid w:val="00FB3A12"/>
    <w:rsid w:val="00FB4A8B"/>
    <w:rsid w:val="00FB5B2B"/>
    <w:rsid w:val="00FB604C"/>
    <w:rsid w:val="00FB78D9"/>
    <w:rsid w:val="00FC246B"/>
    <w:rsid w:val="00FC25C0"/>
    <w:rsid w:val="00FC346F"/>
    <w:rsid w:val="00FC3F9E"/>
    <w:rsid w:val="00FC6710"/>
    <w:rsid w:val="00FC6BED"/>
    <w:rsid w:val="00FC76C5"/>
    <w:rsid w:val="00FD19E2"/>
    <w:rsid w:val="00FD1FBC"/>
    <w:rsid w:val="00FD3191"/>
    <w:rsid w:val="00FD3BD4"/>
    <w:rsid w:val="00FD42FC"/>
    <w:rsid w:val="00FD46FC"/>
    <w:rsid w:val="00FD53D4"/>
    <w:rsid w:val="00FE072D"/>
    <w:rsid w:val="00FE0E5A"/>
    <w:rsid w:val="00FE0EA0"/>
    <w:rsid w:val="00FE1090"/>
    <w:rsid w:val="00FE1978"/>
    <w:rsid w:val="00FE3186"/>
    <w:rsid w:val="00FE39F0"/>
    <w:rsid w:val="00FE3D3D"/>
    <w:rsid w:val="00FE45CE"/>
    <w:rsid w:val="00FE7CF4"/>
    <w:rsid w:val="00FF103C"/>
    <w:rsid w:val="00FF18F9"/>
    <w:rsid w:val="00FF2A2C"/>
    <w:rsid w:val="00FF3A4A"/>
    <w:rsid w:val="00FF42FD"/>
    <w:rsid w:val="00FF53A9"/>
    <w:rsid w:val="00FF74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9A0A07"/>
    <w:pPr>
      <w:keepNext/>
      <w:keepLines/>
      <w:spacing w:before="48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9A0A07"/>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Sub">
    <w:name w:val="Sub"/>
    <w:basedOn w:val="Heading2"/>
    <w:link w:val="SubChar"/>
    <w:qFormat/>
    <w:rsid w:val="00AA3BB9"/>
    <w:pPr>
      <w:spacing w:before="360" w:after="240"/>
    </w:pPr>
    <w:rPr>
      <w:sz w:val="40"/>
    </w:rPr>
  </w:style>
  <w:style w:type="character" w:customStyle="1" w:styleId="SubChar">
    <w:name w:val="Sub Char"/>
    <w:basedOn w:val="Heading2Char"/>
    <w:link w:val="Sub"/>
    <w:rsid w:val="00AA3BB9"/>
    <w:rPr>
      <w:rFonts w:ascii="Arial" w:eastAsiaTheme="majorEastAsia" w:hAnsi="Arial" w:cstheme="majorBidi"/>
      <w:b/>
      <w:sz w:val="40"/>
      <w:szCs w:val="26"/>
    </w:rPr>
  </w:style>
  <w:style w:type="paragraph" w:styleId="FootnoteText">
    <w:name w:val="footnote text"/>
    <w:aliases w:val="Footnote Text Char1 Char,Footnote Text Char Char1 Char,Footnote Text Char Char Char Char Char1,Footnote Text Char Char Char,Footnote Text Char Char Char Char"/>
    <w:basedOn w:val="Normal"/>
    <w:link w:val="FootnoteTextChar"/>
    <w:uiPriority w:val="99"/>
    <w:unhideWhenUsed/>
    <w:qFormat/>
    <w:rsid w:val="00855D7A"/>
    <w:pPr>
      <w:spacing w:after="0" w:line="240" w:lineRule="auto"/>
    </w:pPr>
    <w:rPr>
      <w:sz w:val="20"/>
      <w:szCs w:val="20"/>
    </w:rPr>
  </w:style>
  <w:style w:type="character" w:customStyle="1" w:styleId="FootnoteTextChar">
    <w:name w:val="Footnote Text Char"/>
    <w:aliases w:val="Footnote Text Char1 Char Char,Footnote Text Char Char1 Char Char,Footnote Text Char Char Char Char Char1 Char,Footnote Text Char Char Char Char1,Footnote Text Char Char Char Char Char"/>
    <w:basedOn w:val="DefaultParagraphFont"/>
    <w:link w:val="FootnoteText"/>
    <w:uiPriority w:val="99"/>
    <w:rsid w:val="00855D7A"/>
    <w:rPr>
      <w:rFonts w:ascii="Arial" w:hAnsi="Arial"/>
      <w:sz w:val="20"/>
      <w:szCs w:val="20"/>
    </w:rPr>
  </w:style>
  <w:style w:type="character" w:styleId="FootnoteReference">
    <w:name w:val="footnote reference"/>
    <w:aliases w:val="FC,(NECG) Footnote Reference,Footnote sign,Footnote sign1,EN Footnote Reference,number,SUPERS"/>
    <w:basedOn w:val="DefaultParagraphFont"/>
    <w:uiPriority w:val="99"/>
    <w:unhideWhenUsed/>
    <w:rsid w:val="00855D7A"/>
    <w:rPr>
      <w:vertAlign w:val="superscript"/>
    </w:rPr>
  </w:style>
  <w:style w:type="paragraph" w:customStyle="1" w:styleId="TableParagraph">
    <w:name w:val="Table Paragraph"/>
    <w:basedOn w:val="Normal"/>
    <w:uiPriority w:val="1"/>
    <w:qFormat/>
    <w:rsid w:val="000D4B2F"/>
    <w:pPr>
      <w:widowControl w:val="0"/>
      <w:autoSpaceDE w:val="0"/>
      <w:autoSpaceDN w:val="0"/>
      <w:spacing w:after="0" w:line="240" w:lineRule="auto"/>
      <w:jc w:val="center"/>
    </w:pPr>
    <w:rPr>
      <w:rFonts w:eastAsia="Arial" w:cs="Arial"/>
      <w:lang w:val="en-US"/>
    </w:rPr>
  </w:style>
  <w:style w:type="paragraph" w:customStyle="1" w:styleId="Bodycopy">
    <w:name w:val="Body copy"/>
    <w:basedOn w:val="Normal"/>
    <w:link w:val="BodycopyChar"/>
    <w:qFormat/>
    <w:rsid w:val="00D50333"/>
    <w:pPr>
      <w:spacing w:after="160" w:line="259" w:lineRule="auto"/>
    </w:pPr>
    <w:rPr>
      <w:color w:val="000000" w:themeColor="text1"/>
    </w:rPr>
  </w:style>
  <w:style w:type="character" w:customStyle="1" w:styleId="BodycopyChar">
    <w:name w:val="Body copy Char"/>
    <w:basedOn w:val="DefaultParagraphFont"/>
    <w:link w:val="Bodycopy"/>
    <w:rsid w:val="00D50333"/>
    <w:rPr>
      <w:rFonts w:ascii="Arial" w:hAnsi="Arial"/>
      <w:color w:val="000000" w:themeColor="text1"/>
    </w:rPr>
  </w:style>
  <w:style w:type="paragraph" w:styleId="Revision">
    <w:name w:val="Revision"/>
    <w:hidden/>
    <w:uiPriority w:val="99"/>
    <w:semiHidden/>
    <w:rsid w:val="00EE202F"/>
    <w:pPr>
      <w:spacing w:after="0" w:line="240" w:lineRule="auto"/>
    </w:pPr>
    <w:rPr>
      <w:rFonts w:ascii="Arial" w:hAnsi="Arial"/>
    </w:rPr>
  </w:style>
  <w:style w:type="paragraph" w:styleId="BodyText">
    <w:name w:val="Body Text"/>
    <w:basedOn w:val="Normal"/>
    <w:link w:val="BodyTextChar"/>
    <w:qFormat/>
    <w:rsid w:val="007E2E53"/>
    <w:pPr>
      <w:tabs>
        <w:tab w:val="left" w:pos="357"/>
        <w:tab w:val="left" w:pos="714"/>
        <w:tab w:val="left" w:pos="1072"/>
        <w:tab w:val="left" w:pos="1429"/>
      </w:tabs>
      <w:spacing w:before="120" w:after="120" w:line="276" w:lineRule="auto"/>
    </w:pPr>
    <w:rPr>
      <w:szCs w:val="20"/>
    </w:rPr>
  </w:style>
  <w:style w:type="character" w:customStyle="1" w:styleId="BodyTextChar">
    <w:name w:val="Body Text Char"/>
    <w:basedOn w:val="DefaultParagraphFont"/>
    <w:link w:val="BodyText"/>
    <w:rsid w:val="007E2E53"/>
    <w:rPr>
      <w:rFonts w:ascii="Arial" w:hAnsi="Arial"/>
      <w:szCs w:val="20"/>
    </w:rPr>
  </w:style>
  <w:style w:type="paragraph" w:customStyle="1" w:styleId="BoxHeading">
    <w:name w:val="Box Heading"/>
    <w:basedOn w:val="BodyText"/>
    <w:uiPriority w:val="16"/>
    <w:qFormat/>
    <w:rsid w:val="007E2E53"/>
    <w:pPr>
      <w:keepNext/>
    </w:pPr>
    <w:rPr>
      <w:b/>
      <w:color w:val="2F005F"/>
      <w:sz w:val="23"/>
      <w:lang w:eastAsia="en-GB"/>
    </w:rPr>
  </w:style>
  <w:style w:type="table" w:customStyle="1" w:styleId="CustomTablepulloutbox">
    <w:name w:val="Custom Table (pullout box)"/>
    <w:basedOn w:val="TableNormal"/>
    <w:uiPriority w:val="99"/>
    <w:rsid w:val="007E2E53"/>
    <w:pPr>
      <w:spacing w:after="0" w:line="240" w:lineRule="auto"/>
    </w:pPr>
    <w:rPr>
      <w:sz w:val="20"/>
      <w:szCs w:val="20"/>
      <w:lang w:val="en-US"/>
    </w:r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paragraph" w:styleId="EndnoteText">
    <w:name w:val="endnote text"/>
    <w:basedOn w:val="Normal"/>
    <w:link w:val="EndnoteTextChar"/>
    <w:uiPriority w:val="99"/>
    <w:semiHidden/>
    <w:unhideWhenUsed/>
    <w:rsid w:val="00AC0C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0C2F"/>
    <w:rPr>
      <w:rFonts w:ascii="Arial" w:hAnsi="Arial"/>
      <w:sz w:val="20"/>
      <w:szCs w:val="20"/>
    </w:rPr>
  </w:style>
  <w:style w:type="character" w:styleId="EndnoteReference">
    <w:name w:val="endnote reference"/>
    <w:basedOn w:val="DefaultParagraphFont"/>
    <w:uiPriority w:val="99"/>
    <w:semiHidden/>
    <w:unhideWhenUsed/>
    <w:rsid w:val="00AC0C2F"/>
    <w:rPr>
      <w:vertAlign w:val="superscript"/>
    </w:rPr>
  </w:style>
  <w:style w:type="character" w:styleId="FollowedHyperlink">
    <w:name w:val="FollowedHyperlink"/>
    <w:basedOn w:val="DefaultParagraphFont"/>
    <w:uiPriority w:val="99"/>
    <w:semiHidden/>
    <w:unhideWhenUsed/>
    <w:rsid w:val="00941773"/>
    <w:rPr>
      <w:color w:val="4B0885" w:themeColor="followedHyperlink"/>
      <w:u w:val="single"/>
    </w:rPr>
  </w:style>
  <w:style w:type="table" w:customStyle="1" w:styleId="PlainTable41">
    <w:name w:val="Plain Table 41"/>
    <w:basedOn w:val="TableNormal"/>
    <w:next w:val="PlainTable4"/>
    <w:uiPriority w:val="44"/>
    <w:rsid w:val="00C14228"/>
    <w:pPr>
      <w:spacing w:after="0" w:line="240" w:lineRule="auto"/>
    </w:pPr>
    <w:rPr>
      <w:rFonts w:ascii="Arial" w:eastAsia="Arial" w:hAnsi="Arial"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281">
      <w:bodyDiv w:val="1"/>
      <w:marLeft w:val="0"/>
      <w:marRight w:val="0"/>
      <w:marTop w:val="0"/>
      <w:marBottom w:val="0"/>
      <w:divBdr>
        <w:top w:val="none" w:sz="0" w:space="0" w:color="auto"/>
        <w:left w:val="none" w:sz="0" w:space="0" w:color="auto"/>
        <w:bottom w:val="none" w:sz="0" w:space="0" w:color="auto"/>
        <w:right w:val="none" w:sz="0" w:space="0" w:color="auto"/>
      </w:divBdr>
    </w:div>
    <w:div w:id="231083366">
      <w:bodyDiv w:val="1"/>
      <w:marLeft w:val="0"/>
      <w:marRight w:val="0"/>
      <w:marTop w:val="0"/>
      <w:marBottom w:val="0"/>
      <w:divBdr>
        <w:top w:val="none" w:sz="0" w:space="0" w:color="auto"/>
        <w:left w:val="none" w:sz="0" w:space="0" w:color="auto"/>
        <w:bottom w:val="none" w:sz="0" w:space="0" w:color="auto"/>
        <w:right w:val="none" w:sz="0" w:space="0" w:color="auto"/>
      </w:divBdr>
    </w:div>
    <w:div w:id="261377381">
      <w:bodyDiv w:val="1"/>
      <w:marLeft w:val="0"/>
      <w:marRight w:val="0"/>
      <w:marTop w:val="0"/>
      <w:marBottom w:val="0"/>
      <w:divBdr>
        <w:top w:val="none" w:sz="0" w:space="0" w:color="auto"/>
        <w:left w:val="none" w:sz="0" w:space="0" w:color="auto"/>
        <w:bottom w:val="none" w:sz="0" w:space="0" w:color="auto"/>
        <w:right w:val="none" w:sz="0" w:space="0" w:color="auto"/>
      </w:divBdr>
    </w:div>
    <w:div w:id="273027872">
      <w:bodyDiv w:val="1"/>
      <w:marLeft w:val="0"/>
      <w:marRight w:val="0"/>
      <w:marTop w:val="0"/>
      <w:marBottom w:val="0"/>
      <w:divBdr>
        <w:top w:val="none" w:sz="0" w:space="0" w:color="auto"/>
        <w:left w:val="none" w:sz="0" w:space="0" w:color="auto"/>
        <w:bottom w:val="none" w:sz="0" w:space="0" w:color="auto"/>
        <w:right w:val="none" w:sz="0" w:space="0" w:color="auto"/>
      </w:divBdr>
    </w:div>
    <w:div w:id="333610724">
      <w:bodyDiv w:val="1"/>
      <w:marLeft w:val="0"/>
      <w:marRight w:val="0"/>
      <w:marTop w:val="0"/>
      <w:marBottom w:val="0"/>
      <w:divBdr>
        <w:top w:val="none" w:sz="0" w:space="0" w:color="auto"/>
        <w:left w:val="none" w:sz="0" w:space="0" w:color="auto"/>
        <w:bottom w:val="none" w:sz="0" w:space="0" w:color="auto"/>
        <w:right w:val="none" w:sz="0" w:space="0" w:color="auto"/>
      </w:divBdr>
    </w:div>
    <w:div w:id="362832097">
      <w:bodyDiv w:val="1"/>
      <w:marLeft w:val="0"/>
      <w:marRight w:val="0"/>
      <w:marTop w:val="0"/>
      <w:marBottom w:val="0"/>
      <w:divBdr>
        <w:top w:val="none" w:sz="0" w:space="0" w:color="auto"/>
        <w:left w:val="none" w:sz="0" w:space="0" w:color="auto"/>
        <w:bottom w:val="none" w:sz="0" w:space="0" w:color="auto"/>
        <w:right w:val="none" w:sz="0" w:space="0" w:color="auto"/>
      </w:divBdr>
    </w:div>
    <w:div w:id="409733667">
      <w:bodyDiv w:val="1"/>
      <w:marLeft w:val="0"/>
      <w:marRight w:val="0"/>
      <w:marTop w:val="0"/>
      <w:marBottom w:val="0"/>
      <w:divBdr>
        <w:top w:val="none" w:sz="0" w:space="0" w:color="auto"/>
        <w:left w:val="none" w:sz="0" w:space="0" w:color="auto"/>
        <w:bottom w:val="none" w:sz="0" w:space="0" w:color="auto"/>
        <w:right w:val="none" w:sz="0" w:space="0" w:color="auto"/>
      </w:divBdr>
    </w:div>
    <w:div w:id="460071509">
      <w:bodyDiv w:val="1"/>
      <w:marLeft w:val="0"/>
      <w:marRight w:val="0"/>
      <w:marTop w:val="0"/>
      <w:marBottom w:val="0"/>
      <w:divBdr>
        <w:top w:val="none" w:sz="0" w:space="0" w:color="auto"/>
        <w:left w:val="none" w:sz="0" w:space="0" w:color="auto"/>
        <w:bottom w:val="none" w:sz="0" w:space="0" w:color="auto"/>
        <w:right w:val="none" w:sz="0" w:space="0" w:color="auto"/>
      </w:divBdr>
    </w:div>
    <w:div w:id="461391279">
      <w:bodyDiv w:val="1"/>
      <w:marLeft w:val="0"/>
      <w:marRight w:val="0"/>
      <w:marTop w:val="0"/>
      <w:marBottom w:val="0"/>
      <w:divBdr>
        <w:top w:val="none" w:sz="0" w:space="0" w:color="auto"/>
        <w:left w:val="none" w:sz="0" w:space="0" w:color="auto"/>
        <w:bottom w:val="none" w:sz="0" w:space="0" w:color="auto"/>
        <w:right w:val="none" w:sz="0" w:space="0" w:color="auto"/>
      </w:divBdr>
    </w:div>
    <w:div w:id="533885871">
      <w:bodyDiv w:val="1"/>
      <w:marLeft w:val="0"/>
      <w:marRight w:val="0"/>
      <w:marTop w:val="0"/>
      <w:marBottom w:val="0"/>
      <w:divBdr>
        <w:top w:val="none" w:sz="0" w:space="0" w:color="auto"/>
        <w:left w:val="none" w:sz="0" w:space="0" w:color="auto"/>
        <w:bottom w:val="none" w:sz="0" w:space="0" w:color="auto"/>
        <w:right w:val="none" w:sz="0" w:space="0" w:color="auto"/>
      </w:divBdr>
    </w:div>
    <w:div w:id="566377027">
      <w:bodyDiv w:val="1"/>
      <w:marLeft w:val="0"/>
      <w:marRight w:val="0"/>
      <w:marTop w:val="0"/>
      <w:marBottom w:val="0"/>
      <w:divBdr>
        <w:top w:val="none" w:sz="0" w:space="0" w:color="auto"/>
        <w:left w:val="none" w:sz="0" w:space="0" w:color="auto"/>
        <w:bottom w:val="none" w:sz="0" w:space="0" w:color="auto"/>
        <w:right w:val="none" w:sz="0" w:space="0" w:color="auto"/>
      </w:divBdr>
    </w:div>
    <w:div w:id="589627777">
      <w:bodyDiv w:val="1"/>
      <w:marLeft w:val="0"/>
      <w:marRight w:val="0"/>
      <w:marTop w:val="0"/>
      <w:marBottom w:val="0"/>
      <w:divBdr>
        <w:top w:val="none" w:sz="0" w:space="0" w:color="auto"/>
        <w:left w:val="none" w:sz="0" w:space="0" w:color="auto"/>
        <w:bottom w:val="none" w:sz="0" w:space="0" w:color="auto"/>
        <w:right w:val="none" w:sz="0" w:space="0" w:color="auto"/>
      </w:divBdr>
    </w:div>
    <w:div w:id="830288839">
      <w:bodyDiv w:val="1"/>
      <w:marLeft w:val="0"/>
      <w:marRight w:val="0"/>
      <w:marTop w:val="0"/>
      <w:marBottom w:val="0"/>
      <w:divBdr>
        <w:top w:val="none" w:sz="0" w:space="0" w:color="auto"/>
        <w:left w:val="none" w:sz="0" w:space="0" w:color="auto"/>
        <w:bottom w:val="none" w:sz="0" w:space="0" w:color="auto"/>
        <w:right w:val="none" w:sz="0" w:space="0" w:color="auto"/>
      </w:divBdr>
    </w:div>
    <w:div w:id="890656329">
      <w:bodyDiv w:val="1"/>
      <w:marLeft w:val="0"/>
      <w:marRight w:val="0"/>
      <w:marTop w:val="0"/>
      <w:marBottom w:val="0"/>
      <w:divBdr>
        <w:top w:val="none" w:sz="0" w:space="0" w:color="auto"/>
        <w:left w:val="none" w:sz="0" w:space="0" w:color="auto"/>
        <w:bottom w:val="none" w:sz="0" w:space="0" w:color="auto"/>
        <w:right w:val="none" w:sz="0" w:space="0" w:color="auto"/>
      </w:divBdr>
    </w:div>
    <w:div w:id="924844422">
      <w:bodyDiv w:val="1"/>
      <w:marLeft w:val="0"/>
      <w:marRight w:val="0"/>
      <w:marTop w:val="0"/>
      <w:marBottom w:val="0"/>
      <w:divBdr>
        <w:top w:val="none" w:sz="0" w:space="0" w:color="auto"/>
        <w:left w:val="none" w:sz="0" w:space="0" w:color="auto"/>
        <w:bottom w:val="none" w:sz="0" w:space="0" w:color="auto"/>
        <w:right w:val="none" w:sz="0" w:space="0" w:color="auto"/>
      </w:divBdr>
    </w:div>
    <w:div w:id="951129370">
      <w:bodyDiv w:val="1"/>
      <w:marLeft w:val="0"/>
      <w:marRight w:val="0"/>
      <w:marTop w:val="0"/>
      <w:marBottom w:val="0"/>
      <w:divBdr>
        <w:top w:val="none" w:sz="0" w:space="0" w:color="auto"/>
        <w:left w:val="none" w:sz="0" w:space="0" w:color="auto"/>
        <w:bottom w:val="none" w:sz="0" w:space="0" w:color="auto"/>
        <w:right w:val="none" w:sz="0" w:space="0" w:color="auto"/>
      </w:divBdr>
    </w:div>
    <w:div w:id="998657059">
      <w:bodyDiv w:val="1"/>
      <w:marLeft w:val="0"/>
      <w:marRight w:val="0"/>
      <w:marTop w:val="0"/>
      <w:marBottom w:val="0"/>
      <w:divBdr>
        <w:top w:val="none" w:sz="0" w:space="0" w:color="auto"/>
        <w:left w:val="none" w:sz="0" w:space="0" w:color="auto"/>
        <w:bottom w:val="none" w:sz="0" w:space="0" w:color="auto"/>
        <w:right w:val="none" w:sz="0" w:space="0" w:color="auto"/>
      </w:divBdr>
    </w:div>
    <w:div w:id="1009605086">
      <w:bodyDiv w:val="1"/>
      <w:marLeft w:val="0"/>
      <w:marRight w:val="0"/>
      <w:marTop w:val="0"/>
      <w:marBottom w:val="0"/>
      <w:divBdr>
        <w:top w:val="none" w:sz="0" w:space="0" w:color="auto"/>
        <w:left w:val="none" w:sz="0" w:space="0" w:color="auto"/>
        <w:bottom w:val="none" w:sz="0" w:space="0" w:color="auto"/>
        <w:right w:val="none" w:sz="0" w:space="0" w:color="auto"/>
      </w:divBdr>
    </w:div>
    <w:div w:id="1014266461">
      <w:bodyDiv w:val="1"/>
      <w:marLeft w:val="0"/>
      <w:marRight w:val="0"/>
      <w:marTop w:val="0"/>
      <w:marBottom w:val="0"/>
      <w:divBdr>
        <w:top w:val="none" w:sz="0" w:space="0" w:color="auto"/>
        <w:left w:val="none" w:sz="0" w:space="0" w:color="auto"/>
        <w:bottom w:val="none" w:sz="0" w:space="0" w:color="auto"/>
        <w:right w:val="none" w:sz="0" w:space="0" w:color="auto"/>
      </w:divBdr>
    </w:div>
    <w:div w:id="1098452193">
      <w:bodyDiv w:val="1"/>
      <w:marLeft w:val="0"/>
      <w:marRight w:val="0"/>
      <w:marTop w:val="0"/>
      <w:marBottom w:val="0"/>
      <w:divBdr>
        <w:top w:val="none" w:sz="0" w:space="0" w:color="auto"/>
        <w:left w:val="none" w:sz="0" w:space="0" w:color="auto"/>
        <w:bottom w:val="none" w:sz="0" w:space="0" w:color="auto"/>
        <w:right w:val="none" w:sz="0" w:space="0" w:color="auto"/>
      </w:divBdr>
    </w:div>
    <w:div w:id="1101148222">
      <w:bodyDiv w:val="1"/>
      <w:marLeft w:val="0"/>
      <w:marRight w:val="0"/>
      <w:marTop w:val="0"/>
      <w:marBottom w:val="0"/>
      <w:divBdr>
        <w:top w:val="none" w:sz="0" w:space="0" w:color="auto"/>
        <w:left w:val="none" w:sz="0" w:space="0" w:color="auto"/>
        <w:bottom w:val="none" w:sz="0" w:space="0" w:color="auto"/>
        <w:right w:val="none" w:sz="0" w:space="0" w:color="auto"/>
      </w:divBdr>
    </w:div>
    <w:div w:id="1151600167">
      <w:bodyDiv w:val="1"/>
      <w:marLeft w:val="0"/>
      <w:marRight w:val="0"/>
      <w:marTop w:val="0"/>
      <w:marBottom w:val="0"/>
      <w:divBdr>
        <w:top w:val="none" w:sz="0" w:space="0" w:color="auto"/>
        <w:left w:val="none" w:sz="0" w:space="0" w:color="auto"/>
        <w:bottom w:val="none" w:sz="0" w:space="0" w:color="auto"/>
        <w:right w:val="none" w:sz="0" w:space="0" w:color="auto"/>
      </w:divBdr>
    </w:div>
    <w:div w:id="1171137928">
      <w:bodyDiv w:val="1"/>
      <w:marLeft w:val="0"/>
      <w:marRight w:val="0"/>
      <w:marTop w:val="0"/>
      <w:marBottom w:val="0"/>
      <w:divBdr>
        <w:top w:val="none" w:sz="0" w:space="0" w:color="auto"/>
        <w:left w:val="none" w:sz="0" w:space="0" w:color="auto"/>
        <w:bottom w:val="none" w:sz="0" w:space="0" w:color="auto"/>
        <w:right w:val="none" w:sz="0" w:space="0" w:color="auto"/>
      </w:divBdr>
    </w:div>
    <w:div w:id="1237130358">
      <w:bodyDiv w:val="1"/>
      <w:marLeft w:val="0"/>
      <w:marRight w:val="0"/>
      <w:marTop w:val="0"/>
      <w:marBottom w:val="0"/>
      <w:divBdr>
        <w:top w:val="none" w:sz="0" w:space="0" w:color="auto"/>
        <w:left w:val="none" w:sz="0" w:space="0" w:color="auto"/>
        <w:bottom w:val="none" w:sz="0" w:space="0" w:color="auto"/>
        <w:right w:val="none" w:sz="0" w:space="0" w:color="auto"/>
      </w:divBdr>
    </w:div>
    <w:div w:id="1351877707">
      <w:bodyDiv w:val="1"/>
      <w:marLeft w:val="0"/>
      <w:marRight w:val="0"/>
      <w:marTop w:val="0"/>
      <w:marBottom w:val="0"/>
      <w:divBdr>
        <w:top w:val="none" w:sz="0" w:space="0" w:color="auto"/>
        <w:left w:val="none" w:sz="0" w:space="0" w:color="auto"/>
        <w:bottom w:val="none" w:sz="0" w:space="0" w:color="auto"/>
        <w:right w:val="none" w:sz="0" w:space="0" w:color="auto"/>
      </w:divBdr>
    </w:div>
    <w:div w:id="1361786597">
      <w:bodyDiv w:val="1"/>
      <w:marLeft w:val="0"/>
      <w:marRight w:val="0"/>
      <w:marTop w:val="0"/>
      <w:marBottom w:val="0"/>
      <w:divBdr>
        <w:top w:val="none" w:sz="0" w:space="0" w:color="auto"/>
        <w:left w:val="none" w:sz="0" w:space="0" w:color="auto"/>
        <w:bottom w:val="none" w:sz="0" w:space="0" w:color="auto"/>
        <w:right w:val="none" w:sz="0" w:space="0" w:color="auto"/>
      </w:divBdr>
    </w:div>
    <w:div w:id="1469740561">
      <w:bodyDiv w:val="1"/>
      <w:marLeft w:val="0"/>
      <w:marRight w:val="0"/>
      <w:marTop w:val="0"/>
      <w:marBottom w:val="0"/>
      <w:divBdr>
        <w:top w:val="none" w:sz="0" w:space="0" w:color="auto"/>
        <w:left w:val="none" w:sz="0" w:space="0" w:color="auto"/>
        <w:bottom w:val="none" w:sz="0" w:space="0" w:color="auto"/>
        <w:right w:val="none" w:sz="0" w:space="0" w:color="auto"/>
      </w:divBdr>
    </w:div>
    <w:div w:id="1515195226">
      <w:bodyDiv w:val="1"/>
      <w:marLeft w:val="0"/>
      <w:marRight w:val="0"/>
      <w:marTop w:val="0"/>
      <w:marBottom w:val="0"/>
      <w:divBdr>
        <w:top w:val="none" w:sz="0" w:space="0" w:color="auto"/>
        <w:left w:val="none" w:sz="0" w:space="0" w:color="auto"/>
        <w:bottom w:val="none" w:sz="0" w:space="0" w:color="auto"/>
        <w:right w:val="none" w:sz="0" w:space="0" w:color="auto"/>
      </w:divBdr>
    </w:div>
    <w:div w:id="1515995972">
      <w:bodyDiv w:val="1"/>
      <w:marLeft w:val="0"/>
      <w:marRight w:val="0"/>
      <w:marTop w:val="0"/>
      <w:marBottom w:val="0"/>
      <w:divBdr>
        <w:top w:val="none" w:sz="0" w:space="0" w:color="auto"/>
        <w:left w:val="none" w:sz="0" w:space="0" w:color="auto"/>
        <w:bottom w:val="none" w:sz="0" w:space="0" w:color="auto"/>
        <w:right w:val="none" w:sz="0" w:space="0" w:color="auto"/>
      </w:divBdr>
    </w:div>
    <w:div w:id="1562593666">
      <w:bodyDiv w:val="1"/>
      <w:marLeft w:val="0"/>
      <w:marRight w:val="0"/>
      <w:marTop w:val="0"/>
      <w:marBottom w:val="0"/>
      <w:divBdr>
        <w:top w:val="none" w:sz="0" w:space="0" w:color="auto"/>
        <w:left w:val="none" w:sz="0" w:space="0" w:color="auto"/>
        <w:bottom w:val="none" w:sz="0" w:space="0" w:color="auto"/>
        <w:right w:val="none" w:sz="0" w:space="0" w:color="auto"/>
      </w:divBdr>
      <w:divsChild>
        <w:div w:id="361787752">
          <w:marLeft w:val="446"/>
          <w:marRight w:val="0"/>
          <w:marTop w:val="60"/>
          <w:marBottom w:val="60"/>
          <w:divBdr>
            <w:top w:val="none" w:sz="0" w:space="0" w:color="auto"/>
            <w:left w:val="none" w:sz="0" w:space="0" w:color="auto"/>
            <w:bottom w:val="none" w:sz="0" w:space="0" w:color="auto"/>
            <w:right w:val="none" w:sz="0" w:space="0" w:color="auto"/>
          </w:divBdr>
        </w:div>
      </w:divsChild>
    </w:div>
    <w:div w:id="1572689916">
      <w:bodyDiv w:val="1"/>
      <w:marLeft w:val="0"/>
      <w:marRight w:val="0"/>
      <w:marTop w:val="0"/>
      <w:marBottom w:val="0"/>
      <w:divBdr>
        <w:top w:val="none" w:sz="0" w:space="0" w:color="auto"/>
        <w:left w:val="none" w:sz="0" w:space="0" w:color="auto"/>
        <w:bottom w:val="none" w:sz="0" w:space="0" w:color="auto"/>
        <w:right w:val="none" w:sz="0" w:space="0" w:color="auto"/>
      </w:divBdr>
    </w:div>
    <w:div w:id="1642423717">
      <w:bodyDiv w:val="1"/>
      <w:marLeft w:val="0"/>
      <w:marRight w:val="0"/>
      <w:marTop w:val="0"/>
      <w:marBottom w:val="0"/>
      <w:divBdr>
        <w:top w:val="none" w:sz="0" w:space="0" w:color="auto"/>
        <w:left w:val="none" w:sz="0" w:space="0" w:color="auto"/>
        <w:bottom w:val="none" w:sz="0" w:space="0" w:color="auto"/>
        <w:right w:val="none" w:sz="0" w:space="0" w:color="auto"/>
      </w:divBdr>
    </w:div>
    <w:div w:id="1724137362">
      <w:bodyDiv w:val="1"/>
      <w:marLeft w:val="0"/>
      <w:marRight w:val="0"/>
      <w:marTop w:val="0"/>
      <w:marBottom w:val="0"/>
      <w:divBdr>
        <w:top w:val="none" w:sz="0" w:space="0" w:color="auto"/>
        <w:left w:val="none" w:sz="0" w:space="0" w:color="auto"/>
        <w:bottom w:val="none" w:sz="0" w:space="0" w:color="auto"/>
        <w:right w:val="none" w:sz="0" w:space="0" w:color="auto"/>
      </w:divBdr>
    </w:div>
    <w:div w:id="1740055263">
      <w:bodyDiv w:val="1"/>
      <w:marLeft w:val="0"/>
      <w:marRight w:val="0"/>
      <w:marTop w:val="0"/>
      <w:marBottom w:val="0"/>
      <w:divBdr>
        <w:top w:val="none" w:sz="0" w:space="0" w:color="auto"/>
        <w:left w:val="none" w:sz="0" w:space="0" w:color="auto"/>
        <w:bottom w:val="none" w:sz="0" w:space="0" w:color="auto"/>
        <w:right w:val="none" w:sz="0" w:space="0" w:color="auto"/>
      </w:divBdr>
    </w:div>
    <w:div w:id="1797869502">
      <w:bodyDiv w:val="1"/>
      <w:marLeft w:val="0"/>
      <w:marRight w:val="0"/>
      <w:marTop w:val="0"/>
      <w:marBottom w:val="0"/>
      <w:divBdr>
        <w:top w:val="none" w:sz="0" w:space="0" w:color="auto"/>
        <w:left w:val="none" w:sz="0" w:space="0" w:color="auto"/>
        <w:bottom w:val="none" w:sz="0" w:space="0" w:color="auto"/>
        <w:right w:val="none" w:sz="0" w:space="0" w:color="auto"/>
      </w:divBdr>
    </w:div>
    <w:div w:id="1817141928">
      <w:bodyDiv w:val="1"/>
      <w:marLeft w:val="0"/>
      <w:marRight w:val="0"/>
      <w:marTop w:val="0"/>
      <w:marBottom w:val="0"/>
      <w:divBdr>
        <w:top w:val="none" w:sz="0" w:space="0" w:color="auto"/>
        <w:left w:val="none" w:sz="0" w:space="0" w:color="auto"/>
        <w:bottom w:val="none" w:sz="0" w:space="0" w:color="auto"/>
        <w:right w:val="none" w:sz="0" w:space="0" w:color="auto"/>
      </w:divBdr>
    </w:div>
    <w:div w:id="1971399321">
      <w:bodyDiv w:val="1"/>
      <w:marLeft w:val="0"/>
      <w:marRight w:val="0"/>
      <w:marTop w:val="0"/>
      <w:marBottom w:val="0"/>
      <w:divBdr>
        <w:top w:val="none" w:sz="0" w:space="0" w:color="auto"/>
        <w:left w:val="none" w:sz="0" w:space="0" w:color="auto"/>
        <w:bottom w:val="none" w:sz="0" w:space="0" w:color="auto"/>
        <w:right w:val="none" w:sz="0" w:space="0" w:color="auto"/>
      </w:divBdr>
    </w:div>
    <w:div w:id="209906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RegionalWorkforceAssessment@jobsandskills.gov.au" TargetMode="External"/><Relationship Id="rId2" Type="http://schemas.openxmlformats.org/officeDocument/2006/relationships/numbering" Target="numbering.xml"/><Relationship Id="rId16" Type="http://schemas.openxmlformats.org/officeDocument/2006/relationships/hyperlink" Target="https://www.jobsandskills.gov.au/data/regional-labour-market-indica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jobsandskills.gov.au/data/regional-labour-market-indicato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jobsandskills.gov.au/data/total-new-vacancies" TargetMode="External"/></Relationship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JSA New">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2134</Words>
  <Characters>12290</Characters>
  <Application>Microsoft Office Word</Application>
  <DocSecurity>0</DocSecurity>
  <Lines>687</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13870</CharactersWithSpaces>
  <SharedDoc>false</SharedDoc>
  <HLinks>
    <vt:vector size="6" baseType="variant">
      <vt:variant>
        <vt:i4>7340037</vt:i4>
      </vt:variant>
      <vt:variant>
        <vt:i4>0</vt:i4>
      </vt:variant>
      <vt:variant>
        <vt:i4>0</vt:i4>
      </vt:variant>
      <vt:variant>
        <vt:i4>5</vt:i4>
      </vt:variant>
      <vt:variant>
        <vt:lpwstr>mailto:RegionalWorkforceAssessment@jobsandskills.gov.au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2026-03-02T00:48:00Z</dcterms:created>
  <dcterms:modified xsi:type="dcterms:W3CDTF">2026-03-02T00:49:00Z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2026-03-02T00:49:03Z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adce9481-3ab2-428f-b5fb-b51a6cfd2e81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