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3F9D3303" w:rsidR="00EE49FB" w:rsidRDefault="00093F7D" w:rsidP="00EE5E13">
      <w:pPr>
        <w:spacing w:line="259" w:lineRule="auto"/>
        <w:sectPr w:rsidR="00EE49FB" w:rsidSect="00C970B1">
          <w:footerReference w:type="default" r:id="rId8"/>
          <w:headerReference w:type="first" r:id="rId9"/>
          <w:footerReference w:type="first" r:id="rId10"/>
          <w:type w:val="continuous"/>
          <w:pgSz w:w="11906" w:h="16838"/>
          <w:pgMar w:top="2124" w:right="1440" w:bottom="1134" w:left="1440" w:header="0" w:footer="539" w:gutter="0"/>
          <w:pgNumType w:start="1"/>
          <w:cols w:space="708"/>
          <w:titlePg/>
          <w:docGrid w:linePitch="360"/>
        </w:sectPr>
      </w:pPr>
      <w:bookmarkStart w:id="0" w:name="_Hlk156820411"/>
      <w:bookmarkStart w:id="1" w:name="_Toc118443202"/>
      <w:bookmarkStart w:id="2" w:name="_Toc119418020"/>
      <w:bookmarkEnd w:id="0"/>
      <w:r>
        <w:rPr>
          <w:noProof/>
        </w:rPr>
        <w:drawing>
          <wp:anchor distT="0" distB="0" distL="114300" distR="114300" simplePos="0" relativeHeight="251658240" behindDoc="0" locked="0" layoutInCell="1" allowOverlap="1" wp14:anchorId="0CBAD37C" wp14:editId="250BFBFD">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4BCC52F1" w14:textId="6830D55B" w:rsidR="003E0B70" w:rsidRPr="00B11937" w:rsidRDefault="003E0B70" w:rsidP="00EE5E13">
      <w:pPr>
        <w:spacing w:line="259" w:lineRule="auto"/>
      </w:pPr>
    </w:p>
    <w:p w14:paraId="65CE7F50" w14:textId="77BCBF63" w:rsidR="004F2369" w:rsidRPr="00233A75" w:rsidRDefault="0084596F" w:rsidP="00EE5E13">
      <w:pPr>
        <w:pStyle w:val="Heading1"/>
        <w:spacing w:line="259" w:lineRule="auto"/>
      </w:pPr>
      <w:r w:rsidRPr="0084596F">
        <w:t>Finding “the One”: Methods and Successful Methods of Recruitment</w:t>
      </w:r>
    </w:p>
    <w:bookmarkEnd w:id="1"/>
    <w:bookmarkEnd w:id="2"/>
    <w:p w14:paraId="5F6B8403" w14:textId="0D3032B1" w:rsidR="007560C5" w:rsidRPr="00F2386E" w:rsidRDefault="000D7E8D" w:rsidP="00EE5E13">
      <w:pPr>
        <w:pStyle w:val="BodyText"/>
        <w:spacing w:line="259" w:lineRule="auto"/>
      </w:pPr>
      <w:r w:rsidRPr="000D7E8D">
        <w:t>Recruitment practices in Australia continue to evolve as employers draw on a wide range of methods to find the staff they need, from dominant digital tools such as online job boards to long</w:t>
      </w:r>
      <w:r w:rsidRPr="000D7E8D">
        <w:rPr>
          <w:rFonts w:ascii="Cambria Math" w:hAnsi="Cambria Math" w:cs="Cambria Math"/>
        </w:rPr>
        <w:t>‑</w:t>
      </w:r>
      <w:r w:rsidRPr="000D7E8D">
        <w:t xml:space="preserve">standing informal approaches like word of mouth and direct contact from job seekers. </w:t>
      </w:r>
      <w:r w:rsidR="00292AA7">
        <w:t>Evidence from t</w:t>
      </w:r>
      <w:r w:rsidRPr="000D7E8D">
        <w:t>he Recruitment Experiences and Outlook Survey (REOS) shows that no single method works for all employers</w:t>
      </w:r>
      <w:r w:rsidR="00292AA7">
        <w:t>.</w:t>
      </w:r>
      <w:r w:rsidRPr="000D7E8D">
        <w:t xml:space="preserve"> </w:t>
      </w:r>
      <w:r w:rsidR="00292AA7">
        <w:t>I</w:t>
      </w:r>
      <w:r w:rsidRPr="000D7E8D">
        <w:t xml:space="preserve">nstead, recruitment choices are shaped by factors including occupation, industry, location, and </w:t>
      </w:r>
      <w:r w:rsidR="00177D89">
        <w:t xml:space="preserve">the </w:t>
      </w:r>
      <w:r w:rsidRPr="000D7E8D">
        <w:t>difficult</w:t>
      </w:r>
      <w:r w:rsidR="00177D89">
        <w:t>y of filling a</w:t>
      </w:r>
      <w:r w:rsidRPr="000D7E8D">
        <w:t xml:space="preserve"> vacancy. </w:t>
      </w:r>
      <w:r>
        <w:t xml:space="preserve">This report </w:t>
      </w:r>
      <w:r w:rsidR="00177D89">
        <w:t>examines</w:t>
      </w:r>
      <w:r>
        <w:t xml:space="preserve"> the different methods and combination</w:t>
      </w:r>
      <w:r w:rsidR="006A5648">
        <w:t>s</w:t>
      </w:r>
      <w:r>
        <w:t xml:space="preserve"> </w:t>
      </w:r>
      <w:r w:rsidR="00177D89">
        <w:t xml:space="preserve">used by </w:t>
      </w:r>
      <w:r>
        <w:t xml:space="preserve">employers, and </w:t>
      </w:r>
      <w:r w:rsidR="00177D89">
        <w:t xml:space="preserve">identifies </w:t>
      </w:r>
      <w:r>
        <w:t xml:space="preserve">which </w:t>
      </w:r>
      <w:r w:rsidR="00177D89">
        <w:t>methods</w:t>
      </w:r>
      <w:r>
        <w:t xml:space="preserve"> were considered successful.</w:t>
      </w:r>
      <w:r w:rsidR="007560C5" w:rsidRPr="00F2386E">
        <w:t xml:space="preserve"> </w:t>
      </w:r>
    </w:p>
    <w:p w14:paraId="28366067" w14:textId="017C1249" w:rsidR="005E63BA" w:rsidRDefault="00DE63CB" w:rsidP="000D7A07">
      <w:pPr>
        <w:pStyle w:val="Heading2"/>
        <w:spacing w:after="120" w:line="259" w:lineRule="auto"/>
      </w:pPr>
      <w:r>
        <w:t>Key findings</w:t>
      </w:r>
    </w:p>
    <w:p w14:paraId="25B1925F" w14:textId="77777777" w:rsidR="007560C5" w:rsidRPr="0099306C" w:rsidRDefault="007560C5" w:rsidP="00EE5E13">
      <w:pPr>
        <w:pStyle w:val="ListBullet"/>
        <w:tabs>
          <w:tab w:val="num" w:pos="360"/>
        </w:tabs>
        <w:spacing w:after="160" w:line="259" w:lineRule="auto"/>
        <w:ind w:left="357" w:hanging="357"/>
        <w:rPr>
          <w:rFonts w:cs="Arial"/>
        </w:rPr>
      </w:pPr>
      <w:r w:rsidRPr="0099306C">
        <w:rPr>
          <w:rFonts w:cs="Arial"/>
        </w:rPr>
        <w:t>Online job boards remain the most widely used and most successful recruitment method, with more than half of employers using them and 40% reporting them as the method that led to a successful hire.</w:t>
      </w:r>
    </w:p>
    <w:p w14:paraId="28490694" w14:textId="40C47050" w:rsidR="007560C5" w:rsidRPr="0099306C" w:rsidRDefault="007560C5" w:rsidP="00EE5E13">
      <w:pPr>
        <w:pStyle w:val="ListBullet"/>
        <w:tabs>
          <w:tab w:val="num" w:pos="360"/>
        </w:tabs>
        <w:spacing w:after="160" w:line="259" w:lineRule="auto"/>
        <w:ind w:left="357" w:hanging="357"/>
        <w:rPr>
          <w:rFonts w:cs="Arial"/>
        </w:rPr>
      </w:pPr>
      <w:r w:rsidRPr="0099306C">
        <w:rPr>
          <w:rFonts w:cs="Arial"/>
        </w:rPr>
        <w:t>Most employers rely on only one recruitment method</w:t>
      </w:r>
      <w:r w:rsidR="00C55348">
        <w:rPr>
          <w:rFonts w:cs="Arial"/>
        </w:rPr>
        <w:t xml:space="preserve"> to fill their vacancies</w:t>
      </w:r>
      <w:r w:rsidRPr="0099306C">
        <w:rPr>
          <w:rFonts w:cs="Arial"/>
        </w:rPr>
        <w:t>, but those experiencing recruitment difficulty are far more likely to adopt multi</w:t>
      </w:r>
      <w:r w:rsidRPr="0099306C">
        <w:rPr>
          <w:rFonts w:ascii="Cambria Math" w:hAnsi="Cambria Math" w:cs="Cambria Math"/>
        </w:rPr>
        <w:t>‑</w:t>
      </w:r>
      <w:r w:rsidRPr="0099306C">
        <w:rPr>
          <w:rFonts w:cs="Arial"/>
        </w:rPr>
        <w:t>method strategies to broaden their applicant pool.</w:t>
      </w:r>
    </w:p>
    <w:p w14:paraId="148E1ADC" w14:textId="5224E74D" w:rsidR="007560C5" w:rsidRPr="0099306C" w:rsidRDefault="007560C5" w:rsidP="00EE5E13">
      <w:pPr>
        <w:pStyle w:val="ListBullet"/>
        <w:tabs>
          <w:tab w:val="num" w:pos="360"/>
        </w:tabs>
        <w:spacing w:after="160" w:line="259" w:lineRule="auto"/>
        <w:ind w:left="357" w:hanging="357"/>
        <w:rPr>
          <w:rFonts w:cs="Arial"/>
        </w:rPr>
      </w:pPr>
      <w:r w:rsidRPr="0099306C">
        <w:rPr>
          <w:rFonts w:cs="Arial"/>
        </w:rPr>
        <w:t xml:space="preserve">Informal recruitment </w:t>
      </w:r>
      <w:r w:rsidR="00C55348">
        <w:rPr>
          <w:rFonts w:cs="Arial"/>
        </w:rPr>
        <w:t>methods</w:t>
      </w:r>
      <w:r w:rsidRPr="0099306C">
        <w:rPr>
          <w:rFonts w:cs="Arial"/>
        </w:rPr>
        <w:t xml:space="preserve"> remain highly effective, with word of mouth and direct approaches by job seekers achieving </w:t>
      </w:r>
      <w:r w:rsidR="00C55348">
        <w:rPr>
          <w:rFonts w:cs="Arial"/>
        </w:rPr>
        <w:t>relatively</w:t>
      </w:r>
      <w:r w:rsidRPr="0099306C">
        <w:rPr>
          <w:rFonts w:cs="Arial"/>
        </w:rPr>
        <w:t xml:space="preserve"> high success rates across occupations and regions.</w:t>
      </w:r>
    </w:p>
    <w:p w14:paraId="2AA91B27" w14:textId="7636612E" w:rsidR="007560C5" w:rsidRPr="0099306C" w:rsidRDefault="007560C5" w:rsidP="00EE5E13">
      <w:pPr>
        <w:pStyle w:val="ListBullet"/>
        <w:tabs>
          <w:tab w:val="num" w:pos="360"/>
        </w:tabs>
        <w:spacing w:after="160" w:line="259" w:lineRule="auto"/>
        <w:ind w:left="357" w:hanging="357"/>
        <w:rPr>
          <w:rFonts w:cs="Arial"/>
        </w:rPr>
      </w:pPr>
      <w:r w:rsidRPr="0099306C">
        <w:rPr>
          <w:rFonts w:cs="Arial"/>
        </w:rPr>
        <w:t>Recruitment challenges are closely tied to skill level: higher</w:t>
      </w:r>
      <w:r w:rsidRPr="0099306C">
        <w:rPr>
          <w:rFonts w:ascii="Cambria Math" w:hAnsi="Cambria Math" w:cs="Cambria Math"/>
        </w:rPr>
        <w:t>‑</w:t>
      </w:r>
      <w:r w:rsidRPr="0099306C">
        <w:rPr>
          <w:rFonts w:cs="Arial"/>
        </w:rPr>
        <w:t xml:space="preserve">skilled roles </w:t>
      </w:r>
      <w:r w:rsidR="00C55348">
        <w:rPr>
          <w:rFonts w:cs="Arial"/>
        </w:rPr>
        <w:t>are frequently advertised on</w:t>
      </w:r>
      <w:r w:rsidRPr="0099306C">
        <w:rPr>
          <w:rFonts w:cs="Arial"/>
        </w:rPr>
        <w:t xml:space="preserve"> </w:t>
      </w:r>
      <w:r w:rsidR="00C55348">
        <w:rPr>
          <w:rFonts w:cs="Arial"/>
        </w:rPr>
        <w:t xml:space="preserve">online </w:t>
      </w:r>
      <w:r w:rsidRPr="0099306C">
        <w:rPr>
          <w:rFonts w:cs="Arial"/>
        </w:rPr>
        <w:t>job boards and often require multiple recruitment methods, while lower</w:t>
      </w:r>
      <w:r w:rsidRPr="0099306C">
        <w:rPr>
          <w:rFonts w:ascii="Cambria Math" w:hAnsi="Cambria Math" w:cs="Cambria Math"/>
        </w:rPr>
        <w:t>‑</w:t>
      </w:r>
      <w:r w:rsidRPr="0099306C">
        <w:rPr>
          <w:rFonts w:cs="Arial"/>
        </w:rPr>
        <w:t>skilled roles are more often filled through informal or low</w:t>
      </w:r>
      <w:r w:rsidRPr="0099306C">
        <w:rPr>
          <w:rFonts w:ascii="Cambria Math" w:hAnsi="Cambria Math" w:cs="Cambria Math"/>
        </w:rPr>
        <w:t>‑</w:t>
      </w:r>
      <w:r w:rsidRPr="0099306C">
        <w:rPr>
          <w:rFonts w:cs="Arial"/>
        </w:rPr>
        <w:t>cost channels.</w:t>
      </w:r>
    </w:p>
    <w:p w14:paraId="3483679B" w14:textId="39F7D2D0" w:rsidR="007560C5" w:rsidRPr="0099306C" w:rsidRDefault="00C55348" w:rsidP="00EE5E13">
      <w:pPr>
        <w:pStyle w:val="ListBullet"/>
        <w:tabs>
          <w:tab w:val="num" w:pos="360"/>
        </w:tabs>
        <w:spacing w:after="160" w:line="259" w:lineRule="auto"/>
        <w:ind w:left="357" w:hanging="357"/>
        <w:rPr>
          <w:rFonts w:cs="Arial"/>
        </w:rPr>
      </w:pPr>
      <w:r>
        <w:rPr>
          <w:rFonts w:cs="Arial"/>
        </w:rPr>
        <w:t>Employers</w:t>
      </w:r>
      <w:r w:rsidR="005A6BB0">
        <w:rPr>
          <w:rFonts w:cs="Arial"/>
        </w:rPr>
        <w:t>’</w:t>
      </w:r>
      <w:r>
        <w:rPr>
          <w:rFonts w:cs="Arial"/>
        </w:rPr>
        <w:t xml:space="preserve"> </w:t>
      </w:r>
      <w:r w:rsidR="005A6BB0">
        <w:rPr>
          <w:rFonts w:cs="Arial"/>
        </w:rPr>
        <w:t>recruitment patterns differ significantly by i</w:t>
      </w:r>
      <w:r w:rsidR="007560C5" w:rsidRPr="0099306C">
        <w:rPr>
          <w:rFonts w:cs="Arial"/>
        </w:rPr>
        <w:t>ndustries and regions, with city</w:t>
      </w:r>
      <w:r w:rsidR="007560C5" w:rsidRPr="0099306C">
        <w:rPr>
          <w:rFonts w:ascii="Cambria Math" w:hAnsi="Cambria Math" w:cs="Cambria Math"/>
        </w:rPr>
        <w:t>‑</w:t>
      </w:r>
      <w:r w:rsidR="007560C5" w:rsidRPr="0099306C">
        <w:rPr>
          <w:rFonts w:cs="Arial"/>
        </w:rPr>
        <w:t>based employers favouring online methods and regional employers relying more on social media and personal networks.</w:t>
      </w:r>
    </w:p>
    <w:p w14:paraId="302A873E" w14:textId="77777777" w:rsidR="007560C5" w:rsidRPr="0099306C" w:rsidRDefault="007560C5" w:rsidP="00EE5E13">
      <w:pPr>
        <w:pStyle w:val="ListBullet"/>
        <w:tabs>
          <w:tab w:val="num" w:pos="360"/>
        </w:tabs>
        <w:spacing w:after="160" w:line="259" w:lineRule="auto"/>
        <w:ind w:left="357" w:hanging="357"/>
        <w:rPr>
          <w:rFonts w:cs="Arial"/>
        </w:rPr>
      </w:pPr>
      <w:r w:rsidRPr="0099306C">
        <w:rPr>
          <w:rFonts w:cs="Arial"/>
        </w:rPr>
        <w:t>Job seekers benefit from using multiple search strategies, including proactive approaches outside traditional application processes, as these methods frequently result in successful hires.</w:t>
      </w:r>
    </w:p>
    <w:p w14:paraId="2626D44F" w14:textId="77777777" w:rsidR="005111D9" w:rsidRDefault="005111D9">
      <w:pPr>
        <w:spacing w:after="160" w:line="259" w:lineRule="auto"/>
        <w:rPr>
          <w:rFonts w:eastAsiaTheme="majorEastAsia" w:cstheme="majorBidi"/>
          <w:b/>
          <w:sz w:val="32"/>
          <w:szCs w:val="26"/>
        </w:rPr>
      </w:pPr>
      <w:r>
        <w:br w:type="page"/>
      </w:r>
    </w:p>
    <w:p w14:paraId="5F2D71A7" w14:textId="5D872F1A" w:rsidR="0026184A" w:rsidRDefault="0099306C" w:rsidP="000D7A07">
      <w:pPr>
        <w:pStyle w:val="Heading2"/>
        <w:spacing w:after="120" w:line="259" w:lineRule="auto"/>
      </w:pPr>
      <w:r>
        <w:lastRenderedPageBreak/>
        <w:t>How do employers find staff?</w:t>
      </w:r>
    </w:p>
    <w:p w14:paraId="2F56459F" w14:textId="0F33ADB7" w:rsidR="0099306C" w:rsidRPr="00755D9C" w:rsidRDefault="0099306C" w:rsidP="00EE5E13">
      <w:pPr>
        <w:spacing w:after="160" w:line="259" w:lineRule="auto"/>
        <w:rPr>
          <w:rFonts w:cs="Arial"/>
          <w:color w:val="000000" w:themeColor="text1"/>
        </w:rPr>
      </w:pPr>
      <w:r w:rsidRPr="587FEA27">
        <w:rPr>
          <w:rFonts w:cs="Arial"/>
          <w:color w:val="000000" w:themeColor="text1"/>
        </w:rPr>
        <w:t>Recruitment methods play a critical role in shaping how employers connect with potential candidates and secure the future staff they need. There is</w:t>
      </w:r>
      <w:r w:rsidR="00DB6F18" w:rsidRPr="587FEA27">
        <w:rPr>
          <w:rFonts w:cs="Arial"/>
          <w:color w:val="000000" w:themeColor="text1"/>
        </w:rPr>
        <w:t>, however,</w:t>
      </w:r>
      <w:r w:rsidRPr="587FEA27">
        <w:rPr>
          <w:rFonts w:cs="Arial"/>
          <w:color w:val="000000" w:themeColor="text1"/>
        </w:rPr>
        <w:t xml:space="preserve"> no hard</w:t>
      </w:r>
      <w:r w:rsidR="00AC64D8" w:rsidRPr="587FEA27">
        <w:rPr>
          <w:rFonts w:cs="Arial"/>
          <w:color w:val="000000" w:themeColor="text1"/>
        </w:rPr>
        <w:t>-</w:t>
      </w:r>
      <w:r w:rsidRPr="587FEA27">
        <w:rPr>
          <w:rFonts w:cs="Arial"/>
          <w:color w:val="000000" w:themeColor="text1"/>
        </w:rPr>
        <w:t>and</w:t>
      </w:r>
      <w:r w:rsidR="00AC64D8" w:rsidRPr="587FEA27">
        <w:rPr>
          <w:rFonts w:cs="Arial"/>
          <w:color w:val="000000" w:themeColor="text1"/>
        </w:rPr>
        <w:t>-</w:t>
      </w:r>
      <w:r w:rsidRPr="587FEA27">
        <w:rPr>
          <w:rFonts w:cs="Arial"/>
          <w:color w:val="000000" w:themeColor="text1"/>
        </w:rPr>
        <w:t xml:space="preserve">fast rule </w:t>
      </w:r>
      <w:r w:rsidR="00AC64D8" w:rsidRPr="587FEA27">
        <w:rPr>
          <w:rFonts w:cs="Arial"/>
          <w:color w:val="000000" w:themeColor="text1"/>
        </w:rPr>
        <w:t>regarding the</w:t>
      </w:r>
      <w:r w:rsidRPr="587FEA27">
        <w:rPr>
          <w:rFonts w:cs="Arial"/>
          <w:color w:val="000000" w:themeColor="text1"/>
        </w:rPr>
        <w:t xml:space="preserve"> methods</w:t>
      </w:r>
      <w:r w:rsidR="00F77A6D">
        <w:rPr>
          <w:rFonts w:cs="Arial"/>
          <w:color w:val="000000" w:themeColor="text1"/>
        </w:rPr>
        <w:t xml:space="preserve"> that</w:t>
      </w:r>
      <w:r w:rsidRPr="587FEA27">
        <w:rPr>
          <w:rFonts w:cs="Arial"/>
          <w:color w:val="000000" w:themeColor="text1"/>
        </w:rPr>
        <w:t xml:space="preserve"> employers use</w:t>
      </w:r>
      <w:r w:rsidR="00DB6F18" w:rsidRPr="587FEA27">
        <w:rPr>
          <w:rFonts w:cs="Arial"/>
          <w:color w:val="000000" w:themeColor="text1"/>
        </w:rPr>
        <w:t>. P</w:t>
      </w:r>
      <w:r w:rsidRPr="587FEA27">
        <w:rPr>
          <w:rFonts w:cs="Arial"/>
          <w:color w:val="000000" w:themeColor="text1"/>
        </w:rPr>
        <w:t>ractices are influenced by factors such as the business location, industry and the occupation recruiting for</w:t>
      </w:r>
      <w:r w:rsidR="0066317A" w:rsidRPr="587FEA27">
        <w:rPr>
          <w:rFonts w:cs="Arial"/>
          <w:color w:val="000000" w:themeColor="text1"/>
        </w:rPr>
        <w:t>,</w:t>
      </w:r>
      <w:r w:rsidRPr="587FEA27">
        <w:rPr>
          <w:rFonts w:cs="Arial"/>
          <w:color w:val="000000" w:themeColor="text1"/>
        </w:rPr>
        <w:t xml:space="preserve"> and the difficulty attracting </w:t>
      </w:r>
      <w:r w:rsidR="00904217" w:rsidRPr="587FEA27">
        <w:rPr>
          <w:rFonts w:cs="Arial"/>
          <w:color w:val="000000" w:themeColor="text1"/>
        </w:rPr>
        <w:t xml:space="preserve">suitable </w:t>
      </w:r>
      <w:r w:rsidRPr="587FEA27">
        <w:rPr>
          <w:rFonts w:cs="Arial"/>
          <w:color w:val="000000" w:themeColor="text1"/>
        </w:rPr>
        <w:t>candidate</w:t>
      </w:r>
      <w:r w:rsidR="55F3E106" w:rsidRPr="587FEA27">
        <w:rPr>
          <w:rFonts w:cs="Arial"/>
          <w:color w:val="000000" w:themeColor="text1"/>
        </w:rPr>
        <w:t>s</w:t>
      </w:r>
      <w:r w:rsidRPr="587FEA27">
        <w:rPr>
          <w:rFonts w:cs="Arial"/>
          <w:color w:val="000000" w:themeColor="text1"/>
        </w:rPr>
        <w:t xml:space="preserve">. This variation reflects the complexity of the </w:t>
      </w:r>
      <w:r w:rsidR="00007119" w:rsidRPr="587FEA27">
        <w:rPr>
          <w:rFonts w:cs="Arial"/>
          <w:color w:val="000000" w:themeColor="text1"/>
        </w:rPr>
        <w:t xml:space="preserve">Australian </w:t>
      </w:r>
      <w:r w:rsidRPr="587FEA27">
        <w:rPr>
          <w:rFonts w:cs="Arial"/>
          <w:color w:val="000000" w:themeColor="text1"/>
        </w:rPr>
        <w:t>labour market.</w:t>
      </w:r>
    </w:p>
    <w:p w14:paraId="1BB9BD2E" w14:textId="66DD5E51" w:rsidR="0099306C" w:rsidRPr="00755D9C" w:rsidRDefault="0099306C" w:rsidP="00EE5E13">
      <w:pPr>
        <w:spacing w:after="160" w:line="259" w:lineRule="auto"/>
        <w:rPr>
          <w:rFonts w:cs="Arial"/>
          <w:color w:val="000000" w:themeColor="text1"/>
        </w:rPr>
      </w:pPr>
      <w:r w:rsidRPr="00755D9C">
        <w:rPr>
          <w:rFonts w:cs="Arial"/>
          <w:color w:val="000000" w:themeColor="text1"/>
        </w:rPr>
        <w:t>Figure 1 provides an overview of the recruitment methods most used by employers and highlights the dominance of certain channels. Online jobs boards are by far the most popular method, with over half of employers using them for their most recent recruitment round</w:t>
      </w:r>
      <w:r w:rsidR="00750B15">
        <w:rPr>
          <w:rFonts w:cs="Arial"/>
          <w:color w:val="000000" w:themeColor="text1"/>
        </w:rPr>
        <w:t xml:space="preserve"> in 2025</w:t>
      </w:r>
      <w:r w:rsidRPr="00755D9C">
        <w:rPr>
          <w:rFonts w:cs="Arial"/>
          <w:color w:val="000000" w:themeColor="text1"/>
        </w:rPr>
        <w:t xml:space="preserve">. These have become increasingly popular over the last decade, increasing by </w:t>
      </w:r>
      <w:r w:rsidR="00CB571C">
        <w:rPr>
          <w:rFonts w:cs="Arial"/>
          <w:color w:val="000000" w:themeColor="text1"/>
        </w:rPr>
        <w:br/>
      </w:r>
      <w:r w:rsidRPr="00755D9C">
        <w:rPr>
          <w:rFonts w:cs="Arial"/>
          <w:color w:val="000000" w:themeColor="text1"/>
        </w:rPr>
        <w:t>12 percentage points since 2016</w:t>
      </w:r>
      <w:r w:rsidR="00DB6F18">
        <w:rPr>
          <w:rFonts w:cs="Arial"/>
          <w:color w:val="000000" w:themeColor="text1"/>
        </w:rPr>
        <w:t xml:space="preserve"> (from 46% to 58%</w:t>
      </w:r>
      <w:r w:rsidR="00772BDA">
        <w:rPr>
          <w:rFonts w:cs="Arial"/>
          <w:color w:val="000000" w:themeColor="text1"/>
        </w:rPr>
        <w:t>)</w:t>
      </w:r>
      <w:r w:rsidR="006C535E">
        <w:rPr>
          <w:rFonts w:cs="Arial"/>
          <w:color w:val="000000" w:themeColor="text1"/>
        </w:rPr>
        <w:t>.</w:t>
      </w:r>
      <w:r w:rsidR="006C535E">
        <w:t xml:space="preserve"> T</w:t>
      </w:r>
      <w:r w:rsidR="00C90384" w:rsidRPr="00BC0BC7">
        <w:t xml:space="preserve">his figure is </w:t>
      </w:r>
      <w:r w:rsidR="00C90384" w:rsidRPr="00444575">
        <w:t>broadly</w:t>
      </w:r>
      <w:r w:rsidR="00C90384" w:rsidRPr="00BC0BC7">
        <w:t xml:space="preserve"> aligned with the relationship between volumes of job ads that we see in JSA’s </w:t>
      </w:r>
      <w:r w:rsidR="00C90384">
        <w:t>Internet Vacancy Index (</w:t>
      </w:r>
      <w:r w:rsidR="00C90384" w:rsidRPr="00BC0BC7">
        <w:t>IVI</w:t>
      </w:r>
      <w:r w:rsidR="00C90384">
        <w:t>)</w:t>
      </w:r>
      <w:r w:rsidR="00C90384" w:rsidRPr="00BC0BC7">
        <w:t xml:space="preserve"> and </w:t>
      </w:r>
      <w:r w:rsidR="00C90384">
        <w:t>Total New Vacancies (NTV)</w:t>
      </w:r>
      <w:r w:rsidR="00C90384" w:rsidRPr="00BC0BC7">
        <w:t xml:space="preserve"> data</w:t>
      </w:r>
      <w:r w:rsidR="00C90384">
        <w:t>.</w:t>
      </w:r>
      <w:r w:rsidR="00A7675C">
        <w:rPr>
          <w:rStyle w:val="FootnoteReference"/>
          <w:rFonts w:cs="Arial"/>
          <w:color w:val="000000" w:themeColor="text1"/>
        </w:rPr>
        <w:footnoteReference w:id="2"/>
      </w:r>
    </w:p>
    <w:p w14:paraId="3F9B4E13" w14:textId="25B55ABF" w:rsidR="0099306C" w:rsidRPr="00823A99" w:rsidRDefault="0099306C" w:rsidP="00EE5E13">
      <w:pPr>
        <w:spacing w:after="160" w:line="259" w:lineRule="auto"/>
        <w:rPr>
          <w:rFonts w:cs="Arial"/>
          <w:color w:val="000000" w:themeColor="text1"/>
        </w:rPr>
      </w:pPr>
      <w:r w:rsidRPr="587FEA27">
        <w:rPr>
          <w:rFonts w:cs="Arial"/>
          <w:color w:val="000000" w:themeColor="text1"/>
        </w:rPr>
        <w:t>Other methods show more moderate usage. Word of mouth (2</w:t>
      </w:r>
      <w:r w:rsidR="00560626" w:rsidRPr="587FEA27">
        <w:rPr>
          <w:rFonts w:cs="Arial"/>
          <w:color w:val="000000" w:themeColor="text1"/>
        </w:rPr>
        <w:t>5</w:t>
      </w:r>
      <w:r w:rsidRPr="587FEA27">
        <w:rPr>
          <w:rFonts w:cs="Arial"/>
          <w:color w:val="000000" w:themeColor="text1"/>
        </w:rPr>
        <w:t>%) and direct approaches by job seekers (1</w:t>
      </w:r>
      <w:r w:rsidR="00977394" w:rsidRPr="587FEA27">
        <w:rPr>
          <w:rFonts w:cs="Arial"/>
          <w:color w:val="000000" w:themeColor="text1"/>
        </w:rPr>
        <w:t>2</w:t>
      </w:r>
      <w:r w:rsidRPr="587FEA27">
        <w:rPr>
          <w:rFonts w:cs="Arial"/>
          <w:color w:val="000000" w:themeColor="text1"/>
        </w:rPr>
        <w:t>%) also feature prominently, indicating that personal connections and proactive job-seeking continue to play a significant role in the labour market. Social media is</w:t>
      </w:r>
      <w:r w:rsidR="00530E67" w:rsidRPr="587FEA27">
        <w:rPr>
          <w:rFonts w:cs="Arial"/>
          <w:color w:val="000000" w:themeColor="text1"/>
        </w:rPr>
        <w:t xml:space="preserve"> also increasingly</w:t>
      </w:r>
      <w:r w:rsidRPr="587FEA27">
        <w:rPr>
          <w:rFonts w:cs="Arial"/>
          <w:color w:val="000000" w:themeColor="text1"/>
        </w:rPr>
        <w:t xml:space="preserve"> used by employers</w:t>
      </w:r>
      <w:r w:rsidR="006A5D8A" w:rsidRPr="587FEA27">
        <w:rPr>
          <w:rFonts w:cs="Arial"/>
          <w:color w:val="000000" w:themeColor="text1"/>
        </w:rPr>
        <w:t xml:space="preserve">, particularly for businesses where community engagement is important. </w:t>
      </w:r>
      <w:r w:rsidR="00F0775C" w:rsidRPr="587FEA27">
        <w:rPr>
          <w:rFonts w:cs="Arial"/>
          <w:color w:val="000000" w:themeColor="text1"/>
        </w:rPr>
        <w:t xml:space="preserve">In 2025, </w:t>
      </w:r>
      <w:r w:rsidR="00F20CAA" w:rsidRPr="587FEA27">
        <w:rPr>
          <w:rFonts w:cs="Arial"/>
          <w:color w:val="000000" w:themeColor="text1"/>
        </w:rPr>
        <w:t>19%</w:t>
      </w:r>
      <w:r w:rsidR="00F0775C" w:rsidRPr="587FEA27">
        <w:rPr>
          <w:rFonts w:cs="Arial"/>
          <w:color w:val="000000" w:themeColor="text1"/>
        </w:rPr>
        <w:t xml:space="preserve"> of recruiting employers</w:t>
      </w:r>
      <w:r w:rsidR="00BA59FA" w:rsidRPr="587FEA27">
        <w:rPr>
          <w:rFonts w:cs="Arial"/>
          <w:color w:val="000000" w:themeColor="text1"/>
        </w:rPr>
        <w:t xml:space="preserve"> used social media</w:t>
      </w:r>
      <w:r w:rsidR="005E6B0F" w:rsidRPr="587FEA27">
        <w:rPr>
          <w:rFonts w:cs="Arial"/>
          <w:color w:val="000000" w:themeColor="text1"/>
        </w:rPr>
        <w:t>, up from 6% in 20</w:t>
      </w:r>
      <w:r w:rsidR="0C78F888" w:rsidRPr="587FEA27">
        <w:rPr>
          <w:rFonts w:cs="Arial"/>
          <w:color w:val="000000" w:themeColor="text1"/>
        </w:rPr>
        <w:t>1</w:t>
      </w:r>
      <w:r w:rsidR="005E6B0F" w:rsidRPr="587FEA27">
        <w:rPr>
          <w:rFonts w:cs="Arial"/>
          <w:color w:val="000000" w:themeColor="text1"/>
        </w:rPr>
        <w:t>6</w:t>
      </w:r>
      <w:r w:rsidRPr="587FEA27">
        <w:rPr>
          <w:rFonts w:cs="Arial"/>
          <w:color w:val="000000" w:themeColor="text1"/>
        </w:rPr>
        <w:t>, reflecting its growing role in recruitment.</w:t>
      </w:r>
    </w:p>
    <w:p w14:paraId="1524C6BE" w14:textId="64895D58" w:rsidR="0099306C" w:rsidRDefault="0099306C" w:rsidP="00560626">
      <w:pPr>
        <w:spacing w:after="160" w:line="259" w:lineRule="auto"/>
        <w:rPr>
          <w:rFonts w:cs="Arial"/>
          <w:color w:val="000000" w:themeColor="text1"/>
        </w:rPr>
      </w:pPr>
      <w:r w:rsidRPr="00823A99">
        <w:rPr>
          <w:rFonts w:cs="Arial"/>
          <w:color w:val="000000" w:themeColor="text1"/>
        </w:rPr>
        <w:t>Recruitment agencies (13%), company websites (</w:t>
      </w:r>
      <w:r w:rsidR="00560626">
        <w:rPr>
          <w:rFonts w:cs="Arial"/>
          <w:color w:val="000000" w:themeColor="text1"/>
        </w:rPr>
        <w:t>10</w:t>
      </w:r>
      <w:r w:rsidRPr="00823A99">
        <w:rPr>
          <w:rFonts w:cs="Arial"/>
          <w:color w:val="000000" w:themeColor="text1"/>
        </w:rPr>
        <w:t>%) and internal advertising (</w:t>
      </w:r>
      <w:r w:rsidR="00560626">
        <w:rPr>
          <w:rFonts w:cs="Arial"/>
          <w:color w:val="000000" w:themeColor="text1"/>
        </w:rPr>
        <w:t>6</w:t>
      </w:r>
      <w:r w:rsidRPr="00823A99">
        <w:rPr>
          <w:rFonts w:cs="Arial"/>
          <w:color w:val="000000" w:themeColor="text1"/>
        </w:rPr>
        <w:t>%) are less common but still relevant for certain roles, while traditional methods such as newspapers (2%) and signs in windows (</w:t>
      </w:r>
      <w:r w:rsidR="00560626">
        <w:rPr>
          <w:rFonts w:cs="Arial"/>
          <w:color w:val="000000" w:themeColor="text1"/>
        </w:rPr>
        <w:t>3</w:t>
      </w:r>
      <w:r w:rsidRPr="00823A99">
        <w:rPr>
          <w:rFonts w:cs="Arial"/>
          <w:color w:val="000000" w:themeColor="text1"/>
        </w:rPr>
        <w:t xml:space="preserve">%) have largely declined, underscoring </w:t>
      </w:r>
      <w:r w:rsidR="007634A1">
        <w:rPr>
          <w:rFonts w:cs="Arial"/>
          <w:color w:val="000000" w:themeColor="text1"/>
        </w:rPr>
        <w:t>a broader</w:t>
      </w:r>
      <w:r w:rsidRPr="00823A99">
        <w:rPr>
          <w:rFonts w:cs="Arial"/>
          <w:color w:val="000000" w:themeColor="text1"/>
        </w:rPr>
        <w:t xml:space="preserve"> shift toward digital and network-based recruitment. </w:t>
      </w:r>
    </w:p>
    <w:p w14:paraId="7C99CC5A" w14:textId="77777777" w:rsidR="0099306C" w:rsidRPr="007360A3" w:rsidRDefault="0099306C" w:rsidP="0015716D">
      <w:pPr>
        <w:pStyle w:val="Caption"/>
        <w:rPr>
          <w:sz w:val="22"/>
          <w:szCs w:val="22"/>
        </w:rPr>
      </w:pPr>
      <w:r w:rsidRPr="007360A3">
        <w:rPr>
          <w:color w:val="012749"/>
          <w:sz w:val="20"/>
          <w:szCs w:val="20"/>
        </w:rPr>
        <w:t>Figure 1: Proportion of employers recruiting by methods, 2025</w:t>
      </w:r>
    </w:p>
    <w:p w14:paraId="33418E69" w14:textId="5963ECEC" w:rsidR="0099306C" w:rsidRPr="00773557" w:rsidRDefault="001F4DDC" w:rsidP="001F4DDC">
      <w:pPr>
        <w:spacing w:after="0" w:line="259" w:lineRule="auto"/>
        <w:rPr>
          <w:rFonts w:cs="Arial"/>
        </w:rPr>
      </w:pPr>
      <w:r>
        <w:rPr>
          <w:noProof/>
        </w:rPr>
        <w:drawing>
          <wp:inline distT="0" distB="0" distL="0" distR="0" wp14:anchorId="71F8384A" wp14:editId="0C58A694">
            <wp:extent cx="5497830" cy="3492000"/>
            <wp:effectExtent l="0" t="0" r="7620" b="0"/>
            <wp:docPr id="1615890451" name="Chart 1" descr="Bar graph of recruitment method use in 2025. All categories covered in preceding text, except for Education institution 2%, and Other methods 2%.">
              <a:extLst xmlns:a="http://schemas.openxmlformats.org/drawingml/2006/main">
                <a:ext uri="{FF2B5EF4-FFF2-40B4-BE49-F238E27FC236}">
                  <a16:creationId xmlns:a16="http://schemas.microsoft.com/office/drawing/2014/main" id="{82CAA9DF-DF5B-42AE-A4A2-A3D7E68CF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011367" w14:textId="77777777" w:rsidR="0099306C" w:rsidRPr="0026769D" w:rsidRDefault="0099306C" w:rsidP="00EE5E13">
      <w:pPr>
        <w:spacing w:after="160" w:line="259" w:lineRule="auto"/>
        <w:rPr>
          <w:rFonts w:cs="Arial"/>
          <w:sz w:val="18"/>
          <w:szCs w:val="18"/>
        </w:rPr>
      </w:pPr>
      <w:r w:rsidRPr="0026769D">
        <w:rPr>
          <w:rFonts w:cs="Arial"/>
          <w:sz w:val="18"/>
          <w:szCs w:val="18"/>
        </w:rPr>
        <w:t>Source: Jobs and Skills Australia, Recruitment Experiences and Outlook Survey, 2025.</w:t>
      </w:r>
    </w:p>
    <w:p w14:paraId="0F4D9E47" w14:textId="77777777" w:rsidR="00AE2D3A" w:rsidRPr="00AE2D3A" w:rsidRDefault="00AE2D3A" w:rsidP="000D7A07">
      <w:pPr>
        <w:pStyle w:val="Heading1"/>
        <w:spacing w:before="240" w:after="120" w:line="259" w:lineRule="auto"/>
        <w:rPr>
          <w:rFonts w:cs="Arial"/>
          <w:b w:val="0"/>
          <w:bCs/>
          <w:color w:val="auto"/>
          <w:sz w:val="32"/>
        </w:rPr>
      </w:pPr>
      <w:r w:rsidRPr="00AE2D3A">
        <w:rPr>
          <w:rFonts w:cs="Arial"/>
          <w:bCs/>
          <w:color w:val="auto"/>
          <w:sz w:val="32"/>
        </w:rPr>
        <w:lastRenderedPageBreak/>
        <w:t>Go with what works - Most employers only use one method of recruitment</w:t>
      </w:r>
    </w:p>
    <w:p w14:paraId="2FBDC776" w14:textId="413A3589" w:rsidR="00AE2D3A" w:rsidRPr="00773557" w:rsidRDefault="003509D3" w:rsidP="00AC4701">
      <w:pPr>
        <w:spacing w:after="160" w:line="259" w:lineRule="auto"/>
        <w:rPr>
          <w:rFonts w:cs="Arial"/>
        </w:rPr>
      </w:pPr>
      <w:r w:rsidRPr="587FEA27">
        <w:rPr>
          <w:rFonts w:cs="Arial"/>
        </w:rPr>
        <w:t xml:space="preserve">In 2025, </w:t>
      </w:r>
      <w:r w:rsidR="00AE2D3A" w:rsidRPr="587FEA27">
        <w:rPr>
          <w:rFonts w:cs="Arial"/>
        </w:rPr>
        <w:t xml:space="preserve">63% of employers used only one method to fill their vacancies. About a quarter used two different methods, </w:t>
      </w:r>
      <w:r w:rsidR="008F6B1C" w:rsidRPr="587FEA27">
        <w:rPr>
          <w:rFonts w:cs="Arial"/>
        </w:rPr>
        <w:t>while</w:t>
      </w:r>
      <w:r w:rsidR="00AE2D3A" w:rsidRPr="587FEA27">
        <w:rPr>
          <w:rFonts w:cs="Arial"/>
        </w:rPr>
        <w:t xml:space="preserve"> 11% using three or more methods (Figure 2)</w:t>
      </w:r>
      <w:r w:rsidR="4856835E" w:rsidRPr="587FEA27">
        <w:rPr>
          <w:rFonts w:cs="Arial"/>
        </w:rPr>
        <w:t>.</w:t>
      </w:r>
    </w:p>
    <w:p w14:paraId="7D297185" w14:textId="614A15E4" w:rsidR="00AE2D3A" w:rsidRPr="00773557" w:rsidRDefault="00AE2D3A" w:rsidP="00AC4701">
      <w:pPr>
        <w:spacing w:after="160" w:line="259" w:lineRule="auto"/>
        <w:rPr>
          <w:rFonts w:cs="Arial"/>
        </w:rPr>
      </w:pPr>
      <w:r w:rsidRPr="00773557">
        <w:rPr>
          <w:rFonts w:cs="Arial"/>
        </w:rPr>
        <w:t xml:space="preserve">While single-method recruitment remains dominant, employers increasingly combine methods when facing recruitment difficulties. In these cases, </w:t>
      </w:r>
      <w:r w:rsidR="00844A77">
        <w:rPr>
          <w:rFonts w:cs="Arial"/>
        </w:rPr>
        <w:t>over half (</w:t>
      </w:r>
      <w:r w:rsidR="006A5648">
        <w:rPr>
          <w:rFonts w:cs="Arial"/>
        </w:rPr>
        <w:t>51</w:t>
      </w:r>
      <w:r w:rsidRPr="00773557">
        <w:rPr>
          <w:rFonts w:cs="Arial"/>
        </w:rPr>
        <w:t>%</w:t>
      </w:r>
      <w:r w:rsidR="00857292">
        <w:rPr>
          <w:rFonts w:cs="Arial"/>
        </w:rPr>
        <w:t>)</w:t>
      </w:r>
      <w:r w:rsidRPr="00773557">
        <w:rPr>
          <w:rFonts w:cs="Arial"/>
        </w:rPr>
        <w:t xml:space="preserve"> of employers used more than one method of recruitment, suggesting that expanding sourcing to find more applicants may be critical to fill some vacancies.</w:t>
      </w:r>
      <w:r w:rsidR="00E35A4B">
        <w:rPr>
          <w:rFonts w:cs="Arial"/>
        </w:rPr>
        <w:t xml:space="preserve"> </w:t>
      </w:r>
      <w:r w:rsidRPr="00773557">
        <w:rPr>
          <w:rFonts w:cs="Arial"/>
        </w:rPr>
        <w:t>In contrast,</w:t>
      </w:r>
      <w:r>
        <w:rPr>
          <w:rFonts w:cs="Arial"/>
        </w:rPr>
        <w:t xml:space="preserve"> w</w:t>
      </w:r>
      <w:r w:rsidRPr="00773557">
        <w:rPr>
          <w:rFonts w:cs="Arial"/>
        </w:rPr>
        <w:t xml:space="preserve">hen a method is working without difficulty, employers have little </w:t>
      </w:r>
      <w:r w:rsidR="003458A1">
        <w:rPr>
          <w:rFonts w:cs="Arial"/>
        </w:rPr>
        <w:t>incentive</w:t>
      </w:r>
      <w:r w:rsidRPr="00773557">
        <w:rPr>
          <w:rFonts w:cs="Arial"/>
        </w:rPr>
        <w:t xml:space="preserve"> to use other methods.</w:t>
      </w:r>
      <w:r>
        <w:rPr>
          <w:rFonts w:cs="Arial"/>
        </w:rPr>
        <w:t xml:space="preserve"> In these cases, close to three quarters of employers</w:t>
      </w:r>
      <w:r w:rsidR="006F3459">
        <w:rPr>
          <w:rFonts w:cs="Arial"/>
        </w:rPr>
        <w:t xml:space="preserve"> (73%)</w:t>
      </w:r>
      <w:r>
        <w:rPr>
          <w:rFonts w:cs="Arial"/>
        </w:rPr>
        <w:t xml:space="preserve"> used only one recruitment method.</w:t>
      </w:r>
      <w:r w:rsidR="00E35A4B">
        <w:rPr>
          <w:rFonts w:cs="Arial"/>
        </w:rPr>
        <w:t xml:space="preserve"> </w:t>
      </w:r>
      <w:r w:rsidRPr="00773557">
        <w:rPr>
          <w:rFonts w:cs="Arial"/>
        </w:rPr>
        <w:t xml:space="preserve">This also emphasises to job seekers </w:t>
      </w:r>
      <w:r w:rsidR="00405F8C">
        <w:rPr>
          <w:rFonts w:cs="Arial"/>
        </w:rPr>
        <w:t>the importance</w:t>
      </w:r>
      <w:r w:rsidR="00603563">
        <w:rPr>
          <w:rFonts w:cs="Arial"/>
        </w:rPr>
        <w:t xml:space="preserve"> of</w:t>
      </w:r>
      <w:r w:rsidRPr="00773557">
        <w:rPr>
          <w:rFonts w:cs="Arial"/>
        </w:rPr>
        <w:t xml:space="preserve"> search</w:t>
      </w:r>
      <w:r w:rsidR="00603563">
        <w:rPr>
          <w:rFonts w:cs="Arial"/>
        </w:rPr>
        <w:t>ing</w:t>
      </w:r>
      <w:r w:rsidRPr="00773557">
        <w:rPr>
          <w:rFonts w:cs="Arial"/>
        </w:rPr>
        <w:t xml:space="preserve"> for opportunities across </w:t>
      </w:r>
      <w:r w:rsidR="00603563">
        <w:rPr>
          <w:rFonts w:cs="Arial"/>
        </w:rPr>
        <w:t>multiple channels</w:t>
      </w:r>
      <w:r w:rsidRPr="00773557">
        <w:rPr>
          <w:rFonts w:cs="Arial"/>
        </w:rPr>
        <w:t xml:space="preserve"> </w:t>
      </w:r>
      <w:r w:rsidR="00F7269B">
        <w:rPr>
          <w:rFonts w:cs="Arial"/>
        </w:rPr>
        <w:t>to better</w:t>
      </w:r>
      <w:r w:rsidRPr="00773557">
        <w:rPr>
          <w:rFonts w:cs="Arial"/>
        </w:rPr>
        <w:t xml:space="preserve"> match</w:t>
      </w:r>
      <w:r w:rsidR="00BF6800">
        <w:rPr>
          <w:rFonts w:cs="Arial"/>
        </w:rPr>
        <w:t xml:space="preserve"> </w:t>
      </w:r>
      <w:r w:rsidRPr="00773557">
        <w:rPr>
          <w:rFonts w:cs="Arial"/>
        </w:rPr>
        <w:t xml:space="preserve">the </w:t>
      </w:r>
      <w:r w:rsidR="00C026B4">
        <w:rPr>
          <w:rFonts w:cs="Arial"/>
        </w:rPr>
        <w:t>diverse</w:t>
      </w:r>
      <w:r w:rsidRPr="00773557">
        <w:rPr>
          <w:rFonts w:cs="Arial"/>
        </w:rPr>
        <w:t xml:space="preserve"> ways </w:t>
      </w:r>
      <w:r w:rsidR="006F3459">
        <w:rPr>
          <w:rFonts w:cs="Arial"/>
        </w:rPr>
        <w:t xml:space="preserve">that </w:t>
      </w:r>
      <w:r w:rsidRPr="00773557">
        <w:rPr>
          <w:rFonts w:cs="Arial"/>
        </w:rPr>
        <w:t>employers recruit.</w:t>
      </w:r>
    </w:p>
    <w:p w14:paraId="67B1BE5F" w14:textId="77777777" w:rsidR="004A632D" w:rsidRPr="007360A3" w:rsidRDefault="004A632D" w:rsidP="0015716D">
      <w:pPr>
        <w:pStyle w:val="Caption"/>
        <w:rPr>
          <w:color w:val="012749"/>
          <w:sz w:val="20"/>
          <w:szCs w:val="20"/>
        </w:rPr>
      </w:pPr>
      <w:r w:rsidRPr="007360A3">
        <w:rPr>
          <w:color w:val="012749"/>
          <w:sz w:val="20"/>
          <w:szCs w:val="20"/>
        </w:rPr>
        <w:t>Figure 2: Proportion of employers recruiting by number of methods used and whether difficult recruiting, 2025</w:t>
      </w:r>
    </w:p>
    <w:p w14:paraId="28E13EF8" w14:textId="77777777" w:rsidR="004A632D" w:rsidRPr="00773557" w:rsidRDefault="004A632D" w:rsidP="00AC4701">
      <w:pPr>
        <w:spacing w:after="160" w:line="259" w:lineRule="auto"/>
        <w:rPr>
          <w:rFonts w:cs="Arial"/>
        </w:rPr>
      </w:pPr>
      <w:r>
        <w:rPr>
          <w:noProof/>
        </w:rPr>
        <w:drawing>
          <wp:inline distT="0" distB="0" distL="0" distR="0" wp14:anchorId="4F093808" wp14:editId="600BF8D9">
            <wp:extent cx="5731510" cy="2359660"/>
            <wp:effectExtent l="0" t="0" r="2540" b="2540"/>
            <wp:docPr id="871793092" name="Chart 1" descr="Stacked bar graph showing number of recruitment methods used (1, 2, 3 and 4 or more), by whether it was difficult to recruit, in 2025. Proportions for the aforementioned number of methods used for each category are as follows: All recruitment, 63%, 26%, 7%, 4%. Difficult recruitment, 49%, 33%, 11%, 7%. Not difficult recruitment, 73%, 21%, 5%, 1%.">
              <a:extLst xmlns:a="http://schemas.openxmlformats.org/drawingml/2006/main">
                <a:ext uri="{FF2B5EF4-FFF2-40B4-BE49-F238E27FC236}">
                  <a16:creationId xmlns:a16="http://schemas.microsoft.com/office/drawing/2014/main" id="{C6C75143-055E-4459-89AC-E4F03F815C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397E9E" w14:textId="77777777" w:rsidR="004A632D" w:rsidRPr="0026769D" w:rsidRDefault="004A632D" w:rsidP="00AC4701">
      <w:pPr>
        <w:spacing w:after="160" w:line="259" w:lineRule="auto"/>
        <w:rPr>
          <w:rFonts w:cs="Arial"/>
          <w:sz w:val="18"/>
          <w:szCs w:val="18"/>
        </w:rPr>
      </w:pPr>
      <w:r w:rsidRPr="0026769D">
        <w:rPr>
          <w:rFonts w:cs="Arial"/>
          <w:sz w:val="18"/>
          <w:szCs w:val="18"/>
        </w:rPr>
        <w:t>Source: Jobs and Skills Australia, Recruitment Experiences and Outlook Survey, 2025.</w:t>
      </w:r>
    </w:p>
    <w:p w14:paraId="47B07D02" w14:textId="22A43959" w:rsidR="00614634" w:rsidRPr="009E348F" w:rsidRDefault="004A632D" w:rsidP="00AC4701">
      <w:pPr>
        <w:spacing w:after="160" w:line="259" w:lineRule="auto"/>
        <w:rPr>
          <w:rFonts w:cs="Arial"/>
        </w:rPr>
      </w:pPr>
      <w:r w:rsidRPr="009E348F">
        <w:rPr>
          <w:rFonts w:cs="Arial"/>
        </w:rPr>
        <w:t>There is a clear distinction between</w:t>
      </w:r>
      <w:r w:rsidR="00614634">
        <w:rPr>
          <w:rFonts w:cs="Arial"/>
        </w:rPr>
        <w:t xml:space="preserve"> recruitment patterns </w:t>
      </w:r>
      <w:r w:rsidR="006A5648">
        <w:rPr>
          <w:rFonts w:cs="Arial"/>
        </w:rPr>
        <w:t>of</w:t>
      </w:r>
      <w:r w:rsidRPr="009E348F">
        <w:rPr>
          <w:rFonts w:cs="Arial"/>
        </w:rPr>
        <w:t xml:space="preserve"> employers who rely on a single recruitment method and those who use multiple methods</w:t>
      </w:r>
      <w:r w:rsidR="00614634">
        <w:rPr>
          <w:rFonts w:cs="Arial"/>
        </w:rPr>
        <w:t xml:space="preserve"> (Figure 3)</w:t>
      </w:r>
      <w:r w:rsidRPr="009E348F">
        <w:rPr>
          <w:rFonts w:cs="Arial"/>
        </w:rPr>
        <w:t>. Employers using only one method favour online job boards, which dominate as the most common standalone approach (49% of employers who used only one method). This suggests that for many employers, online platforms provide sufficient reach and efficiency to meet their recruitment needs without additional strategies.</w:t>
      </w:r>
      <w:r w:rsidR="00E35A4B">
        <w:rPr>
          <w:rFonts w:cs="Arial"/>
        </w:rPr>
        <w:t xml:space="preserve"> </w:t>
      </w:r>
      <w:r w:rsidR="00614634" w:rsidRPr="009E348F">
        <w:rPr>
          <w:rFonts w:cs="Arial"/>
        </w:rPr>
        <w:t xml:space="preserve">In contrast, employers who adopt two or more methods demonstrate a much broader and more diversified approach. While online job boards remain central (used </w:t>
      </w:r>
      <w:r w:rsidR="00E82098">
        <w:rPr>
          <w:rFonts w:cs="Arial"/>
        </w:rPr>
        <w:t>by</w:t>
      </w:r>
      <w:r w:rsidR="00614634" w:rsidRPr="009E348F">
        <w:rPr>
          <w:rFonts w:cs="Arial"/>
        </w:rPr>
        <w:t xml:space="preserve"> three quarters of multi-method recruit</w:t>
      </w:r>
      <w:r w:rsidR="00C110B3">
        <w:rPr>
          <w:rFonts w:cs="Arial"/>
        </w:rPr>
        <w:t>ing</w:t>
      </w:r>
      <w:r w:rsidR="00E302D8">
        <w:rPr>
          <w:rFonts w:cs="Arial"/>
        </w:rPr>
        <w:t xml:space="preserve"> employers</w:t>
      </w:r>
      <w:r w:rsidR="00614634" w:rsidRPr="009E348F">
        <w:rPr>
          <w:rFonts w:cs="Arial"/>
        </w:rPr>
        <w:t xml:space="preserve">), other methods </w:t>
      </w:r>
      <w:r w:rsidR="00EE5E46">
        <w:rPr>
          <w:rFonts w:cs="Arial"/>
        </w:rPr>
        <w:t xml:space="preserve">such as </w:t>
      </w:r>
      <w:r w:rsidR="002B20B4">
        <w:rPr>
          <w:rFonts w:cs="Arial"/>
        </w:rPr>
        <w:t xml:space="preserve">social media and word of mouth </w:t>
      </w:r>
      <w:r w:rsidR="00614634" w:rsidRPr="009E348F">
        <w:rPr>
          <w:rFonts w:cs="Arial"/>
        </w:rPr>
        <w:t xml:space="preserve">show significantly higher usage when in combination with other methods. </w:t>
      </w:r>
    </w:p>
    <w:p w14:paraId="3486ED1D" w14:textId="77777777" w:rsidR="00614634" w:rsidRDefault="00614634">
      <w:pPr>
        <w:spacing w:after="160" w:line="259" w:lineRule="auto"/>
        <w:rPr>
          <w:rFonts w:cs="Arial"/>
          <w:b/>
          <w:bCs/>
        </w:rPr>
      </w:pPr>
      <w:r>
        <w:rPr>
          <w:rFonts w:cs="Arial"/>
          <w:b/>
          <w:bCs/>
        </w:rPr>
        <w:br w:type="page"/>
      </w:r>
    </w:p>
    <w:p w14:paraId="310956A7" w14:textId="12A73AC9" w:rsidR="004A632D" w:rsidRPr="007360A3" w:rsidRDefault="004A632D" w:rsidP="0015716D">
      <w:pPr>
        <w:pStyle w:val="Caption"/>
        <w:rPr>
          <w:color w:val="012749"/>
          <w:sz w:val="20"/>
          <w:szCs w:val="20"/>
        </w:rPr>
      </w:pPr>
      <w:r w:rsidRPr="007360A3">
        <w:rPr>
          <w:color w:val="012749"/>
          <w:sz w:val="20"/>
          <w:szCs w:val="20"/>
        </w:rPr>
        <w:lastRenderedPageBreak/>
        <w:t xml:space="preserve">Figure 3: Proportion of employers using methods of recruitment by total number of methods used, 2025 </w:t>
      </w:r>
    </w:p>
    <w:p w14:paraId="4E4E0B1A" w14:textId="77777777" w:rsidR="004A632D" w:rsidRPr="00773557" w:rsidRDefault="004A632D" w:rsidP="00AC4701">
      <w:pPr>
        <w:spacing w:after="160" w:line="259" w:lineRule="auto"/>
        <w:rPr>
          <w:rFonts w:cs="Arial"/>
        </w:rPr>
      </w:pPr>
      <w:r>
        <w:rPr>
          <w:noProof/>
        </w:rPr>
        <w:drawing>
          <wp:inline distT="0" distB="0" distL="0" distR="0" wp14:anchorId="2A7B3B3B" wp14:editId="46567ED7">
            <wp:extent cx="5731510" cy="3872865"/>
            <wp:effectExtent l="0" t="0" r="2540" b="0"/>
            <wp:docPr id="1665892957" name="Chart 1" descr="Bar chart showing the proportion of employers using methods, for those who use only one method, and those using two or more. Proportions are as follows:&#10;Online jobs board: 49%, 73%.&#10;Word of mouth / poached: 17%, 39%.&#10;Social media: 6%, 42%.&#10;Recruitment agency / government employment service: 9%, 20%.&#10;Directly approached by job seeker: 10%,16%.&#10;Company website: 5%, 18%.&#10;Internal recruitment: 2%, 13%.&#10;Sign in window: 1%, 7%.&#10;Education institution: 1%, 4%.&#10;Newspaper: 0%, 4%.&#10;Other methods: 1%, 4%.&#10;The chart shows that online job boards, word of mouth, and social media are the most common recruitment methods, especially when used in conjunction with other methods.">
              <a:extLst xmlns:a="http://schemas.openxmlformats.org/drawingml/2006/main">
                <a:ext uri="{FF2B5EF4-FFF2-40B4-BE49-F238E27FC236}">
                  <a16:creationId xmlns:a16="http://schemas.microsoft.com/office/drawing/2014/main" id="{74EB5B65-EBE5-4976-9930-8E97FA1B8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0CB465" w14:textId="77777777" w:rsidR="004A632D" w:rsidRPr="0026769D" w:rsidRDefault="004A632D" w:rsidP="00AC4701">
      <w:pPr>
        <w:spacing w:after="160" w:line="259" w:lineRule="auto"/>
        <w:rPr>
          <w:rFonts w:cs="Arial"/>
          <w:sz w:val="18"/>
          <w:szCs w:val="18"/>
        </w:rPr>
      </w:pPr>
      <w:r w:rsidRPr="0026769D">
        <w:rPr>
          <w:rFonts w:cs="Arial"/>
          <w:sz w:val="18"/>
          <w:szCs w:val="18"/>
        </w:rPr>
        <w:t>Source: Jobs and Skills Australia, Recruitment Experiences and Outlook Survey, 2025.</w:t>
      </w:r>
    </w:p>
    <w:p w14:paraId="08E7A044" w14:textId="4858BAD4" w:rsidR="004A632D" w:rsidRPr="009E348F" w:rsidRDefault="004A632D" w:rsidP="00AC4701">
      <w:pPr>
        <w:spacing w:after="160" w:line="259" w:lineRule="auto"/>
        <w:rPr>
          <w:rFonts w:cs="Arial"/>
        </w:rPr>
      </w:pPr>
      <w:r w:rsidRPr="587FEA27">
        <w:rPr>
          <w:rFonts w:cs="Arial"/>
        </w:rPr>
        <w:t>Social media</w:t>
      </w:r>
      <w:proofErr w:type="gramStart"/>
      <w:r w:rsidR="00396156" w:rsidRPr="587FEA27">
        <w:rPr>
          <w:rFonts w:cs="Arial"/>
        </w:rPr>
        <w:t>,</w:t>
      </w:r>
      <w:r w:rsidR="00711F19" w:rsidRPr="587FEA27">
        <w:rPr>
          <w:rFonts w:cs="Arial"/>
        </w:rPr>
        <w:t xml:space="preserve"> in particular,</w:t>
      </w:r>
      <w:r w:rsidRPr="587FEA27">
        <w:rPr>
          <w:rFonts w:cs="Arial"/>
        </w:rPr>
        <w:t xml:space="preserve"> was</w:t>
      </w:r>
      <w:proofErr w:type="gramEnd"/>
      <w:r w:rsidRPr="587FEA27">
        <w:rPr>
          <w:rFonts w:cs="Arial"/>
        </w:rPr>
        <w:t xml:space="preserve"> rarely used in isolation</w:t>
      </w:r>
      <w:r w:rsidR="00711F19" w:rsidRPr="587FEA27">
        <w:rPr>
          <w:rFonts w:cs="Arial"/>
        </w:rPr>
        <w:t xml:space="preserve"> </w:t>
      </w:r>
      <w:r w:rsidRPr="587FEA27">
        <w:rPr>
          <w:rFonts w:cs="Arial"/>
        </w:rPr>
        <w:t xml:space="preserve">but was used in 42% of multi-method recruitment, indicating that it </w:t>
      </w:r>
      <w:r w:rsidR="00050FB2" w:rsidRPr="587FEA27">
        <w:rPr>
          <w:rFonts w:cs="Arial"/>
        </w:rPr>
        <w:t>primarily</w:t>
      </w:r>
      <w:r w:rsidRPr="587FEA27">
        <w:rPr>
          <w:rFonts w:cs="Arial"/>
        </w:rPr>
        <w:t xml:space="preserve"> supplement</w:t>
      </w:r>
      <w:r w:rsidR="00050FB2" w:rsidRPr="587FEA27">
        <w:rPr>
          <w:rFonts w:cs="Arial"/>
        </w:rPr>
        <w:t>ed</w:t>
      </w:r>
      <w:r w:rsidRPr="587FEA27">
        <w:rPr>
          <w:rFonts w:cs="Arial"/>
        </w:rPr>
        <w:t xml:space="preserve"> other</w:t>
      </w:r>
      <w:r w:rsidR="008E57C5" w:rsidRPr="587FEA27">
        <w:rPr>
          <w:rFonts w:cs="Arial"/>
        </w:rPr>
        <w:t xml:space="preserve"> </w:t>
      </w:r>
      <w:r w:rsidR="007F6CA7" w:rsidRPr="587FEA27">
        <w:rPr>
          <w:rFonts w:cs="Arial"/>
        </w:rPr>
        <w:t>recruitment</w:t>
      </w:r>
      <w:r w:rsidRPr="587FEA27">
        <w:rPr>
          <w:rFonts w:cs="Arial"/>
        </w:rPr>
        <w:t xml:space="preserve"> methods. Similarly, methods </w:t>
      </w:r>
      <w:r w:rsidRPr="0064723C">
        <w:rPr>
          <w:rFonts w:cs="Arial"/>
        </w:rPr>
        <w:t xml:space="preserve">such as </w:t>
      </w:r>
      <w:r w:rsidR="00425418" w:rsidRPr="0064723C">
        <w:rPr>
          <w:rFonts w:cs="Arial"/>
        </w:rPr>
        <w:t xml:space="preserve">word of mouth, </w:t>
      </w:r>
      <w:r w:rsidR="00434BB2">
        <w:rPr>
          <w:rFonts w:cs="Arial"/>
        </w:rPr>
        <w:t>recruitment agenc</w:t>
      </w:r>
      <w:r w:rsidR="007A1F34">
        <w:rPr>
          <w:rFonts w:cs="Arial"/>
        </w:rPr>
        <w:t>ies</w:t>
      </w:r>
      <w:r w:rsidR="00FC4C0E" w:rsidRPr="0064723C">
        <w:rPr>
          <w:rFonts w:cs="Arial"/>
        </w:rPr>
        <w:t xml:space="preserve">, and </w:t>
      </w:r>
      <w:r w:rsidRPr="0064723C">
        <w:rPr>
          <w:rFonts w:cs="Arial"/>
        </w:rPr>
        <w:t>company website</w:t>
      </w:r>
      <w:r w:rsidR="00477D6A" w:rsidRPr="0064723C">
        <w:rPr>
          <w:rFonts w:cs="Arial"/>
        </w:rPr>
        <w:t xml:space="preserve"> </w:t>
      </w:r>
      <w:r w:rsidRPr="0064723C">
        <w:rPr>
          <w:rFonts w:cs="Arial"/>
        </w:rPr>
        <w:t xml:space="preserve">are used much more </w:t>
      </w:r>
      <w:r w:rsidR="00A213F4" w:rsidRPr="0064723C">
        <w:rPr>
          <w:rFonts w:cs="Arial"/>
        </w:rPr>
        <w:t>frequently</w:t>
      </w:r>
      <w:r w:rsidRPr="0064723C">
        <w:rPr>
          <w:rFonts w:cs="Arial"/>
        </w:rPr>
        <w:t xml:space="preserve"> as part of a multi-method strategy.</w:t>
      </w:r>
      <w:r w:rsidR="00A409BC" w:rsidRPr="0064723C">
        <w:rPr>
          <w:rFonts w:cs="Arial"/>
        </w:rPr>
        <w:t xml:space="preserve"> </w:t>
      </w:r>
      <w:r w:rsidR="00A3592E">
        <w:rPr>
          <w:rFonts w:cs="Arial"/>
        </w:rPr>
        <w:t>W</w:t>
      </w:r>
      <w:r w:rsidRPr="0064723C">
        <w:rPr>
          <w:rFonts w:cs="Arial"/>
        </w:rPr>
        <w:t xml:space="preserve">hile being </w:t>
      </w:r>
      <w:r w:rsidR="009C7934" w:rsidRPr="0064723C">
        <w:rPr>
          <w:rFonts w:cs="Arial"/>
        </w:rPr>
        <w:t>also</w:t>
      </w:r>
      <w:r w:rsidR="009C7934" w:rsidRPr="587FEA27">
        <w:rPr>
          <w:rFonts w:cs="Arial"/>
        </w:rPr>
        <w:t xml:space="preserve"> </w:t>
      </w:r>
      <w:r w:rsidRPr="587FEA27">
        <w:rPr>
          <w:rFonts w:cs="Arial"/>
        </w:rPr>
        <w:t xml:space="preserve">used by multi-method </w:t>
      </w:r>
      <w:r w:rsidR="003E71A9" w:rsidRPr="587FEA27">
        <w:rPr>
          <w:rFonts w:cs="Arial"/>
        </w:rPr>
        <w:t xml:space="preserve">recruiting </w:t>
      </w:r>
      <w:r w:rsidRPr="587FEA27">
        <w:rPr>
          <w:rFonts w:cs="Arial"/>
        </w:rPr>
        <w:t xml:space="preserve">employers, </w:t>
      </w:r>
      <w:r w:rsidR="00A3592E">
        <w:rPr>
          <w:rFonts w:cs="Arial"/>
        </w:rPr>
        <w:t xml:space="preserve">being directly approached by job seekers </w:t>
      </w:r>
      <w:r w:rsidRPr="587FEA27">
        <w:rPr>
          <w:rFonts w:cs="Arial"/>
        </w:rPr>
        <w:t xml:space="preserve">does not </w:t>
      </w:r>
      <w:r w:rsidR="00A3592E">
        <w:rPr>
          <w:rFonts w:cs="Arial"/>
        </w:rPr>
        <w:t>see</w:t>
      </w:r>
      <w:r w:rsidR="00A3592E" w:rsidRPr="587FEA27">
        <w:rPr>
          <w:rFonts w:cs="Arial"/>
        </w:rPr>
        <w:t xml:space="preserve"> </w:t>
      </w:r>
      <w:r w:rsidRPr="587FEA27">
        <w:rPr>
          <w:rFonts w:cs="Arial"/>
        </w:rPr>
        <w:t xml:space="preserve">an increase in usage like the methods mentioned above. </w:t>
      </w:r>
    </w:p>
    <w:p w14:paraId="38FBFA97" w14:textId="3A7BD3AD" w:rsidR="004A632D" w:rsidRPr="009E348F" w:rsidRDefault="00F45AE0" w:rsidP="00AC4701">
      <w:pPr>
        <w:spacing w:after="160" w:line="259" w:lineRule="auto"/>
        <w:rPr>
          <w:rFonts w:cs="Arial"/>
        </w:rPr>
      </w:pPr>
      <w:r>
        <w:rPr>
          <w:rFonts w:cs="Arial"/>
          <w:noProof/>
        </w:rPr>
        <w:drawing>
          <wp:anchor distT="0" distB="0" distL="114300" distR="114300" simplePos="0" relativeHeight="251658242" behindDoc="0" locked="0" layoutInCell="1" allowOverlap="1" wp14:anchorId="15B78351" wp14:editId="199C812F">
            <wp:simplePos x="0" y="0"/>
            <wp:positionH relativeFrom="column">
              <wp:posOffset>3314700</wp:posOffset>
            </wp:positionH>
            <wp:positionV relativeFrom="paragraph">
              <wp:posOffset>150495</wp:posOffset>
            </wp:positionV>
            <wp:extent cx="2886710" cy="1933575"/>
            <wp:effectExtent l="0" t="0" r="8890" b="0"/>
            <wp:wrapSquare wrapText="bothSides"/>
            <wp:docPr id="1838682534" name="Picture 2" descr="Diagram showing common recruitment method combinations with three pairs connected by double-headed arrows: &quot;Online jobs boards&quot; and &quot;Most other methods,&quot; &quot;Word of mouth&quot; and &quot;Social media&quot; &quot;Company website&quot; and &quot;Internal recruitment&quot; Each pair is displayed in purple rounded rectangles with teal title text &quot;Common combos&quot; abo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82534" name="Picture 2" descr="Diagram showing common recruitment method combinations with three pairs connected by double-headed arrows: &quot;Online jobs boards&quot; and &quot;Most other methods,&quot; &quot;Word of mouth&quot; and &quot;Social media&quot; &quot;Company website&quot; and &quot;Internal recruitment&quot; Each pair is displayed in purple rounded rectangles with teal title text &quot;Common combos&quot; above.">
                      <a:extLst>
                        <a:ext uri="{C183D7F6-B498-43B3-948B-1728B52AA6E4}">
                          <adec:decorative xmlns:adec="http://schemas.microsoft.com/office/drawing/2017/decorative" val="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710" cy="1933575"/>
                    </a:xfrm>
                    <a:prstGeom prst="rect">
                      <a:avLst/>
                    </a:prstGeom>
                    <a:noFill/>
                  </pic:spPr>
                </pic:pic>
              </a:graphicData>
            </a:graphic>
            <wp14:sizeRelH relativeFrom="margin">
              <wp14:pctWidth>0</wp14:pctWidth>
            </wp14:sizeRelH>
            <wp14:sizeRelV relativeFrom="margin">
              <wp14:pctHeight>0</wp14:pctHeight>
            </wp14:sizeRelV>
          </wp:anchor>
        </w:drawing>
      </w:r>
      <w:r w:rsidR="004A632D" w:rsidRPr="009E348F">
        <w:rPr>
          <w:rFonts w:cs="Arial"/>
        </w:rPr>
        <w:t xml:space="preserve">The extent to which employers combined different recruitment methods is illustrated in Figure 4. Online job boards dominate as the most frequently used method and show strong connections to nearly all other channels, indicating that they are often the foundation of multi-method recruitment strategies. Social media also features prominently, with substantial overlap with word of mouth, company websites, and internal advertising, suggesting that employers increasingly integrate digital platforms with informal networks to broaden their reach. Word of mouth remains a </w:t>
      </w:r>
      <w:r w:rsidR="00FC1377">
        <w:rPr>
          <w:rFonts w:cs="Arial"/>
        </w:rPr>
        <w:t>common</w:t>
      </w:r>
      <w:r w:rsidR="004A632D" w:rsidRPr="009E348F">
        <w:rPr>
          <w:rFonts w:cs="Arial"/>
        </w:rPr>
        <w:t xml:space="preserve"> component of recruitment, frequently paired with social media and online job boards</w:t>
      </w:r>
      <w:r w:rsidR="009151BF">
        <w:rPr>
          <w:rFonts w:cs="Arial"/>
        </w:rPr>
        <w:t xml:space="preserve">. </w:t>
      </w:r>
    </w:p>
    <w:p w14:paraId="35C93AF0" w14:textId="0EC276F3" w:rsidR="004A632D" w:rsidRPr="000911A4" w:rsidRDefault="00F45AE0" w:rsidP="00A213F4">
      <w:pPr>
        <w:spacing w:after="160" w:line="259" w:lineRule="auto"/>
        <w:rPr>
          <w:b/>
          <w:bCs/>
          <w:color w:val="012749"/>
          <w:sz w:val="20"/>
          <w:szCs w:val="20"/>
        </w:rPr>
      </w:pPr>
      <w:r>
        <w:rPr>
          <w:rFonts w:cs="Arial"/>
          <w:b/>
          <w:bCs/>
          <w:color w:val="6DBEF4" w:themeColor="accent5" w:themeTint="99"/>
        </w:rPr>
        <w:br w:type="page"/>
      </w:r>
      <w:r w:rsidR="004A632D" w:rsidRPr="000911A4">
        <w:rPr>
          <w:b/>
          <w:bCs/>
          <w:color w:val="012749"/>
          <w:sz w:val="20"/>
          <w:szCs w:val="20"/>
        </w:rPr>
        <w:lastRenderedPageBreak/>
        <w:t>Figure 4: Combinations of methods of recruitment when used in a multi-method strategy, 2025</w:t>
      </w:r>
    </w:p>
    <w:p w14:paraId="03E6D8FD" w14:textId="555A0FD5" w:rsidR="004A632D" w:rsidRPr="004A0D3C" w:rsidRDefault="58AA3453" w:rsidP="22755D12">
      <w:pPr>
        <w:spacing w:after="160" w:line="259" w:lineRule="auto"/>
      </w:pPr>
      <w:r>
        <w:rPr>
          <w:noProof/>
        </w:rPr>
        <w:drawing>
          <wp:inline distT="0" distB="0" distL="0" distR="0" wp14:anchorId="10F3BDFF" wp14:editId="3B9ECB2F">
            <wp:extent cx="5730737" cy="3566469"/>
            <wp:effectExtent l="0" t="0" r="0" b="0"/>
            <wp:docPr id="1591315072" name="drawing" descr="Chord diagram illustrating connections between multiple job search methods, highlighting how employers recruit when using multiple methods. Online Jobs Boards, Social Media, and Word of Mouth are prominent sources, with Online Jobs Boards showing the strongest links to multiple hiring methods, including Recruitment Agency and Company Web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15072" name="drawing" descr="Chord diagram illustrating connections between multiple job search methods, highlighting how employers recruit when using multiple methods. Online Jobs Boards, Social Media, and Word of Mouth are prominent sources, with Online Jobs Boards showing the strongest links to multiple hiring methods, including Recruitment Agency and Company Websites."/>
                    <pic:cNvPicPr/>
                  </pic:nvPicPr>
                  <pic:blipFill>
                    <a:blip r:embed="rId17">
                      <a:extLst>
                        <a:ext uri="{28A0092B-C50C-407E-A947-70E740481C1C}">
                          <a14:useLocalDpi xmlns:a14="http://schemas.microsoft.com/office/drawing/2010/main"/>
                        </a:ext>
                      </a:extLst>
                    </a:blip>
                    <a:stretch>
                      <a:fillRect/>
                    </a:stretch>
                  </pic:blipFill>
                  <pic:spPr>
                    <a:xfrm>
                      <a:off x="0" y="0"/>
                      <a:ext cx="5730737" cy="3566469"/>
                    </a:xfrm>
                    <a:prstGeom prst="rect">
                      <a:avLst/>
                    </a:prstGeom>
                  </pic:spPr>
                </pic:pic>
              </a:graphicData>
            </a:graphic>
          </wp:inline>
        </w:drawing>
      </w:r>
    </w:p>
    <w:p w14:paraId="4A1F268B" w14:textId="77777777" w:rsidR="004A632D" w:rsidRPr="004A0D3C" w:rsidRDefault="004A632D" w:rsidP="00AC4701">
      <w:pPr>
        <w:spacing w:after="160" w:line="259" w:lineRule="auto"/>
        <w:rPr>
          <w:rFonts w:cs="Arial"/>
          <w:sz w:val="18"/>
          <w:szCs w:val="18"/>
        </w:rPr>
      </w:pPr>
      <w:r w:rsidRPr="004A0D3C">
        <w:rPr>
          <w:rFonts w:cs="Arial"/>
          <w:sz w:val="18"/>
          <w:szCs w:val="18"/>
        </w:rPr>
        <w:t>Source: Jobs and Skills Australia, Recruitment Experiences and Outlook Survey, 2025.</w:t>
      </w:r>
    </w:p>
    <w:p w14:paraId="28168B06" w14:textId="13640BEC" w:rsidR="004A632D" w:rsidRPr="004A632D" w:rsidRDefault="004A632D" w:rsidP="000D7A07">
      <w:pPr>
        <w:pStyle w:val="Heading1"/>
        <w:spacing w:before="240" w:after="120" w:line="259" w:lineRule="auto"/>
        <w:rPr>
          <w:rFonts w:cs="Arial"/>
          <w:b w:val="0"/>
          <w:bCs/>
          <w:color w:val="auto"/>
          <w:sz w:val="32"/>
        </w:rPr>
      </w:pPr>
      <w:r w:rsidRPr="004A632D">
        <w:rPr>
          <w:rFonts w:cs="Arial"/>
          <w:bCs/>
          <w:color w:val="auto"/>
          <w:sz w:val="32"/>
        </w:rPr>
        <w:t xml:space="preserve">Employers recruit differently </w:t>
      </w:r>
      <w:r w:rsidR="000519A3">
        <w:rPr>
          <w:rFonts w:cs="Arial"/>
          <w:bCs/>
          <w:color w:val="auto"/>
          <w:sz w:val="32"/>
        </w:rPr>
        <w:t>when it is</w:t>
      </w:r>
      <w:r w:rsidRPr="004A632D">
        <w:rPr>
          <w:rFonts w:cs="Arial"/>
          <w:bCs/>
          <w:color w:val="auto"/>
          <w:sz w:val="32"/>
        </w:rPr>
        <w:t xml:space="preserve"> difficult to find staff</w:t>
      </w:r>
    </w:p>
    <w:p w14:paraId="495ABCF8" w14:textId="2BB66B06" w:rsidR="004A632D" w:rsidRPr="00E22967" w:rsidRDefault="00A436B6" w:rsidP="00AC4701">
      <w:pPr>
        <w:spacing w:after="160" w:line="259" w:lineRule="auto"/>
        <w:rPr>
          <w:rFonts w:cs="Arial"/>
        </w:rPr>
      </w:pPr>
      <w:r w:rsidRPr="587FEA27">
        <w:rPr>
          <w:rFonts w:cs="Arial"/>
        </w:rPr>
        <w:t>E</w:t>
      </w:r>
      <w:r w:rsidR="004A632D" w:rsidRPr="587FEA27">
        <w:rPr>
          <w:rFonts w:cs="Arial"/>
        </w:rPr>
        <w:t xml:space="preserve">mployers who have difficulty finding staff </w:t>
      </w:r>
      <w:r w:rsidRPr="587FEA27">
        <w:rPr>
          <w:rFonts w:cs="Arial"/>
        </w:rPr>
        <w:t xml:space="preserve">are far more </w:t>
      </w:r>
      <w:r w:rsidR="007D5187" w:rsidRPr="587FEA27">
        <w:rPr>
          <w:rFonts w:cs="Arial"/>
        </w:rPr>
        <w:t>likely to diversify their recruitment strategies.</w:t>
      </w:r>
      <w:r w:rsidR="004A632D" w:rsidRPr="587FEA27">
        <w:rPr>
          <w:rFonts w:cs="Arial"/>
        </w:rPr>
        <w:t xml:space="preserve"> </w:t>
      </w:r>
      <w:r w:rsidR="004A632D" w:rsidRPr="00E22967">
        <w:rPr>
          <w:rFonts w:cs="Arial"/>
        </w:rPr>
        <w:t xml:space="preserve">Online job boards dominate as the most common method across both </w:t>
      </w:r>
      <w:r w:rsidR="00AF2C35">
        <w:rPr>
          <w:rFonts w:cs="Arial"/>
        </w:rPr>
        <w:t xml:space="preserve">easy-to-fill and </w:t>
      </w:r>
      <w:r w:rsidR="00060CD8">
        <w:rPr>
          <w:rFonts w:cs="Arial"/>
        </w:rPr>
        <w:t>difficult-to-fill vacancies</w:t>
      </w:r>
      <w:r w:rsidR="004A632D" w:rsidRPr="00E22967">
        <w:rPr>
          <w:rFonts w:cs="Arial"/>
        </w:rPr>
        <w:t xml:space="preserve">, but the difference </w:t>
      </w:r>
      <w:r w:rsidR="00A3172C">
        <w:rPr>
          <w:rFonts w:cs="Arial"/>
        </w:rPr>
        <w:t xml:space="preserve">in usage </w:t>
      </w:r>
      <w:r w:rsidR="004A632D" w:rsidRPr="00E22967">
        <w:rPr>
          <w:rFonts w:cs="Arial"/>
        </w:rPr>
        <w:t>is striking</w:t>
      </w:r>
      <w:r w:rsidR="00A3172C">
        <w:rPr>
          <w:rFonts w:cs="Arial"/>
        </w:rPr>
        <w:t>. Their</w:t>
      </w:r>
      <w:r w:rsidR="006764F2">
        <w:rPr>
          <w:rFonts w:cs="Arial"/>
        </w:rPr>
        <w:t xml:space="preserve"> </w:t>
      </w:r>
      <w:r w:rsidR="00107E44" w:rsidRPr="00107E44">
        <w:rPr>
          <w:rFonts w:cs="Arial"/>
        </w:rPr>
        <w:t>us</w:t>
      </w:r>
      <w:r w:rsidR="00BF20A3">
        <w:rPr>
          <w:rFonts w:cs="Arial"/>
        </w:rPr>
        <w:t>e</w:t>
      </w:r>
      <w:r w:rsidR="00107E44" w:rsidRPr="00107E44">
        <w:rPr>
          <w:rFonts w:cs="Arial"/>
        </w:rPr>
        <w:t xml:space="preserve"> is significantly higher for hard</w:t>
      </w:r>
      <w:r w:rsidR="00107E44" w:rsidRPr="00107E44">
        <w:rPr>
          <w:rFonts w:cs="Arial"/>
        </w:rPr>
        <w:noBreakHyphen/>
        <w:t>to</w:t>
      </w:r>
      <w:r w:rsidR="00107E44" w:rsidRPr="00107E44">
        <w:rPr>
          <w:rFonts w:cs="Arial"/>
        </w:rPr>
        <w:noBreakHyphen/>
        <w:t>fill roles</w:t>
      </w:r>
      <w:r w:rsidR="00BF20A3">
        <w:rPr>
          <w:rFonts w:cs="Arial"/>
        </w:rPr>
        <w:t>, with a</w:t>
      </w:r>
      <w:r w:rsidR="004A632D" w:rsidRPr="00E22967">
        <w:rPr>
          <w:rFonts w:cs="Arial"/>
        </w:rPr>
        <w:t>lmost three quarters (73%) of employers recruiting for difficult</w:t>
      </w:r>
      <w:r w:rsidR="006764F2">
        <w:rPr>
          <w:rFonts w:cs="Arial"/>
        </w:rPr>
        <w:t>-</w:t>
      </w:r>
      <w:r w:rsidR="004A632D" w:rsidRPr="00E22967">
        <w:rPr>
          <w:rFonts w:cs="Arial"/>
        </w:rPr>
        <w:t>to</w:t>
      </w:r>
      <w:r w:rsidR="006764F2">
        <w:rPr>
          <w:rFonts w:cs="Arial"/>
        </w:rPr>
        <w:t>-</w:t>
      </w:r>
      <w:r w:rsidR="004A632D" w:rsidRPr="00E22967">
        <w:rPr>
          <w:rFonts w:cs="Arial"/>
        </w:rPr>
        <w:t>fill roles us</w:t>
      </w:r>
      <w:r w:rsidR="00BF5527">
        <w:rPr>
          <w:rFonts w:cs="Arial"/>
        </w:rPr>
        <w:t>ing</w:t>
      </w:r>
      <w:r w:rsidR="004A632D" w:rsidRPr="00E22967">
        <w:rPr>
          <w:rFonts w:cs="Arial"/>
        </w:rPr>
        <w:t xml:space="preserve"> online job boards, compared with 46% for roles that were not difficult to fill. This suggests </w:t>
      </w:r>
      <w:r w:rsidR="00F55E92">
        <w:rPr>
          <w:rFonts w:cs="Arial"/>
        </w:rPr>
        <w:t xml:space="preserve">a strong association between </w:t>
      </w:r>
      <w:r w:rsidR="006C5C6D">
        <w:rPr>
          <w:rFonts w:cs="Arial"/>
        </w:rPr>
        <w:t>difficult-</w:t>
      </w:r>
      <w:r w:rsidR="00F55E92">
        <w:rPr>
          <w:rFonts w:cs="Arial"/>
        </w:rPr>
        <w:t>to</w:t>
      </w:r>
      <w:r w:rsidR="006C5C6D">
        <w:rPr>
          <w:rFonts w:cs="Arial"/>
        </w:rPr>
        <w:t>-</w:t>
      </w:r>
      <w:r w:rsidR="00F55E92">
        <w:rPr>
          <w:rFonts w:cs="Arial"/>
        </w:rPr>
        <w:t>fill vacancies and advertising on online job boards</w:t>
      </w:r>
      <w:r w:rsidR="004A632D" w:rsidRPr="00E22967">
        <w:rPr>
          <w:rFonts w:cs="Arial"/>
        </w:rPr>
        <w:t>.</w:t>
      </w:r>
    </w:p>
    <w:p w14:paraId="39104106" w14:textId="0B02477C" w:rsidR="004A632D" w:rsidRPr="00E22967" w:rsidRDefault="00172849" w:rsidP="00757F9B">
      <w:pPr>
        <w:spacing w:after="360" w:line="259" w:lineRule="auto"/>
        <w:rPr>
          <w:rFonts w:cs="Arial"/>
        </w:rPr>
      </w:pPr>
      <w:r>
        <w:rPr>
          <w:rFonts w:cs="Arial"/>
          <w:b/>
          <w:bCs/>
          <w:noProof/>
          <w:color w:val="000000" w:themeColor="text1"/>
        </w:rPr>
        <w:drawing>
          <wp:inline distT="0" distB="0" distL="0" distR="0" wp14:anchorId="717D0E46" wp14:editId="65999667">
            <wp:extent cx="5543550" cy="2686050"/>
            <wp:effectExtent l="57150" t="0" r="38100" b="0"/>
            <wp:docPr id="641803659"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750DCE1" w14:textId="77777777" w:rsidR="00113238" w:rsidRDefault="00113238" w:rsidP="00DB1D80">
      <w:pPr>
        <w:spacing w:after="240" w:line="259" w:lineRule="auto"/>
        <w:rPr>
          <w:rFonts w:cs="Arial"/>
        </w:rPr>
      </w:pPr>
    </w:p>
    <w:p w14:paraId="23E87ADD" w14:textId="232DAFCF" w:rsidR="00DB1D80" w:rsidRPr="00DB1D80" w:rsidRDefault="0082473C" w:rsidP="00DB1D80">
      <w:pPr>
        <w:spacing w:after="240" w:line="259" w:lineRule="auto"/>
        <w:rPr>
          <w:rFonts w:cs="Arial"/>
        </w:rPr>
      </w:pPr>
      <w:r w:rsidRPr="00E22967">
        <w:rPr>
          <w:rFonts w:cs="Arial"/>
        </w:rPr>
        <w:lastRenderedPageBreak/>
        <w:t>Social media and recruitment agencies are notably more common for difficult-to-fill roles, at 28% and 20% respectively, compared with 13% and 8% for easier roles</w:t>
      </w:r>
      <w:r w:rsidR="00F048AC">
        <w:rPr>
          <w:rFonts w:cs="Arial"/>
        </w:rPr>
        <w:t xml:space="preserve">, </w:t>
      </w:r>
      <w:r w:rsidR="00F048AC" w:rsidRPr="00F048AC">
        <w:rPr>
          <w:rFonts w:cs="Arial"/>
        </w:rPr>
        <w:t>reflecting employers’ efforts to widen their search</w:t>
      </w:r>
      <w:r w:rsidR="00A46386">
        <w:rPr>
          <w:rFonts w:cs="Arial"/>
        </w:rPr>
        <w:t>.</w:t>
      </w:r>
      <w:r w:rsidR="002C0772">
        <w:rPr>
          <w:rFonts w:cs="Arial"/>
        </w:rPr>
        <w:t xml:space="preserve"> </w:t>
      </w:r>
      <w:r w:rsidR="00A46386">
        <w:rPr>
          <w:rFonts w:cs="Arial"/>
        </w:rPr>
        <w:t>In contrast, w</w:t>
      </w:r>
      <w:r w:rsidR="004A632D" w:rsidRPr="00E22967">
        <w:rPr>
          <w:rFonts w:cs="Arial"/>
        </w:rPr>
        <w:t xml:space="preserve">ord of mouth is used at similar rates </w:t>
      </w:r>
      <w:r w:rsidR="008E7D62">
        <w:rPr>
          <w:rFonts w:cs="Arial"/>
        </w:rPr>
        <w:t>regardless of recruitment difficulty</w:t>
      </w:r>
      <w:r w:rsidR="004A632D" w:rsidRPr="00E22967">
        <w:rPr>
          <w:rFonts w:cs="Arial"/>
        </w:rPr>
        <w:t xml:space="preserve"> (26% for difficult</w:t>
      </w:r>
      <w:r w:rsidR="00F913B3">
        <w:rPr>
          <w:rFonts w:cs="Arial"/>
        </w:rPr>
        <w:t>-to-fill</w:t>
      </w:r>
      <w:r w:rsidR="004A632D" w:rsidRPr="00E22967">
        <w:rPr>
          <w:rFonts w:cs="Arial"/>
        </w:rPr>
        <w:t xml:space="preserve"> roles and 25% for eas</w:t>
      </w:r>
      <w:r w:rsidR="00BA04A7">
        <w:rPr>
          <w:rFonts w:cs="Arial"/>
        </w:rPr>
        <w:t>y-to-fill</w:t>
      </w:r>
      <w:r w:rsidR="004A632D" w:rsidRPr="00E22967">
        <w:rPr>
          <w:rFonts w:cs="Arial"/>
        </w:rPr>
        <w:t xml:space="preserve"> roles), indicating that informal networks remain important </w:t>
      </w:r>
      <w:r w:rsidR="007C66A6" w:rsidRPr="007C66A6">
        <w:rPr>
          <w:rFonts w:cs="Arial"/>
        </w:rPr>
        <w:t>across all recruitment contexts</w:t>
      </w:r>
      <w:r w:rsidR="00EC0791">
        <w:rPr>
          <w:rFonts w:cs="Arial"/>
        </w:rPr>
        <w:t xml:space="preserve">. </w:t>
      </w:r>
      <w:r w:rsidR="00DB1D80">
        <w:rPr>
          <w:rFonts w:cs="Arial"/>
        </w:rPr>
        <w:t>U</w:t>
      </w:r>
      <w:r w:rsidR="00DB1D80" w:rsidRPr="00DB1D80">
        <w:rPr>
          <w:rFonts w:cs="Arial"/>
        </w:rPr>
        <w:t>nsurprising</w:t>
      </w:r>
      <w:r w:rsidR="00DB1D80">
        <w:rPr>
          <w:rFonts w:cs="Arial"/>
        </w:rPr>
        <w:t>ly</w:t>
      </w:r>
      <w:r w:rsidR="00DB1D80" w:rsidRPr="00DB1D80">
        <w:rPr>
          <w:rFonts w:cs="Arial"/>
        </w:rPr>
        <w:t>, being directly approached by job seekers is far more common for easy</w:t>
      </w:r>
      <w:r w:rsidR="00DB1D80" w:rsidRPr="00DB1D80">
        <w:rPr>
          <w:rFonts w:cs="Arial"/>
        </w:rPr>
        <w:noBreakHyphen/>
        <w:t>to</w:t>
      </w:r>
      <w:r w:rsidR="00DB1D80" w:rsidRPr="00DB1D80">
        <w:rPr>
          <w:rFonts w:cs="Arial"/>
        </w:rPr>
        <w:noBreakHyphen/>
        <w:t>fill roles (18%) than for difficult</w:t>
      </w:r>
      <w:r w:rsidR="00DB1D80" w:rsidRPr="00DB1D80">
        <w:rPr>
          <w:rFonts w:cs="Arial"/>
        </w:rPr>
        <w:noBreakHyphen/>
        <w:t>to</w:t>
      </w:r>
      <w:r w:rsidR="00DB1D80" w:rsidRPr="00DB1D80">
        <w:rPr>
          <w:rFonts w:cs="Arial"/>
        </w:rPr>
        <w:noBreakHyphen/>
        <w:t>fill roles (5%).</w:t>
      </w:r>
    </w:p>
    <w:p w14:paraId="379C2AEB" w14:textId="31CA6012" w:rsidR="004A632D" w:rsidRPr="00E22967" w:rsidRDefault="004A632D" w:rsidP="00A213F4">
      <w:pPr>
        <w:spacing w:after="240" w:line="259" w:lineRule="auto"/>
        <w:rPr>
          <w:rFonts w:cs="Arial"/>
        </w:rPr>
      </w:pPr>
      <w:r w:rsidRPr="587FEA27">
        <w:rPr>
          <w:rFonts w:cs="Arial"/>
        </w:rPr>
        <w:t xml:space="preserve">Overall, the data highlight that employers facing recruitment challenges tend to </w:t>
      </w:r>
      <w:r w:rsidR="00013B0E" w:rsidRPr="587FEA27">
        <w:rPr>
          <w:rFonts w:cs="Arial"/>
        </w:rPr>
        <w:t>rely more heavil</w:t>
      </w:r>
      <w:r w:rsidR="00E61FF9" w:rsidRPr="587FEA27">
        <w:rPr>
          <w:rFonts w:cs="Arial"/>
        </w:rPr>
        <w:t>y</w:t>
      </w:r>
      <w:r w:rsidRPr="587FEA27">
        <w:rPr>
          <w:rFonts w:cs="Arial"/>
        </w:rPr>
        <w:t xml:space="preserve"> on digital platforms and formal recruitment services, while informal and/or low-cost recruitment </w:t>
      </w:r>
      <w:r w:rsidR="00844CBF" w:rsidRPr="587FEA27">
        <w:rPr>
          <w:rFonts w:cs="Arial"/>
        </w:rPr>
        <w:t>methods continues to play an important role</w:t>
      </w:r>
      <w:r w:rsidRPr="587FEA27">
        <w:rPr>
          <w:rFonts w:cs="Arial"/>
        </w:rPr>
        <w:t xml:space="preserve"> regardless of difficulty.</w:t>
      </w:r>
    </w:p>
    <w:p w14:paraId="7D274F63" w14:textId="51FDC784" w:rsidR="004A632D" w:rsidRDefault="004A632D" w:rsidP="0015716D">
      <w:pPr>
        <w:pStyle w:val="Caption"/>
      </w:pPr>
      <w:r w:rsidRPr="007360A3">
        <w:rPr>
          <w:color w:val="012749"/>
          <w:sz w:val="20"/>
          <w:szCs w:val="20"/>
        </w:rPr>
        <w:t>Figure 5: Proportion of employers using methods of recruitment by whether the vacancy was difficult to fill, 2025</w:t>
      </w:r>
      <w:r w:rsidR="0015716D">
        <w:rPr>
          <w:noProof/>
        </w:rPr>
        <w:drawing>
          <wp:inline distT="0" distB="0" distL="0" distR="0" wp14:anchorId="0FDBEDB2" wp14:editId="7F4CC80E">
            <wp:extent cx="5731510" cy="3937635"/>
            <wp:effectExtent l="0" t="0" r="2540" b="5715"/>
            <wp:docPr id="1664218508" name="Chart 1" descr="Bar chart showing recruitment method use for employers who found it difficult recruit, and for those who had no trouble recruiting. &#10;Methods not covered by preceding text includes (proportions stated for difficult to fill roles and then easier to fill roles) include: company websites 7% and 12%, internal recruitment 5% and 7%, sign in window 3% and 3%, education institution 2% and 2%, newspaper 3% and 1%, other methods 3% and 1%.">
              <a:extLst xmlns:a="http://schemas.openxmlformats.org/drawingml/2006/main">
                <a:ext uri="{FF2B5EF4-FFF2-40B4-BE49-F238E27FC236}">
                  <a16:creationId xmlns:a16="http://schemas.microsoft.com/office/drawing/2014/main" id="{210CD23D-B2CB-4ED0-9754-9E99868E7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66A7EC" w14:textId="762971D4" w:rsidR="00CB571C" w:rsidRDefault="004A632D" w:rsidP="00AC4701">
      <w:pPr>
        <w:spacing w:after="160" w:line="259" w:lineRule="auto"/>
        <w:rPr>
          <w:rFonts w:cs="Arial"/>
          <w:sz w:val="18"/>
          <w:szCs w:val="18"/>
        </w:rPr>
      </w:pPr>
      <w:r w:rsidRPr="0026769D">
        <w:rPr>
          <w:rFonts w:cs="Arial"/>
          <w:sz w:val="18"/>
          <w:szCs w:val="18"/>
        </w:rPr>
        <w:t>Source: Jobs and Skills Australia, Recruitment Experiences and Outlook Survey, 2025.</w:t>
      </w:r>
    </w:p>
    <w:p w14:paraId="2F00D25F" w14:textId="77777777" w:rsidR="00CB571C" w:rsidRDefault="00CB571C">
      <w:pPr>
        <w:spacing w:after="160" w:line="259" w:lineRule="auto"/>
        <w:rPr>
          <w:rFonts w:cs="Arial"/>
          <w:sz w:val="18"/>
          <w:szCs w:val="18"/>
        </w:rPr>
      </w:pPr>
      <w:r>
        <w:rPr>
          <w:rFonts w:cs="Arial"/>
          <w:sz w:val="18"/>
          <w:szCs w:val="18"/>
        </w:rPr>
        <w:br w:type="page"/>
      </w:r>
    </w:p>
    <w:p w14:paraId="4F74B6A7" w14:textId="77777777" w:rsidR="00102D1C" w:rsidRPr="00EE5E13" w:rsidRDefault="00102D1C" w:rsidP="00102D1C">
      <w:pPr>
        <w:pStyle w:val="Heading1"/>
        <w:spacing w:before="240" w:after="120" w:line="259" w:lineRule="auto"/>
        <w:rPr>
          <w:rFonts w:cs="Arial"/>
          <w:b w:val="0"/>
          <w:bCs/>
          <w:color w:val="auto"/>
          <w:sz w:val="32"/>
        </w:rPr>
      </w:pPr>
      <w:r w:rsidRPr="00EE5E13">
        <w:rPr>
          <w:rFonts w:cs="Arial"/>
          <w:bCs/>
          <w:color w:val="auto"/>
          <w:sz w:val="32"/>
        </w:rPr>
        <w:lastRenderedPageBreak/>
        <w:t>How employers recruit: by region</w:t>
      </w:r>
    </w:p>
    <w:p w14:paraId="4B900B65" w14:textId="5BC51FA5" w:rsidR="00102D1C" w:rsidRPr="00694A9A" w:rsidRDefault="001D5B63" w:rsidP="00102D1C">
      <w:pPr>
        <w:spacing w:after="160" w:line="259" w:lineRule="auto"/>
        <w:rPr>
          <w:rFonts w:cs="Arial"/>
        </w:rPr>
      </w:pPr>
      <w:r>
        <w:rPr>
          <w:rFonts w:cs="Arial"/>
        </w:rPr>
        <w:t>C</w:t>
      </w:r>
      <w:r w:rsidR="00102D1C" w:rsidRPr="00694A9A">
        <w:rPr>
          <w:rFonts w:cs="Arial"/>
        </w:rPr>
        <w:t xml:space="preserve">lear differences in recruitment behaviour </w:t>
      </w:r>
      <w:r w:rsidR="00844E99">
        <w:rPr>
          <w:rFonts w:cs="Arial"/>
        </w:rPr>
        <w:t xml:space="preserve">are evident </w:t>
      </w:r>
      <w:r w:rsidR="00102D1C" w:rsidRPr="00694A9A">
        <w:rPr>
          <w:rFonts w:cs="Arial"/>
        </w:rPr>
        <w:t>between major cities and regional or remote areas</w:t>
      </w:r>
      <w:r w:rsidR="00844E99">
        <w:rPr>
          <w:rFonts w:cs="Arial"/>
        </w:rPr>
        <w:t xml:space="preserve"> (Table 1)</w:t>
      </w:r>
      <w:r w:rsidR="00102D1C" w:rsidRPr="00694A9A">
        <w:rPr>
          <w:rFonts w:cs="Arial"/>
        </w:rPr>
        <w:t>. Employers in major cities rely heavily on online job boards, with relatively low use of word of mouth and social media. Recruitment difficulty in these areas is generally low, suggesting that formal online channels are effective in attracting candidates where labour supply is higher.</w:t>
      </w:r>
    </w:p>
    <w:p w14:paraId="45D56309" w14:textId="039764C8" w:rsidR="00A213F4" w:rsidRDefault="00102D1C">
      <w:pPr>
        <w:spacing w:after="160" w:line="259" w:lineRule="auto"/>
        <w:rPr>
          <w:b/>
          <w:bCs/>
          <w:color w:val="012749"/>
          <w:sz w:val="20"/>
          <w:szCs w:val="20"/>
        </w:rPr>
      </w:pPr>
      <w:r w:rsidRPr="00694A9A">
        <w:rPr>
          <w:rFonts w:cs="Arial"/>
        </w:rPr>
        <w:t xml:space="preserve">In contrast, employers in inner, outer regional, and remote areas show a very different pattern. Online job board usage is low, while word of mouth and social media are used extensively. </w:t>
      </w:r>
      <w:r>
        <w:rPr>
          <w:rFonts w:cs="Arial"/>
        </w:rPr>
        <w:t>R</w:t>
      </w:r>
      <w:r w:rsidRPr="00694A9A">
        <w:rPr>
          <w:rFonts w:cs="Arial"/>
        </w:rPr>
        <w:t>ecruitment difficulty remains high across all regional and remote areas, indicating persistent challenges in sourcing suitable candidates.</w:t>
      </w:r>
    </w:p>
    <w:p w14:paraId="68461BE8" w14:textId="4EB08CCE" w:rsidR="00E43954" w:rsidRPr="007360A3" w:rsidRDefault="00E43954" w:rsidP="0015716D">
      <w:pPr>
        <w:pStyle w:val="Caption"/>
        <w:rPr>
          <w:color w:val="012749"/>
          <w:sz w:val="20"/>
          <w:szCs w:val="20"/>
        </w:rPr>
      </w:pPr>
      <w:r w:rsidRPr="007360A3">
        <w:rPr>
          <w:color w:val="012749"/>
          <w:sz w:val="20"/>
          <w:szCs w:val="20"/>
        </w:rPr>
        <w:t>Table 1: Employer use of key methods of recruitment and difficulty rate, by ARIA regions, 2025</w:t>
      </w:r>
    </w:p>
    <w:tbl>
      <w:tblPr>
        <w:tblStyle w:val="CustomTableoption2"/>
        <w:tblW w:w="9072" w:type="dxa"/>
        <w:tblBorders>
          <w:bottom w:val="none" w:sz="0" w:space="0" w:color="auto"/>
        </w:tblBorders>
        <w:tblLayout w:type="fixed"/>
        <w:tblLook w:val="06A0" w:firstRow="1" w:lastRow="0" w:firstColumn="1" w:lastColumn="0" w:noHBand="1" w:noVBand="1"/>
      </w:tblPr>
      <w:tblGrid>
        <w:gridCol w:w="3591"/>
        <w:gridCol w:w="1224"/>
        <w:gridCol w:w="1281"/>
        <w:gridCol w:w="1275"/>
        <w:gridCol w:w="284"/>
        <w:gridCol w:w="1417"/>
      </w:tblGrid>
      <w:tr w:rsidR="00E43954" w:rsidRPr="00022DAD" w14:paraId="17DF78CD" w14:textId="77777777" w:rsidTr="3B814ED4">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91" w:type="dxa"/>
            <w:vMerge w:val="restart"/>
          </w:tcPr>
          <w:p w14:paraId="64A97463" w14:textId="77777777" w:rsidR="00E43954" w:rsidRPr="00022DAD" w:rsidRDefault="00E43954">
            <w:pPr>
              <w:tabs>
                <w:tab w:val="left" w:pos="357"/>
                <w:tab w:val="left" w:pos="714"/>
                <w:tab w:val="left" w:pos="1072"/>
                <w:tab w:val="left" w:pos="1429"/>
              </w:tabs>
              <w:spacing w:before="60" w:after="60" w:line="240" w:lineRule="auto"/>
              <w:rPr>
                <w:rFonts w:eastAsia="Calibri" w:cs="Arial"/>
                <w:sz w:val="18"/>
                <w:szCs w:val="16"/>
              </w:rPr>
            </w:pPr>
          </w:p>
        </w:tc>
        <w:tc>
          <w:tcPr>
            <w:tcW w:w="3780" w:type="dxa"/>
            <w:gridSpan w:val="3"/>
            <w:vAlign w:val="center"/>
          </w:tcPr>
          <w:p w14:paraId="53E2E363" w14:textId="77777777" w:rsidR="00E43954" w:rsidRPr="00022DAD" w:rsidRDefault="00E43954">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022DAD">
              <w:rPr>
                <w:rFonts w:eastAsia="Calibri" w:cs="Arial"/>
                <w:b/>
                <w:bCs/>
                <w:sz w:val="18"/>
                <w:szCs w:val="16"/>
              </w:rPr>
              <w:t>Employer use of:</w:t>
            </w:r>
          </w:p>
        </w:tc>
        <w:tc>
          <w:tcPr>
            <w:tcW w:w="284" w:type="dxa"/>
            <w:vAlign w:val="center"/>
          </w:tcPr>
          <w:p w14:paraId="423A3C9C" w14:textId="77777777" w:rsidR="00E43954" w:rsidRPr="00022DAD" w:rsidRDefault="00E43954">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val="restart"/>
            <w:vAlign w:val="center"/>
          </w:tcPr>
          <w:p w14:paraId="4F33F8E0" w14:textId="77777777" w:rsidR="00E43954" w:rsidRPr="00022DAD" w:rsidRDefault="00E43954">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022DAD">
              <w:rPr>
                <w:rFonts w:eastAsia="Calibri" w:cs="Arial"/>
                <w:b/>
                <w:bCs/>
                <w:sz w:val="18"/>
                <w:szCs w:val="16"/>
              </w:rPr>
              <w:t>Recruitment difficulty rate</w:t>
            </w:r>
          </w:p>
        </w:tc>
      </w:tr>
      <w:tr w:rsidR="00E43954" w:rsidRPr="00022DAD" w14:paraId="7F02B457" w14:textId="77777777" w:rsidTr="3B814ED4">
        <w:trPr>
          <w:trHeight w:val="89"/>
        </w:trPr>
        <w:tc>
          <w:tcPr>
            <w:cnfStyle w:val="001000000000" w:firstRow="0" w:lastRow="0" w:firstColumn="1" w:lastColumn="0" w:oddVBand="0" w:evenVBand="0" w:oddHBand="0" w:evenHBand="0" w:firstRowFirstColumn="0" w:firstRowLastColumn="0" w:lastRowFirstColumn="0" w:lastRowLastColumn="0"/>
            <w:tcW w:w="3591" w:type="dxa"/>
            <w:vMerge/>
          </w:tcPr>
          <w:p w14:paraId="732A18A0" w14:textId="77777777" w:rsidR="00E43954" w:rsidRPr="00022DAD" w:rsidRDefault="00E43954">
            <w:pPr>
              <w:tabs>
                <w:tab w:val="left" w:pos="357"/>
                <w:tab w:val="left" w:pos="714"/>
                <w:tab w:val="left" w:pos="1072"/>
                <w:tab w:val="left" w:pos="1429"/>
              </w:tabs>
              <w:spacing w:before="60" w:after="60" w:line="240" w:lineRule="auto"/>
              <w:rPr>
                <w:rFonts w:eastAsia="Calibri" w:cs="Arial"/>
                <w:sz w:val="18"/>
                <w:szCs w:val="16"/>
              </w:rPr>
            </w:pPr>
          </w:p>
        </w:tc>
        <w:tc>
          <w:tcPr>
            <w:tcW w:w="1224" w:type="dxa"/>
            <w:shd w:val="clear" w:color="auto" w:fill="012749" w:themeFill="accent3"/>
            <w:vAlign w:val="center"/>
          </w:tcPr>
          <w:p w14:paraId="30FFAF42" w14:textId="77777777" w:rsidR="00E43954" w:rsidRPr="00022DAD"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022DAD">
              <w:rPr>
                <w:rFonts w:eastAsia="Calibri" w:cs="Arial"/>
                <w:b/>
                <w:bCs/>
                <w:sz w:val="18"/>
                <w:szCs w:val="16"/>
              </w:rPr>
              <w:t>Online jobs boards</w:t>
            </w:r>
          </w:p>
        </w:tc>
        <w:tc>
          <w:tcPr>
            <w:tcW w:w="1281" w:type="dxa"/>
            <w:shd w:val="clear" w:color="auto" w:fill="012749" w:themeFill="accent3"/>
            <w:vAlign w:val="center"/>
          </w:tcPr>
          <w:p w14:paraId="5BF337A3" w14:textId="77777777" w:rsidR="00E43954" w:rsidRPr="00022DAD"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022DAD">
              <w:rPr>
                <w:rFonts w:eastAsia="Calibri" w:cs="Arial"/>
                <w:b/>
                <w:bCs/>
                <w:sz w:val="18"/>
                <w:szCs w:val="16"/>
              </w:rPr>
              <w:t xml:space="preserve">Word of </w:t>
            </w:r>
            <w:r>
              <w:rPr>
                <w:rFonts w:eastAsia="Calibri" w:cs="Arial"/>
                <w:b/>
                <w:bCs/>
                <w:sz w:val="18"/>
                <w:szCs w:val="16"/>
              </w:rPr>
              <w:t>m</w:t>
            </w:r>
            <w:r w:rsidRPr="00022DAD">
              <w:rPr>
                <w:rFonts w:eastAsia="Calibri" w:cs="Arial"/>
                <w:b/>
                <w:bCs/>
                <w:sz w:val="18"/>
                <w:szCs w:val="16"/>
              </w:rPr>
              <w:t>outh</w:t>
            </w:r>
          </w:p>
        </w:tc>
        <w:tc>
          <w:tcPr>
            <w:tcW w:w="1275" w:type="dxa"/>
            <w:shd w:val="clear" w:color="auto" w:fill="012749" w:themeFill="accent3"/>
            <w:vAlign w:val="center"/>
          </w:tcPr>
          <w:p w14:paraId="1CAA5F0E" w14:textId="77777777" w:rsidR="00E43954" w:rsidRPr="00022DAD"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022DAD">
              <w:rPr>
                <w:rFonts w:eastAsia="Calibri" w:cs="Arial"/>
                <w:b/>
                <w:bCs/>
                <w:sz w:val="18"/>
                <w:szCs w:val="16"/>
              </w:rPr>
              <w:t xml:space="preserve">Social </w:t>
            </w:r>
            <w:r>
              <w:rPr>
                <w:rFonts w:eastAsia="Calibri" w:cs="Arial"/>
                <w:b/>
                <w:bCs/>
                <w:sz w:val="18"/>
                <w:szCs w:val="16"/>
              </w:rPr>
              <w:t>m</w:t>
            </w:r>
            <w:r w:rsidRPr="00022DAD">
              <w:rPr>
                <w:rFonts w:eastAsia="Calibri" w:cs="Arial"/>
                <w:b/>
                <w:bCs/>
                <w:sz w:val="18"/>
                <w:szCs w:val="16"/>
              </w:rPr>
              <w:t>edia</w:t>
            </w:r>
          </w:p>
        </w:tc>
        <w:tc>
          <w:tcPr>
            <w:tcW w:w="284" w:type="dxa"/>
            <w:shd w:val="clear" w:color="auto" w:fill="012749" w:themeFill="accent3"/>
          </w:tcPr>
          <w:p w14:paraId="4F0D52B5" w14:textId="77777777" w:rsidR="00E43954" w:rsidRPr="00022DAD" w:rsidRDefault="00E43954">
            <w:pPr>
              <w:tabs>
                <w:tab w:val="left" w:pos="357"/>
                <w:tab w:val="left" w:pos="714"/>
                <w:tab w:val="left" w:pos="1072"/>
                <w:tab w:val="left" w:pos="1429"/>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tcPr>
          <w:p w14:paraId="4D2AD38D" w14:textId="77777777" w:rsidR="00E43954" w:rsidRPr="00022DAD" w:rsidRDefault="00E43954">
            <w:pPr>
              <w:tabs>
                <w:tab w:val="left" w:pos="357"/>
                <w:tab w:val="left" w:pos="714"/>
                <w:tab w:val="left" w:pos="1072"/>
                <w:tab w:val="left" w:pos="1429"/>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r>
      <w:tr w:rsidR="00E43954" w:rsidRPr="00022DAD" w14:paraId="48E7BFC5" w14:textId="77777777" w:rsidTr="008E6C38">
        <w:trPr>
          <w:trHeight w:val="162"/>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5CD71EE" w14:textId="77777777" w:rsidR="00E43954" w:rsidRPr="00022DAD" w:rsidRDefault="00E43954">
            <w:pPr>
              <w:tabs>
                <w:tab w:val="left" w:pos="357"/>
                <w:tab w:val="left" w:pos="714"/>
                <w:tab w:val="left" w:pos="1072"/>
                <w:tab w:val="left" w:pos="1429"/>
              </w:tabs>
              <w:spacing w:before="60" w:after="60" w:line="240" w:lineRule="auto"/>
              <w:rPr>
                <w:rFonts w:eastAsia="Calibri" w:cs="Arial"/>
                <w:b/>
                <w:bCs/>
                <w:sz w:val="18"/>
                <w:szCs w:val="16"/>
              </w:rPr>
            </w:pPr>
            <w:r w:rsidRPr="00022DAD">
              <w:rPr>
                <w:rFonts w:eastAsia="Calibri" w:cs="Arial"/>
                <w:b/>
                <w:bCs/>
                <w:sz w:val="18"/>
                <w:szCs w:val="16"/>
              </w:rPr>
              <w:t>Major Cities of Australia</w:t>
            </w:r>
          </w:p>
        </w:tc>
        <w:tc>
          <w:tcPr>
            <w:tcW w:w="1224" w:type="dxa"/>
            <w:shd w:val="clear" w:color="auto" w:fill="9F1853" w:themeFill="accent6"/>
          </w:tcPr>
          <w:p w14:paraId="559888E8"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6929C4" w:themeFill="accent1"/>
          </w:tcPr>
          <w:p w14:paraId="57C91721"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009D9A" w:themeFill="accent2"/>
          </w:tcPr>
          <w:p w14:paraId="58892793"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284" w:type="dxa"/>
            <w:shd w:val="clear" w:color="auto" w:fill="012749" w:themeFill="accent3"/>
          </w:tcPr>
          <w:p w14:paraId="20C02365"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009D9A" w:themeFill="accent2"/>
          </w:tcPr>
          <w:p w14:paraId="061AB03D"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r>
      <w:tr w:rsidR="00E43954" w:rsidRPr="00022DAD" w14:paraId="7EA0EDD9" w14:textId="77777777" w:rsidTr="008E6C38">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DB4B776" w14:textId="77777777" w:rsidR="00E43954" w:rsidRPr="00022DAD" w:rsidRDefault="00E43954">
            <w:pPr>
              <w:tabs>
                <w:tab w:val="left" w:pos="357"/>
                <w:tab w:val="left" w:pos="714"/>
                <w:tab w:val="left" w:pos="1072"/>
                <w:tab w:val="left" w:pos="1429"/>
              </w:tabs>
              <w:spacing w:before="60" w:after="60" w:line="240" w:lineRule="auto"/>
              <w:rPr>
                <w:rFonts w:eastAsia="Calibri" w:cs="Arial"/>
                <w:b/>
                <w:bCs/>
                <w:sz w:val="18"/>
                <w:szCs w:val="16"/>
              </w:rPr>
            </w:pPr>
            <w:r w:rsidRPr="00022DAD">
              <w:rPr>
                <w:rFonts w:eastAsia="Calibri" w:cs="Arial"/>
                <w:b/>
                <w:bCs/>
                <w:sz w:val="18"/>
                <w:szCs w:val="16"/>
              </w:rPr>
              <w:t>Inner Regional Australia</w:t>
            </w:r>
          </w:p>
        </w:tc>
        <w:tc>
          <w:tcPr>
            <w:tcW w:w="1224" w:type="dxa"/>
            <w:shd w:val="clear" w:color="auto" w:fill="009D9A" w:themeFill="accent2"/>
          </w:tcPr>
          <w:p w14:paraId="18EF3456"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shd w:val="clear" w:color="auto" w:fill="6929C4" w:themeFill="accent1"/>
          </w:tcPr>
          <w:p w14:paraId="2BB7947F" w14:textId="09D2FB2B" w:rsidR="00E43954" w:rsidRPr="00E529E3" w:rsidRDefault="02340389"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8"/>
              </w:rPr>
            </w:pPr>
            <w:r w:rsidRPr="00E529E3">
              <w:rPr>
                <w:rFonts w:eastAsia="Calibri" w:cs="Arial"/>
                <w:b/>
                <w:bCs/>
                <w:color w:val="FFFFFF" w:themeColor="background1"/>
                <w:sz w:val="18"/>
                <w:szCs w:val="18"/>
              </w:rPr>
              <w:t>Average</w:t>
            </w:r>
          </w:p>
        </w:tc>
        <w:tc>
          <w:tcPr>
            <w:tcW w:w="1275" w:type="dxa"/>
            <w:shd w:val="clear" w:color="auto" w:fill="9F1853" w:themeFill="accent6"/>
          </w:tcPr>
          <w:p w14:paraId="3CC88A07"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shd w:val="clear" w:color="auto" w:fill="012749" w:themeFill="accent3"/>
          </w:tcPr>
          <w:p w14:paraId="746409BA"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tcPr>
          <w:p w14:paraId="3CD626F2"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E43954" w:rsidRPr="00022DAD" w14:paraId="7C885A43" w14:textId="77777777" w:rsidTr="3B814ED4">
        <w:trPr>
          <w:trHeight w:val="162"/>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ED19929" w14:textId="77777777" w:rsidR="00E43954" w:rsidRPr="00022DAD" w:rsidRDefault="00E43954">
            <w:pPr>
              <w:tabs>
                <w:tab w:val="left" w:pos="357"/>
                <w:tab w:val="left" w:pos="714"/>
                <w:tab w:val="left" w:pos="1072"/>
                <w:tab w:val="left" w:pos="1429"/>
              </w:tabs>
              <w:spacing w:before="60" w:after="60" w:line="240" w:lineRule="auto"/>
              <w:rPr>
                <w:rFonts w:eastAsia="Calibri" w:cs="Arial"/>
                <w:b/>
                <w:bCs/>
                <w:sz w:val="18"/>
                <w:szCs w:val="16"/>
              </w:rPr>
            </w:pPr>
            <w:r w:rsidRPr="00022DAD">
              <w:rPr>
                <w:rFonts w:eastAsia="Calibri" w:cs="Arial"/>
                <w:b/>
                <w:bCs/>
                <w:sz w:val="18"/>
                <w:szCs w:val="16"/>
              </w:rPr>
              <w:t>Outer Regional Australia</w:t>
            </w:r>
          </w:p>
        </w:tc>
        <w:tc>
          <w:tcPr>
            <w:tcW w:w="1224" w:type="dxa"/>
            <w:shd w:val="clear" w:color="auto" w:fill="009D9A" w:themeFill="accent2"/>
          </w:tcPr>
          <w:p w14:paraId="49EDB97F"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shd w:val="clear" w:color="auto" w:fill="9F1853" w:themeFill="accent6"/>
          </w:tcPr>
          <w:p w14:paraId="3FF223DD"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75" w:type="dxa"/>
            <w:shd w:val="clear" w:color="auto" w:fill="9F1853" w:themeFill="accent6"/>
          </w:tcPr>
          <w:p w14:paraId="4756B03F"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shd w:val="clear" w:color="auto" w:fill="012749" w:themeFill="accent3"/>
          </w:tcPr>
          <w:p w14:paraId="63B44E5B"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tcPr>
          <w:p w14:paraId="172EE15D"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E43954" w:rsidRPr="00022DAD" w14:paraId="25D3DC46" w14:textId="77777777" w:rsidTr="3B814ED4">
        <w:trPr>
          <w:trHeight w:val="157"/>
        </w:trPr>
        <w:tc>
          <w:tcPr>
            <w:cnfStyle w:val="001000000000" w:firstRow="0" w:lastRow="0" w:firstColumn="1" w:lastColumn="0" w:oddVBand="0" w:evenVBand="0" w:oddHBand="0" w:evenHBand="0" w:firstRowFirstColumn="0" w:firstRowLastColumn="0" w:lastRowFirstColumn="0" w:lastRowLastColumn="0"/>
            <w:tcW w:w="3591" w:type="dxa"/>
            <w:tcBorders>
              <w:bottom w:val="single" w:sz="4" w:space="0" w:color="auto"/>
            </w:tcBorders>
            <w:shd w:val="clear" w:color="auto" w:fill="FFFFFF" w:themeFill="background1"/>
          </w:tcPr>
          <w:p w14:paraId="15FBC65C" w14:textId="77777777" w:rsidR="00E43954" w:rsidRPr="00022DAD" w:rsidRDefault="00E43954">
            <w:pPr>
              <w:tabs>
                <w:tab w:val="left" w:pos="357"/>
                <w:tab w:val="left" w:pos="714"/>
                <w:tab w:val="left" w:pos="1072"/>
                <w:tab w:val="left" w:pos="1429"/>
              </w:tabs>
              <w:spacing w:before="60" w:after="60" w:line="240" w:lineRule="auto"/>
              <w:rPr>
                <w:rFonts w:eastAsia="Calibri" w:cs="Arial"/>
                <w:b/>
                <w:bCs/>
                <w:sz w:val="18"/>
                <w:szCs w:val="16"/>
              </w:rPr>
            </w:pPr>
            <w:r w:rsidRPr="00022DAD">
              <w:rPr>
                <w:rFonts w:eastAsia="Calibri" w:cs="Arial"/>
                <w:b/>
                <w:bCs/>
                <w:sz w:val="18"/>
                <w:szCs w:val="16"/>
              </w:rPr>
              <w:t>Remote and Very Remote Australia</w:t>
            </w:r>
          </w:p>
        </w:tc>
        <w:tc>
          <w:tcPr>
            <w:tcW w:w="1224" w:type="dxa"/>
            <w:tcBorders>
              <w:bottom w:val="single" w:sz="4" w:space="0" w:color="auto"/>
            </w:tcBorders>
            <w:shd w:val="clear" w:color="auto" w:fill="009D9A" w:themeFill="accent2"/>
          </w:tcPr>
          <w:p w14:paraId="76F58160"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tcBorders>
              <w:bottom w:val="single" w:sz="4" w:space="0" w:color="auto"/>
            </w:tcBorders>
            <w:shd w:val="clear" w:color="auto" w:fill="9F1853" w:themeFill="accent6"/>
          </w:tcPr>
          <w:p w14:paraId="4371246E" w14:textId="1AB4B9DC" w:rsidR="00E43954" w:rsidRPr="00E529E3" w:rsidRDefault="16F57E6A"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8"/>
              </w:rPr>
            </w:pPr>
            <w:r w:rsidRPr="00E529E3">
              <w:rPr>
                <w:rFonts w:eastAsia="Calibri" w:cs="Arial"/>
                <w:b/>
                <w:bCs/>
                <w:color w:val="FFFFFF" w:themeColor="background1"/>
                <w:sz w:val="18"/>
                <w:szCs w:val="18"/>
              </w:rPr>
              <w:t>High</w:t>
            </w:r>
          </w:p>
        </w:tc>
        <w:tc>
          <w:tcPr>
            <w:tcW w:w="1275" w:type="dxa"/>
            <w:tcBorders>
              <w:bottom w:val="single" w:sz="4" w:space="0" w:color="auto"/>
            </w:tcBorders>
            <w:shd w:val="clear" w:color="auto" w:fill="9F1853" w:themeFill="accent6"/>
          </w:tcPr>
          <w:p w14:paraId="668F60CE"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tcBorders>
              <w:bottom w:val="single" w:sz="4" w:space="0" w:color="auto"/>
            </w:tcBorders>
            <w:shd w:val="clear" w:color="auto" w:fill="012749" w:themeFill="accent3"/>
          </w:tcPr>
          <w:p w14:paraId="2581BEAA"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tcBorders>
              <w:bottom w:val="single" w:sz="4" w:space="0" w:color="auto"/>
            </w:tcBorders>
            <w:shd w:val="clear" w:color="auto" w:fill="9F1853" w:themeFill="accent6"/>
          </w:tcPr>
          <w:p w14:paraId="7D7C54F3" w14:textId="77777777" w:rsidR="00E43954" w:rsidRPr="00E529E3" w:rsidRDefault="00E4395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bl>
    <w:p w14:paraId="4BB635C8" w14:textId="77777777" w:rsidR="00E43954" w:rsidRPr="0026769D" w:rsidRDefault="00E43954" w:rsidP="00E43954">
      <w:pPr>
        <w:spacing w:before="240" w:after="160" w:line="259" w:lineRule="auto"/>
        <w:rPr>
          <w:rFonts w:cs="Arial"/>
          <w:sz w:val="18"/>
          <w:szCs w:val="18"/>
        </w:rPr>
      </w:pPr>
      <w:r w:rsidRPr="0026769D">
        <w:rPr>
          <w:rFonts w:cs="Arial"/>
          <w:sz w:val="18"/>
          <w:szCs w:val="18"/>
        </w:rPr>
        <w:t>Source: Jobs and Skills Australia, Recruitment Experiences and Outlook Survey, 2025.</w:t>
      </w:r>
    </w:p>
    <w:p w14:paraId="7780A20B" w14:textId="4B74CC47" w:rsidR="004A632D" w:rsidRPr="00EE5E13" w:rsidRDefault="004A632D" w:rsidP="000D7A07">
      <w:pPr>
        <w:pStyle w:val="Heading1"/>
        <w:spacing w:before="240" w:after="120" w:line="259" w:lineRule="auto"/>
        <w:rPr>
          <w:rFonts w:cs="Arial"/>
          <w:b w:val="0"/>
          <w:bCs/>
          <w:color w:val="auto"/>
          <w:sz w:val="32"/>
        </w:rPr>
      </w:pPr>
      <w:r w:rsidRPr="00EE5E13">
        <w:rPr>
          <w:rFonts w:cs="Arial"/>
          <w:bCs/>
          <w:color w:val="auto"/>
          <w:sz w:val="32"/>
        </w:rPr>
        <w:t>How employers recruit: by occupation</w:t>
      </w:r>
    </w:p>
    <w:p w14:paraId="1CD577E2" w14:textId="75B53346" w:rsidR="004A632D" w:rsidRPr="00A31DB1" w:rsidRDefault="004A632D" w:rsidP="00AC4701">
      <w:pPr>
        <w:spacing w:after="160" w:line="259" w:lineRule="auto"/>
        <w:rPr>
          <w:rFonts w:cs="Arial"/>
        </w:rPr>
      </w:pPr>
      <w:r w:rsidRPr="587FEA27">
        <w:rPr>
          <w:rFonts w:cs="Arial"/>
        </w:rPr>
        <w:t xml:space="preserve">Recruitment methods vary significantly across different occupations. Broadly, REOS data show that employers do not adopt a uniform approach; instead, their choice of methods reflects the nature of the roles they are trying to fill. Even </w:t>
      </w:r>
      <w:r w:rsidR="00D6504E" w:rsidRPr="587FEA27">
        <w:rPr>
          <w:rFonts w:cs="Arial"/>
        </w:rPr>
        <w:t>within a</w:t>
      </w:r>
      <w:r w:rsidR="00264D39" w:rsidRPr="587FEA27">
        <w:rPr>
          <w:rFonts w:cs="Arial"/>
        </w:rPr>
        <w:t xml:space="preserve"> single occupation</w:t>
      </w:r>
      <w:r w:rsidRPr="587FEA27">
        <w:rPr>
          <w:rFonts w:cs="Arial"/>
        </w:rPr>
        <w:t xml:space="preserve">, there is </w:t>
      </w:r>
      <w:r w:rsidR="00264D39" w:rsidRPr="587FEA27">
        <w:rPr>
          <w:rFonts w:cs="Arial"/>
        </w:rPr>
        <w:t xml:space="preserve">considerable variation in how employers recruit </w:t>
      </w:r>
      <w:r w:rsidR="00E43954" w:rsidRPr="587FEA27">
        <w:rPr>
          <w:rFonts w:cs="Arial"/>
        </w:rPr>
        <w:t>(Table 2)</w:t>
      </w:r>
      <w:r w:rsidRPr="587FEA27">
        <w:rPr>
          <w:rFonts w:cs="Arial"/>
        </w:rPr>
        <w:t>.</w:t>
      </w:r>
    </w:p>
    <w:p w14:paraId="4464E48E" w14:textId="77777777" w:rsidR="004A632D" w:rsidRPr="00A31DB1" w:rsidRDefault="004A632D" w:rsidP="00AC4701">
      <w:pPr>
        <w:spacing w:after="160" w:line="259" w:lineRule="auto"/>
        <w:rPr>
          <w:rFonts w:cs="Arial"/>
        </w:rPr>
      </w:pPr>
      <w:r w:rsidRPr="00A31DB1">
        <w:rPr>
          <w:rFonts w:cs="Arial"/>
        </w:rPr>
        <w:t>Managers and most professional occupations rely heavily on online job boards, with relatively low use of word of mouth or social media. Recruitment difficulty for these roles tends to be average or high, suggesting that even with strong reliance on formal online channels, employers face challenges in sourcing suitable candidates for higher-skilled positions. In contrast, occupations such as Technicians and Trades Workers also show high use of job boards but combine this with greater reliance on word of mouth, reflecting the importance of informal networks in trades-based recruitment. These roles consistently record high recruitment difficulty, indicating persistent shortages despite multi-channel strategies.</w:t>
      </w:r>
    </w:p>
    <w:p w14:paraId="5272CE17" w14:textId="3C84C2DB" w:rsidR="004A632D" w:rsidRDefault="00CF1781" w:rsidP="00AC4701">
      <w:pPr>
        <w:spacing w:after="160" w:line="259" w:lineRule="auto"/>
        <w:rPr>
          <w:rFonts w:cs="Arial"/>
        </w:rPr>
      </w:pPr>
      <w:r>
        <w:rPr>
          <w:rFonts w:cs="Arial"/>
        </w:rPr>
        <w:t>Lower</w:t>
      </w:r>
      <w:r w:rsidR="005E3C2A">
        <w:rPr>
          <w:rFonts w:cs="Arial"/>
        </w:rPr>
        <w:t xml:space="preserve">-skilled occupations </w:t>
      </w:r>
      <w:r w:rsidR="004A632D" w:rsidRPr="00A31DB1">
        <w:rPr>
          <w:rFonts w:cs="Arial"/>
        </w:rPr>
        <w:t>display a different pattern. While online job boards remain important</w:t>
      </w:r>
      <w:r w:rsidR="00E21700">
        <w:rPr>
          <w:rFonts w:cs="Arial"/>
        </w:rPr>
        <w:t xml:space="preserve"> for </w:t>
      </w:r>
      <w:r w:rsidR="00E21700" w:rsidRPr="00A31DB1">
        <w:rPr>
          <w:rFonts w:cs="Arial"/>
        </w:rPr>
        <w:t>Community and Personal Service Workers</w:t>
      </w:r>
      <w:r w:rsidR="004A632D" w:rsidRPr="00A31DB1">
        <w:rPr>
          <w:rFonts w:cs="Arial"/>
        </w:rPr>
        <w:t xml:space="preserve">, word of mouth and social media play a much larger role for these groups. Recruitment difficulty for these occupations is generally average or low, </w:t>
      </w:r>
      <w:r w:rsidR="001519F3">
        <w:rPr>
          <w:rFonts w:cs="Arial"/>
        </w:rPr>
        <w:t xml:space="preserve">consistent with </w:t>
      </w:r>
      <w:r w:rsidR="004A632D" w:rsidRPr="00A31DB1">
        <w:rPr>
          <w:rFonts w:cs="Arial"/>
        </w:rPr>
        <w:t xml:space="preserve">informal and locally focused methods </w:t>
      </w:r>
      <w:r w:rsidR="001519F3">
        <w:rPr>
          <w:rFonts w:cs="Arial"/>
        </w:rPr>
        <w:t>being</w:t>
      </w:r>
      <w:r w:rsidR="004A632D" w:rsidRPr="00A31DB1">
        <w:rPr>
          <w:rFonts w:cs="Arial"/>
        </w:rPr>
        <w:t xml:space="preserve"> effective in attracting candidates for lower-skilled or service-oriented roles. Sales Workers and Labourers show low use of job boards and higher reliance on word of mouth, with recruitment difficulty mostly low, pointing to a relatively accessible labour supply.</w:t>
      </w:r>
    </w:p>
    <w:p w14:paraId="07F40C17" w14:textId="77777777" w:rsidR="009D7905" w:rsidRPr="00A31DB1" w:rsidRDefault="009D7905" w:rsidP="009D7905">
      <w:pPr>
        <w:spacing w:after="160" w:line="259" w:lineRule="auto"/>
        <w:rPr>
          <w:rFonts w:cs="Arial"/>
        </w:rPr>
      </w:pPr>
      <w:r w:rsidRPr="00A31DB1">
        <w:rPr>
          <w:rFonts w:cs="Arial"/>
        </w:rPr>
        <w:t>Clerical and Administrative Workers also rely heavily on online jobs boards, but with low levels of difficulty the use of other methods is quite low.</w:t>
      </w:r>
    </w:p>
    <w:p w14:paraId="19591B74" w14:textId="0F63CE51" w:rsidR="004A632D" w:rsidRPr="00A31DB1" w:rsidRDefault="004A632D" w:rsidP="00AC4701">
      <w:pPr>
        <w:spacing w:after="160" w:line="259" w:lineRule="auto"/>
        <w:rPr>
          <w:rFonts w:cs="Arial"/>
        </w:rPr>
      </w:pPr>
      <w:r w:rsidRPr="587FEA27">
        <w:rPr>
          <w:rFonts w:cs="Arial"/>
        </w:rPr>
        <w:t>Overall, recruitment strategies are strongly influenced by occupation</w:t>
      </w:r>
      <w:r w:rsidR="00381AAD" w:rsidRPr="587FEA27">
        <w:rPr>
          <w:rFonts w:cs="Arial"/>
        </w:rPr>
        <w:t xml:space="preserve"> </w:t>
      </w:r>
      <w:r w:rsidR="000970A5" w:rsidRPr="587FEA27">
        <w:rPr>
          <w:rFonts w:cs="Arial"/>
        </w:rPr>
        <w:t>characteristics</w:t>
      </w:r>
      <w:r w:rsidR="001F5EC1" w:rsidRPr="587FEA27">
        <w:rPr>
          <w:rFonts w:cs="Arial"/>
        </w:rPr>
        <w:t>, reinforcing</w:t>
      </w:r>
      <w:r w:rsidRPr="587FEA27">
        <w:rPr>
          <w:rFonts w:cs="Arial"/>
        </w:rPr>
        <w:t xml:space="preserve"> the need for tailored recruitment approaches </w:t>
      </w:r>
      <w:r w:rsidR="00B563E7" w:rsidRPr="587FEA27">
        <w:rPr>
          <w:rFonts w:cs="Arial"/>
        </w:rPr>
        <w:t>rather than one-size-fits-all solutions</w:t>
      </w:r>
      <w:r w:rsidRPr="587FEA27">
        <w:rPr>
          <w:rFonts w:cs="Arial"/>
        </w:rPr>
        <w:t>.</w:t>
      </w:r>
    </w:p>
    <w:p w14:paraId="612ECE5F" w14:textId="77777777" w:rsidR="004B1D1B" w:rsidRPr="007360A3" w:rsidRDefault="004B1D1B" w:rsidP="0015716D">
      <w:pPr>
        <w:pStyle w:val="Caption"/>
        <w:rPr>
          <w:color w:val="012749"/>
          <w:sz w:val="20"/>
          <w:szCs w:val="20"/>
        </w:rPr>
      </w:pPr>
      <w:r w:rsidRPr="007360A3">
        <w:rPr>
          <w:color w:val="012749"/>
          <w:sz w:val="20"/>
          <w:szCs w:val="20"/>
        </w:rPr>
        <w:lastRenderedPageBreak/>
        <w:t>Table 2: Employer use of key methods of recruitment and difficulty rate, by Occupation Group and Sub-Group, 2023-2025</w:t>
      </w:r>
    </w:p>
    <w:tbl>
      <w:tblPr>
        <w:tblStyle w:val="CustomTableoption22"/>
        <w:tblW w:w="9072" w:type="dxa"/>
        <w:tblBorders>
          <w:bottom w:val="none" w:sz="0" w:space="0" w:color="auto"/>
        </w:tblBorders>
        <w:tblLayout w:type="fixed"/>
        <w:tblLook w:val="06A0" w:firstRow="1" w:lastRow="0" w:firstColumn="1" w:lastColumn="0" w:noHBand="1" w:noVBand="1"/>
      </w:tblPr>
      <w:tblGrid>
        <w:gridCol w:w="3969"/>
        <w:gridCol w:w="1276"/>
        <w:gridCol w:w="1134"/>
        <w:gridCol w:w="992"/>
        <w:gridCol w:w="284"/>
        <w:gridCol w:w="1417"/>
      </w:tblGrid>
      <w:tr w:rsidR="004B1D1B" w:rsidRPr="00E905E9" w14:paraId="13357B7C" w14:textId="77777777" w:rsidTr="3B814ED4">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969" w:type="dxa"/>
            <w:vMerge w:val="restart"/>
          </w:tcPr>
          <w:p w14:paraId="5BB003F4" w14:textId="77777777" w:rsidR="004B1D1B" w:rsidRPr="00E905E9" w:rsidRDefault="004B1D1B">
            <w:pPr>
              <w:tabs>
                <w:tab w:val="left" w:pos="357"/>
                <w:tab w:val="left" w:pos="714"/>
                <w:tab w:val="left" w:pos="1072"/>
                <w:tab w:val="left" w:pos="1429"/>
              </w:tabs>
              <w:spacing w:before="60" w:after="60" w:line="240" w:lineRule="auto"/>
              <w:rPr>
                <w:rFonts w:eastAsia="Calibri" w:cs="Arial"/>
                <w:sz w:val="18"/>
                <w:szCs w:val="16"/>
              </w:rPr>
            </w:pPr>
          </w:p>
        </w:tc>
        <w:tc>
          <w:tcPr>
            <w:tcW w:w="3402" w:type="dxa"/>
            <w:gridSpan w:val="3"/>
            <w:vAlign w:val="center"/>
          </w:tcPr>
          <w:p w14:paraId="0A9481A2" w14:textId="77777777" w:rsidR="004B1D1B" w:rsidRPr="00E905E9" w:rsidRDefault="004B1D1B">
            <w:pPr>
              <w:tabs>
                <w:tab w:val="left" w:pos="357"/>
                <w:tab w:val="left" w:pos="714"/>
                <w:tab w:val="left" w:pos="1072"/>
                <w:tab w:val="left" w:pos="1429"/>
              </w:tabs>
              <w:spacing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E905E9">
              <w:rPr>
                <w:rFonts w:eastAsia="Calibri" w:cs="Arial"/>
                <w:b/>
                <w:bCs/>
                <w:sz w:val="18"/>
                <w:szCs w:val="16"/>
              </w:rPr>
              <w:t>Employer use of:</w:t>
            </w:r>
          </w:p>
        </w:tc>
        <w:tc>
          <w:tcPr>
            <w:tcW w:w="284" w:type="dxa"/>
            <w:vAlign w:val="center"/>
          </w:tcPr>
          <w:p w14:paraId="7E3DDD18" w14:textId="77777777" w:rsidR="004B1D1B" w:rsidRPr="00E905E9" w:rsidRDefault="004B1D1B">
            <w:pPr>
              <w:tabs>
                <w:tab w:val="left" w:pos="357"/>
                <w:tab w:val="left" w:pos="714"/>
                <w:tab w:val="left" w:pos="1072"/>
                <w:tab w:val="left" w:pos="1429"/>
              </w:tabs>
              <w:spacing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val="restart"/>
            <w:vAlign w:val="center"/>
          </w:tcPr>
          <w:p w14:paraId="2657D93B" w14:textId="77777777" w:rsidR="004B1D1B" w:rsidRPr="00E905E9" w:rsidRDefault="004B1D1B">
            <w:pPr>
              <w:tabs>
                <w:tab w:val="left" w:pos="357"/>
                <w:tab w:val="left" w:pos="714"/>
                <w:tab w:val="left" w:pos="1072"/>
                <w:tab w:val="left" w:pos="1429"/>
              </w:tabs>
              <w:spacing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E905E9">
              <w:rPr>
                <w:rFonts w:eastAsia="Calibri" w:cs="Arial"/>
                <w:b/>
                <w:bCs/>
                <w:sz w:val="18"/>
                <w:szCs w:val="16"/>
              </w:rPr>
              <w:t>Recruitment difficulty rate</w:t>
            </w:r>
          </w:p>
        </w:tc>
      </w:tr>
      <w:tr w:rsidR="004B1D1B" w:rsidRPr="00E905E9" w14:paraId="11F28639" w14:textId="77777777" w:rsidTr="3B814ED4">
        <w:trPr>
          <w:trHeight w:val="67"/>
        </w:trPr>
        <w:tc>
          <w:tcPr>
            <w:cnfStyle w:val="001000000000" w:firstRow="0" w:lastRow="0" w:firstColumn="1" w:lastColumn="0" w:oddVBand="0" w:evenVBand="0" w:oddHBand="0" w:evenHBand="0" w:firstRowFirstColumn="0" w:firstRowLastColumn="0" w:lastRowFirstColumn="0" w:lastRowLastColumn="0"/>
            <w:tcW w:w="3969" w:type="dxa"/>
            <w:vMerge/>
          </w:tcPr>
          <w:p w14:paraId="05CF0FBA" w14:textId="77777777" w:rsidR="004B1D1B" w:rsidRPr="00E905E9" w:rsidRDefault="004B1D1B">
            <w:pPr>
              <w:tabs>
                <w:tab w:val="left" w:pos="357"/>
                <w:tab w:val="left" w:pos="714"/>
                <w:tab w:val="left" w:pos="1072"/>
                <w:tab w:val="left" w:pos="1429"/>
              </w:tabs>
              <w:spacing w:before="60" w:after="60" w:line="240" w:lineRule="auto"/>
              <w:rPr>
                <w:rFonts w:eastAsia="Calibri" w:cs="Arial"/>
                <w:sz w:val="18"/>
                <w:szCs w:val="16"/>
              </w:rPr>
            </w:pPr>
          </w:p>
        </w:tc>
        <w:tc>
          <w:tcPr>
            <w:tcW w:w="1276" w:type="dxa"/>
            <w:shd w:val="clear" w:color="auto" w:fill="012749" w:themeFill="accent3"/>
            <w:vAlign w:val="center"/>
          </w:tcPr>
          <w:p w14:paraId="739B1794" w14:textId="77777777" w:rsidR="004B1D1B" w:rsidRPr="00E905E9" w:rsidRDefault="004B1D1B">
            <w:pPr>
              <w:tabs>
                <w:tab w:val="left" w:pos="357"/>
                <w:tab w:val="left" w:pos="714"/>
                <w:tab w:val="left" w:pos="1072"/>
                <w:tab w:val="left" w:pos="1429"/>
              </w:tabs>
              <w:spacing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E905E9">
              <w:rPr>
                <w:rFonts w:eastAsia="Calibri" w:cs="Arial"/>
                <w:b/>
                <w:bCs/>
                <w:sz w:val="18"/>
                <w:szCs w:val="16"/>
              </w:rPr>
              <w:t>Online jobs boards</w:t>
            </w:r>
          </w:p>
        </w:tc>
        <w:tc>
          <w:tcPr>
            <w:tcW w:w="1134" w:type="dxa"/>
            <w:shd w:val="clear" w:color="auto" w:fill="012749" w:themeFill="accent3"/>
            <w:vAlign w:val="center"/>
          </w:tcPr>
          <w:p w14:paraId="1FE46DC5" w14:textId="77777777" w:rsidR="004B1D1B" w:rsidRPr="00E905E9" w:rsidRDefault="004B1D1B">
            <w:pPr>
              <w:tabs>
                <w:tab w:val="left" w:pos="357"/>
                <w:tab w:val="left" w:pos="714"/>
                <w:tab w:val="left" w:pos="1072"/>
                <w:tab w:val="left" w:pos="1429"/>
              </w:tabs>
              <w:spacing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E905E9">
              <w:rPr>
                <w:rFonts w:eastAsia="Calibri" w:cs="Arial"/>
                <w:b/>
                <w:bCs/>
                <w:sz w:val="18"/>
                <w:szCs w:val="16"/>
              </w:rPr>
              <w:t xml:space="preserve">Word of </w:t>
            </w:r>
            <w:r>
              <w:rPr>
                <w:rFonts w:eastAsia="Calibri" w:cs="Arial"/>
                <w:b/>
                <w:bCs/>
                <w:sz w:val="18"/>
                <w:szCs w:val="16"/>
              </w:rPr>
              <w:t>m</w:t>
            </w:r>
            <w:r w:rsidRPr="00E905E9">
              <w:rPr>
                <w:rFonts w:eastAsia="Calibri" w:cs="Arial"/>
                <w:b/>
                <w:bCs/>
                <w:sz w:val="18"/>
                <w:szCs w:val="16"/>
              </w:rPr>
              <w:t>outh</w:t>
            </w:r>
          </w:p>
        </w:tc>
        <w:tc>
          <w:tcPr>
            <w:tcW w:w="992" w:type="dxa"/>
            <w:shd w:val="clear" w:color="auto" w:fill="012749" w:themeFill="accent3"/>
            <w:vAlign w:val="center"/>
          </w:tcPr>
          <w:p w14:paraId="1953F2B7" w14:textId="77777777" w:rsidR="004B1D1B" w:rsidRPr="00E905E9" w:rsidRDefault="004B1D1B">
            <w:pPr>
              <w:tabs>
                <w:tab w:val="left" w:pos="357"/>
                <w:tab w:val="left" w:pos="714"/>
                <w:tab w:val="left" w:pos="1072"/>
                <w:tab w:val="left" w:pos="1429"/>
              </w:tabs>
              <w:spacing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E905E9">
              <w:rPr>
                <w:rFonts w:eastAsia="Calibri" w:cs="Arial"/>
                <w:b/>
                <w:bCs/>
                <w:sz w:val="18"/>
                <w:szCs w:val="16"/>
              </w:rPr>
              <w:t xml:space="preserve">Social </w:t>
            </w:r>
            <w:r>
              <w:rPr>
                <w:rFonts w:eastAsia="Calibri" w:cs="Arial"/>
                <w:b/>
                <w:bCs/>
                <w:sz w:val="18"/>
                <w:szCs w:val="16"/>
              </w:rPr>
              <w:t>m</w:t>
            </w:r>
            <w:r w:rsidRPr="00E905E9">
              <w:rPr>
                <w:rFonts w:eastAsia="Calibri" w:cs="Arial"/>
                <w:b/>
                <w:bCs/>
                <w:sz w:val="18"/>
                <w:szCs w:val="16"/>
              </w:rPr>
              <w:t>edia</w:t>
            </w:r>
          </w:p>
        </w:tc>
        <w:tc>
          <w:tcPr>
            <w:tcW w:w="284" w:type="dxa"/>
            <w:shd w:val="clear" w:color="auto" w:fill="012749" w:themeFill="accent3"/>
          </w:tcPr>
          <w:p w14:paraId="44930948" w14:textId="77777777" w:rsidR="004B1D1B" w:rsidRPr="00E905E9" w:rsidRDefault="004B1D1B">
            <w:pPr>
              <w:tabs>
                <w:tab w:val="left" w:pos="357"/>
                <w:tab w:val="left" w:pos="714"/>
                <w:tab w:val="left" w:pos="1072"/>
                <w:tab w:val="left" w:pos="1429"/>
              </w:tabs>
              <w:spacing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tcPr>
          <w:p w14:paraId="57D7EED7" w14:textId="77777777" w:rsidR="004B1D1B" w:rsidRPr="00E905E9" w:rsidRDefault="004B1D1B">
            <w:pPr>
              <w:tabs>
                <w:tab w:val="left" w:pos="357"/>
                <w:tab w:val="left" w:pos="714"/>
                <w:tab w:val="left" w:pos="1072"/>
                <w:tab w:val="left" w:pos="1429"/>
              </w:tabs>
              <w:spacing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r>
      <w:tr w:rsidR="00E529E3" w:rsidRPr="00E905E9" w14:paraId="276358F9" w14:textId="77777777" w:rsidTr="00A34C2D">
        <w:trPr>
          <w:trHeight w:val="123"/>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auto"/>
            </w:tcBorders>
            <w:shd w:val="clear" w:color="auto" w:fill="FFFFFF" w:themeFill="background1"/>
          </w:tcPr>
          <w:p w14:paraId="20140390"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Managers</w:t>
            </w:r>
          </w:p>
        </w:tc>
        <w:tc>
          <w:tcPr>
            <w:tcW w:w="1276" w:type="dxa"/>
            <w:tcBorders>
              <w:bottom w:val="single" w:sz="12" w:space="0" w:color="auto"/>
            </w:tcBorders>
            <w:shd w:val="clear" w:color="auto" w:fill="9F1853" w:themeFill="accent6"/>
            <w:vAlign w:val="center"/>
          </w:tcPr>
          <w:p w14:paraId="3AD97066" w14:textId="27DE22F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1134" w:type="dxa"/>
            <w:tcBorders>
              <w:bottom w:val="single" w:sz="12" w:space="0" w:color="auto"/>
            </w:tcBorders>
            <w:shd w:val="clear" w:color="auto" w:fill="009D9A" w:themeFill="accent2"/>
            <w:vAlign w:val="center"/>
          </w:tcPr>
          <w:p w14:paraId="42B9BEAA" w14:textId="14F138B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992" w:type="dxa"/>
            <w:tcBorders>
              <w:bottom w:val="single" w:sz="12" w:space="0" w:color="auto"/>
            </w:tcBorders>
            <w:shd w:val="clear" w:color="auto" w:fill="009D9A" w:themeFill="accent2"/>
            <w:vAlign w:val="center"/>
          </w:tcPr>
          <w:p w14:paraId="6AD44FC7" w14:textId="6D7836A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284" w:type="dxa"/>
            <w:tcBorders>
              <w:bottom w:val="single" w:sz="12" w:space="0" w:color="auto"/>
            </w:tcBorders>
            <w:shd w:val="clear" w:color="auto" w:fill="012749" w:themeFill="accent3"/>
            <w:vAlign w:val="center"/>
          </w:tcPr>
          <w:p w14:paraId="6E058531"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auto"/>
            </w:tcBorders>
            <w:shd w:val="clear" w:color="auto" w:fill="6929C4" w:themeFill="accent1"/>
            <w:vAlign w:val="center"/>
          </w:tcPr>
          <w:p w14:paraId="64D3AB66" w14:textId="2D3C54B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r>
      <w:tr w:rsidR="00E529E3" w:rsidRPr="00E905E9" w14:paraId="24C64C82"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auto"/>
            </w:tcBorders>
            <w:shd w:val="clear" w:color="auto" w:fill="FFFFFF" w:themeFill="background1"/>
          </w:tcPr>
          <w:p w14:paraId="29591808"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Chief Executives, General Managers and Legislators</w:t>
            </w:r>
          </w:p>
        </w:tc>
        <w:tc>
          <w:tcPr>
            <w:tcW w:w="1276" w:type="dxa"/>
            <w:tcBorders>
              <w:top w:val="single" w:sz="12" w:space="0" w:color="auto"/>
            </w:tcBorders>
            <w:shd w:val="clear" w:color="auto" w:fill="BFBFBF" w:themeFill="background1" w:themeFillShade="BF"/>
            <w:vAlign w:val="center"/>
          </w:tcPr>
          <w:p w14:paraId="59FBC0FF" w14:textId="180594D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1134" w:type="dxa"/>
            <w:tcBorders>
              <w:top w:val="single" w:sz="12" w:space="0" w:color="auto"/>
            </w:tcBorders>
            <w:shd w:val="clear" w:color="auto" w:fill="BFBFBF" w:themeFill="background1" w:themeFillShade="BF"/>
            <w:vAlign w:val="center"/>
          </w:tcPr>
          <w:p w14:paraId="2A27EB87" w14:textId="3148CB2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992" w:type="dxa"/>
            <w:tcBorders>
              <w:top w:val="single" w:sz="12" w:space="0" w:color="auto"/>
            </w:tcBorders>
            <w:shd w:val="clear" w:color="auto" w:fill="BFBFBF" w:themeFill="background1" w:themeFillShade="BF"/>
            <w:vAlign w:val="center"/>
          </w:tcPr>
          <w:p w14:paraId="58835B4E" w14:textId="454BD31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284" w:type="dxa"/>
            <w:tcBorders>
              <w:top w:val="single" w:sz="12" w:space="0" w:color="auto"/>
            </w:tcBorders>
            <w:shd w:val="clear" w:color="auto" w:fill="012749" w:themeFill="accent3"/>
            <w:vAlign w:val="center"/>
          </w:tcPr>
          <w:p w14:paraId="4252A131"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auto"/>
            </w:tcBorders>
            <w:shd w:val="clear" w:color="auto" w:fill="BFBFBF" w:themeFill="background1" w:themeFillShade="BF"/>
            <w:vAlign w:val="center"/>
          </w:tcPr>
          <w:p w14:paraId="76FEB72E" w14:textId="3B05252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r>
      <w:tr w:rsidR="00E529E3" w:rsidRPr="00E905E9" w14:paraId="13F34EAC" w14:textId="77777777" w:rsidTr="3B814ED4">
        <w:trPr>
          <w:trHeight w:val="123"/>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671E72C"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Farmers and Farm Managers</w:t>
            </w:r>
          </w:p>
        </w:tc>
        <w:tc>
          <w:tcPr>
            <w:tcW w:w="1276" w:type="dxa"/>
            <w:shd w:val="clear" w:color="auto" w:fill="BFBFBF" w:themeFill="background1" w:themeFillShade="BF"/>
            <w:vAlign w:val="center"/>
          </w:tcPr>
          <w:p w14:paraId="3ABE7BEB" w14:textId="669E822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1134" w:type="dxa"/>
            <w:shd w:val="clear" w:color="auto" w:fill="BFBFBF" w:themeFill="background1" w:themeFillShade="BF"/>
            <w:vAlign w:val="center"/>
          </w:tcPr>
          <w:p w14:paraId="38A4C6A8" w14:textId="7315EBB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992" w:type="dxa"/>
            <w:shd w:val="clear" w:color="auto" w:fill="BFBFBF" w:themeFill="background1" w:themeFillShade="BF"/>
            <w:vAlign w:val="center"/>
          </w:tcPr>
          <w:p w14:paraId="2465DE2B" w14:textId="7CA3AAE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284" w:type="dxa"/>
            <w:shd w:val="clear" w:color="auto" w:fill="012749" w:themeFill="accent3"/>
            <w:vAlign w:val="center"/>
          </w:tcPr>
          <w:p w14:paraId="7308E7D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BFBFBF" w:themeFill="background1" w:themeFillShade="BF"/>
            <w:vAlign w:val="center"/>
          </w:tcPr>
          <w:p w14:paraId="37B41E18" w14:textId="3153A35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r>
      <w:tr w:rsidR="00E529E3" w:rsidRPr="00E905E9" w14:paraId="16463FA9"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781DC8B0"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Specialist Managers</w:t>
            </w:r>
          </w:p>
        </w:tc>
        <w:tc>
          <w:tcPr>
            <w:tcW w:w="1276" w:type="dxa"/>
            <w:shd w:val="clear" w:color="auto" w:fill="9F1853" w:themeFill="accent6"/>
            <w:vAlign w:val="center"/>
          </w:tcPr>
          <w:p w14:paraId="29A90E96" w14:textId="68DC2CA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55A153B4" w14:textId="4F62D78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009D9A" w:themeFill="accent2"/>
            <w:vAlign w:val="center"/>
          </w:tcPr>
          <w:p w14:paraId="2914F79C" w14:textId="1CD2EE7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246BDFA2"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6929C4" w:themeFill="accent1"/>
            <w:vAlign w:val="center"/>
          </w:tcPr>
          <w:p w14:paraId="596F1A06" w14:textId="5EF7FF3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78A8ACFC"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2004E3F4"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Hospitality, Retail and Service Managers</w:t>
            </w:r>
          </w:p>
        </w:tc>
        <w:tc>
          <w:tcPr>
            <w:tcW w:w="1276" w:type="dxa"/>
            <w:tcBorders>
              <w:bottom w:val="single" w:sz="12" w:space="0" w:color="000000" w:themeColor="text1"/>
            </w:tcBorders>
            <w:shd w:val="clear" w:color="auto" w:fill="9F1853" w:themeFill="accent6"/>
            <w:vAlign w:val="center"/>
          </w:tcPr>
          <w:p w14:paraId="76A9CBE6" w14:textId="00B7A83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bottom w:val="single" w:sz="12" w:space="0" w:color="000000" w:themeColor="text1"/>
            </w:tcBorders>
            <w:shd w:val="clear" w:color="auto" w:fill="009D9A" w:themeFill="accent2"/>
            <w:vAlign w:val="center"/>
          </w:tcPr>
          <w:p w14:paraId="6B002299" w14:textId="299C028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tcBorders>
              <w:bottom w:val="single" w:sz="12" w:space="0" w:color="000000" w:themeColor="text1"/>
            </w:tcBorders>
            <w:shd w:val="clear" w:color="auto" w:fill="6929C4" w:themeFill="accent1"/>
            <w:vAlign w:val="center"/>
          </w:tcPr>
          <w:p w14:paraId="7F3C4515" w14:textId="589F888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tcBorders>
              <w:bottom w:val="single" w:sz="12" w:space="0" w:color="000000" w:themeColor="text1"/>
            </w:tcBorders>
            <w:shd w:val="clear" w:color="auto" w:fill="012749" w:themeFill="accent3"/>
            <w:vAlign w:val="center"/>
          </w:tcPr>
          <w:p w14:paraId="4633406C"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6929C4" w:themeFill="accent1"/>
            <w:vAlign w:val="center"/>
          </w:tcPr>
          <w:p w14:paraId="373B4A93" w14:textId="53AFACE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1ADFCF9C"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7A01399A"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Professionals</w:t>
            </w:r>
          </w:p>
        </w:tc>
        <w:tc>
          <w:tcPr>
            <w:tcW w:w="1276" w:type="dxa"/>
            <w:tcBorders>
              <w:top w:val="single" w:sz="12" w:space="0" w:color="000000" w:themeColor="text1"/>
              <w:bottom w:val="single" w:sz="12" w:space="0" w:color="000000" w:themeColor="text1"/>
            </w:tcBorders>
            <w:shd w:val="clear" w:color="auto" w:fill="9F1853" w:themeFill="accent6"/>
            <w:vAlign w:val="center"/>
          </w:tcPr>
          <w:p w14:paraId="1C0BC51B" w14:textId="1B16EB2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1134" w:type="dxa"/>
            <w:tcBorders>
              <w:top w:val="single" w:sz="12" w:space="0" w:color="000000" w:themeColor="text1"/>
              <w:bottom w:val="single" w:sz="12" w:space="0" w:color="000000" w:themeColor="text1"/>
            </w:tcBorders>
            <w:shd w:val="clear" w:color="auto" w:fill="009D9A" w:themeFill="accent2"/>
            <w:vAlign w:val="center"/>
          </w:tcPr>
          <w:p w14:paraId="0A954F8A" w14:textId="2092500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992" w:type="dxa"/>
            <w:tcBorders>
              <w:top w:val="single" w:sz="12" w:space="0" w:color="000000" w:themeColor="text1"/>
              <w:bottom w:val="single" w:sz="12" w:space="0" w:color="000000" w:themeColor="text1"/>
            </w:tcBorders>
            <w:shd w:val="clear" w:color="auto" w:fill="009D9A" w:themeFill="accent2"/>
            <w:vAlign w:val="center"/>
          </w:tcPr>
          <w:p w14:paraId="1D19137D" w14:textId="284AC3B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660D5848"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9F1853" w:themeFill="accent6"/>
            <w:vAlign w:val="center"/>
          </w:tcPr>
          <w:p w14:paraId="2900B300" w14:textId="28492CB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r>
      <w:tr w:rsidR="00E529E3" w:rsidRPr="00E905E9" w14:paraId="0F1A9BBB"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172C478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Arts and Media Professionals</w:t>
            </w:r>
          </w:p>
        </w:tc>
        <w:tc>
          <w:tcPr>
            <w:tcW w:w="1276" w:type="dxa"/>
            <w:tcBorders>
              <w:top w:val="single" w:sz="12" w:space="0" w:color="000000" w:themeColor="text1"/>
            </w:tcBorders>
            <w:shd w:val="clear" w:color="auto" w:fill="BFBFBF" w:themeFill="background1" w:themeFillShade="BF"/>
            <w:vAlign w:val="center"/>
          </w:tcPr>
          <w:p w14:paraId="18C0ADD5" w14:textId="4967BB9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1134" w:type="dxa"/>
            <w:tcBorders>
              <w:top w:val="single" w:sz="12" w:space="0" w:color="000000" w:themeColor="text1"/>
            </w:tcBorders>
            <w:shd w:val="clear" w:color="auto" w:fill="BFBFBF" w:themeFill="background1" w:themeFillShade="BF"/>
            <w:vAlign w:val="center"/>
          </w:tcPr>
          <w:p w14:paraId="32D9892A" w14:textId="69EF015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992" w:type="dxa"/>
            <w:tcBorders>
              <w:top w:val="single" w:sz="12" w:space="0" w:color="000000" w:themeColor="text1"/>
            </w:tcBorders>
            <w:shd w:val="clear" w:color="auto" w:fill="BFBFBF" w:themeFill="background1" w:themeFillShade="BF"/>
            <w:vAlign w:val="center"/>
          </w:tcPr>
          <w:p w14:paraId="5E6FE05B" w14:textId="5A15844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284" w:type="dxa"/>
            <w:tcBorders>
              <w:top w:val="single" w:sz="12" w:space="0" w:color="000000" w:themeColor="text1"/>
            </w:tcBorders>
            <w:shd w:val="clear" w:color="auto" w:fill="012749" w:themeFill="accent3"/>
            <w:vAlign w:val="center"/>
          </w:tcPr>
          <w:p w14:paraId="04FEE392"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BFBFBF" w:themeFill="background1" w:themeFillShade="BF"/>
            <w:vAlign w:val="center"/>
          </w:tcPr>
          <w:p w14:paraId="416D09B7" w14:textId="2439272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r>
      <w:tr w:rsidR="00E529E3" w:rsidRPr="00E905E9" w14:paraId="4984D74B" w14:textId="77777777" w:rsidTr="007754B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0AD51E24"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Business, Human Resource and Marketing Professionals</w:t>
            </w:r>
          </w:p>
        </w:tc>
        <w:tc>
          <w:tcPr>
            <w:tcW w:w="1276" w:type="dxa"/>
            <w:shd w:val="clear" w:color="auto" w:fill="9F1853" w:themeFill="accent6"/>
            <w:vAlign w:val="center"/>
          </w:tcPr>
          <w:p w14:paraId="2CF21050" w14:textId="47E756F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5D68A09B" w14:textId="5B4B93A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009D9A" w:themeFill="accent2"/>
            <w:vAlign w:val="center"/>
          </w:tcPr>
          <w:p w14:paraId="11E64875" w14:textId="294B866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4A76646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3AF7A515" w14:textId="27A23AF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577FB8E7"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084428B9"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Design, Engineering, Science and Transport Professionals</w:t>
            </w:r>
          </w:p>
        </w:tc>
        <w:tc>
          <w:tcPr>
            <w:tcW w:w="1276" w:type="dxa"/>
            <w:shd w:val="clear" w:color="auto" w:fill="9F1853" w:themeFill="accent6"/>
            <w:vAlign w:val="center"/>
          </w:tcPr>
          <w:p w14:paraId="39DAF7D5" w14:textId="2178514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206269D1" w14:textId="04C618A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009D9A" w:themeFill="accent2"/>
            <w:vAlign w:val="center"/>
          </w:tcPr>
          <w:p w14:paraId="7A823CAE" w14:textId="276AEC5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715EE388"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604BD037" w14:textId="45188B0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5128C22D" w14:textId="77777777" w:rsidTr="007754B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59E55779"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Education Professionals</w:t>
            </w:r>
          </w:p>
        </w:tc>
        <w:tc>
          <w:tcPr>
            <w:tcW w:w="1276" w:type="dxa"/>
            <w:shd w:val="clear" w:color="auto" w:fill="9F1853" w:themeFill="accent6"/>
            <w:vAlign w:val="center"/>
          </w:tcPr>
          <w:p w14:paraId="4E59A9D4" w14:textId="311F997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60D500EE" w14:textId="35E7031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9F1853" w:themeFill="accent6"/>
            <w:vAlign w:val="center"/>
          </w:tcPr>
          <w:p w14:paraId="66919F46" w14:textId="77508D4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7B982115"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163A2EF9" w14:textId="6D22918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12E47C8E" w14:textId="77777777" w:rsidTr="00E529E3">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23AE094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Health Professionals</w:t>
            </w:r>
          </w:p>
        </w:tc>
        <w:tc>
          <w:tcPr>
            <w:tcW w:w="1276" w:type="dxa"/>
            <w:shd w:val="clear" w:color="auto" w:fill="9F1853" w:themeFill="accent6"/>
            <w:vAlign w:val="center"/>
          </w:tcPr>
          <w:p w14:paraId="66A67C7F" w14:textId="2EAFDB0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1C030B93" w14:textId="4AB8A38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009D9A"/>
            <w:vAlign w:val="center"/>
          </w:tcPr>
          <w:p w14:paraId="3BDFCE69" w14:textId="52F8F33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13FE5AF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1FF4F194" w14:textId="4C9CC3D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72645ECD"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28B197E"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ICT Professionals</w:t>
            </w:r>
          </w:p>
        </w:tc>
        <w:tc>
          <w:tcPr>
            <w:tcW w:w="1276" w:type="dxa"/>
            <w:shd w:val="clear" w:color="auto" w:fill="9F1853" w:themeFill="accent6"/>
            <w:vAlign w:val="center"/>
          </w:tcPr>
          <w:p w14:paraId="0D5DE2AC" w14:textId="6EC2846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65CDA98A" w14:textId="26AE281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26A56">
              <w:rPr>
                <w:rFonts w:eastAsia="Calibri" w:cs="Arial"/>
                <w:color w:val="FFFFFF" w:themeColor="background1"/>
                <w:sz w:val="18"/>
                <w:szCs w:val="18"/>
              </w:rPr>
              <w:t>Average</w:t>
            </w:r>
          </w:p>
        </w:tc>
        <w:tc>
          <w:tcPr>
            <w:tcW w:w="992" w:type="dxa"/>
            <w:shd w:val="clear" w:color="auto" w:fill="009D9A" w:themeFill="accent2"/>
            <w:vAlign w:val="center"/>
          </w:tcPr>
          <w:p w14:paraId="1DEDF0CC" w14:textId="1F9CB84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4C3B7788"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206589CE" w14:textId="13D0CC5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4C7A15AD"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0F95DCCE"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Legal, Social and Welfare Professionals</w:t>
            </w:r>
          </w:p>
        </w:tc>
        <w:tc>
          <w:tcPr>
            <w:tcW w:w="1276" w:type="dxa"/>
            <w:tcBorders>
              <w:bottom w:val="single" w:sz="12" w:space="0" w:color="000000" w:themeColor="text1"/>
            </w:tcBorders>
            <w:shd w:val="clear" w:color="auto" w:fill="9F1853" w:themeFill="accent6"/>
            <w:vAlign w:val="center"/>
          </w:tcPr>
          <w:p w14:paraId="034487E8" w14:textId="1205DA3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bottom w:val="single" w:sz="12" w:space="0" w:color="000000" w:themeColor="text1"/>
            </w:tcBorders>
            <w:shd w:val="clear" w:color="auto" w:fill="009D9A" w:themeFill="accent2"/>
            <w:vAlign w:val="center"/>
          </w:tcPr>
          <w:p w14:paraId="771E842D" w14:textId="398EF57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tcBorders>
              <w:bottom w:val="single" w:sz="12" w:space="0" w:color="000000" w:themeColor="text1"/>
            </w:tcBorders>
            <w:shd w:val="clear" w:color="auto" w:fill="009D9A" w:themeFill="accent2"/>
            <w:vAlign w:val="center"/>
          </w:tcPr>
          <w:p w14:paraId="68C1BBB1" w14:textId="0E0E890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bottom w:val="single" w:sz="12" w:space="0" w:color="000000" w:themeColor="text1"/>
            </w:tcBorders>
            <w:shd w:val="clear" w:color="auto" w:fill="012749" w:themeFill="accent3"/>
            <w:vAlign w:val="center"/>
          </w:tcPr>
          <w:p w14:paraId="6B4A641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9F1853" w:themeFill="accent6"/>
            <w:vAlign w:val="center"/>
          </w:tcPr>
          <w:p w14:paraId="1FEFC58B" w14:textId="6A3C5FA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38FB941F" w14:textId="77777777" w:rsidTr="00021610">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029E5FD3"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Technicians and Trades Workers</w:t>
            </w:r>
          </w:p>
        </w:tc>
        <w:tc>
          <w:tcPr>
            <w:tcW w:w="1276" w:type="dxa"/>
            <w:tcBorders>
              <w:top w:val="single" w:sz="12" w:space="0" w:color="000000" w:themeColor="text1"/>
              <w:bottom w:val="single" w:sz="12" w:space="0" w:color="000000" w:themeColor="text1"/>
            </w:tcBorders>
            <w:shd w:val="clear" w:color="auto" w:fill="9F1853" w:themeFill="accent6"/>
            <w:vAlign w:val="center"/>
          </w:tcPr>
          <w:p w14:paraId="10CECA31" w14:textId="1602786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1134" w:type="dxa"/>
            <w:tcBorders>
              <w:top w:val="single" w:sz="12" w:space="0" w:color="000000" w:themeColor="text1"/>
              <w:bottom w:val="single" w:sz="12" w:space="0" w:color="000000" w:themeColor="text1"/>
            </w:tcBorders>
            <w:shd w:val="clear" w:color="auto" w:fill="9F1853" w:themeFill="accent6"/>
            <w:vAlign w:val="center"/>
          </w:tcPr>
          <w:p w14:paraId="682F778B" w14:textId="638EC93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992" w:type="dxa"/>
            <w:tcBorders>
              <w:top w:val="single" w:sz="12" w:space="0" w:color="000000" w:themeColor="text1"/>
              <w:bottom w:val="single" w:sz="12" w:space="0" w:color="000000" w:themeColor="text1"/>
            </w:tcBorders>
            <w:shd w:val="clear" w:color="auto" w:fill="9F1853" w:themeFill="accent6"/>
            <w:vAlign w:val="center"/>
          </w:tcPr>
          <w:p w14:paraId="0009F3C1" w14:textId="084E83F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18D8E7F1"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9F1853" w:themeFill="accent6"/>
            <w:vAlign w:val="center"/>
          </w:tcPr>
          <w:p w14:paraId="5446BE33" w14:textId="4651741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r>
      <w:tr w:rsidR="00E529E3" w:rsidRPr="00E905E9" w14:paraId="4B91F05D"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266E389D"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Engineering, ICT and Science Technicians</w:t>
            </w:r>
          </w:p>
        </w:tc>
        <w:tc>
          <w:tcPr>
            <w:tcW w:w="1276" w:type="dxa"/>
            <w:tcBorders>
              <w:top w:val="single" w:sz="12" w:space="0" w:color="000000" w:themeColor="text1"/>
            </w:tcBorders>
            <w:shd w:val="clear" w:color="auto" w:fill="9F1853" w:themeFill="accent6"/>
            <w:vAlign w:val="center"/>
          </w:tcPr>
          <w:p w14:paraId="6D7EA038" w14:textId="1DE5C72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High</w:t>
            </w:r>
          </w:p>
        </w:tc>
        <w:tc>
          <w:tcPr>
            <w:tcW w:w="1134" w:type="dxa"/>
            <w:tcBorders>
              <w:top w:val="single" w:sz="12" w:space="0" w:color="000000" w:themeColor="text1"/>
            </w:tcBorders>
            <w:shd w:val="clear" w:color="auto" w:fill="009D9A" w:themeFill="accent2"/>
            <w:vAlign w:val="center"/>
          </w:tcPr>
          <w:p w14:paraId="2DD58599" w14:textId="705B770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Low</w:t>
            </w:r>
          </w:p>
        </w:tc>
        <w:tc>
          <w:tcPr>
            <w:tcW w:w="992" w:type="dxa"/>
            <w:tcBorders>
              <w:top w:val="single" w:sz="12" w:space="0" w:color="000000" w:themeColor="text1"/>
            </w:tcBorders>
            <w:shd w:val="clear" w:color="auto" w:fill="009D9A" w:themeFill="accent2"/>
            <w:vAlign w:val="center"/>
          </w:tcPr>
          <w:p w14:paraId="7372FECB" w14:textId="66D4B07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top w:val="single" w:sz="12" w:space="0" w:color="000000" w:themeColor="text1"/>
            </w:tcBorders>
            <w:shd w:val="clear" w:color="auto" w:fill="012749" w:themeFill="accent3"/>
            <w:vAlign w:val="center"/>
          </w:tcPr>
          <w:p w14:paraId="1DA5A523"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6929C4" w:themeFill="accent1"/>
            <w:vAlign w:val="center"/>
          </w:tcPr>
          <w:p w14:paraId="76BCFF10" w14:textId="2AE317F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42B76B58"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38BEFAD3"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Automotive and Engineering Trades Workers</w:t>
            </w:r>
          </w:p>
        </w:tc>
        <w:tc>
          <w:tcPr>
            <w:tcW w:w="1276" w:type="dxa"/>
            <w:shd w:val="clear" w:color="auto" w:fill="9F1853" w:themeFill="accent6"/>
            <w:vAlign w:val="center"/>
          </w:tcPr>
          <w:p w14:paraId="11A93EBB" w14:textId="5651FE1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9F1853" w:themeFill="accent6"/>
            <w:vAlign w:val="center"/>
          </w:tcPr>
          <w:p w14:paraId="24D849C0" w14:textId="0E55F19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9F1853" w:themeFill="accent6"/>
            <w:vAlign w:val="center"/>
          </w:tcPr>
          <w:p w14:paraId="18921EF9" w14:textId="36056BA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38BAF03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769EBCA1" w14:textId="2C0257F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56535E68"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119DD661"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Construction Trades Workers</w:t>
            </w:r>
          </w:p>
        </w:tc>
        <w:tc>
          <w:tcPr>
            <w:tcW w:w="1276" w:type="dxa"/>
            <w:shd w:val="clear" w:color="auto" w:fill="6929C4" w:themeFill="accent1"/>
            <w:vAlign w:val="center"/>
          </w:tcPr>
          <w:p w14:paraId="6F35FEAF" w14:textId="21E92BE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1134" w:type="dxa"/>
            <w:shd w:val="clear" w:color="auto" w:fill="9F1853" w:themeFill="accent6"/>
            <w:vAlign w:val="center"/>
          </w:tcPr>
          <w:p w14:paraId="0578694D" w14:textId="5B971F3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9F1853" w:themeFill="accent6"/>
            <w:vAlign w:val="center"/>
          </w:tcPr>
          <w:p w14:paraId="776C6DD6" w14:textId="0B855DB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15BE93CB"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4B389FB2" w14:textId="294622C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5A097988" w14:textId="77777777" w:rsidTr="00E529E3">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5759A774"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Electrotechnology and Telecommunications Trades Workers</w:t>
            </w:r>
          </w:p>
        </w:tc>
        <w:tc>
          <w:tcPr>
            <w:tcW w:w="1276" w:type="dxa"/>
            <w:shd w:val="clear" w:color="auto" w:fill="9F1853" w:themeFill="accent6"/>
            <w:vAlign w:val="center"/>
          </w:tcPr>
          <w:p w14:paraId="2579E7A8" w14:textId="4BCF159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9F1853" w:themeFill="accent6"/>
            <w:vAlign w:val="center"/>
          </w:tcPr>
          <w:p w14:paraId="50B8DBB1" w14:textId="736FB80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009D9A"/>
            <w:vAlign w:val="center"/>
          </w:tcPr>
          <w:p w14:paraId="5ED0EFF6" w14:textId="4DB1721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Low</w:t>
            </w:r>
          </w:p>
        </w:tc>
        <w:tc>
          <w:tcPr>
            <w:tcW w:w="284" w:type="dxa"/>
            <w:shd w:val="clear" w:color="auto" w:fill="012749" w:themeFill="accent3"/>
            <w:vAlign w:val="center"/>
          </w:tcPr>
          <w:p w14:paraId="1092A855"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655070EF" w14:textId="5178313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7BE95FAB"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3888482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Food Trades Workers</w:t>
            </w:r>
          </w:p>
        </w:tc>
        <w:tc>
          <w:tcPr>
            <w:tcW w:w="1276" w:type="dxa"/>
            <w:shd w:val="clear" w:color="auto" w:fill="9F1853" w:themeFill="accent6"/>
            <w:vAlign w:val="center"/>
          </w:tcPr>
          <w:p w14:paraId="5F44A94D" w14:textId="4A5A01B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681FE475" w14:textId="305C851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9F1853" w:themeFill="accent6"/>
            <w:vAlign w:val="center"/>
          </w:tcPr>
          <w:p w14:paraId="2A8C5584" w14:textId="52A091A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64B969D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381E427C" w14:textId="0ADAC03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0FD20265"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43080E0B"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Skilled Animal, Agricultural and Horticultural Workers</w:t>
            </w:r>
          </w:p>
        </w:tc>
        <w:tc>
          <w:tcPr>
            <w:tcW w:w="1276" w:type="dxa"/>
            <w:shd w:val="clear" w:color="auto" w:fill="6929C4" w:themeFill="accent1"/>
            <w:vAlign w:val="center"/>
          </w:tcPr>
          <w:p w14:paraId="270F9DA1" w14:textId="3869D96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1134" w:type="dxa"/>
            <w:shd w:val="clear" w:color="auto" w:fill="6929C4" w:themeFill="accent1"/>
            <w:vAlign w:val="center"/>
          </w:tcPr>
          <w:p w14:paraId="1D1EF6F7" w14:textId="17993AB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9F1853" w:themeFill="accent6"/>
            <w:vAlign w:val="center"/>
          </w:tcPr>
          <w:p w14:paraId="47F53487" w14:textId="7D0947D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24ECEDDF"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306E3AC9" w14:textId="55440CE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7F99A123"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06B29A3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Other Technicians and Trades Workers</w:t>
            </w:r>
          </w:p>
        </w:tc>
        <w:tc>
          <w:tcPr>
            <w:tcW w:w="1276" w:type="dxa"/>
            <w:tcBorders>
              <w:bottom w:val="single" w:sz="12" w:space="0" w:color="000000" w:themeColor="text1"/>
            </w:tcBorders>
            <w:shd w:val="clear" w:color="auto" w:fill="9F1853" w:themeFill="accent6"/>
            <w:vAlign w:val="center"/>
          </w:tcPr>
          <w:p w14:paraId="0CD2C1F7" w14:textId="3731175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bottom w:val="single" w:sz="12" w:space="0" w:color="000000" w:themeColor="text1"/>
            </w:tcBorders>
            <w:shd w:val="clear" w:color="auto" w:fill="6929C4" w:themeFill="accent1"/>
            <w:vAlign w:val="center"/>
          </w:tcPr>
          <w:p w14:paraId="0C67EAFD" w14:textId="77AC062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bottom w:val="single" w:sz="12" w:space="0" w:color="000000" w:themeColor="text1"/>
            </w:tcBorders>
            <w:shd w:val="clear" w:color="auto" w:fill="9F1853" w:themeFill="accent6"/>
            <w:vAlign w:val="center"/>
          </w:tcPr>
          <w:p w14:paraId="09AE9F9D" w14:textId="2619119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tcBorders>
              <w:bottom w:val="single" w:sz="12" w:space="0" w:color="000000" w:themeColor="text1"/>
            </w:tcBorders>
            <w:shd w:val="clear" w:color="auto" w:fill="012749" w:themeFill="accent3"/>
            <w:vAlign w:val="center"/>
          </w:tcPr>
          <w:p w14:paraId="0B2E0A41"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9F1853" w:themeFill="accent6"/>
            <w:vAlign w:val="center"/>
          </w:tcPr>
          <w:p w14:paraId="004C0648" w14:textId="7845378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40A1DC7F"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43C7C9A1"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Community and Personal Service Workers</w:t>
            </w:r>
          </w:p>
        </w:tc>
        <w:tc>
          <w:tcPr>
            <w:tcW w:w="1276" w:type="dxa"/>
            <w:tcBorders>
              <w:top w:val="single" w:sz="12" w:space="0" w:color="000000" w:themeColor="text1"/>
              <w:bottom w:val="single" w:sz="12" w:space="0" w:color="000000" w:themeColor="text1"/>
            </w:tcBorders>
            <w:shd w:val="clear" w:color="auto" w:fill="6929C4" w:themeFill="accent1"/>
            <w:vAlign w:val="center"/>
          </w:tcPr>
          <w:p w14:paraId="628F0EC3" w14:textId="65EEF81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1134" w:type="dxa"/>
            <w:tcBorders>
              <w:top w:val="single" w:sz="12" w:space="0" w:color="000000" w:themeColor="text1"/>
              <w:bottom w:val="single" w:sz="12" w:space="0" w:color="000000" w:themeColor="text1"/>
            </w:tcBorders>
            <w:shd w:val="clear" w:color="auto" w:fill="6929C4" w:themeFill="accent1"/>
            <w:vAlign w:val="center"/>
          </w:tcPr>
          <w:p w14:paraId="2536308C" w14:textId="3EABF31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992" w:type="dxa"/>
            <w:tcBorders>
              <w:top w:val="single" w:sz="12" w:space="0" w:color="000000" w:themeColor="text1"/>
              <w:bottom w:val="single" w:sz="12" w:space="0" w:color="000000" w:themeColor="text1"/>
            </w:tcBorders>
            <w:shd w:val="clear" w:color="auto" w:fill="9F1853" w:themeFill="accent6"/>
            <w:vAlign w:val="center"/>
          </w:tcPr>
          <w:p w14:paraId="2AF13F4E" w14:textId="6611951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04166204"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6929C4" w:themeFill="accent1"/>
            <w:vAlign w:val="center"/>
          </w:tcPr>
          <w:p w14:paraId="69BADC49" w14:textId="247E8FB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r>
      <w:tr w:rsidR="00E529E3" w:rsidRPr="00E905E9" w14:paraId="36A558D0"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1C94D745"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Health and Welfare Support Workers</w:t>
            </w:r>
          </w:p>
        </w:tc>
        <w:tc>
          <w:tcPr>
            <w:tcW w:w="1276" w:type="dxa"/>
            <w:tcBorders>
              <w:top w:val="single" w:sz="12" w:space="0" w:color="000000" w:themeColor="text1"/>
            </w:tcBorders>
            <w:shd w:val="clear" w:color="auto" w:fill="9F1853" w:themeFill="accent6"/>
            <w:vAlign w:val="center"/>
          </w:tcPr>
          <w:p w14:paraId="15133175" w14:textId="16BCD2D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top w:val="single" w:sz="12" w:space="0" w:color="000000" w:themeColor="text1"/>
            </w:tcBorders>
            <w:shd w:val="clear" w:color="auto" w:fill="6929C4" w:themeFill="accent1"/>
            <w:vAlign w:val="center"/>
          </w:tcPr>
          <w:p w14:paraId="1C5D229C" w14:textId="0BFEEA4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top w:val="single" w:sz="12" w:space="0" w:color="000000" w:themeColor="text1"/>
            </w:tcBorders>
            <w:shd w:val="clear" w:color="auto" w:fill="009D9A"/>
            <w:vAlign w:val="center"/>
          </w:tcPr>
          <w:p w14:paraId="3C056AA0" w14:textId="7E51C39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top w:val="single" w:sz="12" w:space="0" w:color="000000" w:themeColor="text1"/>
            </w:tcBorders>
            <w:shd w:val="clear" w:color="auto" w:fill="012749" w:themeFill="accent3"/>
            <w:vAlign w:val="center"/>
          </w:tcPr>
          <w:p w14:paraId="36D85F8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009D9A" w:themeFill="accent2"/>
            <w:vAlign w:val="center"/>
          </w:tcPr>
          <w:p w14:paraId="25D6A5DA" w14:textId="391B010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79CA5A10" w14:textId="77777777" w:rsidTr="00A34C2D">
        <w:trPr>
          <w:trHeight w:val="30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004CFB62"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Carers and Aides</w:t>
            </w:r>
          </w:p>
        </w:tc>
        <w:tc>
          <w:tcPr>
            <w:tcW w:w="1276" w:type="dxa"/>
            <w:shd w:val="clear" w:color="auto" w:fill="9F1853" w:themeFill="accent6"/>
            <w:vAlign w:val="center"/>
          </w:tcPr>
          <w:p w14:paraId="24548D95" w14:textId="1B38EF8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5AC862B2" w14:textId="2FDD6B9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9F1853" w:themeFill="accent6"/>
            <w:vAlign w:val="center"/>
          </w:tcPr>
          <w:p w14:paraId="547F3F86" w14:textId="0A2D2C1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30B4D0FF"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vAlign w:val="center"/>
          </w:tcPr>
          <w:p w14:paraId="23C28DE5" w14:textId="00A3F83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4FF0B016"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2EE09C7"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Hospitality Workers</w:t>
            </w:r>
          </w:p>
        </w:tc>
        <w:tc>
          <w:tcPr>
            <w:tcW w:w="1276" w:type="dxa"/>
            <w:shd w:val="clear" w:color="auto" w:fill="009D9A" w:themeFill="accent2"/>
            <w:vAlign w:val="center"/>
          </w:tcPr>
          <w:p w14:paraId="60F9FBC5" w14:textId="4F5CC69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shd w:val="clear" w:color="auto" w:fill="6929C4" w:themeFill="accent1"/>
            <w:vAlign w:val="center"/>
          </w:tcPr>
          <w:p w14:paraId="713CA4A8" w14:textId="4C712B9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9F1853" w:themeFill="accent6"/>
            <w:vAlign w:val="center"/>
          </w:tcPr>
          <w:p w14:paraId="3E85B70B" w14:textId="068F2B6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2ACBFE22"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6EE12FB9" w14:textId="1A4BC4B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3FC1982C"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5FA01AC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Protective Service Workers</w:t>
            </w:r>
          </w:p>
        </w:tc>
        <w:tc>
          <w:tcPr>
            <w:tcW w:w="1276" w:type="dxa"/>
            <w:shd w:val="clear" w:color="auto" w:fill="BFBFBF" w:themeFill="background1" w:themeFillShade="BF"/>
            <w:vAlign w:val="center"/>
          </w:tcPr>
          <w:p w14:paraId="1C301585" w14:textId="70B52E1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1134" w:type="dxa"/>
            <w:shd w:val="clear" w:color="auto" w:fill="BFBFBF" w:themeFill="background1" w:themeFillShade="BF"/>
            <w:vAlign w:val="center"/>
          </w:tcPr>
          <w:p w14:paraId="7BB63EE4" w14:textId="06E2710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992" w:type="dxa"/>
            <w:shd w:val="clear" w:color="auto" w:fill="BFBFBF" w:themeFill="background1" w:themeFillShade="BF"/>
            <w:vAlign w:val="center"/>
          </w:tcPr>
          <w:p w14:paraId="1997BE25" w14:textId="516A18B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284" w:type="dxa"/>
            <w:shd w:val="clear" w:color="auto" w:fill="012749" w:themeFill="accent3"/>
            <w:vAlign w:val="center"/>
          </w:tcPr>
          <w:p w14:paraId="6D665B18"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BFBFBF" w:themeFill="background1" w:themeFillShade="BF"/>
            <w:vAlign w:val="center"/>
          </w:tcPr>
          <w:p w14:paraId="0AC196C4" w14:textId="4A0185A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r>
      <w:tr w:rsidR="00E529E3" w:rsidRPr="00E905E9" w14:paraId="50323903"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00F7A7F4"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Sports and Personal Service Workers</w:t>
            </w:r>
          </w:p>
        </w:tc>
        <w:tc>
          <w:tcPr>
            <w:tcW w:w="1276" w:type="dxa"/>
            <w:tcBorders>
              <w:bottom w:val="single" w:sz="12" w:space="0" w:color="000000" w:themeColor="text1"/>
            </w:tcBorders>
            <w:shd w:val="clear" w:color="auto" w:fill="6929C4" w:themeFill="accent1"/>
            <w:vAlign w:val="center"/>
          </w:tcPr>
          <w:p w14:paraId="37F2F88F" w14:textId="1005F18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Average</w:t>
            </w:r>
          </w:p>
        </w:tc>
        <w:tc>
          <w:tcPr>
            <w:tcW w:w="1134" w:type="dxa"/>
            <w:tcBorders>
              <w:bottom w:val="single" w:sz="12" w:space="0" w:color="000000" w:themeColor="text1"/>
            </w:tcBorders>
            <w:shd w:val="clear" w:color="auto" w:fill="6929C4" w:themeFill="accent1"/>
            <w:vAlign w:val="center"/>
          </w:tcPr>
          <w:p w14:paraId="7F365346" w14:textId="4538826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bottom w:val="single" w:sz="12" w:space="0" w:color="000000" w:themeColor="text1"/>
            </w:tcBorders>
            <w:shd w:val="clear" w:color="auto" w:fill="9F1853"/>
            <w:vAlign w:val="center"/>
          </w:tcPr>
          <w:p w14:paraId="62259B1D" w14:textId="367FCD2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tcBorders>
              <w:bottom w:val="single" w:sz="12" w:space="0" w:color="000000" w:themeColor="text1"/>
            </w:tcBorders>
            <w:shd w:val="clear" w:color="auto" w:fill="012749" w:themeFill="accent3"/>
            <w:vAlign w:val="center"/>
          </w:tcPr>
          <w:p w14:paraId="57BC9CF2"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6929C4" w:themeFill="accent1"/>
            <w:vAlign w:val="center"/>
          </w:tcPr>
          <w:p w14:paraId="79DDE1F4" w14:textId="629B1B1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73717FDB"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31C20D2B"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Clerical and Administrative Workers</w:t>
            </w:r>
          </w:p>
        </w:tc>
        <w:tc>
          <w:tcPr>
            <w:tcW w:w="1276" w:type="dxa"/>
            <w:tcBorders>
              <w:top w:val="single" w:sz="12" w:space="0" w:color="000000" w:themeColor="text1"/>
              <w:bottom w:val="single" w:sz="12" w:space="0" w:color="000000" w:themeColor="text1"/>
            </w:tcBorders>
            <w:shd w:val="clear" w:color="auto" w:fill="9F1853" w:themeFill="accent6"/>
            <w:vAlign w:val="center"/>
          </w:tcPr>
          <w:p w14:paraId="7C8005BB" w14:textId="5DBFE57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1134" w:type="dxa"/>
            <w:tcBorders>
              <w:top w:val="single" w:sz="12" w:space="0" w:color="000000" w:themeColor="text1"/>
              <w:bottom w:val="single" w:sz="12" w:space="0" w:color="000000" w:themeColor="text1"/>
            </w:tcBorders>
            <w:shd w:val="clear" w:color="auto" w:fill="009D9A" w:themeFill="accent2"/>
            <w:vAlign w:val="center"/>
          </w:tcPr>
          <w:p w14:paraId="5668D257" w14:textId="3CDE5BD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992" w:type="dxa"/>
            <w:tcBorders>
              <w:top w:val="single" w:sz="12" w:space="0" w:color="000000" w:themeColor="text1"/>
              <w:bottom w:val="single" w:sz="12" w:space="0" w:color="000000" w:themeColor="text1"/>
            </w:tcBorders>
            <w:shd w:val="clear" w:color="auto" w:fill="009D9A" w:themeFill="accent2"/>
            <w:vAlign w:val="center"/>
          </w:tcPr>
          <w:p w14:paraId="0E5A33BE" w14:textId="2E800A6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357FB539"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009D9A" w:themeFill="accent2"/>
            <w:vAlign w:val="center"/>
          </w:tcPr>
          <w:p w14:paraId="7F582432" w14:textId="2CDCD26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r>
      <w:tr w:rsidR="00E529E3" w:rsidRPr="00E905E9" w14:paraId="7E4B3C6B" w14:textId="77777777" w:rsidTr="00E529E3">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6442F1C3"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Office Managers and Program Administrators</w:t>
            </w:r>
          </w:p>
        </w:tc>
        <w:tc>
          <w:tcPr>
            <w:tcW w:w="1276" w:type="dxa"/>
            <w:tcBorders>
              <w:top w:val="single" w:sz="12" w:space="0" w:color="000000" w:themeColor="text1"/>
            </w:tcBorders>
            <w:shd w:val="clear" w:color="auto" w:fill="9F1853"/>
            <w:vAlign w:val="center"/>
          </w:tcPr>
          <w:p w14:paraId="7741B3C2" w14:textId="438AD73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top w:val="single" w:sz="12" w:space="0" w:color="000000" w:themeColor="text1"/>
            </w:tcBorders>
            <w:shd w:val="clear" w:color="auto" w:fill="9F1853" w:themeFill="accent6"/>
            <w:vAlign w:val="center"/>
          </w:tcPr>
          <w:p w14:paraId="2E9A053A" w14:textId="7993877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High</w:t>
            </w:r>
          </w:p>
        </w:tc>
        <w:tc>
          <w:tcPr>
            <w:tcW w:w="992" w:type="dxa"/>
            <w:tcBorders>
              <w:top w:val="single" w:sz="12" w:space="0" w:color="000000" w:themeColor="text1"/>
            </w:tcBorders>
            <w:shd w:val="clear" w:color="auto" w:fill="009D9A" w:themeFill="accent2"/>
            <w:vAlign w:val="center"/>
          </w:tcPr>
          <w:p w14:paraId="65C73D56" w14:textId="11C2089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top w:val="single" w:sz="12" w:space="0" w:color="000000" w:themeColor="text1"/>
            </w:tcBorders>
            <w:shd w:val="clear" w:color="auto" w:fill="012749" w:themeFill="accent3"/>
            <w:vAlign w:val="center"/>
          </w:tcPr>
          <w:p w14:paraId="27890015"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009D9A"/>
            <w:vAlign w:val="center"/>
          </w:tcPr>
          <w:p w14:paraId="4DD4F86D" w14:textId="01E6649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478E90CE" w14:textId="77777777" w:rsidTr="00A34C2D">
        <w:trPr>
          <w:trHeight w:val="30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2759D85F"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Personal Assistants and Secretaries</w:t>
            </w:r>
          </w:p>
        </w:tc>
        <w:tc>
          <w:tcPr>
            <w:tcW w:w="1276" w:type="dxa"/>
            <w:shd w:val="clear" w:color="auto" w:fill="9F1853" w:themeFill="accent6"/>
            <w:vAlign w:val="center"/>
          </w:tcPr>
          <w:p w14:paraId="3CCE85F6" w14:textId="772B3DB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59F5F2DA" w14:textId="2191176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009D9A" w:themeFill="accent2"/>
            <w:vAlign w:val="center"/>
          </w:tcPr>
          <w:p w14:paraId="4B726FC9" w14:textId="3023492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00373CA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vAlign w:val="center"/>
          </w:tcPr>
          <w:p w14:paraId="621E82D8" w14:textId="74648E2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21E1F83F"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43560C1F"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General Clerical Workers</w:t>
            </w:r>
          </w:p>
        </w:tc>
        <w:tc>
          <w:tcPr>
            <w:tcW w:w="1276" w:type="dxa"/>
            <w:shd w:val="clear" w:color="auto" w:fill="9F1853" w:themeFill="accent6"/>
            <w:vAlign w:val="center"/>
          </w:tcPr>
          <w:p w14:paraId="571BE092" w14:textId="3610811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63831CAD" w14:textId="3A666CC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009D9A" w:themeFill="accent2"/>
            <w:vAlign w:val="center"/>
          </w:tcPr>
          <w:p w14:paraId="37EFF84F" w14:textId="4376241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0C15B1E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37570EDD" w14:textId="42E9769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7C96E6DA"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74FD590F"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Inquiry Clerks and Receptionists</w:t>
            </w:r>
          </w:p>
        </w:tc>
        <w:tc>
          <w:tcPr>
            <w:tcW w:w="1276" w:type="dxa"/>
            <w:shd w:val="clear" w:color="auto" w:fill="9F1853" w:themeFill="accent6"/>
            <w:vAlign w:val="center"/>
          </w:tcPr>
          <w:p w14:paraId="364E7BED" w14:textId="3CAF05B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6929C4" w:themeFill="accent1"/>
            <w:vAlign w:val="center"/>
          </w:tcPr>
          <w:p w14:paraId="7BF50717" w14:textId="25585E2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6929C4" w:themeFill="accent1"/>
            <w:vAlign w:val="center"/>
          </w:tcPr>
          <w:p w14:paraId="021DEEF3" w14:textId="554B59E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shd w:val="clear" w:color="auto" w:fill="012749" w:themeFill="accent3"/>
            <w:vAlign w:val="center"/>
          </w:tcPr>
          <w:p w14:paraId="5164A1D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1CA18C7A" w14:textId="69DDEEF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689CDD97"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442344C9"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Numerical Clerks</w:t>
            </w:r>
          </w:p>
        </w:tc>
        <w:tc>
          <w:tcPr>
            <w:tcW w:w="1276" w:type="dxa"/>
            <w:shd w:val="clear" w:color="auto" w:fill="9F1853" w:themeFill="accent6"/>
            <w:vAlign w:val="center"/>
          </w:tcPr>
          <w:p w14:paraId="1812BC26" w14:textId="791BAE6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shd w:val="clear" w:color="auto" w:fill="009D9A" w:themeFill="accent2"/>
            <w:vAlign w:val="center"/>
          </w:tcPr>
          <w:p w14:paraId="21C8AB37" w14:textId="23956EE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shd w:val="clear" w:color="auto" w:fill="009D9A" w:themeFill="accent2"/>
            <w:vAlign w:val="center"/>
          </w:tcPr>
          <w:p w14:paraId="2A5D134E" w14:textId="65746BB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4FBA6543"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3CCB9195" w14:textId="793FB23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2A1223D7"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4EDC93D"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Clerical and Office Support Workers</w:t>
            </w:r>
          </w:p>
        </w:tc>
        <w:tc>
          <w:tcPr>
            <w:tcW w:w="1276" w:type="dxa"/>
            <w:shd w:val="clear" w:color="auto" w:fill="BFBFBF" w:themeFill="background1" w:themeFillShade="BF"/>
            <w:vAlign w:val="center"/>
          </w:tcPr>
          <w:p w14:paraId="114E0BC5" w14:textId="1B673E8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1134" w:type="dxa"/>
            <w:shd w:val="clear" w:color="auto" w:fill="BFBFBF" w:themeFill="background1" w:themeFillShade="BF"/>
            <w:vAlign w:val="center"/>
          </w:tcPr>
          <w:p w14:paraId="7A26398A" w14:textId="064771E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992" w:type="dxa"/>
            <w:shd w:val="clear" w:color="auto" w:fill="BFBFBF" w:themeFill="background1" w:themeFillShade="BF"/>
            <w:vAlign w:val="center"/>
          </w:tcPr>
          <w:p w14:paraId="277A4D15" w14:textId="63EC995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c>
          <w:tcPr>
            <w:tcW w:w="284" w:type="dxa"/>
            <w:shd w:val="clear" w:color="auto" w:fill="012749" w:themeFill="accent3"/>
            <w:vAlign w:val="center"/>
          </w:tcPr>
          <w:p w14:paraId="19EBF27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BFBFBF" w:themeFill="background1" w:themeFillShade="BF"/>
            <w:vAlign w:val="center"/>
          </w:tcPr>
          <w:p w14:paraId="0BC1EF9D" w14:textId="1041A98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roofErr w:type="spellStart"/>
            <w:r w:rsidRPr="00126A56">
              <w:rPr>
                <w:rFonts w:eastAsia="Calibri" w:cs="Arial"/>
                <w:sz w:val="18"/>
                <w:szCs w:val="18"/>
              </w:rPr>
              <w:t>n.a.</w:t>
            </w:r>
            <w:proofErr w:type="spellEnd"/>
          </w:p>
        </w:tc>
      </w:tr>
      <w:tr w:rsidR="00E529E3" w:rsidRPr="00E905E9" w14:paraId="7C56013C" w14:textId="77777777" w:rsidTr="3B814ED4">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14F5C5BA"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Other Clerical and Administrative Workers</w:t>
            </w:r>
          </w:p>
        </w:tc>
        <w:tc>
          <w:tcPr>
            <w:tcW w:w="1276" w:type="dxa"/>
            <w:tcBorders>
              <w:bottom w:val="single" w:sz="12" w:space="0" w:color="000000" w:themeColor="text1"/>
            </w:tcBorders>
            <w:shd w:val="clear" w:color="auto" w:fill="9F1853" w:themeFill="accent6"/>
            <w:vAlign w:val="center"/>
          </w:tcPr>
          <w:p w14:paraId="33AF2326" w14:textId="1246E35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bottom w:val="single" w:sz="12" w:space="0" w:color="000000" w:themeColor="text1"/>
            </w:tcBorders>
            <w:shd w:val="clear" w:color="auto" w:fill="009D9A" w:themeFill="accent2"/>
            <w:vAlign w:val="center"/>
          </w:tcPr>
          <w:p w14:paraId="60E43395" w14:textId="393C753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992" w:type="dxa"/>
            <w:tcBorders>
              <w:bottom w:val="single" w:sz="12" w:space="0" w:color="000000" w:themeColor="text1"/>
            </w:tcBorders>
            <w:shd w:val="clear" w:color="auto" w:fill="009D9A" w:themeFill="accent2"/>
            <w:vAlign w:val="center"/>
          </w:tcPr>
          <w:p w14:paraId="2D9BBF9C" w14:textId="090EADF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bottom w:val="single" w:sz="12" w:space="0" w:color="000000" w:themeColor="text1"/>
            </w:tcBorders>
            <w:shd w:val="clear" w:color="auto" w:fill="012749" w:themeFill="accent3"/>
            <w:vAlign w:val="center"/>
          </w:tcPr>
          <w:p w14:paraId="4B128D6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009D9A" w:themeFill="accent2"/>
            <w:vAlign w:val="center"/>
          </w:tcPr>
          <w:p w14:paraId="21C77812" w14:textId="7DDBD86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20698E69"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0A7A4B91"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Sales Workers</w:t>
            </w:r>
          </w:p>
        </w:tc>
        <w:tc>
          <w:tcPr>
            <w:tcW w:w="1276" w:type="dxa"/>
            <w:tcBorders>
              <w:top w:val="single" w:sz="12" w:space="0" w:color="000000" w:themeColor="text1"/>
              <w:bottom w:val="single" w:sz="12" w:space="0" w:color="000000" w:themeColor="text1"/>
            </w:tcBorders>
            <w:shd w:val="clear" w:color="auto" w:fill="009D9A" w:themeFill="accent2"/>
            <w:vAlign w:val="center"/>
          </w:tcPr>
          <w:p w14:paraId="10B1BB64" w14:textId="738661D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1134" w:type="dxa"/>
            <w:tcBorders>
              <w:top w:val="single" w:sz="12" w:space="0" w:color="000000" w:themeColor="text1"/>
              <w:bottom w:val="single" w:sz="12" w:space="0" w:color="000000" w:themeColor="text1"/>
            </w:tcBorders>
            <w:shd w:val="clear" w:color="auto" w:fill="6929C4" w:themeFill="accent1"/>
            <w:vAlign w:val="center"/>
          </w:tcPr>
          <w:p w14:paraId="0D6EAA45" w14:textId="71B7485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992" w:type="dxa"/>
            <w:tcBorders>
              <w:top w:val="single" w:sz="12" w:space="0" w:color="000000" w:themeColor="text1"/>
              <w:bottom w:val="single" w:sz="12" w:space="0" w:color="000000" w:themeColor="text1"/>
            </w:tcBorders>
            <w:shd w:val="clear" w:color="auto" w:fill="009D9A"/>
            <w:vAlign w:val="center"/>
          </w:tcPr>
          <w:p w14:paraId="6986E2B8" w14:textId="652E4DE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b/>
                <w:bCs/>
                <w:color w:val="FFFFFF" w:themeColor="background1"/>
                <w:sz w:val="18"/>
                <w:szCs w:val="18"/>
              </w:rPr>
              <w:t>Low</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76B49BE2"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009D9A" w:themeFill="accent2"/>
            <w:vAlign w:val="center"/>
          </w:tcPr>
          <w:p w14:paraId="09CD34A7" w14:textId="5DA1952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r>
      <w:tr w:rsidR="00E529E3" w:rsidRPr="00E905E9" w14:paraId="070BB7AB"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0C891E4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Sales Representatives and Agents</w:t>
            </w:r>
          </w:p>
        </w:tc>
        <w:tc>
          <w:tcPr>
            <w:tcW w:w="1276" w:type="dxa"/>
            <w:tcBorders>
              <w:top w:val="single" w:sz="12" w:space="0" w:color="000000" w:themeColor="text1"/>
            </w:tcBorders>
            <w:shd w:val="clear" w:color="auto" w:fill="9F1853" w:themeFill="accent6"/>
            <w:vAlign w:val="center"/>
          </w:tcPr>
          <w:p w14:paraId="035B2BE4" w14:textId="5E04207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top w:val="single" w:sz="12" w:space="0" w:color="000000" w:themeColor="text1"/>
            </w:tcBorders>
            <w:shd w:val="clear" w:color="auto" w:fill="6929C4" w:themeFill="accent1"/>
            <w:vAlign w:val="center"/>
          </w:tcPr>
          <w:p w14:paraId="5BAF6FBE" w14:textId="5AA0251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top w:val="single" w:sz="12" w:space="0" w:color="000000" w:themeColor="text1"/>
            </w:tcBorders>
            <w:shd w:val="clear" w:color="auto" w:fill="6929C4" w:themeFill="accent1"/>
            <w:vAlign w:val="center"/>
          </w:tcPr>
          <w:p w14:paraId="745EA26A" w14:textId="633A66E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tcBorders>
              <w:top w:val="single" w:sz="12" w:space="0" w:color="000000" w:themeColor="text1"/>
            </w:tcBorders>
            <w:shd w:val="clear" w:color="auto" w:fill="012749" w:themeFill="accent3"/>
            <w:vAlign w:val="center"/>
          </w:tcPr>
          <w:p w14:paraId="6D89A6E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6929C4" w:themeFill="accent1"/>
            <w:vAlign w:val="center"/>
          </w:tcPr>
          <w:p w14:paraId="54D4E96C" w14:textId="237D003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24F987DD" w14:textId="77777777" w:rsidTr="00A34C2D">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791D005"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Sales Assistants and Salespersons</w:t>
            </w:r>
          </w:p>
        </w:tc>
        <w:tc>
          <w:tcPr>
            <w:tcW w:w="1276" w:type="dxa"/>
            <w:shd w:val="clear" w:color="auto" w:fill="009D9A" w:themeFill="accent2"/>
            <w:vAlign w:val="center"/>
          </w:tcPr>
          <w:p w14:paraId="5FE632CC" w14:textId="380314D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shd w:val="clear" w:color="auto" w:fill="6929C4" w:themeFill="accent1"/>
            <w:vAlign w:val="center"/>
          </w:tcPr>
          <w:p w14:paraId="1D3793EE" w14:textId="00AB39C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009D9A"/>
            <w:vAlign w:val="center"/>
          </w:tcPr>
          <w:p w14:paraId="7832C070" w14:textId="2E3014E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4E0D849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77A58C05" w14:textId="5AD1A64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4FC050CF"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13DE006E"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Sales Support Workers</w:t>
            </w:r>
          </w:p>
        </w:tc>
        <w:tc>
          <w:tcPr>
            <w:tcW w:w="1276" w:type="dxa"/>
            <w:tcBorders>
              <w:bottom w:val="single" w:sz="12" w:space="0" w:color="000000" w:themeColor="text1"/>
            </w:tcBorders>
            <w:shd w:val="clear" w:color="auto" w:fill="009D9A" w:themeFill="accent2"/>
            <w:vAlign w:val="center"/>
          </w:tcPr>
          <w:p w14:paraId="46C338F4" w14:textId="065B56C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tcBorders>
              <w:bottom w:val="single" w:sz="12" w:space="0" w:color="000000" w:themeColor="text1"/>
            </w:tcBorders>
            <w:shd w:val="clear" w:color="auto" w:fill="6929C4" w:themeFill="accent1"/>
            <w:vAlign w:val="center"/>
          </w:tcPr>
          <w:p w14:paraId="4A6CBCEF" w14:textId="4FA8E55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bottom w:val="single" w:sz="12" w:space="0" w:color="000000" w:themeColor="text1"/>
            </w:tcBorders>
            <w:shd w:val="clear" w:color="auto" w:fill="6929C4" w:themeFill="accent1"/>
            <w:vAlign w:val="center"/>
          </w:tcPr>
          <w:p w14:paraId="489903ED" w14:textId="05F8171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tcBorders>
              <w:bottom w:val="single" w:sz="12" w:space="0" w:color="000000" w:themeColor="text1"/>
            </w:tcBorders>
            <w:shd w:val="clear" w:color="auto" w:fill="012749" w:themeFill="accent3"/>
            <w:vAlign w:val="center"/>
          </w:tcPr>
          <w:p w14:paraId="3138728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009D9A" w:themeFill="accent2"/>
            <w:vAlign w:val="center"/>
          </w:tcPr>
          <w:p w14:paraId="5D8EF0FF" w14:textId="429E6B4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6AF45EA6"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1FE8FDCD"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r w:rsidRPr="00E905E9">
              <w:rPr>
                <w:rFonts w:eastAsia="Calibri" w:cs="Arial"/>
                <w:b/>
                <w:bCs/>
                <w:sz w:val="18"/>
                <w:szCs w:val="18"/>
              </w:rPr>
              <w:t>Machinery Operators and Drivers</w:t>
            </w:r>
          </w:p>
        </w:tc>
        <w:tc>
          <w:tcPr>
            <w:tcW w:w="1276" w:type="dxa"/>
            <w:tcBorders>
              <w:top w:val="single" w:sz="12" w:space="0" w:color="000000" w:themeColor="text1"/>
              <w:bottom w:val="single" w:sz="12" w:space="0" w:color="000000" w:themeColor="text1"/>
            </w:tcBorders>
            <w:shd w:val="clear" w:color="auto" w:fill="6929C4" w:themeFill="accent1"/>
            <w:vAlign w:val="center"/>
          </w:tcPr>
          <w:p w14:paraId="485D6AD4" w14:textId="7B4E124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1134" w:type="dxa"/>
            <w:tcBorders>
              <w:top w:val="single" w:sz="12" w:space="0" w:color="000000" w:themeColor="text1"/>
              <w:bottom w:val="single" w:sz="12" w:space="0" w:color="000000" w:themeColor="text1"/>
            </w:tcBorders>
            <w:shd w:val="clear" w:color="auto" w:fill="6929C4" w:themeFill="accent1"/>
            <w:vAlign w:val="center"/>
          </w:tcPr>
          <w:p w14:paraId="42D81A30" w14:textId="3DFA3C9C"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992" w:type="dxa"/>
            <w:tcBorders>
              <w:top w:val="single" w:sz="12" w:space="0" w:color="000000" w:themeColor="text1"/>
              <w:bottom w:val="single" w:sz="12" w:space="0" w:color="000000" w:themeColor="text1"/>
            </w:tcBorders>
            <w:shd w:val="clear" w:color="auto" w:fill="6929C4" w:themeFill="accent1"/>
            <w:vAlign w:val="center"/>
          </w:tcPr>
          <w:p w14:paraId="77716EBD" w14:textId="005D874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55B2378E"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9F1853"/>
            <w:vAlign w:val="center"/>
          </w:tcPr>
          <w:p w14:paraId="310A15D5" w14:textId="075C988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r>
      <w:tr w:rsidR="00E529E3" w:rsidRPr="00E905E9" w14:paraId="39054B91"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3BDFF114"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 xml:space="preserve">Machine and </w:t>
            </w:r>
            <w:proofErr w:type="gramStart"/>
            <w:r w:rsidRPr="00E905E9">
              <w:rPr>
                <w:rFonts w:eastAsia="Calibri" w:cs="Arial"/>
                <w:sz w:val="18"/>
                <w:szCs w:val="18"/>
              </w:rPr>
              <w:t>Stationary</w:t>
            </w:r>
            <w:proofErr w:type="gramEnd"/>
            <w:r w:rsidRPr="00E905E9">
              <w:rPr>
                <w:rFonts w:eastAsia="Calibri" w:cs="Arial"/>
                <w:sz w:val="18"/>
                <w:szCs w:val="18"/>
              </w:rPr>
              <w:t xml:space="preserve"> Plant Operators</w:t>
            </w:r>
          </w:p>
        </w:tc>
        <w:tc>
          <w:tcPr>
            <w:tcW w:w="1276" w:type="dxa"/>
            <w:tcBorders>
              <w:top w:val="single" w:sz="12" w:space="0" w:color="000000" w:themeColor="text1"/>
            </w:tcBorders>
            <w:shd w:val="clear" w:color="auto" w:fill="9F1853" w:themeFill="accent6"/>
            <w:vAlign w:val="center"/>
          </w:tcPr>
          <w:p w14:paraId="19305FF7" w14:textId="07CF40F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1134" w:type="dxa"/>
            <w:tcBorders>
              <w:top w:val="single" w:sz="12" w:space="0" w:color="000000" w:themeColor="text1"/>
            </w:tcBorders>
            <w:shd w:val="clear" w:color="auto" w:fill="9F1853" w:themeFill="accent6"/>
            <w:vAlign w:val="center"/>
          </w:tcPr>
          <w:p w14:paraId="6FDE3615" w14:textId="3CB2B2B1"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tcBorders>
              <w:top w:val="single" w:sz="12" w:space="0" w:color="000000" w:themeColor="text1"/>
            </w:tcBorders>
            <w:shd w:val="clear" w:color="auto" w:fill="6929C4" w:themeFill="accent1"/>
            <w:vAlign w:val="center"/>
          </w:tcPr>
          <w:p w14:paraId="3ACDBC0A" w14:textId="3349A4E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tcBorders>
              <w:top w:val="single" w:sz="12" w:space="0" w:color="000000" w:themeColor="text1"/>
            </w:tcBorders>
            <w:shd w:val="clear" w:color="auto" w:fill="012749" w:themeFill="accent3"/>
            <w:vAlign w:val="center"/>
          </w:tcPr>
          <w:p w14:paraId="01B3A194"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9F1853" w:themeFill="accent6"/>
            <w:vAlign w:val="center"/>
          </w:tcPr>
          <w:p w14:paraId="634A6B5A" w14:textId="0C361B3F"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2645DF75"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1B30CB6D"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Mobile Plant Operators</w:t>
            </w:r>
          </w:p>
        </w:tc>
        <w:tc>
          <w:tcPr>
            <w:tcW w:w="1276" w:type="dxa"/>
            <w:shd w:val="clear" w:color="auto" w:fill="6929C4" w:themeFill="accent1"/>
            <w:vAlign w:val="center"/>
          </w:tcPr>
          <w:p w14:paraId="39F8CE98" w14:textId="6A693720"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1134" w:type="dxa"/>
            <w:shd w:val="clear" w:color="auto" w:fill="9F1853" w:themeFill="accent6"/>
            <w:vAlign w:val="center"/>
          </w:tcPr>
          <w:p w14:paraId="191A6753" w14:textId="55A69F96"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6929C4" w:themeFill="accent1"/>
            <w:vAlign w:val="center"/>
          </w:tcPr>
          <w:p w14:paraId="24FAA748" w14:textId="1B85939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shd w:val="clear" w:color="auto" w:fill="012749" w:themeFill="accent3"/>
            <w:vAlign w:val="center"/>
          </w:tcPr>
          <w:p w14:paraId="3EF03D9D"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6929C4" w:themeFill="accent1"/>
            <w:vAlign w:val="center"/>
          </w:tcPr>
          <w:p w14:paraId="21787C50" w14:textId="7D7D5AB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r>
      <w:tr w:rsidR="00E529E3" w:rsidRPr="00E905E9" w14:paraId="793F0B56"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19A4F89"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Road and Rail Drivers</w:t>
            </w:r>
          </w:p>
        </w:tc>
        <w:tc>
          <w:tcPr>
            <w:tcW w:w="1276" w:type="dxa"/>
            <w:shd w:val="clear" w:color="auto" w:fill="6929C4" w:themeFill="accent1"/>
            <w:vAlign w:val="center"/>
          </w:tcPr>
          <w:p w14:paraId="77EA3845" w14:textId="4329289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1134" w:type="dxa"/>
            <w:shd w:val="clear" w:color="auto" w:fill="9F1853" w:themeFill="accent6"/>
            <w:vAlign w:val="center"/>
          </w:tcPr>
          <w:p w14:paraId="6F7DB8C8" w14:textId="4A96319A"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9F1853" w:themeFill="accent6"/>
            <w:vAlign w:val="center"/>
          </w:tcPr>
          <w:p w14:paraId="4526CB77" w14:textId="4E7F572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7C5862FA"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themeFill="accent6"/>
            <w:vAlign w:val="center"/>
          </w:tcPr>
          <w:p w14:paraId="65DA0D59" w14:textId="7030AB7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114D7AF6"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12" w:space="0" w:color="000000" w:themeColor="text1"/>
            </w:tcBorders>
            <w:shd w:val="clear" w:color="auto" w:fill="FFFFFF" w:themeFill="background1"/>
          </w:tcPr>
          <w:p w14:paraId="02A2D3B0"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proofErr w:type="spellStart"/>
            <w:r w:rsidRPr="00E905E9">
              <w:rPr>
                <w:rFonts w:eastAsia="Calibri" w:cs="Arial"/>
                <w:sz w:val="18"/>
                <w:szCs w:val="18"/>
              </w:rPr>
              <w:t>Storepersons</w:t>
            </w:r>
            <w:proofErr w:type="spellEnd"/>
          </w:p>
        </w:tc>
        <w:tc>
          <w:tcPr>
            <w:tcW w:w="1276" w:type="dxa"/>
            <w:tcBorders>
              <w:bottom w:val="single" w:sz="12" w:space="0" w:color="000000" w:themeColor="text1"/>
            </w:tcBorders>
            <w:shd w:val="clear" w:color="auto" w:fill="9F1853"/>
            <w:vAlign w:val="center"/>
          </w:tcPr>
          <w:p w14:paraId="3B9FBAB7" w14:textId="7C31100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High</w:t>
            </w:r>
          </w:p>
        </w:tc>
        <w:tc>
          <w:tcPr>
            <w:tcW w:w="1134" w:type="dxa"/>
            <w:tcBorders>
              <w:bottom w:val="single" w:sz="12" w:space="0" w:color="000000" w:themeColor="text1"/>
            </w:tcBorders>
            <w:shd w:val="clear" w:color="auto" w:fill="6929C4" w:themeFill="accent1"/>
            <w:vAlign w:val="center"/>
          </w:tcPr>
          <w:p w14:paraId="79CAC5A9" w14:textId="39B051D9"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bottom w:val="single" w:sz="12" w:space="0" w:color="000000" w:themeColor="text1"/>
            </w:tcBorders>
            <w:shd w:val="clear" w:color="auto" w:fill="009D9A" w:themeFill="accent2"/>
            <w:vAlign w:val="center"/>
          </w:tcPr>
          <w:p w14:paraId="730DEAAA" w14:textId="1C7386E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tcBorders>
              <w:bottom w:val="single" w:sz="12" w:space="0" w:color="000000" w:themeColor="text1"/>
            </w:tcBorders>
            <w:shd w:val="clear" w:color="auto" w:fill="012749" w:themeFill="accent3"/>
            <w:vAlign w:val="center"/>
          </w:tcPr>
          <w:p w14:paraId="77F068C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12" w:space="0" w:color="000000" w:themeColor="text1"/>
            </w:tcBorders>
            <w:shd w:val="clear" w:color="auto" w:fill="009D9A" w:themeFill="accent2"/>
            <w:vAlign w:val="center"/>
          </w:tcPr>
          <w:p w14:paraId="5CF07F38" w14:textId="0C92888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21DCC4A1"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bottom w:val="single" w:sz="12" w:space="0" w:color="000000" w:themeColor="text1"/>
            </w:tcBorders>
            <w:shd w:val="clear" w:color="auto" w:fill="FFFFFF" w:themeFill="background1"/>
          </w:tcPr>
          <w:p w14:paraId="6472ED42" w14:textId="77777777" w:rsidR="00E529E3" w:rsidRPr="00E905E9" w:rsidRDefault="00E529E3" w:rsidP="00E529E3">
            <w:pPr>
              <w:tabs>
                <w:tab w:val="left" w:pos="357"/>
                <w:tab w:val="left" w:pos="714"/>
                <w:tab w:val="left" w:pos="1072"/>
                <w:tab w:val="left" w:pos="1429"/>
              </w:tabs>
              <w:spacing w:after="0" w:line="240" w:lineRule="auto"/>
              <w:rPr>
                <w:rFonts w:eastAsia="Calibri" w:cs="Arial"/>
                <w:b/>
                <w:bCs/>
                <w:sz w:val="18"/>
                <w:szCs w:val="18"/>
              </w:rPr>
            </w:pPr>
            <w:proofErr w:type="spellStart"/>
            <w:r w:rsidRPr="00E905E9">
              <w:rPr>
                <w:rFonts w:eastAsia="Calibri" w:cs="Arial"/>
                <w:b/>
                <w:bCs/>
                <w:sz w:val="18"/>
                <w:szCs w:val="18"/>
              </w:rPr>
              <w:t>Labourers</w:t>
            </w:r>
            <w:proofErr w:type="spellEnd"/>
          </w:p>
        </w:tc>
        <w:tc>
          <w:tcPr>
            <w:tcW w:w="1276" w:type="dxa"/>
            <w:tcBorders>
              <w:top w:val="single" w:sz="12" w:space="0" w:color="000000" w:themeColor="text1"/>
              <w:bottom w:val="single" w:sz="12" w:space="0" w:color="000000" w:themeColor="text1"/>
            </w:tcBorders>
            <w:shd w:val="clear" w:color="auto" w:fill="009D9A" w:themeFill="accent2"/>
            <w:vAlign w:val="center"/>
          </w:tcPr>
          <w:p w14:paraId="2804D82B" w14:textId="76C4EAC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c>
          <w:tcPr>
            <w:tcW w:w="1134" w:type="dxa"/>
            <w:tcBorders>
              <w:top w:val="single" w:sz="12" w:space="0" w:color="000000" w:themeColor="text1"/>
              <w:bottom w:val="single" w:sz="12" w:space="0" w:color="000000" w:themeColor="text1"/>
            </w:tcBorders>
            <w:shd w:val="clear" w:color="auto" w:fill="9F1853" w:themeFill="accent6"/>
            <w:vAlign w:val="center"/>
          </w:tcPr>
          <w:p w14:paraId="5CE59F45" w14:textId="0E824381"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High</w:t>
            </w:r>
          </w:p>
        </w:tc>
        <w:tc>
          <w:tcPr>
            <w:tcW w:w="992" w:type="dxa"/>
            <w:tcBorders>
              <w:top w:val="single" w:sz="12" w:space="0" w:color="000000" w:themeColor="text1"/>
              <w:bottom w:val="single" w:sz="12" w:space="0" w:color="000000" w:themeColor="text1"/>
            </w:tcBorders>
            <w:shd w:val="clear" w:color="auto" w:fill="6929C4" w:themeFill="accent1"/>
            <w:vAlign w:val="center"/>
          </w:tcPr>
          <w:p w14:paraId="701BF600" w14:textId="4525CD35"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Average</w:t>
            </w:r>
          </w:p>
        </w:tc>
        <w:tc>
          <w:tcPr>
            <w:tcW w:w="284" w:type="dxa"/>
            <w:tcBorders>
              <w:top w:val="single" w:sz="12" w:space="0" w:color="000000" w:themeColor="text1"/>
              <w:bottom w:val="single" w:sz="12" w:space="0" w:color="000000" w:themeColor="text1"/>
            </w:tcBorders>
            <w:shd w:val="clear" w:color="auto" w:fill="012749" w:themeFill="accent3"/>
            <w:vAlign w:val="center"/>
          </w:tcPr>
          <w:p w14:paraId="7BB95954"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bottom w:val="single" w:sz="12" w:space="0" w:color="000000" w:themeColor="text1"/>
            </w:tcBorders>
            <w:shd w:val="clear" w:color="auto" w:fill="009D9A" w:themeFill="accent2"/>
            <w:vAlign w:val="center"/>
          </w:tcPr>
          <w:p w14:paraId="10A4EB1F" w14:textId="2CAD6B11"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b/>
                <w:bCs/>
                <w:color w:val="FFFFFF" w:themeColor="background1"/>
                <w:sz w:val="18"/>
                <w:szCs w:val="18"/>
              </w:rPr>
              <w:t>Low</w:t>
            </w:r>
          </w:p>
        </w:tc>
      </w:tr>
      <w:tr w:rsidR="00E529E3" w:rsidRPr="00E905E9" w14:paraId="3E0D2B93"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top w:val="single" w:sz="12" w:space="0" w:color="000000" w:themeColor="text1"/>
            </w:tcBorders>
            <w:shd w:val="clear" w:color="auto" w:fill="FFFFFF" w:themeFill="background1"/>
          </w:tcPr>
          <w:p w14:paraId="2D700917"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Cleaners and Laundry Workers</w:t>
            </w:r>
          </w:p>
        </w:tc>
        <w:tc>
          <w:tcPr>
            <w:tcW w:w="1276" w:type="dxa"/>
            <w:tcBorders>
              <w:top w:val="single" w:sz="12" w:space="0" w:color="000000" w:themeColor="text1"/>
            </w:tcBorders>
            <w:shd w:val="clear" w:color="auto" w:fill="009D9A" w:themeFill="accent2"/>
            <w:vAlign w:val="center"/>
          </w:tcPr>
          <w:p w14:paraId="3E197E76" w14:textId="27289C33"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tcBorders>
              <w:top w:val="single" w:sz="12" w:space="0" w:color="000000" w:themeColor="text1"/>
            </w:tcBorders>
            <w:shd w:val="clear" w:color="auto" w:fill="6929C4" w:themeFill="accent1"/>
            <w:vAlign w:val="center"/>
          </w:tcPr>
          <w:p w14:paraId="73155D2A" w14:textId="182D0265"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tcBorders>
              <w:top w:val="single" w:sz="12" w:space="0" w:color="000000" w:themeColor="text1"/>
            </w:tcBorders>
            <w:shd w:val="clear" w:color="auto" w:fill="9F1853" w:themeFill="accent6"/>
            <w:vAlign w:val="center"/>
          </w:tcPr>
          <w:p w14:paraId="15A40E78" w14:textId="4C0EF8E9"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tcBorders>
              <w:top w:val="single" w:sz="12" w:space="0" w:color="000000" w:themeColor="text1"/>
            </w:tcBorders>
            <w:shd w:val="clear" w:color="auto" w:fill="012749" w:themeFill="accent3"/>
            <w:vAlign w:val="center"/>
          </w:tcPr>
          <w:p w14:paraId="51CBCEF6"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top w:val="single" w:sz="12" w:space="0" w:color="000000" w:themeColor="text1"/>
            </w:tcBorders>
            <w:shd w:val="clear" w:color="auto" w:fill="009D9A" w:themeFill="accent2"/>
            <w:vAlign w:val="center"/>
          </w:tcPr>
          <w:p w14:paraId="12CF8425" w14:textId="5FD78DC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603BAD38"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1A4D7FB8"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 xml:space="preserve">Construction and Mining </w:t>
            </w:r>
            <w:proofErr w:type="spellStart"/>
            <w:r w:rsidRPr="00E905E9">
              <w:rPr>
                <w:rFonts w:eastAsia="Calibri" w:cs="Arial"/>
                <w:sz w:val="18"/>
                <w:szCs w:val="18"/>
              </w:rPr>
              <w:t>Labourers</w:t>
            </w:r>
            <w:proofErr w:type="spellEnd"/>
          </w:p>
        </w:tc>
        <w:tc>
          <w:tcPr>
            <w:tcW w:w="1276" w:type="dxa"/>
            <w:shd w:val="clear" w:color="auto" w:fill="009D9A" w:themeFill="accent2"/>
            <w:vAlign w:val="center"/>
          </w:tcPr>
          <w:p w14:paraId="2A297D1A" w14:textId="0D2551BB"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Low</w:t>
            </w:r>
          </w:p>
        </w:tc>
        <w:tc>
          <w:tcPr>
            <w:tcW w:w="1134" w:type="dxa"/>
            <w:shd w:val="clear" w:color="auto" w:fill="9F1853" w:themeFill="accent6"/>
            <w:vAlign w:val="center"/>
          </w:tcPr>
          <w:p w14:paraId="14B11E52" w14:textId="5351D1FD"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6929C4" w:themeFill="accent1"/>
            <w:vAlign w:val="center"/>
          </w:tcPr>
          <w:p w14:paraId="69E4FB64" w14:textId="461992CD"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shd w:val="clear" w:color="auto" w:fill="012749" w:themeFill="accent3"/>
            <w:vAlign w:val="center"/>
          </w:tcPr>
          <w:p w14:paraId="108D0FBC"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9F1853"/>
            <w:vAlign w:val="center"/>
          </w:tcPr>
          <w:p w14:paraId="0EA16210" w14:textId="4D001D8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r>
      <w:tr w:rsidR="00E529E3" w:rsidRPr="00E905E9" w14:paraId="6A3401B4" w14:textId="77777777" w:rsidTr="00E529E3">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C711A07"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Factory Process Workers</w:t>
            </w:r>
          </w:p>
        </w:tc>
        <w:tc>
          <w:tcPr>
            <w:tcW w:w="1276" w:type="dxa"/>
            <w:shd w:val="clear" w:color="auto" w:fill="009D9A" w:themeFill="accent2"/>
            <w:vAlign w:val="center"/>
          </w:tcPr>
          <w:p w14:paraId="4A0072D5" w14:textId="6E4296F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shd w:val="clear" w:color="auto" w:fill="9F1853" w:themeFill="accent6"/>
            <w:vAlign w:val="center"/>
          </w:tcPr>
          <w:p w14:paraId="0E422BA0" w14:textId="29EB7C00"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009D9A"/>
            <w:vAlign w:val="center"/>
          </w:tcPr>
          <w:p w14:paraId="1B904F3A" w14:textId="1C0BC27C"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284" w:type="dxa"/>
            <w:shd w:val="clear" w:color="auto" w:fill="012749" w:themeFill="accent3"/>
            <w:vAlign w:val="center"/>
          </w:tcPr>
          <w:p w14:paraId="0A3C1D18"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cPr>
          <w:p w14:paraId="3F34DDF6" w14:textId="0B72828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7F44791A"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832405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Farm, Forestry and Garden Workers</w:t>
            </w:r>
          </w:p>
        </w:tc>
        <w:tc>
          <w:tcPr>
            <w:tcW w:w="1276" w:type="dxa"/>
            <w:shd w:val="clear" w:color="auto" w:fill="009D9A" w:themeFill="accent2"/>
            <w:vAlign w:val="center"/>
          </w:tcPr>
          <w:p w14:paraId="6ADB1D4C" w14:textId="057A64C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shd w:val="clear" w:color="auto" w:fill="9F1853" w:themeFill="accent6"/>
            <w:vAlign w:val="center"/>
          </w:tcPr>
          <w:p w14:paraId="72FFE8B0" w14:textId="09A401A7" w:rsidR="00E529E3" w:rsidRPr="00C1700B"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shd w:val="clear" w:color="auto" w:fill="9F1853" w:themeFill="accent6"/>
            <w:vAlign w:val="center"/>
          </w:tcPr>
          <w:p w14:paraId="5E8EA059" w14:textId="78ED00B4"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shd w:val="clear" w:color="auto" w:fill="012749" w:themeFill="accent3"/>
            <w:vAlign w:val="center"/>
          </w:tcPr>
          <w:p w14:paraId="20AA4C47"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6929C4" w:themeFill="accent1"/>
          </w:tcPr>
          <w:p w14:paraId="403D0062" w14:textId="50192BF8"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Average</w:t>
            </w:r>
          </w:p>
        </w:tc>
      </w:tr>
      <w:tr w:rsidR="00E529E3" w:rsidRPr="00E905E9" w14:paraId="11639894"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00E6E1EB"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Food Preparation Assistants</w:t>
            </w:r>
          </w:p>
        </w:tc>
        <w:tc>
          <w:tcPr>
            <w:tcW w:w="1276" w:type="dxa"/>
            <w:shd w:val="clear" w:color="auto" w:fill="009D9A" w:themeFill="accent2"/>
            <w:vAlign w:val="center"/>
          </w:tcPr>
          <w:p w14:paraId="3475B76F" w14:textId="76D6966A"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c>
          <w:tcPr>
            <w:tcW w:w="1134" w:type="dxa"/>
            <w:shd w:val="clear" w:color="auto" w:fill="6929C4" w:themeFill="accent1"/>
            <w:vAlign w:val="center"/>
          </w:tcPr>
          <w:p w14:paraId="230AE69B" w14:textId="6315BBBE"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992" w:type="dxa"/>
            <w:shd w:val="clear" w:color="auto" w:fill="6929C4" w:themeFill="accent1"/>
            <w:vAlign w:val="center"/>
          </w:tcPr>
          <w:p w14:paraId="743DA002" w14:textId="79BD52F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284" w:type="dxa"/>
            <w:shd w:val="clear" w:color="auto" w:fill="012749" w:themeFill="accent3"/>
            <w:vAlign w:val="center"/>
          </w:tcPr>
          <w:p w14:paraId="7B307129"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shd w:val="clear" w:color="auto" w:fill="009D9A" w:themeFill="accent2"/>
            <w:vAlign w:val="center"/>
          </w:tcPr>
          <w:p w14:paraId="0C7220DE" w14:textId="68C525D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Low</w:t>
            </w:r>
          </w:p>
        </w:tc>
      </w:tr>
      <w:tr w:rsidR="00E529E3" w:rsidRPr="00E905E9" w14:paraId="63B1FF75" w14:textId="77777777" w:rsidTr="00296BDB">
        <w:trPr>
          <w:trHeight w:val="119"/>
        </w:trPr>
        <w:tc>
          <w:tcPr>
            <w:cnfStyle w:val="001000000000" w:firstRow="0" w:lastRow="0" w:firstColumn="1" w:lastColumn="0" w:oddVBand="0" w:evenVBand="0" w:oddHBand="0" w:evenHBand="0" w:firstRowFirstColumn="0" w:firstRowLastColumn="0" w:lastRowFirstColumn="0" w:lastRowLastColumn="0"/>
            <w:tcW w:w="3969" w:type="dxa"/>
            <w:tcBorders>
              <w:bottom w:val="single" w:sz="8" w:space="0" w:color="000000" w:themeColor="text1"/>
            </w:tcBorders>
            <w:shd w:val="clear" w:color="auto" w:fill="FFFFFF" w:themeFill="background1"/>
          </w:tcPr>
          <w:p w14:paraId="34E11486" w14:textId="77777777" w:rsidR="00E529E3" w:rsidRPr="00E905E9" w:rsidRDefault="00E529E3" w:rsidP="00E529E3">
            <w:pPr>
              <w:tabs>
                <w:tab w:val="left" w:pos="357"/>
                <w:tab w:val="left" w:pos="714"/>
                <w:tab w:val="left" w:pos="1072"/>
                <w:tab w:val="left" w:pos="1429"/>
              </w:tabs>
              <w:spacing w:after="0" w:line="240" w:lineRule="auto"/>
              <w:ind w:left="113"/>
              <w:rPr>
                <w:rFonts w:eastAsia="Calibri" w:cs="Arial"/>
                <w:b/>
                <w:bCs/>
                <w:sz w:val="18"/>
                <w:szCs w:val="18"/>
              </w:rPr>
            </w:pPr>
            <w:r w:rsidRPr="00E905E9">
              <w:rPr>
                <w:rFonts w:eastAsia="Calibri" w:cs="Arial"/>
                <w:sz w:val="18"/>
                <w:szCs w:val="18"/>
              </w:rPr>
              <w:t xml:space="preserve">Other </w:t>
            </w:r>
            <w:proofErr w:type="spellStart"/>
            <w:r w:rsidRPr="00E905E9">
              <w:rPr>
                <w:rFonts w:eastAsia="Calibri" w:cs="Arial"/>
                <w:sz w:val="18"/>
                <w:szCs w:val="18"/>
              </w:rPr>
              <w:t>Labourers</w:t>
            </w:r>
            <w:proofErr w:type="spellEnd"/>
          </w:p>
        </w:tc>
        <w:tc>
          <w:tcPr>
            <w:tcW w:w="1276" w:type="dxa"/>
            <w:tcBorders>
              <w:bottom w:val="single" w:sz="8" w:space="0" w:color="000000" w:themeColor="text1"/>
            </w:tcBorders>
            <w:shd w:val="clear" w:color="auto" w:fill="6929C4" w:themeFill="accent1"/>
            <w:vAlign w:val="center"/>
          </w:tcPr>
          <w:p w14:paraId="39DD1958" w14:textId="7B977672"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Average</w:t>
            </w:r>
          </w:p>
        </w:tc>
        <w:tc>
          <w:tcPr>
            <w:tcW w:w="1134" w:type="dxa"/>
            <w:tcBorders>
              <w:bottom w:val="single" w:sz="8" w:space="0" w:color="000000" w:themeColor="text1"/>
            </w:tcBorders>
            <w:shd w:val="clear" w:color="auto" w:fill="9F1853" w:themeFill="accent6"/>
            <w:vAlign w:val="center"/>
          </w:tcPr>
          <w:p w14:paraId="72221570" w14:textId="51BB4BD6"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992" w:type="dxa"/>
            <w:tcBorders>
              <w:bottom w:val="single" w:sz="8" w:space="0" w:color="000000" w:themeColor="text1"/>
            </w:tcBorders>
            <w:shd w:val="clear" w:color="auto" w:fill="9F1853"/>
            <w:vAlign w:val="center"/>
          </w:tcPr>
          <w:p w14:paraId="209D6D0A" w14:textId="0C2DEE8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sidRPr="00126A56">
              <w:rPr>
                <w:rFonts w:eastAsia="Calibri" w:cs="Arial"/>
                <w:color w:val="FFFFFF" w:themeColor="background1"/>
                <w:sz w:val="18"/>
                <w:szCs w:val="18"/>
              </w:rPr>
              <w:t>High</w:t>
            </w:r>
          </w:p>
        </w:tc>
        <w:tc>
          <w:tcPr>
            <w:tcW w:w="284" w:type="dxa"/>
            <w:tcBorders>
              <w:bottom w:val="single" w:sz="8" w:space="0" w:color="000000" w:themeColor="text1"/>
            </w:tcBorders>
            <w:shd w:val="clear" w:color="auto" w:fill="012749" w:themeFill="accent3"/>
            <w:vAlign w:val="center"/>
          </w:tcPr>
          <w:p w14:paraId="526CDC24" w14:textId="7777777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p>
        </w:tc>
        <w:tc>
          <w:tcPr>
            <w:tcW w:w="1417" w:type="dxa"/>
            <w:tcBorders>
              <w:bottom w:val="single" w:sz="8" w:space="0" w:color="000000" w:themeColor="text1"/>
            </w:tcBorders>
            <w:shd w:val="clear" w:color="auto" w:fill="6929C4" w:themeFill="accent1"/>
            <w:vAlign w:val="center"/>
          </w:tcPr>
          <w:p w14:paraId="3546442B" w14:textId="677E2DF7" w:rsidR="00E529E3" w:rsidRPr="00E905E9" w:rsidRDefault="00E529E3" w:rsidP="00E529E3">
            <w:pPr>
              <w:tabs>
                <w:tab w:val="left" w:pos="357"/>
                <w:tab w:val="left" w:pos="714"/>
                <w:tab w:val="left" w:pos="1072"/>
                <w:tab w:val="left" w:pos="142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8"/>
              </w:rPr>
            </w:pPr>
            <w:r>
              <w:rPr>
                <w:rFonts w:eastAsia="Calibri" w:cs="Arial"/>
                <w:color w:val="FFFFFF" w:themeColor="background1"/>
                <w:sz w:val="18"/>
                <w:szCs w:val="18"/>
              </w:rPr>
              <w:t>Average</w:t>
            </w:r>
          </w:p>
        </w:tc>
      </w:tr>
    </w:tbl>
    <w:p w14:paraId="3EA2238A" w14:textId="77777777" w:rsidR="004B1D1B" w:rsidRDefault="004B1D1B" w:rsidP="004B1D1B">
      <w:pPr>
        <w:spacing w:before="240" w:after="0" w:line="259" w:lineRule="auto"/>
        <w:rPr>
          <w:rFonts w:cs="Arial"/>
          <w:sz w:val="18"/>
          <w:szCs w:val="18"/>
        </w:rPr>
      </w:pPr>
      <w:proofErr w:type="spellStart"/>
      <w:r>
        <w:rPr>
          <w:rFonts w:cs="Arial"/>
          <w:sz w:val="18"/>
          <w:szCs w:val="18"/>
        </w:rPr>
        <w:t>n.a.</w:t>
      </w:r>
      <w:proofErr w:type="spellEnd"/>
      <w:r>
        <w:rPr>
          <w:rFonts w:cs="Arial"/>
          <w:sz w:val="18"/>
          <w:szCs w:val="18"/>
        </w:rPr>
        <w:t xml:space="preserve"> - results not available</w:t>
      </w:r>
    </w:p>
    <w:p w14:paraId="6D3A3E85" w14:textId="77777777" w:rsidR="004B1D1B" w:rsidRPr="0026769D" w:rsidRDefault="004B1D1B" w:rsidP="004B1D1B">
      <w:pPr>
        <w:spacing w:after="160" w:line="259" w:lineRule="auto"/>
        <w:rPr>
          <w:rFonts w:cs="Arial"/>
          <w:sz w:val="18"/>
          <w:szCs w:val="18"/>
        </w:rPr>
      </w:pPr>
      <w:r w:rsidRPr="0026769D">
        <w:rPr>
          <w:rFonts w:cs="Arial"/>
          <w:sz w:val="18"/>
          <w:szCs w:val="18"/>
        </w:rPr>
        <w:t>Source: Jobs and Skills Australia, Recruitment Experiences and Outlook Survey, 2025.</w:t>
      </w:r>
    </w:p>
    <w:p w14:paraId="74ACAC10" w14:textId="77777777" w:rsidR="004A632D" w:rsidRPr="00EE5E13" w:rsidRDefault="004A632D" w:rsidP="000D7A07">
      <w:pPr>
        <w:pStyle w:val="Heading1"/>
        <w:spacing w:before="240" w:after="120" w:line="259" w:lineRule="auto"/>
        <w:rPr>
          <w:rFonts w:cs="Arial"/>
          <w:b w:val="0"/>
          <w:bCs/>
          <w:color w:val="auto"/>
          <w:sz w:val="32"/>
        </w:rPr>
      </w:pPr>
      <w:r w:rsidRPr="00EE5E13">
        <w:rPr>
          <w:rFonts w:cs="Arial"/>
          <w:bCs/>
          <w:color w:val="auto"/>
          <w:sz w:val="32"/>
        </w:rPr>
        <w:lastRenderedPageBreak/>
        <w:t>How employers recruit: by industry</w:t>
      </w:r>
    </w:p>
    <w:p w14:paraId="214A7CCB" w14:textId="2540FF67" w:rsidR="004A632D" w:rsidRPr="00F5096B" w:rsidRDefault="00FF50BA" w:rsidP="00AC4701">
      <w:pPr>
        <w:spacing w:after="160" w:line="259" w:lineRule="auto"/>
        <w:rPr>
          <w:rFonts w:cs="Arial"/>
        </w:rPr>
      </w:pPr>
      <w:r w:rsidRPr="00FF50BA">
        <w:rPr>
          <w:rFonts w:cs="Arial"/>
        </w:rPr>
        <w:t>Recruitment methods vary markedly across industries, reflecting differences in skill requirements, labour supply, and the nature of work.</w:t>
      </w:r>
      <w:r w:rsidR="006A67EC">
        <w:rPr>
          <w:rFonts w:cs="Arial"/>
        </w:rPr>
        <w:t xml:space="preserve"> </w:t>
      </w:r>
      <w:r w:rsidR="004A632D" w:rsidRPr="00F5096B">
        <w:rPr>
          <w:rFonts w:cs="Arial"/>
        </w:rPr>
        <w:t>Industries such as Wholesale Trade, Education and Training and Health Care and Social Assistance show high reliance on online job boards, combined with average or low use of word of mouth. Recruitment difficulty for these sectors tends to be average, suggesting that formal online channels are effective but not without challenges</w:t>
      </w:r>
      <w:r w:rsidR="004B1D1B">
        <w:rPr>
          <w:rFonts w:cs="Arial"/>
        </w:rPr>
        <w:t xml:space="preserve"> (Table 3)</w:t>
      </w:r>
      <w:r w:rsidR="004A632D" w:rsidRPr="00F5096B">
        <w:rPr>
          <w:rFonts w:cs="Arial"/>
        </w:rPr>
        <w:t>.</w:t>
      </w:r>
    </w:p>
    <w:p w14:paraId="41A24406" w14:textId="56337956" w:rsidR="004A632D" w:rsidRDefault="004A632D" w:rsidP="00AC4701">
      <w:pPr>
        <w:spacing w:after="160" w:line="259" w:lineRule="auto"/>
        <w:rPr>
          <w:rFonts w:cs="Arial"/>
        </w:rPr>
      </w:pPr>
      <w:r w:rsidRPr="00F5096B">
        <w:rPr>
          <w:rFonts w:cs="Arial"/>
        </w:rPr>
        <w:t>In contrast, industries like Accommodation and Food Services and Arts and Recreation Services rely heavily on word of mouth and social media, while their use of online job boards is low. These industries also report low levels of recruitment difficulty, indicating that informal and locally focused methods are adequate to find staff. Manufacturing and Construction display a mixed approach</w:t>
      </w:r>
      <w:r>
        <w:rPr>
          <w:rFonts w:cs="Arial"/>
        </w:rPr>
        <w:t>, depending on both</w:t>
      </w:r>
      <w:r w:rsidRPr="00F5096B">
        <w:rPr>
          <w:rFonts w:cs="Arial"/>
        </w:rPr>
        <w:t xml:space="preserve"> online job boards </w:t>
      </w:r>
      <w:r>
        <w:rPr>
          <w:rFonts w:cs="Arial"/>
        </w:rPr>
        <w:t xml:space="preserve">and </w:t>
      </w:r>
      <w:r w:rsidRPr="00F5096B">
        <w:rPr>
          <w:rFonts w:cs="Arial"/>
        </w:rPr>
        <w:t>word of mouth, yet both face high recruitment difficulty</w:t>
      </w:r>
      <w:r w:rsidR="008F0422">
        <w:rPr>
          <w:rFonts w:cs="Arial"/>
        </w:rPr>
        <w:t xml:space="preserve"> rates</w:t>
      </w:r>
      <w:r w:rsidRPr="00F5096B">
        <w:rPr>
          <w:rFonts w:cs="Arial"/>
        </w:rPr>
        <w:t>.</w:t>
      </w:r>
    </w:p>
    <w:p w14:paraId="09187093" w14:textId="1B8E1305" w:rsidR="004A632D" w:rsidRPr="00C77136" w:rsidRDefault="004A632D" w:rsidP="00AC4701">
      <w:pPr>
        <w:spacing w:after="160" w:line="259" w:lineRule="auto"/>
        <w:rPr>
          <w:rFonts w:cs="Arial"/>
        </w:rPr>
      </w:pPr>
      <w:r w:rsidRPr="587FEA27">
        <w:rPr>
          <w:rFonts w:cs="Arial"/>
        </w:rPr>
        <w:t xml:space="preserve">Some industries often </w:t>
      </w:r>
      <w:r w:rsidR="00845E65" w:rsidRPr="587FEA27">
        <w:rPr>
          <w:rFonts w:cs="Arial"/>
        </w:rPr>
        <w:t xml:space="preserve">make greater </w:t>
      </w:r>
      <w:r w:rsidRPr="587FEA27">
        <w:rPr>
          <w:rFonts w:cs="Arial"/>
        </w:rPr>
        <w:t xml:space="preserve">use </w:t>
      </w:r>
      <w:r w:rsidR="759242A4" w:rsidRPr="587FEA27">
        <w:rPr>
          <w:rFonts w:cs="Arial"/>
        </w:rPr>
        <w:t xml:space="preserve">of </w:t>
      </w:r>
      <w:r w:rsidR="00BE106E" w:rsidRPr="587FEA27">
        <w:rPr>
          <w:rFonts w:cs="Arial"/>
        </w:rPr>
        <w:t xml:space="preserve">methods </w:t>
      </w:r>
      <w:r w:rsidR="00845E65" w:rsidRPr="587FEA27">
        <w:rPr>
          <w:rFonts w:cs="Arial"/>
        </w:rPr>
        <w:t>not captured</w:t>
      </w:r>
      <w:r w:rsidR="00BE106E" w:rsidRPr="587FEA27">
        <w:rPr>
          <w:rFonts w:cs="Arial"/>
        </w:rPr>
        <w:t xml:space="preserve"> in this table</w:t>
      </w:r>
      <w:r w:rsidRPr="587FEA27">
        <w:rPr>
          <w:rFonts w:cs="Arial"/>
        </w:rPr>
        <w:t xml:space="preserve">, especially when job seekers can be attracted other ways. Professional, Scientific and Technical Services and Manufacturing, </w:t>
      </w:r>
      <w:r w:rsidR="00BE106E" w:rsidRPr="587FEA27">
        <w:rPr>
          <w:rFonts w:cs="Arial"/>
        </w:rPr>
        <w:t>for example</w:t>
      </w:r>
      <w:r w:rsidRPr="587FEA27">
        <w:rPr>
          <w:rFonts w:cs="Arial"/>
        </w:rPr>
        <w:t xml:space="preserve">, </w:t>
      </w:r>
      <w:r w:rsidR="00BE106E" w:rsidRPr="587FEA27">
        <w:rPr>
          <w:rFonts w:cs="Arial"/>
        </w:rPr>
        <w:t>can</w:t>
      </w:r>
      <w:r w:rsidRPr="587FEA27">
        <w:rPr>
          <w:rFonts w:cs="Arial"/>
        </w:rPr>
        <w:t xml:space="preserve"> use recruitment agencies for hard to fill vacancies.</w:t>
      </w:r>
    </w:p>
    <w:p w14:paraId="09A37B71" w14:textId="33F2B8B2" w:rsidR="004A632D" w:rsidRPr="00C77136" w:rsidRDefault="00845E65" w:rsidP="00AC4701">
      <w:pPr>
        <w:spacing w:after="160" w:line="259" w:lineRule="auto"/>
        <w:rPr>
          <w:rFonts w:cs="Arial"/>
        </w:rPr>
      </w:pPr>
      <w:r w:rsidRPr="587FEA27">
        <w:rPr>
          <w:rFonts w:cs="Arial"/>
        </w:rPr>
        <w:t>Taken together, the results highlight how the effectiveness of recruitment methods is closely linked to industry context. S</w:t>
      </w:r>
      <w:r w:rsidR="004A632D" w:rsidRPr="587FEA27">
        <w:rPr>
          <w:rFonts w:cs="Arial"/>
        </w:rPr>
        <w:t>ectors with higher skill requirements lean toward online platforms, while service-oriented and regional industries depend more on personal networks and social media.</w:t>
      </w:r>
    </w:p>
    <w:p w14:paraId="3E493F4F" w14:textId="72F22634" w:rsidR="004B1D1B" w:rsidRPr="007360A3" w:rsidRDefault="004B1D1B" w:rsidP="3B814ED4">
      <w:pPr>
        <w:pStyle w:val="Caption"/>
        <w:rPr>
          <w:color w:val="012749"/>
          <w:sz w:val="20"/>
          <w:szCs w:val="20"/>
        </w:rPr>
      </w:pPr>
      <w:r w:rsidRPr="007360A3">
        <w:rPr>
          <w:color w:val="012749"/>
          <w:sz w:val="20"/>
          <w:szCs w:val="20"/>
        </w:rPr>
        <w:t>Table 3: Employer use of key methods of recruitment and difficulty rate, by selected Industry Divisions, 202</w:t>
      </w:r>
      <w:r w:rsidR="00FB5679">
        <w:rPr>
          <w:color w:val="012749"/>
          <w:sz w:val="20"/>
          <w:szCs w:val="20"/>
        </w:rPr>
        <w:t>4</w:t>
      </w:r>
      <w:r w:rsidRPr="007360A3">
        <w:rPr>
          <w:color w:val="012749"/>
          <w:sz w:val="20"/>
          <w:szCs w:val="20"/>
        </w:rPr>
        <w:t>-2025</w:t>
      </w:r>
    </w:p>
    <w:tbl>
      <w:tblPr>
        <w:tblStyle w:val="CustomTableoption21"/>
        <w:tblW w:w="9072" w:type="dxa"/>
        <w:tblBorders>
          <w:bottom w:val="none" w:sz="0" w:space="0" w:color="auto"/>
        </w:tblBorders>
        <w:tblLayout w:type="fixed"/>
        <w:tblLook w:val="06A0" w:firstRow="1" w:lastRow="0" w:firstColumn="1" w:lastColumn="0" w:noHBand="1" w:noVBand="1"/>
      </w:tblPr>
      <w:tblGrid>
        <w:gridCol w:w="3591"/>
        <w:gridCol w:w="1224"/>
        <w:gridCol w:w="1281"/>
        <w:gridCol w:w="1275"/>
        <w:gridCol w:w="284"/>
        <w:gridCol w:w="1417"/>
      </w:tblGrid>
      <w:tr w:rsidR="004B1D1B" w:rsidRPr="00895589" w14:paraId="41E8EB22" w14:textId="77777777" w:rsidTr="3B814ED4">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91" w:type="dxa"/>
            <w:vMerge w:val="restart"/>
          </w:tcPr>
          <w:p w14:paraId="1B0E97F6" w14:textId="77777777" w:rsidR="004B1D1B" w:rsidRPr="00895589" w:rsidRDefault="004B1D1B">
            <w:pPr>
              <w:tabs>
                <w:tab w:val="left" w:pos="357"/>
                <w:tab w:val="left" w:pos="714"/>
                <w:tab w:val="left" w:pos="1072"/>
                <w:tab w:val="left" w:pos="1429"/>
              </w:tabs>
              <w:spacing w:before="60" w:after="60" w:line="240" w:lineRule="auto"/>
              <w:rPr>
                <w:rFonts w:eastAsia="Calibri" w:cs="Arial"/>
                <w:sz w:val="18"/>
                <w:szCs w:val="16"/>
              </w:rPr>
            </w:pPr>
          </w:p>
        </w:tc>
        <w:tc>
          <w:tcPr>
            <w:tcW w:w="3780" w:type="dxa"/>
            <w:gridSpan w:val="3"/>
            <w:vAlign w:val="center"/>
          </w:tcPr>
          <w:p w14:paraId="19E87F2D" w14:textId="77777777" w:rsidR="004B1D1B" w:rsidRPr="00895589" w:rsidRDefault="004B1D1B">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895589">
              <w:rPr>
                <w:rFonts w:eastAsia="Calibri" w:cs="Arial"/>
                <w:b/>
                <w:bCs/>
                <w:sz w:val="18"/>
                <w:szCs w:val="16"/>
              </w:rPr>
              <w:t>Employer use of:</w:t>
            </w:r>
          </w:p>
        </w:tc>
        <w:tc>
          <w:tcPr>
            <w:tcW w:w="284" w:type="dxa"/>
            <w:vAlign w:val="center"/>
          </w:tcPr>
          <w:p w14:paraId="0763ADC7" w14:textId="77777777" w:rsidR="004B1D1B" w:rsidRPr="00895589" w:rsidRDefault="004B1D1B">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val="restart"/>
            <w:vAlign w:val="center"/>
          </w:tcPr>
          <w:p w14:paraId="160E6943" w14:textId="77777777" w:rsidR="004B1D1B" w:rsidRPr="00895589" w:rsidRDefault="004B1D1B">
            <w:pPr>
              <w:tabs>
                <w:tab w:val="left" w:pos="357"/>
                <w:tab w:val="left" w:pos="714"/>
                <w:tab w:val="left" w:pos="1072"/>
                <w:tab w:val="left" w:pos="1429"/>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bCs/>
                <w:sz w:val="18"/>
                <w:szCs w:val="16"/>
              </w:rPr>
            </w:pPr>
            <w:r w:rsidRPr="00895589">
              <w:rPr>
                <w:rFonts w:eastAsia="Calibri" w:cs="Arial"/>
                <w:b/>
                <w:bCs/>
                <w:sz w:val="18"/>
                <w:szCs w:val="16"/>
              </w:rPr>
              <w:t>Recruitment difficulty rate</w:t>
            </w:r>
          </w:p>
        </w:tc>
      </w:tr>
      <w:tr w:rsidR="004B1D1B" w:rsidRPr="00895589" w14:paraId="0D554205" w14:textId="77777777" w:rsidTr="3B814ED4">
        <w:trPr>
          <w:trHeight w:val="89"/>
        </w:trPr>
        <w:tc>
          <w:tcPr>
            <w:cnfStyle w:val="001000000000" w:firstRow="0" w:lastRow="0" w:firstColumn="1" w:lastColumn="0" w:oddVBand="0" w:evenVBand="0" w:oddHBand="0" w:evenHBand="0" w:firstRowFirstColumn="0" w:firstRowLastColumn="0" w:lastRowFirstColumn="0" w:lastRowLastColumn="0"/>
            <w:tcW w:w="3591" w:type="dxa"/>
            <w:vMerge/>
          </w:tcPr>
          <w:p w14:paraId="1F914F3F" w14:textId="77777777" w:rsidR="004B1D1B" w:rsidRPr="00895589" w:rsidRDefault="004B1D1B">
            <w:pPr>
              <w:tabs>
                <w:tab w:val="left" w:pos="357"/>
                <w:tab w:val="left" w:pos="714"/>
                <w:tab w:val="left" w:pos="1072"/>
                <w:tab w:val="left" w:pos="1429"/>
              </w:tabs>
              <w:spacing w:before="60" w:after="60" w:line="240" w:lineRule="auto"/>
              <w:rPr>
                <w:rFonts w:eastAsia="Calibri" w:cs="Arial"/>
                <w:sz w:val="18"/>
                <w:szCs w:val="16"/>
              </w:rPr>
            </w:pPr>
          </w:p>
        </w:tc>
        <w:tc>
          <w:tcPr>
            <w:tcW w:w="1224" w:type="dxa"/>
            <w:shd w:val="clear" w:color="auto" w:fill="012749" w:themeFill="accent3"/>
            <w:vAlign w:val="center"/>
          </w:tcPr>
          <w:p w14:paraId="2499D9D6" w14:textId="77777777" w:rsidR="004B1D1B" w:rsidRPr="00895589"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895589">
              <w:rPr>
                <w:rFonts w:eastAsia="Calibri" w:cs="Arial"/>
                <w:b/>
                <w:bCs/>
                <w:sz w:val="18"/>
                <w:szCs w:val="16"/>
              </w:rPr>
              <w:t>Online jobs boards</w:t>
            </w:r>
          </w:p>
        </w:tc>
        <w:tc>
          <w:tcPr>
            <w:tcW w:w="1281" w:type="dxa"/>
            <w:shd w:val="clear" w:color="auto" w:fill="012749" w:themeFill="accent3"/>
            <w:vAlign w:val="center"/>
          </w:tcPr>
          <w:p w14:paraId="3D46B831" w14:textId="77777777" w:rsidR="004B1D1B" w:rsidRPr="00895589"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895589">
              <w:rPr>
                <w:rFonts w:eastAsia="Calibri" w:cs="Arial"/>
                <w:b/>
                <w:bCs/>
                <w:sz w:val="18"/>
                <w:szCs w:val="16"/>
              </w:rPr>
              <w:t xml:space="preserve">Word of </w:t>
            </w:r>
            <w:r>
              <w:rPr>
                <w:rFonts w:eastAsia="Calibri" w:cs="Arial"/>
                <w:b/>
                <w:bCs/>
                <w:sz w:val="18"/>
                <w:szCs w:val="16"/>
              </w:rPr>
              <w:t>m</w:t>
            </w:r>
            <w:r w:rsidRPr="00895589">
              <w:rPr>
                <w:rFonts w:eastAsia="Calibri" w:cs="Arial"/>
                <w:b/>
                <w:bCs/>
                <w:sz w:val="18"/>
                <w:szCs w:val="16"/>
              </w:rPr>
              <w:t>outh</w:t>
            </w:r>
          </w:p>
        </w:tc>
        <w:tc>
          <w:tcPr>
            <w:tcW w:w="1275" w:type="dxa"/>
            <w:shd w:val="clear" w:color="auto" w:fill="012749" w:themeFill="accent3"/>
            <w:vAlign w:val="center"/>
          </w:tcPr>
          <w:p w14:paraId="5D14F449" w14:textId="77777777" w:rsidR="004B1D1B" w:rsidRPr="00895589"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 w:val="18"/>
                <w:szCs w:val="16"/>
              </w:rPr>
            </w:pPr>
            <w:r w:rsidRPr="00895589">
              <w:rPr>
                <w:rFonts w:eastAsia="Calibri" w:cs="Arial"/>
                <w:b/>
                <w:bCs/>
                <w:sz w:val="18"/>
                <w:szCs w:val="16"/>
              </w:rPr>
              <w:t xml:space="preserve">Social </w:t>
            </w:r>
            <w:r>
              <w:rPr>
                <w:rFonts w:eastAsia="Calibri" w:cs="Arial"/>
                <w:b/>
                <w:bCs/>
                <w:sz w:val="18"/>
                <w:szCs w:val="16"/>
              </w:rPr>
              <w:t>m</w:t>
            </w:r>
            <w:r w:rsidRPr="00895589">
              <w:rPr>
                <w:rFonts w:eastAsia="Calibri" w:cs="Arial"/>
                <w:b/>
                <w:bCs/>
                <w:sz w:val="18"/>
                <w:szCs w:val="16"/>
              </w:rPr>
              <w:t>edia</w:t>
            </w:r>
          </w:p>
        </w:tc>
        <w:tc>
          <w:tcPr>
            <w:tcW w:w="284" w:type="dxa"/>
            <w:shd w:val="clear" w:color="auto" w:fill="012749" w:themeFill="accent3"/>
          </w:tcPr>
          <w:p w14:paraId="07EC6F1D" w14:textId="77777777" w:rsidR="004B1D1B" w:rsidRPr="00895589" w:rsidRDefault="004B1D1B">
            <w:pPr>
              <w:tabs>
                <w:tab w:val="left" w:pos="357"/>
                <w:tab w:val="left" w:pos="714"/>
                <w:tab w:val="left" w:pos="1072"/>
                <w:tab w:val="left" w:pos="1429"/>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c>
          <w:tcPr>
            <w:tcW w:w="1417" w:type="dxa"/>
            <w:vMerge/>
          </w:tcPr>
          <w:p w14:paraId="146F4FCE" w14:textId="77777777" w:rsidR="004B1D1B" w:rsidRPr="00895589" w:rsidRDefault="004B1D1B">
            <w:pPr>
              <w:tabs>
                <w:tab w:val="left" w:pos="357"/>
                <w:tab w:val="left" w:pos="714"/>
                <w:tab w:val="left" w:pos="1072"/>
                <w:tab w:val="left" w:pos="1429"/>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6"/>
              </w:rPr>
            </w:pPr>
          </w:p>
        </w:tc>
      </w:tr>
      <w:tr w:rsidR="004B1D1B" w:rsidRPr="00895589" w14:paraId="53A0E2BD" w14:textId="77777777" w:rsidTr="00991F5C">
        <w:trPr>
          <w:trHeight w:val="162"/>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AD2656D"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Manufacturing</w:t>
            </w:r>
          </w:p>
        </w:tc>
        <w:tc>
          <w:tcPr>
            <w:tcW w:w="1224" w:type="dxa"/>
            <w:shd w:val="clear" w:color="auto" w:fill="6929C4" w:themeFill="accent1"/>
          </w:tcPr>
          <w:p w14:paraId="1489D58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81" w:type="dxa"/>
            <w:shd w:val="clear" w:color="auto" w:fill="6929C4" w:themeFill="accent1"/>
          </w:tcPr>
          <w:p w14:paraId="06D04D3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009D9A" w:themeFill="accent2"/>
          </w:tcPr>
          <w:p w14:paraId="003010C7"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284" w:type="dxa"/>
            <w:shd w:val="clear" w:color="auto" w:fill="012749" w:themeFill="accent3"/>
          </w:tcPr>
          <w:p w14:paraId="4F00602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tcPr>
          <w:p w14:paraId="5C76C643"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4B1D1B" w:rsidRPr="00895589" w14:paraId="1885F0BA"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E2743CD"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Construction</w:t>
            </w:r>
          </w:p>
        </w:tc>
        <w:tc>
          <w:tcPr>
            <w:tcW w:w="1224" w:type="dxa"/>
            <w:shd w:val="clear" w:color="auto" w:fill="6929C4" w:themeFill="accent1"/>
          </w:tcPr>
          <w:p w14:paraId="2360F2D4"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81" w:type="dxa"/>
            <w:shd w:val="clear" w:color="auto" w:fill="9F1853" w:themeFill="accent6"/>
          </w:tcPr>
          <w:p w14:paraId="5950834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75" w:type="dxa"/>
            <w:shd w:val="clear" w:color="auto" w:fill="009D9A" w:themeFill="accent2"/>
          </w:tcPr>
          <w:p w14:paraId="00CA54CE"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284" w:type="dxa"/>
            <w:shd w:val="clear" w:color="auto" w:fill="012749" w:themeFill="accent3"/>
          </w:tcPr>
          <w:p w14:paraId="6D2413E9"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tcPr>
          <w:p w14:paraId="1C1CD0E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4B1D1B" w:rsidRPr="00895589" w14:paraId="136130B0" w14:textId="77777777" w:rsidTr="00991F5C">
        <w:trPr>
          <w:trHeight w:val="162"/>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570D0C2"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Wholesale Trade</w:t>
            </w:r>
          </w:p>
        </w:tc>
        <w:tc>
          <w:tcPr>
            <w:tcW w:w="1224" w:type="dxa"/>
            <w:shd w:val="clear" w:color="auto" w:fill="9F1853" w:themeFill="accent6"/>
          </w:tcPr>
          <w:p w14:paraId="34057D5E"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6929C4" w:themeFill="accent1"/>
          </w:tcPr>
          <w:p w14:paraId="51A73F49"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009D9A" w:themeFill="accent2"/>
          </w:tcPr>
          <w:p w14:paraId="1833BFF2"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284" w:type="dxa"/>
            <w:shd w:val="clear" w:color="auto" w:fill="012749" w:themeFill="accent3"/>
          </w:tcPr>
          <w:p w14:paraId="1457540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6929C4" w:themeFill="accent1"/>
          </w:tcPr>
          <w:p w14:paraId="753F2AFD"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r>
      <w:tr w:rsidR="004B1D1B" w:rsidRPr="00895589" w14:paraId="03C1F319"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2957E52"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Retail Trade</w:t>
            </w:r>
          </w:p>
        </w:tc>
        <w:tc>
          <w:tcPr>
            <w:tcW w:w="1224" w:type="dxa"/>
            <w:shd w:val="clear" w:color="auto" w:fill="009D9A" w:themeFill="accent2"/>
          </w:tcPr>
          <w:p w14:paraId="0C1BD3FA"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shd w:val="clear" w:color="auto" w:fill="6929C4" w:themeFill="accent1"/>
          </w:tcPr>
          <w:p w14:paraId="229FDC8A"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6929C4" w:themeFill="accent1"/>
          </w:tcPr>
          <w:p w14:paraId="69DC4EE1"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284" w:type="dxa"/>
            <w:shd w:val="clear" w:color="auto" w:fill="012749" w:themeFill="accent3"/>
          </w:tcPr>
          <w:p w14:paraId="43CB0925"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009D9A" w:themeFill="accent2"/>
          </w:tcPr>
          <w:p w14:paraId="5F2AB07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r>
      <w:tr w:rsidR="004B1D1B" w:rsidRPr="00895589" w14:paraId="18B31CEE"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297BC55"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Accommodation and Food Services</w:t>
            </w:r>
          </w:p>
        </w:tc>
        <w:tc>
          <w:tcPr>
            <w:tcW w:w="1224" w:type="dxa"/>
            <w:shd w:val="clear" w:color="auto" w:fill="009D9A" w:themeFill="accent2"/>
          </w:tcPr>
          <w:p w14:paraId="5220CFD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shd w:val="clear" w:color="auto" w:fill="6929C4" w:themeFill="accent1"/>
          </w:tcPr>
          <w:p w14:paraId="4FD21F1B"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9F1853" w:themeFill="accent6"/>
          </w:tcPr>
          <w:p w14:paraId="4B002AE5"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shd w:val="clear" w:color="auto" w:fill="012749" w:themeFill="accent3"/>
          </w:tcPr>
          <w:p w14:paraId="607A7618"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009D9A" w:themeFill="accent2"/>
          </w:tcPr>
          <w:p w14:paraId="55116DEE"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r>
      <w:tr w:rsidR="004B1D1B" w:rsidRPr="00895589" w14:paraId="076ACAE4"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A69854B"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Transport, Postal and Warehousing</w:t>
            </w:r>
          </w:p>
        </w:tc>
        <w:tc>
          <w:tcPr>
            <w:tcW w:w="1224" w:type="dxa"/>
            <w:shd w:val="clear" w:color="auto" w:fill="6929C4" w:themeFill="accent1"/>
          </w:tcPr>
          <w:p w14:paraId="2D2B55E1"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81" w:type="dxa"/>
            <w:shd w:val="clear" w:color="auto" w:fill="9F1853" w:themeFill="accent6"/>
          </w:tcPr>
          <w:p w14:paraId="728A651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75" w:type="dxa"/>
            <w:shd w:val="clear" w:color="auto" w:fill="9F1853" w:themeFill="accent6"/>
          </w:tcPr>
          <w:p w14:paraId="425500B7"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shd w:val="clear" w:color="auto" w:fill="012749" w:themeFill="accent3"/>
          </w:tcPr>
          <w:p w14:paraId="520952E8"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tcPr>
          <w:p w14:paraId="4ABE73BC"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4B1D1B" w:rsidRPr="00895589" w14:paraId="4BAA8AA9"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6F64D45"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Rental, Hiring and Real Estate Services</w:t>
            </w:r>
          </w:p>
        </w:tc>
        <w:tc>
          <w:tcPr>
            <w:tcW w:w="1224" w:type="dxa"/>
            <w:shd w:val="clear" w:color="auto" w:fill="9F1853" w:themeFill="accent6"/>
          </w:tcPr>
          <w:p w14:paraId="51FF0BA2"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6929C4" w:themeFill="accent1"/>
          </w:tcPr>
          <w:p w14:paraId="406E2F33"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75" w:type="dxa"/>
            <w:shd w:val="clear" w:color="auto" w:fill="6929C4" w:themeFill="accent1"/>
          </w:tcPr>
          <w:p w14:paraId="5E15A033"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284" w:type="dxa"/>
            <w:shd w:val="clear" w:color="auto" w:fill="012749" w:themeFill="accent3"/>
          </w:tcPr>
          <w:p w14:paraId="7EAFBB3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6929C4" w:themeFill="accent1"/>
          </w:tcPr>
          <w:p w14:paraId="36ADFC08"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r>
      <w:tr w:rsidR="004B1D1B" w:rsidRPr="00895589" w14:paraId="0B0EA889" w14:textId="77777777" w:rsidTr="3B814ED4">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896415F"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Professional, Scientific and Technical Services</w:t>
            </w:r>
          </w:p>
        </w:tc>
        <w:tc>
          <w:tcPr>
            <w:tcW w:w="1224" w:type="dxa"/>
            <w:shd w:val="clear" w:color="auto" w:fill="9F1853" w:themeFill="accent6"/>
            <w:vAlign w:val="center"/>
          </w:tcPr>
          <w:p w14:paraId="6756BA64" w14:textId="03763763" w:rsidR="004B1D1B" w:rsidRPr="00E529E3" w:rsidRDefault="5DAA9F08"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8"/>
              </w:rPr>
            </w:pPr>
            <w:r w:rsidRPr="00E529E3">
              <w:rPr>
                <w:rFonts w:eastAsia="Calibri" w:cs="Arial"/>
                <w:b/>
                <w:bCs/>
                <w:color w:val="FFFFFF" w:themeColor="background1"/>
                <w:sz w:val="18"/>
                <w:szCs w:val="18"/>
              </w:rPr>
              <w:t>High</w:t>
            </w:r>
          </w:p>
        </w:tc>
        <w:tc>
          <w:tcPr>
            <w:tcW w:w="1281" w:type="dxa"/>
            <w:shd w:val="clear" w:color="auto" w:fill="009D9A" w:themeFill="accent2"/>
            <w:vAlign w:val="center"/>
          </w:tcPr>
          <w:p w14:paraId="05398937"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75" w:type="dxa"/>
            <w:shd w:val="clear" w:color="auto" w:fill="009D9A" w:themeFill="accent2"/>
            <w:vAlign w:val="center"/>
          </w:tcPr>
          <w:p w14:paraId="0B51B244"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284" w:type="dxa"/>
            <w:shd w:val="clear" w:color="auto" w:fill="012749" w:themeFill="accent3"/>
            <w:vAlign w:val="center"/>
          </w:tcPr>
          <w:p w14:paraId="58307F6B"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9F1853" w:themeFill="accent6"/>
            <w:vAlign w:val="center"/>
          </w:tcPr>
          <w:p w14:paraId="579505DC"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r w:rsidR="004B1D1B" w:rsidRPr="00895589" w14:paraId="7694B77A"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C643A8E"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Administrative and Support Services</w:t>
            </w:r>
          </w:p>
        </w:tc>
        <w:tc>
          <w:tcPr>
            <w:tcW w:w="1224" w:type="dxa"/>
            <w:shd w:val="clear" w:color="auto" w:fill="9F1853" w:themeFill="accent6"/>
          </w:tcPr>
          <w:p w14:paraId="3C27289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009D9A" w:themeFill="accent2"/>
          </w:tcPr>
          <w:p w14:paraId="454BE10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75" w:type="dxa"/>
            <w:shd w:val="clear" w:color="auto" w:fill="6929C4" w:themeFill="accent1"/>
          </w:tcPr>
          <w:p w14:paraId="0B046C50" w14:textId="11B00F16" w:rsidR="004B1D1B" w:rsidRPr="00E529E3" w:rsidRDefault="66256B63"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8"/>
              </w:rPr>
            </w:pPr>
            <w:r w:rsidRPr="00E529E3">
              <w:rPr>
                <w:rFonts w:eastAsia="Calibri" w:cs="Arial"/>
                <w:b/>
                <w:bCs/>
                <w:color w:val="FFFFFF" w:themeColor="background1"/>
                <w:sz w:val="18"/>
                <w:szCs w:val="18"/>
              </w:rPr>
              <w:t>Average</w:t>
            </w:r>
          </w:p>
        </w:tc>
        <w:tc>
          <w:tcPr>
            <w:tcW w:w="284" w:type="dxa"/>
            <w:shd w:val="clear" w:color="auto" w:fill="012749" w:themeFill="accent3"/>
          </w:tcPr>
          <w:p w14:paraId="43BBF754"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6929C4" w:themeFill="accent1"/>
          </w:tcPr>
          <w:p w14:paraId="1D0C292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r>
      <w:tr w:rsidR="004B1D1B" w:rsidRPr="00895589" w14:paraId="4C63C898"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24FC77E"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Education and Training</w:t>
            </w:r>
          </w:p>
        </w:tc>
        <w:tc>
          <w:tcPr>
            <w:tcW w:w="1224" w:type="dxa"/>
            <w:shd w:val="clear" w:color="auto" w:fill="9F1853" w:themeFill="accent6"/>
          </w:tcPr>
          <w:p w14:paraId="09A5168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009D9A" w:themeFill="accent2"/>
          </w:tcPr>
          <w:p w14:paraId="1D5CEB4B" w14:textId="40D95328" w:rsidR="004B1D1B" w:rsidRPr="00E529E3" w:rsidRDefault="62909445"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529E3">
              <w:rPr>
                <w:rFonts w:eastAsia="Calibri" w:cs="Arial"/>
                <w:b/>
                <w:bCs/>
                <w:color w:val="FFFFFF" w:themeColor="background1"/>
                <w:sz w:val="18"/>
                <w:szCs w:val="18"/>
              </w:rPr>
              <w:t>Low</w:t>
            </w:r>
          </w:p>
        </w:tc>
        <w:tc>
          <w:tcPr>
            <w:tcW w:w="1275" w:type="dxa"/>
            <w:shd w:val="clear" w:color="auto" w:fill="6929C4" w:themeFill="accent1"/>
          </w:tcPr>
          <w:p w14:paraId="10BB57F8" w14:textId="7A50F8C7" w:rsidR="004B1D1B" w:rsidRPr="00E529E3" w:rsidRDefault="35261B14" w:rsidP="3B814ED4">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8"/>
              </w:rPr>
            </w:pPr>
            <w:r w:rsidRPr="00E529E3">
              <w:rPr>
                <w:rFonts w:eastAsia="Calibri" w:cs="Arial"/>
                <w:b/>
                <w:bCs/>
                <w:color w:val="FFFFFF" w:themeColor="background1"/>
                <w:sz w:val="18"/>
                <w:szCs w:val="18"/>
              </w:rPr>
              <w:t>Average</w:t>
            </w:r>
          </w:p>
        </w:tc>
        <w:tc>
          <w:tcPr>
            <w:tcW w:w="284" w:type="dxa"/>
            <w:shd w:val="clear" w:color="auto" w:fill="012749" w:themeFill="accent3"/>
          </w:tcPr>
          <w:p w14:paraId="7E2A6FA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6929C4" w:themeFill="accent1"/>
          </w:tcPr>
          <w:p w14:paraId="3D0A3A1A"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r>
      <w:tr w:rsidR="004B1D1B" w:rsidRPr="00895589" w14:paraId="3E1B8451"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B133E32"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Health Care and Social Assistance</w:t>
            </w:r>
          </w:p>
        </w:tc>
        <w:tc>
          <w:tcPr>
            <w:tcW w:w="1224" w:type="dxa"/>
            <w:shd w:val="clear" w:color="auto" w:fill="9F1853" w:themeFill="accent6"/>
          </w:tcPr>
          <w:p w14:paraId="1C45C8E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81" w:type="dxa"/>
            <w:shd w:val="clear" w:color="auto" w:fill="009D9A" w:themeFill="accent2"/>
          </w:tcPr>
          <w:p w14:paraId="3C380281"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75" w:type="dxa"/>
            <w:shd w:val="clear" w:color="auto" w:fill="6929C4" w:themeFill="accent1"/>
          </w:tcPr>
          <w:p w14:paraId="4BC4F37E"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284" w:type="dxa"/>
            <w:shd w:val="clear" w:color="auto" w:fill="012749" w:themeFill="accent3"/>
          </w:tcPr>
          <w:p w14:paraId="5DBE0070"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6929C4" w:themeFill="accent1"/>
          </w:tcPr>
          <w:p w14:paraId="5D23B675"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r>
      <w:tr w:rsidR="004B1D1B" w:rsidRPr="00895589" w14:paraId="3D0BA98D" w14:textId="77777777" w:rsidTr="3B814ED4">
        <w:trPr>
          <w:trHeight w:val="157"/>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0AFDAC9"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Arts and Recreation Services</w:t>
            </w:r>
          </w:p>
        </w:tc>
        <w:tc>
          <w:tcPr>
            <w:tcW w:w="1224" w:type="dxa"/>
            <w:shd w:val="clear" w:color="auto" w:fill="009D9A" w:themeFill="accent2"/>
          </w:tcPr>
          <w:p w14:paraId="3569362C"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c>
          <w:tcPr>
            <w:tcW w:w="1281" w:type="dxa"/>
            <w:shd w:val="clear" w:color="auto" w:fill="9F1853" w:themeFill="accent6"/>
          </w:tcPr>
          <w:p w14:paraId="20501811"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75" w:type="dxa"/>
            <w:shd w:val="clear" w:color="auto" w:fill="9F1853" w:themeFill="accent6"/>
          </w:tcPr>
          <w:p w14:paraId="3BB81519"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shd w:val="clear" w:color="auto" w:fill="012749" w:themeFill="accent3"/>
          </w:tcPr>
          <w:p w14:paraId="200E4084"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shd w:val="clear" w:color="auto" w:fill="009D9A" w:themeFill="accent2"/>
          </w:tcPr>
          <w:p w14:paraId="5DCDD906"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Low</w:t>
            </w:r>
          </w:p>
        </w:tc>
      </w:tr>
      <w:tr w:rsidR="004B1D1B" w:rsidRPr="00895589" w14:paraId="152706D3" w14:textId="77777777" w:rsidTr="00991F5C">
        <w:trPr>
          <w:trHeight w:val="157"/>
        </w:trPr>
        <w:tc>
          <w:tcPr>
            <w:cnfStyle w:val="001000000000" w:firstRow="0" w:lastRow="0" w:firstColumn="1" w:lastColumn="0" w:oddVBand="0" w:evenVBand="0" w:oddHBand="0" w:evenHBand="0" w:firstRowFirstColumn="0" w:firstRowLastColumn="0" w:lastRowFirstColumn="0" w:lastRowLastColumn="0"/>
            <w:tcW w:w="3591" w:type="dxa"/>
            <w:tcBorders>
              <w:bottom w:val="single" w:sz="4" w:space="0" w:color="auto"/>
            </w:tcBorders>
            <w:shd w:val="clear" w:color="auto" w:fill="FFFFFF" w:themeFill="background1"/>
          </w:tcPr>
          <w:p w14:paraId="03744F0F" w14:textId="77777777" w:rsidR="004B1D1B" w:rsidRPr="00895589" w:rsidRDefault="004B1D1B">
            <w:pPr>
              <w:tabs>
                <w:tab w:val="left" w:pos="357"/>
                <w:tab w:val="left" w:pos="714"/>
                <w:tab w:val="left" w:pos="1072"/>
                <w:tab w:val="left" w:pos="1429"/>
              </w:tabs>
              <w:spacing w:before="60" w:after="60" w:line="240" w:lineRule="auto"/>
              <w:rPr>
                <w:rFonts w:eastAsia="Calibri" w:cs="Arial"/>
                <w:b/>
                <w:bCs/>
                <w:sz w:val="18"/>
                <w:szCs w:val="16"/>
              </w:rPr>
            </w:pPr>
            <w:r w:rsidRPr="00895589">
              <w:rPr>
                <w:rFonts w:eastAsia="Calibri" w:cs="Arial"/>
                <w:b/>
                <w:bCs/>
                <w:sz w:val="18"/>
                <w:szCs w:val="16"/>
              </w:rPr>
              <w:t>Other Services</w:t>
            </w:r>
          </w:p>
        </w:tc>
        <w:tc>
          <w:tcPr>
            <w:tcW w:w="1224" w:type="dxa"/>
            <w:tcBorders>
              <w:bottom w:val="single" w:sz="4" w:space="0" w:color="auto"/>
            </w:tcBorders>
            <w:shd w:val="clear" w:color="auto" w:fill="6929C4" w:themeFill="accent1"/>
          </w:tcPr>
          <w:p w14:paraId="200994D8"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Average</w:t>
            </w:r>
          </w:p>
        </w:tc>
        <w:tc>
          <w:tcPr>
            <w:tcW w:w="1281" w:type="dxa"/>
            <w:tcBorders>
              <w:bottom w:val="single" w:sz="4" w:space="0" w:color="auto"/>
            </w:tcBorders>
            <w:shd w:val="clear" w:color="auto" w:fill="9F1853" w:themeFill="accent6"/>
          </w:tcPr>
          <w:p w14:paraId="2A9FE442"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1275" w:type="dxa"/>
            <w:tcBorders>
              <w:bottom w:val="single" w:sz="4" w:space="0" w:color="auto"/>
            </w:tcBorders>
            <w:shd w:val="clear" w:color="auto" w:fill="9F1853" w:themeFill="accent6"/>
          </w:tcPr>
          <w:p w14:paraId="53047DE2"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c>
          <w:tcPr>
            <w:tcW w:w="284" w:type="dxa"/>
            <w:tcBorders>
              <w:bottom w:val="single" w:sz="4" w:space="0" w:color="auto"/>
            </w:tcBorders>
            <w:shd w:val="clear" w:color="auto" w:fill="012749" w:themeFill="accent3"/>
          </w:tcPr>
          <w:p w14:paraId="6E5E32FF"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p>
        </w:tc>
        <w:tc>
          <w:tcPr>
            <w:tcW w:w="1417" w:type="dxa"/>
            <w:tcBorders>
              <w:bottom w:val="single" w:sz="4" w:space="0" w:color="auto"/>
            </w:tcBorders>
            <w:shd w:val="clear" w:color="auto" w:fill="9F1853" w:themeFill="accent6"/>
          </w:tcPr>
          <w:p w14:paraId="2ED7500E" w14:textId="77777777" w:rsidR="004B1D1B" w:rsidRPr="00E529E3" w:rsidRDefault="004B1D1B">
            <w:pPr>
              <w:tabs>
                <w:tab w:val="left" w:pos="357"/>
                <w:tab w:val="left" w:pos="714"/>
                <w:tab w:val="left" w:pos="1072"/>
                <w:tab w:val="left" w:pos="1429"/>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18"/>
                <w:szCs w:val="16"/>
              </w:rPr>
            </w:pPr>
            <w:r w:rsidRPr="00E529E3">
              <w:rPr>
                <w:rFonts w:eastAsia="Calibri" w:cs="Arial"/>
                <w:b/>
                <w:bCs/>
                <w:color w:val="FFFFFF" w:themeColor="background1"/>
                <w:sz w:val="18"/>
                <w:szCs w:val="16"/>
              </w:rPr>
              <w:t>High</w:t>
            </w:r>
          </w:p>
        </w:tc>
      </w:tr>
    </w:tbl>
    <w:p w14:paraId="153D890C" w14:textId="77777777" w:rsidR="004B1D1B" w:rsidRPr="0026769D" w:rsidRDefault="004B1D1B" w:rsidP="004B1D1B">
      <w:pPr>
        <w:spacing w:before="240" w:after="160" w:line="259" w:lineRule="auto"/>
        <w:rPr>
          <w:rFonts w:cs="Arial"/>
          <w:sz w:val="18"/>
          <w:szCs w:val="18"/>
        </w:rPr>
      </w:pPr>
      <w:r w:rsidRPr="0026769D">
        <w:rPr>
          <w:rFonts w:cs="Arial"/>
          <w:sz w:val="18"/>
          <w:szCs w:val="18"/>
        </w:rPr>
        <w:t>Source: Jobs and Skills Australia, Recruitment Experiences and Outlook Survey, 2025.</w:t>
      </w:r>
    </w:p>
    <w:p w14:paraId="5C3903F0" w14:textId="77777777" w:rsidR="004A632D" w:rsidRDefault="004A632D" w:rsidP="00AC4701">
      <w:pPr>
        <w:spacing w:after="160" w:line="259" w:lineRule="auto"/>
        <w:rPr>
          <w:rFonts w:cs="Arial"/>
        </w:rPr>
      </w:pPr>
    </w:p>
    <w:p w14:paraId="1258E5A2" w14:textId="77777777" w:rsidR="004A632D" w:rsidRPr="00773557" w:rsidRDefault="004A632D" w:rsidP="00AC4701">
      <w:pPr>
        <w:spacing w:after="160" w:line="259" w:lineRule="auto"/>
        <w:rPr>
          <w:rFonts w:cs="Arial"/>
        </w:rPr>
      </w:pPr>
    </w:p>
    <w:p w14:paraId="1551C3E9" w14:textId="77777777" w:rsidR="004A632D" w:rsidRPr="00A213F4" w:rsidRDefault="004A632D" w:rsidP="00FD0458">
      <w:pPr>
        <w:pStyle w:val="Heading1"/>
        <w:spacing w:before="240" w:after="120" w:line="259" w:lineRule="auto"/>
        <w:rPr>
          <w:rFonts w:cs="Arial"/>
          <w:bCs/>
          <w:color w:val="auto"/>
          <w:sz w:val="32"/>
        </w:rPr>
      </w:pPr>
      <w:r w:rsidRPr="00A213F4">
        <w:rPr>
          <w:rFonts w:cs="Arial"/>
          <w:bCs/>
          <w:color w:val="auto"/>
          <w:sz w:val="32"/>
        </w:rPr>
        <w:lastRenderedPageBreak/>
        <w:t>Successful method of recruitment</w:t>
      </w:r>
    </w:p>
    <w:p w14:paraId="7CD57EB5" w14:textId="23EEF76D" w:rsidR="004A632D" w:rsidRDefault="00D71D46" w:rsidP="00AC4701">
      <w:pPr>
        <w:spacing w:after="160" w:line="259" w:lineRule="auto"/>
        <w:rPr>
          <w:rFonts w:cs="Arial"/>
        </w:rPr>
      </w:pPr>
      <w:r>
        <w:rPr>
          <w:rFonts w:cs="Arial"/>
        </w:rPr>
        <w:t>As part of t</w:t>
      </w:r>
      <w:r w:rsidR="004A632D" w:rsidRPr="008C2050">
        <w:rPr>
          <w:rFonts w:cs="Arial"/>
        </w:rPr>
        <w:t>he REOS</w:t>
      </w:r>
      <w:r>
        <w:rPr>
          <w:rFonts w:cs="Arial"/>
        </w:rPr>
        <w:t>,</w:t>
      </w:r>
      <w:r w:rsidR="004A632D" w:rsidRPr="008C2050">
        <w:rPr>
          <w:rFonts w:cs="Arial"/>
        </w:rPr>
        <w:t xml:space="preserve"> data</w:t>
      </w:r>
      <w:r>
        <w:rPr>
          <w:rFonts w:cs="Arial"/>
        </w:rPr>
        <w:t xml:space="preserve"> was collected</w:t>
      </w:r>
      <w:r w:rsidR="004A632D" w:rsidRPr="008C2050">
        <w:rPr>
          <w:rFonts w:cs="Arial"/>
        </w:rPr>
        <w:t xml:space="preserve"> on what recruitment methods </w:t>
      </w:r>
      <w:r w:rsidR="0036105D">
        <w:rPr>
          <w:rFonts w:cs="Arial"/>
        </w:rPr>
        <w:t>through which</w:t>
      </w:r>
      <w:r w:rsidR="007D4FE8">
        <w:rPr>
          <w:rFonts w:cs="Arial"/>
        </w:rPr>
        <w:t xml:space="preserve"> </w:t>
      </w:r>
      <w:r w:rsidR="004A632D" w:rsidRPr="008C2050">
        <w:rPr>
          <w:rFonts w:cs="Arial"/>
        </w:rPr>
        <w:t xml:space="preserve">the </w:t>
      </w:r>
      <w:r>
        <w:rPr>
          <w:rFonts w:cs="Arial"/>
        </w:rPr>
        <w:t>new hire</w:t>
      </w:r>
      <w:r w:rsidR="004A632D" w:rsidRPr="008C2050">
        <w:rPr>
          <w:rFonts w:cs="Arial"/>
        </w:rPr>
        <w:t xml:space="preserve"> had applied</w:t>
      </w:r>
      <w:r w:rsidR="007D4FE8">
        <w:rPr>
          <w:rFonts w:cs="Arial"/>
        </w:rPr>
        <w:t>.</w:t>
      </w:r>
      <w:r w:rsidR="004A632D" w:rsidRPr="008C2050">
        <w:rPr>
          <w:rFonts w:cs="Arial"/>
        </w:rPr>
        <w:t xml:space="preserve"> </w:t>
      </w:r>
      <w:r w:rsidR="007D4FE8">
        <w:rPr>
          <w:rFonts w:cs="Arial"/>
        </w:rPr>
        <w:t>In t</w:t>
      </w:r>
      <w:r w:rsidR="004A632D" w:rsidRPr="008C2050">
        <w:rPr>
          <w:rFonts w:cs="Arial"/>
        </w:rPr>
        <w:t>his report</w:t>
      </w:r>
      <w:r w:rsidR="001351F2">
        <w:rPr>
          <w:rFonts w:cs="Arial"/>
        </w:rPr>
        <w:t>, this is</w:t>
      </w:r>
      <w:r w:rsidR="004A632D" w:rsidRPr="008C2050">
        <w:rPr>
          <w:rFonts w:cs="Arial"/>
        </w:rPr>
        <w:t xml:space="preserve"> refer</w:t>
      </w:r>
      <w:r w:rsidR="001351F2">
        <w:rPr>
          <w:rFonts w:cs="Arial"/>
        </w:rPr>
        <w:t>red</w:t>
      </w:r>
      <w:r w:rsidR="004A632D" w:rsidRPr="008C2050">
        <w:rPr>
          <w:rFonts w:cs="Arial"/>
        </w:rPr>
        <w:t xml:space="preserve"> to as the successful method of recruitment. </w:t>
      </w:r>
    </w:p>
    <w:p w14:paraId="256AE762" w14:textId="65B19156" w:rsidR="004A632D" w:rsidRDefault="004A632D" w:rsidP="00AC4701">
      <w:pPr>
        <w:spacing w:after="160" w:line="259" w:lineRule="auto"/>
        <w:rPr>
          <w:rFonts w:cs="Arial"/>
        </w:rPr>
      </w:pPr>
      <w:r>
        <w:rPr>
          <w:rFonts w:cs="Arial"/>
        </w:rPr>
        <w:t xml:space="preserve">A successful method of recruitment relates </w:t>
      </w:r>
      <w:r w:rsidR="00315C34">
        <w:rPr>
          <w:rFonts w:cs="Arial"/>
        </w:rPr>
        <w:t xml:space="preserve">only </w:t>
      </w:r>
      <w:r>
        <w:rPr>
          <w:rFonts w:cs="Arial"/>
        </w:rPr>
        <w:t xml:space="preserve">to employers </w:t>
      </w:r>
      <w:r w:rsidR="00315C34">
        <w:rPr>
          <w:rFonts w:cs="Arial"/>
        </w:rPr>
        <w:t xml:space="preserve">who </w:t>
      </w:r>
      <w:r>
        <w:rPr>
          <w:rFonts w:cs="Arial"/>
        </w:rPr>
        <w:t>ha</w:t>
      </w:r>
      <w:r w:rsidR="006C52BA">
        <w:rPr>
          <w:rFonts w:cs="Arial"/>
        </w:rPr>
        <w:t>d</w:t>
      </w:r>
      <w:r>
        <w:rPr>
          <w:rFonts w:cs="Arial"/>
        </w:rPr>
        <w:t xml:space="preserve"> filled at least one vacancy. </w:t>
      </w:r>
      <w:r w:rsidR="00E62B8E">
        <w:rPr>
          <w:rFonts w:cs="Arial"/>
        </w:rPr>
        <w:t>E</w:t>
      </w:r>
      <w:r>
        <w:rPr>
          <w:rFonts w:cs="Arial"/>
        </w:rPr>
        <w:t>xcluding employers who have yet to fill any vacancy</w:t>
      </w:r>
      <w:r w:rsidR="00E62B8E">
        <w:rPr>
          <w:rFonts w:cs="Arial"/>
        </w:rPr>
        <w:t xml:space="preserve"> mean</w:t>
      </w:r>
      <w:r w:rsidR="00A773B2">
        <w:rPr>
          <w:rFonts w:cs="Arial"/>
        </w:rPr>
        <w:t>s these</w:t>
      </w:r>
      <w:r>
        <w:rPr>
          <w:rFonts w:cs="Arial"/>
        </w:rPr>
        <w:t xml:space="preserve"> results </w:t>
      </w:r>
      <w:r w:rsidR="00A773B2">
        <w:rPr>
          <w:rFonts w:cs="Arial"/>
        </w:rPr>
        <w:t xml:space="preserve">are not directly comparable </w:t>
      </w:r>
      <w:r w:rsidR="00B848DC">
        <w:rPr>
          <w:rFonts w:cs="Arial"/>
        </w:rPr>
        <w:t>with</w:t>
      </w:r>
      <w:r>
        <w:rPr>
          <w:rFonts w:cs="Arial"/>
        </w:rPr>
        <w:t xml:space="preserve"> those </w:t>
      </w:r>
      <w:r w:rsidR="00B848DC">
        <w:rPr>
          <w:rFonts w:cs="Arial"/>
        </w:rPr>
        <w:t xml:space="preserve">presented </w:t>
      </w:r>
      <w:r>
        <w:rPr>
          <w:rFonts w:cs="Arial"/>
        </w:rPr>
        <w:t xml:space="preserve">in previous </w:t>
      </w:r>
      <w:r w:rsidR="00B848DC">
        <w:rPr>
          <w:rFonts w:cs="Arial"/>
        </w:rPr>
        <w:t>sections</w:t>
      </w:r>
      <w:r>
        <w:rPr>
          <w:rFonts w:cs="Arial"/>
        </w:rPr>
        <w:t>. For example, 52% of employers who had filled at least one vacancy had advertised on an online jobs board, compared with 58% for all recruitment. Generally, the percentages are slightly lower</w:t>
      </w:r>
      <w:r w:rsidR="003B0A9C">
        <w:rPr>
          <w:rFonts w:cs="Arial"/>
        </w:rPr>
        <w:t>,</w:t>
      </w:r>
      <w:r>
        <w:rPr>
          <w:rFonts w:cs="Arial"/>
        </w:rPr>
        <w:t xml:space="preserve"> as employers who cannot fill any vacancies are more likely to use m</w:t>
      </w:r>
      <w:r w:rsidR="006803D6">
        <w:rPr>
          <w:rFonts w:cs="Arial"/>
        </w:rPr>
        <w:t>ultiple</w:t>
      </w:r>
      <w:r>
        <w:rPr>
          <w:rFonts w:cs="Arial"/>
        </w:rPr>
        <w:t xml:space="preserve"> methods </w:t>
      </w:r>
      <w:r w:rsidR="00B75E94">
        <w:rPr>
          <w:rFonts w:cs="Arial"/>
        </w:rPr>
        <w:t>to</w:t>
      </w:r>
      <w:r>
        <w:rPr>
          <w:rFonts w:cs="Arial"/>
        </w:rPr>
        <w:t xml:space="preserve"> find staff (as </w:t>
      </w:r>
      <w:r w:rsidR="003B0A9C">
        <w:rPr>
          <w:rFonts w:cs="Arial"/>
        </w:rPr>
        <w:t>discussed earlier</w:t>
      </w:r>
      <w:r>
        <w:rPr>
          <w:rFonts w:cs="Arial"/>
        </w:rPr>
        <w:t>).</w:t>
      </w:r>
    </w:p>
    <w:p w14:paraId="113B575F" w14:textId="07933B60" w:rsidR="004A632D" w:rsidRDefault="004A632D" w:rsidP="00AC4701">
      <w:pPr>
        <w:spacing w:after="160" w:line="259" w:lineRule="auto"/>
        <w:rPr>
          <w:rFonts w:cs="Arial"/>
        </w:rPr>
      </w:pPr>
      <w:r w:rsidRPr="587FEA27">
        <w:rPr>
          <w:rFonts w:cs="Arial"/>
        </w:rPr>
        <w:t xml:space="preserve">Figure 6 </w:t>
      </w:r>
      <w:r w:rsidR="006803D6" w:rsidRPr="587FEA27">
        <w:rPr>
          <w:rFonts w:cs="Arial"/>
        </w:rPr>
        <w:t>shows</w:t>
      </w:r>
      <w:r w:rsidRPr="587FEA27">
        <w:rPr>
          <w:rFonts w:cs="Arial"/>
        </w:rPr>
        <w:t xml:space="preserve">, for employers who had filled at least one vacancy, the proportion that used each method, </w:t>
      </w:r>
      <w:r w:rsidR="001A6C49" w:rsidRPr="587FEA27">
        <w:rPr>
          <w:rFonts w:cs="Arial"/>
        </w:rPr>
        <w:t>distinguishing between those reported as successful and those that were not</w:t>
      </w:r>
      <w:r w:rsidRPr="587FEA27">
        <w:rPr>
          <w:rFonts w:cs="Arial"/>
        </w:rPr>
        <w:t xml:space="preserve">. Given </w:t>
      </w:r>
      <w:proofErr w:type="gramStart"/>
      <w:r w:rsidRPr="587FEA27">
        <w:rPr>
          <w:rFonts w:cs="Arial"/>
        </w:rPr>
        <w:t>the majority of</w:t>
      </w:r>
      <w:proofErr w:type="gramEnd"/>
      <w:r w:rsidRPr="587FEA27">
        <w:rPr>
          <w:rFonts w:cs="Arial"/>
        </w:rPr>
        <w:t xml:space="preserve"> employers only used one recruitment method, the rate for a successful method is often close to the </w:t>
      </w:r>
      <w:r w:rsidR="00DA76BB" w:rsidRPr="587FEA27">
        <w:rPr>
          <w:rFonts w:cs="Arial"/>
        </w:rPr>
        <w:t>overal</w:t>
      </w:r>
      <w:r w:rsidR="6D65574E" w:rsidRPr="587FEA27">
        <w:rPr>
          <w:rFonts w:cs="Arial"/>
        </w:rPr>
        <w:t>l</w:t>
      </w:r>
      <w:r w:rsidR="00DA76BB" w:rsidRPr="587FEA27">
        <w:rPr>
          <w:rFonts w:cs="Arial"/>
        </w:rPr>
        <w:t xml:space="preserve"> usage rate</w:t>
      </w:r>
      <w:r w:rsidRPr="587FEA27">
        <w:rPr>
          <w:rFonts w:cs="Arial"/>
        </w:rPr>
        <w:t xml:space="preserve"> for that method.</w:t>
      </w:r>
    </w:p>
    <w:p w14:paraId="2C9396E7" w14:textId="77777777" w:rsidR="004A632D" w:rsidRPr="007360A3" w:rsidRDefault="004A632D" w:rsidP="0015716D">
      <w:pPr>
        <w:pStyle w:val="Caption"/>
        <w:rPr>
          <w:color w:val="012749"/>
          <w:sz w:val="20"/>
          <w:szCs w:val="20"/>
        </w:rPr>
      </w:pPr>
      <w:r w:rsidRPr="007360A3">
        <w:rPr>
          <w:color w:val="012749"/>
          <w:sz w:val="20"/>
          <w:szCs w:val="20"/>
        </w:rPr>
        <w:t>Figure 6: Employers who successfully filled at least one vacancy – Proportion using methods and successful methods of recruitment, 2025</w:t>
      </w:r>
    </w:p>
    <w:p w14:paraId="21630AC2" w14:textId="39A3C9B0" w:rsidR="006D045E" w:rsidRDefault="0089286D" w:rsidP="00AC4701">
      <w:pPr>
        <w:spacing w:after="160" w:line="259" w:lineRule="auto"/>
        <w:rPr>
          <w:rFonts w:cs="Arial"/>
          <w:color w:val="0070C0"/>
        </w:rPr>
      </w:pPr>
      <w:r w:rsidRPr="0089286D">
        <w:rPr>
          <w:rFonts w:cs="Arial"/>
          <w:noProof/>
          <w:color w:val="0070C0"/>
        </w:rPr>
        <w:drawing>
          <wp:inline distT="0" distB="0" distL="0" distR="0" wp14:anchorId="5B7D297F" wp14:editId="5B1CB542">
            <wp:extent cx="5731510" cy="4037330"/>
            <wp:effectExtent l="0" t="0" r="2540" b="1270"/>
            <wp:docPr id="1564223070" name="Picture 1" descr="Bar chart showing job search methods with percentages for successful use, used but not successful, and total usage. Online jobs board leads with 40% success and 52% total use, followed by word of mouth at 24% success and 29% total use, while social media and recruitment agencies show lower success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23070" name="Picture 1" descr="Bar chart showing job search methods with percentages for successful use, used but not successful, and total usage. Online jobs board leads with 40% success and 52% total use, followed by word of mouth at 24% success and 29% total use, while social media and recruitment agencies show lower success rates."/>
                    <pic:cNvPicPr/>
                  </pic:nvPicPr>
                  <pic:blipFill>
                    <a:blip r:embed="rId24"/>
                    <a:stretch>
                      <a:fillRect/>
                    </a:stretch>
                  </pic:blipFill>
                  <pic:spPr>
                    <a:xfrm>
                      <a:off x="0" y="0"/>
                      <a:ext cx="5731510" cy="4037330"/>
                    </a:xfrm>
                    <a:prstGeom prst="rect">
                      <a:avLst/>
                    </a:prstGeom>
                  </pic:spPr>
                </pic:pic>
              </a:graphicData>
            </a:graphic>
          </wp:inline>
        </w:drawing>
      </w:r>
    </w:p>
    <w:p w14:paraId="64C83B22" w14:textId="77777777" w:rsidR="004A632D" w:rsidRDefault="004A632D" w:rsidP="00AC4701">
      <w:pPr>
        <w:spacing w:after="160" w:line="259" w:lineRule="auto"/>
        <w:rPr>
          <w:rFonts w:cs="Arial"/>
        </w:rPr>
      </w:pPr>
      <w:r w:rsidRPr="0026769D">
        <w:rPr>
          <w:rFonts w:cs="Arial"/>
          <w:sz w:val="18"/>
          <w:szCs w:val="18"/>
        </w:rPr>
        <w:t>Source: Jobs and Skills Australia, Recruitment Experiences and Outlook Survey, 2025.</w:t>
      </w:r>
    </w:p>
    <w:p w14:paraId="70916AC7" w14:textId="3659880D" w:rsidR="004A632D" w:rsidRPr="0026769D" w:rsidRDefault="004A632D" w:rsidP="00AC4701">
      <w:pPr>
        <w:spacing w:after="160" w:line="259" w:lineRule="auto"/>
        <w:rPr>
          <w:rFonts w:cs="Arial"/>
          <w:sz w:val="18"/>
          <w:szCs w:val="18"/>
        </w:rPr>
      </w:pPr>
      <w:r w:rsidRPr="587FEA27">
        <w:rPr>
          <w:rFonts w:cs="Arial"/>
        </w:rPr>
        <w:t>Most employers who were directly approached by a job seeker hired one of them</w:t>
      </w:r>
      <w:r w:rsidR="00D321C0" w:rsidRPr="587FEA27">
        <w:rPr>
          <w:rFonts w:cs="Arial"/>
        </w:rPr>
        <w:t>.</w:t>
      </w:r>
      <w:r w:rsidR="60B0041F" w:rsidRPr="587FEA27">
        <w:rPr>
          <w:rFonts w:cs="Arial"/>
        </w:rPr>
        <w:t xml:space="preserve"> </w:t>
      </w:r>
      <w:r w:rsidR="00D321C0" w:rsidRPr="587FEA27">
        <w:rPr>
          <w:rFonts w:cs="Arial"/>
        </w:rPr>
        <w:t>I</w:t>
      </w:r>
      <w:r w:rsidRPr="587FEA27">
        <w:rPr>
          <w:rFonts w:cs="Arial"/>
        </w:rPr>
        <w:t xml:space="preserve">n contrast, fewer than half of employers who advertised on social media considered that a successful method. This indicator, referred to as the </w:t>
      </w:r>
      <w:r w:rsidRPr="587FEA27">
        <w:rPr>
          <w:rFonts w:cs="Arial"/>
          <w:u w:val="single"/>
        </w:rPr>
        <w:t>success rate</w:t>
      </w:r>
      <w:r w:rsidRPr="587FEA27">
        <w:rPr>
          <w:rFonts w:cs="Arial"/>
        </w:rPr>
        <w:t>, provides a useful analytical tool for understanding how employers recruit.</w:t>
      </w:r>
    </w:p>
    <w:p w14:paraId="15BA55EC" w14:textId="059245D5" w:rsidR="004A632D" w:rsidRDefault="008A2A86" w:rsidP="00EE5E13">
      <w:pPr>
        <w:spacing w:after="120" w:line="259" w:lineRule="auto"/>
        <w:rPr>
          <w:rFonts w:cs="Arial"/>
          <w:color w:val="007573" w:themeColor="accent2" w:themeShade="BF"/>
        </w:rPr>
      </w:pPr>
      <w:r>
        <w:rPr>
          <w:rFonts w:cs="Arial"/>
          <w:b/>
          <w:bCs/>
          <w:noProof/>
          <w:color w:val="000000" w:themeColor="text1"/>
        </w:rPr>
        <w:lastRenderedPageBreak/>
        <w:drawing>
          <wp:inline distT="0" distB="0" distL="0" distR="0" wp14:anchorId="1570E326" wp14:editId="26C6DF0F">
            <wp:extent cx="5674360" cy="2428875"/>
            <wp:effectExtent l="38100" t="38100" r="40640" b="0"/>
            <wp:docPr id="158455782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954405C" w14:textId="77777777" w:rsidR="008A2A86" w:rsidRPr="00A64859" w:rsidRDefault="008A2A86" w:rsidP="008A2A86">
      <w:pPr>
        <w:pStyle w:val="Heading3"/>
      </w:pPr>
      <w:r w:rsidRPr="00A64859">
        <w:t>Online jobs boards</w:t>
      </w:r>
    </w:p>
    <w:tbl>
      <w:tblPr>
        <w:tblStyle w:val="TableGrid"/>
        <w:tblW w:w="0" w:type="auto"/>
        <w:tblBorders>
          <w:top w:val="none" w:sz="0" w:space="0" w:color="auto"/>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A2A86" w14:paraId="1F32D414" w14:textId="77777777">
        <w:tc>
          <w:tcPr>
            <w:tcW w:w="3005" w:type="dxa"/>
            <w:shd w:val="clear" w:color="auto" w:fill="012749" w:themeFill="accent3"/>
            <w:vAlign w:val="center"/>
          </w:tcPr>
          <w:p w14:paraId="4035D77F" w14:textId="77777777" w:rsidR="008A2A86" w:rsidRPr="008E17CD" w:rsidRDefault="008A2A86">
            <w:pPr>
              <w:spacing w:before="60" w:after="60" w:line="259" w:lineRule="auto"/>
              <w:jc w:val="center"/>
              <w:rPr>
                <w:rFonts w:cs="Arial"/>
                <w:color w:val="FFFFFF" w:themeColor="background1"/>
                <w:sz w:val="28"/>
                <w:szCs w:val="28"/>
              </w:rPr>
            </w:pPr>
            <w:r w:rsidRPr="008E17CD">
              <w:rPr>
                <w:rFonts w:cs="Arial"/>
                <w:color w:val="FFFFFF" w:themeColor="background1"/>
                <w:sz w:val="28"/>
                <w:szCs w:val="28"/>
              </w:rPr>
              <w:t>Used method</w:t>
            </w:r>
          </w:p>
        </w:tc>
        <w:tc>
          <w:tcPr>
            <w:tcW w:w="3005" w:type="dxa"/>
            <w:shd w:val="clear" w:color="auto" w:fill="012749" w:themeFill="accent3"/>
            <w:vAlign w:val="center"/>
          </w:tcPr>
          <w:p w14:paraId="6C990750" w14:textId="77777777" w:rsidR="008A2A86" w:rsidRPr="008E17CD" w:rsidRDefault="008A2A86">
            <w:pPr>
              <w:spacing w:before="60" w:after="60" w:line="259" w:lineRule="auto"/>
              <w:jc w:val="center"/>
              <w:rPr>
                <w:rFonts w:cs="Arial"/>
                <w:color w:val="FFFFFF" w:themeColor="background1"/>
                <w:sz w:val="28"/>
                <w:szCs w:val="28"/>
              </w:rPr>
            </w:pPr>
            <w:r w:rsidRPr="008E17CD">
              <w:rPr>
                <w:rFonts w:cs="Arial"/>
                <w:color w:val="FFFFFF" w:themeColor="background1"/>
                <w:sz w:val="28"/>
                <w:szCs w:val="28"/>
              </w:rPr>
              <w:t>Successful method</w:t>
            </w:r>
          </w:p>
        </w:tc>
        <w:tc>
          <w:tcPr>
            <w:tcW w:w="3006" w:type="dxa"/>
            <w:shd w:val="clear" w:color="auto" w:fill="012749" w:themeFill="accent3"/>
            <w:vAlign w:val="center"/>
          </w:tcPr>
          <w:p w14:paraId="45BA82A5" w14:textId="77777777" w:rsidR="008A2A86" w:rsidRPr="008E17CD" w:rsidRDefault="008A2A86">
            <w:pPr>
              <w:spacing w:before="60" w:after="60" w:line="259" w:lineRule="auto"/>
              <w:jc w:val="center"/>
              <w:rPr>
                <w:rFonts w:cs="Arial"/>
                <w:color w:val="FFFFFF" w:themeColor="background1"/>
                <w:sz w:val="28"/>
                <w:szCs w:val="28"/>
              </w:rPr>
            </w:pPr>
            <w:r w:rsidRPr="008E17CD">
              <w:rPr>
                <w:rFonts w:cs="Arial"/>
                <w:color w:val="FFFFFF" w:themeColor="background1"/>
                <w:sz w:val="28"/>
                <w:szCs w:val="28"/>
              </w:rPr>
              <w:t>Success rate</w:t>
            </w:r>
          </w:p>
        </w:tc>
      </w:tr>
      <w:tr w:rsidR="008A2A86" w14:paraId="136351EC" w14:textId="77777777">
        <w:tc>
          <w:tcPr>
            <w:tcW w:w="3005" w:type="dxa"/>
            <w:vAlign w:val="center"/>
          </w:tcPr>
          <w:p w14:paraId="7BFEB876" w14:textId="77777777" w:rsidR="008A2A86" w:rsidRPr="008E17CD" w:rsidRDefault="008A2A86">
            <w:pPr>
              <w:spacing w:before="60" w:after="60" w:line="259" w:lineRule="auto"/>
              <w:jc w:val="center"/>
              <w:rPr>
                <w:rFonts w:cs="Arial"/>
                <w:b/>
                <w:bCs/>
                <w:sz w:val="28"/>
                <w:szCs w:val="28"/>
              </w:rPr>
            </w:pPr>
            <w:r w:rsidRPr="008E17CD">
              <w:rPr>
                <w:rFonts w:cs="Arial"/>
                <w:b/>
                <w:bCs/>
                <w:sz w:val="28"/>
                <w:szCs w:val="28"/>
              </w:rPr>
              <w:t>52%</w:t>
            </w:r>
          </w:p>
        </w:tc>
        <w:tc>
          <w:tcPr>
            <w:tcW w:w="3005" w:type="dxa"/>
            <w:vAlign w:val="center"/>
          </w:tcPr>
          <w:p w14:paraId="75F785B8" w14:textId="77777777" w:rsidR="008A2A86" w:rsidRPr="008E17CD" w:rsidRDefault="008A2A86">
            <w:pPr>
              <w:spacing w:before="60" w:after="60" w:line="259" w:lineRule="auto"/>
              <w:jc w:val="center"/>
              <w:rPr>
                <w:rFonts w:cs="Arial"/>
                <w:b/>
                <w:bCs/>
                <w:sz w:val="28"/>
                <w:szCs w:val="28"/>
              </w:rPr>
            </w:pPr>
            <w:r w:rsidRPr="008E17CD">
              <w:rPr>
                <w:rFonts w:cs="Arial"/>
                <w:b/>
                <w:bCs/>
                <w:sz w:val="28"/>
                <w:szCs w:val="28"/>
              </w:rPr>
              <w:t>40%</w:t>
            </w:r>
          </w:p>
        </w:tc>
        <w:tc>
          <w:tcPr>
            <w:tcW w:w="3006" w:type="dxa"/>
            <w:vAlign w:val="center"/>
          </w:tcPr>
          <w:p w14:paraId="33D1D19D" w14:textId="77777777" w:rsidR="008A2A86" w:rsidRPr="008E17CD" w:rsidRDefault="008A2A86">
            <w:pPr>
              <w:spacing w:before="60" w:after="60" w:line="259" w:lineRule="auto"/>
              <w:jc w:val="center"/>
              <w:rPr>
                <w:rFonts w:cs="Arial"/>
                <w:b/>
                <w:bCs/>
                <w:sz w:val="28"/>
                <w:szCs w:val="28"/>
              </w:rPr>
            </w:pPr>
            <w:r w:rsidRPr="008E17CD">
              <w:rPr>
                <w:rFonts w:cs="Arial"/>
                <w:b/>
                <w:bCs/>
                <w:sz w:val="28"/>
                <w:szCs w:val="28"/>
              </w:rPr>
              <w:t>Above average</w:t>
            </w:r>
          </w:p>
        </w:tc>
      </w:tr>
    </w:tbl>
    <w:p w14:paraId="7020C06D" w14:textId="23C51AB7" w:rsidR="004A632D" w:rsidRPr="0082401B" w:rsidRDefault="004A632D" w:rsidP="00687778">
      <w:pPr>
        <w:spacing w:before="240" w:after="160" w:line="259" w:lineRule="auto"/>
        <w:rPr>
          <w:rFonts w:cs="Arial"/>
        </w:rPr>
      </w:pPr>
      <w:r w:rsidRPr="0082401B">
        <w:rPr>
          <w:rFonts w:cs="Arial"/>
        </w:rPr>
        <w:t xml:space="preserve">Online job boards remain one of the most important recruitment methods - especially for hard-to-fill roles, where they are used by a strong majority of employers. They also </w:t>
      </w:r>
      <w:r w:rsidR="000821A8">
        <w:rPr>
          <w:rFonts w:cs="Arial"/>
        </w:rPr>
        <w:t>record</w:t>
      </w:r>
      <w:r w:rsidR="000821A8" w:rsidRPr="0082401B">
        <w:rPr>
          <w:rFonts w:cs="Arial"/>
        </w:rPr>
        <w:t xml:space="preserve"> </w:t>
      </w:r>
      <w:r w:rsidRPr="0082401B">
        <w:rPr>
          <w:rFonts w:cs="Arial"/>
        </w:rPr>
        <w:t xml:space="preserve">an above average success rate compared with other methods. Among employers who filled </w:t>
      </w:r>
      <w:r w:rsidR="0071785F">
        <w:rPr>
          <w:rFonts w:cs="Arial"/>
        </w:rPr>
        <w:t xml:space="preserve">at least one </w:t>
      </w:r>
      <w:r w:rsidRPr="0082401B">
        <w:rPr>
          <w:rFonts w:cs="Arial"/>
        </w:rPr>
        <w:t>vacanc</w:t>
      </w:r>
      <w:r w:rsidR="0071785F">
        <w:rPr>
          <w:rFonts w:cs="Arial"/>
        </w:rPr>
        <w:t>y</w:t>
      </w:r>
      <w:r w:rsidRPr="0082401B">
        <w:rPr>
          <w:rFonts w:cs="Arial"/>
        </w:rPr>
        <w:t xml:space="preserve">, </w:t>
      </w:r>
      <w:r w:rsidR="0071785F">
        <w:rPr>
          <w:rFonts w:cs="Arial"/>
        </w:rPr>
        <w:t xml:space="preserve">online </w:t>
      </w:r>
      <w:r w:rsidRPr="0082401B">
        <w:rPr>
          <w:rFonts w:cs="Arial"/>
        </w:rPr>
        <w:t xml:space="preserve">job boards </w:t>
      </w:r>
      <w:r w:rsidR="0071785F">
        <w:rPr>
          <w:rFonts w:cs="Arial"/>
        </w:rPr>
        <w:t xml:space="preserve">(40%) </w:t>
      </w:r>
      <w:proofErr w:type="gramStart"/>
      <w:r w:rsidR="0071785F">
        <w:rPr>
          <w:rFonts w:cs="Arial"/>
        </w:rPr>
        <w:t>was</w:t>
      </w:r>
      <w:proofErr w:type="gramEnd"/>
      <w:r w:rsidR="0071785F">
        <w:rPr>
          <w:rFonts w:cs="Arial"/>
        </w:rPr>
        <w:t xml:space="preserve"> </w:t>
      </w:r>
      <w:r w:rsidR="00AE756E">
        <w:rPr>
          <w:rFonts w:cs="Arial"/>
        </w:rPr>
        <w:t xml:space="preserve">by far </w:t>
      </w:r>
      <w:r w:rsidR="0071785F">
        <w:rPr>
          <w:rFonts w:cs="Arial"/>
        </w:rPr>
        <w:t>the most frequently reported as leading to a hire</w:t>
      </w:r>
      <w:r>
        <w:rPr>
          <w:rFonts w:cs="Arial"/>
        </w:rPr>
        <w:t xml:space="preserve">, </w:t>
      </w:r>
      <w:r w:rsidR="00AE756E">
        <w:rPr>
          <w:rFonts w:cs="Arial"/>
        </w:rPr>
        <w:t>underscoring their effectiveness.</w:t>
      </w:r>
    </w:p>
    <w:p w14:paraId="455B7D11" w14:textId="07DD13C9" w:rsidR="004A632D" w:rsidRDefault="004A632D" w:rsidP="003F6F17">
      <w:pPr>
        <w:pStyle w:val="Caption"/>
      </w:pPr>
      <w:r w:rsidRPr="007360A3">
        <w:rPr>
          <w:color w:val="012749"/>
          <w:sz w:val="20"/>
          <w:szCs w:val="20"/>
        </w:rPr>
        <w:t>Figure 7: Employers who successfully filled at least one vacancy – Proportion using online jobs boards by whether difficult to fill vacancy, 2025</w:t>
      </w:r>
      <w:r w:rsidR="0015716D">
        <w:rPr>
          <w:noProof/>
        </w:rPr>
        <w:drawing>
          <wp:inline distT="0" distB="0" distL="0" distR="0" wp14:anchorId="474CC808" wp14:editId="3FA3CC01">
            <wp:extent cx="5731510" cy="2990850"/>
            <wp:effectExtent l="0" t="0" r="2540" b="0"/>
            <wp:docPr id="100328772" name="Chart 1" descr="A stacked bar chart compares how employers used job boards for vacancies that were difficult versus not difficult to fill.&#10;&#10;For difficult‑to‑fill vacancies, 47% were filled using job boards,&#10;25% used job boards but did not fill the vacancy through them,&#10;29% did not use job boards.&#10;&#10;For not difficult‑to‑fill vacancies, 36% were filled using job boards,&#10;6% used job boards but did not fill through them,&#10;58% did not use job boards.&#10;&#10;Labels above the bars indicate that difficult‑to‑fill vacancies are mostly higher skilled when using jobs boards, and not‑difficult‑to‑fill vacancies are mostly lower skilled when using jobs boards.">
              <a:extLst xmlns:a="http://schemas.openxmlformats.org/drawingml/2006/main">
                <a:ext uri="{FF2B5EF4-FFF2-40B4-BE49-F238E27FC236}">
                  <a16:creationId xmlns:a16="http://schemas.microsoft.com/office/drawing/2014/main" id="{081336DA-69AD-5156-1FDF-99A21211F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0D2B6B" w14:textId="77777777" w:rsidR="007C6030" w:rsidRDefault="007C6030" w:rsidP="007C6030">
      <w:pPr>
        <w:spacing w:after="160" w:line="259" w:lineRule="auto"/>
        <w:rPr>
          <w:rFonts w:cs="Arial"/>
        </w:rPr>
      </w:pPr>
      <w:r w:rsidRPr="0026769D">
        <w:rPr>
          <w:rFonts w:cs="Arial"/>
          <w:sz w:val="18"/>
          <w:szCs w:val="18"/>
        </w:rPr>
        <w:t>Source: Jobs and Skills Australia, Recruitment Experiences and Outlook Survey, 2025.</w:t>
      </w:r>
    </w:p>
    <w:p w14:paraId="3BF51695" w14:textId="3AEFAC75" w:rsidR="00AC137C" w:rsidRDefault="00F738A7" w:rsidP="00DC69A9">
      <w:pPr>
        <w:spacing w:after="160" w:line="259" w:lineRule="auto"/>
        <w:rPr>
          <w:rFonts w:cs="Arial"/>
        </w:rPr>
      </w:pPr>
      <w:r w:rsidRPr="00F738A7">
        <w:rPr>
          <w:rFonts w:cs="Arial"/>
        </w:rPr>
        <w:t xml:space="preserve">Focusing on vacancies that were difficult to fill, </w:t>
      </w:r>
      <w:r>
        <w:rPr>
          <w:rFonts w:cs="Arial"/>
        </w:rPr>
        <w:t>the</w:t>
      </w:r>
      <w:r w:rsidRPr="00F738A7">
        <w:rPr>
          <w:rFonts w:cs="Arial"/>
        </w:rPr>
        <w:t xml:space="preserve"> earlier </w:t>
      </w:r>
      <w:r>
        <w:rPr>
          <w:rFonts w:cs="Arial"/>
        </w:rPr>
        <w:t>section</w:t>
      </w:r>
      <w:r w:rsidRPr="00F738A7">
        <w:rPr>
          <w:rFonts w:cs="Arial"/>
        </w:rPr>
        <w:t xml:space="preserve"> showed that these roles are</w:t>
      </w:r>
      <w:r>
        <w:rPr>
          <w:rFonts w:cs="Arial"/>
        </w:rPr>
        <w:t xml:space="preserve"> </w:t>
      </w:r>
      <w:r w:rsidR="004A632D" w:rsidRPr="00ED73D0">
        <w:rPr>
          <w:rFonts w:cs="Arial"/>
        </w:rPr>
        <w:t xml:space="preserve">much more frequently advertised on online jobs boards. </w:t>
      </w:r>
      <w:r w:rsidR="00DC69A9" w:rsidRPr="00DC69A9">
        <w:rPr>
          <w:rFonts w:cs="Arial"/>
        </w:rPr>
        <w:t>Among employers who eventually filled their vacancies</w:t>
      </w:r>
      <w:r w:rsidR="00DC69A9">
        <w:rPr>
          <w:rFonts w:cs="Arial"/>
        </w:rPr>
        <w:t xml:space="preserve"> - </w:t>
      </w:r>
      <w:r w:rsidR="00DC69A9" w:rsidRPr="00DC69A9">
        <w:rPr>
          <w:rFonts w:cs="Arial"/>
        </w:rPr>
        <w:t>albeit with difficulty</w:t>
      </w:r>
      <w:r w:rsidR="00DC69A9">
        <w:rPr>
          <w:rFonts w:cs="Arial"/>
        </w:rPr>
        <w:t xml:space="preserve"> - j</w:t>
      </w:r>
      <w:r w:rsidR="004A632D" w:rsidRPr="00DC69A9">
        <w:rPr>
          <w:rFonts w:cs="Arial"/>
        </w:rPr>
        <w:t xml:space="preserve">ust under half (47%) reported that online jobs boards </w:t>
      </w:r>
      <w:proofErr w:type="gramStart"/>
      <w:r w:rsidR="004A632D" w:rsidRPr="00DC69A9">
        <w:rPr>
          <w:rFonts w:cs="Arial"/>
        </w:rPr>
        <w:t>was</w:t>
      </w:r>
      <w:proofErr w:type="gramEnd"/>
      <w:r w:rsidR="004A632D" w:rsidRPr="00DC69A9">
        <w:rPr>
          <w:rFonts w:cs="Arial"/>
        </w:rPr>
        <w:t xml:space="preserve"> the successful method. However, the success rate was low, with 25% of employers advertising on jobs boards but filling their vacancy using other methods. </w:t>
      </w:r>
    </w:p>
    <w:p w14:paraId="7BDEFE82" w14:textId="059A1378" w:rsidR="004A632D" w:rsidRPr="00DC69A9" w:rsidRDefault="0015716D" w:rsidP="00DC69A9">
      <w:pPr>
        <w:spacing w:after="160" w:line="259" w:lineRule="auto"/>
        <w:rPr>
          <w:rFonts w:cs="Arial"/>
        </w:rPr>
      </w:pPr>
      <w:r w:rsidRPr="00DC69A9">
        <w:rPr>
          <w:rFonts w:cs="Arial"/>
        </w:rPr>
        <w:lastRenderedPageBreak/>
        <w:br/>
      </w:r>
      <w:r w:rsidR="004A632D" w:rsidRPr="00DC69A9">
        <w:rPr>
          <w:rFonts w:cs="Arial"/>
        </w:rPr>
        <w:t>This illustrates that difficult</w:t>
      </w:r>
      <w:r w:rsidR="00AC137C">
        <w:rPr>
          <w:rFonts w:cs="Arial"/>
        </w:rPr>
        <w:t>-</w:t>
      </w:r>
      <w:r w:rsidR="004A632D" w:rsidRPr="00DC69A9">
        <w:rPr>
          <w:rFonts w:cs="Arial"/>
        </w:rPr>
        <w:t>to</w:t>
      </w:r>
      <w:r w:rsidR="00AC137C">
        <w:rPr>
          <w:rFonts w:cs="Arial"/>
        </w:rPr>
        <w:t>-</w:t>
      </w:r>
      <w:r w:rsidR="004A632D" w:rsidRPr="00DC69A9">
        <w:rPr>
          <w:rFonts w:cs="Arial"/>
        </w:rPr>
        <w:t>fill vacancies advertised on online jobs boards, the majority of which are higher skilled, generally force employers to rely on a broader mix of recruitment channels when facing skills shortages.</w:t>
      </w:r>
    </w:p>
    <w:p w14:paraId="2F907639" w14:textId="093ECF3C" w:rsidR="004A632D" w:rsidRPr="00BC1739" w:rsidRDefault="004A632D" w:rsidP="00BC1739">
      <w:pPr>
        <w:spacing w:after="160" w:line="259" w:lineRule="auto"/>
        <w:rPr>
          <w:rFonts w:cs="Arial"/>
        </w:rPr>
      </w:pPr>
      <w:r w:rsidRPr="00240F49">
        <w:rPr>
          <w:rFonts w:cs="Arial"/>
        </w:rPr>
        <w:t xml:space="preserve">In contrast, fewer than half of employers who </w:t>
      </w:r>
      <w:r w:rsidR="00BC1739">
        <w:rPr>
          <w:rFonts w:cs="Arial"/>
        </w:rPr>
        <w:t xml:space="preserve">easily </w:t>
      </w:r>
      <w:r w:rsidRPr="00240F49">
        <w:rPr>
          <w:rFonts w:cs="Arial"/>
        </w:rPr>
        <w:t>filled at least one vacancy advertised on online jobs boards</w:t>
      </w:r>
      <w:r w:rsidR="00FA65E8">
        <w:rPr>
          <w:rFonts w:cs="Arial"/>
        </w:rPr>
        <w:t>. However,</w:t>
      </w:r>
      <w:r w:rsidRPr="00240F49">
        <w:rPr>
          <w:rFonts w:cs="Arial"/>
        </w:rPr>
        <w:t xml:space="preserve"> when they did</w:t>
      </w:r>
      <w:r w:rsidR="00FA65E8">
        <w:rPr>
          <w:rFonts w:cs="Arial"/>
        </w:rPr>
        <w:t xml:space="preserve">, </w:t>
      </w:r>
      <w:r w:rsidRPr="00240F49">
        <w:rPr>
          <w:rFonts w:cs="Arial"/>
        </w:rPr>
        <w:t xml:space="preserve">the success rate was very high. For these vacancies, the majority were lower skilled and online jobs boards were the only method of recruitment, </w:t>
      </w:r>
      <w:r w:rsidR="007428CD" w:rsidRPr="007428CD">
        <w:rPr>
          <w:rFonts w:cs="Arial"/>
        </w:rPr>
        <w:t>indicating that they provide a convenient and effective way for many employers to find staff</w:t>
      </w:r>
      <w:r w:rsidRPr="00240F49">
        <w:rPr>
          <w:rFonts w:cs="Arial"/>
        </w:rPr>
        <w:t xml:space="preserve">. Despite this relative ease of recruitment via online jobs boards, </w:t>
      </w:r>
      <w:proofErr w:type="gramStart"/>
      <w:r w:rsidRPr="00240F49">
        <w:rPr>
          <w:rFonts w:cs="Arial"/>
        </w:rPr>
        <w:t>the majority of</w:t>
      </w:r>
      <w:proofErr w:type="gramEnd"/>
      <w:r w:rsidRPr="00240F49">
        <w:rPr>
          <w:rFonts w:cs="Arial"/>
        </w:rPr>
        <w:t xml:space="preserve"> employers were still able to fill their vacancies through other, more informal methods</w:t>
      </w:r>
    </w:p>
    <w:p w14:paraId="6C8655C5" w14:textId="3E00107B" w:rsidR="004A632D" w:rsidRPr="006075CA" w:rsidRDefault="00AC1263" w:rsidP="00EA2532">
      <w:pPr>
        <w:spacing w:after="160" w:line="259" w:lineRule="auto"/>
        <w:rPr>
          <w:rFonts w:cs="Arial"/>
        </w:rPr>
      </w:pPr>
      <w:r w:rsidRPr="587FEA27">
        <w:rPr>
          <w:rFonts w:cs="Arial"/>
        </w:rPr>
        <w:t>It is important to note that online</w:t>
      </w:r>
      <w:r w:rsidR="40E3FDD4" w:rsidRPr="587FEA27">
        <w:rPr>
          <w:rFonts w:cs="Arial"/>
        </w:rPr>
        <w:t xml:space="preserve"> </w:t>
      </w:r>
      <w:r w:rsidR="004A632D" w:rsidRPr="006075CA">
        <w:rPr>
          <w:rFonts w:cs="Arial"/>
        </w:rPr>
        <w:t xml:space="preserve">job boards </w:t>
      </w:r>
      <w:proofErr w:type="gramStart"/>
      <w:r w:rsidR="004A632D" w:rsidRPr="006075CA">
        <w:rPr>
          <w:rFonts w:cs="Arial"/>
        </w:rPr>
        <w:t>is</w:t>
      </w:r>
      <w:proofErr w:type="gramEnd"/>
      <w:r w:rsidR="004A632D" w:rsidRPr="006075CA">
        <w:rPr>
          <w:rFonts w:cs="Arial"/>
        </w:rPr>
        <w:t xml:space="preserve"> often not the first step in </w:t>
      </w:r>
      <w:r w:rsidR="00BC1739">
        <w:rPr>
          <w:rFonts w:cs="Arial"/>
        </w:rPr>
        <w:t>a multi-method</w:t>
      </w:r>
      <w:r w:rsidR="004A632D" w:rsidRPr="006075CA">
        <w:rPr>
          <w:rFonts w:cs="Arial"/>
        </w:rPr>
        <w:t xml:space="preserve"> recruitment process, with many employers preferring low-cost or informal approaches initially. Around 31% of employers who used</w:t>
      </w:r>
      <w:r w:rsidR="003434E9">
        <w:rPr>
          <w:rFonts w:cs="Arial"/>
        </w:rPr>
        <w:t xml:space="preserve"> online</w:t>
      </w:r>
      <w:r w:rsidR="004A632D" w:rsidRPr="006075CA">
        <w:rPr>
          <w:rFonts w:cs="Arial"/>
        </w:rPr>
        <w:t xml:space="preserve"> job boards</w:t>
      </w:r>
      <w:r w:rsidR="00BC1739">
        <w:rPr>
          <w:rStyle w:val="FootnoteReference"/>
          <w:rFonts w:cs="Arial"/>
        </w:rPr>
        <w:footnoteReference w:id="3"/>
      </w:r>
      <w:r w:rsidR="004A632D" w:rsidRPr="006075CA">
        <w:rPr>
          <w:rFonts w:cs="Arial"/>
        </w:rPr>
        <w:t xml:space="preserve"> had initially tried other methods before advertising online. This was most common among employers recruiting Labourers (40%) and Technicians and Trades Workers (34%). </w:t>
      </w:r>
      <w:r w:rsidR="00BC1739">
        <w:rPr>
          <w:rFonts w:cs="Arial"/>
        </w:rPr>
        <w:t>Even w</w:t>
      </w:r>
      <w:r w:rsidR="004A632D" w:rsidRPr="006075CA">
        <w:rPr>
          <w:rFonts w:cs="Arial"/>
        </w:rPr>
        <w:t xml:space="preserve">hen </w:t>
      </w:r>
      <w:r w:rsidR="003434E9">
        <w:rPr>
          <w:rFonts w:cs="Arial"/>
        </w:rPr>
        <w:t xml:space="preserve">online </w:t>
      </w:r>
      <w:r w:rsidR="004A632D" w:rsidRPr="006075CA">
        <w:rPr>
          <w:rFonts w:cs="Arial"/>
        </w:rPr>
        <w:t>job boards ultimately led to a successful hire, 25% of employers had first attempted other approaches</w:t>
      </w:r>
      <w:r w:rsidR="00BC1739">
        <w:rPr>
          <w:rFonts w:cs="Arial"/>
        </w:rPr>
        <w:t>, re-iterating that</w:t>
      </w:r>
      <w:r w:rsidR="00EA2532">
        <w:rPr>
          <w:rFonts w:cs="Arial"/>
        </w:rPr>
        <w:t xml:space="preserve"> employers can turn to online jobs boards after other methods had been tried first.</w:t>
      </w:r>
    </w:p>
    <w:p w14:paraId="602F37A0" w14:textId="77777777" w:rsidR="003434E9" w:rsidRPr="00A64859" w:rsidRDefault="003434E9" w:rsidP="003434E9">
      <w:pPr>
        <w:pStyle w:val="Heading3"/>
      </w:pPr>
      <w:r w:rsidRPr="00A64859">
        <w:t>Company websites</w:t>
      </w:r>
    </w:p>
    <w:tbl>
      <w:tblPr>
        <w:tblStyle w:val="TableGrid"/>
        <w:tblW w:w="0" w:type="auto"/>
        <w:tblLook w:val="04A0" w:firstRow="1" w:lastRow="0" w:firstColumn="1" w:lastColumn="0" w:noHBand="0" w:noVBand="1"/>
      </w:tblPr>
      <w:tblGrid>
        <w:gridCol w:w="3005"/>
        <w:gridCol w:w="3005"/>
        <w:gridCol w:w="3006"/>
      </w:tblGrid>
      <w:tr w:rsidR="003434E9" w14:paraId="46446CAC" w14:textId="77777777">
        <w:tc>
          <w:tcPr>
            <w:tcW w:w="3005" w:type="dxa"/>
            <w:tcBorders>
              <w:bottom w:val="nil"/>
            </w:tcBorders>
            <w:shd w:val="clear" w:color="auto" w:fill="012749" w:themeFill="accent3"/>
          </w:tcPr>
          <w:p w14:paraId="0E75E5F8"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Used method</w:t>
            </w:r>
          </w:p>
        </w:tc>
        <w:tc>
          <w:tcPr>
            <w:tcW w:w="3005" w:type="dxa"/>
            <w:tcBorders>
              <w:bottom w:val="nil"/>
            </w:tcBorders>
            <w:shd w:val="clear" w:color="auto" w:fill="012749" w:themeFill="accent3"/>
          </w:tcPr>
          <w:p w14:paraId="5C0423B3"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Successful method</w:t>
            </w:r>
          </w:p>
        </w:tc>
        <w:tc>
          <w:tcPr>
            <w:tcW w:w="3006" w:type="dxa"/>
            <w:tcBorders>
              <w:bottom w:val="nil"/>
            </w:tcBorders>
            <w:shd w:val="clear" w:color="auto" w:fill="012749" w:themeFill="accent3"/>
          </w:tcPr>
          <w:p w14:paraId="25DA643E"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 rate</w:t>
            </w:r>
          </w:p>
        </w:tc>
      </w:tr>
      <w:tr w:rsidR="003434E9" w14:paraId="72C4C00F" w14:textId="77777777">
        <w:tc>
          <w:tcPr>
            <w:tcW w:w="3005" w:type="dxa"/>
            <w:tcBorders>
              <w:top w:val="nil"/>
              <w:left w:val="nil"/>
              <w:bottom w:val="single" w:sz="8" w:space="0" w:color="000000"/>
              <w:right w:val="nil"/>
            </w:tcBorders>
          </w:tcPr>
          <w:p w14:paraId="4A09EDA2"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10%</w:t>
            </w:r>
          </w:p>
        </w:tc>
        <w:tc>
          <w:tcPr>
            <w:tcW w:w="3005" w:type="dxa"/>
            <w:tcBorders>
              <w:top w:val="nil"/>
              <w:left w:val="nil"/>
              <w:bottom w:val="single" w:sz="8" w:space="0" w:color="000000"/>
              <w:right w:val="nil"/>
            </w:tcBorders>
          </w:tcPr>
          <w:p w14:paraId="79EE2FF2"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7%</w:t>
            </w:r>
          </w:p>
        </w:tc>
        <w:tc>
          <w:tcPr>
            <w:tcW w:w="3006" w:type="dxa"/>
            <w:tcBorders>
              <w:top w:val="nil"/>
              <w:left w:val="nil"/>
              <w:bottom w:val="single" w:sz="8" w:space="0" w:color="000000"/>
              <w:right w:val="nil"/>
            </w:tcBorders>
          </w:tcPr>
          <w:p w14:paraId="41B25DC9"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Average</w:t>
            </w:r>
          </w:p>
        </w:tc>
      </w:tr>
    </w:tbl>
    <w:p w14:paraId="18462678" w14:textId="77777777" w:rsidR="004A632D" w:rsidRPr="0044798F" w:rsidRDefault="004A632D" w:rsidP="00687778">
      <w:pPr>
        <w:spacing w:before="240" w:after="160" w:line="259" w:lineRule="auto"/>
        <w:rPr>
          <w:rFonts w:cs="Arial"/>
          <w:color w:val="000000" w:themeColor="text1"/>
        </w:rPr>
      </w:pPr>
      <w:r w:rsidRPr="0044798F">
        <w:rPr>
          <w:rFonts w:cs="Arial"/>
          <w:color w:val="000000" w:themeColor="text1"/>
        </w:rPr>
        <w:t xml:space="preserve">The use of company websites to find staff varies notably across industries. In some sectors, they are a key part of the hiring process, while in others they are rarely used at all. Where they are adopted, they tend to be effective. </w:t>
      </w:r>
    </w:p>
    <w:p w14:paraId="563E7859" w14:textId="129715F6" w:rsidR="004A632D" w:rsidRPr="0044798F" w:rsidRDefault="004A632D" w:rsidP="00AC4701">
      <w:pPr>
        <w:spacing w:after="160" w:line="259" w:lineRule="auto"/>
        <w:rPr>
          <w:rFonts w:cs="Arial"/>
          <w:color w:val="000000" w:themeColor="text1"/>
        </w:rPr>
      </w:pPr>
      <w:r w:rsidRPr="0044798F">
        <w:rPr>
          <w:rFonts w:cs="Arial"/>
          <w:color w:val="000000" w:themeColor="text1"/>
        </w:rPr>
        <w:t xml:space="preserve">For example, in the Takeaway Food Services industry, roughly 60% of employers who filled at least one vacancy reported that company website was the successful method, making it the go-to method in this sector. Other industries with above average rates </w:t>
      </w:r>
      <w:r w:rsidR="00AC499A">
        <w:rPr>
          <w:rFonts w:cs="Arial"/>
          <w:color w:val="000000" w:themeColor="text1"/>
        </w:rPr>
        <w:t>r</w:t>
      </w:r>
      <w:r w:rsidR="00604C63">
        <w:rPr>
          <w:rFonts w:cs="Arial"/>
          <w:color w:val="000000" w:themeColor="text1"/>
        </w:rPr>
        <w:t xml:space="preserve">eliance on company websites </w:t>
      </w:r>
      <w:r w:rsidRPr="0044798F">
        <w:rPr>
          <w:rFonts w:cs="Arial"/>
          <w:color w:val="000000" w:themeColor="text1"/>
        </w:rPr>
        <w:t xml:space="preserve">include School Education and Residential Care Services (which includes aged care facilities). </w:t>
      </w:r>
    </w:p>
    <w:p w14:paraId="134B1598" w14:textId="77777777" w:rsidR="003434E9" w:rsidRPr="00A64859" w:rsidRDefault="003434E9" w:rsidP="003434E9">
      <w:pPr>
        <w:pStyle w:val="Heading3"/>
      </w:pPr>
      <w:r w:rsidRPr="00A64859">
        <w:t>Social Media</w:t>
      </w:r>
    </w:p>
    <w:tbl>
      <w:tblPr>
        <w:tblStyle w:val="TableGrid"/>
        <w:tblW w:w="0" w:type="auto"/>
        <w:tblBorders>
          <w:top w:val="none" w:sz="0" w:space="0" w:color="auto"/>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434E9" w14:paraId="0C21FB80" w14:textId="77777777">
        <w:tc>
          <w:tcPr>
            <w:tcW w:w="3005" w:type="dxa"/>
            <w:shd w:val="clear" w:color="auto" w:fill="012749" w:themeFill="accent3"/>
            <w:vAlign w:val="center"/>
          </w:tcPr>
          <w:p w14:paraId="42883552"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Used method</w:t>
            </w:r>
          </w:p>
        </w:tc>
        <w:tc>
          <w:tcPr>
            <w:tcW w:w="3005" w:type="dxa"/>
            <w:shd w:val="clear" w:color="auto" w:fill="012749" w:themeFill="accent3"/>
            <w:vAlign w:val="center"/>
          </w:tcPr>
          <w:p w14:paraId="7E72611A"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Successful method</w:t>
            </w:r>
          </w:p>
        </w:tc>
        <w:tc>
          <w:tcPr>
            <w:tcW w:w="3006" w:type="dxa"/>
            <w:shd w:val="clear" w:color="auto" w:fill="012749" w:themeFill="accent3"/>
            <w:vAlign w:val="center"/>
          </w:tcPr>
          <w:p w14:paraId="05042C3E"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 rate</w:t>
            </w:r>
          </w:p>
        </w:tc>
      </w:tr>
      <w:tr w:rsidR="003434E9" w14:paraId="78383C13" w14:textId="77777777">
        <w:tc>
          <w:tcPr>
            <w:tcW w:w="3005" w:type="dxa"/>
            <w:vAlign w:val="center"/>
          </w:tcPr>
          <w:p w14:paraId="0EBA2117"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17%</w:t>
            </w:r>
          </w:p>
        </w:tc>
        <w:tc>
          <w:tcPr>
            <w:tcW w:w="3005" w:type="dxa"/>
            <w:vAlign w:val="center"/>
          </w:tcPr>
          <w:p w14:paraId="15941CB1"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7%</w:t>
            </w:r>
          </w:p>
        </w:tc>
        <w:tc>
          <w:tcPr>
            <w:tcW w:w="3006" w:type="dxa"/>
            <w:vAlign w:val="center"/>
          </w:tcPr>
          <w:p w14:paraId="6E1D61A7"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Low</w:t>
            </w:r>
          </w:p>
        </w:tc>
      </w:tr>
    </w:tbl>
    <w:p w14:paraId="084D4021" w14:textId="67FF5D07" w:rsidR="00990AD8" w:rsidRPr="00990AD8" w:rsidRDefault="004A632D" w:rsidP="00990AD8">
      <w:pPr>
        <w:spacing w:before="240" w:after="160" w:line="259" w:lineRule="auto"/>
        <w:rPr>
          <w:rFonts w:cs="Arial"/>
          <w:color w:val="000000" w:themeColor="text1"/>
        </w:rPr>
      </w:pPr>
      <w:r w:rsidRPr="587FEA27">
        <w:rPr>
          <w:rFonts w:cs="Arial"/>
          <w:color w:val="000000" w:themeColor="text1"/>
        </w:rPr>
        <w:t xml:space="preserve">Social media has become an increasingly common recruitment tool over the past decade, </w:t>
      </w:r>
      <w:r w:rsidR="00171B03" w:rsidRPr="587FEA27">
        <w:rPr>
          <w:rFonts w:cs="Arial"/>
          <w:color w:val="000000" w:themeColor="text1"/>
        </w:rPr>
        <w:t>reflecting</w:t>
      </w:r>
      <w:r w:rsidRPr="587FEA27">
        <w:rPr>
          <w:rFonts w:cs="Arial"/>
          <w:color w:val="000000" w:themeColor="text1"/>
        </w:rPr>
        <w:t xml:space="preserve"> a quick and accessible way for employers to promote vacancies and reach a broad audience.</w:t>
      </w:r>
      <w:r w:rsidR="00ED3665" w:rsidRPr="587FEA27">
        <w:rPr>
          <w:rFonts w:cs="Arial"/>
          <w:color w:val="000000" w:themeColor="text1"/>
        </w:rPr>
        <w:t xml:space="preserve"> </w:t>
      </w:r>
      <w:r w:rsidR="008173C1" w:rsidRPr="587FEA27">
        <w:rPr>
          <w:rFonts w:cs="Arial"/>
          <w:color w:val="000000" w:themeColor="text1"/>
        </w:rPr>
        <w:t>S</w:t>
      </w:r>
      <w:r w:rsidRPr="587FEA27">
        <w:rPr>
          <w:rFonts w:cs="Arial"/>
          <w:color w:val="000000" w:themeColor="text1"/>
        </w:rPr>
        <w:t xml:space="preserve">ocial media </w:t>
      </w:r>
      <w:r w:rsidR="00ED3665" w:rsidRPr="587FEA27">
        <w:rPr>
          <w:rFonts w:cs="Arial"/>
          <w:color w:val="000000" w:themeColor="text1"/>
        </w:rPr>
        <w:t>was widely used as part of a multi-method process</w:t>
      </w:r>
      <w:r w:rsidR="008173C1" w:rsidRPr="587FEA27">
        <w:rPr>
          <w:rFonts w:cs="Arial"/>
          <w:color w:val="000000" w:themeColor="text1"/>
        </w:rPr>
        <w:t xml:space="preserve"> (as shown in</w:t>
      </w:r>
      <w:r w:rsidR="422C2240" w:rsidRPr="587FEA27">
        <w:rPr>
          <w:rFonts w:cs="Arial"/>
          <w:color w:val="000000" w:themeColor="text1"/>
        </w:rPr>
        <w:t xml:space="preserve"> an</w:t>
      </w:r>
      <w:r w:rsidR="008173C1" w:rsidRPr="587FEA27">
        <w:rPr>
          <w:rFonts w:cs="Arial"/>
          <w:color w:val="000000" w:themeColor="text1"/>
        </w:rPr>
        <w:t xml:space="preserve"> earlier </w:t>
      </w:r>
      <w:r w:rsidR="00A04B32" w:rsidRPr="587FEA27">
        <w:rPr>
          <w:rFonts w:cs="Arial"/>
          <w:color w:val="000000" w:themeColor="text1"/>
        </w:rPr>
        <w:t>section</w:t>
      </w:r>
      <w:r w:rsidR="008173C1" w:rsidRPr="587FEA27">
        <w:rPr>
          <w:rFonts w:cs="Arial"/>
          <w:color w:val="000000" w:themeColor="text1"/>
        </w:rPr>
        <w:t>) but</w:t>
      </w:r>
      <w:r w:rsidR="00ED3665" w:rsidRPr="587FEA27">
        <w:rPr>
          <w:rFonts w:cs="Arial"/>
          <w:color w:val="000000" w:themeColor="text1"/>
        </w:rPr>
        <w:t xml:space="preserve"> was </w:t>
      </w:r>
      <w:r w:rsidRPr="587FEA27">
        <w:rPr>
          <w:rFonts w:cs="Arial"/>
          <w:color w:val="000000" w:themeColor="text1"/>
        </w:rPr>
        <w:t xml:space="preserve">rarely the decisive factor in successful recruitment. Only 7% of employers who filled </w:t>
      </w:r>
      <w:proofErr w:type="gramStart"/>
      <w:r w:rsidRPr="587FEA27">
        <w:rPr>
          <w:rFonts w:cs="Arial"/>
          <w:color w:val="000000" w:themeColor="text1"/>
        </w:rPr>
        <w:t>a</w:t>
      </w:r>
      <w:proofErr w:type="gramEnd"/>
      <w:r w:rsidRPr="587FEA27">
        <w:rPr>
          <w:rFonts w:cs="Arial"/>
          <w:color w:val="000000" w:themeColor="text1"/>
        </w:rPr>
        <w:t xml:space="preserve"> </w:t>
      </w:r>
      <w:r w:rsidR="008173C1" w:rsidRPr="587FEA27">
        <w:rPr>
          <w:rFonts w:cs="Arial"/>
          <w:color w:val="000000" w:themeColor="text1"/>
        </w:rPr>
        <w:t xml:space="preserve">at least one </w:t>
      </w:r>
      <w:r w:rsidRPr="587FEA27">
        <w:rPr>
          <w:rFonts w:cs="Arial"/>
          <w:color w:val="000000" w:themeColor="text1"/>
        </w:rPr>
        <w:t xml:space="preserve">vacancy identified social media as the method that led to a hire, with a low success rate. This indicates that while social media is effective for raising awareness and generating interest, it is less likely to be </w:t>
      </w:r>
      <w:r w:rsidR="00990AD8" w:rsidRPr="587FEA27">
        <w:rPr>
          <w:rFonts w:cs="Arial"/>
          <w:color w:val="000000" w:themeColor="text1"/>
        </w:rPr>
        <w:t>the channel through which job seekers ultimately secure employment.</w:t>
      </w:r>
    </w:p>
    <w:p w14:paraId="7B39EB7F" w14:textId="68C239FD" w:rsidR="003434E9" w:rsidRPr="00A64859" w:rsidRDefault="003434E9" w:rsidP="003434E9">
      <w:pPr>
        <w:pStyle w:val="Heading3"/>
      </w:pPr>
      <w:r w:rsidRPr="00A64859">
        <w:lastRenderedPageBreak/>
        <w:t>Recruitment Agencies</w:t>
      </w:r>
    </w:p>
    <w:tbl>
      <w:tblPr>
        <w:tblStyle w:val="TableGrid"/>
        <w:tblW w:w="0" w:type="auto"/>
        <w:tblBorders>
          <w:top w:val="none" w:sz="0" w:space="0" w:color="auto"/>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434E9" w14:paraId="56DF9F2F" w14:textId="77777777">
        <w:tc>
          <w:tcPr>
            <w:tcW w:w="3005" w:type="dxa"/>
            <w:shd w:val="clear" w:color="auto" w:fill="012749" w:themeFill="accent3"/>
          </w:tcPr>
          <w:p w14:paraId="780C5A73"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Used method</w:t>
            </w:r>
          </w:p>
        </w:tc>
        <w:tc>
          <w:tcPr>
            <w:tcW w:w="3005" w:type="dxa"/>
            <w:shd w:val="clear" w:color="auto" w:fill="012749" w:themeFill="accent3"/>
          </w:tcPr>
          <w:p w14:paraId="0CF6DC9A"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Successful method</w:t>
            </w:r>
          </w:p>
        </w:tc>
        <w:tc>
          <w:tcPr>
            <w:tcW w:w="3006" w:type="dxa"/>
            <w:shd w:val="clear" w:color="auto" w:fill="012749" w:themeFill="accent3"/>
          </w:tcPr>
          <w:p w14:paraId="7579A5EE"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 rate</w:t>
            </w:r>
          </w:p>
        </w:tc>
      </w:tr>
      <w:tr w:rsidR="003434E9" w14:paraId="7CE3F53B" w14:textId="77777777">
        <w:tc>
          <w:tcPr>
            <w:tcW w:w="3005" w:type="dxa"/>
          </w:tcPr>
          <w:p w14:paraId="5BEAB480"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11%</w:t>
            </w:r>
          </w:p>
        </w:tc>
        <w:tc>
          <w:tcPr>
            <w:tcW w:w="3005" w:type="dxa"/>
          </w:tcPr>
          <w:p w14:paraId="561B77F4"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8%</w:t>
            </w:r>
          </w:p>
        </w:tc>
        <w:tc>
          <w:tcPr>
            <w:tcW w:w="3006" w:type="dxa"/>
          </w:tcPr>
          <w:p w14:paraId="76D5A33B"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Average</w:t>
            </w:r>
          </w:p>
        </w:tc>
      </w:tr>
    </w:tbl>
    <w:p w14:paraId="100D1BA4" w14:textId="175470A4" w:rsidR="0015604B" w:rsidRDefault="004A632D" w:rsidP="006D7925">
      <w:pPr>
        <w:spacing w:before="240" w:after="160" w:line="259" w:lineRule="auto"/>
        <w:rPr>
          <w:rFonts w:cs="Arial"/>
        </w:rPr>
      </w:pPr>
      <w:r w:rsidRPr="00AD2D1B">
        <w:rPr>
          <w:rFonts w:cs="Arial"/>
        </w:rPr>
        <w:t>Recruitment agencies can be a comparatively costly option for employers, particularly when free or low</w:t>
      </w:r>
      <w:r w:rsidRPr="00AD2D1B">
        <w:rPr>
          <w:rFonts w:ascii="Cambria Math" w:hAnsi="Cambria Math" w:cs="Cambria Math"/>
        </w:rPr>
        <w:t>‑</w:t>
      </w:r>
      <w:r w:rsidRPr="00AD2D1B">
        <w:rPr>
          <w:rFonts w:cs="Arial"/>
        </w:rPr>
        <w:t xml:space="preserve">cost alternatives are available. </w:t>
      </w:r>
      <w:r w:rsidR="00191175" w:rsidRPr="00191175">
        <w:rPr>
          <w:rFonts w:cs="Arial"/>
        </w:rPr>
        <w:t>As a result, they tend to be</w:t>
      </w:r>
      <w:r w:rsidR="009F324E">
        <w:rPr>
          <w:rFonts w:cs="Arial"/>
        </w:rPr>
        <w:t xml:space="preserve"> </w:t>
      </w:r>
      <w:r w:rsidRPr="00AD2D1B">
        <w:rPr>
          <w:rFonts w:cs="Arial"/>
        </w:rPr>
        <w:t xml:space="preserve">used more selectively, often when employers require additional support to source suitable applicants. </w:t>
      </w:r>
    </w:p>
    <w:p w14:paraId="03BAB85D" w14:textId="1D71EFA3" w:rsidR="004A632D" w:rsidRDefault="004A632D" w:rsidP="0015604B">
      <w:pPr>
        <w:spacing w:before="240" w:after="160" w:line="259" w:lineRule="auto"/>
        <w:rPr>
          <w:rFonts w:cs="Arial"/>
        </w:rPr>
      </w:pPr>
      <w:r w:rsidRPr="00AD2D1B">
        <w:rPr>
          <w:rFonts w:cs="Arial"/>
        </w:rPr>
        <w:t>This is reflected in their usage patterns across occupations</w:t>
      </w:r>
      <w:r w:rsidR="005F67FB">
        <w:rPr>
          <w:rFonts w:cs="Arial"/>
        </w:rPr>
        <w:t>. R</w:t>
      </w:r>
      <w:r w:rsidRPr="00AD2D1B">
        <w:rPr>
          <w:rFonts w:cs="Arial"/>
        </w:rPr>
        <w:t>ecruitment agencies are relied upon far more frequently when employers are recruiting for</w:t>
      </w:r>
      <w:r w:rsidR="0015604B">
        <w:rPr>
          <w:rFonts w:cs="Arial"/>
        </w:rPr>
        <w:t xml:space="preserve"> higher skilled</w:t>
      </w:r>
      <w:r w:rsidRPr="00AD2D1B">
        <w:rPr>
          <w:rFonts w:cs="Arial"/>
        </w:rPr>
        <w:t xml:space="preserve"> roles that are difficult to fill, where the need for broader search capacity outweighs the expense. Almost a quarter (24%) of Professionals recruited for difficult</w:t>
      </w:r>
      <w:r w:rsidRPr="00AD2D1B">
        <w:rPr>
          <w:rFonts w:ascii="Cambria Math" w:hAnsi="Cambria Math" w:cs="Cambria Math"/>
        </w:rPr>
        <w:t>‑</w:t>
      </w:r>
      <w:r w:rsidRPr="00AD2D1B">
        <w:rPr>
          <w:rFonts w:cs="Arial"/>
        </w:rPr>
        <w:t>to</w:t>
      </w:r>
      <w:r w:rsidRPr="00AD2D1B">
        <w:rPr>
          <w:rFonts w:ascii="Cambria Math" w:hAnsi="Cambria Math" w:cs="Cambria Math"/>
        </w:rPr>
        <w:t>‑</w:t>
      </w:r>
      <w:r w:rsidRPr="00AD2D1B">
        <w:rPr>
          <w:rFonts w:cs="Arial"/>
        </w:rPr>
        <w:t xml:space="preserve">fill roles were hired through recruitment agencies. By contrast, when </w:t>
      </w:r>
      <w:r>
        <w:rPr>
          <w:rFonts w:cs="Arial"/>
        </w:rPr>
        <w:t>suitable applicants are not difficult to find</w:t>
      </w:r>
      <w:r w:rsidRPr="00AD2D1B">
        <w:rPr>
          <w:rFonts w:cs="Arial"/>
        </w:rPr>
        <w:t xml:space="preserve">, </w:t>
      </w:r>
      <w:r>
        <w:rPr>
          <w:rFonts w:cs="Arial"/>
        </w:rPr>
        <w:t>recruitment agencies are often used to quickly fill vacancies for</w:t>
      </w:r>
      <w:r w:rsidRPr="00AD2D1B">
        <w:rPr>
          <w:rFonts w:cs="Arial"/>
        </w:rPr>
        <w:t xml:space="preserve"> Machinery Operators and Drivers and for Labourers, where employers may turn to agencies to streamline recruitment processes.</w:t>
      </w:r>
    </w:p>
    <w:p w14:paraId="2859D8E6" w14:textId="77777777" w:rsidR="003434E9" w:rsidRPr="00A64859" w:rsidRDefault="003434E9" w:rsidP="003434E9">
      <w:pPr>
        <w:pStyle w:val="Heading3"/>
      </w:pPr>
      <w:r w:rsidRPr="00A64859">
        <w:t>Word of Mouth</w:t>
      </w:r>
    </w:p>
    <w:tbl>
      <w:tblPr>
        <w:tblStyle w:val="TableGrid"/>
        <w:tblW w:w="0" w:type="auto"/>
        <w:tblBorders>
          <w:top w:val="none" w:sz="0" w:space="0" w:color="auto"/>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434E9" w14:paraId="25C53A30" w14:textId="77777777">
        <w:tc>
          <w:tcPr>
            <w:tcW w:w="3005" w:type="dxa"/>
            <w:shd w:val="clear" w:color="auto" w:fill="012749" w:themeFill="accent3"/>
          </w:tcPr>
          <w:p w14:paraId="19E2AEA6"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Used method</w:t>
            </w:r>
          </w:p>
        </w:tc>
        <w:tc>
          <w:tcPr>
            <w:tcW w:w="3005" w:type="dxa"/>
            <w:shd w:val="clear" w:color="auto" w:fill="012749" w:themeFill="accent3"/>
          </w:tcPr>
          <w:p w14:paraId="2852C789"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Successful method</w:t>
            </w:r>
          </w:p>
        </w:tc>
        <w:tc>
          <w:tcPr>
            <w:tcW w:w="3006" w:type="dxa"/>
            <w:shd w:val="clear" w:color="auto" w:fill="012749" w:themeFill="accent3"/>
          </w:tcPr>
          <w:p w14:paraId="0ABD9336"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 rate</w:t>
            </w:r>
          </w:p>
        </w:tc>
      </w:tr>
      <w:tr w:rsidR="003434E9" w14:paraId="2854B825" w14:textId="77777777">
        <w:tc>
          <w:tcPr>
            <w:tcW w:w="3005" w:type="dxa"/>
          </w:tcPr>
          <w:p w14:paraId="1A56066D"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29%</w:t>
            </w:r>
          </w:p>
        </w:tc>
        <w:tc>
          <w:tcPr>
            <w:tcW w:w="3005" w:type="dxa"/>
          </w:tcPr>
          <w:p w14:paraId="714145E8"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24%</w:t>
            </w:r>
          </w:p>
        </w:tc>
        <w:tc>
          <w:tcPr>
            <w:tcW w:w="3006" w:type="dxa"/>
          </w:tcPr>
          <w:p w14:paraId="7023CBF7"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High</w:t>
            </w:r>
          </w:p>
        </w:tc>
      </w:tr>
    </w:tbl>
    <w:p w14:paraId="7C7F8DF5" w14:textId="37031290" w:rsidR="004A632D" w:rsidRDefault="004A632D" w:rsidP="007F6E28">
      <w:pPr>
        <w:spacing w:before="240" w:after="160" w:line="259" w:lineRule="auto"/>
        <w:rPr>
          <w:rFonts w:cs="Arial"/>
        </w:rPr>
      </w:pPr>
      <w:r w:rsidRPr="00600242">
        <w:rPr>
          <w:rFonts w:cs="Arial"/>
        </w:rPr>
        <w:t xml:space="preserve">Word of mouth is the second most common method employers use to find staff, reflecting its low cost, speed, and adaptability across a wide range of recruitment needs. </w:t>
      </w:r>
      <w:r w:rsidR="007F6E28">
        <w:rPr>
          <w:rFonts w:cs="Arial"/>
        </w:rPr>
        <w:t>Also, t</w:t>
      </w:r>
      <w:r w:rsidRPr="00600242">
        <w:rPr>
          <w:rFonts w:cs="Arial"/>
        </w:rPr>
        <w:t xml:space="preserve">he </w:t>
      </w:r>
      <w:r>
        <w:rPr>
          <w:rFonts w:cs="Arial"/>
        </w:rPr>
        <w:t>rate where</w:t>
      </w:r>
      <w:r w:rsidRPr="00600242">
        <w:rPr>
          <w:rFonts w:cs="Arial"/>
        </w:rPr>
        <w:t xml:space="preserve"> word of mouth </w:t>
      </w:r>
      <w:r>
        <w:rPr>
          <w:rFonts w:cs="Arial"/>
        </w:rPr>
        <w:t xml:space="preserve">was the successful method was </w:t>
      </w:r>
      <w:r w:rsidRPr="00600242">
        <w:rPr>
          <w:rFonts w:cs="Arial"/>
        </w:rPr>
        <w:t>remarkably consistent</w:t>
      </w:r>
      <w:r w:rsidR="00821016">
        <w:rPr>
          <w:rFonts w:cs="Arial"/>
        </w:rPr>
        <w:t>:</w:t>
      </w:r>
      <w:r w:rsidRPr="00600242">
        <w:rPr>
          <w:rFonts w:cs="Arial"/>
        </w:rPr>
        <w:t xml:space="preserve"> between 20% and 30% of employers across all occupation groups</w:t>
      </w:r>
      <w:r w:rsidR="00856573">
        <w:rPr>
          <w:rFonts w:cs="Arial"/>
        </w:rPr>
        <w:t xml:space="preserve"> and</w:t>
      </w:r>
      <w:r w:rsidRPr="00600242">
        <w:rPr>
          <w:rFonts w:cs="Arial"/>
        </w:rPr>
        <w:t xml:space="preserve"> regions stating that this method resulted in a successful hire</w:t>
      </w:r>
      <w:r>
        <w:rPr>
          <w:rFonts w:cs="Arial"/>
        </w:rPr>
        <w:t>, illustrating its ubiquity as a possible method for employers to use.</w:t>
      </w:r>
    </w:p>
    <w:p w14:paraId="4475D8FA" w14:textId="77777777" w:rsidR="004A632D" w:rsidRDefault="004A632D" w:rsidP="00AC4701">
      <w:pPr>
        <w:spacing w:after="160" w:line="259" w:lineRule="auto"/>
        <w:rPr>
          <w:rFonts w:cs="Arial"/>
        </w:rPr>
      </w:pPr>
      <w:r w:rsidRPr="00600242">
        <w:rPr>
          <w:rFonts w:cs="Arial"/>
        </w:rPr>
        <w:t>Th</w:t>
      </w:r>
      <w:r>
        <w:rPr>
          <w:rFonts w:cs="Arial"/>
        </w:rPr>
        <w:t>e</w:t>
      </w:r>
      <w:r w:rsidRPr="00600242">
        <w:rPr>
          <w:rFonts w:cs="Arial"/>
        </w:rPr>
        <w:t xml:space="preserve"> high success rate </w:t>
      </w:r>
      <w:r>
        <w:rPr>
          <w:rFonts w:cs="Arial"/>
        </w:rPr>
        <w:t xml:space="preserve">for word of mouth </w:t>
      </w:r>
      <w:r w:rsidRPr="00600242">
        <w:rPr>
          <w:rFonts w:cs="Arial"/>
        </w:rPr>
        <w:t xml:space="preserve">reflects the targeted nature of informal referrals, where employers </w:t>
      </w:r>
      <w:r>
        <w:rPr>
          <w:rFonts w:cs="Arial"/>
        </w:rPr>
        <w:t>can</w:t>
      </w:r>
      <w:r w:rsidRPr="00600242">
        <w:rPr>
          <w:rFonts w:cs="Arial"/>
        </w:rPr>
        <w:t xml:space="preserve"> approach known candidates directly or rely on trusted networks to recommend suitable applicants. The method’s effectiveness also suggests that, despite the growing availability of digital recruitment tools, personal connections and industry</w:t>
      </w:r>
      <w:r w:rsidRPr="00600242">
        <w:rPr>
          <w:rFonts w:ascii="Cambria Math" w:hAnsi="Cambria Math" w:cs="Cambria Math"/>
        </w:rPr>
        <w:t>‑</w:t>
      </w:r>
      <w:r w:rsidRPr="00600242">
        <w:rPr>
          <w:rFonts w:cs="Arial"/>
        </w:rPr>
        <w:t>specific networks continue to play an integral role in matching employers with job seekers.</w:t>
      </w:r>
    </w:p>
    <w:p w14:paraId="7EAB2CFE" w14:textId="77777777" w:rsidR="003434E9" w:rsidRPr="00A64859" w:rsidRDefault="003434E9" w:rsidP="003434E9">
      <w:pPr>
        <w:pStyle w:val="Heading3"/>
      </w:pPr>
      <w:r w:rsidRPr="00A64859">
        <w:t>Directly approached by job seeker</w:t>
      </w:r>
    </w:p>
    <w:tbl>
      <w:tblPr>
        <w:tblStyle w:val="TableGrid"/>
        <w:tblW w:w="0" w:type="auto"/>
        <w:tblBorders>
          <w:top w:val="none" w:sz="0" w:space="0" w:color="auto"/>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434E9" w14:paraId="733ABC2C" w14:textId="77777777">
        <w:tc>
          <w:tcPr>
            <w:tcW w:w="3005" w:type="dxa"/>
            <w:shd w:val="clear" w:color="auto" w:fill="012749" w:themeFill="accent3"/>
          </w:tcPr>
          <w:p w14:paraId="07EA0177"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Used method</w:t>
            </w:r>
          </w:p>
        </w:tc>
        <w:tc>
          <w:tcPr>
            <w:tcW w:w="3005" w:type="dxa"/>
            <w:shd w:val="clear" w:color="auto" w:fill="012749" w:themeFill="accent3"/>
          </w:tcPr>
          <w:p w14:paraId="3746E901"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Successful method</w:t>
            </w:r>
          </w:p>
        </w:tc>
        <w:tc>
          <w:tcPr>
            <w:tcW w:w="3006" w:type="dxa"/>
            <w:shd w:val="clear" w:color="auto" w:fill="012749" w:themeFill="accent3"/>
          </w:tcPr>
          <w:p w14:paraId="36659CBC" w14:textId="77777777" w:rsidR="003434E9" w:rsidRPr="00054A3F" w:rsidRDefault="003434E9">
            <w:pPr>
              <w:spacing w:before="60" w:after="60" w:line="259" w:lineRule="auto"/>
              <w:jc w:val="center"/>
              <w:rPr>
                <w:rFonts w:cs="Arial"/>
                <w:color w:val="FFFFFF" w:themeColor="background1"/>
                <w:sz w:val="28"/>
                <w:szCs w:val="28"/>
              </w:rPr>
            </w:pPr>
            <w:r w:rsidRPr="00054A3F">
              <w:rPr>
                <w:rFonts w:cs="Arial"/>
                <w:color w:val="FFFFFF" w:themeColor="background1"/>
                <w:sz w:val="28"/>
                <w:szCs w:val="28"/>
              </w:rPr>
              <w:t>Success rate</w:t>
            </w:r>
          </w:p>
        </w:tc>
      </w:tr>
      <w:tr w:rsidR="003434E9" w14:paraId="66FC8DDE" w14:textId="77777777">
        <w:tc>
          <w:tcPr>
            <w:tcW w:w="3005" w:type="dxa"/>
          </w:tcPr>
          <w:p w14:paraId="2F51E90F"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17%</w:t>
            </w:r>
          </w:p>
        </w:tc>
        <w:tc>
          <w:tcPr>
            <w:tcW w:w="3005" w:type="dxa"/>
          </w:tcPr>
          <w:p w14:paraId="7466AEB3"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16%</w:t>
            </w:r>
          </w:p>
        </w:tc>
        <w:tc>
          <w:tcPr>
            <w:tcW w:w="3006" w:type="dxa"/>
          </w:tcPr>
          <w:p w14:paraId="22490975" w14:textId="77777777" w:rsidR="003434E9" w:rsidRPr="00054A3F" w:rsidRDefault="003434E9">
            <w:pPr>
              <w:spacing w:before="60" w:after="60" w:line="259" w:lineRule="auto"/>
              <w:jc w:val="center"/>
              <w:rPr>
                <w:rFonts w:cs="Arial"/>
                <w:b/>
                <w:bCs/>
                <w:sz w:val="28"/>
                <w:szCs w:val="28"/>
              </w:rPr>
            </w:pPr>
            <w:r w:rsidRPr="00054A3F">
              <w:rPr>
                <w:rFonts w:cs="Arial"/>
                <w:b/>
                <w:bCs/>
                <w:sz w:val="28"/>
                <w:szCs w:val="28"/>
              </w:rPr>
              <w:t>High</w:t>
            </w:r>
          </w:p>
        </w:tc>
      </w:tr>
    </w:tbl>
    <w:p w14:paraId="1F62DADE" w14:textId="0BEBE9B2" w:rsidR="004A632D" w:rsidRPr="00B004AE" w:rsidRDefault="004A632D" w:rsidP="006D7925">
      <w:pPr>
        <w:spacing w:before="240" w:after="160" w:line="259" w:lineRule="auto"/>
        <w:rPr>
          <w:rFonts w:cs="Arial"/>
        </w:rPr>
      </w:pPr>
      <w:r w:rsidRPr="00B004AE">
        <w:rPr>
          <w:rFonts w:cs="Arial"/>
        </w:rPr>
        <w:t xml:space="preserve">Being directly approached by a job seeker is one of the simplest and least costly recruitment methods available to employers, provided that suitable applicants can be identified. This method includes job seekers who proactively contact employers without knowing whether a vacancy exists, as well as those who are aware of open positions and approach the employer directly to increase their chances of being considered. </w:t>
      </w:r>
      <w:r w:rsidR="005A3D0F">
        <w:rPr>
          <w:rFonts w:cs="Arial"/>
        </w:rPr>
        <w:t>With</w:t>
      </w:r>
      <w:r w:rsidRPr="00B004AE">
        <w:rPr>
          <w:rFonts w:cs="Arial"/>
        </w:rPr>
        <w:t xml:space="preserve"> no advertising expenditure and minimal administrative effort, direct approaches can be an efficient way for employers to source candidates, particularly in industries or regions where potential workers are readily available.</w:t>
      </w:r>
      <w:r w:rsidRPr="004B1208">
        <w:rPr>
          <w:rFonts w:cs="Arial"/>
          <w:b/>
          <w:bCs/>
          <w:noProof/>
          <w:color w:val="000000" w:themeColor="text1"/>
        </w:rPr>
        <w:t xml:space="preserve"> </w:t>
      </w:r>
    </w:p>
    <w:p w14:paraId="2E734A32" w14:textId="4B44153A" w:rsidR="004A632D" w:rsidRPr="00B004AE" w:rsidRDefault="003434E9" w:rsidP="00AC4701">
      <w:pPr>
        <w:spacing w:after="160" w:line="259" w:lineRule="auto"/>
        <w:rPr>
          <w:rFonts w:cs="Arial"/>
        </w:rPr>
      </w:pPr>
      <w:r>
        <w:rPr>
          <w:rFonts w:cs="Arial"/>
          <w:b/>
          <w:bCs/>
          <w:noProof/>
          <w:color w:val="000000" w:themeColor="text1"/>
        </w:rPr>
        <w:lastRenderedPageBreak/>
        <w:drawing>
          <wp:inline distT="0" distB="0" distL="0" distR="0" wp14:anchorId="4AD5EAEE" wp14:editId="19C7F964">
            <wp:extent cx="5674360" cy="2428875"/>
            <wp:effectExtent l="38100" t="57150" r="40640" b="0"/>
            <wp:docPr id="40936574"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755E9D">
        <w:rPr>
          <w:rFonts w:cs="Arial"/>
        </w:rPr>
        <w:t xml:space="preserve">For </w:t>
      </w:r>
      <w:r w:rsidR="00DD60F0">
        <w:rPr>
          <w:rFonts w:cs="Arial"/>
        </w:rPr>
        <w:t xml:space="preserve">those </w:t>
      </w:r>
      <w:r w:rsidR="00755E9D">
        <w:rPr>
          <w:rFonts w:cs="Arial"/>
        </w:rPr>
        <w:t>recruiting employers</w:t>
      </w:r>
      <w:r w:rsidR="00DD60F0">
        <w:rPr>
          <w:rFonts w:cs="Arial"/>
        </w:rPr>
        <w:t xml:space="preserve"> who relied solely on</w:t>
      </w:r>
      <w:r w:rsidR="004A632D" w:rsidRPr="00B004AE">
        <w:rPr>
          <w:rFonts w:cs="Arial"/>
        </w:rPr>
        <w:t xml:space="preserve"> </w:t>
      </w:r>
      <w:r w:rsidR="00307D24">
        <w:rPr>
          <w:rFonts w:cs="Arial"/>
        </w:rPr>
        <w:t>being approached by job seekers</w:t>
      </w:r>
      <w:r w:rsidR="00755E9D">
        <w:rPr>
          <w:rFonts w:cs="Arial"/>
        </w:rPr>
        <w:t xml:space="preserve"> </w:t>
      </w:r>
      <w:r w:rsidR="0088631B">
        <w:rPr>
          <w:rFonts w:cs="Arial"/>
        </w:rPr>
        <w:t>as their</w:t>
      </w:r>
      <w:r w:rsidR="004A632D" w:rsidRPr="00B004AE">
        <w:rPr>
          <w:rFonts w:cs="Arial"/>
        </w:rPr>
        <w:t xml:space="preserve"> only method of recruitment</w:t>
      </w:r>
      <w:r w:rsidR="000B73F2">
        <w:rPr>
          <w:rFonts w:cs="Arial"/>
        </w:rPr>
        <w:t xml:space="preserve"> (and was hence successful)</w:t>
      </w:r>
      <w:r w:rsidR="004A632D" w:rsidRPr="00B004AE">
        <w:rPr>
          <w:rFonts w:cs="Arial"/>
        </w:rPr>
        <w:t xml:space="preserve">, the difficulty rate </w:t>
      </w:r>
      <w:r w:rsidR="00307D24">
        <w:rPr>
          <w:rFonts w:cs="Arial"/>
        </w:rPr>
        <w:t xml:space="preserve">was a very low </w:t>
      </w:r>
      <w:r w:rsidR="0088631B">
        <w:rPr>
          <w:rFonts w:cs="Arial"/>
        </w:rPr>
        <w:t xml:space="preserve">at </w:t>
      </w:r>
      <w:r w:rsidR="004A632D" w:rsidRPr="00B004AE">
        <w:rPr>
          <w:rFonts w:cs="Arial"/>
        </w:rPr>
        <w:t>5%</w:t>
      </w:r>
      <w:r w:rsidR="0088631B">
        <w:rPr>
          <w:rFonts w:cs="Arial"/>
        </w:rPr>
        <w:t>,</w:t>
      </w:r>
      <w:r w:rsidR="00307D24">
        <w:rPr>
          <w:rFonts w:cs="Arial"/>
        </w:rPr>
        <w:t xml:space="preserve"> and </w:t>
      </w:r>
      <w:r w:rsidR="000B73F2">
        <w:rPr>
          <w:rFonts w:cs="Arial"/>
        </w:rPr>
        <w:t xml:space="preserve">95% were filled within a month. </w:t>
      </w:r>
      <w:r w:rsidR="004A632D" w:rsidRPr="00B004AE">
        <w:rPr>
          <w:rFonts w:cs="Arial"/>
        </w:rPr>
        <w:t>In contrast, the difficulty rate rises to 34%</w:t>
      </w:r>
      <w:r w:rsidR="004A632D">
        <w:rPr>
          <w:rFonts w:cs="Arial"/>
        </w:rPr>
        <w:t xml:space="preserve"> </w:t>
      </w:r>
      <w:r w:rsidR="004A632D" w:rsidRPr="00B004AE">
        <w:rPr>
          <w:rFonts w:cs="Arial"/>
        </w:rPr>
        <w:t xml:space="preserve">when direct approaches </w:t>
      </w:r>
      <w:r w:rsidR="000B73F2">
        <w:rPr>
          <w:rFonts w:cs="Arial"/>
        </w:rPr>
        <w:t>we</w:t>
      </w:r>
      <w:r w:rsidR="004A632D" w:rsidRPr="00B004AE">
        <w:rPr>
          <w:rFonts w:cs="Arial"/>
        </w:rPr>
        <w:t xml:space="preserve">re </w:t>
      </w:r>
      <w:r w:rsidR="004A632D">
        <w:rPr>
          <w:rFonts w:cs="Arial"/>
        </w:rPr>
        <w:t>the culmination of a</w:t>
      </w:r>
      <w:r w:rsidR="004A632D" w:rsidRPr="00B004AE">
        <w:rPr>
          <w:rFonts w:cs="Arial"/>
        </w:rPr>
        <w:t xml:space="preserve"> broader, multi</w:t>
      </w:r>
      <w:r w:rsidR="004A632D" w:rsidRPr="00B004AE">
        <w:rPr>
          <w:rFonts w:ascii="Cambria Math" w:hAnsi="Cambria Math" w:cs="Cambria Math"/>
        </w:rPr>
        <w:t>‑</w:t>
      </w:r>
      <w:r w:rsidR="004A632D" w:rsidRPr="00B004AE">
        <w:rPr>
          <w:rFonts w:cs="Arial"/>
        </w:rPr>
        <w:t>method recruitment strategy</w:t>
      </w:r>
      <w:r w:rsidR="004A632D">
        <w:rPr>
          <w:rFonts w:cs="Arial"/>
        </w:rPr>
        <w:t>, regardless of the ease of the final step in recruitment</w:t>
      </w:r>
      <w:r w:rsidR="004A632D" w:rsidRPr="00B004AE">
        <w:rPr>
          <w:rFonts w:cs="Arial"/>
        </w:rPr>
        <w:t>.</w:t>
      </w:r>
      <w:r w:rsidR="004A632D" w:rsidRPr="004B1208">
        <w:rPr>
          <w:rFonts w:cs="Arial"/>
          <w:b/>
          <w:bCs/>
          <w:noProof/>
          <w:color w:val="000000" w:themeColor="text1"/>
        </w:rPr>
        <w:t xml:space="preserve"> </w:t>
      </w:r>
    </w:p>
    <w:p w14:paraId="17F23373" w14:textId="314CE684" w:rsidR="004A632D" w:rsidRDefault="003434E9" w:rsidP="00AC4701">
      <w:pPr>
        <w:spacing w:after="160" w:line="259" w:lineRule="auto"/>
        <w:rPr>
          <w:rFonts w:cs="Arial"/>
        </w:rPr>
      </w:pPr>
      <w:r w:rsidRPr="00F61874">
        <w:rPr>
          <w:rFonts w:cs="Arial"/>
          <w:b/>
          <w:bCs/>
          <w:noProof/>
          <w:color w:val="000000" w:themeColor="text1"/>
        </w:rPr>
        <w:drawing>
          <wp:anchor distT="0" distB="0" distL="114300" distR="114300" simplePos="0" relativeHeight="251658241" behindDoc="0" locked="0" layoutInCell="1" allowOverlap="1" wp14:anchorId="505E2C06" wp14:editId="7749ED03">
            <wp:simplePos x="0" y="0"/>
            <wp:positionH relativeFrom="column">
              <wp:posOffset>3223895</wp:posOffset>
            </wp:positionH>
            <wp:positionV relativeFrom="paragraph">
              <wp:posOffset>10160</wp:posOffset>
            </wp:positionV>
            <wp:extent cx="2647950" cy="3381375"/>
            <wp:effectExtent l="0" t="0" r="0" b="9525"/>
            <wp:wrapSquare wrapText="bothSides"/>
            <wp:docPr id="1663985208" name="Picture 1" descr="Diagram showing occupations frequently recruited by job seekers approaching employers, with six listed: Waiters, Bar Attendants and Baristas, Checkout Operator and Office Cashiers, Pharmacy Sales Assistants, Housekeepers, and Building and Plumbing Labourers. Each occupation is represented by a purple text box connected to a white circle on the left, emphasizing job types commonly sought by applic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85208" name="Picture 1" descr="Diagram showing occupations frequently recruited by job seekers approaching employers, with six listed: Waiters, Bar Attendants and Baristas, Checkout Operator and Office Cashiers, Pharmacy Sales Assistants, Housekeepers, and Building and Plumbing Labourers. Each occupation is represented by a purple text box connected to a white circle on the left, emphasizing job types commonly sought by applicants."/>
                    <pic:cNvPicPr/>
                  </pic:nvPicPr>
                  <pic:blipFill>
                    <a:blip r:embed="rId36">
                      <a:extLst>
                        <a:ext uri="{28A0092B-C50C-407E-A947-70E740481C1C}">
                          <a14:useLocalDpi xmlns:a14="http://schemas.microsoft.com/office/drawing/2010/main" val="0"/>
                        </a:ext>
                      </a:extLst>
                    </a:blip>
                    <a:stretch>
                      <a:fillRect/>
                    </a:stretch>
                  </pic:blipFill>
                  <pic:spPr>
                    <a:xfrm>
                      <a:off x="0" y="0"/>
                      <a:ext cx="2647950" cy="3381375"/>
                    </a:xfrm>
                    <a:prstGeom prst="rect">
                      <a:avLst/>
                    </a:prstGeom>
                  </pic:spPr>
                </pic:pic>
              </a:graphicData>
            </a:graphic>
            <wp14:sizeRelH relativeFrom="margin">
              <wp14:pctWidth>0</wp14:pctWidth>
            </wp14:sizeRelH>
            <wp14:sizeRelV relativeFrom="margin">
              <wp14:pctHeight>0</wp14:pctHeight>
            </wp14:sizeRelV>
          </wp:anchor>
        </w:drawing>
      </w:r>
      <w:r w:rsidR="004A632D" w:rsidRPr="00B004AE">
        <w:rPr>
          <w:rFonts w:cs="Arial"/>
        </w:rPr>
        <w:t>This recruitment method is used most frequently for lower</w:t>
      </w:r>
      <w:r w:rsidR="004A632D" w:rsidRPr="00B004AE">
        <w:rPr>
          <w:rFonts w:ascii="Cambria Math" w:hAnsi="Cambria Math" w:cs="Cambria Math"/>
        </w:rPr>
        <w:t>‑</w:t>
      </w:r>
      <w:r w:rsidR="004A632D" w:rsidRPr="00B004AE">
        <w:rPr>
          <w:rFonts w:cs="Arial"/>
        </w:rPr>
        <w:t xml:space="preserve">skilled roles, particularly among Community and Personal Service Workers and Labourers. These occupations often have lower experience requirements and </w:t>
      </w:r>
      <w:r w:rsidR="004A632D">
        <w:rPr>
          <w:rFonts w:cs="Arial"/>
        </w:rPr>
        <w:t>almost always only</w:t>
      </w:r>
      <w:r w:rsidR="004A632D" w:rsidRPr="00B004AE">
        <w:rPr>
          <w:rFonts w:cs="Arial"/>
        </w:rPr>
        <w:t xml:space="preserve"> offer part</w:t>
      </w:r>
      <w:r w:rsidR="004A632D" w:rsidRPr="00B004AE">
        <w:rPr>
          <w:rFonts w:ascii="Cambria Math" w:hAnsi="Cambria Math" w:cs="Cambria Math"/>
        </w:rPr>
        <w:t>‑</w:t>
      </w:r>
      <w:r w:rsidR="004A632D" w:rsidRPr="00B004AE">
        <w:rPr>
          <w:rFonts w:cs="Arial"/>
        </w:rPr>
        <w:t>time or casual employment</w:t>
      </w:r>
      <w:r w:rsidR="004A632D">
        <w:rPr>
          <w:rFonts w:cs="Arial"/>
        </w:rPr>
        <w:t xml:space="preserve"> (about 90% of the time).</w:t>
      </w:r>
      <w:r w:rsidR="004A632D" w:rsidRPr="00B004AE">
        <w:rPr>
          <w:rFonts w:cs="Arial"/>
        </w:rPr>
        <w:t xml:space="preserve"> </w:t>
      </w:r>
    </w:p>
    <w:p w14:paraId="41AC855A" w14:textId="51B3B9D4" w:rsidR="004A632D" w:rsidRPr="00773557" w:rsidRDefault="002C5BE3" w:rsidP="00AC4701">
      <w:pPr>
        <w:spacing w:after="160" w:line="259" w:lineRule="auto"/>
        <w:rPr>
          <w:rFonts w:cs="Arial"/>
          <w:color w:val="007573" w:themeColor="accent2" w:themeShade="BF"/>
        </w:rPr>
      </w:pPr>
      <w:r>
        <w:rPr>
          <w:rFonts w:cs="Arial"/>
        </w:rPr>
        <w:t>About 20%</w:t>
      </w:r>
      <w:r w:rsidR="004A632D" w:rsidRPr="00B004AE">
        <w:rPr>
          <w:rFonts w:cs="Arial"/>
        </w:rPr>
        <w:t xml:space="preserve"> of employers who </w:t>
      </w:r>
      <w:r w:rsidR="00B72797">
        <w:rPr>
          <w:rFonts w:cs="Arial"/>
        </w:rPr>
        <w:t xml:space="preserve">hired for </w:t>
      </w:r>
      <w:r w:rsidR="00B72797" w:rsidRPr="00B004AE">
        <w:rPr>
          <w:rFonts w:cs="Arial"/>
        </w:rPr>
        <w:t>Technicians and Trades Workers</w:t>
      </w:r>
      <w:r w:rsidR="00B72797">
        <w:rPr>
          <w:rFonts w:cs="Arial"/>
        </w:rPr>
        <w:t xml:space="preserve"> roles found staff by being </w:t>
      </w:r>
      <w:r w:rsidR="004A632D" w:rsidRPr="00B004AE">
        <w:rPr>
          <w:rFonts w:cs="Arial"/>
        </w:rPr>
        <w:t>direct</w:t>
      </w:r>
      <w:r w:rsidR="00B72797">
        <w:rPr>
          <w:rFonts w:cs="Arial"/>
        </w:rPr>
        <w:t>ly</w:t>
      </w:r>
      <w:r w:rsidR="004A632D" w:rsidRPr="00B004AE">
        <w:rPr>
          <w:rFonts w:cs="Arial"/>
        </w:rPr>
        <w:t xml:space="preserve"> approache</w:t>
      </w:r>
      <w:r w:rsidR="00B72797">
        <w:rPr>
          <w:rFonts w:cs="Arial"/>
        </w:rPr>
        <w:t>d by job seekers</w:t>
      </w:r>
      <w:r>
        <w:rPr>
          <w:rFonts w:cs="Arial"/>
        </w:rPr>
        <w:t>, highlighting</w:t>
      </w:r>
      <w:r w:rsidR="004A632D" w:rsidRPr="00B004AE">
        <w:rPr>
          <w:rFonts w:cs="Arial"/>
        </w:rPr>
        <w:t xml:space="preserve"> the ongoing importance of personal networks and industry connections in trades</w:t>
      </w:r>
      <w:r w:rsidR="004A632D" w:rsidRPr="00B004AE">
        <w:rPr>
          <w:rFonts w:ascii="Cambria Math" w:hAnsi="Cambria Math" w:cs="Cambria Math"/>
        </w:rPr>
        <w:t>‑</w:t>
      </w:r>
      <w:r w:rsidR="004A632D" w:rsidRPr="00B004AE">
        <w:rPr>
          <w:rFonts w:cs="Arial"/>
        </w:rPr>
        <w:t>based occupations</w:t>
      </w:r>
      <w:r>
        <w:rPr>
          <w:rFonts w:cs="Arial"/>
        </w:rPr>
        <w:t>.</w:t>
      </w:r>
    </w:p>
    <w:p w14:paraId="1284A33B" w14:textId="77777777" w:rsidR="004A632D" w:rsidRPr="00773557" w:rsidRDefault="004A632D" w:rsidP="00AC4701">
      <w:pPr>
        <w:spacing w:after="160" w:line="259" w:lineRule="auto"/>
        <w:rPr>
          <w:rFonts w:cs="Arial"/>
        </w:rPr>
      </w:pPr>
    </w:p>
    <w:p w14:paraId="52D5D526" w14:textId="6CE2ACB9" w:rsidR="0099306C" w:rsidRDefault="004A632D" w:rsidP="00AC4701">
      <w:pPr>
        <w:spacing w:after="160" w:line="259" w:lineRule="auto"/>
        <w:rPr>
          <w:rFonts w:cs="Arial"/>
          <w:color w:val="000000" w:themeColor="text1"/>
        </w:rPr>
      </w:pPr>
      <w:r>
        <w:rPr>
          <w:rFonts w:cs="Arial"/>
        </w:rPr>
        <w:br w:type="page"/>
      </w:r>
    </w:p>
    <w:p w14:paraId="2FDCE3D9" w14:textId="77777777" w:rsidR="00D200F9" w:rsidRPr="00916B72" w:rsidRDefault="00D200F9" w:rsidP="000D7A07">
      <w:pPr>
        <w:pStyle w:val="Heading2"/>
        <w:spacing w:after="120" w:line="259" w:lineRule="auto"/>
      </w:pPr>
      <w:r w:rsidRPr="00916B72">
        <w:lastRenderedPageBreak/>
        <w:t>Background</w:t>
      </w:r>
    </w:p>
    <w:p w14:paraId="481DCC3B" w14:textId="77777777" w:rsidR="00D200F9" w:rsidRDefault="00D200F9" w:rsidP="00D200F9">
      <w:pPr>
        <w:pStyle w:val="Bodycopy"/>
        <w:spacing w:before="0" w:after="160"/>
        <w:rPr>
          <w:rStyle w:val="HyperlinksChar"/>
          <w:lang w:val="en-GB"/>
        </w:rPr>
      </w:pPr>
      <w:r>
        <w:rPr>
          <w:lang w:val="en-GB"/>
        </w:rPr>
        <w:t xml:space="preserve">The Recruitment Experiences and Outlook Survey (REOS) </w:t>
      </w:r>
      <w:r w:rsidRPr="007607AC">
        <w:rPr>
          <w:lang w:val="en-GB"/>
        </w:rPr>
        <w:t xml:space="preserve">is an ongoing survey of employers across Australia. Approximately 1,000 employers are surveyed each month, with data published on the </w:t>
      </w:r>
      <w:hyperlink r:id="rId37" w:history="1">
        <w:r w:rsidRPr="009500E7">
          <w:rPr>
            <w:rStyle w:val="HyperlinksChar"/>
          </w:rPr>
          <w:t>Jobs and Skills Australia</w:t>
        </w:r>
      </w:hyperlink>
      <w:r w:rsidRPr="007607AC">
        <w:rPr>
          <w:lang w:val="en-GB"/>
        </w:rPr>
        <w:t xml:space="preserve"> w</w:t>
      </w:r>
      <w:r>
        <w:rPr>
          <w:lang w:val="en-GB"/>
        </w:rPr>
        <w:t>ebsite</w:t>
      </w:r>
      <w:r w:rsidRPr="007607AC">
        <w:rPr>
          <w:lang w:val="en-GB"/>
        </w:rPr>
        <w:t xml:space="preserve">. While the data are indicative of recruitment activity, they may be subject to seasonal factors and other volatility and should therefore be used with caution. </w:t>
      </w:r>
      <w:r>
        <w:rPr>
          <w:lang w:val="en-GB"/>
        </w:rPr>
        <w:t>T</w:t>
      </w:r>
      <w:r w:rsidRPr="007607AC">
        <w:rPr>
          <w:lang w:val="en-GB"/>
        </w:rPr>
        <w:t xml:space="preserve">he survey is targeted towards employers with five or more employees and excludes many government organisations. Further information is available </w:t>
      </w:r>
      <w:r>
        <w:rPr>
          <w:lang w:val="en-GB"/>
        </w:rPr>
        <w:t xml:space="preserve">in the </w:t>
      </w:r>
      <w:hyperlink r:id="rId38" w:history="1">
        <w:r w:rsidRPr="009500E7">
          <w:rPr>
            <w:rStyle w:val="HyperlinksChar"/>
          </w:rPr>
          <w:t>REOS methodology paper</w:t>
        </w:r>
      </w:hyperlink>
      <w:r>
        <w:rPr>
          <w:lang w:val="en-GB"/>
        </w:rPr>
        <w:t>.</w:t>
      </w:r>
      <w:r w:rsidRPr="007607AC">
        <w:rPr>
          <w:lang w:val="en-GB"/>
        </w:rPr>
        <w:t xml:space="preserve"> </w:t>
      </w:r>
    </w:p>
    <w:p w14:paraId="3A30C974" w14:textId="77777777" w:rsidR="00D200F9" w:rsidRPr="004C473E" w:rsidRDefault="00D200F9" w:rsidP="00D200F9">
      <w:pPr>
        <w:pStyle w:val="Bodycopy"/>
        <w:spacing w:before="0" w:after="160"/>
      </w:pPr>
      <w:r>
        <w:t xml:space="preserve">Data from the REOS are published monthly in the Recruitment Insights Report which is generally published on the third Tuesday of the month. Spotlights are also produced in most months, generally released in the first week of the month. </w:t>
      </w:r>
    </w:p>
    <w:p w14:paraId="7CAD2EB2" w14:textId="77777777" w:rsidR="00D200F9" w:rsidRPr="000503C6" w:rsidRDefault="00D200F9" w:rsidP="000D7A07">
      <w:pPr>
        <w:pStyle w:val="Heading2"/>
        <w:spacing w:after="120" w:line="259" w:lineRule="auto"/>
        <w:rPr>
          <w:b w:val="0"/>
          <w:bCs/>
        </w:rPr>
      </w:pPr>
      <w:r w:rsidRPr="000503C6">
        <w:rPr>
          <w:bCs/>
        </w:rPr>
        <w:t>Technical notes</w:t>
      </w:r>
    </w:p>
    <w:p w14:paraId="1AE54E6A" w14:textId="77777777" w:rsidR="00D200F9" w:rsidRPr="007607AC" w:rsidRDefault="00D200F9" w:rsidP="00D200F9">
      <w:pPr>
        <w:pStyle w:val="Bodycopy"/>
        <w:spacing w:before="0" w:after="160"/>
        <w:rPr>
          <w:lang w:val="en-GB"/>
        </w:rPr>
      </w:pPr>
      <w:r w:rsidRPr="007607AC">
        <w:rPr>
          <w:lang w:val="en-GB"/>
        </w:rPr>
        <w:t>The REOS is a telephone administered survey with the business owner or other person in the business responsible for recruitment.</w:t>
      </w:r>
      <w:r>
        <w:rPr>
          <w:lang w:val="en-GB"/>
        </w:rPr>
        <w:t xml:space="preserve"> </w:t>
      </w:r>
      <w:r w:rsidRPr="007607AC">
        <w:rPr>
          <w:lang w:val="en-GB"/>
        </w:rPr>
        <w:t xml:space="preserve">All figures presented in this report have been weighted by location and workplace size, according to the Australian Bureau of Statistics </w:t>
      </w:r>
      <w:hyperlink r:id="rId39" w:history="1">
        <w:r w:rsidRPr="007607AC">
          <w:rPr>
            <w:rStyle w:val="HyperlinksChar"/>
            <w:lang w:val="en-GB"/>
          </w:rPr>
          <w:t>Counts of Australian Businesses, including Entries and Exits</w:t>
        </w:r>
      </w:hyperlink>
      <w:r w:rsidRPr="007607AC">
        <w:rPr>
          <w:lang w:val="en-GB"/>
        </w:rPr>
        <w:t xml:space="preserve"> (June 2018 to June 2022) publication. The weighted figures are intended to create nationally representative results by correcting for the oversampling of smaller regions compared with larger regions.</w:t>
      </w:r>
    </w:p>
    <w:p w14:paraId="69FDF3C6" w14:textId="77777777" w:rsidR="00D200F9" w:rsidRPr="007607AC" w:rsidRDefault="00D200F9" w:rsidP="00D200F9">
      <w:pPr>
        <w:pStyle w:val="Bodycopy"/>
        <w:spacing w:before="0" w:after="160"/>
        <w:rPr>
          <w:lang w:val="en-GB"/>
        </w:rPr>
      </w:pPr>
      <w:r w:rsidRPr="007607AC">
        <w:rPr>
          <w:lang w:val="en-GB"/>
        </w:rPr>
        <w:t>Data collected in the survey have been coded and reported according to the following ABS classifications:</w:t>
      </w:r>
    </w:p>
    <w:p w14:paraId="4E7DE6C5" w14:textId="77777777" w:rsidR="00D200F9" w:rsidRPr="007607AC" w:rsidRDefault="00D200F9" w:rsidP="00D200F9">
      <w:pPr>
        <w:pStyle w:val="ListBullet"/>
        <w:spacing w:after="160" w:line="259" w:lineRule="auto"/>
      </w:pPr>
      <w:r w:rsidRPr="007607AC">
        <w:t xml:space="preserve">Industry is defined by the </w:t>
      </w:r>
      <w:hyperlink r:id="rId40" w:history="1">
        <w:r w:rsidRPr="007607AC">
          <w:rPr>
            <w:rStyle w:val="HyperlinksChar"/>
          </w:rPr>
          <w:t>Australian and New Zealand Standard Industrial Classification (ANZSIC)</w:t>
        </w:r>
      </w:hyperlink>
      <w:r w:rsidRPr="007607AC">
        <w:t>, 2006, Version 2.0.</w:t>
      </w:r>
    </w:p>
    <w:p w14:paraId="4F0AE65D" w14:textId="77777777" w:rsidR="00D200F9" w:rsidRPr="007607AC" w:rsidRDefault="00D200F9" w:rsidP="00D200F9">
      <w:pPr>
        <w:pStyle w:val="ListBullet"/>
        <w:spacing w:after="160" w:line="259" w:lineRule="auto"/>
      </w:pPr>
      <w:r w:rsidRPr="007607AC">
        <w:t xml:space="preserve">Occupation is defined by the </w:t>
      </w:r>
      <w:hyperlink r:id="rId41" w:history="1">
        <w:r w:rsidRPr="007607AC">
          <w:rPr>
            <w:rStyle w:val="HyperlinksChar"/>
          </w:rPr>
          <w:t>Australian and New Zealand Standard Classification of Occupations (ANZSCO)</w:t>
        </w:r>
      </w:hyperlink>
      <w:r w:rsidRPr="007607AC">
        <w:t>, 20</w:t>
      </w:r>
      <w:r>
        <w:t>22.</w:t>
      </w:r>
    </w:p>
    <w:p w14:paraId="70344C9B" w14:textId="77777777" w:rsidR="00D200F9" w:rsidRPr="007607AC" w:rsidRDefault="00D200F9" w:rsidP="00D200F9">
      <w:pPr>
        <w:pStyle w:val="ListBullet"/>
        <w:spacing w:after="160" w:line="259" w:lineRule="auto"/>
      </w:pPr>
      <w:r w:rsidRPr="007607AC">
        <w:t xml:space="preserve">Capital City and Rest of State areas are defined by the </w:t>
      </w:r>
      <w:hyperlink r:id="rId42" w:history="1">
        <w:r w:rsidRPr="007607AC">
          <w:rPr>
            <w:rStyle w:val="HyperlinksChar"/>
          </w:rPr>
          <w:t>Australian Statistical Geography Standard (ASGS): Volume 1 - Main Structure and Greater Capital City Statistical Areas</w:t>
        </w:r>
      </w:hyperlink>
      <w:r w:rsidRPr="007607AC">
        <w:t>, July 20</w:t>
      </w:r>
      <w:r>
        <w:t>21</w:t>
      </w:r>
      <w:r w:rsidRPr="007607AC">
        <w:t>.</w:t>
      </w:r>
    </w:p>
    <w:p w14:paraId="216BD9CF" w14:textId="1EB72E46" w:rsidR="00D200F9" w:rsidRPr="009C0A44" w:rsidRDefault="00D200F9" w:rsidP="00D200F9">
      <w:pPr>
        <w:pStyle w:val="ListBullet"/>
        <w:numPr>
          <w:ilvl w:val="0"/>
          <w:numId w:val="0"/>
        </w:numPr>
        <w:spacing w:after="160" w:line="259" w:lineRule="auto"/>
      </w:pPr>
      <w:r w:rsidRPr="007607AC">
        <w:t>Data in this release should be referenced as</w:t>
      </w:r>
      <w:r>
        <w:t>:</w:t>
      </w:r>
      <w:r w:rsidRPr="007607AC">
        <w:t xml:space="preserve"> </w:t>
      </w:r>
      <w:r w:rsidR="003434E9" w:rsidRPr="00267D1E">
        <w:rPr>
          <w:i/>
          <w:iCs/>
        </w:rPr>
        <w:t xml:space="preserve">Jobs and Skills Australia, </w:t>
      </w:r>
      <w:r w:rsidR="003434E9" w:rsidRPr="007A1E40">
        <w:rPr>
          <w:i/>
          <w:iCs/>
        </w:rPr>
        <w:t>REOS Spotlight</w:t>
      </w:r>
      <w:r w:rsidR="003434E9">
        <w:rPr>
          <w:i/>
          <w:iCs/>
        </w:rPr>
        <w:t xml:space="preserve">, </w:t>
      </w:r>
      <w:r w:rsidR="003434E9" w:rsidRPr="0091106C">
        <w:rPr>
          <w:i/>
          <w:iCs/>
        </w:rPr>
        <w:t>Finding “the One”: Methods and Successful Methods of Recruitment</w:t>
      </w:r>
      <w:r w:rsidR="003434E9" w:rsidRPr="00D0234B">
        <w:rPr>
          <w:i/>
          <w:iCs/>
        </w:rPr>
        <w:t xml:space="preserve">, </w:t>
      </w:r>
      <w:r w:rsidR="003434E9">
        <w:rPr>
          <w:i/>
          <w:iCs/>
        </w:rPr>
        <w:t>February</w:t>
      </w:r>
      <w:r w:rsidR="003434E9" w:rsidRPr="00D0234B">
        <w:rPr>
          <w:i/>
          <w:iCs/>
        </w:rPr>
        <w:t xml:space="preserve"> 202</w:t>
      </w:r>
      <w:r w:rsidR="003434E9">
        <w:rPr>
          <w:i/>
          <w:iCs/>
        </w:rPr>
        <w:t>6</w:t>
      </w:r>
      <w:r w:rsidR="003434E9" w:rsidRPr="00D0234B">
        <w:rPr>
          <w:i/>
          <w:iCs/>
        </w:rPr>
        <w:t>.</w:t>
      </w:r>
    </w:p>
    <w:p w14:paraId="418FABA6" w14:textId="77777777" w:rsidR="00D200F9" w:rsidRDefault="00D200F9" w:rsidP="00D200F9">
      <w:pPr>
        <w:pStyle w:val="Bodycopy"/>
        <w:spacing w:before="0" w:after="160"/>
        <w:rPr>
          <w:rStyle w:val="HyperlinksChar"/>
        </w:rPr>
      </w:pPr>
      <w:r w:rsidRPr="007607AC">
        <w:rPr>
          <w:lang w:val="en-GB"/>
        </w:rPr>
        <w:t xml:space="preserve">For </w:t>
      </w:r>
      <w:r>
        <w:rPr>
          <w:lang w:val="en-GB"/>
        </w:rPr>
        <w:t xml:space="preserve">more </w:t>
      </w:r>
      <w:r w:rsidRPr="007607AC">
        <w:rPr>
          <w:lang w:val="en-GB"/>
        </w:rPr>
        <w:t>information</w:t>
      </w:r>
      <w:r>
        <w:rPr>
          <w:lang w:val="en-GB"/>
        </w:rPr>
        <w:t>,</w:t>
      </w:r>
      <w:r w:rsidRPr="007607AC">
        <w:rPr>
          <w:lang w:val="en-GB"/>
        </w:rPr>
        <w:t xml:space="preserve"> email: </w:t>
      </w:r>
      <w:r w:rsidRPr="00296ABD">
        <w:rPr>
          <w:rStyle w:val="HyperlinksChar"/>
        </w:rPr>
        <w:t>reos@jobsandskills.gov.au</w:t>
      </w:r>
    </w:p>
    <w:p w14:paraId="3FB8C3CA" w14:textId="4D894A1E" w:rsidR="00D200F9" w:rsidRDefault="00D200F9" w:rsidP="00D200F9">
      <w:pPr>
        <w:spacing w:after="160" w:line="259" w:lineRule="auto"/>
        <w:rPr>
          <w:color w:val="000000" w:themeColor="text1"/>
        </w:rPr>
      </w:pPr>
    </w:p>
    <w:sectPr w:rsidR="00D200F9" w:rsidSect="00B30EAB">
      <w:type w:val="continuous"/>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590A" w14:textId="77777777" w:rsidR="00FB2684" w:rsidRDefault="00FB2684" w:rsidP="008C0056">
      <w:r>
        <w:separator/>
      </w:r>
    </w:p>
  </w:endnote>
  <w:endnote w:type="continuationSeparator" w:id="0">
    <w:p w14:paraId="339469F2" w14:textId="77777777" w:rsidR="00FB2684" w:rsidRDefault="00FB2684" w:rsidP="008C0056">
      <w:r>
        <w:continuationSeparator/>
      </w:r>
    </w:p>
  </w:endnote>
  <w:endnote w:type="continuationNotice" w:id="1">
    <w:p w14:paraId="2C74EDA5" w14:textId="77777777" w:rsidR="00FB2684" w:rsidRDefault="00FB2684"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60714B99" w:rsidR="003708C1" w:rsidRPr="00991526" w:rsidRDefault="00051CBE" w:rsidP="00991526">
        <w:pPr>
          <w:pStyle w:val="Footer"/>
        </w:pPr>
        <w:r w:rsidRPr="00991526">
          <w:t xml:space="preserve">Jobs and Skills Australia – </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00914784" w:rsidR="00B30EAB" w:rsidRDefault="00B30EAB" w:rsidP="00B30EAB">
        <w:pPr>
          <w:pStyle w:val="Footer"/>
          <w:tabs>
            <w:tab w:val="left" w:pos="8925"/>
          </w:tabs>
        </w:pPr>
        <w:r w:rsidRPr="00991526">
          <w:t xml:space="preserve">Jobs and Skills Australia – </w:t>
        </w:r>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0304" w14:textId="77777777" w:rsidR="00FB2684" w:rsidRDefault="00FB2684" w:rsidP="008C0056">
      <w:r>
        <w:separator/>
      </w:r>
    </w:p>
  </w:footnote>
  <w:footnote w:type="continuationSeparator" w:id="0">
    <w:p w14:paraId="38904AD7" w14:textId="77777777" w:rsidR="00FB2684" w:rsidRDefault="00FB2684" w:rsidP="008C0056">
      <w:r>
        <w:continuationSeparator/>
      </w:r>
    </w:p>
  </w:footnote>
  <w:footnote w:type="continuationNotice" w:id="1">
    <w:p w14:paraId="50A94098" w14:textId="77777777" w:rsidR="00FB2684" w:rsidRDefault="00FB2684" w:rsidP="008C0056"/>
  </w:footnote>
  <w:footnote w:id="2">
    <w:p w14:paraId="05E6E25C" w14:textId="0D2FBDC2" w:rsidR="00A7675C" w:rsidRDefault="00A7675C">
      <w:pPr>
        <w:pStyle w:val="FootnoteText"/>
      </w:pPr>
      <w:r>
        <w:rPr>
          <w:rStyle w:val="FootnoteReference"/>
        </w:rPr>
        <w:footnoteRef/>
      </w:r>
      <w:r>
        <w:t xml:space="preserve"> </w:t>
      </w:r>
      <w:r w:rsidR="000D6446">
        <w:t xml:space="preserve">For more detailed information, </w:t>
      </w:r>
      <w:r w:rsidR="00730C8C">
        <w:t>p</w:t>
      </w:r>
      <w:r w:rsidR="00B6436F">
        <w:t xml:space="preserve">lease refer to </w:t>
      </w:r>
      <w:hyperlink r:id="rId1" w:history="1">
        <w:r w:rsidR="00DB44D3" w:rsidRPr="00DB44D3">
          <w:rPr>
            <w:rStyle w:val="Hyperlink"/>
          </w:rPr>
          <w:t>Internet Vacancy Index (IVI) | Jobs and Skills Australia</w:t>
        </w:r>
      </w:hyperlink>
      <w:r w:rsidR="00444575">
        <w:t xml:space="preserve"> and </w:t>
      </w:r>
      <w:hyperlink r:id="rId2" w:history="1">
        <w:r w:rsidR="00444575" w:rsidRPr="00444575">
          <w:rPr>
            <w:rStyle w:val="Hyperlink"/>
          </w:rPr>
          <w:t>Total New Vacancies | Jobs and Skills Australia</w:t>
        </w:r>
      </w:hyperlink>
      <w:r w:rsidR="005E59A4">
        <w:t>.</w:t>
      </w:r>
    </w:p>
  </w:footnote>
  <w:footnote w:id="3">
    <w:p w14:paraId="72E07966" w14:textId="6F50C20F" w:rsidR="00BC1739" w:rsidRDefault="00BC1739">
      <w:pPr>
        <w:pStyle w:val="FootnoteText"/>
      </w:pPr>
      <w:r>
        <w:rPr>
          <w:rStyle w:val="FootnoteReference"/>
        </w:rPr>
        <w:footnoteRef/>
      </w:r>
      <w:r>
        <w:t xml:space="preserve"> Refers to employers who used a multi-method recruitment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B6B02"/>
    <w:multiLevelType w:val="hybridMultilevel"/>
    <w:tmpl w:val="E6224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1FE31008"/>
    <w:multiLevelType w:val="hybridMultilevel"/>
    <w:tmpl w:val="BF2C81A4"/>
    <w:lvl w:ilvl="0" w:tplc="5282DE0A">
      <w:start w:val="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E119C"/>
    <w:multiLevelType w:val="hybridMultilevel"/>
    <w:tmpl w:val="65AE1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8F299D"/>
    <w:multiLevelType w:val="hybridMultilevel"/>
    <w:tmpl w:val="379A7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8E6CBA"/>
    <w:multiLevelType w:val="multilevel"/>
    <w:tmpl w:val="9F703E2E"/>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8D689B"/>
    <w:multiLevelType w:val="hybridMultilevel"/>
    <w:tmpl w:val="B46C3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D7C56E6"/>
    <w:multiLevelType w:val="hybridMultilevel"/>
    <w:tmpl w:val="16A0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20"/>
  </w:num>
  <w:num w:numId="2" w16cid:durableId="1668050683">
    <w:abstractNumId w:val="14"/>
  </w:num>
  <w:num w:numId="3" w16cid:durableId="1683042470">
    <w:abstractNumId w:val="6"/>
  </w:num>
  <w:num w:numId="4" w16cid:durableId="133523604">
    <w:abstractNumId w:val="18"/>
  </w:num>
  <w:num w:numId="5" w16cid:durableId="1994024302">
    <w:abstractNumId w:val="19"/>
  </w:num>
  <w:num w:numId="6" w16cid:durableId="1358852113">
    <w:abstractNumId w:val="13"/>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1"/>
  </w:num>
  <w:num w:numId="15" w16cid:durableId="406730085">
    <w:abstractNumId w:val="8"/>
  </w:num>
  <w:num w:numId="16" w16cid:durableId="239564871">
    <w:abstractNumId w:val="7"/>
  </w:num>
  <w:num w:numId="17" w16cid:durableId="1874032701">
    <w:abstractNumId w:val="21"/>
  </w:num>
  <w:num w:numId="18" w16cid:durableId="887257844">
    <w:abstractNumId w:val="12"/>
  </w:num>
  <w:num w:numId="19" w16cid:durableId="1011449683">
    <w:abstractNumId w:val="17"/>
  </w:num>
  <w:num w:numId="20" w16cid:durableId="1869679674">
    <w:abstractNumId w:val="16"/>
  </w:num>
  <w:num w:numId="21" w16cid:durableId="616106179">
    <w:abstractNumId w:val="15"/>
  </w:num>
  <w:num w:numId="22" w16cid:durableId="1936936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590"/>
    <w:rsid w:val="00003E8E"/>
    <w:rsid w:val="00007119"/>
    <w:rsid w:val="00013B0E"/>
    <w:rsid w:val="00014D38"/>
    <w:rsid w:val="00021610"/>
    <w:rsid w:val="00022690"/>
    <w:rsid w:val="00023389"/>
    <w:rsid w:val="00025BD0"/>
    <w:rsid w:val="000261A3"/>
    <w:rsid w:val="00032A27"/>
    <w:rsid w:val="0003316F"/>
    <w:rsid w:val="000351EB"/>
    <w:rsid w:val="000357E0"/>
    <w:rsid w:val="00037EB9"/>
    <w:rsid w:val="000404CE"/>
    <w:rsid w:val="0004100D"/>
    <w:rsid w:val="00041073"/>
    <w:rsid w:val="00042611"/>
    <w:rsid w:val="000439E2"/>
    <w:rsid w:val="00050FB2"/>
    <w:rsid w:val="000519A3"/>
    <w:rsid w:val="00051CBE"/>
    <w:rsid w:val="00052C47"/>
    <w:rsid w:val="000545C7"/>
    <w:rsid w:val="0005518A"/>
    <w:rsid w:val="0005530D"/>
    <w:rsid w:val="000572BD"/>
    <w:rsid w:val="00057799"/>
    <w:rsid w:val="00060CD8"/>
    <w:rsid w:val="000639E4"/>
    <w:rsid w:val="0007604B"/>
    <w:rsid w:val="00081BD4"/>
    <w:rsid w:val="00081D12"/>
    <w:rsid w:val="000821A8"/>
    <w:rsid w:val="000911A4"/>
    <w:rsid w:val="00093F7D"/>
    <w:rsid w:val="00095E11"/>
    <w:rsid w:val="00096794"/>
    <w:rsid w:val="000970A5"/>
    <w:rsid w:val="000A082F"/>
    <w:rsid w:val="000A145A"/>
    <w:rsid w:val="000A749E"/>
    <w:rsid w:val="000A7F1E"/>
    <w:rsid w:val="000B6324"/>
    <w:rsid w:val="000B73F2"/>
    <w:rsid w:val="000B78B1"/>
    <w:rsid w:val="000C0BA2"/>
    <w:rsid w:val="000C11AB"/>
    <w:rsid w:val="000D0B2D"/>
    <w:rsid w:val="000D41D6"/>
    <w:rsid w:val="000D4A04"/>
    <w:rsid w:val="000D5FCE"/>
    <w:rsid w:val="000D6446"/>
    <w:rsid w:val="000D6745"/>
    <w:rsid w:val="000D7A07"/>
    <w:rsid w:val="000D7E8D"/>
    <w:rsid w:val="000E24F3"/>
    <w:rsid w:val="000E38BA"/>
    <w:rsid w:val="000E426C"/>
    <w:rsid w:val="000E7042"/>
    <w:rsid w:val="000F6581"/>
    <w:rsid w:val="00101FBF"/>
    <w:rsid w:val="00102D1C"/>
    <w:rsid w:val="00102D98"/>
    <w:rsid w:val="00103F6F"/>
    <w:rsid w:val="00107E44"/>
    <w:rsid w:val="00113238"/>
    <w:rsid w:val="001132C9"/>
    <w:rsid w:val="001134ED"/>
    <w:rsid w:val="00123DC9"/>
    <w:rsid w:val="00123DFA"/>
    <w:rsid w:val="00124D9E"/>
    <w:rsid w:val="0012536A"/>
    <w:rsid w:val="00125C36"/>
    <w:rsid w:val="001306D6"/>
    <w:rsid w:val="00131E99"/>
    <w:rsid w:val="00133E60"/>
    <w:rsid w:val="001351F2"/>
    <w:rsid w:val="00141FB4"/>
    <w:rsid w:val="00143208"/>
    <w:rsid w:val="00143209"/>
    <w:rsid w:val="001440D7"/>
    <w:rsid w:val="001516BF"/>
    <w:rsid w:val="001519F3"/>
    <w:rsid w:val="001534EA"/>
    <w:rsid w:val="0015600F"/>
    <w:rsid w:val="0015604B"/>
    <w:rsid w:val="0015716D"/>
    <w:rsid w:val="001632A7"/>
    <w:rsid w:val="00164614"/>
    <w:rsid w:val="001651B0"/>
    <w:rsid w:val="00171B03"/>
    <w:rsid w:val="00172849"/>
    <w:rsid w:val="0017574A"/>
    <w:rsid w:val="0017797E"/>
    <w:rsid w:val="00177D89"/>
    <w:rsid w:val="001841C2"/>
    <w:rsid w:val="00186DC1"/>
    <w:rsid w:val="00191175"/>
    <w:rsid w:val="001913DD"/>
    <w:rsid w:val="00192BED"/>
    <w:rsid w:val="00194FE9"/>
    <w:rsid w:val="00195F44"/>
    <w:rsid w:val="001A22A8"/>
    <w:rsid w:val="001A6C49"/>
    <w:rsid w:val="001A7AE8"/>
    <w:rsid w:val="001B7035"/>
    <w:rsid w:val="001B7060"/>
    <w:rsid w:val="001B7F1C"/>
    <w:rsid w:val="001C0CB2"/>
    <w:rsid w:val="001C0D18"/>
    <w:rsid w:val="001C364F"/>
    <w:rsid w:val="001C381D"/>
    <w:rsid w:val="001C6BA8"/>
    <w:rsid w:val="001D532C"/>
    <w:rsid w:val="001D5B63"/>
    <w:rsid w:val="001E0338"/>
    <w:rsid w:val="001E1047"/>
    <w:rsid w:val="001E1D52"/>
    <w:rsid w:val="001E4423"/>
    <w:rsid w:val="001E58C4"/>
    <w:rsid w:val="001E5FAB"/>
    <w:rsid w:val="001F01F9"/>
    <w:rsid w:val="001F108B"/>
    <w:rsid w:val="001F36D6"/>
    <w:rsid w:val="001F4D3F"/>
    <w:rsid w:val="001F4DDC"/>
    <w:rsid w:val="001F4FE0"/>
    <w:rsid w:val="001F553C"/>
    <w:rsid w:val="001F59D3"/>
    <w:rsid w:val="001F5EC1"/>
    <w:rsid w:val="001F6872"/>
    <w:rsid w:val="0020032F"/>
    <w:rsid w:val="00201984"/>
    <w:rsid w:val="00204C08"/>
    <w:rsid w:val="0020514F"/>
    <w:rsid w:val="00206249"/>
    <w:rsid w:val="002071AC"/>
    <w:rsid w:val="002177A9"/>
    <w:rsid w:val="002207AE"/>
    <w:rsid w:val="00232403"/>
    <w:rsid w:val="00233404"/>
    <w:rsid w:val="00233A75"/>
    <w:rsid w:val="00235116"/>
    <w:rsid w:val="00235829"/>
    <w:rsid w:val="002365F9"/>
    <w:rsid w:val="0024386E"/>
    <w:rsid w:val="0024392D"/>
    <w:rsid w:val="00244550"/>
    <w:rsid w:val="00245744"/>
    <w:rsid w:val="0024728D"/>
    <w:rsid w:val="00253EE9"/>
    <w:rsid w:val="0026096A"/>
    <w:rsid w:val="0026184A"/>
    <w:rsid w:val="002618DF"/>
    <w:rsid w:val="00261D00"/>
    <w:rsid w:val="002633D9"/>
    <w:rsid w:val="00264D39"/>
    <w:rsid w:val="002730B7"/>
    <w:rsid w:val="00280AC6"/>
    <w:rsid w:val="002824C3"/>
    <w:rsid w:val="00286DA5"/>
    <w:rsid w:val="00291286"/>
    <w:rsid w:val="002912DA"/>
    <w:rsid w:val="002927DB"/>
    <w:rsid w:val="00292AA7"/>
    <w:rsid w:val="0029437C"/>
    <w:rsid w:val="00294FC4"/>
    <w:rsid w:val="002950ED"/>
    <w:rsid w:val="00296166"/>
    <w:rsid w:val="00296BDB"/>
    <w:rsid w:val="002A4B17"/>
    <w:rsid w:val="002B02C6"/>
    <w:rsid w:val="002B20B4"/>
    <w:rsid w:val="002C0772"/>
    <w:rsid w:val="002C30E8"/>
    <w:rsid w:val="002C5BE3"/>
    <w:rsid w:val="002C7558"/>
    <w:rsid w:val="002D1952"/>
    <w:rsid w:val="002D53C3"/>
    <w:rsid w:val="002D68E2"/>
    <w:rsid w:val="002E0E18"/>
    <w:rsid w:val="002E0E70"/>
    <w:rsid w:val="002E5B03"/>
    <w:rsid w:val="002E5F40"/>
    <w:rsid w:val="002E6E2F"/>
    <w:rsid w:val="002F3EB5"/>
    <w:rsid w:val="002F5690"/>
    <w:rsid w:val="003055F3"/>
    <w:rsid w:val="003060CC"/>
    <w:rsid w:val="00306575"/>
    <w:rsid w:val="00306C0E"/>
    <w:rsid w:val="003070E5"/>
    <w:rsid w:val="00307D24"/>
    <w:rsid w:val="00310CA1"/>
    <w:rsid w:val="003122CC"/>
    <w:rsid w:val="00313B29"/>
    <w:rsid w:val="00314E27"/>
    <w:rsid w:val="00315C34"/>
    <w:rsid w:val="00323B9A"/>
    <w:rsid w:val="003258C5"/>
    <w:rsid w:val="00327AB4"/>
    <w:rsid w:val="00335B86"/>
    <w:rsid w:val="0033752C"/>
    <w:rsid w:val="00341B7B"/>
    <w:rsid w:val="003434E9"/>
    <w:rsid w:val="0034439D"/>
    <w:rsid w:val="003458A1"/>
    <w:rsid w:val="00346705"/>
    <w:rsid w:val="003509D3"/>
    <w:rsid w:val="0035131B"/>
    <w:rsid w:val="0036105D"/>
    <w:rsid w:val="0036671B"/>
    <w:rsid w:val="00366923"/>
    <w:rsid w:val="00367AFE"/>
    <w:rsid w:val="003708C1"/>
    <w:rsid w:val="00374E1D"/>
    <w:rsid w:val="00381AAD"/>
    <w:rsid w:val="00385788"/>
    <w:rsid w:val="00385ABF"/>
    <w:rsid w:val="003875EB"/>
    <w:rsid w:val="00390883"/>
    <w:rsid w:val="0039115D"/>
    <w:rsid w:val="003924EA"/>
    <w:rsid w:val="003926FD"/>
    <w:rsid w:val="00396156"/>
    <w:rsid w:val="003A0BC7"/>
    <w:rsid w:val="003A2337"/>
    <w:rsid w:val="003A648B"/>
    <w:rsid w:val="003B0A9C"/>
    <w:rsid w:val="003B0AA5"/>
    <w:rsid w:val="003B3714"/>
    <w:rsid w:val="003B474F"/>
    <w:rsid w:val="003B63C7"/>
    <w:rsid w:val="003C0452"/>
    <w:rsid w:val="003C257D"/>
    <w:rsid w:val="003D1723"/>
    <w:rsid w:val="003D48E5"/>
    <w:rsid w:val="003D5394"/>
    <w:rsid w:val="003D6324"/>
    <w:rsid w:val="003E0694"/>
    <w:rsid w:val="003E0796"/>
    <w:rsid w:val="003E0B70"/>
    <w:rsid w:val="003E2BF5"/>
    <w:rsid w:val="003E3395"/>
    <w:rsid w:val="003E6B9F"/>
    <w:rsid w:val="003E6D30"/>
    <w:rsid w:val="003E71A9"/>
    <w:rsid w:val="003F146C"/>
    <w:rsid w:val="003F1578"/>
    <w:rsid w:val="003F6F17"/>
    <w:rsid w:val="004019F6"/>
    <w:rsid w:val="00405F8C"/>
    <w:rsid w:val="00410F93"/>
    <w:rsid w:val="004149D9"/>
    <w:rsid w:val="00414A4A"/>
    <w:rsid w:val="004159C2"/>
    <w:rsid w:val="00422AD4"/>
    <w:rsid w:val="0042533E"/>
    <w:rsid w:val="00425418"/>
    <w:rsid w:val="00426CD4"/>
    <w:rsid w:val="00431BE4"/>
    <w:rsid w:val="00431BFC"/>
    <w:rsid w:val="00434BB2"/>
    <w:rsid w:val="00435501"/>
    <w:rsid w:val="004405F3"/>
    <w:rsid w:val="00440C82"/>
    <w:rsid w:val="004440ED"/>
    <w:rsid w:val="00444575"/>
    <w:rsid w:val="004529B7"/>
    <w:rsid w:val="00465736"/>
    <w:rsid w:val="004767D0"/>
    <w:rsid w:val="004773D3"/>
    <w:rsid w:val="00477D6A"/>
    <w:rsid w:val="004835CD"/>
    <w:rsid w:val="00483A6D"/>
    <w:rsid w:val="004876CE"/>
    <w:rsid w:val="00494C02"/>
    <w:rsid w:val="004959E6"/>
    <w:rsid w:val="00496E0D"/>
    <w:rsid w:val="004A632D"/>
    <w:rsid w:val="004B122C"/>
    <w:rsid w:val="004B1D1B"/>
    <w:rsid w:val="004B5397"/>
    <w:rsid w:val="004C542A"/>
    <w:rsid w:val="004C5FF0"/>
    <w:rsid w:val="004C705B"/>
    <w:rsid w:val="004D0F14"/>
    <w:rsid w:val="004D22A5"/>
    <w:rsid w:val="004D3224"/>
    <w:rsid w:val="004D3A08"/>
    <w:rsid w:val="004D3DDC"/>
    <w:rsid w:val="004D435E"/>
    <w:rsid w:val="004D62B8"/>
    <w:rsid w:val="004E0B8B"/>
    <w:rsid w:val="004E3550"/>
    <w:rsid w:val="004E7F2E"/>
    <w:rsid w:val="004F2369"/>
    <w:rsid w:val="004F5082"/>
    <w:rsid w:val="0050626B"/>
    <w:rsid w:val="0050691A"/>
    <w:rsid w:val="00506CD7"/>
    <w:rsid w:val="005109B7"/>
    <w:rsid w:val="005111D9"/>
    <w:rsid w:val="00513C8F"/>
    <w:rsid w:val="0051507F"/>
    <w:rsid w:val="005155D9"/>
    <w:rsid w:val="00524C37"/>
    <w:rsid w:val="00530E67"/>
    <w:rsid w:val="00532929"/>
    <w:rsid w:val="00537FA0"/>
    <w:rsid w:val="005411A8"/>
    <w:rsid w:val="00543D06"/>
    <w:rsid w:val="005446B5"/>
    <w:rsid w:val="00544A25"/>
    <w:rsid w:val="005533B5"/>
    <w:rsid w:val="00560626"/>
    <w:rsid w:val="00562553"/>
    <w:rsid w:val="005649E1"/>
    <w:rsid w:val="0056546D"/>
    <w:rsid w:val="00566D74"/>
    <w:rsid w:val="00567E50"/>
    <w:rsid w:val="0057143D"/>
    <w:rsid w:val="00572133"/>
    <w:rsid w:val="00581305"/>
    <w:rsid w:val="00583F5D"/>
    <w:rsid w:val="00584B44"/>
    <w:rsid w:val="00584E9E"/>
    <w:rsid w:val="00592584"/>
    <w:rsid w:val="005964AC"/>
    <w:rsid w:val="00596745"/>
    <w:rsid w:val="00596CCF"/>
    <w:rsid w:val="00597EF7"/>
    <w:rsid w:val="005A0B81"/>
    <w:rsid w:val="005A1FA5"/>
    <w:rsid w:val="005A2035"/>
    <w:rsid w:val="005A2862"/>
    <w:rsid w:val="005A3D0F"/>
    <w:rsid w:val="005A6BB0"/>
    <w:rsid w:val="005B02C8"/>
    <w:rsid w:val="005B2318"/>
    <w:rsid w:val="005B5A7A"/>
    <w:rsid w:val="005B60AC"/>
    <w:rsid w:val="005C1000"/>
    <w:rsid w:val="005C439E"/>
    <w:rsid w:val="005C5BF0"/>
    <w:rsid w:val="005C6471"/>
    <w:rsid w:val="005C737B"/>
    <w:rsid w:val="005D2DCA"/>
    <w:rsid w:val="005D467D"/>
    <w:rsid w:val="005D4AEC"/>
    <w:rsid w:val="005D6DFD"/>
    <w:rsid w:val="005E18D8"/>
    <w:rsid w:val="005E3C2A"/>
    <w:rsid w:val="005E59A4"/>
    <w:rsid w:val="005E63BA"/>
    <w:rsid w:val="005E6B0F"/>
    <w:rsid w:val="005F1E8D"/>
    <w:rsid w:val="005F2DF8"/>
    <w:rsid w:val="005F35B6"/>
    <w:rsid w:val="005F67FB"/>
    <w:rsid w:val="006029D6"/>
    <w:rsid w:val="00603563"/>
    <w:rsid w:val="00603B2B"/>
    <w:rsid w:val="00604C63"/>
    <w:rsid w:val="00605944"/>
    <w:rsid w:val="006066C4"/>
    <w:rsid w:val="0061110C"/>
    <w:rsid w:val="0061418A"/>
    <w:rsid w:val="00614634"/>
    <w:rsid w:val="00624D49"/>
    <w:rsid w:val="00626D16"/>
    <w:rsid w:val="00631632"/>
    <w:rsid w:val="00635255"/>
    <w:rsid w:val="00636DDA"/>
    <w:rsid w:val="0064002D"/>
    <w:rsid w:val="00641088"/>
    <w:rsid w:val="00642A9A"/>
    <w:rsid w:val="006458C5"/>
    <w:rsid w:val="0064723C"/>
    <w:rsid w:val="00650B60"/>
    <w:rsid w:val="006514E4"/>
    <w:rsid w:val="006517DD"/>
    <w:rsid w:val="00655BCA"/>
    <w:rsid w:val="006606E0"/>
    <w:rsid w:val="0066317A"/>
    <w:rsid w:val="0066365C"/>
    <w:rsid w:val="006670A4"/>
    <w:rsid w:val="006756BC"/>
    <w:rsid w:val="006764F2"/>
    <w:rsid w:val="00677034"/>
    <w:rsid w:val="0067757A"/>
    <w:rsid w:val="006803D6"/>
    <w:rsid w:val="00682A49"/>
    <w:rsid w:val="006838CF"/>
    <w:rsid w:val="00684F58"/>
    <w:rsid w:val="006862F2"/>
    <w:rsid w:val="00687778"/>
    <w:rsid w:val="006912A9"/>
    <w:rsid w:val="00693BA4"/>
    <w:rsid w:val="00693E00"/>
    <w:rsid w:val="00696616"/>
    <w:rsid w:val="006A0F8C"/>
    <w:rsid w:val="006A10F7"/>
    <w:rsid w:val="006A5648"/>
    <w:rsid w:val="006A5D8A"/>
    <w:rsid w:val="006A67EC"/>
    <w:rsid w:val="006A7F2B"/>
    <w:rsid w:val="006B0561"/>
    <w:rsid w:val="006B1A94"/>
    <w:rsid w:val="006B351F"/>
    <w:rsid w:val="006B6C94"/>
    <w:rsid w:val="006C06BF"/>
    <w:rsid w:val="006C282B"/>
    <w:rsid w:val="006C52BA"/>
    <w:rsid w:val="006C535E"/>
    <w:rsid w:val="006C5C6D"/>
    <w:rsid w:val="006D045E"/>
    <w:rsid w:val="006D0557"/>
    <w:rsid w:val="006D2345"/>
    <w:rsid w:val="006D3281"/>
    <w:rsid w:val="006D5FAD"/>
    <w:rsid w:val="006D7925"/>
    <w:rsid w:val="006D7B0F"/>
    <w:rsid w:val="006E1136"/>
    <w:rsid w:val="006E50CF"/>
    <w:rsid w:val="006E613C"/>
    <w:rsid w:val="006E6707"/>
    <w:rsid w:val="006E7071"/>
    <w:rsid w:val="006F1BA3"/>
    <w:rsid w:val="006F3459"/>
    <w:rsid w:val="006F7520"/>
    <w:rsid w:val="00702CB5"/>
    <w:rsid w:val="00703260"/>
    <w:rsid w:val="00703BCE"/>
    <w:rsid w:val="00706431"/>
    <w:rsid w:val="00710DAA"/>
    <w:rsid w:val="007117F1"/>
    <w:rsid w:val="007119BB"/>
    <w:rsid w:val="00711F19"/>
    <w:rsid w:val="00715851"/>
    <w:rsid w:val="00717636"/>
    <w:rsid w:val="007177A7"/>
    <w:rsid w:val="0071785F"/>
    <w:rsid w:val="007240F2"/>
    <w:rsid w:val="0072616C"/>
    <w:rsid w:val="0073075E"/>
    <w:rsid w:val="00730C8C"/>
    <w:rsid w:val="007343FD"/>
    <w:rsid w:val="0073513A"/>
    <w:rsid w:val="007360A3"/>
    <w:rsid w:val="007371B3"/>
    <w:rsid w:val="007374F9"/>
    <w:rsid w:val="007405D8"/>
    <w:rsid w:val="007428CD"/>
    <w:rsid w:val="00746A43"/>
    <w:rsid w:val="00750B15"/>
    <w:rsid w:val="00754AB9"/>
    <w:rsid w:val="00755E9D"/>
    <w:rsid w:val="007560C5"/>
    <w:rsid w:val="007576ED"/>
    <w:rsid w:val="00757F9B"/>
    <w:rsid w:val="007612E7"/>
    <w:rsid w:val="007634A1"/>
    <w:rsid w:val="00767C3A"/>
    <w:rsid w:val="00771586"/>
    <w:rsid w:val="00772052"/>
    <w:rsid w:val="00772BDA"/>
    <w:rsid w:val="00772CB0"/>
    <w:rsid w:val="007751F3"/>
    <w:rsid w:val="007754BD"/>
    <w:rsid w:val="00780625"/>
    <w:rsid w:val="00782490"/>
    <w:rsid w:val="0078395D"/>
    <w:rsid w:val="00784370"/>
    <w:rsid w:val="007866FA"/>
    <w:rsid w:val="00796CDD"/>
    <w:rsid w:val="007A1B2A"/>
    <w:rsid w:val="007A1F34"/>
    <w:rsid w:val="007A3F61"/>
    <w:rsid w:val="007A5668"/>
    <w:rsid w:val="007A7572"/>
    <w:rsid w:val="007B0EC1"/>
    <w:rsid w:val="007B100A"/>
    <w:rsid w:val="007B21A5"/>
    <w:rsid w:val="007B2AD6"/>
    <w:rsid w:val="007B3938"/>
    <w:rsid w:val="007B4F9D"/>
    <w:rsid w:val="007B7C91"/>
    <w:rsid w:val="007C34B1"/>
    <w:rsid w:val="007C6030"/>
    <w:rsid w:val="007C6408"/>
    <w:rsid w:val="007C66A6"/>
    <w:rsid w:val="007C6AEC"/>
    <w:rsid w:val="007D4ED8"/>
    <w:rsid w:val="007D4FE8"/>
    <w:rsid w:val="007D5187"/>
    <w:rsid w:val="007D799D"/>
    <w:rsid w:val="007E08D0"/>
    <w:rsid w:val="007E776B"/>
    <w:rsid w:val="007F6CA7"/>
    <w:rsid w:val="007F6E28"/>
    <w:rsid w:val="007F7DBD"/>
    <w:rsid w:val="0080009C"/>
    <w:rsid w:val="008027C7"/>
    <w:rsid w:val="00802E6E"/>
    <w:rsid w:val="00802F0D"/>
    <w:rsid w:val="0080588C"/>
    <w:rsid w:val="0081136A"/>
    <w:rsid w:val="00811B37"/>
    <w:rsid w:val="00811FCC"/>
    <w:rsid w:val="008139CC"/>
    <w:rsid w:val="00814D30"/>
    <w:rsid w:val="008173C1"/>
    <w:rsid w:val="00821016"/>
    <w:rsid w:val="00822414"/>
    <w:rsid w:val="00823A0D"/>
    <w:rsid w:val="0082473C"/>
    <w:rsid w:val="00833713"/>
    <w:rsid w:val="00834C60"/>
    <w:rsid w:val="00837EDC"/>
    <w:rsid w:val="00837F5F"/>
    <w:rsid w:val="00840DAA"/>
    <w:rsid w:val="0084197B"/>
    <w:rsid w:val="0084209E"/>
    <w:rsid w:val="00844A77"/>
    <w:rsid w:val="00844CBF"/>
    <w:rsid w:val="00844E99"/>
    <w:rsid w:val="0084596F"/>
    <w:rsid w:val="00845E65"/>
    <w:rsid w:val="00846D38"/>
    <w:rsid w:val="0084740A"/>
    <w:rsid w:val="00847E8B"/>
    <w:rsid w:val="00856573"/>
    <w:rsid w:val="00857292"/>
    <w:rsid w:val="00857878"/>
    <w:rsid w:val="00857E1B"/>
    <w:rsid w:val="008606CC"/>
    <w:rsid w:val="00861259"/>
    <w:rsid w:val="008634C2"/>
    <w:rsid w:val="00864EEA"/>
    <w:rsid w:val="00865E4F"/>
    <w:rsid w:val="00866663"/>
    <w:rsid w:val="0086746A"/>
    <w:rsid w:val="0087216A"/>
    <w:rsid w:val="00872499"/>
    <w:rsid w:val="00873BE7"/>
    <w:rsid w:val="008750CC"/>
    <w:rsid w:val="00876777"/>
    <w:rsid w:val="0087706C"/>
    <w:rsid w:val="00882E8E"/>
    <w:rsid w:val="0088631B"/>
    <w:rsid w:val="00886A15"/>
    <w:rsid w:val="00891E92"/>
    <w:rsid w:val="0089286D"/>
    <w:rsid w:val="008A2808"/>
    <w:rsid w:val="008A2A86"/>
    <w:rsid w:val="008A3CA5"/>
    <w:rsid w:val="008A4651"/>
    <w:rsid w:val="008A677A"/>
    <w:rsid w:val="008A6964"/>
    <w:rsid w:val="008B0E5F"/>
    <w:rsid w:val="008B2CE1"/>
    <w:rsid w:val="008B3E8F"/>
    <w:rsid w:val="008B4059"/>
    <w:rsid w:val="008B5945"/>
    <w:rsid w:val="008C0056"/>
    <w:rsid w:val="008C047B"/>
    <w:rsid w:val="008C21E1"/>
    <w:rsid w:val="008C698E"/>
    <w:rsid w:val="008D2389"/>
    <w:rsid w:val="008D76F6"/>
    <w:rsid w:val="008E1C9F"/>
    <w:rsid w:val="008E57C5"/>
    <w:rsid w:val="008E6C38"/>
    <w:rsid w:val="008E7D62"/>
    <w:rsid w:val="008F0422"/>
    <w:rsid w:val="008F2F17"/>
    <w:rsid w:val="008F2F5C"/>
    <w:rsid w:val="008F4225"/>
    <w:rsid w:val="008F5797"/>
    <w:rsid w:val="008F6B1C"/>
    <w:rsid w:val="00902E9C"/>
    <w:rsid w:val="00904217"/>
    <w:rsid w:val="00905261"/>
    <w:rsid w:val="009062AE"/>
    <w:rsid w:val="009146F6"/>
    <w:rsid w:val="009151BF"/>
    <w:rsid w:val="00916B72"/>
    <w:rsid w:val="009227AC"/>
    <w:rsid w:val="009232CD"/>
    <w:rsid w:val="0092367E"/>
    <w:rsid w:val="00923B0D"/>
    <w:rsid w:val="0092478E"/>
    <w:rsid w:val="0093176E"/>
    <w:rsid w:val="00937A11"/>
    <w:rsid w:val="009417F7"/>
    <w:rsid w:val="00942173"/>
    <w:rsid w:val="009426F3"/>
    <w:rsid w:val="00947348"/>
    <w:rsid w:val="0094771E"/>
    <w:rsid w:val="009611C8"/>
    <w:rsid w:val="00962EC4"/>
    <w:rsid w:val="00963C9F"/>
    <w:rsid w:val="00963F49"/>
    <w:rsid w:val="0096517C"/>
    <w:rsid w:val="0096631D"/>
    <w:rsid w:val="00966619"/>
    <w:rsid w:val="00967029"/>
    <w:rsid w:val="00973117"/>
    <w:rsid w:val="00977394"/>
    <w:rsid w:val="009858C3"/>
    <w:rsid w:val="00985DB1"/>
    <w:rsid w:val="00987B97"/>
    <w:rsid w:val="00990AD8"/>
    <w:rsid w:val="00991526"/>
    <w:rsid w:val="00991DED"/>
    <w:rsid w:val="00991F5C"/>
    <w:rsid w:val="0099306C"/>
    <w:rsid w:val="00994D4C"/>
    <w:rsid w:val="00997F6C"/>
    <w:rsid w:val="009A0A07"/>
    <w:rsid w:val="009A0E76"/>
    <w:rsid w:val="009A2857"/>
    <w:rsid w:val="009A3357"/>
    <w:rsid w:val="009A4784"/>
    <w:rsid w:val="009A5BC4"/>
    <w:rsid w:val="009B0B69"/>
    <w:rsid w:val="009B0BC5"/>
    <w:rsid w:val="009B1D5D"/>
    <w:rsid w:val="009B34AC"/>
    <w:rsid w:val="009B744A"/>
    <w:rsid w:val="009C3CB0"/>
    <w:rsid w:val="009C4CA6"/>
    <w:rsid w:val="009C56D1"/>
    <w:rsid w:val="009C7252"/>
    <w:rsid w:val="009C7934"/>
    <w:rsid w:val="009C7E21"/>
    <w:rsid w:val="009D18C2"/>
    <w:rsid w:val="009D5A36"/>
    <w:rsid w:val="009D6C79"/>
    <w:rsid w:val="009D7905"/>
    <w:rsid w:val="009E34D5"/>
    <w:rsid w:val="009E4054"/>
    <w:rsid w:val="009E718A"/>
    <w:rsid w:val="009F324E"/>
    <w:rsid w:val="009F4D35"/>
    <w:rsid w:val="009F7A5A"/>
    <w:rsid w:val="009F7D07"/>
    <w:rsid w:val="00A03C15"/>
    <w:rsid w:val="00A0434C"/>
    <w:rsid w:val="00A04B32"/>
    <w:rsid w:val="00A070B7"/>
    <w:rsid w:val="00A13691"/>
    <w:rsid w:val="00A140FE"/>
    <w:rsid w:val="00A14752"/>
    <w:rsid w:val="00A16B2B"/>
    <w:rsid w:val="00A213F4"/>
    <w:rsid w:val="00A23D11"/>
    <w:rsid w:val="00A24DD7"/>
    <w:rsid w:val="00A26EA6"/>
    <w:rsid w:val="00A3043E"/>
    <w:rsid w:val="00A3172C"/>
    <w:rsid w:val="00A34C2D"/>
    <w:rsid w:val="00A3592E"/>
    <w:rsid w:val="00A36261"/>
    <w:rsid w:val="00A36734"/>
    <w:rsid w:val="00A369AC"/>
    <w:rsid w:val="00A409BC"/>
    <w:rsid w:val="00A414BC"/>
    <w:rsid w:val="00A43021"/>
    <w:rsid w:val="00A434FF"/>
    <w:rsid w:val="00A436B6"/>
    <w:rsid w:val="00A44299"/>
    <w:rsid w:val="00A4461A"/>
    <w:rsid w:val="00A459DE"/>
    <w:rsid w:val="00A46386"/>
    <w:rsid w:val="00A50D02"/>
    <w:rsid w:val="00A51C7E"/>
    <w:rsid w:val="00A53AAD"/>
    <w:rsid w:val="00A5508E"/>
    <w:rsid w:val="00A62216"/>
    <w:rsid w:val="00A64859"/>
    <w:rsid w:val="00A65834"/>
    <w:rsid w:val="00A65913"/>
    <w:rsid w:val="00A70A4D"/>
    <w:rsid w:val="00A71285"/>
    <w:rsid w:val="00A7229C"/>
    <w:rsid w:val="00A7427E"/>
    <w:rsid w:val="00A744DA"/>
    <w:rsid w:val="00A74E0F"/>
    <w:rsid w:val="00A7675C"/>
    <w:rsid w:val="00A773B2"/>
    <w:rsid w:val="00A77929"/>
    <w:rsid w:val="00A8077F"/>
    <w:rsid w:val="00A80E09"/>
    <w:rsid w:val="00A850E6"/>
    <w:rsid w:val="00A851E3"/>
    <w:rsid w:val="00A9012A"/>
    <w:rsid w:val="00A9335D"/>
    <w:rsid w:val="00A93A77"/>
    <w:rsid w:val="00A93DF6"/>
    <w:rsid w:val="00A9415C"/>
    <w:rsid w:val="00AA2883"/>
    <w:rsid w:val="00AA3BB9"/>
    <w:rsid w:val="00AA489F"/>
    <w:rsid w:val="00AA5C14"/>
    <w:rsid w:val="00AA5D88"/>
    <w:rsid w:val="00AA6F4E"/>
    <w:rsid w:val="00AB279B"/>
    <w:rsid w:val="00AB605F"/>
    <w:rsid w:val="00AB744B"/>
    <w:rsid w:val="00AC08D2"/>
    <w:rsid w:val="00AC1263"/>
    <w:rsid w:val="00AC137C"/>
    <w:rsid w:val="00AC1BEE"/>
    <w:rsid w:val="00AC3E56"/>
    <w:rsid w:val="00AC4701"/>
    <w:rsid w:val="00AC499A"/>
    <w:rsid w:val="00AC4BDA"/>
    <w:rsid w:val="00AC4EB5"/>
    <w:rsid w:val="00AC64D8"/>
    <w:rsid w:val="00AC7850"/>
    <w:rsid w:val="00AD0C81"/>
    <w:rsid w:val="00AD2C5E"/>
    <w:rsid w:val="00AD2F51"/>
    <w:rsid w:val="00AE1EED"/>
    <w:rsid w:val="00AE2D3A"/>
    <w:rsid w:val="00AE3331"/>
    <w:rsid w:val="00AE35E4"/>
    <w:rsid w:val="00AE38C4"/>
    <w:rsid w:val="00AE66C3"/>
    <w:rsid w:val="00AE68CA"/>
    <w:rsid w:val="00AE756E"/>
    <w:rsid w:val="00AE7788"/>
    <w:rsid w:val="00AF126C"/>
    <w:rsid w:val="00AF1887"/>
    <w:rsid w:val="00AF2783"/>
    <w:rsid w:val="00AF2C35"/>
    <w:rsid w:val="00AF3C4B"/>
    <w:rsid w:val="00AF57B3"/>
    <w:rsid w:val="00AF7B5B"/>
    <w:rsid w:val="00B04E3B"/>
    <w:rsid w:val="00B10FC9"/>
    <w:rsid w:val="00B11937"/>
    <w:rsid w:val="00B12498"/>
    <w:rsid w:val="00B13974"/>
    <w:rsid w:val="00B13B22"/>
    <w:rsid w:val="00B149C8"/>
    <w:rsid w:val="00B14B55"/>
    <w:rsid w:val="00B14D05"/>
    <w:rsid w:val="00B21E09"/>
    <w:rsid w:val="00B25986"/>
    <w:rsid w:val="00B26C3D"/>
    <w:rsid w:val="00B275AC"/>
    <w:rsid w:val="00B27734"/>
    <w:rsid w:val="00B30EAB"/>
    <w:rsid w:val="00B32201"/>
    <w:rsid w:val="00B339ED"/>
    <w:rsid w:val="00B35BFE"/>
    <w:rsid w:val="00B366DB"/>
    <w:rsid w:val="00B37667"/>
    <w:rsid w:val="00B44B46"/>
    <w:rsid w:val="00B44BFF"/>
    <w:rsid w:val="00B5117D"/>
    <w:rsid w:val="00B532DB"/>
    <w:rsid w:val="00B545CC"/>
    <w:rsid w:val="00B54794"/>
    <w:rsid w:val="00B555FA"/>
    <w:rsid w:val="00B55EB3"/>
    <w:rsid w:val="00B56005"/>
    <w:rsid w:val="00B563E7"/>
    <w:rsid w:val="00B6436F"/>
    <w:rsid w:val="00B64EEB"/>
    <w:rsid w:val="00B709C1"/>
    <w:rsid w:val="00B70D22"/>
    <w:rsid w:val="00B72797"/>
    <w:rsid w:val="00B72A6C"/>
    <w:rsid w:val="00B72B74"/>
    <w:rsid w:val="00B75E94"/>
    <w:rsid w:val="00B8154C"/>
    <w:rsid w:val="00B84004"/>
    <w:rsid w:val="00B848DC"/>
    <w:rsid w:val="00B86E22"/>
    <w:rsid w:val="00B93247"/>
    <w:rsid w:val="00B94111"/>
    <w:rsid w:val="00B94F0A"/>
    <w:rsid w:val="00B955B1"/>
    <w:rsid w:val="00B95FED"/>
    <w:rsid w:val="00B97CA7"/>
    <w:rsid w:val="00BA04A7"/>
    <w:rsid w:val="00BA18F6"/>
    <w:rsid w:val="00BA4854"/>
    <w:rsid w:val="00BA59FA"/>
    <w:rsid w:val="00BB0525"/>
    <w:rsid w:val="00BB1E68"/>
    <w:rsid w:val="00BB2ACB"/>
    <w:rsid w:val="00BB2DF5"/>
    <w:rsid w:val="00BB3A8A"/>
    <w:rsid w:val="00BB3BFC"/>
    <w:rsid w:val="00BC0BC7"/>
    <w:rsid w:val="00BC1739"/>
    <w:rsid w:val="00BC226C"/>
    <w:rsid w:val="00BC2FD3"/>
    <w:rsid w:val="00BD052B"/>
    <w:rsid w:val="00BD290B"/>
    <w:rsid w:val="00BD4F16"/>
    <w:rsid w:val="00BD5583"/>
    <w:rsid w:val="00BD666C"/>
    <w:rsid w:val="00BE0C97"/>
    <w:rsid w:val="00BE0FFD"/>
    <w:rsid w:val="00BE106E"/>
    <w:rsid w:val="00BE13B4"/>
    <w:rsid w:val="00BE2AB7"/>
    <w:rsid w:val="00BE4587"/>
    <w:rsid w:val="00BE5400"/>
    <w:rsid w:val="00BE68F3"/>
    <w:rsid w:val="00BF20A3"/>
    <w:rsid w:val="00BF2A5D"/>
    <w:rsid w:val="00BF3528"/>
    <w:rsid w:val="00BF5527"/>
    <w:rsid w:val="00BF6800"/>
    <w:rsid w:val="00C026B4"/>
    <w:rsid w:val="00C03955"/>
    <w:rsid w:val="00C039FE"/>
    <w:rsid w:val="00C03CE8"/>
    <w:rsid w:val="00C04648"/>
    <w:rsid w:val="00C110B3"/>
    <w:rsid w:val="00C114FC"/>
    <w:rsid w:val="00C1700B"/>
    <w:rsid w:val="00C20B12"/>
    <w:rsid w:val="00C212EC"/>
    <w:rsid w:val="00C24B55"/>
    <w:rsid w:val="00C27FFB"/>
    <w:rsid w:val="00C30F95"/>
    <w:rsid w:val="00C337DD"/>
    <w:rsid w:val="00C40E20"/>
    <w:rsid w:val="00C448A0"/>
    <w:rsid w:val="00C51C82"/>
    <w:rsid w:val="00C55348"/>
    <w:rsid w:val="00C57384"/>
    <w:rsid w:val="00C6447C"/>
    <w:rsid w:val="00C75A0D"/>
    <w:rsid w:val="00C76F2A"/>
    <w:rsid w:val="00C83737"/>
    <w:rsid w:val="00C84B60"/>
    <w:rsid w:val="00C87DB7"/>
    <w:rsid w:val="00C90384"/>
    <w:rsid w:val="00C91F4E"/>
    <w:rsid w:val="00C95D9B"/>
    <w:rsid w:val="00C970B1"/>
    <w:rsid w:val="00C97CF9"/>
    <w:rsid w:val="00CA6014"/>
    <w:rsid w:val="00CB41F2"/>
    <w:rsid w:val="00CB571C"/>
    <w:rsid w:val="00CB6597"/>
    <w:rsid w:val="00CD0493"/>
    <w:rsid w:val="00CD1F19"/>
    <w:rsid w:val="00CE03A4"/>
    <w:rsid w:val="00CE1816"/>
    <w:rsid w:val="00CE1908"/>
    <w:rsid w:val="00CE285C"/>
    <w:rsid w:val="00CE2E3D"/>
    <w:rsid w:val="00CE3902"/>
    <w:rsid w:val="00CE39DC"/>
    <w:rsid w:val="00CE6EEC"/>
    <w:rsid w:val="00CE71A4"/>
    <w:rsid w:val="00CF1781"/>
    <w:rsid w:val="00CF277F"/>
    <w:rsid w:val="00CF30BD"/>
    <w:rsid w:val="00CF78B0"/>
    <w:rsid w:val="00D01EE2"/>
    <w:rsid w:val="00D0234B"/>
    <w:rsid w:val="00D03812"/>
    <w:rsid w:val="00D03E23"/>
    <w:rsid w:val="00D045C6"/>
    <w:rsid w:val="00D048F7"/>
    <w:rsid w:val="00D05054"/>
    <w:rsid w:val="00D058A3"/>
    <w:rsid w:val="00D10911"/>
    <w:rsid w:val="00D125F6"/>
    <w:rsid w:val="00D12938"/>
    <w:rsid w:val="00D135B0"/>
    <w:rsid w:val="00D13D39"/>
    <w:rsid w:val="00D153DF"/>
    <w:rsid w:val="00D200F9"/>
    <w:rsid w:val="00D21F38"/>
    <w:rsid w:val="00D238E3"/>
    <w:rsid w:val="00D241DE"/>
    <w:rsid w:val="00D2513B"/>
    <w:rsid w:val="00D26A23"/>
    <w:rsid w:val="00D31218"/>
    <w:rsid w:val="00D31FDA"/>
    <w:rsid w:val="00D321C0"/>
    <w:rsid w:val="00D379D2"/>
    <w:rsid w:val="00D4055A"/>
    <w:rsid w:val="00D4250A"/>
    <w:rsid w:val="00D4302A"/>
    <w:rsid w:val="00D436E8"/>
    <w:rsid w:val="00D500BB"/>
    <w:rsid w:val="00D51753"/>
    <w:rsid w:val="00D534FC"/>
    <w:rsid w:val="00D56072"/>
    <w:rsid w:val="00D56B38"/>
    <w:rsid w:val="00D61E70"/>
    <w:rsid w:val="00D62677"/>
    <w:rsid w:val="00D62764"/>
    <w:rsid w:val="00D64A57"/>
    <w:rsid w:val="00D6504E"/>
    <w:rsid w:val="00D658D0"/>
    <w:rsid w:val="00D6796C"/>
    <w:rsid w:val="00D70F5A"/>
    <w:rsid w:val="00D70F8A"/>
    <w:rsid w:val="00D71D46"/>
    <w:rsid w:val="00D71EFE"/>
    <w:rsid w:val="00D73EA4"/>
    <w:rsid w:val="00D82891"/>
    <w:rsid w:val="00D8323E"/>
    <w:rsid w:val="00D8583A"/>
    <w:rsid w:val="00D87934"/>
    <w:rsid w:val="00D912C8"/>
    <w:rsid w:val="00D91A4B"/>
    <w:rsid w:val="00D92118"/>
    <w:rsid w:val="00D9654F"/>
    <w:rsid w:val="00D96A1E"/>
    <w:rsid w:val="00DA76BB"/>
    <w:rsid w:val="00DB0916"/>
    <w:rsid w:val="00DB1D80"/>
    <w:rsid w:val="00DB44D3"/>
    <w:rsid w:val="00DB4C4D"/>
    <w:rsid w:val="00DB69AE"/>
    <w:rsid w:val="00DB6F18"/>
    <w:rsid w:val="00DC1931"/>
    <w:rsid w:val="00DC4522"/>
    <w:rsid w:val="00DC5E98"/>
    <w:rsid w:val="00DC6534"/>
    <w:rsid w:val="00DC69A9"/>
    <w:rsid w:val="00DC69D9"/>
    <w:rsid w:val="00DC6A05"/>
    <w:rsid w:val="00DC6BC0"/>
    <w:rsid w:val="00DD1908"/>
    <w:rsid w:val="00DD2D16"/>
    <w:rsid w:val="00DD32CF"/>
    <w:rsid w:val="00DD4A34"/>
    <w:rsid w:val="00DD502E"/>
    <w:rsid w:val="00DD60F0"/>
    <w:rsid w:val="00DD77E4"/>
    <w:rsid w:val="00DE0F82"/>
    <w:rsid w:val="00DE251A"/>
    <w:rsid w:val="00DE4605"/>
    <w:rsid w:val="00DE63CB"/>
    <w:rsid w:val="00DF1444"/>
    <w:rsid w:val="00DF37AA"/>
    <w:rsid w:val="00DF6A2A"/>
    <w:rsid w:val="00DF7D07"/>
    <w:rsid w:val="00E0131B"/>
    <w:rsid w:val="00E027B6"/>
    <w:rsid w:val="00E074DD"/>
    <w:rsid w:val="00E12BDC"/>
    <w:rsid w:val="00E1419A"/>
    <w:rsid w:val="00E148F7"/>
    <w:rsid w:val="00E1647B"/>
    <w:rsid w:val="00E21700"/>
    <w:rsid w:val="00E21A5F"/>
    <w:rsid w:val="00E255B8"/>
    <w:rsid w:val="00E26AA7"/>
    <w:rsid w:val="00E27589"/>
    <w:rsid w:val="00E301FB"/>
    <w:rsid w:val="00E302D8"/>
    <w:rsid w:val="00E32512"/>
    <w:rsid w:val="00E33210"/>
    <w:rsid w:val="00E35A4B"/>
    <w:rsid w:val="00E4053C"/>
    <w:rsid w:val="00E419B6"/>
    <w:rsid w:val="00E43954"/>
    <w:rsid w:val="00E43BD0"/>
    <w:rsid w:val="00E464AC"/>
    <w:rsid w:val="00E47BF8"/>
    <w:rsid w:val="00E47E48"/>
    <w:rsid w:val="00E529E3"/>
    <w:rsid w:val="00E56D6D"/>
    <w:rsid w:val="00E570C0"/>
    <w:rsid w:val="00E57ACE"/>
    <w:rsid w:val="00E61856"/>
    <w:rsid w:val="00E61ADA"/>
    <w:rsid w:val="00E61FF9"/>
    <w:rsid w:val="00E62B8E"/>
    <w:rsid w:val="00E7418D"/>
    <w:rsid w:val="00E7425D"/>
    <w:rsid w:val="00E7665A"/>
    <w:rsid w:val="00E80980"/>
    <w:rsid w:val="00E8143B"/>
    <w:rsid w:val="00E82098"/>
    <w:rsid w:val="00E82EEB"/>
    <w:rsid w:val="00E8392F"/>
    <w:rsid w:val="00E85606"/>
    <w:rsid w:val="00E953FF"/>
    <w:rsid w:val="00E97F1F"/>
    <w:rsid w:val="00EA04CB"/>
    <w:rsid w:val="00EA2309"/>
    <w:rsid w:val="00EA2532"/>
    <w:rsid w:val="00EA38AF"/>
    <w:rsid w:val="00EB0A91"/>
    <w:rsid w:val="00EB5396"/>
    <w:rsid w:val="00EB6137"/>
    <w:rsid w:val="00EB643C"/>
    <w:rsid w:val="00EB6B00"/>
    <w:rsid w:val="00EB6B22"/>
    <w:rsid w:val="00EC0791"/>
    <w:rsid w:val="00EC7584"/>
    <w:rsid w:val="00ED1C98"/>
    <w:rsid w:val="00ED1D58"/>
    <w:rsid w:val="00ED2051"/>
    <w:rsid w:val="00ED3665"/>
    <w:rsid w:val="00ED538C"/>
    <w:rsid w:val="00ED598F"/>
    <w:rsid w:val="00ED6D28"/>
    <w:rsid w:val="00EE1824"/>
    <w:rsid w:val="00EE3F10"/>
    <w:rsid w:val="00EE49FB"/>
    <w:rsid w:val="00EE5E13"/>
    <w:rsid w:val="00EE5E46"/>
    <w:rsid w:val="00EF3393"/>
    <w:rsid w:val="00F01D0D"/>
    <w:rsid w:val="00F01D6B"/>
    <w:rsid w:val="00F026D4"/>
    <w:rsid w:val="00F048AC"/>
    <w:rsid w:val="00F06B26"/>
    <w:rsid w:val="00F06BC4"/>
    <w:rsid w:val="00F0775C"/>
    <w:rsid w:val="00F10A19"/>
    <w:rsid w:val="00F10FA5"/>
    <w:rsid w:val="00F11DE4"/>
    <w:rsid w:val="00F154E4"/>
    <w:rsid w:val="00F15A30"/>
    <w:rsid w:val="00F16142"/>
    <w:rsid w:val="00F20CAA"/>
    <w:rsid w:val="00F2332D"/>
    <w:rsid w:val="00F2436C"/>
    <w:rsid w:val="00F2586E"/>
    <w:rsid w:val="00F32D7A"/>
    <w:rsid w:val="00F3610A"/>
    <w:rsid w:val="00F40DA7"/>
    <w:rsid w:val="00F43668"/>
    <w:rsid w:val="00F4374D"/>
    <w:rsid w:val="00F43CEF"/>
    <w:rsid w:val="00F45AE0"/>
    <w:rsid w:val="00F4765E"/>
    <w:rsid w:val="00F54717"/>
    <w:rsid w:val="00F55E92"/>
    <w:rsid w:val="00F57252"/>
    <w:rsid w:val="00F61874"/>
    <w:rsid w:val="00F61B23"/>
    <w:rsid w:val="00F62549"/>
    <w:rsid w:val="00F627D7"/>
    <w:rsid w:val="00F63A24"/>
    <w:rsid w:val="00F64E55"/>
    <w:rsid w:val="00F65239"/>
    <w:rsid w:val="00F65887"/>
    <w:rsid w:val="00F7017E"/>
    <w:rsid w:val="00F7269B"/>
    <w:rsid w:val="00F738A7"/>
    <w:rsid w:val="00F739F5"/>
    <w:rsid w:val="00F77A6D"/>
    <w:rsid w:val="00F81FE1"/>
    <w:rsid w:val="00F8257B"/>
    <w:rsid w:val="00F872D0"/>
    <w:rsid w:val="00F913B3"/>
    <w:rsid w:val="00F9445C"/>
    <w:rsid w:val="00F96466"/>
    <w:rsid w:val="00F97459"/>
    <w:rsid w:val="00F97B7E"/>
    <w:rsid w:val="00FA18EE"/>
    <w:rsid w:val="00FA1C32"/>
    <w:rsid w:val="00FA65E8"/>
    <w:rsid w:val="00FB2684"/>
    <w:rsid w:val="00FB5679"/>
    <w:rsid w:val="00FB56A1"/>
    <w:rsid w:val="00FB5B2B"/>
    <w:rsid w:val="00FB7824"/>
    <w:rsid w:val="00FC0ECA"/>
    <w:rsid w:val="00FC1377"/>
    <w:rsid w:val="00FC25C0"/>
    <w:rsid w:val="00FC4C0E"/>
    <w:rsid w:val="00FD0458"/>
    <w:rsid w:val="00FD1FBC"/>
    <w:rsid w:val="00FD3FEA"/>
    <w:rsid w:val="00FD7A82"/>
    <w:rsid w:val="00FD7BF1"/>
    <w:rsid w:val="00FE1090"/>
    <w:rsid w:val="00FE3FA1"/>
    <w:rsid w:val="00FE7278"/>
    <w:rsid w:val="00FE7CF4"/>
    <w:rsid w:val="00FF27A5"/>
    <w:rsid w:val="00FF42FD"/>
    <w:rsid w:val="00FF50BA"/>
    <w:rsid w:val="00FF53A9"/>
    <w:rsid w:val="00FF63C9"/>
    <w:rsid w:val="020B69C2"/>
    <w:rsid w:val="02340389"/>
    <w:rsid w:val="034CD48A"/>
    <w:rsid w:val="04D6F226"/>
    <w:rsid w:val="051AA993"/>
    <w:rsid w:val="053B0F39"/>
    <w:rsid w:val="074BC97B"/>
    <w:rsid w:val="075F0A65"/>
    <w:rsid w:val="0976D0F9"/>
    <w:rsid w:val="0C78F888"/>
    <w:rsid w:val="10FFDAE0"/>
    <w:rsid w:val="1688A307"/>
    <w:rsid w:val="16F57E6A"/>
    <w:rsid w:val="17F4F0FF"/>
    <w:rsid w:val="1BCD4DBF"/>
    <w:rsid w:val="1C2C67C9"/>
    <w:rsid w:val="1EC45E52"/>
    <w:rsid w:val="22755D12"/>
    <w:rsid w:val="2710AD75"/>
    <w:rsid w:val="27153EE6"/>
    <w:rsid w:val="2A8EC7A9"/>
    <w:rsid w:val="2DBE5FEE"/>
    <w:rsid w:val="35261B14"/>
    <w:rsid w:val="353E8518"/>
    <w:rsid w:val="362C6342"/>
    <w:rsid w:val="3A9F2D38"/>
    <w:rsid w:val="3B67A989"/>
    <w:rsid w:val="3B814ED4"/>
    <w:rsid w:val="3E3B6600"/>
    <w:rsid w:val="3F196E2C"/>
    <w:rsid w:val="40E3FDD4"/>
    <w:rsid w:val="422C2240"/>
    <w:rsid w:val="4856835E"/>
    <w:rsid w:val="497193CA"/>
    <w:rsid w:val="499EED0C"/>
    <w:rsid w:val="49AFD56A"/>
    <w:rsid w:val="4C25CAC2"/>
    <w:rsid w:val="4CABE68B"/>
    <w:rsid w:val="4E4F42AE"/>
    <w:rsid w:val="55F3E106"/>
    <w:rsid w:val="58052319"/>
    <w:rsid w:val="587FEA27"/>
    <w:rsid w:val="58AA3453"/>
    <w:rsid w:val="5DAA9F08"/>
    <w:rsid w:val="60B0041F"/>
    <w:rsid w:val="6160DC31"/>
    <w:rsid w:val="61AECDFC"/>
    <w:rsid w:val="6284F5F9"/>
    <w:rsid w:val="62909445"/>
    <w:rsid w:val="66256B63"/>
    <w:rsid w:val="68965C8A"/>
    <w:rsid w:val="6AF0F794"/>
    <w:rsid w:val="6D65574E"/>
    <w:rsid w:val="71C579D5"/>
    <w:rsid w:val="723EE3AE"/>
    <w:rsid w:val="759242A4"/>
    <w:rsid w:val="77C878C9"/>
    <w:rsid w:val="7CB7E736"/>
    <w:rsid w:val="7E4A22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9C7252"/>
    <w:pPr>
      <w:keepNext/>
      <w:spacing w:before="240" w:after="200" w:line="240" w:lineRule="auto"/>
    </w:pPr>
    <w:rPr>
      <w:b/>
      <w:bCs/>
      <w:sz w:val="18"/>
      <w:szCs w:val="18"/>
    </w:rPr>
  </w:style>
  <w:style w:type="paragraph" w:styleId="Subtitle">
    <w:name w:val="Subtitle"/>
    <w:basedOn w:val="Normal"/>
    <w:next w:val="Normal"/>
    <w:link w:val="SubtitleChar"/>
    <w:uiPriority w:val="11"/>
    <w:qFormat/>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4876CE"/>
    <w:pPr>
      <w:spacing w:before="120" w:after="24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customStyle="1" w:styleId="Bodycopy">
    <w:name w:val="Body copy"/>
    <w:basedOn w:val="Normal"/>
    <w:link w:val="BodycopyChar"/>
    <w:qFormat/>
    <w:rsid w:val="005E63BA"/>
    <w:pPr>
      <w:spacing w:before="120" w:after="280" w:line="259" w:lineRule="auto"/>
    </w:pPr>
    <w:rPr>
      <w:color w:val="000000" w:themeColor="text1"/>
    </w:rPr>
  </w:style>
  <w:style w:type="character" w:customStyle="1" w:styleId="BodycopyChar">
    <w:name w:val="Body copy Char"/>
    <w:basedOn w:val="DefaultParagraphFont"/>
    <w:link w:val="Bodycopy"/>
    <w:rsid w:val="005E63BA"/>
    <w:rPr>
      <w:rFonts w:ascii="Arial" w:hAnsi="Arial"/>
      <w:color w:val="000000" w:themeColor="text1"/>
    </w:rPr>
  </w:style>
  <w:style w:type="paragraph" w:customStyle="1" w:styleId="Hyperlinks">
    <w:name w:val="Hyperlinks"/>
    <w:basedOn w:val="Bodycopy"/>
    <w:link w:val="HyperlinksChar"/>
    <w:qFormat/>
    <w:rsid w:val="005E63BA"/>
    <w:rPr>
      <w:color w:val="962DF2" w:themeColor="text2" w:themeTint="99"/>
      <w:u w:val="single"/>
    </w:rPr>
  </w:style>
  <w:style w:type="character" w:customStyle="1" w:styleId="HyperlinksChar">
    <w:name w:val="Hyperlinks Char"/>
    <w:basedOn w:val="BodycopyChar"/>
    <w:link w:val="Hyperlinks"/>
    <w:rsid w:val="005E63BA"/>
    <w:rPr>
      <w:rFonts w:ascii="Arial" w:hAnsi="Arial"/>
      <w:color w:val="962DF2" w:themeColor="text2" w:themeTint="99"/>
      <w:u w:val="single"/>
    </w:rPr>
  </w:style>
  <w:style w:type="paragraph" w:styleId="FootnoteText">
    <w:name w:val="footnote text"/>
    <w:basedOn w:val="Normal"/>
    <w:link w:val="FootnoteTextChar"/>
    <w:uiPriority w:val="99"/>
    <w:semiHidden/>
    <w:unhideWhenUsed/>
    <w:rsid w:val="00833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713"/>
    <w:rPr>
      <w:rFonts w:ascii="Arial" w:hAnsi="Arial"/>
      <w:sz w:val="20"/>
      <w:szCs w:val="20"/>
    </w:rPr>
  </w:style>
  <w:style w:type="character" w:styleId="FootnoteReference">
    <w:name w:val="footnote reference"/>
    <w:basedOn w:val="DefaultParagraphFont"/>
    <w:uiPriority w:val="99"/>
    <w:semiHidden/>
    <w:unhideWhenUsed/>
    <w:rsid w:val="00833713"/>
    <w:rPr>
      <w:vertAlign w:val="superscript"/>
    </w:rPr>
  </w:style>
  <w:style w:type="paragraph" w:styleId="Revision">
    <w:name w:val="Revision"/>
    <w:hidden/>
    <w:uiPriority w:val="99"/>
    <w:semiHidden/>
    <w:rsid w:val="00A44299"/>
    <w:pPr>
      <w:spacing w:after="0" w:line="240" w:lineRule="auto"/>
    </w:pPr>
    <w:rPr>
      <w:rFonts w:ascii="Arial" w:hAnsi="Arial"/>
    </w:rPr>
  </w:style>
  <w:style w:type="paragraph" w:styleId="BodyText">
    <w:name w:val="Body Text"/>
    <w:basedOn w:val="Normal"/>
    <w:link w:val="BodyTextChar"/>
    <w:qFormat/>
    <w:rsid w:val="007560C5"/>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7560C5"/>
    <w:rPr>
      <w:rFonts w:ascii="Arial" w:hAnsi="Arial"/>
      <w:szCs w:val="20"/>
    </w:rPr>
  </w:style>
  <w:style w:type="numbering" w:customStyle="1" w:styleId="ListBulletmaster">
    <w:name w:val="List Bullet (master)"/>
    <w:rsid w:val="007560C5"/>
    <w:pPr>
      <w:numPr>
        <w:numId w:val="20"/>
      </w:numPr>
    </w:pPr>
  </w:style>
  <w:style w:type="table" w:customStyle="1" w:styleId="CustomTableoption2">
    <w:name w:val="Custom Table (option 2)"/>
    <w:basedOn w:val="TableNormal"/>
    <w:uiPriority w:val="99"/>
    <w:rsid w:val="00E43954"/>
    <w:pPr>
      <w:spacing w:after="0" w:line="240" w:lineRule="auto"/>
    </w:pPr>
    <w:rPr>
      <w:rFonts w:ascii="Arial" w:hAnsi="Arial"/>
      <w:szCs w:val="20"/>
      <w:lang w:val="en-US"/>
    </w:rPr>
    <w:tblPr>
      <w:tblStyleRowBandSize w:val="1"/>
      <w:tblStyleColBandSize w:val="1"/>
      <w:tblBorders>
        <w:bottom w:val="single" w:sz="4" w:space="0" w:color="012749"/>
      </w:tblBorders>
    </w:tblPr>
    <w:trPr>
      <w:cantSplit/>
    </w:trPr>
    <w:tblStylePr w:type="firstRow">
      <w:rPr>
        <w:b w:val="0"/>
        <w:color w:val="FFFFFF"/>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cPr>
    </w:tblStylePr>
    <w:tblStylePr w:type="band2Horz">
      <w:tblPr/>
      <w:tcPr>
        <w:shd w:val="clear" w:color="auto" w:fill="F2F2F2"/>
      </w:tcPr>
    </w:tblStylePr>
  </w:style>
  <w:style w:type="table" w:customStyle="1" w:styleId="CustomTableoption22">
    <w:name w:val="Custom Table (option 2)2"/>
    <w:basedOn w:val="TableNormal"/>
    <w:uiPriority w:val="99"/>
    <w:rsid w:val="004B1D1B"/>
    <w:pPr>
      <w:spacing w:after="0" w:line="240" w:lineRule="auto"/>
    </w:pPr>
    <w:rPr>
      <w:rFonts w:ascii="Arial" w:hAnsi="Arial"/>
      <w:szCs w:val="20"/>
      <w:lang w:val="en-US"/>
    </w:rPr>
    <w:tblPr>
      <w:tblStyleRowBandSize w:val="1"/>
      <w:tblStyleColBandSize w:val="1"/>
      <w:tblBorders>
        <w:bottom w:val="single" w:sz="4" w:space="0" w:color="012749"/>
      </w:tblBorders>
    </w:tblPr>
    <w:trPr>
      <w:cantSplit/>
    </w:trPr>
    <w:tblStylePr w:type="firstRow">
      <w:rPr>
        <w:b w:val="0"/>
        <w:color w:val="FFFFFF"/>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cPr>
    </w:tblStylePr>
    <w:tblStylePr w:type="band2Horz">
      <w:tblPr/>
      <w:tcPr>
        <w:shd w:val="clear" w:color="auto" w:fill="F2F2F2"/>
      </w:tcPr>
    </w:tblStylePr>
  </w:style>
  <w:style w:type="table" w:customStyle="1" w:styleId="CustomTableoption21">
    <w:name w:val="Custom Table (option 2)1"/>
    <w:basedOn w:val="TableNormal"/>
    <w:uiPriority w:val="99"/>
    <w:rsid w:val="004B1D1B"/>
    <w:pPr>
      <w:spacing w:after="0" w:line="240" w:lineRule="auto"/>
    </w:pPr>
    <w:rPr>
      <w:rFonts w:ascii="Arial" w:hAnsi="Arial"/>
      <w:szCs w:val="20"/>
      <w:lang w:val="en-US"/>
    </w:rPr>
    <w:tblPr>
      <w:tblStyleRowBandSize w:val="1"/>
      <w:tblStyleColBandSize w:val="1"/>
      <w:tblBorders>
        <w:bottom w:val="single" w:sz="4" w:space="0" w:color="012749"/>
      </w:tblBorders>
    </w:tblPr>
    <w:trPr>
      <w:cantSplit/>
    </w:trPr>
    <w:tblStylePr w:type="firstRow">
      <w:rPr>
        <w:b w:val="0"/>
        <w:color w:val="FFFFFF"/>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Data" Target="diagrams/data1.xml"/><Relationship Id="rId26" Type="http://schemas.openxmlformats.org/officeDocument/2006/relationships/diagramLayout" Target="diagrams/layout2.xml"/><Relationship Id="rId39" Type="http://schemas.openxmlformats.org/officeDocument/2006/relationships/hyperlink" Target="https://www.abs.gov.au/statistics/economy/business-indicators/counts-australian-businesses-including-entries-and-exits/latest-release" TargetMode="External"/><Relationship Id="rId21" Type="http://schemas.openxmlformats.org/officeDocument/2006/relationships/diagramColors" Target="diagrams/colors1.xml"/><Relationship Id="rId34" Type="http://schemas.openxmlformats.org/officeDocument/2006/relationships/diagramColors" Target="diagrams/colors3.xml"/><Relationship Id="rId42" Type="http://schemas.openxmlformats.org/officeDocument/2006/relationships/hyperlink" Target="https://www.abs.gov.au/statistics/standards/australian-statistical-geography-standard-asgs-edition-3/jul2021-jun2026/main-structure-and-greater-capital-city-statistical-are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QuickStyle" Target="diagrams/quickStyle1.xml"/><Relationship Id="rId29" Type="http://schemas.microsoft.com/office/2007/relationships/diagramDrawing" Target="diagrams/drawing2.xml"/><Relationship Id="rId41" Type="http://schemas.openxmlformats.org/officeDocument/2006/relationships/hyperlink" Target="https://www.abs.gov.au/statistics/classifications/anzsco-australian-and-new-zealand-standard-classification-occupations/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diagramLayout" Target="diagrams/layout3.xml"/><Relationship Id="rId37" Type="http://schemas.openxmlformats.org/officeDocument/2006/relationships/hyperlink" Target="https://www.jobsandskills.gov.au/data/recruitment-experiences-and-outlook-survey" TargetMode="External"/><Relationship Id="rId40" Type="http://schemas.openxmlformats.org/officeDocument/2006/relationships/hyperlink" Target="https://www.abs.gov.au/ausstats/abs@.nsf/mf/1292.0"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4.xml"/><Relationship Id="rId28" Type="http://schemas.openxmlformats.org/officeDocument/2006/relationships/diagramColors" Target="diagrams/colors2.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diagramLayout" Target="diagrams/layout1.xml"/><Relationship Id="rId31" Type="http://schemas.openxmlformats.org/officeDocument/2006/relationships/diagramData" Target="diagrams/data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microsoft.com/office/2007/relationships/diagramDrawing" Target="diagrams/drawing1.xml"/><Relationship Id="rId27" Type="http://schemas.openxmlformats.org/officeDocument/2006/relationships/diagramQuickStyle" Target="diagrams/quickStyle2.xml"/><Relationship Id="rId30" Type="http://schemas.openxmlformats.org/officeDocument/2006/relationships/chart" Target="charts/chart5.xml"/><Relationship Id="rId35" Type="http://schemas.microsoft.com/office/2007/relationships/diagramDrawing" Target="diagrams/drawing3.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diagramData" Target="diagrams/data2.xml"/><Relationship Id="rId33" Type="http://schemas.openxmlformats.org/officeDocument/2006/relationships/diagramQuickStyle" Target="diagrams/quickStyle3.xml"/><Relationship Id="rId38" Type="http://schemas.openxmlformats.org/officeDocument/2006/relationships/hyperlink" Target="https://www.jobsandskills.gov.au/data/recruitment-experiences-and-outlook-survey/reos-survey-methodolog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obsandskills.gov.au/data/total-new-vacancies" TargetMode="External"/><Relationship Id="rId1" Type="http://schemas.openxmlformats.org/officeDocument/2006/relationships/hyperlink" Target="https://www.jobsandskills.gov.au/data/internet-vacancy-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2"/>
          <c:tx>
            <c:strRef>
              <c:f>'F1 &amp; 3'!$D$9</c:f>
              <c:strCache>
                <c:ptCount val="1"/>
                <c:pt idx="0">
                  <c:v>Total</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'F1 &amp; 3'!$A$10:$A$20</c:f>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f>'F1 &amp; 3'!$D$10:$D$20</c:f>
              <c:numCache>
                <c:formatCode>0%</c:formatCode>
                <c:ptCount val="11"/>
                <c:pt idx="0">
                  <c:v>0.02</c:v>
                </c:pt>
                <c:pt idx="1">
                  <c:v>0.02</c:v>
                </c:pt>
                <c:pt idx="2">
                  <c:v>0.02</c:v>
                </c:pt>
                <c:pt idx="3">
                  <c:v>0.03</c:v>
                </c:pt>
                <c:pt idx="4">
                  <c:v>0.06</c:v>
                </c:pt>
                <c:pt idx="5">
                  <c:v>0.1</c:v>
                </c:pt>
                <c:pt idx="6">
                  <c:v>0.12</c:v>
                </c:pt>
                <c:pt idx="7">
                  <c:v>0.13</c:v>
                </c:pt>
                <c:pt idx="8">
                  <c:v>0.19</c:v>
                </c:pt>
                <c:pt idx="9">
                  <c:v>0.25</c:v>
                </c:pt>
                <c:pt idx="10">
                  <c:v>0.57999999999999996</c:v>
                </c:pt>
              </c:numCache>
            </c:numRef>
          </c:val>
          <c:extLst>
            <c:ext xmlns:c16="http://schemas.microsoft.com/office/drawing/2014/chart" uri="{C3380CC4-5D6E-409C-BE32-E72D297353CC}">
              <c16:uniqueId val="{00000000-1AAA-4585-B91E-AE94A5E3D2F8}"/>
            </c:ext>
          </c:extLst>
        </c:ser>
        <c:dLbls>
          <c:showLegendKey val="0"/>
          <c:showVal val="0"/>
          <c:showCatName val="0"/>
          <c:showSerName val="0"/>
          <c:showPercent val="0"/>
          <c:showBubbleSize val="0"/>
        </c:dLbls>
        <c:gapWidth val="50"/>
        <c:axId val="1153914303"/>
        <c:axId val="1795684607"/>
        <c:extLst>
          <c:ext xmlns:c15="http://schemas.microsoft.com/office/drawing/2012/chart" uri="{02D57815-91ED-43cb-92C2-25804820EDAC}">
            <c15:filteredBarSeries>
              <c15:ser>
                <c:idx val="0"/>
                <c:order val="0"/>
                <c:tx>
                  <c:strRef>
                    <c:extLst>
                      <c:ext uri="{02D57815-91ED-43cb-92C2-25804820EDAC}">
                        <c15:formulaRef>
                          <c15:sqref>'F1 &amp; 3'!$B$9</c15:sqref>
                        </c15:formulaRef>
                      </c:ext>
                    </c:extLst>
                    <c:strCache>
                      <c:ptCount val="1"/>
                      <c:pt idx="0">
                        <c:v>Two or more methods</c:v>
                      </c:pt>
                    </c:strCache>
                  </c:strRef>
                </c:tx>
                <c:spPr>
                  <a:solidFill>
                    <a:schemeClr val="accent1"/>
                  </a:solidFill>
                  <a:ln>
                    <a:noFill/>
                  </a:ln>
                  <a:effectLst/>
                </c:spPr>
                <c:invertIfNegative val="0"/>
                <c:cat>
                  <c:strRef>
                    <c:extLst>
                      <c:ext uri="{02D57815-91ED-43cb-92C2-25804820EDAC}">
                        <c15:formulaRef>
                          <c15:sqref>'F1 &amp; 3'!$A$10:$A$20</c15:sqref>
                        </c15:formulaRef>
                      </c:ext>
                    </c:extLst>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extLst>
                      <c:ext uri="{02D57815-91ED-43cb-92C2-25804820EDAC}">
                        <c15:formulaRef>
                          <c15:sqref>'F1 &amp; 3'!$B$10:$B$20</c15:sqref>
                        </c15:formulaRef>
                      </c:ext>
                    </c:extLst>
                    <c:numCache>
                      <c:formatCode>0%</c:formatCode>
                      <c:ptCount val="11"/>
                      <c:pt idx="0">
                        <c:v>0.04</c:v>
                      </c:pt>
                      <c:pt idx="1">
                        <c:v>0.04</c:v>
                      </c:pt>
                      <c:pt idx="2">
                        <c:v>0.04</c:v>
                      </c:pt>
                      <c:pt idx="3">
                        <c:v>7.0000000000000007E-2</c:v>
                      </c:pt>
                      <c:pt idx="4">
                        <c:v>0.13</c:v>
                      </c:pt>
                      <c:pt idx="5">
                        <c:v>0.18</c:v>
                      </c:pt>
                      <c:pt idx="6">
                        <c:v>0.16</c:v>
                      </c:pt>
                      <c:pt idx="7">
                        <c:v>0.2</c:v>
                      </c:pt>
                      <c:pt idx="8">
                        <c:v>0.42</c:v>
                      </c:pt>
                      <c:pt idx="9">
                        <c:v>0.39</c:v>
                      </c:pt>
                      <c:pt idx="10">
                        <c:v>0.73</c:v>
                      </c:pt>
                    </c:numCache>
                  </c:numRef>
                </c:val>
                <c:extLst>
                  <c:ext xmlns:c16="http://schemas.microsoft.com/office/drawing/2014/chart" uri="{C3380CC4-5D6E-409C-BE32-E72D297353CC}">
                    <c16:uniqueId val="{00000001-1AAA-4585-B91E-AE94A5E3D2F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'F1 &amp; 3'!$C$9</c15:sqref>
                        </c15:formulaRef>
                      </c:ext>
                    </c:extLst>
                    <c:strCache>
                      <c:ptCount val="1"/>
                      <c:pt idx="0">
                        <c:v>One method</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'F1 &amp; 3'!$A$10:$A$20</c15:sqref>
                        </c15:formulaRef>
                      </c:ext>
                    </c:extLst>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extLst xmlns:c15="http://schemas.microsoft.com/office/drawing/2012/chart">
                      <c:ext xmlns:c15="http://schemas.microsoft.com/office/drawing/2012/chart" uri="{02D57815-91ED-43cb-92C2-25804820EDAC}">
                        <c15:formulaRef>
                          <c15:sqref>'F1 &amp; 3'!$C$10:$C$20</c15:sqref>
                        </c15:formulaRef>
                      </c:ext>
                    </c:extLst>
                    <c:numCache>
                      <c:formatCode>0%</c:formatCode>
                      <c:ptCount val="11"/>
                      <c:pt idx="0">
                        <c:v>0.01</c:v>
                      </c:pt>
                      <c:pt idx="1">
                        <c:v>0</c:v>
                      </c:pt>
                      <c:pt idx="2">
                        <c:v>0.01</c:v>
                      </c:pt>
                      <c:pt idx="3">
                        <c:v>0.01</c:v>
                      </c:pt>
                      <c:pt idx="4">
                        <c:v>0.02</c:v>
                      </c:pt>
                      <c:pt idx="5">
                        <c:v>0.05</c:v>
                      </c:pt>
                      <c:pt idx="6">
                        <c:v>0.1</c:v>
                      </c:pt>
                      <c:pt idx="7">
                        <c:v>0.09</c:v>
                      </c:pt>
                      <c:pt idx="8">
                        <c:v>0.06</c:v>
                      </c:pt>
                      <c:pt idx="9">
                        <c:v>0.17</c:v>
                      </c:pt>
                      <c:pt idx="10">
                        <c:v>0.49</c:v>
                      </c:pt>
                    </c:numCache>
                  </c:numRef>
                </c:val>
                <c:extLst xmlns:c15="http://schemas.microsoft.com/office/drawing/2012/chart">
                  <c:ext xmlns:c16="http://schemas.microsoft.com/office/drawing/2014/chart" uri="{C3380CC4-5D6E-409C-BE32-E72D297353CC}">
                    <c16:uniqueId val="{00000002-1AAA-4585-B91E-AE94A5E3D2F8}"/>
                  </c:ext>
                </c:extLst>
              </c15:ser>
            </c15:filteredBarSeries>
          </c:ext>
        </c:extLst>
      </c:barChart>
      <c:catAx>
        <c:axId val="115391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795684607"/>
        <c:crosses val="autoZero"/>
        <c:auto val="1"/>
        <c:lblAlgn val="ctr"/>
        <c:lblOffset val="100"/>
        <c:noMultiLvlLbl val="0"/>
      </c:catAx>
      <c:valAx>
        <c:axId val="1795684607"/>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539143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'F2'!$D$9</c:f>
              <c:strCache>
                <c:ptCount val="1"/>
                <c:pt idx="0">
                  <c:v>1 method</c:v>
                </c:pt>
              </c:strCache>
            </c:strRef>
          </c:tx>
          <c:spPr>
            <a:solidFill>
              <a:srgbClr val="6929C4">
                <a:alpha val="60000"/>
              </a:srgb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'F2'!$C$10:$C$12</c:f>
              <c:strCache>
                <c:ptCount val="3"/>
                <c:pt idx="0">
                  <c:v>Not difficult recruiting</c:v>
                </c:pt>
                <c:pt idx="1">
                  <c:v>Difficult recruiting</c:v>
                </c:pt>
                <c:pt idx="2">
                  <c:v>All recruitment</c:v>
                </c:pt>
              </c:strCache>
            </c:strRef>
          </c:cat>
          <c:val>
            <c:numRef>
              <c:f>'F2'!$D$10:$D$12</c:f>
              <c:numCache>
                <c:formatCode>0%</c:formatCode>
                <c:ptCount val="3"/>
                <c:pt idx="0">
                  <c:v>0.73</c:v>
                </c:pt>
                <c:pt idx="1">
                  <c:v>0.49</c:v>
                </c:pt>
                <c:pt idx="2">
                  <c:v>0.63</c:v>
                </c:pt>
              </c:numCache>
            </c:numRef>
          </c:val>
          <c:extLst>
            <c:ext xmlns:c16="http://schemas.microsoft.com/office/drawing/2014/chart" uri="{C3380CC4-5D6E-409C-BE32-E72D297353CC}">
              <c16:uniqueId val="{00000000-699D-4CD7-A4E8-FD272A18939D}"/>
            </c:ext>
          </c:extLst>
        </c:ser>
        <c:ser>
          <c:idx val="1"/>
          <c:order val="1"/>
          <c:tx>
            <c:strRef>
              <c:f>'F2'!$E$9</c:f>
              <c:strCache>
                <c:ptCount val="1"/>
                <c:pt idx="0">
                  <c:v>2 methods</c:v>
                </c:pt>
              </c:strCache>
            </c:strRef>
          </c:tx>
          <c:spPr>
            <a:solidFill>
              <a:srgbClr val="1192E8">
                <a:alpha val="70000"/>
              </a:srgb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'F2'!$C$10:$C$12</c:f>
              <c:strCache>
                <c:ptCount val="3"/>
                <c:pt idx="0">
                  <c:v>Not difficult recruiting</c:v>
                </c:pt>
                <c:pt idx="1">
                  <c:v>Difficult recruiting</c:v>
                </c:pt>
                <c:pt idx="2">
                  <c:v>All recruitment</c:v>
                </c:pt>
              </c:strCache>
            </c:strRef>
          </c:cat>
          <c:val>
            <c:numRef>
              <c:f>'F2'!$E$10:$E$12</c:f>
              <c:numCache>
                <c:formatCode>0%</c:formatCode>
                <c:ptCount val="3"/>
                <c:pt idx="0">
                  <c:v>0.21</c:v>
                </c:pt>
                <c:pt idx="1">
                  <c:v>0.33</c:v>
                </c:pt>
                <c:pt idx="2">
                  <c:v>0.26</c:v>
                </c:pt>
              </c:numCache>
            </c:numRef>
          </c:val>
          <c:extLst>
            <c:ext xmlns:c16="http://schemas.microsoft.com/office/drawing/2014/chart" uri="{C3380CC4-5D6E-409C-BE32-E72D297353CC}">
              <c16:uniqueId val="{00000001-699D-4CD7-A4E8-FD272A18939D}"/>
            </c:ext>
          </c:extLst>
        </c:ser>
        <c:ser>
          <c:idx val="2"/>
          <c:order val="2"/>
          <c:tx>
            <c:strRef>
              <c:f>'F2'!$F$9</c:f>
              <c:strCache>
                <c:ptCount val="1"/>
                <c:pt idx="0">
                  <c:v>3 methods</c:v>
                </c:pt>
              </c:strCache>
            </c:strRef>
          </c:tx>
          <c:spPr>
            <a:solidFill>
              <a:srgbClr val="005D5D">
                <a:alpha val="70000"/>
              </a:srgb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'F2'!$C$10:$C$12</c:f>
              <c:strCache>
                <c:ptCount val="3"/>
                <c:pt idx="0">
                  <c:v>Not difficult recruiting</c:v>
                </c:pt>
                <c:pt idx="1">
                  <c:v>Difficult recruiting</c:v>
                </c:pt>
                <c:pt idx="2">
                  <c:v>All recruitment</c:v>
                </c:pt>
              </c:strCache>
            </c:strRef>
          </c:cat>
          <c:val>
            <c:numRef>
              <c:f>'F2'!$F$10:$F$12</c:f>
              <c:numCache>
                <c:formatCode>0%</c:formatCode>
                <c:ptCount val="3"/>
                <c:pt idx="0">
                  <c:v>0.05</c:v>
                </c:pt>
                <c:pt idx="1">
                  <c:v>0.11</c:v>
                </c:pt>
                <c:pt idx="2">
                  <c:v>7.0000000000000007E-2</c:v>
                </c:pt>
              </c:numCache>
            </c:numRef>
          </c:val>
          <c:extLst>
            <c:ext xmlns:c16="http://schemas.microsoft.com/office/drawing/2014/chart" uri="{C3380CC4-5D6E-409C-BE32-E72D297353CC}">
              <c16:uniqueId val="{00000002-699D-4CD7-A4E8-FD272A18939D}"/>
            </c:ext>
          </c:extLst>
        </c:ser>
        <c:ser>
          <c:idx val="3"/>
          <c:order val="3"/>
          <c:tx>
            <c:strRef>
              <c:f>'F2'!$G$9</c:f>
              <c:strCache>
                <c:ptCount val="1"/>
                <c:pt idx="0">
                  <c:v>4 or more methods</c:v>
                </c:pt>
              </c:strCache>
            </c:strRef>
          </c:tx>
          <c:spPr>
            <a:solidFill>
              <a:srgbClr val="EE538B"/>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104-4082-9D67-4BE1F0DE7E1C}"/>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9D-4CD7-A4E8-FD272A18939D}"/>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'F2'!$C$10:$C$12</c:f>
              <c:strCache>
                <c:ptCount val="3"/>
                <c:pt idx="0">
                  <c:v>Not difficult recruiting</c:v>
                </c:pt>
                <c:pt idx="1">
                  <c:v>Difficult recruiting</c:v>
                </c:pt>
                <c:pt idx="2">
                  <c:v>All recruitment</c:v>
                </c:pt>
              </c:strCache>
            </c:strRef>
          </c:cat>
          <c:val>
            <c:numRef>
              <c:f>'F2'!$G$10:$G$12</c:f>
              <c:numCache>
                <c:formatCode>0%</c:formatCode>
                <c:ptCount val="3"/>
                <c:pt idx="0">
                  <c:v>0.01</c:v>
                </c:pt>
                <c:pt idx="1">
                  <c:v>7.0000000000000007E-2</c:v>
                </c:pt>
                <c:pt idx="2">
                  <c:v>0.04</c:v>
                </c:pt>
              </c:numCache>
            </c:numRef>
          </c:val>
          <c:extLst>
            <c:ext xmlns:c16="http://schemas.microsoft.com/office/drawing/2014/chart" uri="{C3380CC4-5D6E-409C-BE32-E72D297353CC}">
              <c16:uniqueId val="{00000003-699D-4CD7-A4E8-FD272A18939D}"/>
            </c:ext>
          </c:extLst>
        </c:ser>
        <c:dLbls>
          <c:dLblPos val="ctr"/>
          <c:showLegendKey val="0"/>
          <c:showVal val="1"/>
          <c:showCatName val="0"/>
          <c:showSerName val="0"/>
          <c:showPercent val="0"/>
          <c:showBubbleSize val="0"/>
        </c:dLbls>
        <c:gapWidth val="150"/>
        <c:overlap val="100"/>
        <c:axId val="24820656"/>
        <c:axId val="24832656"/>
      </c:barChart>
      <c:catAx>
        <c:axId val="24820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24832656"/>
        <c:crosses val="autoZero"/>
        <c:auto val="1"/>
        <c:lblAlgn val="ctr"/>
        <c:lblOffset val="100"/>
        <c:noMultiLvlLbl val="0"/>
      </c:catAx>
      <c:valAx>
        <c:axId val="24832656"/>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2482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'F1 &amp; 3'!$B$9</c:f>
              <c:strCache>
                <c:ptCount val="1"/>
                <c:pt idx="0">
                  <c:v>Two or more methods</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'F1 &amp; 3'!$A$10:$A$20</c:f>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f>'F1 &amp; 3'!$B$10:$B$20</c:f>
              <c:numCache>
                <c:formatCode>0%</c:formatCode>
                <c:ptCount val="11"/>
                <c:pt idx="0">
                  <c:v>0.04</c:v>
                </c:pt>
                <c:pt idx="1">
                  <c:v>0.04</c:v>
                </c:pt>
                <c:pt idx="2">
                  <c:v>0.04</c:v>
                </c:pt>
                <c:pt idx="3">
                  <c:v>7.0000000000000007E-2</c:v>
                </c:pt>
                <c:pt idx="4">
                  <c:v>0.13</c:v>
                </c:pt>
                <c:pt idx="5">
                  <c:v>0.18</c:v>
                </c:pt>
                <c:pt idx="6">
                  <c:v>0.16</c:v>
                </c:pt>
                <c:pt idx="7">
                  <c:v>0.2</c:v>
                </c:pt>
                <c:pt idx="8">
                  <c:v>0.42</c:v>
                </c:pt>
                <c:pt idx="9">
                  <c:v>0.39</c:v>
                </c:pt>
                <c:pt idx="10">
                  <c:v>0.73</c:v>
                </c:pt>
              </c:numCache>
            </c:numRef>
          </c:val>
          <c:extLst>
            <c:ext xmlns:c16="http://schemas.microsoft.com/office/drawing/2014/chart" uri="{C3380CC4-5D6E-409C-BE32-E72D297353CC}">
              <c16:uniqueId val="{00000000-DE61-4590-A45D-F4A41A1BD007}"/>
            </c:ext>
          </c:extLst>
        </c:ser>
        <c:ser>
          <c:idx val="1"/>
          <c:order val="1"/>
          <c:tx>
            <c:strRef>
              <c:f>'F1 &amp; 3'!$C$9</c:f>
              <c:strCache>
                <c:ptCount val="1"/>
                <c:pt idx="0">
                  <c:v>One method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'F1 &amp; 3'!$A$10:$A$20</c:f>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f>'F1 &amp; 3'!$C$10:$C$20</c:f>
              <c:numCache>
                <c:formatCode>0%</c:formatCode>
                <c:ptCount val="11"/>
                <c:pt idx="0">
                  <c:v>0.01</c:v>
                </c:pt>
                <c:pt idx="1">
                  <c:v>0</c:v>
                </c:pt>
                <c:pt idx="2">
                  <c:v>0.01</c:v>
                </c:pt>
                <c:pt idx="3">
                  <c:v>0.01</c:v>
                </c:pt>
                <c:pt idx="4">
                  <c:v>0.02</c:v>
                </c:pt>
                <c:pt idx="5">
                  <c:v>0.05</c:v>
                </c:pt>
                <c:pt idx="6">
                  <c:v>0.1</c:v>
                </c:pt>
                <c:pt idx="7">
                  <c:v>0.09</c:v>
                </c:pt>
                <c:pt idx="8">
                  <c:v>0.06</c:v>
                </c:pt>
                <c:pt idx="9">
                  <c:v>0.17</c:v>
                </c:pt>
                <c:pt idx="10">
                  <c:v>0.49</c:v>
                </c:pt>
              </c:numCache>
            </c:numRef>
          </c:val>
          <c:extLst>
            <c:ext xmlns:c16="http://schemas.microsoft.com/office/drawing/2014/chart" uri="{C3380CC4-5D6E-409C-BE32-E72D297353CC}">
              <c16:uniqueId val="{00000001-DE61-4590-A45D-F4A41A1BD007}"/>
            </c:ext>
          </c:extLst>
        </c:ser>
        <c:dLbls>
          <c:dLblPos val="outEnd"/>
          <c:showLegendKey val="0"/>
          <c:showVal val="1"/>
          <c:showCatName val="0"/>
          <c:showSerName val="0"/>
          <c:showPercent val="0"/>
          <c:showBubbleSize val="0"/>
        </c:dLbls>
        <c:gapWidth val="50"/>
        <c:axId val="1153914303"/>
        <c:axId val="1795684607"/>
        <c:extLst>
          <c:ext xmlns:c15="http://schemas.microsoft.com/office/drawing/2012/chart" uri="{02D57815-91ED-43cb-92C2-25804820EDAC}">
            <c15:filteredBarSeries>
              <c15:ser>
                <c:idx val="2"/>
                <c:order val="2"/>
                <c:tx>
                  <c:strRef>
                    <c:extLst>
                      <c:ext uri="{02D57815-91ED-43cb-92C2-25804820EDAC}">
                        <c15:formulaRef>
                          <c15:sqref>'F1 &amp; 3'!$D$9</c15:sqref>
                        </c15:formulaRef>
                      </c:ext>
                    </c:extLst>
                    <c:strCache>
                      <c:ptCount val="1"/>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'F1 &amp; 3'!$A$10:$A$20</c15:sqref>
                        </c15:formulaRef>
                      </c:ext>
                    </c:extLst>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extLst>
                      <c:ext uri="{02D57815-91ED-43cb-92C2-25804820EDAC}">
                        <c15:formulaRef>
                          <c15:sqref>'F1 &amp; 3'!$D$10:$D$20</c15:sqref>
                        </c15:formulaRef>
                      </c:ext>
                    </c:extLst>
                    <c:numCache>
                      <c:formatCode>0%</c:formatCode>
                      <c:ptCount val="11"/>
                      <c:pt idx="0">
                        <c:v>0.02</c:v>
                      </c:pt>
                      <c:pt idx="1">
                        <c:v>0.02</c:v>
                      </c:pt>
                      <c:pt idx="2">
                        <c:v>0.02</c:v>
                      </c:pt>
                      <c:pt idx="3">
                        <c:v>0.03</c:v>
                      </c:pt>
                      <c:pt idx="4">
                        <c:v>0.06</c:v>
                      </c:pt>
                      <c:pt idx="5">
                        <c:v>0.1</c:v>
                      </c:pt>
                      <c:pt idx="6">
                        <c:v>0.12</c:v>
                      </c:pt>
                      <c:pt idx="7">
                        <c:v>0.13</c:v>
                      </c:pt>
                      <c:pt idx="8">
                        <c:v>0.19</c:v>
                      </c:pt>
                      <c:pt idx="9">
                        <c:v>0.25</c:v>
                      </c:pt>
                      <c:pt idx="10">
                        <c:v>0.57999999999999996</c:v>
                      </c:pt>
                    </c:numCache>
                  </c:numRef>
                </c:val>
                <c:extLst>
                  <c:ext xmlns:c16="http://schemas.microsoft.com/office/drawing/2014/chart" uri="{C3380CC4-5D6E-409C-BE32-E72D297353CC}">
                    <c16:uniqueId val="{00000002-DE61-4590-A45D-F4A41A1BD007}"/>
                  </c:ext>
                </c:extLst>
              </c15:ser>
            </c15:filteredBarSeries>
          </c:ext>
        </c:extLst>
      </c:barChart>
      <c:catAx>
        <c:axId val="115391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95684607"/>
        <c:crosses val="autoZero"/>
        <c:auto val="1"/>
        <c:lblAlgn val="ctr"/>
        <c:lblOffset val="100"/>
        <c:noMultiLvlLbl val="0"/>
      </c:catAx>
      <c:valAx>
        <c:axId val="1795684607"/>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53914303"/>
        <c:crosses val="autoZero"/>
        <c:crossBetween val="between"/>
      </c:valAx>
      <c:spPr>
        <a:noFill/>
        <a:ln>
          <a:noFill/>
        </a:ln>
        <a:effectLst/>
      </c:spPr>
    </c:plotArea>
    <c:legend>
      <c:legendPos val="b"/>
      <c:layout>
        <c:manualLayout>
          <c:xMode val="edge"/>
          <c:yMode val="edge"/>
          <c:x val="0.7191682495980648"/>
          <c:y val="0.55928236264590336"/>
          <c:w val="0.19900617777941762"/>
          <c:h val="0.22816369080681165"/>
        </c:manualLayout>
      </c:layout>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'F5'!$B$9</c:f>
              <c:strCache>
                <c:ptCount val="1"/>
                <c:pt idx="0">
                  <c:v>Not difficult to fill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'F5'!$A$10:$A$20</c:f>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f>'F5'!$B$10:$B$20</c:f>
              <c:numCache>
                <c:formatCode>0%</c:formatCode>
                <c:ptCount val="11"/>
                <c:pt idx="0">
                  <c:v>0.01</c:v>
                </c:pt>
                <c:pt idx="1">
                  <c:v>0.01</c:v>
                </c:pt>
                <c:pt idx="2">
                  <c:v>0.02</c:v>
                </c:pt>
                <c:pt idx="3">
                  <c:v>0.03</c:v>
                </c:pt>
                <c:pt idx="4">
                  <c:v>7.0000000000000007E-2</c:v>
                </c:pt>
                <c:pt idx="5">
                  <c:v>0.12</c:v>
                </c:pt>
                <c:pt idx="6">
                  <c:v>0.18</c:v>
                </c:pt>
                <c:pt idx="7">
                  <c:v>0.08</c:v>
                </c:pt>
                <c:pt idx="8">
                  <c:v>0.13</c:v>
                </c:pt>
                <c:pt idx="9">
                  <c:v>0.25</c:v>
                </c:pt>
                <c:pt idx="10">
                  <c:v>0.46</c:v>
                </c:pt>
              </c:numCache>
            </c:numRef>
          </c:val>
          <c:extLst>
            <c:ext xmlns:c16="http://schemas.microsoft.com/office/drawing/2014/chart" uri="{C3380CC4-5D6E-409C-BE32-E72D297353CC}">
              <c16:uniqueId val="{00000000-2643-49B2-8D41-AA955B2FE593}"/>
            </c:ext>
          </c:extLst>
        </c:ser>
        <c:ser>
          <c:idx val="1"/>
          <c:order val="1"/>
          <c:tx>
            <c:strRef>
              <c:f>'F5'!$C$9</c:f>
              <c:strCache>
                <c:ptCount val="1"/>
                <c:pt idx="0">
                  <c:v>Difficult to fill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'F5'!$A$10:$A$20</c:f>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f>'F5'!$C$10:$C$20</c:f>
              <c:numCache>
                <c:formatCode>0%</c:formatCode>
                <c:ptCount val="11"/>
                <c:pt idx="0">
                  <c:v>0.03</c:v>
                </c:pt>
                <c:pt idx="1">
                  <c:v>0.03</c:v>
                </c:pt>
                <c:pt idx="2">
                  <c:v>0.02</c:v>
                </c:pt>
                <c:pt idx="3">
                  <c:v>0.03</c:v>
                </c:pt>
                <c:pt idx="4">
                  <c:v>0.05</c:v>
                </c:pt>
                <c:pt idx="5">
                  <c:v>7.0000000000000007E-2</c:v>
                </c:pt>
                <c:pt idx="6">
                  <c:v>0.05</c:v>
                </c:pt>
                <c:pt idx="7">
                  <c:v>0.2</c:v>
                </c:pt>
                <c:pt idx="8">
                  <c:v>0.28000000000000003</c:v>
                </c:pt>
                <c:pt idx="9">
                  <c:v>0.26</c:v>
                </c:pt>
                <c:pt idx="10">
                  <c:v>0.73</c:v>
                </c:pt>
              </c:numCache>
            </c:numRef>
          </c:val>
          <c:extLst>
            <c:ext xmlns:c16="http://schemas.microsoft.com/office/drawing/2014/chart" uri="{C3380CC4-5D6E-409C-BE32-E72D297353CC}">
              <c16:uniqueId val="{00000001-2643-49B2-8D41-AA955B2FE593}"/>
            </c:ext>
          </c:extLst>
        </c:ser>
        <c:dLbls>
          <c:dLblPos val="outEnd"/>
          <c:showLegendKey val="0"/>
          <c:showVal val="1"/>
          <c:showCatName val="0"/>
          <c:showSerName val="0"/>
          <c:showPercent val="0"/>
          <c:showBubbleSize val="0"/>
        </c:dLbls>
        <c:gapWidth val="50"/>
        <c:axId val="1153914303"/>
        <c:axId val="1795684607"/>
        <c:extLst>
          <c:ext xmlns:c15="http://schemas.microsoft.com/office/drawing/2012/chart" uri="{02D57815-91ED-43cb-92C2-25804820EDAC}">
            <c15:filteredBarSeries>
              <c15:ser>
                <c:idx val="2"/>
                <c:order val="2"/>
                <c:tx>
                  <c:strRef>
                    <c:extLst>
                      <c:ext uri="{02D57815-91ED-43cb-92C2-25804820EDAC}">
                        <c15:formulaRef>
                          <c15:sqref>'F5'!$D$9</c15:sqref>
                        </c15:formulaRef>
                      </c:ext>
                    </c:extLst>
                    <c:strCache>
                      <c:ptCount val="1"/>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'F5'!$A$10:$A$20</c15:sqref>
                        </c15:formulaRef>
                      </c:ext>
                    </c:extLst>
                    <c:strCache>
                      <c:ptCount val="11"/>
                      <c:pt idx="0">
                        <c:v>Other</c:v>
                      </c:pt>
                      <c:pt idx="1">
                        <c:v>Newspaper</c:v>
                      </c:pt>
                      <c:pt idx="2">
                        <c:v>Education institution</c:v>
                      </c:pt>
                      <c:pt idx="3">
                        <c:v>Sign in window</c:v>
                      </c:pt>
                      <c:pt idx="4">
                        <c:v>Internal recruitment</c:v>
                      </c:pt>
                      <c:pt idx="5">
                        <c:v>Company website</c:v>
                      </c:pt>
                      <c:pt idx="6">
                        <c:v>Directly approached by job seeker</c:v>
                      </c:pt>
                      <c:pt idx="7">
                        <c:v>Recruitment agency / Government employment service</c:v>
                      </c:pt>
                      <c:pt idx="8">
                        <c:v>Social media</c:v>
                      </c:pt>
                      <c:pt idx="9">
                        <c:v>Word of mouth / poached</c:v>
                      </c:pt>
                      <c:pt idx="10">
                        <c:v>Online jobs board</c:v>
                      </c:pt>
                    </c:strCache>
                  </c:strRef>
                </c:cat>
                <c:val>
                  <c:numRef>
                    <c:extLst>
                      <c:ext uri="{02D57815-91ED-43cb-92C2-25804820EDAC}">
                        <c15:formulaRef>
                          <c15:sqref>'F5'!$D$10:$D$20</c15:sqref>
                        </c15:formulaRef>
                      </c:ext>
                    </c:extLst>
                    <c:numCache>
                      <c:formatCode>0%</c:formatCode>
                      <c:ptCount val="11"/>
                      <c:pt idx="0">
                        <c:v>0.02</c:v>
                      </c:pt>
                      <c:pt idx="1">
                        <c:v>0.02</c:v>
                      </c:pt>
                      <c:pt idx="2">
                        <c:v>0.02</c:v>
                      </c:pt>
                      <c:pt idx="3">
                        <c:v>0.03</c:v>
                      </c:pt>
                      <c:pt idx="4">
                        <c:v>0.06</c:v>
                      </c:pt>
                      <c:pt idx="5">
                        <c:v>0.1</c:v>
                      </c:pt>
                      <c:pt idx="6">
                        <c:v>0.12</c:v>
                      </c:pt>
                      <c:pt idx="7">
                        <c:v>0.13</c:v>
                      </c:pt>
                      <c:pt idx="8">
                        <c:v>0.19</c:v>
                      </c:pt>
                      <c:pt idx="9">
                        <c:v>0.25</c:v>
                      </c:pt>
                      <c:pt idx="10">
                        <c:v>0.57999999999999996</c:v>
                      </c:pt>
                    </c:numCache>
                  </c:numRef>
                </c:val>
                <c:extLst>
                  <c:ext xmlns:c16="http://schemas.microsoft.com/office/drawing/2014/chart" uri="{C3380CC4-5D6E-409C-BE32-E72D297353CC}">
                    <c16:uniqueId val="{00000002-2643-49B2-8D41-AA955B2FE593}"/>
                  </c:ext>
                </c:extLst>
              </c15:ser>
            </c15:filteredBarSeries>
          </c:ext>
        </c:extLst>
      </c:barChart>
      <c:catAx>
        <c:axId val="115391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95684607"/>
        <c:crosses val="autoZero"/>
        <c:auto val="1"/>
        <c:lblAlgn val="ctr"/>
        <c:lblOffset val="100"/>
        <c:noMultiLvlLbl val="0"/>
      </c:catAx>
      <c:valAx>
        <c:axId val="1795684607"/>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53914303"/>
        <c:crosses val="autoZero"/>
        <c:crossBetween val="between"/>
      </c:valAx>
      <c:spPr>
        <a:noFill/>
        <a:ln>
          <a:noFill/>
        </a:ln>
        <a:effectLst/>
      </c:spPr>
    </c:plotArea>
    <c:legend>
      <c:legendPos val="b"/>
      <c:layout>
        <c:manualLayout>
          <c:xMode val="edge"/>
          <c:yMode val="edge"/>
          <c:x val="0.6837151117244844"/>
          <c:y val="0.55928236264590336"/>
          <c:w val="0.23445933096164884"/>
          <c:h val="0.22816369080681165"/>
        </c:manualLayout>
      </c:layout>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52294550310532"/>
          <c:y val="0.16743524202358662"/>
          <c:w val="0.80431025256536193"/>
          <c:h val="0.61440197820727416"/>
        </c:manualLayout>
      </c:layout>
      <c:barChart>
        <c:barDir val="bar"/>
        <c:grouping val="percentStacked"/>
        <c:varyColors val="0"/>
        <c:ser>
          <c:idx val="0"/>
          <c:order val="0"/>
          <c:tx>
            <c:strRef>
              <c:f>'F7'!$C$4</c:f>
              <c:strCache>
                <c:ptCount val="1"/>
                <c:pt idx="0">
                  <c:v>Filled using jobs boards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'F7'!$B$5:$B$6</c:f>
              <c:strCache>
                <c:ptCount val="2"/>
                <c:pt idx="0">
                  <c:v>Not difficult to fill vacancy</c:v>
                </c:pt>
                <c:pt idx="1">
                  <c:v>Difficult to fill vacancy</c:v>
                </c:pt>
              </c:strCache>
            </c:strRef>
          </c:cat>
          <c:val>
            <c:numRef>
              <c:f>'F7'!$C$5:$C$6</c:f>
              <c:numCache>
                <c:formatCode>0%</c:formatCode>
                <c:ptCount val="2"/>
                <c:pt idx="0">
                  <c:v>0.36</c:v>
                </c:pt>
                <c:pt idx="1">
                  <c:v>0.47</c:v>
                </c:pt>
              </c:numCache>
            </c:numRef>
          </c:val>
          <c:extLst>
            <c:ext xmlns:c16="http://schemas.microsoft.com/office/drawing/2014/chart" uri="{C3380CC4-5D6E-409C-BE32-E72D297353CC}">
              <c16:uniqueId val="{00000000-BAD7-42A2-92AC-248BE908733B}"/>
            </c:ext>
          </c:extLst>
        </c:ser>
        <c:ser>
          <c:idx val="1"/>
          <c:order val="1"/>
          <c:tx>
            <c:strRef>
              <c:f>'F7'!$D$4</c:f>
              <c:strCache>
                <c:ptCount val="1"/>
                <c:pt idx="0">
                  <c:v>Used but not filled by jobs boards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'F7'!$B$5:$B$6</c:f>
              <c:strCache>
                <c:ptCount val="2"/>
                <c:pt idx="0">
                  <c:v>Not difficult to fill vacancy</c:v>
                </c:pt>
                <c:pt idx="1">
                  <c:v>Difficult to fill vacancy</c:v>
                </c:pt>
              </c:strCache>
            </c:strRef>
          </c:cat>
          <c:val>
            <c:numRef>
              <c:f>'F7'!$D$5:$D$6</c:f>
              <c:numCache>
                <c:formatCode>0%</c:formatCode>
                <c:ptCount val="2"/>
                <c:pt idx="0">
                  <c:v>0.06</c:v>
                </c:pt>
                <c:pt idx="1">
                  <c:v>0.25</c:v>
                </c:pt>
              </c:numCache>
            </c:numRef>
          </c:val>
          <c:extLst>
            <c:ext xmlns:c16="http://schemas.microsoft.com/office/drawing/2014/chart" uri="{C3380CC4-5D6E-409C-BE32-E72D297353CC}">
              <c16:uniqueId val="{00000001-BAD7-42A2-92AC-248BE908733B}"/>
            </c:ext>
          </c:extLst>
        </c:ser>
        <c:ser>
          <c:idx val="2"/>
          <c:order val="2"/>
          <c:tx>
            <c:strRef>
              <c:f>'F7'!$E$4</c:f>
              <c:strCache>
                <c:ptCount val="1"/>
                <c:pt idx="0">
                  <c:v>Did not use jobs boards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'F7'!$B$5:$B$6</c:f>
              <c:strCache>
                <c:ptCount val="2"/>
                <c:pt idx="0">
                  <c:v>Not difficult to fill vacancy</c:v>
                </c:pt>
                <c:pt idx="1">
                  <c:v>Difficult to fill vacancy</c:v>
                </c:pt>
              </c:strCache>
            </c:strRef>
          </c:cat>
          <c:val>
            <c:numRef>
              <c:f>'F7'!$E$5:$E$6</c:f>
              <c:numCache>
                <c:formatCode>0%</c:formatCode>
                <c:ptCount val="2"/>
                <c:pt idx="0">
                  <c:v>0.57999999999999996</c:v>
                </c:pt>
                <c:pt idx="1">
                  <c:v>0.28999999999999998</c:v>
                </c:pt>
              </c:numCache>
            </c:numRef>
          </c:val>
          <c:extLst>
            <c:ext xmlns:c16="http://schemas.microsoft.com/office/drawing/2014/chart" uri="{C3380CC4-5D6E-409C-BE32-E72D297353CC}">
              <c16:uniqueId val="{00000002-BAD7-42A2-92AC-248BE908733B}"/>
            </c:ext>
          </c:extLst>
        </c:ser>
        <c:dLbls>
          <c:dLblPos val="ctr"/>
          <c:showLegendKey val="0"/>
          <c:showVal val="1"/>
          <c:showCatName val="0"/>
          <c:showSerName val="0"/>
          <c:showPercent val="0"/>
          <c:showBubbleSize val="0"/>
        </c:dLbls>
        <c:gapWidth val="150"/>
        <c:overlap val="100"/>
        <c:axId val="544396256"/>
        <c:axId val="544410176"/>
      </c:barChart>
      <c:catAx>
        <c:axId val="54439625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4410176"/>
        <c:crosses val="autoZero"/>
        <c:auto val="1"/>
        <c:lblAlgn val="ctr"/>
        <c:lblOffset val="100"/>
        <c:noMultiLvlLbl val="0"/>
      </c:catAx>
      <c:valAx>
        <c:axId val="544410176"/>
        <c:scaling>
          <c:orientation val="minMax"/>
        </c:scaling>
        <c:delete val="1"/>
        <c:axPos val="b"/>
        <c:numFmt formatCode="0%" sourceLinked="1"/>
        <c:majorTickMark val="none"/>
        <c:minorTickMark val="none"/>
        <c:tickLblPos val="nextTo"/>
        <c:crossAx val="544396256"/>
        <c:crosses val="autoZero"/>
        <c:crossBetween val="between"/>
      </c:valAx>
      <c:spPr>
        <a:noFill/>
        <a:ln>
          <a:noFill/>
        </a:ln>
        <a:effectLst/>
      </c:spPr>
    </c:plotArea>
    <c:legend>
      <c:legendPos val="b"/>
      <c:layout>
        <c:manualLayout>
          <c:xMode val="edge"/>
          <c:yMode val="edge"/>
          <c:x val="1.4006780063194521E-2"/>
          <c:y val="0.41314807974592205"/>
          <c:w val="0.95626580080990886"/>
          <c:h val="0.111460521102806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11EEF5-4331-49CD-BCFF-93B9C510C9F0}" type="doc">
      <dgm:prSet loTypeId="urn:microsoft.com/office/officeart/2005/8/layout/default" loCatId="list" qsTypeId="urn:microsoft.com/office/officeart/2005/8/quickstyle/3d1" qsCatId="3D" csTypeId="urn:microsoft.com/office/officeart/2005/8/colors/accent5_4" csCatId="accent5" phldr="1"/>
      <dgm:spPr/>
      <dgm:t>
        <a:bodyPr/>
        <a:lstStyle/>
        <a:p>
          <a:endParaRPr lang="en-AU"/>
        </a:p>
      </dgm:t>
    </dgm:pt>
    <dgm:pt modelId="{1349B35B-4627-4545-8618-2E7AC2948AF8}">
      <dgm:prSet phldrT="[Text]" custT="1"/>
      <dgm:spPr>
        <a:scene3d>
          <a:camera prst="orthographicFront"/>
          <a:lightRig rig="flat" dir="t"/>
        </a:scene3d>
        <a:sp3d prstMaterial="plastic">
          <a:bevelT w="120900" h="88900" prst="angle"/>
          <a:bevelB w="88900" h="31750" prst="angle"/>
        </a:sp3d>
      </dgm:spPr>
      <dgm:t>
        <a:bodyPr lIns="144000" rIns="144000"/>
        <a:lstStyle/>
        <a:p>
          <a:pPr>
            <a:lnSpc>
              <a:spcPct val="90000"/>
            </a:lnSpc>
            <a:spcBef>
              <a:spcPct val="0"/>
            </a:spcBef>
            <a:spcAft>
              <a:spcPct val="35000"/>
            </a:spcAft>
          </a:pPr>
          <a:r>
            <a:rPr lang="en-AU" sz="1400" b="1">
              <a:latin typeface="Arial" panose="020B0604020202020204" pitchFamily="34" charset="0"/>
              <a:cs typeface="Arial" panose="020B0604020202020204" pitchFamily="34" charset="0"/>
            </a:rPr>
            <a:t>In recruitment, what drives what?</a:t>
          </a:r>
        </a:p>
        <a:p>
          <a:pPr>
            <a:lnSpc>
              <a:spcPct val="108000"/>
            </a:lnSpc>
            <a:spcBef>
              <a:spcPts val="600"/>
            </a:spcBef>
            <a:spcAft>
              <a:spcPts val="0"/>
            </a:spcAft>
          </a:pPr>
          <a:r>
            <a:rPr lang="en-AU" sz="1100">
              <a:latin typeface="Arial" panose="020B0604020202020204" pitchFamily="34" charset="0"/>
              <a:cs typeface="Arial" panose="020B0604020202020204" pitchFamily="34" charset="0"/>
            </a:rPr>
            <a:t>Do employers who experience difficulty filling vacancies use more recruitment methods, or does the choice of methods influence whether a role is difficult to fill.</a:t>
          </a:r>
        </a:p>
        <a:p>
          <a:pPr>
            <a:lnSpc>
              <a:spcPct val="108000"/>
            </a:lnSpc>
            <a:spcBef>
              <a:spcPts val="600"/>
            </a:spcBef>
            <a:spcAft>
              <a:spcPts val="0"/>
            </a:spcAft>
          </a:pPr>
          <a:r>
            <a:rPr lang="en-AU" sz="1100">
              <a:latin typeface="Arial" panose="020B0604020202020204" pitchFamily="34" charset="0"/>
              <a:cs typeface="Arial" panose="020B0604020202020204" pitchFamily="34" charset="0"/>
            </a:rPr>
            <a:t> The reality is that the recruitment market is highly diverse, and there is no single rule that applies universally. Factors such as industry, occupation, and location –particularly for employers in regional or remote areas – play a significant role in shaping both recruitment strategies and outcomes. </a:t>
          </a:r>
        </a:p>
        <a:p>
          <a:pPr>
            <a:lnSpc>
              <a:spcPct val="108000"/>
            </a:lnSpc>
            <a:spcBef>
              <a:spcPts val="600"/>
            </a:spcBef>
            <a:spcAft>
              <a:spcPts val="0"/>
            </a:spcAft>
          </a:pPr>
          <a:r>
            <a:rPr lang="en-AU" sz="1100">
              <a:latin typeface="Arial" panose="020B0604020202020204" pitchFamily="34" charset="0"/>
              <a:cs typeface="Arial" panose="020B0604020202020204" pitchFamily="34" charset="0"/>
            </a:rPr>
            <a:t>This report does not attempt to establish cause-and-effect relationships within the recruitment process. Instead, it focuses on identifying patterns and the methods they use under different circumstances.</a:t>
          </a:r>
        </a:p>
      </dgm:t>
    </dgm:pt>
    <dgm:pt modelId="{A89B0ED5-40BF-40EB-81BD-11728A88E73B}" type="parTrans" cxnId="{327B056B-87FD-439A-8369-8F3E9EEE4290}">
      <dgm:prSet/>
      <dgm:spPr/>
      <dgm:t>
        <a:bodyPr/>
        <a:lstStyle/>
        <a:p>
          <a:endParaRPr lang="en-AU"/>
        </a:p>
      </dgm:t>
    </dgm:pt>
    <dgm:pt modelId="{F20CD46D-890B-4CA6-9F2B-B6A22BC5DCD9}" type="sibTrans" cxnId="{327B056B-87FD-439A-8369-8F3E9EEE4290}">
      <dgm:prSet/>
      <dgm:spPr/>
      <dgm:t>
        <a:bodyPr/>
        <a:lstStyle/>
        <a:p>
          <a:endParaRPr lang="en-AU"/>
        </a:p>
      </dgm:t>
    </dgm:pt>
    <dgm:pt modelId="{DA6B54AC-08DA-4DA9-A9D4-280E44F4C860}" type="pres">
      <dgm:prSet presAssocID="{CA11EEF5-4331-49CD-BCFF-93B9C510C9F0}" presName="diagram" presStyleCnt="0">
        <dgm:presLayoutVars>
          <dgm:dir/>
          <dgm:resizeHandles val="exact"/>
        </dgm:presLayoutVars>
      </dgm:prSet>
      <dgm:spPr/>
    </dgm:pt>
    <dgm:pt modelId="{F1855CE3-9D59-42FC-93E0-202EFEF7CD4B}" type="pres">
      <dgm:prSet presAssocID="{1349B35B-4627-4545-8618-2E7AC2948AF8}" presName="node" presStyleLbl="node1" presStyleIdx="0" presStyleCnt="1" custScaleX="168132" custScaleY="116545" custLinFactNeighborX="-1875" custLinFactNeighborY="-1600">
        <dgm:presLayoutVars>
          <dgm:bulletEnabled val="1"/>
        </dgm:presLayoutVars>
      </dgm:prSet>
      <dgm:spPr/>
    </dgm:pt>
  </dgm:ptLst>
  <dgm:cxnLst>
    <dgm:cxn modelId="{A318BA01-8485-4AA6-9F41-BB93A8B481E7}" type="presOf" srcId="{CA11EEF5-4331-49CD-BCFF-93B9C510C9F0}" destId="{DA6B54AC-08DA-4DA9-A9D4-280E44F4C860}" srcOrd="0" destOrd="0" presId="urn:microsoft.com/office/officeart/2005/8/layout/default"/>
    <dgm:cxn modelId="{5601130D-C329-408F-88AE-EEAA2996BA32}" type="presOf" srcId="{1349B35B-4627-4545-8618-2E7AC2948AF8}" destId="{F1855CE3-9D59-42FC-93E0-202EFEF7CD4B}" srcOrd="0" destOrd="0" presId="urn:microsoft.com/office/officeart/2005/8/layout/default"/>
    <dgm:cxn modelId="{327B056B-87FD-439A-8369-8F3E9EEE4290}" srcId="{CA11EEF5-4331-49CD-BCFF-93B9C510C9F0}" destId="{1349B35B-4627-4545-8618-2E7AC2948AF8}" srcOrd="0" destOrd="0" parTransId="{A89B0ED5-40BF-40EB-81BD-11728A88E73B}" sibTransId="{F20CD46D-890B-4CA6-9F2B-B6A22BC5DCD9}"/>
    <dgm:cxn modelId="{47DCA51D-E2D5-4F21-AF13-0DA328580064}" type="presParOf" srcId="{DA6B54AC-08DA-4DA9-A9D4-280E44F4C860}" destId="{F1855CE3-9D59-42FC-93E0-202EFEF7CD4B}" srcOrd="0"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11EEF5-4331-49CD-BCFF-93B9C510C9F0}" type="doc">
      <dgm:prSet loTypeId="urn:microsoft.com/office/officeart/2005/8/layout/default" loCatId="list" qsTypeId="urn:microsoft.com/office/officeart/2005/8/quickstyle/3d1" qsCatId="3D" csTypeId="urn:microsoft.com/office/officeart/2005/8/colors/accent5_4" csCatId="accent5" phldr="1"/>
      <dgm:spPr/>
      <dgm:t>
        <a:bodyPr/>
        <a:lstStyle/>
        <a:p>
          <a:endParaRPr lang="en-AU"/>
        </a:p>
      </dgm:t>
    </dgm:pt>
    <dgm:pt modelId="{1349B35B-4627-4545-8618-2E7AC2948AF8}">
      <dgm:prSet phldrT="[Text]" custT="1"/>
      <dgm:spPr>
        <a:scene3d>
          <a:camera prst="orthographicFront"/>
          <a:lightRig rig="flat" dir="t"/>
        </a:scene3d>
        <a:sp3d prstMaterial="plastic">
          <a:bevelT w="120900" h="88900" prst="angle"/>
          <a:bevelB w="88900" h="31750" prst="angle"/>
        </a:sp3d>
      </dgm:spPr>
      <dgm:t>
        <a:bodyPr/>
        <a:lstStyle/>
        <a:p>
          <a:pPr>
            <a:lnSpc>
              <a:spcPct val="108000"/>
            </a:lnSpc>
            <a:spcAft>
              <a:spcPct val="35000"/>
            </a:spcAft>
          </a:pPr>
          <a:r>
            <a:rPr lang="en-AU" sz="1400" b="1">
              <a:latin typeface="Arial" panose="020B0604020202020204" pitchFamily="34" charset="0"/>
              <a:cs typeface="Arial" panose="020B0604020202020204" pitchFamily="34" charset="0"/>
            </a:rPr>
            <a:t>How do you know which method was the successful one?</a:t>
          </a:r>
          <a:endParaRPr lang="en-AU" sz="1100">
            <a:latin typeface="Arial" panose="020B0604020202020204" pitchFamily="34" charset="0"/>
            <a:cs typeface="Arial" panose="020B0604020202020204" pitchFamily="34" charset="0"/>
          </a:endParaRPr>
        </a:p>
        <a:p>
          <a:pPr>
            <a:lnSpc>
              <a:spcPct val="108000"/>
            </a:lnSpc>
            <a:spcAft>
              <a:spcPts val="0"/>
            </a:spcAft>
          </a:pPr>
          <a:r>
            <a:rPr lang="en-AU" sz="1100">
              <a:latin typeface="Arial" panose="020B0604020202020204" pitchFamily="34" charset="0"/>
              <a:cs typeface="Arial" panose="020B0604020202020204" pitchFamily="34" charset="0"/>
            </a:rPr>
            <a:t>If a job seeker heard about a job through word of mouth and applied via an online advertisement, what was the successful method?</a:t>
          </a:r>
        </a:p>
        <a:p>
          <a:pPr>
            <a:lnSpc>
              <a:spcPct val="108000"/>
            </a:lnSpc>
            <a:spcAft>
              <a:spcPts val="0"/>
            </a:spcAft>
          </a:pPr>
          <a:endParaRPr lang="en-AU" sz="1100">
            <a:latin typeface="Arial" panose="020B0604020202020204" pitchFamily="34" charset="0"/>
            <a:cs typeface="Arial" panose="020B0604020202020204" pitchFamily="34" charset="0"/>
          </a:endParaRPr>
        </a:p>
        <a:p>
          <a:pPr>
            <a:lnSpc>
              <a:spcPct val="108000"/>
            </a:lnSpc>
            <a:spcAft>
              <a:spcPts val="0"/>
            </a:spcAft>
          </a:pPr>
          <a:r>
            <a:rPr lang="en-AU" sz="1100">
              <a:latin typeface="Arial" panose="020B0604020202020204" pitchFamily="34" charset="0"/>
              <a:cs typeface="Arial" panose="020B0604020202020204" pitchFamily="34" charset="0"/>
            </a:rPr>
            <a:t>How to respond is left to each individual employer. Some will only respond with how the job seeker contacted the employer, which may leave out how the job seeker found out about the vacancy.</a:t>
          </a:r>
        </a:p>
        <a:p>
          <a:pPr>
            <a:lnSpc>
              <a:spcPct val="108000"/>
            </a:lnSpc>
            <a:spcAft>
              <a:spcPts val="0"/>
            </a:spcAft>
          </a:pPr>
          <a:endParaRPr lang="en-AU" sz="1100">
            <a:latin typeface="Arial" panose="020B0604020202020204" pitchFamily="34" charset="0"/>
            <a:cs typeface="Arial" panose="020B0604020202020204" pitchFamily="34" charset="0"/>
          </a:endParaRPr>
        </a:p>
        <a:p>
          <a:pPr>
            <a:lnSpc>
              <a:spcPct val="108000"/>
            </a:lnSpc>
            <a:spcAft>
              <a:spcPts val="0"/>
            </a:spcAft>
          </a:pPr>
          <a:r>
            <a:rPr lang="en-AU" sz="1100">
              <a:latin typeface="Arial" panose="020B0604020202020204" pitchFamily="34" charset="0"/>
              <a:cs typeface="Arial" panose="020B0604020202020204" pitchFamily="34" charset="0"/>
            </a:rPr>
            <a:t>It should be noted then that more methods than just that reported as "successful" may have led to the vacancies being filled. </a:t>
          </a:r>
        </a:p>
      </dgm:t>
    </dgm:pt>
    <dgm:pt modelId="{A89B0ED5-40BF-40EB-81BD-11728A88E73B}" type="parTrans" cxnId="{327B056B-87FD-439A-8369-8F3E9EEE4290}">
      <dgm:prSet/>
      <dgm:spPr/>
      <dgm:t>
        <a:bodyPr/>
        <a:lstStyle/>
        <a:p>
          <a:endParaRPr lang="en-AU"/>
        </a:p>
      </dgm:t>
    </dgm:pt>
    <dgm:pt modelId="{F20CD46D-890B-4CA6-9F2B-B6A22BC5DCD9}" type="sibTrans" cxnId="{327B056B-87FD-439A-8369-8F3E9EEE4290}">
      <dgm:prSet/>
      <dgm:spPr/>
      <dgm:t>
        <a:bodyPr/>
        <a:lstStyle/>
        <a:p>
          <a:endParaRPr lang="en-AU"/>
        </a:p>
      </dgm:t>
    </dgm:pt>
    <dgm:pt modelId="{DA6B54AC-08DA-4DA9-A9D4-280E44F4C860}" type="pres">
      <dgm:prSet presAssocID="{CA11EEF5-4331-49CD-BCFF-93B9C510C9F0}" presName="diagram" presStyleCnt="0">
        <dgm:presLayoutVars>
          <dgm:dir/>
          <dgm:resizeHandles val="exact"/>
        </dgm:presLayoutVars>
      </dgm:prSet>
      <dgm:spPr/>
    </dgm:pt>
    <dgm:pt modelId="{F1855CE3-9D59-42FC-93E0-202EFEF7CD4B}" type="pres">
      <dgm:prSet presAssocID="{1349B35B-4627-4545-8618-2E7AC2948AF8}" presName="node" presStyleLbl="node1" presStyleIdx="0" presStyleCnt="1" custScaleX="168132" custScaleY="116545" custLinFactNeighborX="-1875" custLinFactNeighborY="-1600">
        <dgm:presLayoutVars>
          <dgm:bulletEnabled val="1"/>
        </dgm:presLayoutVars>
      </dgm:prSet>
      <dgm:spPr/>
    </dgm:pt>
  </dgm:ptLst>
  <dgm:cxnLst>
    <dgm:cxn modelId="{A318BA01-8485-4AA6-9F41-BB93A8B481E7}" type="presOf" srcId="{CA11EEF5-4331-49CD-BCFF-93B9C510C9F0}" destId="{DA6B54AC-08DA-4DA9-A9D4-280E44F4C860}" srcOrd="0" destOrd="0" presId="urn:microsoft.com/office/officeart/2005/8/layout/default"/>
    <dgm:cxn modelId="{5601130D-C329-408F-88AE-EEAA2996BA32}" type="presOf" srcId="{1349B35B-4627-4545-8618-2E7AC2948AF8}" destId="{F1855CE3-9D59-42FC-93E0-202EFEF7CD4B}" srcOrd="0" destOrd="0" presId="urn:microsoft.com/office/officeart/2005/8/layout/default"/>
    <dgm:cxn modelId="{327B056B-87FD-439A-8369-8F3E9EEE4290}" srcId="{CA11EEF5-4331-49CD-BCFF-93B9C510C9F0}" destId="{1349B35B-4627-4545-8618-2E7AC2948AF8}" srcOrd="0" destOrd="0" parTransId="{A89B0ED5-40BF-40EB-81BD-11728A88E73B}" sibTransId="{F20CD46D-890B-4CA6-9F2B-B6A22BC5DCD9}"/>
    <dgm:cxn modelId="{47DCA51D-E2D5-4F21-AF13-0DA328580064}" type="presParOf" srcId="{DA6B54AC-08DA-4DA9-A9D4-280E44F4C860}" destId="{F1855CE3-9D59-42FC-93E0-202EFEF7CD4B}" srcOrd="0" destOrd="0" presId="urn:microsoft.com/office/officeart/2005/8/layout/default"/>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A11EEF5-4331-49CD-BCFF-93B9C510C9F0}" type="doc">
      <dgm:prSet loTypeId="urn:microsoft.com/office/officeart/2005/8/layout/default" loCatId="list" qsTypeId="urn:microsoft.com/office/officeart/2005/8/quickstyle/3d1" qsCatId="3D" csTypeId="urn:microsoft.com/office/officeart/2005/8/colors/accent5_4" csCatId="accent5" phldr="1"/>
      <dgm:spPr/>
      <dgm:t>
        <a:bodyPr/>
        <a:lstStyle/>
        <a:p>
          <a:endParaRPr lang="en-AU"/>
        </a:p>
      </dgm:t>
    </dgm:pt>
    <dgm:pt modelId="{1349B35B-4627-4545-8618-2E7AC2948AF8}">
      <dgm:prSet phldrT="[Text]" custT="1"/>
      <dgm:spPr>
        <a:scene3d>
          <a:camera prst="orthographicFront"/>
          <a:lightRig rig="flat" dir="t"/>
        </a:scene3d>
        <a:sp3d prstMaterial="plastic">
          <a:bevelT w="120900" h="88900" prst="angle"/>
          <a:bevelB w="88900" h="31750" prst="angle"/>
        </a:sp3d>
      </dgm:spPr>
      <dgm:t>
        <a:bodyPr/>
        <a:lstStyle/>
        <a:p>
          <a:pPr>
            <a:lnSpc>
              <a:spcPct val="108000"/>
            </a:lnSpc>
            <a:spcAft>
              <a:spcPts val="600"/>
            </a:spcAft>
          </a:pPr>
          <a:r>
            <a:rPr lang="en-AU" sz="1400" b="1">
              <a:latin typeface="Arial" panose="020B0604020202020204" pitchFamily="34" charset="0"/>
              <a:cs typeface="Arial" panose="020B0604020202020204" pitchFamily="34" charset="0"/>
            </a:rPr>
            <a:t>The method isn't used.... until it's successful</a:t>
          </a:r>
        </a:p>
        <a:p>
          <a:pPr>
            <a:lnSpc>
              <a:spcPct val="108000"/>
            </a:lnSpc>
            <a:spcAft>
              <a:spcPts val="600"/>
            </a:spcAft>
          </a:pPr>
          <a:r>
            <a:rPr lang="en-AU" sz="1100" b="0">
              <a:latin typeface="Arial" panose="020B0604020202020204" pitchFamily="34" charset="0"/>
              <a:cs typeface="Arial" panose="020B0604020202020204" pitchFamily="34" charset="0"/>
            </a:rPr>
            <a:t>Informal methods of recuitment have a high success rate. A possible contributor to this is they are methods that employers don't use... until they work.</a:t>
          </a:r>
        </a:p>
        <a:p>
          <a:pPr>
            <a:lnSpc>
              <a:spcPct val="108000"/>
            </a:lnSpc>
            <a:spcAft>
              <a:spcPts val="600"/>
            </a:spcAft>
          </a:pPr>
          <a:r>
            <a:rPr lang="en-AU" sz="1100" b="0">
              <a:latin typeface="Arial" panose="020B0604020202020204" pitchFamily="34" charset="0"/>
              <a:cs typeface="Arial" panose="020B0604020202020204" pitchFamily="34" charset="0"/>
            </a:rPr>
            <a:t>As part of REOS, employers are asked for what methods they </a:t>
          </a:r>
          <a:r>
            <a:rPr lang="en-AU" sz="1100" b="0" i="1">
              <a:latin typeface="Arial" panose="020B0604020202020204" pitchFamily="34" charset="0"/>
              <a:cs typeface="Arial" panose="020B0604020202020204" pitchFamily="34" charset="0"/>
            </a:rPr>
            <a:t>actively</a:t>
          </a:r>
          <a:r>
            <a:rPr lang="en-AU" sz="1100" b="0">
              <a:latin typeface="Arial" panose="020B0604020202020204" pitchFamily="34" charset="0"/>
              <a:cs typeface="Arial" panose="020B0604020202020204" pitchFamily="34" charset="0"/>
            </a:rPr>
            <a:t> took to fill their most recent vacancies. Some employers may not actively spread the word about their vacancy or actively solicit direct applications from job seekers, but will be recorded as a successful method if a new hire is found that way.</a:t>
          </a:r>
        </a:p>
        <a:p>
          <a:pPr>
            <a:lnSpc>
              <a:spcPct val="108000"/>
            </a:lnSpc>
            <a:spcAft>
              <a:spcPts val="600"/>
            </a:spcAft>
          </a:pPr>
          <a:r>
            <a:rPr lang="en-AU" sz="1100" b="0" i="0">
              <a:latin typeface="Arial" panose="020B0604020202020204" pitchFamily="34" charset="0"/>
              <a:cs typeface="Arial" panose="020B0604020202020204" pitchFamily="34" charset="0"/>
            </a:rPr>
            <a:t>Job seekers should remain open to proactively approaching employers directly, even outside of traditional application processes, as these methods often lead to hires.</a:t>
          </a:r>
          <a:endParaRPr lang="en-AU" sz="1100" b="0">
            <a:latin typeface="Arial" panose="020B0604020202020204" pitchFamily="34" charset="0"/>
            <a:cs typeface="Arial" panose="020B0604020202020204" pitchFamily="34" charset="0"/>
          </a:endParaRPr>
        </a:p>
      </dgm:t>
    </dgm:pt>
    <dgm:pt modelId="{A89B0ED5-40BF-40EB-81BD-11728A88E73B}" type="parTrans" cxnId="{327B056B-87FD-439A-8369-8F3E9EEE4290}">
      <dgm:prSet/>
      <dgm:spPr/>
      <dgm:t>
        <a:bodyPr/>
        <a:lstStyle/>
        <a:p>
          <a:endParaRPr lang="en-AU"/>
        </a:p>
      </dgm:t>
    </dgm:pt>
    <dgm:pt modelId="{F20CD46D-890B-4CA6-9F2B-B6A22BC5DCD9}" type="sibTrans" cxnId="{327B056B-87FD-439A-8369-8F3E9EEE4290}">
      <dgm:prSet/>
      <dgm:spPr/>
      <dgm:t>
        <a:bodyPr/>
        <a:lstStyle/>
        <a:p>
          <a:endParaRPr lang="en-AU"/>
        </a:p>
      </dgm:t>
    </dgm:pt>
    <dgm:pt modelId="{DA6B54AC-08DA-4DA9-A9D4-280E44F4C860}" type="pres">
      <dgm:prSet presAssocID="{CA11EEF5-4331-49CD-BCFF-93B9C510C9F0}" presName="diagram" presStyleCnt="0">
        <dgm:presLayoutVars>
          <dgm:dir/>
          <dgm:resizeHandles val="exact"/>
        </dgm:presLayoutVars>
      </dgm:prSet>
      <dgm:spPr/>
    </dgm:pt>
    <dgm:pt modelId="{F1855CE3-9D59-42FC-93E0-202EFEF7CD4B}" type="pres">
      <dgm:prSet presAssocID="{1349B35B-4627-4545-8618-2E7AC2948AF8}" presName="node" presStyleLbl="node1" presStyleIdx="0" presStyleCnt="1" custScaleX="168132" custScaleY="116545" custLinFactNeighborX="1417" custLinFactNeighborY="-15818">
        <dgm:presLayoutVars>
          <dgm:bulletEnabled val="1"/>
        </dgm:presLayoutVars>
      </dgm:prSet>
      <dgm:spPr/>
    </dgm:pt>
  </dgm:ptLst>
  <dgm:cxnLst>
    <dgm:cxn modelId="{A318BA01-8485-4AA6-9F41-BB93A8B481E7}" type="presOf" srcId="{CA11EEF5-4331-49CD-BCFF-93B9C510C9F0}" destId="{DA6B54AC-08DA-4DA9-A9D4-280E44F4C860}" srcOrd="0" destOrd="0" presId="urn:microsoft.com/office/officeart/2005/8/layout/default"/>
    <dgm:cxn modelId="{5601130D-C329-408F-88AE-EEAA2996BA32}" type="presOf" srcId="{1349B35B-4627-4545-8618-2E7AC2948AF8}" destId="{F1855CE3-9D59-42FC-93E0-202EFEF7CD4B}" srcOrd="0" destOrd="0" presId="urn:microsoft.com/office/officeart/2005/8/layout/default"/>
    <dgm:cxn modelId="{327B056B-87FD-439A-8369-8F3E9EEE4290}" srcId="{CA11EEF5-4331-49CD-BCFF-93B9C510C9F0}" destId="{1349B35B-4627-4545-8618-2E7AC2948AF8}" srcOrd="0" destOrd="0" parTransId="{A89B0ED5-40BF-40EB-81BD-11728A88E73B}" sibTransId="{F20CD46D-890B-4CA6-9F2B-B6A22BC5DCD9}"/>
    <dgm:cxn modelId="{47DCA51D-E2D5-4F21-AF13-0DA328580064}" type="presParOf" srcId="{DA6B54AC-08DA-4DA9-A9D4-280E44F4C860}" destId="{F1855CE3-9D59-42FC-93E0-202EFEF7CD4B}" srcOrd="0"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55CE3-9D59-42FC-93E0-202EFEF7CD4B}">
      <dsp:nvSpPr>
        <dsp:cNvPr id="0" name=""/>
        <dsp:cNvSpPr/>
      </dsp:nvSpPr>
      <dsp:spPr>
        <a:xfrm>
          <a:off x="0" y="158664"/>
          <a:ext cx="5543137" cy="2305420"/>
        </a:xfrm>
        <a:prstGeom prst="rect">
          <a:avLst/>
        </a:prstGeom>
        <a:gradFill rotWithShape="0">
          <a:gsLst>
            <a:gs pos="0">
              <a:schemeClr val="accent5">
                <a:shade val="50000"/>
                <a:hueOff val="0"/>
                <a:satOff val="0"/>
                <a:lumOff val="0"/>
                <a:alphaOff val="0"/>
                <a:satMod val="103000"/>
                <a:lumMod val="102000"/>
                <a:tint val="94000"/>
              </a:schemeClr>
            </a:gs>
            <a:gs pos="50000">
              <a:schemeClr val="accent5">
                <a:shade val="50000"/>
                <a:hueOff val="0"/>
                <a:satOff val="0"/>
                <a:lumOff val="0"/>
                <a:alphaOff val="0"/>
                <a:satMod val="110000"/>
                <a:lumMod val="100000"/>
                <a:shade val="100000"/>
              </a:schemeClr>
            </a:gs>
            <a:gs pos="100000">
              <a:schemeClr val="accent5">
                <a:shade val="5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prst="angle"/>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4000" tIns="53340" rIns="144000" bIns="53340" numCol="1" spcCol="1270" anchor="ctr" anchorCtr="0">
          <a:noAutofit/>
        </a:bodyPr>
        <a:lstStyle/>
        <a:p>
          <a:pPr marL="0" lvl="0" indent="0" algn="ctr" defTabSz="622300">
            <a:lnSpc>
              <a:spcPct val="90000"/>
            </a:lnSpc>
            <a:spcBef>
              <a:spcPct val="0"/>
            </a:spcBef>
            <a:spcAft>
              <a:spcPct val="35000"/>
            </a:spcAft>
            <a:buNone/>
          </a:pPr>
          <a:r>
            <a:rPr lang="en-AU" sz="1400" b="1" kern="1200">
              <a:latin typeface="Arial" panose="020B0604020202020204" pitchFamily="34" charset="0"/>
              <a:cs typeface="Arial" panose="020B0604020202020204" pitchFamily="34" charset="0"/>
            </a:rPr>
            <a:t>In recruitment, what drives what?</a:t>
          </a:r>
        </a:p>
        <a:p>
          <a:pPr marL="0" lvl="0" indent="0" algn="ctr" defTabSz="622300">
            <a:lnSpc>
              <a:spcPct val="108000"/>
            </a:lnSpc>
            <a:spcBef>
              <a:spcPts val="600"/>
            </a:spcBef>
            <a:spcAft>
              <a:spcPts val="0"/>
            </a:spcAft>
            <a:buNone/>
          </a:pPr>
          <a:r>
            <a:rPr lang="en-AU" sz="1100" kern="1200">
              <a:latin typeface="Arial" panose="020B0604020202020204" pitchFamily="34" charset="0"/>
              <a:cs typeface="Arial" panose="020B0604020202020204" pitchFamily="34" charset="0"/>
            </a:rPr>
            <a:t>Do employers who experience difficulty filling vacancies use more recruitment methods, or does the choice of methods influence whether a role is difficult to fill.</a:t>
          </a:r>
        </a:p>
        <a:p>
          <a:pPr marL="0" lvl="0" indent="0" algn="ctr" defTabSz="622300">
            <a:lnSpc>
              <a:spcPct val="108000"/>
            </a:lnSpc>
            <a:spcBef>
              <a:spcPts val="600"/>
            </a:spcBef>
            <a:spcAft>
              <a:spcPts val="0"/>
            </a:spcAft>
            <a:buNone/>
          </a:pPr>
          <a:r>
            <a:rPr lang="en-AU" sz="1100" kern="1200">
              <a:latin typeface="Arial" panose="020B0604020202020204" pitchFamily="34" charset="0"/>
              <a:cs typeface="Arial" panose="020B0604020202020204" pitchFamily="34" charset="0"/>
            </a:rPr>
            <a:t> The reality is that the recruitment market is highly diverse, and there is no single rule that applies universally. Factors such as industry, occupation, and location –particularly for employers in regional or remote areas – play a significant role in shaping both recruitment strategies and outcomes. </a:t>
          </a:r>
        </a:p>
        <a:p>
          <a:pPr marL="0" lvl="0" indent="0" algn="ctr" defTabSz="622300">
            <a:lnSpc>
              <a:spcPct val="108000"/>
            </a:lnSpc>
            <a:spcBef>
              <a:spcPts val="600"/>
            </a:spcBef>
            <a:spcAft>
              <a:spcPts val="0"/>
            </a:spcAft>
            <a:buNone/>
          </a:pPr>
          <a:r>
            <a:rPr lang="en-AU" sz="1100" kern="1200">
              <a:latin typeface="Arial" panose="020B0604020202020204" pitchFamily="34" charset="0"/>
              <a:cs typeface="Arial" panose="020B0604020202020204" pitchFamily="34" charset="0"/>
            </a:rPr>
            <a:t>This report does not attempt to establish cause-and-effect relationships within the recruitment process. Instead, it focuses on identifying patterns and the methods they use under different circumstances.</a:t>
          </a:r>
        </a:p>
      </dsp:txBody>
      <dsp:txXfrm>
        <a:off x="0" y="158664"/>
        <a:ext cx="5543137" cy="23054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55CE3-9D59-42FC-93E0-202EFEF7CD4B}">
      <dsp:nvSpPr>
        <dsp:cNvPr id="0" name=""/>
        <dsp:cNvSpPr/>
      </dsp:nvSpPr>
      <dsp:spPr>
        <a:xfrm>
          <a:off x="0" y="2129"/>
          <a:ext cx="5673938" cy="2359821"/>
        </a:xfrm>
        <a:prstGeom prst="rect">
          <a:avLst/>
        </a:prstGeom>
        <a:gradFill rotWithShape="0">
          <a:gsLst>
            <a:gs pos="0">
              <a:schemeClr val="accent5">
                <a:shade val="50000"/>
                <a:hueOff val="0"/>
                <a:satOff val="0"/>
                <a:lumOff val="0"/>
                <a:alphaOff val="0"/>
                <a:satMod val="103000"/>
                <a:lumMod val="102000"/>
                <a:tint val="94000"/>
              </a:schemeClr>
            </a:gs>
            <a:gs pos="50000">
              <a:schemeClr val="accent5">
                <a:shade val="50000"/>
                <a:hueOff val="0"/>
                <a:satOff val="0"/>
                <a:lumOff val="0"/>
                <a:alphaOff val="0"/>
                <a:satMod val="110000"/>
                <a:lumMod val="100000"/>
                <a:shade val="100000"/>
              </a:schemeClr>
            </a:gs>
            <a:gs pos="100000">
              <a:schemeClr val="accent5">
                <a:shade val="5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prst="angle"/>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8000"/>
            </a:lnSpc>
            <a:spcBef>
              <a:spcPct val="0"/>
            </a:spcBef>
            <a:spcAft>
              <a:spcPct val="35000"/>
            </a:spcAft>
            <a:buNone/>
          </a:pPr>
          <a:r>
            <a:rPr lang="en-AU" sz="1400" b="1" kern="1200">
              <a:latin typeface="Arial" panose="020B0604020202020204" pitchFamily="34" charset="0"/>
              <a:cs typeface="Arial" panose="020B0604020202020204" pitchFamily="34" charset="0"/>
            </a:rPr>
            <a:t>How do you know which method was the successful one?</a:t>
          </a:r>
          <a:endParaRPr lang="en-AU" sz="1100" kern="1200">
            <a:latin typeface="Arial" panose="020B0604020202020204" pitchFamily="34" charset="0"/>
            <a:cs typeface="Arial" panose="020B0604020202020204" pitchFamily="34" charset="0"/>
          </a:endParaRPr>
        </a:p>
        <a:p>
          <a:pPr marL="0" lvl="0" indent="0" algn="ctr" defTabSz="622300">
            <a:lnSpc>
              <a:spcPct val="108000"/>
            </a:lnSpc>
            <a:spcBef>
              <a:spcPct val="0"/>
            </a:spcBef>
            <a:spcAft>
              <a:spcPts val="0"/>
            </a:spcAft>
            <a:buNone/>
          </a:pPr>
          <a:r>
            <a:rPr lang="en-AU" sz="1100" kern="1200">
              <a:latin typeface="Arial" panose="020B0604020202020204" pitchFamily="34" charset="0"/>
              <a:cs typeface="Arial" panose="020B0604020202020204" pitchFamily="34" charset="0"/>
            </a:rPr>
            <a:t>If a job seeker heard about a job through word of mouth and applied via an online advertisement, what was the successful method?</a:t>
          </a:r>
        </a:p>
        <a:p>
          <a:pPr marL="0" lvl="0" indent="0" algn="ctr" defTabSz="622300">
            <a:lnSpc>
              <a:spcPct val="108000"/>
            </a:lnSpc>
            <a:spcBef>
              <a:spcPct val="0"/>
            </a:spcBef>
            <a:spcAft>
              <a:spcPts val="0"/>
            </a:spcAft>
            <a:buNone/>
          </a:pPr>
          <a:endParaRPr lang="en-AU" sz="1100" kern="1200">
            <a:latin typeface="Arial" panose="020B0604020202020204" pitchFamily="34" charset="0"/>
            <a:cs typeface="Arial" panose="020B0604020202020204" pitchFamily="34" charset="0"/>
          </a:endParaRPr>
        </a:p>
        <a:p>
          <a:pPr marL="0" lvl="0" indent="0" algn="ctr" defTabSz="622300">
            <a:lnSpc>
              <a:spcPct val="108000"/>
            </a:lnSpc>
            <a:spcBef>
              <a:spcPct val="0"/>
            </a:spcBef>
            <a:spcAft>
              <a:spcPts val="0"/>
            </a:spcAft>
            <a:buNone/>
          </a:pPr>
          <a:r>
            <a:rPr lang="en-AU" sz="1100" kern="1200">
              <a:latin typeface="Arial" panose="020B0604020202020204" pitchFamily="34" charset="0"/>
              <a:cs typeface="Arial" panose="020B0604020202020204" pitchFamily="34" charset="0"/>
            </a:rPr>
            <a:t>How to respond is left to each individual employer. Some will only respond with how the job seeker contacted the employer, which may leave out how the job seeker found out about the vacancy.</a:t>
          </a:r>
        </a:p>
        <a:p>
          <a:pPr marL="0" lvl="0" indent="0" algn="ctr" defTabSz="622300">
            <a:lnSpc>
              <a:spcPct val="108000"/>
            </a:lnSpc>
            <a:spcBef>
              <a:spcPct val="0"/>
            </a:spcBef>
            <a:spcAft>
              <a:spcPts val="0"/>
            </a:spcAft>
            <a:buNone/>
          </a:pPr>
          <a:endParaRPr lang="en-AU" sz="1100" kern="1200">
            <a:latin typeface="Arial" panose="020B0604020202020204" pitchFamily="34" charset="0"/>
            <a:cs typeface="Arial" panose="020B0604020202020204" pitchFamily="34" charset="0"/>
          </a:endParaRPr>
        </a:p>
        <a:p>
          <a:pPr marL="0" lvl="0" indent="0" algn="ctr" defTabSz="622300">
            <a:lnSpc>
              <a:spcPct val="108000"/>
            </a:lnSpc>
            <a:spcBef>
              <a:spcPct val="0"/>
            </a:spcBef>
            <a:spcAft>
              <a:spcPts val="0"/>
            </a:spcAft>
            <a:buNone/>
          </a:pPr>
          <a:r>
            <a:rPr lang="en-AU" sz="1100" kern="1200">
              <a:latin typeface="Arial" panose="020B0604020202020204" pitchFamily="34" charset="0"/>
              <a:cs typeface="Arial" panose="020B0604020202020204" pitchFamily="34" charset="0"/>
            </a:rPr>
            <a:t>It should be noted then that more methods than just that reported as "successful" may have led to the vacancies being filled. </a:t>
          </a:r>
        </a:p>
      </dsp:txBody>
      <dsp:txXfrm>
        <a:off x="0" y="2129"/>
        <a:ext cx="5673938" cy="23598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55CE3-9D59-42FC-93E0-202EFEF7CD4B}">
      <dsp:nvSpPr>
        <dsp:cNvPr id="0" name=""/>
        <dsp:cNvSpPr/>
      </dsp:nvSpPr>
      <dsp:spPr>
        <a:xfrm>
          <a:off x="421" y="0"/>
          <a:ext cx="5673938" cy="2359821"/>
        </a:xfrm>
        <a:prstGeom prst="rect">
          <a:avLst/>
        </a:prstGeom>
        <a:gradFill rotWithShape="0">
          <a:gsLst>
            <a:gs pos="0">
              <a:schemeClr val="accent5">
                <a:shade val="50000"/>
                <a:hueOff val="0"/>
                <a:satOff val="0"/>
                <a:lumOff val="0"/>
                <a:alphaOff val="0"/>
                <a:satMod val="103000"/>
                <a:lumMod val="102000"/>
                <a:tint val="94000"/>
              </a:schemeClr>
            </a:gs>
            <a:gs pos="50000">
              <a:schemeClr val="accent5">
                <a:shade val="50000"/>
                <a:hueOff val="0"/>
                <a:satOff val="0"/>
                <a:lumOff val="0"/>
                <a:alphaOff val="0"/>
                <a:satMod val="110000"/>
                <a:lumMod val="100000"/>
                <a:shade val="100000"/>
              </a:schemeClr>
            </a:gs>
            <a:gs pos="100000">
              <a:schemeClr val="accent5">
                <a:shade val="5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prst="angle"/>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8000"/>
            </a:lnSpc>
            <a:spcBef>
              <a:spcPct val="0"/>
            </a:spcBef>
            <a:spcAft>
              <a:spcPts val="600"/>
            </a:spcAft>
            <a:buNone/>
          </a:pPr>
          <a:r>
            <a:rPr lang="en-AU" sz="1400" b="1" kern="1200">
              <a:latin typeface="Arial" panose="020B0604020202020204" pitchFamily="34" charset="0"/>
              <a:cs typeface="Arial" panose="020B0604020202020204" pitchFamily="34" charset="0"/>
            </a:rPr>
            <a:t>The method isn't used.... until it's successful</a:t>
          </a:r>
        </a:p>
        <a:p>
          <a:pPr marL="0" lvl="0" indent="0" algn="ctr" defTabSz="622300">
            <a:lnSpc>
              <a:spcPct val="108000"/>
            </a:lnSpc>
            <a:spcBef>
              <a:spcPct val="0"/>
            </a:spcBef>
            <a:spcAft>
              <a:spcPts val="600"/>
            </a:spcAft>
            <a:buNone/>
          </a:pPr>
          <a:r>
            <a:rPr lang="en-AU" sz="1100" b="0" kern="1200">
              <a:latin typeface="Arial" panose="020B0604020202020204" pitchFamily="34" charset="0"/>
              <a:cs typeface="Arial" panose="020B0604020202020204" pitchFamily="34" charset="0"/>
            </a:rPr>
            <a:t>Informal methods of recuitment have a high success rate. A possible contributor to this is they are methods that employers don't use... until they work.</a:t>
          </a:r>
        </a:p>
        <a:p>
          <a:pPr marL="0" lvl="0" indent="0" algn="ctr" defTabSz="622300">
            <a:lnSpc>
              <a:spcPct val="108000"/>
            </a:lnSpc>
            <a:spcBef>
              <a:spcPct val="0"/>
            </a:spcBef>
            <a:spcAft>
              <a:spcPts val="600"/>
            </a:spcAft>
            <a:buNone/>
          </a:pPr>
          <a:r>
            <a:rPr lang="en-AU" sz="1100" b="0" kern="1200">
              <a:latin typeface="Arial" panose="020B0604020202020204" pitchFamily="34" charset="0"/>
              <a:cs typeface="Arial" panose="020B0604020202020204" pitchFamily="34" charset="0"/>
            </a:rPr>
            <a:t>As part of REOS, employers are asked for what methods they </a:t>
          </a:r>
          <a:r>
            <a:rPr lang="en-AU" sz="1100" b="0" i="1" kern="1200">
              <a:latin typeface="Arial" panose="020B0604020202020204" pitchFamily="34" charset="0"/>
              <a:cs typeface="Arial" panose="020B0604020202020204" pitchFamily="34" charset="0"/>
            </a:rPr>
            <a:t>actively</a:t>
          </a:r>
          <a:r>
            <a:rPr lang="en-AU" sz="1100" b="0" kern="1200">
              <a:latin typeface="Arial" panose="020B0604020202020204" pitchFamily="34" charset="0"/>
              <a:cs typeface="Arial" panose="020B0604020202020204" pitchFamily="34" charset="0"/>
            </a:rPr>
            <a:t> took to fill their most recent vacancies. Some employers may not actively spread the word about their vacancy or actively solicit direct applications from job seekers, but will be recorded as a successful method if a new hire is found that way.</a:t>
          </a:r>
        </a:p>
        <a:p>
          <a:pPr marL="0" lvl="0" indent="0" algn="ctr" defTabSz="622300">
            <a:lnSpc>
              <a:spcPct val="108000"/>
            </a:lnSpc>
            <a:spcBef>
              <a:spcPct val="0"/>
            </a:spcBef>
            <a:spcAft>
              <a:spcPts val="600"/>
            </a:spcAft>
            <a:buNone/>
          </a:pPr>
          <a:r>
            <a:rPr lang="en-AU" sz="1100" b="0" i="0" kern="1200">
              <a:latin typeface="Arial" panose="020B0604020202020204" pitchFamily="34" charset="0"/>
              <a:cs typeface="Arial" panose="020B0604020202020204" pitchFamily="34" charset="0"/>
            </a:rPr>
            <a:t>Job seekers should remain open to proactively approaching employers directly, even outside of traditional application processes, as these methods often lead to hires.</a:t>
          </a:r>
          <a:endParaRPr lang="en-AU" sz="1100" b="0" kern="1200">
            <a:latin typeface="Arial" panose="020B0604020202020204" pitchFamily="34" charset="0"/>
            <a:cs typeface="Arial" panose="020B0604020202020204" pitchFamily="34" charset="0"/>
          </a:endParaRPr>
        </a:p>
      </dsp:txBody>
      <dsp:txXfrm>
        <a:off x="421" y="0"/>
        <a:ext cx="5673938" cy="235982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0.17795</cdr:x>
      <cdr:y>0.15466</cdr:y>
    </cdr:from>
    <cdr:to>
      <cdr:x>0.74897</cdr:x>
      <cdr:y>0.22384</cdr:y>
    </cdr:to>
    <cdr:sp macro="" textlink="">
      <cdr:nvSpPr>
        <cdr:cNvPr id="2" name="Right Brace 1">
          <a:extLst xmlns:a="http://schemas.openxmlformats.org/drawingml/2006/main">
            <a:ext uri="{FF2B5EF4-FFF2-40B4-BE49-F238E27FC236}">
              <a16:creationId xmlns:a16="http://schemas.microsoft.com/office/drawing/2014/main" id="{F77829BE-539D-A26E-5D10-E9F31598BF4B}"/>
            </a:ext>
          </a:extLst>
        </cdr:cNvPr>
        <cdr:cNvSpPr/>
      </cdr:nvSpPr>
      <cdr:spPr>
        <a:xfrm xmlns:a="http://schemas.openxmlformats.org/drawingml/2006/main" rot="16200000">
          <a:off x="3409160" y="-1348584"/>
          <a:ext cx="309561" cy="4391027"/>
        </a:xfrm>
        <a:prstGeom xmlns:a="http://schemas.openxmlformats.org/drawingml/2006/main" prst="rightBrace">
          <a:avLst/>
        </a:prstGeom>
        <a:ln xmlns:a="http://schemas.openxmlformats.org/drawingml/2006/main">
          <a:solidFill>
            <a:schemeClr val="tx1"/>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AU" kern="1200"/>
        </a:p>
      </cdr:txBody>
    </cdr:sp>
  </cdr:relSizeAnchor>
  <cdr:relSizeAnchor xmlns:cdr="http://schemas.openxmlformats.org/drawingml/2006/chartDrawing">
    <cdr:from>
      <cdr:x>0.31145</cdr:x>
      <cdr:y>0.05363</cdr:y>
    </cdr:from>
    <cdr:to>
      <cdr:x>0.61323</cdr:x>
      <cdr:y>0.15287</cdr:y>
    </cdr:to>
    <cdr:sp macro="" textlink="">
      <cdr:nvSpPr>
        <cdr:cNvPr id="3" name="TextBox 2">
          <a:extLst xmlns:a="http://schemas.openxmlformats.org/drawingml/2006/main">
            <a:ext uri="{FF2B5EF4-FFF2-40B4-BE49-F238E27FC236}">
              <a16:creationId xmlns:a16="http://schemas.microsoft.com/office/drawing/2014/main" id="{94BEC50C-BFA0-0CE8-789B-7577C467F8A3}"/>
            </a:ext>
          </a:extLst>
        </cdr:cNvPr>
        <cdr:cNvSpPr txBox="1"/>
      </cdr:nvSpPr>
      <cdr:spPr>
        <a:xfrm xmlns:a="http://schemas.openxmlformats.org/drawingml/2006/main">
          <a:off x="1785077" y="160406"/>
          <a:ext cx="1729648" cy="2967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200" kern="1200">
              <a:latin typeface="+mn-lt"/>
              <a:cs typeface="Arial" panose="020B0604020202020204" pitchFamily="34" charset="0"/>
            </a:rPr>
            <a:t>Mostly higher</a:t>
          </a:r>
          <a:r>
            <a:rPr lang="en-AU" sz="1200" kern="1200" baseline="0">
              <a:latin typeface="+mn-lt"/>
              <a:cs typeface="Arial" panose="020B0604020202020204" pitchFamily="34" charset="0"/>
            </a:rPr>
            <a:t> skilled</a:t>
          </a:r>
          <a:endParaRPr lang="en-AU" sz="1200" kern="1200">
            <a:latin typeface="+mn-lt"/>
            <a:cs typeface="Arial" panose="020B0604020202020204" pitchFamily="34" charset="0"/>
          </a:endParaRPr>
        </a:p>
      </cdr:txBody>
    </cdr:sp>
  </cdr:relSizeAnchor>
  <cdr:relSizeAnchor xmlns:cdr="http://schemas.openxmlformats.org/drawingml/2006/chartDrawing">
    <cdr:from>
      <cdr:x>0.17754</cdr:x>
      <cdr:y>0.75204</cdr:y>
    </cdr:from>
    <cdr:to>
      <cdr:x>0.51858</cdr:x>
      <cdr:y>0.81554</cdr:y>
    </cdr:to>
    <cdr:sp macro="" textlink="">
      <cdr:nvSpPr>
        <cdr:cNvPr id="4" name="Right Brace 3">
          <a:extLst xmlns:a="http://schemas.openxmlformats.org/drawingml/2006/main">
            <a:ext uri="{FF2B5EF4-FFF2-40B4-BE49-F238E27FC236}">
              <a16:creationId xmlns:a16="http://schemas.microsoft.com/office/drawing/2014/main" id="{16CB072C-FAB6-E68D-B562-41DD2C349E78}"/>
            </a:ext>
          </a:extLst>
        </cdr:cNvPr>
        <cdr:cNvSpPr/>
      </cdr:nvSpPr>
      <cdr:spPr>
        <a:xfrm xmlns:a="http://schemas.openxmlformats.org/drawingml/2006/main" rot="5400000">
          <a:off x="2534443" y="2196306"/>
          <a:ext cx="284163" cy="2622551"/>
        </a:xfrm>
        <a:prstGeom xmlns:a="http://schemas.openxmlformats.org/drawingml/2006/main" prst="rightBrace">
          <a:avLst/>
        </a:prstGeom>
        <a:ln xmlns:a="http://schemas.openxmlformats.org/drawingml/2006/main">
          <a:solidFill>
            <a:schemeClr val="tx1"/>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AU" kern="1200"/>
        </a:p>
      </cdr:txBody>
    </cdr:sp>
  </cdr:relSizeAnchor>
  <cdr:relSizeAnchor xmlns:cdr="http://schemas.openxmlformats.org/drawingml/2006/chartDrawing">
    <cdr:from>
      <cdr:x>0.19617</cdr:x>
      <cdr:y>0.82551</cdr:y>
    </cdr:from>
    <cdr:to>
      <cdr:x>0.51019</cdr:x>
      <cdr:y>0.90764</cdr:y>
    </cdr:to>
    <cdr:sp macro="" textlink="">
      <cdr:nvSpPr>
        <cdr:cNvPr id="5" name="TextBox 1">
          <a:extLst xmlns:a="http://schemas.openxmlformats.org/drawingml/2006/main">
            <a:ext uri="{FF2B5EF4-FFF2-40B4-BE49-F238E27FC236}">
              <a16:creationId xmlns:a16="http://schemas.microsoft.com/office/drawing/2014/main" id="{49928D74-5B4A-0D98-CA28-46ADBDBF4A90}"/>
            </a:ext>
          </a:extLst>
        </cdr:cNvPr>
        <cdr:cNvSpPr txBox="1"/>
      </cdr:nvSpPr>
      <cdr:spPr>
        <a:xfrm xmlns:a="http://schemas.openxmlformats.org/drawingml/2006/main">
          <a:off x="1124377" y="2468965"/>
          <a:ext cx="1799798" cy="2456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200" kern="1200">
              <a:latin typeface="+mn-lt"/>
              <a:cs typeface="Arial" panose="020B0604020202020204" pitchFamily="34" charset="0"/>
            </a:rPr>
            <a:t>Mostly lower</a:t>
          </a:r>
          <a:r>
            <a:rPr lang="en-AU" sz="1200" kern="1200" baseline="0">
              <a:latin typeface="+mn-lt"/>
              <a:cs typeface="Arial" panose="020B0604020202020204" pitchFamily="34" charset="0"/>
            </a:rPr>
            <a:t> skilled</a:t>
          </a:r>
          <a:endParaRPr lang="en-AU" sz="1200" kern="1200">
            <a:latin typeface="+mn-lt"/>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4507</Words>
  <Characters>25782</Characters>
  <Application>Microsoft Office Word</Application>
  <DocSecurity>0</DocSecurity>
  <Lines>889</Lines>
  <Paragraphs>582</Paragraphs>
  <ScaleCrop>false</ScaleCrop>
  <Manager/>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2026-02-25T23:23:00Z</dcterms:created>
  <dcterms:modified xsi:type="dcterms:W3CDTF">2026-02-25T23:26:00Z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2026-02-25T23:24:19Z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49be5947-dd92-4fd6-b1b9-e7ba0dedd63d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