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5DD32" w14:textId="62C57D2F" w:rsidR="00D10492" w:rsidRDefault="00FD6456" w:rsidP="0081036F">
      <w:bookmarkStart w:id="0" w:name="_Hlk214480194"/>
      <w:bookmarkEnd w:id="0"/>
      <w:r>
        <w:rPr>
          <w:noProof/>
        </w:rPr>
        <w:drawing>
          <wp:inline distT="0" distB="0" distL="0" distR="0" wp14:anchorId="5A0F6164" wp14:editId="4D6064EA">
            <wp:extent cx="95263" cy="95263"/>
            <wp:effectExtent l="0" t="0" r="0" b="0"/>
            <wp:docPr id="1997040210" name="Picture 9" descr="Australian Government Jobs and Skill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40210" name="Picture 9" descr="Australian Government Jobs and Skills Australia"/>
                    <pic:cNvPicPr/>
                  </pic:nvPicPr>
                  <pic:blipFill>
                    <a:blip r:embed="rId8">
                      <a:extLst>
                        <a:ext uri="{28A0092B-C50C-407E-A947-70E740481C1C}">
                          <a14:useLocalDpi xmlns:a14="http://schemas.microsoft.com/office/drawing/2010/main" val="0"/>
                        </a:ext>
                      </a:extLst>
                    </a:blip>
                    <a:stretch>
                      <a:fillRect/>
                    </a:stretch>
                  </pic:blipFill>
                  <pic:spPr>
                    <a:xfrm>
                      <a:off x="0" y="0"/>
                      <a:ext cx="95263" cy="95263"/>
                    </a:xfrm>
                    <a:prstGeom prst="rect">
                      <a:avLst/>
                    </a:prstGeom>
                  </pic:spPr>
                </pic:pic>
              </a:graphicData>
            </a:graphic>
          </wp:inline>
        </w:drawing>
      </w:r>
      <w:r w:rsidR="00753665">
        <w:rPr>
          <w:noProof/>
        </w:rPr>
        <w:drawing>
          <wp:anchor distT="0" distB="0" distL="114300" distR="114300" simplePos="0" relativeHeight="251658240" behindDoc="1" locked="0" layoutInCell="1" allowOverlap="1" wp14:anchorId="15A583EE" wp14:editId="26881E2F">
            <wp:simplePos x="0" y="0"/>
            <wp:positionH relativeFrom="page">
              <wp:align>center</wp:align>
            </wp:positionH>
            <wp:positionV relativeFrom="page">
              <wp:posOffset>0</wp:posOffset>
            </wp:positionV>
            <wp:extent cx="7560000" cy="3596400"/>
            <wp:effectExtent l="0" t="0" r="3175" b="4445"/>
            <wp:wrapNone/>
            <wp:docPr id="150059959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99590" name="Picture 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3596400"/>
                    </a:xfrm>
                    <a:prstGeom prst="rect">
                      <a:avLst/>
                    </a:prstGeom>
                  </pic:spPr>
                </pic:pic>
              </a:graphicData>
            </a:graphic>
            <wp14:sizeRelH relativeFrom="margin">
              <wp14:pctWidth>0</wp14:pctWidth>
            </wp14:sizeRelH>
            <wp14:sizeRelV relativeFrom="margin">
              <wp14:pctHeight>0</wp14:pctHeight>
            </wp14:sizeRelV>
          </wp:anchor>
        </w:drawing>
      </w:r>
    </w:p>
    <w:p w14:paraId="0AACF3F8" w14:textId="2D3B67E8" w:rsidR="001B1EB2" w:rsidRPr="00AF14B2" w:rsidRDefault="003E31B5" w:rsidP="00121C35">
      <w:pPr>
        <w:pStyle w:val="Heading1"/>
        <w:spacing w:before="1740"/>
        <w:rPr>
          <w:color w:val="FFFFFF" w:themeColor="background1"/>
          <w:sz w:val="58"/>
          <w:szCs w:val="58"/>
        </w:rPr>
      </w:pPr>
      <w:r>
        <w:rPr>
          <w:color w:val="FFFFFF" w:themeColor="background1"/>
          <w:sz w:val="58"/>
          <w:szCs w:val="58"/>
        </w:rPr>
        <w:t>Total New Vacancies</w:t>
      </w:r>
    </w:p>
    <w:p w14:paraId="28183189" w14:textId="2E22C4FC" w:rsidR="001B1EB2" w:rsidRPr="00AF14B2" w:rsidRDefault="00DE5E50" w:rsidP="0081036F">
      <w:pPr>
        <w:rPr>
          <w:color w:val="FFFFFF" w:themeColor="background1"/>
          <w:sz w:val="44"/>
          <w:szCs w:val="44"/>
        </w:rPr>
      </w:pPr>
      <w:r>
        <w:rPr>
          <w:color w:val="FFFFFF" w:themeColor="background1"/>
          <w:sz w:val="44"/>
          <w:szCs w:val="44"/>
        </w:rPr>
        <w:t>November</w:t>
      </w:r>
      <w:r w:rsidR="003E31B5">
        <w:rPr>
          <w:color w:val="FFFFFF" w:themeColor="background1"/>
          <w:sz w:val="44"/>
          <w:szCs w:val="44"/>
        </w:rPr>
        <w:t xml:space="preserve"> 2025</w:t>
      </w:r>
      <w:r w:rsidR="008E60CF">
        <w:rPr>
          <w:color w:val="FFFFFF" w:themeColor="background1"/>
          <w:sz w:val="44"/>
          <w:szCs w:val="44"/>
        </w:rPr>
        <w:t xml:space="preserve"> quarter</w:t>
      </w:r>
    </w:p>
    <w:p w14:paraId="5AE64FAA" w14:textId="0C3FF174" w:rsidR="005E30E3" w:rsidRPr="003E31B5" w:rsidRDefault="00986594" w:rsidP="003E31B5">
      <w:pPr>
        <w:spacing w:before="280" w:after="840"/>
        <w:rPr>
          <w:color w:val="FFFFFF" w:themeColor="background1"/>
          <w:sz w:val="24"/>
          <w:szCs w:val="24"/>
        </w:rPr>
        <w:sectPr w:rsidR="005E30E3" w:rsidRPr="003E31B5" w:rsidSect="004860A5">
          <w:footerReference w:type="default" r:id="rId10"/>
          <w:footerReference w:type="first" r:id="rId11"/>
          <w:type w:val="continuous"/>
          <w:pgSz w:w="11906" w:h="16838"/>
          <w:pgMar w:top="1361" w:right="1134" w:bottom="1134" w:left="1134" w:header="0" w:footer="454" w:gutter="0"/>
          <w:pgNumType w:start="1"/>
          <w:cols w:space="708"/>
          <w:docGrid w:linePitch="360"/>
        </w:sectPr>
      </w:pPr>
      <w:r>
        <w:rPr>
          <w:noProof/>
        </w:rPr>
        <mc:AlternateContent>
          <mc:Choice Requires="wpg">
            <w:drawing>
              <wp:anchor distT="0" distB="0" distL="114300" distR="114300" simplePos="0" relativeHeight="251658243" behindDoc="0" locked="0" layoutInCell="1" allowOverlap="1" wp14:anchorId="0C6AE8C5" wp14:editId="7C5754E1">
                <wp:simplePos x="0" y="0"/>
                <wp:positionH relativeFrom="column">
                  <wp:posOffset>3043555</wp:posOffset>
                </wp:positionH>
                <wp:positionV relativeFrom="paragraph">
                  <wp:posOffset>782955</wp:posOffset>
                </wp:positionV>
                <wp:extent cx="3367405" cy="5998845"/>
                <wp:effectExtent l="0" t="19050" r="4445" b="1905"/>
                <wp:wrapSquare wrapText="bothSides"/>
                <wp:docPr id="122899675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7405" cy="5998845"/>
                          <a:chOff x="-296883" y="0"/>
                          <a:chExt cx="3314700" cy="5326974"/>
                        </a:xfrm>
                      </wpg:grpSpPr>
                      <wpg:grpSp>
                        <wpg:cNvPr id="1794477193" name="Group 2"/>
                        <wpg:cNvGrpSpPr/>
                        <wpg:grpSpPr>
                          <a:xfrm>
                            <a:off x="57150" y="0"/>
                            <a:ext cx="2707640" cy="2124075"/>
                            <a:chOff x="0" y="0"/>
                            <a:chExt cx="2707640" cy="2124075"/>
                          </a:xfrm>
                        </wpg:grpSpPr>
                        <wps:wsp>
                          <wps:cNvPr id="1158308653" name="Rectangle 1"/>
                          <wps:cNvSpPr/>
                          <wps:spPr>
                            <a:xfrm>
                              <a:off x="0" y="0"/>
                              <a:ext cx="1457325" cy="895350"/>
                            </a:xfrm>
                            <a:prstGeom prst="rect">
                              <a:avLst/>
                            </a:prstGeom>
                            <a:solidFill>
                              <a:schemeClr val="accent1">
                                <a:lumMod val="50000"/>
                              </a:schemeClr>
                            </a:solid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BCAFE7" w14:textId="77777777" w:rsidR="0080538D" w:rsidRPr="00DE64B7" w:rsidRDefault="0080538D" w:rsidP="0080538D">
                                <w:pPr>
                                  <w:spacing w:after="0"/>
                                  <w:jc w:val="center"/>
                                  <w:rPr>
                                    <w:b/>
                                    <w:bCs/>
                                    <w:color w:val="FFFFFF" w:themeColor="background1"/>
                                    <w:sz w:val="44"/>
                                    <w:szCs w:val="44"/>
                                  </w:rPr>
                                </w:pPr>
                                <w:r>
                                  <w:rPr>
                                    <w:b/>
                                    <w:bCs/>
                                    <w:color w:val="FFFFFF" w:themeColor="background1"/>
                                    <w:sz w:val="44"/>
                                    <w:szCs w:val="44"/>
                                  </w:rPr>
                                  <w:t>1,310,400</w:t>
                                </w:r>
                              </w:p>
                              <w:p w14:paraId="30BA1C01" w14:textId="77777777" w:rsidR="00D95909" w:rsidRDefault="0080538D" w:rsidP="00D95909">
                                <w:pPr>
                                  <w:spacing w:before="120" w:after="0"/>
                                  <w:jc w:val="center"/>
                                  <w:rPr>
                                    <w:b/>
                                    <w:bCs/>
                                    <w:color w:val="FFFFFF" w:themeColor="background1"/>
                                    <w:sz w:val="20"/>
                                    <w:szCs w:val="20"/>
                                  </w:rPr>
                                </w:pPr>
                                <w:r>
                                  <w:rPr>
                                    <w:b/>
                                    <w:bCs/>
                                    <w:color w:val="FFFFFF" w:themeColor="background1"/>
                                    <w:sz w:val="20"/>
                                    <w:szCs w:val="20"/>
                                  </w:rPr>
                                  <w:t xml:space="preserve">  </w:t>
                                </w:r>
                                <w:r w:rsidR="00D95909">
                                  <w:rPr>
                                    <w:b/>
                                    <w:bCs/>
                                    <w:color w:val="FFFFFF" w:themeColor="background1"/>
                                    <w:sz w:val="20"/>
                                    <w:szCs w:val="20"/>
                                  </w:rPr>
                                  <w:t>N</w:t>
                                </w:r>
                                <w:r>
                                  <w:rPr>
                                    <w:b/>
                                    <w:bCs/>
                                    <w:color w:val="FFFFFF" w:themeColor="background1"/>
                                    <w:sz w:val="20"/>
                                    <w:szCs w:val="20"/>
                                  </w:rPr>
                                  <w:t>ew vacancies</w:t>
                                </w:r>
                                <w:r w:rsidR="00D95909">
                                  <w:rPr>
                                    <w:b/>
                                    <w:bCs/>
                                    <w:color w:val="FFFFFF" w:themeColor="background1"/>
                                    <w:sz w:val="20"/>
                                    <w:szCs w:val="20"/>
                                  </w:rPr>
                                  <w:t xml:space="preserve"> </w:t>
                                </w:r>
                              </w:p>
                              <w:p w14:paraId="3539FF82" w14:textId="0F119627" w:rsidR="0080538D" w:rsidRDefault="00D95909" w:rsidP="00D95909">
                                <w:pPr>
                                  <w:spacing w:after="0"/>
                                  <w:jc w:val="center"/>
                                </w:pPr>
                                <w:r w:rsidRPr="00D95909">
                                  <w:rPr>
                                    <w:color w:val="FFFFFF" w:themeColor="background1"/>
                                    <w:sz w:val="16"/>
                                    <w:szCs w:val="16"/>
                                  </w:rPr>
                                  <w:t xml:space="preserve">(Nov-25 </w:t>
                                </w:r>
                                <w:proofErr w:type="spellStart"/>
                                <w:r w:rsidRPr="00D95909">
                                  <w:rPr>
                                    <w:color w:val="FFFFFF" w:themeColor="background1"/>
                                    <w:sz w:val="16"/>
                                    <w:szCs w:val="16"/>
                                  </w:rPr>
                                  <w:t>qtr</w:t>
                                </w:r>
                                <w:proofErr w:type="spellEnd"/>
                                <w:r w:rsidRPr="00D95909">
                                  <w:rPr>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6297854" name="Rectangle 1"/>
                          <wps:cNvSpPr/>
                          <wps:spPr>
                            <a:xfrm>
                              <a:off x="1457325" y="0"/>
                              <a:ext cx="1250315" cy="895350"/>
                            </a:xfrm>
                            <a:prstGeom prst="rect">
                              <a:avLst/>
                            </a:prstGeom>
                            <a:solidFill>
                              <a:schemeClr val="accent1">
                                <a:lumMod val="20000"/>
                                <a:lumOff val="80000"/>
                              </a:schemeClr>
                            </a:solid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67A4D7" w14:textId="77777777" w:rsidR="0080538D" w:rsidRPr="00D95909" w:rsidRDefault="0080538D" w:rsidP="00D95909">
                                <w:pPr>
                                  <w:spacing w:after="0"/>
                                  <w:jc w:val="center"/>
                                  <w:rPr>
                                    <w:b/>
                                    <w:bCs/>
                                    <w:color w:val="FF0000"/>
                                    <w:sz w:val="40"/>
                                    <w:szCs w:val="40"/>
                                  </w:rPr>
                                </w:pPr>
                                <w:r w:rsidRPr="00D95909">
                                  <w:rPr>
                                    <w:b/>
                                    <w:bCs/>
                                    <w:color w:val="FF0000"/>
                                    <w:sz w:val="40"/>
                                    <w:szCs w:val="40"/>
                                    <w:u w:color="B91C1C"/>
                                  </w:rPr>
                                  <w:t>▼</w:t>
                                </w:r>
                                <w:r w:rsidRPr="00D95909">
                                  <w:rPr>
                                    <w:b/>
                                    <w:bCs/>
                                    <w:color w:val="FF0000"/>
                                    <w:sz w:val="40"/>
                                    <w:szCs w:val="40"/>
                                  </w:rPr>
                                  <w:t xml:space="preserve"> 2.0%</w:t>
                                </w:r>
                              </w:p>
                              <w:p w14:paraId="3CD50F65" w14:textId="3D668F4D" w:rsidR="0080538D" w:rsidRPr="00D95909" w:rsidRDefault="0080538D" w:rsidP="00D95909">
                                <w:pPr>
                                  <w:spacing w:before="240" w:after="240"/>
                                  <w:jc w:val="center"/>
                                  <w:rPr>
                                    <w:color w:val="000000" w:themeColor="text1"/>
                                  </w:rPr>
                                </w:pPr>
                                <w:r w:rsidRPr="00D95909">
                                  <w:rPr>
                                    <w:b/>
                                    <w:bCs/>
                                    <w:color w:val="000000" w:themeColor="text1"/>
                                    <w:sz w:val="20"/>
                                    <w:szCs w:val="20"/>
                                  </w:rPr>
                                  <w:t>Annual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907939" name="Rectangle 1"/>
                          <wps:cNvSpPr/>
                          <wps:spPr>
                            <a:xfrm>
                              <a:off x="0" y="895350"/>
                              <a:ext cx="2707640" cy="1228725"/>
                            </a:xfrm>
                            <a:prstGeom prst="rect">
                              <a:avLst/>
                            </a:prstGeom>
                            <a:solidFill>
                              <a:schemeClr val="bg1">
                                <a:lumMod val="95000"/>
                              </a:schemeClr>
                            </a:solidFill>
                            <a:ln w="285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98E48A" w14:textId="77777777" w:rsidR="00D95909" w:rsidRPr="00D95909" w:rsidRDefault="00D95909" w:rsidP="00D95909">
                                <w:pPr>
                                  <w:ind w:right="-172"/>
                                  <w:rPr>
                                    <w:color w:val="000000" w:themeColor="text1"/>
                                  </w:rPr>
                                </w:pPr>
                                <w:r w:rsidRPr="00D95909">
                                  <w:rPr>
                                    <w:color w:val="000000" w:themeColor="text1"/>
                                  </w:rPr>
                                  <w:t>Over the year to November 2025, vacancies decreased by 2.0% (or around 26,500 job advertisements) to stand at 1,310,400.</w:t>
                                </w:r>
                              </w:p>
                              <w:p w14:paraId="4D846B8E" w14:textId="77777777" w:rsidR="00D95909" w:rsidRPr="00D95909" w:rsidRDefault="00D95909" w:rsidP="00D95909">
                                <w:pPr>
                                  <w:rPr>
                                    <w:color w:val="000000" w:themeColor="text1"/>
                                  </w:rPr>
                                </w:pPr>
                                <w:r w:rsidRPr="00D95909">
                                  <w:rPr>
                                    <w:color w:val="000000" w:themeColor="text1"/>
                                  </w:rPr>
                                  <w:t>In some occupations and regions, over half of job vacancies are advertised online. The new TNV offers a broader measure, estimating total new vacancies across all recruitment methods.</w:t>
                                </w:r>
                              </w:p>
                              <w:p w14:paraId="5D16A5FC" w14:textId="1755C0FA" w:rsidR="00D95909" w:rsidRPr="00D95909" w:rsidRDefault="00D95909" w:rsidP="00D95909">
                                <w:pPr>
                                  <w:spacing w:before="240" w:after="24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296883" y="2217467"/>
                            <a:ext cx="3314700" cy="3109507"/>
                          </a:xfrm>
                          <a:prstGeom prst="rect">
                            <a:avLst/>
                          </a:prstGeom>
                          <a:solidFill>
                            <a:srgbClr val="FFFFFF"/>
                          </a:solidFill>
                          <a:ln w="9525">
                            <a:noFill/>
                            <a:miter lim="800000"/>
                            <a:headEnd/>
                            <a:tailEnd/>
                          </a:ln>
                        </wps:spPr>
                        <wps:txbx>
                          <w:txbxContent>
                            <w:p w14:paraId="555021EA" w14:textId="5B8B273E" w:rsidR="00D95909" w:rsidRDefault="00D95909" w:rsidP="00D95909">
                              <w:pPr>
                                <w:keepNext/>
                                <w:keepLines/>
                              </w:pPr>
                              <w:r w:rsidRPr="00D95909">
                                <w:rPr>
                                  <w:rFonts w:eastAsia="Aptos" w:cs="Aptos"/>
                                  <w:u w:val="single"/>
                                </w:rPr>
                                <w:t>Figure</w:t>
                              </w:r>
                              <w:r w:rsidR="004D00A9">
                                <w:rPr>
                                  <w:rFonts w:eastAsia="Aptos" w:cs="Aptos"/>
                                  <w:u w:val="single"/>
                                </w:rPr>
                                <w:t xml:space="preserve"> 1</w:t>
                              </w:r>
                              <w:r w:rsidRPr="00D95909">
                                <w:rPr>
                                  <w:rFonts w:eastAsia="Aptos" w:cs="Aptos"/>
                                  <w:u w:val="single"/>
                                </w:rPr>
                                <w:t>: Total New Vacancies, Feb 2019 to Nov 2025</w:t>
                              </w:r>
                              <w:r w:rsidRPr="008B7810">
                                <w:rPr>
                                  <w:noProof/>
                                </w:rPr>
                                <w:t xml:space="preserve"> </w:t>
                              </w:r>
                              <w:r>
                                <w:rPr>
                                  <w:noProof/>
                                </w:rPr>
                                <w:drawing>
                                  <wp:inline distT="0" distB="0" distL="0" distR="0" wp14:anchorId="1A0080DB" wp14:editId="3D94F7ED">
                                    <wp:extent cx="3147088" cy="2822713"/>
                                    <wp:effectExtent l="0" t="0" r="0" b="0"/>
                                    <wp:docPr id="1833335261" name="Chart 1" descr="Line graph showing the TNV series for Australia. The number of vacancies dips at the onset of COVID-19 (August 2020), increases to a peak in around November 2022 and has declined since, but remains above those levels recorded pre-COVID.">
                                      <a:extLst xmlns:a="http://schemas.openxmlformats.org/drawingml/2006/main">
                                        <a:ext uri="{FF2B5EF4-FFF2-40B4-BE49-F238E27FC236}">
                                          <a16:creationId xmlns:a16="http://schemas.microsoft.com/office/drawing/2014/main" id="{4904240B-5568-9EA6-9462-7C0225C62B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E31FF85" w14:textId="39B05D08" w:rsidR="00D95909" w:rsidRPr="0080538D" w:rsidRDefault="00D95909" w:rsidP="00D95909">
                              <w:pPr>
                                <w:rPr>
                                  <w:rFonts w:ascii="Arial" w:eastAsia="Times New Roman" w:hAnsi="Arial" w:cs="Times New Roman"/>
                                  <w:i/>
                                  <w:iCs/>
                                  <w:sz w:val="12"/>
                                  <w:szCs w:val="12"/>
                                  <w:lang w:eastAsia="en-GB"/>
                                </w:rPr>
                              </w:pPr>
                              <w:r w:rsidRPr="0080538D">
                                <w:rPr>
                                  <w:rFonts w:ascii="Arial" w:eastAsia="Times New Roman" w:hAnsi="Arial" w:cs="Times New Roman"/>
                                  <w:i/>
                                  <w:iCs/>
                                  <w:sz w:val="12"/>
                                  <w:szCs w:val="12"/>
                                  <w:lang w:eastAsia="en-GB"/>
                                </w:rPr>
                                <w:t>Source: JSA, Total New Vacancies</w:t>
                              </w:r>
                              <w:r w:rsidR="008D6E3C">
                                <w:rPr>
                                  <w:rFonts w:ascii="Arial" w:eastAsia="Times New Roman" w:hAnsi="Arial" w:cs="Times New Roman"/>
                                  <w:i/>
                                  <w:iCs/>
                                  <w:sz w:val="12"/>
                                  <w:szCs w:val="12"/>
                                  <w:lang w:eastAsia="en-GB"/>
                                </w:rPr>
                                <w:t>, November 2025</w:t>
                              </w:r>
                            </w:p>
                            <w:p w14:paraId="0A9762D0" w14:textId="65AEDBFB" w:rsidR="00D95909" w:rsidRDefault="00D95909"/>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6AE8C5" id="Group 3" o:spid="_x0000_s1026" alt="&quot;&quot;" style="position:absolute;margin-left:239.65pt;margin-top:61.65pt;width:265.15pt;height:472.35pt;z-index:251658243;mso-width-relative:margin;mso-height-relative:margin" coordorigin="-2968" coordsize="33147,5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">
                <v:group id="Group 2" o:spid="_x0000_s1027" style="position:absolute;left:571;width:27076;height:21240" coordsize="27076,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">
                  <v:rect id="Rectangle 1" o:spid="_x0000_s1028" style="position:absolute;width:14573;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" fillcolor="#341461 [1604]" strokecolor="white [3212]" strokeweight="2.25pt">
                    <v:textbox>
                      <w:txbxContent>
                        <w:p w14:paraId="1FBCAFE7" w14:textId="77777777" w:rsidR="0080538D" w:rsidRPr="00DE64B7" w:rsidRDefault="0080538D" w:rsidP="0080538D">
                          <w:pPr>
                            <w:spacing w:after="0"/>
                            <w:jc w:val="center"/>
                            <w:rPr>
                              <w:b/>
                              <w:bCs/>
                              <w:color w:val="FFFFFF" w:themeColor="background1"/>
                              <w:sz w:val="44"/>
                              <w:szCs w:val="44"/>
                            </w:rPr>
                          </w:pPr>
                          <w:r>
                            <w:rPr>
                              <w:b/>
                              <w:bCs/>
                              <w:color w:val="FFFFFF" w:themeColor="background1"/>
                              <w:sz w:val="44"/>
                              <w:szCs w:val="44"/>
                            </w:rPr>
                            <w:t>1,310,400</w:t>
                          </w:r>
                        </w:p>
                        <w:p w14:paraId="30BA1C01" w14:textId="77777777" w:rsidR="00D95909" w:rsidRDefault="0080538D" w:rsidP="00D95909">
                          <w:pPr>
                            <w:spacing w:before="120" w:after="0"/>
                            <w:jc w:val="center"/>
                            <w:rPr>
                              <w:b/>
                              <w:bCs/>
                              <w:color w:val="FFFFFF" w:themeColor="background1"/>
                              <w:sz w:val="20"/>
                              <w:szCs w:val="20"/>
                            </w:rPr>
                          </w:pPr>
                          <w:r>
                            <w:rPr>
                              <w:b/>
                              <w:bCs/>
                              <w:color w:val="FFFFFF" w:themeColor="background1"/>
                              <w:sz w:val="20"/>
                              <w:szCs w:val="20"/>
                            </w:rPr>
                            <w:t xml:space="preserve">  </w:t>
                          </w:r>
                          <w:r w:rsidR="00D95909">
                            <w:rPr>
                              <w:b/>
                              <w:bCs/>
                              <w:color w:val="FFFFFF" w:themeColor="background1"/>
                              <w:sz w:val="20"/>
                              <w:szCs w:val="20"/>
                            </w:rPr>
                            <w:t>N</w:t>
                          </w:r>
                          <w:r>
                            <w:rPr>
                              <w:b/>
                              <w:bCs/>
                              <w:color w:val="FFFFFF" w:themeColor="background1"/>
                              <w:sz w:val="20"/>
                              <w:szCs w:val="20"/>
                            </w:rPr>
                            <w:t>ew vacancies</w:t>
                          </w:r>
                          <w:r w:rsidR="00D95909">
                            <w:rPr>
                              <w:b/>
                              <w:bCs/>
                              <w:color w:val="FFFFFF" w:themeColor="background1"/>
                              <w:sz w:val="20"/>
                              <w:szCs w:val="20"/>
                            </w:rPr>
                            <w:t xml:space="preserve"> </w:t>
                          </w:r>
                        </w:p>
                        <w:p w14:paraId="3539FF82" w14:textId="0F119627" w:rsidR="0080538D" w:rsidRDefault="00D95909" w:rsidP="00D95909">
                          <w:pPr>
                            <w:spacing w:after="0"/>
                            <w:jc w:val="center"/>
                          </w:pPr>
                          <w:r w:rsidRPr="00D95909">
                            <w:rPr>
                              <w:color w:val="FFFFFF" w:themeColor="background1"/>
                              <w:sz w:val="16"/>
                              <w:szCs w:val="16"/>
                            </w:rPr>
                            <w:t xml:space="preserve">(Nov-25 </w:t>
                          </w:r>
                          <w:proofErr w:type="spellStart"/>
                          <w:r w:rsidRPr="00D95909">
                            <w:rPr>
                              <w:color w:val="FFFFFF" w:themeColor="background1"/>
                              <w:sz w:val="16"/>
                              <w:szCs w:val="16"/>
                            </w:rPr>
                            <w:t>qtr</w:t>
                          </w:r>
                          <w:proofErr w:type="spellEnd"/>
                          <w:r w:rsidRPr="00D95909">
                            <w:rPr>
                              <w:color w:val="FFFFFF" w:themeColor="background1"/>
                              <w:sz w:val="16"/>
                              <w:szCs w:val="16"/>
                            </w:rPr>
                            <w:t>)</w:t>
                          </w:r>
                        </w:p>
                      </w:txbxContent>
                    </v:textbox>
                  </v:rect>
                  <v:rect id="Rectangle 1" o:spid="_x0000_s1029" style="position:absolute;left:14573;width:12503;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" fillcolor="#e0d1f5 [660]" strokecolor="white [3212]" strokeweight="2.25pt">
                    <v:textbox>
                      <w:txbxContent>
                        <w:p w14:paraId="1D67A4D7" w14:textId="77777777" w:rsidR="0080538D" w:rsidRPr="00D95909" w:rsidRDefault="0080538D" w:rsidP="00D95909">
                          <w:pPr>
                            <w:spacing w:after="0"/>
                            <w:jc w:val="center"/>
                            <w:rPr>
                              <w:b/>
                              <w:bCs/>
                              <w:color w:val="FF0000"/>
                              <w:sz w:val="40"/>
                              <w:szCs w:val="40"/>
                            </w:rPr>
                          </w:pPr>
                          <w:r w:rsidRPr="00D95909">
                            <w:rPr>
                              <w:b/>
                              <w:bCs/>
                              <w:color w:val="FF0000"/>
                              <w:sz w:val="40"/>
                              <w:szCs w:val="40"/>
                              <w:u w:color="B91C1C"/>
                            </w:rPr>
                            <w:t>▼</w:t>
                          </w:r>
                          <w:r w:rsidRPr="00D95909">
                            <w:rPr>
                              <w:b/>
                              <w:bCs/>
                              <w:color w:val="FF0000"/>
                              <w:sz w:val="40"/>
                              <w:szCs w:val="40"/>
                            </w:rPr>
                            <w:t xml:space="preserve"> 2.0%</w:t>
                          </w:r>
                        </w:p>
                        <w:p w14:paraId="3CD50F65" w14:textId="3D668F4D" w:rsidR="0080538D" w:rsidRPr="00D95909" w:rsidRDefault="0080538D" w:rsidP="00D95909">
                          <w:pPr>
                            <w:spacing w:before="240" w:after="240"/>
                            <w:jc w:val="center"/>
                            <w:rPr>
                              <w:color w:val="000000" w:themeColor="text1"/>
                            </w:rPr>
                          </w:pPr>
                          <w:r w:rsidRPr="00D95909">
                            <w:rPr>
                              <w:b/>
                              <w:bCs/>
                              <w:color w:val="000000" w:themeColor="text1"/>
                              <w:sz w:val="20"/>
                              <w:szCs w:val="20"/>
                            </w:rPr>
                            <w:t>Annual Change</w:t>
                          </w:r>
                        </w:p>
                      </w:txbxContent>
                    </v:textbox>
                  </v:rect>
                  <v:rect id="Rectangle 1" o:spid="_x0000_s1030" style="position:absolute;top:8953;width:27076;height:1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" fillcolor="#f2f2f2 [3052]" strokecolor="white [3212]" strokeweight="2.25pt">
                    <v:textbox>
                      <w:txbxContent>
                        <w:p w14:paraId="5D98E48A" w14:textId="77777777" w:rsidR="00D95909" w:rsidRPr="00D95909" w:rsidRDefault="00D95909" w:rsidP="00D95909">
                          <w:pPr>
                            <w:ind w:right="-172"/>
                            <w:rPr>
                              <w:color w:val="000000" w:themeColor="text1"/>
                            </w:rPr>
                          </w:pPr>
                          <w:r w:rsidRPr="00D95909">
                            <w:rPr>
                              <w:color w:val="000000" w:themeColor="text1"/>
                            </w:rPr>
                            <w:t>Over the year to November 2025, vacancies decreased by 2.0% (or around 26,500 job advertisements) to stand at 1,310,400.</w:t>
                          </w:r>
                        </w:p>
                        <w:p w14:paraId="4D846B8E" w14:textId="77777777" w:rsidR="00D95909" w:rsidRPr="00D95909" w:rsidRDefault="00D95909" w:rsidP="00D95909">
                          <w:pPr>
                            <w:rPr>
                              <w:color w:val="000000" w:themeColor="text1"/>
                            </w:rPr>
                          </w:pPr>
                          <w:r w:rsidRPr="00D95909">
                            <w:rPr>
                              <w:color w:val="000000" w:themeColor="text1"/>
                            </w:rPr>
                            <w:t>In some occupations and regions, over half of job vacancies are advertised online. The new TNV offers a broader measure, estimating total new vacancies across all recruitment methods.</w:t>
                          </w:r>
                        </w:p>
                        <w:p w14:paraId="5D16A5FC" w14:textId="1755C0FA" w:rsidR="00D95909" w:rsidRPr="00D95909" w:rsidRDefault="00D95909" w:rsidP="00D95909">
                          <w:pPr>
                            <w:spacing w:before="240" w:after="240"/>
                            <w:jc w:val="center"/>
                            <w:rPr>
                              <w:color w:val="000000" w:themeColor="text1"/>
                            </w:rPr>
                          </w:pPr>
                        </w:p>
                      </w:txbxContent>
                    </v:textbox>
                  </v:rect>
                </v:group>
                <v:shapetype id="_x0000_t202" coordsize="21600,21600" o:spt="202" path="m,l,21600r21600,l21600,xe">
                  <v:stroke joinstyle="miter"/>
                  <v:path gradientshapeok="t" o:connecttype="rect"/>
                </v:shapetype>
                <v:shape id="Text Box 2" o:spid="_x0000_s1031" type="#_x0000_t202" style="position:absolute;left:-2968;top:22174;width:33146;height:3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55021EA" w14:textId="5B8B273E" w:rsidR="00D95909" w:rsidRDefault="00D95909" w:rsidP="00D95909">
                        <w:pPr>
                          <w:keepNext/>
                          <w:keepLines/>
                        </w:pPr>
                        <w:r w:rsidRPr="00D95909">
                          <w:rPr>
                            <w:rFonts w:eastAsia="Aptos" w:cs="Aptos"/>
                            <w:u w:val="single"/>
                          </w:rPr>
                          <w:t>Figure</w:t>
                        </w:r>
                        <w:r w:rsidR="004D00A9">
                          <w:rPr>
                            <w:rFonts w:eastAsia="Aptos" w:cs="Aptos"/>
                            <w:u w:val="single"/>
                          </w:rPr>
                          <w:t xml:space="preserve"> 1</w:t>
                        </w:r>
                        <w:r w:rsidRPr="00D95909">
                          <w:rPr>
                            <w:rFonts w:eastAsia="Aptos" w:cs="Aptos"/>
                            <w:u w:val="single"/>
                          </w:rPr>
                          <w:t>: Total New Vacancies, Feb 2019 to Nov 2025</w:t>
                        </w:r>
                        <w:r w:rsidRPr="008B7810">
                          <w:rPr>
                            <w:noProof/>
                          </w:rPr>
                          <w:t xml:space="preserve"> </w:t>
                        </w:r>
                        <w:r>
                          <w:rPr>
                            <w:noProof/>
                          </w:rPr>
                          <w:drawing>
                            <wp:inline distT="0" distB="0" distL="0" distR="0" wp14:anchorId="1A0080DB" wp14:editId="3D94F7ED">
                              <wp:extent cx="3147088" cy="2822713"/>
                              <wp:effectExtent l="0" t="0" r="0" b="0"/>
                              <wp:docPr id="1833335261" name="Chart 1" descr="Line graph showing the TNV series for Australia. The number of vacancies dips at the onset of COVID-19 (August 2020), increases to a peak in around November 2022 and has declined since, but remains above those levels recorded pre-COVID.">
                                <a:extLst xmlns:a="http://schemas.openxmlformats.org/drawingml/2006/main">
                                  <a:ext uri="{FF2B5EF4-FFF2-40B4-BE49-F238E27FC236}">
                                    <a16:creationId xmlns:a16="http://schemas.microsoft.com/office/drawing/2014/main" id="{4904240B-5568-9EA6-9462-7C0225C62B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31FF85" w14:textId="39B05D08" w:rsidR="00D95909" w:rsidRPr="0080538D" w:rsidRDefault="00D95909" w:rsidP="00D95909">
                        <w:pPr>
                          <w:rPr>
                            <w:rFonts w:ascii="Arial" w:eastAsia="Times New Roman" w:hAnsi="Arial" w:cs="Times New Roman"/>
                            <w:i/>
                            <w:iCs/>
                            <w:sz w:val="12"/>
                            <w:szCs w:val="12"/>
                            <w:lang w:eastAsia="en-GB"/>
                          </w:rPr>
                        </w:pPr>
                        <w:r w:rsidRPr="0080538D">
                          <w:rPr>
                            <w:rFonts w:ascii="Arial" w:eastAsia="Times New Roman" w:hAnsi="Arial" w:cs="Times New Roman"/>
                            <w:i/>
                            <w:iCs/>
                            <w:sz w:val="12"/>
                            <w:szCs w:val="12"/>
                            <w:lang w:eastAsia="en-GB"/>
                          </w:rPr>
                          <w:t>Source: JSA, Total New Vacancies</w:t>
                        </w:r>
                        <w:r w:rsidR="008D6E3C">
                          <w:rPr>
                            <w:rFonts w:ascii="Arial" w:eastAsia="Times New Roman" w:hAnsi="Arial" w:cs="Times New Roman"/>
                            <w:i/>
                            <w:iCs/>
                            <w:sz w:val="12"/>
                            <w:szCs w:val="12"/>
                            <w:lang w:eastAsia="en-GB"/>
                          </w:rPr>
                          <w:t>, November 2025</w:t>
                        </w:r>
                      </w:p>
                      <w:p w14:paraId="0A9762D0" w14:textId="65AEDBFB" w:rsidR="00D95909" w:rsidRDefault="00D95909"/>
                    </w:txbxContent>
                  </v:textbox>
                </v:shape>
                <w10:wrap type="square"/>
              </v:group>
            </w:pict>
          </mc:Fallback>
        </mc:AlternateContent>
      </w:r>
      <w:r w:rsidR="001B1EB2" w:rsidRPr="00AF14B2">
        <w:rPr>
          <w:color w:val="FFFFFF" w:themeColor="background1"/>
          <w:sz w:val="24"/>
          <w:szCs w:val="24"/>
        </w:rPr>
        <w:t xml:space="preserve">Released </w:t>
      </w:r>
      <w:r w:rsidR="003E31B5">
        <w:rPr>
          <w:color w:val="FFFFFF" w:themeColor="background1"/>
          <w:sz w:val="24"/>
          <w:szCs w:val="24"/>
        </w:rPr>
        <w:t>2</w:t>
      </w:r>
      <w:r w:rsidR="00DA4048">
        <w:rPr>
          <w:color w:val="FFFFFF" w:themeColor="background1"/>
          <w:sz w:val="24"/>
          <w:szCs w:val="24"/>
        </w:rPr>
        <w:t>5</w:t>
      </w:r>
      <w:r w:rsidR="001B1EB2" w:rsidRPr="00AF14B2">
        <w:rPr>
          <w:color w:val="FFFFFF" w:themeColor="background1"/>
          <w:sz w:val="24"/>
          <w:szCs w:val="24"/>
        </w:rPr>
        <w:t xml:space="preserve"> </w:t>
      </w:r>
      <w:r w:rsidR="00DA4048">
        <w:rPr>
          <w:color w:val="FFFFFF" w:themeColor="background1"/>
          <w:sz w:val="24"/>
          <w:szCs w:val="24"/>
        </w:rPr>
        <w:t>February</w:t>
      </w:r>
      <w:r w:rsidR="001B1EB2" w:rsidRPr="00AF14B2">
        <w:rPr>
          <w:color w:val="FFFFFF" w:themeColor="background1"/>
          <w:sz w:val="24"/>
          <w:szCs w:val="24"/>
        </w:rPr>
        <w:t xml:space="preserve"> 202</w:t>
      </w:r>
      <w:r w:rsidR="003E31B5">
        <w:rPr>
          <w:color w:val="FFFFFF" w:themeColor="background1"/>
          <w:sz w:val="24"/>
          <w:szCs w:val="24"/>
        </w:rPr>
        <w:t>5</w:t>
      </w:r>
    </w:p>
    <w:p w14:paraId="77036028" w14:textId="1DEC8A3D" w:rsidR="0081036F" w:rsidRPr="00E0792F" w:rsidRDefault="006731CD" w:rsidP="00E32F69">
      <w:pPr>
        <w:pStyle w:val="Heading2"/>
        <w:spacing w:after="180"/>
        <w:rPr>
          <w:sz w:val="36"/>
          <w:szCs w:val="28"/>
        </w:rPr>
      </w:pPr>
      <w:r w:rsidRPr="006731CD">
        <w:rPr>
          <w:sz w:val="36"/>
          <w:szCs w:val="28"/>
        </w:rPr>
        <w:t>Uncovering hidden labour demand: JSA’s Total New Vacancies</w:t>
      </w:r>
      <w:r w:rsidR="00E71B72">
        <w:rPr>
          <w:sz w:val="36"/>
          <w:szCs w:val="28"/>
        </w:rPr>
        <w:t xml:space="preserve"> series</w:t>
      </w:r>
    </w:p>
    <w:p w14:paraId="5E41E79E" w14:textId="1B3EDD61" w:rsidR="00824B3C" w:rsidRDefault="00824B3C" w:rsidP="00E332A6">
      <w:pPr>
        <w:jc w:val="both"/>
      </w:pPr>
      <w:r w:rsidRPr="00824B3C">
        <w:t xml:space="preserve">Total New Vacancies (TNV) is a new quarterly data series from Jobs and Skills Australia which provides a more comprehensive view of job vacancy trends across Australia. While online recruitment methods are popular, their use can vary, including across regions and industries, and as labour market conditions change. This can make it difficult to accurately identify emerging trends in the economy and labour market. </w:t>
      </w:r>
    </w:p>
    <w:p w14:paraId="00B6E50C" w14:textId="2A34FE09" w:rsidR="00931751" w:rsidRDefault="00931751" w:rsidP="00E332A6">
      <w:pPr>
        <w:jc w:val="both"/>
      </w:pPr>
      <w:r w:rsidRPr="00931751">
        <w:t xml:space="preserve">JSA’s new TNV series helps address this challenge. The TNV estimates the total number of new vacancies created each quarter, offering insights into hiring activity beyond online job ads or point in time estimates. It combines data from JSA’s Internet Vacancy Index (IVI) with employer feedback on recruitment methods obtained from JSA’s Recruitment Experiences and Outlook Survey (REOS). Using these insights, the TNV estimates the total number of jobs that were available </w:t>
      </w:r>
      <w:proofErr w:type="gramStart"/>
      <w:r w:rsidRPr="00931751">
        <w:t>in a given</w:t>
      </w:r>
      <w:proofErr w:type="gramEnd"/>
      <w:r w:rsidRPr="00931751">
        <w:t xml:space="preserve"> quarter, including through informal channels such as word of mouth, signs in shop windows, and social media groups. </w:t>
      </w:r>
    </w:p>
    <w:p w14:paraId="56C683BD" w14:textId="0ADAFB41" w:rsidR="00347262" w:rsidRDefault="00A20333" w:rsidP="00E332A6">
      <w:pPr>
        <w:pStyle w:val="ListBullet"/>
        <w:numPr>
          <w:ilvl w:val="0"/>
          <w:numId w:val="0"/>
        </w:numPr>
        <w:jc w:val="both"/>
        <w:rPr>
          <w:rFonts w:eastAsiaTheme="minorHAnsi" w:cstheme="minorBidi"/>
          <w:szCs w:val="18"/>
          <w:lang w:val="en-AU" w:eastAsia="en-US"/>
        </w:rPr>
      </w:pPr>
      <w:r w:rsidRPr="00A20333">
        <w:rPr>
          <w:rFonts w:eastAsiaTheme="minorHAnsi" w:cstheme="minorBidi"/>
          <w:szCs w:val="18"/>
          <w:lang w:val="en-AU" w:eastAsia="en-US"/>
        </w:rPr>
        <w:t>Improving the evidence base on regional and occupational labour demand is a core tenet of the Jobs and Skills Australia legislation. The TNV series plays a critical role in achieving this goal by providing a more complete picture of job opportunities across occupations and regions. This richer data will support the development of place-based initiatives and regional planning, ensuring industry policy responses are better tailored to emerging trends.</w:t>
      </w:r>
    </w:p>
    <w:p w14:paraId="18B272BB" w14:textId="118E454D" w:rsidR="001B1EB2" w:rsidRDefault="001B1EB2" w:rsidP="00347262">
      <w:pPr>
        <w:pStyle w:val="ListBullet"/>
        <w:numPr>
          <w:ilvl w:val="0"/>
          <w:numId w:val="0"/>
        </w:numPr>
        <w:ind w:left="284" w:hanging="284"/>
      </w:pPr>
    </w:p>
    <w:p w14:paraId="38BD0292" w14:textId="77777777" w:rsidR="005C67AF" w:rsidRDefault="00FC5299" w:rsidP="00151274">
      <w:pPr>
        <w:rPr>
          <w:rFonts w:asciiTheme="majorHAnsi" w:hAnsiTheme="majorHAnsi" w:cs="Arial"/>
          <w:b/>
          <w:bCs/>
          <w:color w:val="4B0985"/>
          <w:sz w:val="24"/>
          <w:szCs w:val="24"/>
        </w:rPr>
      </w:pPr>
      <w:r>
        <w:br w:type="column"/>
      </w:r>
      <w:r w:rsidR="00DD0FBF" w:rsidRPr="00DD0FBF">
        <w:rPr>
          <w:rFonts w:asciiTheme="majorHAnsi" w:hAnsiTheme="majorHAnsi" w:cs="Arial"/>
          <w:b/>
          <w:bCs/>
          <w:color w:val="4B0985"/>
          <w:sz w:val="24"/>
          <w:szCs w:val="24"/>
        </w:rPr>
        <w:lastRenderedPageBreak/>
        <w:t xml:space="preserve">The Right Tools for the Job: Widening the </w:t>
      </w:r>
      <w:r w:rsidR="0080538D">
        <w:rPr>
          <w:rFonts w:asciiTheme="majorHAnsi" w:hAnsiTheme="majorHAnsi" w:cs="Arial"/>
          <w:b/>
          <w:bCs/>
          <w:color w:val="4B0985"/>
          <w:sz w:val="24"/>
          <w:szCs w:val="24"/>
        </w:rPr>
        <w:t>methods to recruit for trades</w:t>
      </w:r>
    </w:p>
    <w:p w14:paraId="539FAECF" w14:textId="035B49FA" w:rsidR="00DB15AA" w:rsidRDefault="00DB15AA" w:rsidP="00151274">
      <w:pPr>
        <w:rPr>
          <w:rFonts w:cstheme="minorHAnsi"/>
        </w:rPr>
      </w:pPr>
      <w:r w:rsidRPr="00DB15AA">
        <w:rPr>
          <w:rFonts w:cstheme="minorHAnsi"/>
        </w:rPr>
        <w:t>Presently, almost 2 million Australians are employed as Technicians and Trades Workers, with this occupation group accounting for around 14% of national employment.</w:t>
      </w:r>
      <w:r>
        <w:rPr>
          <w:rStyle w:val="FootnoteReference"/>
          <w:rFonts w:cstheme="minorHAnsi"/>
        </w:rPr>
        <w:t>1</w:t>
      </w:r>
      <w:r w:rsidRPr="00DB15AA">
        <w:rPr>
          <w:rFonts w:cstheme="minorHAnsi"/>
        </w:rPr>
        <w:t xml:space="preserve"> There is significant demand for these workers as they play a central role in delivering Australia’s construction, infrastructure and essential services.  Given the current public and private investment in housing, transport and the clean energy transition, JSA projections show the number of Technicians and Trades Workers employed is expected to increase by 195,800 (9.8%)</w:t>
      </w:r>
      <w:r w:rsidR="00E332A6">
        <w:rPr>
          <w:rFonts w:cstheme="minorHAnsi"/>
        </w:rPr>
        <w:t xml:space="preserve"> </w:t>
      </w:r>
      <w:r w:rsidR="00E332A6" w:rsidRPr="00DB15AA">
        <w:rPr>
          <w:rFonts w:cstheme="minorHAnsi"/>
        </w:rPr>
        <w:t>over the next decade</w:t>
      </w:r>
      <w:r w:rsidRPr="00DB15AA">
        <w:rPr>
          <w:rFonts w:cstheme="minorHAnsi"/>
        </w:rPr>
        <w:t>.</w:t>
      </w:r>
      <w:r>
        <w:rPr>
          <w:rStyle w:val="FootnoteReference"/>
          <w:rFonts w:cstheme="minorHAnsi"/>
        </w:rPr>
        <w:t>2</w:t>
      </w:r>
    </w:p>
    <w:p w14:paraId="1FDE29F8" w14:textId="057B7F22" w:rsidR="000C410C" w:rsidRDefault="00F0563C" w:rsidP="00151274">
      <w:r>
        <w:t xml:space="preserve">Reflecting this level of demand, </w:t>
      </w:r>
      <w:r w:rsidR="00DD2D82">
        <w:t xml:space="preserve">71 occupations within the broad </w:t>
      </w:r>
      <w:r w:rsidR="00655404">
        <w:t>occupation</w:t>
      </w:r>
      <w:r w:rsidR="00DD2D82">
        <w:t xml:space="preserve"> of Technicians and Trades Workers are considered to be in persistent shortage by Jobs and Skills Australia</w:t>
      </w:r>
      <w:r w:rsidR="00716F9F">
        <w:t>.</w:t>
      </w:r>
      <w:r w:rsidR="001F6A8D">
        <w:rPr>
          <w:rStyle w:val="FootnoteReference"/>
        </w:rPr>
        <w:t>3</w:t>
      </w:r>
      <w:r w:rsidR="00DD2D82">
        <w:t xml:space="preserve"> </w:t>
      </w:r>
      <w:r w:rsidR="003D017B">
        <w:t xml:space="preserve">Looking at individual occupations, </w:t>
      </w:r>
      <w:r w:rsidR="00957871">
        <w:t xml:space="preserve">employers for </w:t>
      </w:r>
      <w:r w:rsidR="00151274">
        <w:t xml:space="preserve">Airconditioning and Refrigeration Mechanics </w:t>
      </w:r>
      <w:r w:rsidR="00957871">
        <w:t xml:space="preserve">have been generally </w:t>
      </w:r>
      <w:r w:rsidR="00151274">
        <w:t>unable to fill</w:t>
      </w:r>
      <w:r w:rsidR="00C133C6">
        <w:t xml:space="preserve"> </w:t>
      </w:r>
      <w:r w:rsidR="00151274">
        <w:t>advertised vacancies for these roles for nearly a quarter of a century</w:t>
      </w:r>
      <w:r w:rsidR="0091303C">
        <w:t>, while some critical fabrication occupations (Sheetmetal</w:t>
      </w:r>
      <w:r w:rsidR="000C410C">
        <w:t xml:space="preserve"> </w:t>
      </w:r>
      <w:r w:rsidR="0091303C">
        <w:t>Trades Workers, Metal Fabricators and First Class Welders) have experienced shortages since 1995</w:t>
      </w:r>
      <w:r w:rsidR="000C410C">
        <w:t>.</w:t>
      </w:r>
      <w:r w:rsidR="001F6A8D">
        <w:rPr>
          <w:rStyle w:val="FootnoteReference"/>
        </w:rPr>
        <w:t>4</w:t>
      </w:r>
      <w:r w:rsidR="00415EDA" w:rsidRPr="00415EDA">
        <w:rPr>
          <w:vertAlign w:val="superscript"/>
        </w:rPr>
        <w:t>,</w:t>
      </w:r>
      <w:r w:rsidR="001F6A8D">
        <w:rPr>
          <w:rStyle w:val="FootnoteReference"/>
        </w:rPr>
        <w:t>5</w:t>
      </w:r>
    </w:p>
    <w:p w14:paraId="5D923778" w14:textId="15DB77DF" w:rsidR="0080538D" w:rsidRDefault="005D22CC" w:rsidP="00603A79">
      <w:r w:rsidRPr="005D22CC">
        <w:t>One feature of the JSA Total New Vacancies (TNV) series is that it offers a broader picture of recruitment activity across the country. This provides insight into</w:t>
      </w:r>
      <w:r w:rsidR="00603A79">
        <w:t xml:space="preserve"> the broad methods of recruitment used for occupation groups</w:t>
      </w:r>
      <w:r w:rsidR="0095611D">
        <w:t xml:space="preserve"> – including key trades facing recruitment difficulty</w:t>
      </w:r>
      <w:r w:rsidR="00603A79">
        <w:t>.</w:t>
      </w:r>
      <w:r w:rsidR="0080538D">
        <w:t xml:space="preserve"> These figures indicate that while major online platforms capture the bulk of vacancies for these selected occupations, a substantial portion of recruitment also occurs via alternative channels (such as word of mouth, recruitment agencies, social media groups and notices on local job boards).</w:t>
      </w:r>
    </w:p>
    <w:p w14:paraId="0F9A3494" w14:textId="48FC6E8D" w:rsidR="009A7E33" w:rsidRPr="00E332A6" w:rsidRDefault="009A7E33" w:rsidP="00603A79">
      <w:pPr>
        <w:rPr>
          <w:rFonts w:ascii="Arial" w:hAnsi="Arial" w:cs="Arial"/>
          <w:b/>
          <w:bCs/>
        </w:rPr>
      </w:pPr>
      <w:r w:rsidRPr="00E332A6">
        <w:rPr>
          <w:rFonts w:ascii="Arial" w:hAnsi="Arial" w:cs="Arial"/>
          <w:b/>
          <w:bCs/>
        </w:rPr>
        <w:t xml:space="preserve">Table 1: </w:t>
      </w:r>
      <w:r w:rsidR="001F6A8D" w:rsidRPr="00E332A6">
        <w:rPr>
          <w:rFonts w:ascii="Arial" w:hAnsi="Arial" w:cs="Arial"/>
          <w:b/>
          <w:bCs/>
        </w:rPr>
        <w:t xml:space="preserve">Comparison of </w:t>
      </w:r>
      <w:r w:rsidR="0090250E" w:rsidRPr="00E332A6">
        <w:rPr>
          <w:rFonts w:ascii="Arial" w:hAnsi="Arial" w:cs="Arial"/>
          <w:b/>
          <w:bCs/>
        </w:rPr>
        <w:t>Internet Vacancy Index</w:t>
      </w:r>
      <w:r w:rsidR="00C148E0" w:rsidRPr="00E332A6">
        <w:rPr>
          <w:rFonts w:ascii="Arial" w:hAnsi="Arial" w:cs="Arial"/>
          <w:b/>
          <w:bCs/>
        </w:rPr>
        <w:t xml:space="preserve"> (IVI)</w:t>
      </w:r>
      <w:r w:rsidR="0080538D" w:rsidRPr="00E332A6">
        <w:rPr>
          <w:rFonts w:ascii="Arial" w:hAnsi="Arial" w:cs="Arial"/>
          <w:b/>
          <w:bCs/>
        </w:rPr>
        <w:t xml:space="preserve"> and Total New Vacancies (TNV), selected occupations</w:t>
      </w:r>
    </w:p>
    <w:tbl>
      <w:tblPr>
        <w:tblW w:w="9638" w:type="dxa"/>
        <w:tblLook w:val="04A0" w:firstRow="1" w:lastRow="0" w:firstColumn="1" w:lastColumn="0" w:noHBand="0" w:noVBand="1"/>
      </w:tblPr>
      <w:tblGrid>
        <w:gridCol w:w="5670"/>
        <w:gridCol w:w="1843"/>
        <w:gridCol w:w="2125"/>
      </w:tblGrid>
      <w:tr w:rsidR="00B70B73" w:rsidRPr="00E332A6" w14:paraId="200F7BEB" w14:textId="41A3236B" w:rsidTr="00D90A2E">
        <w:trPr>
          <w:trHeight w:val="290"/>
          <w:tblHeader/>
        </w:trPr>
        <w:tc>
          <w:tcPr>
            <w:tcW w:w="5670" w:type="dxa"/>
            <w:tcBorders>
              <w:top w:val="nil"/>
              <w:bottom w:val="single" w:sz="4" w:space="0" w:color="auto"/>
              <w:right w:val="nil"/>
            </w:tcBorders>
            <w:noWrap/>
            <w:vAlign w:val="bottom"/>
            <w:hideMark/>
          </w:tcPr>
          <w:p w14:paraId="117466E1" w14:textId="53F1B78C" w:rsidR="0080538D" w:rsidRPr="00415EDA" w:rsidRDefault="0080538D" w:rsidP="009A7E33">
            <w:pPr>
              <w:spacing w:after="0" w:line="240" w:lineRule="auto"/>
              <w:rPr>
                <w:rFonts w:ascii="Arial" w:eastAsia="Times New Roman" w:hAnsi="Arial" w:cs="Arial"/>
                <w:b/>
                <w:bCs/>
                <w:color w:val="000000"/>
                <w:lang w:eastAsia="en-AU"/>
              </w:rPr>
            </w:pPr>
            <w:r w:rsidRPr="00415EDA">
              <w:rPr>
                <w:rFonts w:ascii="Arial" w:eastAsia="Times New Roman" w:hAnsi="Arial" w:cs="Arial"/>
                <w:b/>
                <w:bCs/>
                <w:color w:val="000000"/>
                <w:lang w:eastAsia="en-AU"/>
              </w:rPr>
              <w:t>Occupation</w:t>
            </w:r>
          </w:p>
        </w:tc>
        <w:tc>
          <w:tcPr>
            <w:tcW w:w="1843" w:type="dxa"/>
            <w:tcBorders>
              <w:top w:val="nil"/>
              <w:left w:val="nil"/>
              <w:bottom w:val="single" w:sz="4" w:space="0" w:color="auto"/>
              <w:right w:val="nil"/>
            </w:tcBorders>
            <w:noWrap/>
            <w:vAlign w:val="bottom"/>
            <w:hideMark/>
          </w:tcPr>
          <w:p w14:paraId="741E2E2C" w14:textId="20EB08AF" w:rsidR="0080538D" w:rsidRPr="00E332A6" w:rsidRDefault="0080538D" w:rsidP="005379EA">
            <w:pPr>
              <w:spacing w:after="0" w:line="240" w:lineRule="auto"/>
              <w:jc w:val="center"/>
              <w:rPr>
                <w:rFonts w:ascii="Arial" w:eastAsia="Times New Roman" w:hAnsi="Arial" w:cs="Arial"/>
                <w:b/>
                <w:bCs/>
                <w:color w:val="000000"/>
                <w:lang w:eastAsia="en-AU"/>
              </w:rPr>
            </w:pPr>
            <w:r w:rsidRPr="00E332A6">
              <w:rPr>
                <w:rFonts w:ascii="Arial" w:eastAsia="Times New Roman" w:hAnsi="Arial" w:cs="Arial"/>
                <w:b/>
                <w:bCs/>
                <w:color w:val="000000"/>
                <w:lang w:eastAsia="en-AU"/>
              </w:rPr>
              <w:t>Online job ads - JSA IVI</w:t>
            </w:r>
          </w:p>
          <w:p w14:paraId="399B90D1" w14:textId="3C19381C" w:rsidR="0080538D" w:rsidRPr="00E332A6" w:rsidRDefault="0080538D" w:rsidP="005379EA">
            <w:pPr>
              <w:spacing w:after="0" w:line="240" w:lineRule="auto"/>
              <w:jc w:val="center"/>
              <w:rPr>
                <w:rFonts w:ascii="Arial" w:eastAsia="Times New Roman" w:hAnsi="Arial" w:cs="Arial"/>
                <w:b/>
                <w:bCs/>
                <w:color w:val="000000"/>
                <w:lang w:eastAsia="en-AU"/>
              </w:rPr>
            </w:pPr>
            <w:r w:rsidRPr="00E332A6">
              <w:rPr>
                <w:rFonts w:ascii="Arial" w:eastAsia="Times New Roman" w:hAnsi="Arial" w:cs="Arial"/>
                <w:color w:val="000000"/>
                <w:sz w:val="14"/>
                <w:szCs w:val="14"/>
                <w:lang w:eastAsia="en-AU"/>
              </w:rPr>
              <w:t xml:space="preserve">(Nov-25 </w:t>
            </w:r>
            <w:proofErr w:type="spellStart"/>
            <w:r w:rsidRPr="00E332A6">
              <w:rPr>
                <w:rFonts w:ascii="Arial" w:eastAsia="Times New Roman" w:hAnsi="Arial" w:cs="Arial"/>
                <w:color w:val="000000"/>
                <w:sz w:val="14"/>
                <w:szCs w:val="14"/>
                <w:lang w:eastAsia="en-AU"/>
              </w:rPr>
              <w:t>qtr</w:t>
            </w:r>
            <w:proofErr w:type="spellEnd"/>
            <w:r w:rsidRPr="00E332A6">
              <w:rPr>
                <w:rFonts w:ascii="Arial" w:eastAsia="Times New Roman" w:hAnsi="Arial" w:cs="Arial"/>
                <w:color w:val="000000"/>
                <w:sz w:val="14"/>
                <w:szCs w:val="14"/>
                <w:lang w:eastAsia="en-AU"/>
              </w:rPr>
              <w:t>)</w:t>
            </w:r>
          </w:p>
        </w:tc>
        <w:tc>
          <w:tcPr>
            <w:tcW w:w="2125" w:type="dxa"/>
            <w:tcBorders>
              <w:top w:val="nil"/>
              <w:left w:val="nil"/>
              <w:bottom w:val="single" w:sz="4" w:space="0" w:color="auto"/>
              <w:right w:val="nil"/>
            </w:tcBorders>
          </w:tcPr>
          <w:p w14:paraId="45C40F80" w14:textId="77777777" w:rsidR="0080538D" w:rsidRPr="00E332A6" w:rsidRDefault="0080538D" w:rsidP="005379EA">
            <w:pPr>
              <w:spacing w:after="0" w:line="240" w:lineRule="auto"/>
              <w:jc w:val="center"/>
              <w:rPr>
                <w:rFonts w:ascii="Arial" w:eastAsia="Times New Roman" w:hAnsi="Arial" w:cs="Arial"/>
                <w:b/>
                <w:bCs/>
                <w:color w:val="000000"/>
                <w:lang w:eastAsia="en-AU"/>
              </w:rPr>
            </w:pPr>
            <w:r w:rsidRPr="00E332A6">
              <w:rPr>
                <w:rFonts w:ascii="Arial" w:eastAsia="Times New Roman" w:hAnsi="Arial" w:cs="Arial"/>
                <w:b/>
                <w:bCs/>
                <w:color w:val="000000"/>
                <w:lang w:eastAsia="en-AU"/>
              </w:rPr>
              <w:t>Total new vacancies – JSA TNV</w:t>
            </w:r>
          </w:p>
          <w:p w14:paraId="2A929B0F" w14:textId="7665B4BD" w:rsidR="0080538D" w:rsidRPr="00E332A6" w:rsidRDefault="0080538D" w:rsidP="005379EA">
            <w:pPr>
              <w:spacing w:after="0" w:line="240" w:lineRule="auto"/>
              <w:jc w:val="center"/>
              <w:rPr>
                <w:rFonts w:ascii="Arial" w:eastAsia="Times New Roman" w:hAnsi="Arial" w:cs="Arial"/>
                <w:color w:val="000000"/>
                <w:lang w:eastAsia="en-AU"/>
              </w:rPr>
            </w:pPr>
            <w:r w:rsidRPr="00E332A6">
              <w:rPr>
                <w:rFonts w:ascii="Arial" w:eastAsia="Times New Roman" w:hAnsi="Arial" w:cs="Arial"/>
                <w:color w:val="000000"/>
                <w:sz w:val="14"/>
                <w:szCs w:val="14"/>
                <w:lang w:eastAsia="en-AU"/>
              </w:rPr>
              <w:t xml:space="preserve">(Nov-25 </w:t>
            </w:r>
            <w:proofErr w:type="spellStart"/>
            <w:r w:rsidRPr="00E332A6">
              <w:rPr>
                <w:rFonts w:ascii="Arial" w:eastAsia="Times New Roman" w:hAnsi="Arial" w:cs="Arial"/>
                <w:color w:val="000000"/>
                <w:sz w:val="14"/>
                <w:szCs w:val="14"/>
                <w:lang w:eastAsia="en-AU"/>
              </w:rPr>
              <w:t>qtr</w:t>
            </w:r>
            <w:proofErr w:type="spellEnd"/>
            <w:r w:rsidRPr="00E332A6">
              <w:rPr>
                <w:rFonts w:ascii="Arial" w:eastAsia="Times New Roman" w:hAnsi="Arial" w:cs="Arial"/>
                <w:color w:val="000000"/>
                <w:sz w:val="14"/>
                <w:szCs w:val="14"/>
                <w:lang w:eastAsia="en-AU"/>
              </w:rPr>
              <w:t>)</w:t>
            </w:r>
          </w:p>
        </w:tc>
      </w:tr>
      <w:tr w:rsidR="00B70B73" w:rsidRPr="00E332A6" w14:paraId="29547506" w14:textId="27800FCE" w:rsidTr="0080538D">
        <w:trPr>
          <w:trHeight w:val="290"/>
        </w:trPr>
        <w:tc>
          <w:tcPr>
            <w:tcW w:w="5670" w:type="dxa"/>
            <w:tcBorders>
              <w:top w:val="single" w:sz="4" w:space="0" w:color="auto"/>
              <w:left w:val="single" w:sz="4" w:space="0" w:color="auto"/>
              <w:bottom w:val="single" w:sz="4" w:space="0" w:color="auto"/>
              <w:right w:val="single" w:sz="4" w:space="0" w:color="auto"/>
            </w:tcBorders>
            <w:noWrap/>
            <w:vAlign w:val="bottom"/>
            <w:hideMark/>
          </w:tcPr>
          <w:p w14:paraId="316FB27A" w14:textId="77777777" w:rsidR="00111A39" w:rsidRPr="00415EDA" w:rsidRDefault="00111A39" w:rsidP="00111A39">
            <w:pPr>
              <w:spacing w:after="0" w:line="240" w:lineRule="auto"/>
              <w:rPr>
                <w:rFonts w:ascii="Arial" w:eastAsia="Times New Roman" w:hAnsi="Arial" w:cs="Arial"/>
                <w:color w:val="000000"/>
                <w:lang w:eastAsia="en-AU"/>
              </w:rPr>
            </w:pPr>
            <w:r w:rsidRPr="00415EDA">
              <w:rPr>
                <w:rFonts w:ascii="Arial" w:eastAsia="Times New Roman" w:hAnsi="Arial" w:cs="Arial"/>
                <w:color w:val="000000"/>
                <w:lang w:eastAsia="en-AU"/>
              </w:rPr>
              <w:t>Automotive and Engineering Trades Workers</w:t>
            </w:r>
          </w:p>
        </w:tc>
        <w:tc>
          <w:tcPr>
            <w:tcW w:w="1843" w:type="dxa"/>
            <w:tcBorders>
              <w:top w:val="single" w:sz="4" w:space="0" w:color="auto"/>
              <w:left w:val="nil"/>
              <w:bottom w:val="single" w:sz="4" w:space="0" w:color="auto"/>
              <w:right w:val="single" w:sz="4" w:space="0" w:color="auto"/>
            </w:tcBorders>
            <w:noWrap/>
          </w:tcPr>
          <w:p w14:paraId="251ECABD" w14:textId="0E396E10" w:rsidR="00111A39" w:rsidRPr="00891368" w:rsidRDefault="00111A39" w:rsidP="00111A39">
            <w:pPr>
              <w:spacing w:after="0" w:line="240" w:lineRule="auto"/>
              <w:jc w:val="center"/>
              <w:rPr>
                <w:rFonts w:ascii="Arial" w:eastAsia="Times New Roman" w:hAnsi="Arial" w:cs="Arial"/>
                <w:color w:val="000000"/>
                <w:lang w:eastAsia="en-AU"/>
              </w:rPr>
            </w:pPr>
            <w:r w:rsidRPr="00891368">
              <w:rPr>
                <w:rFonts w:ascii="Arial" w:eastAsia="Times New Roman" w:hAnsi="Arial" w:cs="Arial"/>
                <w:color w:val="000000"/>
                <w:lang w:eastAsia="en-AU"/>
              </w:rPr>
              <w:t>26,900</w:t>
            </w:r>
          </w:p>
        </w:tc>
        <w:tc>
          <w:tcPr>
            <w:tcW w:w="2125" w:type="dxa"/>
            <w:tcBorders>
              <w:top w:val="single" w:sz="4" w:space="0" w:color="auto"/>
              <w:left w:val="nil"/>
              <w:bottom w:val="single" w:sz="4" w:space="0" w:color="auto"/>
              <w:right w:val="single" w:sz="4" w:space="0" w:color="auto"/>
            </w:tcBorders>
          </w:tcPr>
          <w:p w14:paraId="76EB2B13" w14:textId="45BADA50" w:rsidR="00111A39" w:rsidRPr="00891368" w:rsidRDefault="00085DA0" w:rsidP="00111A39">
            <w:pPr>
              <w:spacing w:after="0" w:line="240" w:lineRule="auto"/>
              <w:jc w:val="center"/>
              <w:rPr>
                <w:rFonts w:ascii="Arial" w:eastAsia="Times New Roman" w:hAnsi="Arial" w:cs="Arial"/>
                <w:color w:val="000000"/>
                <w:lang w:eastAsia="en-AU"/>
              </w:rPr>
            </w:pPr>
            <w:r w:rsidRPr="00891368">
              <w:rPr>
                <w:rFonts w:ascii="Arial" w:eastAsia="Times New Roman" w:hAnsi="Arial" w:cs="Arial"/>
                <w:color w:val="000000"/>
                <w:lang w:eastAsia="en-AU"/>
              </w:rPr>
              <w:t>40,100</w:t>
            </w:r>
          </w:p>
        </w:tc>
      </w:tr>
      <w:tr w:rsidR="00B70B73" w:rsidRPr="00E332A6" w14:paraId="481BB772" w14:textId="641E7C19" w:rsidTr="0080538D">
        <w:trPr>
          <w:trHeight w:val="290"/>
        </w:trPr>
        <w:tc>
          <w:tcPr>
            <w:tcW w:w="5670" w:type="dxa"/>
            <w:tcBorders>
              <w:top w:val="single" w:sz="4" w:space="0" w:color="auto"/>
              <w:left w:val="single" w:sz="4" w:space="0" w:color="auto"/>
              <w:bottom w:val="single" w:sz="4" w:space="0" w:color="auto"/>
              <w:right w:val="single" w:sz="4" w:space="0" w:color="auto"/>
            </w:tcBorders>
            <w:noWrap/>
            <w:vAlign w:val="bottom"/>
          </w:tcPr>
          <w:p w14:paraId="10A691A6" w14:textId="7F03D364" w:rsidR="00111A39" w:rsidRPr="00415EDA" w:rsidRDefault="00111A39" w:rsidP="00111A39">
            <w:pPr>
              <w:spacing w:after="0" w:line="240" w:lineRule="auto"/>
              <w:rPr>
                <w:rFonts w:ascii="Arial" w:eastAsia="Times New Roman" w:hAnsi="Arial" w:cs="Arial"/>
                <w:color w:val="000000"/>
                <w:lang w:eastAsia="en-AU"/>
              </w:rPr>
            </w:pPr>
            <w:r w:rsidRPr="00415EDA">
              <w:rPr>
                <w:rFonts w:ascii="Arial" w:eastAsia="Times New Roman" w:hAnsi="Arial" w:cs="Arial"/>
                <w:color w:val="000000"/>
                <w:lang w:eastAsia="en-AU"/>
              </w:rPr>
              <w:t>Skilled Animal and Horticultural Workers</w:t>
            </w:r>
          </w:p>
        </w:tc>
        <w:tc>
          <w:tcPr>
            <w:tcW w:w="1843" w:type="dxa"/>
            <w:tcBorders>
              <w:top w:val="nil"/>
              <w:left w:val="nil"/>
              <w:bottom w:val="single" w:sz="4" w:space="0" w:color="auto"/>
              <w:right w:val="single" w:sz="4" w:space="0" w:color="auto"/>
            </w:tcBorders>
            <w:noWrap/>
          </w:tcPr>
          <w:p w14:paraId="612E4BB8" w14:textId="53185EB7" w:rsidR="00111A39" w:rsidRPr="00891368" w:rsidRDefault="00111A39" w:rsidP="00111A39">
            <w:pPr>
              <w:spacing w:after="0" w:line="240" w:lineRule="auto"/>
              <w:jc w:val="center"/>
              <w:rPr>
                <w:rFonts w:ascii="Arial" w:eastAsia="Times New Roman" w:hAnsi="Arial" w:cs="Arial"/>
                <w:color w:val="000000"/>
                <w:lang w:eastAsia="en-AU"/>
              </w:rPr>
            </w:pPr>
            <w:r w:rsidRPr="00891368">
              <w:rPr>
                <w:rFonts w:ascii="Arial" w:eastAsia="Times New Roman" w:hAnsi="Arial" w:cs="Arial"/>
                <w:color w:val="000000"/>
                <w:lang w:eastAsia="en-AU"/>
              </w:rPr>
              <w:t>4,700</w:t>
            </w:r>
          </w:p>
        </w:tc>
        <w:tc>
          <w:tcPr>
            <w:tcW w:w="2125" w:type="dxa"/>
            <w:tcBorders>
              <w:top w:val="nil"/>
              <w:left w:val="nil"/>
              <w:bottom w:val="single" w:sz="4" w:space="0" w:color="auto"/>
              <w:right w:val="single" w:sz="4" w:space="0" w:color="auto"/>
            </w:tcBorders>
          </w:tcPr>
          <w:p w14:paraId="008BAAC5" w14:textId="63180C9D" w:rsidR="00111A39" w:rsidRPr="00891368" w:rsidRDefault="00AE31F6" w:rsidP="00111A39">
            <w:pPr>
              <w:spacing w:after="0" w:line="240" w:lineRule="auto"/>
              <w:jc w:val="center"/>
              <w:rPr>
                <w:rFonts w:ascii="Arial" w:eastAsia="Times New Roman" w:hAnsi="Arial" w:cs="Arial"/>
                <w:color w:val="000000"/>
                <w:lang w:eastAsia="en-AU"/>
              </w:rPr>
            </w:pPr>
            <w:r w:rsidRPr="00891368">
              <w:rPr>
                <w:rFonts w:ascii="Arial" w:eastAsia="Times New Roman" w:hAnsi="Arial" w:cs="Arial"/>
                <w:color w:val="000000"/>
                <w:lang w:eastAsia="en-AU"/>
              </w:rPr>
              <w:t>7,300</w:t>
            </w:r>
          </w:p>
        </w:tc>
      </w:tr>
      <w:tr w:rsidR="00B70B73" w:rsidRPr="00E332A6" w14:paraId="130BF6CA" w14:textId="71844F86" w:rsidTr="0080538D">
        <w:trPr>
          <w:trHeight w:val="290"/>
        </w:trPr>
        <w:tc>
          <w:tcPr>
            <w:tcW w:w="5670" w:type="dxa"/>
            <w:tcBorders>
              <w:top w:val="single" w:sz="4" w:space="0" w:color="auto"/>
              <w:left w:val="single" w:sz="4" w:space="0" w:color="auto"/>
              <w:bottom w:val="single" w:sz="4" w:space="0" w:color="auto"/>
              <w:right w:val="single" w:sz="4" w:space="0" w:color="auto"/>
            </w:tcBorders>
            <w:noWrap/>
            <w:vAlign w:val="bottom"/>
          </w:tcPr>
          <w:p w14:paraId="769AF61D" w14:textId="49F9FAE2" w:rsidR="00111A39" w:rsidRPr="00415EDA" w:rsidRDefault="00111A39" w:rsidP="00111A39">
            <w:pPr>
              <w:spacing w:after="0" w:line="240" w:lineRule="auto"/>
              <w:rPr>
                <w:rFonts w:ascii="Arial" w:eastAsia="Times New Roman" w:hAnsi="Arial" w:cs="Arial"/>
                <w:color w:val="000000"/>
                <w:lang w:eastAsia="en-AU"/>
              </w:rPr>
            </w:pPr>
            <w:r w:rsidRPr="00415EDA">
              <w:rPr>
                <w:rFonts w:ascii="Arial" w:eastAsia="Times New Roman" w:hAnsi="Arial" w:cs="Arial"/>
                <w:color w:val="000000"/>
                <w:lang w:eastAsia="en-AU"/>
              </w:rPr>
              <w:t>Electrotechnology and Telecommunications Trades Workers</w:t>
            </w:r>
          </w:p>
        </w:tc>
        <w:tc>
          <w:tcPr>
            <w:tcW w:w="1843" w:type="dxa"/>
            <w:tcBorders>
              <w:top w:val="nil"/>
              <w:left w:val="nil"/>
              <w:bottom w:val="single" w:sz="4" w:space="0" w:color="auto"/>
              <w:right w:val="single" w:sz="4" w:space="0" w:color="auto"/>
            </w:tcBorders>
            <w:noWrap/>
          </w:tcPr>
          <w:p w14:paraId="31E0AAFA" w14:textId="50D73543" w:rsidR="00111A39" w:rsidRPr="00891368" w:rsidRDefault="00111A39" w:rsidP="00111A39">
            <w:pPr>
              <w:spacing w:after="0" w:line="240" w:lineRule="auto"/>
              <w:jc w:val="center"/>
              <w:rPr>
                <w:rFonts w:ascii="Arial" w:eastAsia="Times New Roman" w:hAnsi="Arial" w:cs="Arial"/>
                <w:color w:val="000000"/>
                <w:lang w:eastAsia="en-AU"/>
              </w:rPr>
            </w:pPr>
            <w:r w:rsidRPr="00891368">
              <w:rPr>
                <w:rFonts w:ascii="Arial" w:eastAsia="Times New Roman" w:hAnsi="Arial" w:cs="Arial"/>
                <w:color w:val="000000"/>
                <w:lang w:eastAsia="en-AU"/>
              </w:rPr>
              <w:t>11,400</w:t>
            </w:r>
          </w:p>
        </w:tc>
        <w:tc>
          <w:tcPr>
            <w:tcW w:w="2125" w:type="dxa"/>
            <w:tcBorders>
              <w:top w:val="nil"/>
              <w:left w:val="nil"/>
              <w:bottom w:val="single" w:sz="4" w:space="0" w:color="auto"/>
              <w:right w:val="single" w:sz="4" w:space="0" w:color="auto"/>
            </w:tcBorders>
          </w:tcPr>
          <w:p w14:paraId="7BEBC24C" w14:textId="0425D237" w:rsidR="00111A39" w:rsidRPr="00891368" w:rsidRDefault="001B628D" w:rsidP="00111A39">
            <w:pPr>
              <w:spacing w:after="0" w:line="240" w:lineRule="auto"/>
              <w:jc w:val="center"/>
              <w:rPr>
                <w:rFonts w:ascii="Arial" w:eastAsia="Times New Roman" w:hAnsi="Arial" w:cs="Arial"/>
                <w:color w:val="000000"/>
                <w:lang w:eastAsia="en-AU"/>
              </w:rPr>
            </w:pPr>
            <w:r w:rsidRPr="00891368">
              <w:rPr>
                <w:rFonts w:ascii="Arial" w:eastAsia="Times New Roman" w:hAnsi="Arial" w:cs="Arial"/>
                <w:color w:val="000000"/>
                <w:lang w:eastAsia="en-AU"/>
              </w:rPr>
              <w:t>18,000</w:t>
            </w:r>
          </w:p>
        </w:tc>
      </w:tr>
      <w:tr w:rsidR="00B70B73" w:rsidRPr="00E332A6" w14:paraId="40821E44" w14:textId="3CEDDA9E" w:rsidTr="0080538D">
        <w:trPr>
          <w:trHeight w:val="290"/>
        </w:trPr>
        <w:tc>
          <w:tcPr>
            <w:tcW w:w="5670" w:type="dxa"/>
            <w:tcBorders>
              <w:top w:val="single" w:sz="4" w:space="0" w:color="auto"/>
              <w:left w:val="single" w:sz="4" w:space="0" w:color="auto"/>
              <w:bottom w:val="single" w:sz="4" w:space="0" w:color="auto"/>
              <w:right w:val="single" w:sz="4" w:space="0" w:color="auto"/>
            </w:tcBorders>
            <w:noWrap/>
            <w:vAlign w:val="bottom"/>
          </w:tcPr>
          <w:p w14:paraId="26641579" w14:textId="5904F7C8" w:rsidR="00111A39" w:rsidRPr="00415EDA" w:rsidRDefault="00111A39" w:rsidP="00111A39">
            <w:pPr>
              <w:spacing w:after="0" w:line="240" w:lineRule="auto"/>
              <w:rPr>
                <w:rFonts w:ascii="Arial" w:eastAsia="Times New Roman" w:hAnsi="Arial" w:cs="Arial"/>
                <w:color w:val="000000"/>
                <w:lang w:eastAsia="en-AU"/>
              </w:rPr>
            </w:pPr>
            <w:r w:rsidRPr="00415EDA">
              <w:rPr>
                <w:rFonts w:ascii="Arial" w:eastAsia="Times New Roman" w:hAnsi="Arial" w:cs="Arial"/>
                <w:color w:val="000000"/>
                <w:lang w:eastAsia="en-AU"/>
              </w:rPr>
              <w:t>Engineering, ICT and Science Technicians</w:t>
            </w:r>
          </w:p>
        </w:tc>
        <w:tc>
          <w:tcPr>
            <w:tcW w:w="1843" w:type="dxa"/>
            <w:tcBorders>
              <w:top w:val="nil"/>
              <w:left w:val="nil"/>
              <w:bottom w:val="single" w:sz="4" w:space="0" w:color="auto"/>
              <w:right w:val="single" w:sz="4" w:space="0" w:color="auto"/>
            </w:tcBorders>
            <w:noWrap/>
          </w:tcPr>
          <w:p w14:paraId="68989467" w14:textId="3F44BCA6" w:rsidR="00111A39" w:rsidRPr="00891368" w:rsidRDefault="00111A39" w:rsidP="00111A39">
            <w:pPr>
              <w:spacing w:after="0" w:line="240" w:lineRule="auto"/>
              <w:jc w:val="center"/>
              <w:rPr>
                <w:rFonts w:ascii="Arial" w:eastAsia="Times New Roman" w:hAnsi="Arial" w:cs="Arial"/>
                <w:color w:val="000000"/>
                <w:lang w:eastAsia="en-AU"/>
              </w:rPr>
            </w:pPr>
            <w:r w:rsidRPr="00891368">
              <w:rPr>
                <w:rFonts w:ascii="Arial" w:eastAsia="Times New Roman" w:hAnsi="Arial" w:cs="Arial"/>
                <w:color w:val="000000"/>
                <w:lang w:eastAsia="en-AU"/>
              </w:rPr>
              <w:t>14,900</w:t>
            </w:r>
          </w:p>
        </w:tc>
        <w:tc>
          <w:tcPr>
            <w:tcW w:w="2125" w:type="dxa"/>
            <w:tcBorders>
              <w:top w:val="nil"/>
              <w:left w:val="nil"/>
              <w:bottom w:val="single" w:sz="4" w:space="0" w:color="auto"/>
              <w:right w:val="single" w:sz="4" w:space="0" w:color="auto"/>
            </w:tcBorders>
          </w:tcPr>
          <w:p w14:paraId="0BE8A16A" w14:textId="20116FC8" w:rsidR="00111A39" w:rsidRPr="00891368" w:rsidRDefault="00A46E09" w:rsidP="00111A39">
            <w:pPr>
              <w:spacing w:after="0" w:line="240" w:lineRule="auto"/>
              <w:jc w:val="center"/>
              <w:rPr>
                <w:rFonts w:ascii="Arial" w:eastAsia="Times New Roman" w:hAnsi="Arial" w:cs="Arial"/>
                <w:color w:val="000000"/>
                <w:lang w:eastAsia="en-AU"/>
              </w:rPr>
            </w:pPr>
            <w:r w:rsidRPr="00891368">
              <w:rPr>
                <w:rFonts w:ascii="Arial" w:eastAsia="Times New Roman" w:hAnsi="Arial" w:cs="Arial"/>
                <w:color w:val="000000"/>
                <w:lang w:eastAsia="en-AU"/>
              </w:rPr>
              <w:t>24,800</w:t>
            </w:r>
          </w:p>
        </w:tc>
      </w:tr>
      <w:tr w:rsidR="00B70B73" w:rsidRPr="00E332A6" w14:paraId="26141BBE" w14:textId="52EBE163" w:rsidTr="0080538D">
        <w:trPr>
          <w:trHeight w:val="290"/>
        </w:trPr>
        <w:tc>
          <w:tcPr>
            <w:tcW w:w="5670" w:type="dxa"/>
            <w:tcBorders>
              <w:top w:val="single" w:sz="4" w:space="0" w:color="auto"/>
              <w:left w:val="single" w:sz="4" w:space="0" w:color="auto"/>
              <w:bottom w:val="single" w:sz="4" w:space="0" w:color="auto"/>
              <w:right w:val="single" w:sz="4" w:space="0" w:color="auto"/>
            </w:tcBorders>
            <w:noWrap/>
            <w:vAlign w:val="bottom"/>
            <w:hideMark/>
          </w:tcPr>
          <w:p w14:paraId="12684C8D" w14:textId="77777777" w:rsidR="00111A39" w:rsidRPr="00415EDA" w:rsidRDefault="00111A39" w:rsidP="00111A39">
            <w:pPr>
              <w:spacing w:after="0" w:line="240" w:lineRule="auto"/>
              <w:rPr>
                <w:rFonts w:ascii="Arial" w:eastAsia="Times New Roman" w:hAnsi="Arial" w:cs="Arial"/>
                <w:color w:val="000000"/>
                <w:lang w:eastAsia="en-AU"/>
              </w:rPr>
            </w:pPr>
            <w:r w:rsidRPr="00415EDA">
              <w:rPr>
                <w:rFonts w:ascii="Arial" w:eastAsia="Times New Roman" w:hAnsi="Arial" w:cs="Arial"/>
                <w:color w:val="000000"/>
                <w:lang w:eastAsia="en-AU"/>
              </w:rPr>
              <w:t>Construction Trades Workers</w:t>
            </w:r>
          </w:p>
        </w:tc>
        <w:tc>
          <w:tcPr>
            <w:tcW w:w="1843" w:type="dxa"/>
            <w:tcBorders>
              <w:top w:val="nil"/>
              <w:left w:val="nil"/>
              <w:bottom w:val="single" w:sz="4" w:space="0" w:color="auto"/>
              <w:right w:val="single" w:sz="4" w:space="0" w:color="auto"/>
            </w:tcBorders>
            <w:noWrap/>
          </w:tcPr>
          <w:p w14:paraId="464D7F29" w14:textId="4193C633" w:rsidR="00111A39" w:rsidRPr="00891368" w:rsidRDefault="00111A39" w:rsidP="00111A39">
            <w:pPr>
              <w:spacing w:after="0" w:line="240" w:lineRule="auto"/>
              <w:jc w:val="center"/>
              <w:rPr>
                <w:rFonts w:ascii="Arial" w:eastAsia="Times New Roman" w:hAnsi="Arial" w:cs="Arial"/>
                <w:color w:val="000000"/>
                <w:lang w:eastAsia="en-AU"/>
              </w:rPr>
            </w:pPr>
            <w:r w:rsidRPr="00891368">
              <w:rPr>
                <w:rFonts w:ascii="Arial" w:eastAsia="Times New Roman" w:hAnsi="Arial" w:cs="Arial"/>
                <w:color w:val="000000"/>
                <w:lang w:eastAsia="en-AU"/>
              </w:rPr>
              <w:t>10,200</w:t>
            </w:r>
          </w:p>
        </w:tc>
        <w:tc>
          <w:tcPr>
            <w:tcW w:w="2125" w:type="dxa"/>
            <w:tcBorders>
              <w:top w:val="nil"/>
              <w:left w:val="nil"/>
              <w:bottom w:val="single" w:sz="4" w:space="0" w:color="auto"/>
              <w:right w:val="single" w:sz="4" w:space="0" w:color="auto"/>
            </w:tcBorders>
          </w:tcPr>
          <w:p w14:paraId="3E326D07" w14:textId="70D37409" w:rsidR="00111A39" w:rsidRPr="00891368" w:rsidRDefault="00574F09" w:rsidP="00111A39">
            <w:pPr>
              <w:spacing w:after="0" w:line="240" w:lineRule="auto"/>
              <w:jc w:val="center"/>
              <w:rPr>
                <w:rFonts w:ascii="Arial" w:eastAsia="Times New Roman" w:hAnsi="Arial" w:cs="Arial"/>
                <w:color w:val="000000"/>
                <w:lang w:eastAsia="en-AU"/>
              </w:rPr>
            </w:pPr>
            <w:r w:rsidRPr="00891368">
              <w:rPr>
                <w:rFonts w:ascii="Arial" w:eastAsia="Times New Roman" w:hAnsi="Arial" w:cs="Arial"/>
                <w:color w:val="000000"/>
                <w:lang w:eastAsia="en-AU"/>
              </w:rPr>
              <w:t>17,200</w:t>
            </w:r>
          </w:p>
        </w:tc>
      </w:tr>
      <w:tr w:rsidR="00B70B73" w:rsidRPr="00E332A6" w14:paraId="0D85E61C" w14:textId="51D93C3B" w:rsidTr="0080538D">
        <w:trPr>
          <w:trHeight w:val="290"/>
        </w:trPr>
        <w:tc>
          <w:tcPr>
            <w:tcW w:w="5670" w:type="dxa"/>
            <w:tcBorders>
              <w:top w:val="single" w:sz="4" w:space="0" w:color="auto"/>
              <w:left w:val="single" w:sz="4" w:space="0" w:color="auto"/>
              <w:bottom w:val="single" w:sz="4" w:space="0" w:color="auto"/>
              <w:right w:val="single" w:sz="4" w:space="0" w:color="auto"/>
            </w:tcBorders>
            <w:noWrap/>
            <w:vAlign w:val="bottom"/>
            <w:hideMark/>
          </w:tcPr>
          <w:p w14:paraId="10F5C158" w14:textId="77777777" w:rsidR="00111A39" w:rsidRPr="00415EDA" w:rsidRDefault="00111A39" w:rsidP="00111A39">
            <w:pPr>
              <w:spacing w:after="0" w:line="240" w:lineRule="auto"/>
              <w:rPr>
                <w:rFonts w:ascii="Arial" w:eastAsia="Times New Roman" w:hAnsi="Arial" w:cs="Arial"/>
                <w:color w:val="000000"/>
                <w:lang w:eastAsia="en-AU"/>
              </w:rPr>
            </w:pPr>
            <w:r w:rsidRPr="00415EDA">
              <w:rPr>
                <w:rFonts w:ascii="Arial" w:eastAsia="Times New Roman" w:hAnsi="Arial" w:cs="Arial"/>
                <w:color w:val="000000"/>
                <w:lang w:eastAsia="en-AU"/>
              </w:rPr>
              <w:t>Food Trades Workers</w:t>
            </w:r>
          </w:p>
        </w:tc>
        <w:tc>
          <w:tcPr>
            <w:tcW w:w="1843" w:type="dxa"/>
            <w:tcBorders>
              <w:top w:val="nil"/>
              <w:left w:val="nil"/>
              <w:bottom w:val="single" w:sz="4" w:space="0" w:color="auto"/>
              <w:right w:val="single" w:sz="4" w:space="0" w:color="auto"/>
            </w:tcBorders>
            <w:noWrap/>
          </w:tcPr>
          <w:p w14:paraId="3F07138D" w14:textId="4BEB2A07" w:rsidR="00111A39" w:rsidRPr="00891368" w:rsidRDefault="00111A39" w:rsidP="00111A39">
            <w:pPr>
              <w:spacing w:after="0" w:line="240" w:lineRule="auto"/>
              <w:jc w:val="center"/>
              <w:rPr>
                <w:rFonts w:ascii="Arial" w:eastAsia="Times New Roman" w:hAnsi="Arial" w:cs="Arial"/>
                <w:color w:val="000000"/>
                <w:lang w:eastAsia="en-AU"/>
              </w:rPr>
            </w:pPr>
            <w:r w:rsidRPr="00891368">
              <w:rPr>
                <w:rFonts w:ascii="Arial" w:eastAsia="Times New Roman" w:hAnsi="Arial" w:cs="Arial"/>
                <w:color w:val="000000"/>
                <w:lang w:eastAsia="en-AU"/>
              </w:rPr>
              <w:t>13,400</w:t>
            </w:r>
          </w:p>
        </w:tc>
        <w:tc>
          <w:tcPr>
            <w:tcW w:w="2125" w:type="dxa"/>
            <w:tcBorders>
              <w:top w:val="nil"/>
              <w:left w:val="nil"/>
              <w:bottom w:val="single" w:sz="4" w:space="0" w:color="auto"/>
              <w:right w:val="single" w:sz="4" w:space="0" w:color="auto"/>
            </w:tcBorders>
          </w:tcPr>
          <w:p w14:paraId="15E88AFD" w14:textId="0AC74D5E" w:rsidR="00111A39" w:rsidRPr="00891368" w:rsidRDefault="00891368" w:rsidP="00111A39">
            <w:pPr>
              <w:spacing w:after="0" w:line="240" w:lineRule="auto"/>
              <w:jc w:val="center"/>
              <w:rPr>
                <w:rFonts w:ascii="Arial" w:eastAsia="Times New Roman" w:hAnsi="Arial" w:cs="Arial"/>
                <w:color w:val="000000"/>
                <w:lang w:eastAsia="en-AU"/>
              </w:rPr>
            </w:pPr>
            <w:r w:rsidRPr="00891368">
              <w:rPr>
                <w:rFonts w:ascii="Arial" w:eastAsia="Times New Roman" w:hAnsi="Arial" w:cs="Arial"/>
                <w:color w:val="000000"/>
                <w:lang w:eastAsia="en-AU"/>
              </w:rPr>
              <w:t>22,900</w:t>
            </w:r>
          </w:p>
        </w:tc>
      </w:tr>
    </w:tbl>
    <w:p w14:paraId="17D92097" w14:textId="754C8FDD" w:rsidR="003B08F3" w:rsidRPr="00B70B73" w:rsidRDefault="00787D4C" w:rsidP="00151274">
      <w:pPr>
        <w:rPr>
          <w:rFonts w:ascii="Arial" w:eastAsia="Times New Roman" w:hAnsi="Arial" w:cs="Times New Roman"/>
          <w:sz w:val="12"/>
          <w:szCs w:val="12"/>
          <w:lang w:eastAsia="en-GB"/>
        </w:rPr>
      </w:pPr>
      <w:r w:rsidRPr="005379EA">
        <w:rPr>
          <w:rFonts w:ascii="Arial" w:eastAsia="Times New Roman" w:hAnsi="Arial" w:cs="Times New Roman"/>
          <w:i/>
          <w:iCs/>
          <w:sz w:val="12"/>
          <w:szCs w:val="12"/>
          <w:lang w:eastAsia="en-GB"/>
        </w:rPr>
        <w:t>Source: Jobs and Skills Australia</w:t>
      </w:r>
      <w:r w:rsidR="00B70B73">
        <w:rPr>
          <w:rFonts w:ascii="Arial" w:eastAsia="Times New Roman" w:hAnsi="Arial" w:cs="Times New Roman"/>
          <w:i/>
          <w:iCs/>
          <w:sz w:val="12"/>
          <w:szCs w:val="12"/>
          <w:lang w:eastAsia="en-GB"/>
        </w:rPr>
        <w:t>, Internet Vacancy Index, January 2025; Jobs and Skills Australia, Total New Vacancies, November 2025.</w:t>
      </w:r>
    </w:p>
    <w:p w14:paraId="08B24852" w14:textId="77777777" w:rsidR="00DB15AA" w:rsidRDefault="00DB15AA" w:rsidP="00DB15AA">
      <w:pPr>
        <w:pStyle w:val="FootnoteText"/>
      </w:pPr>
      <w:r>
        <w:rPr>
          <w:rStyle w:val="FootnoteReference"/>
        </w:rPr>
        <w:footnoteRef/>
      </w:r>
      <w:r>
        <w:t xml:space="preserve"> Jobs and Skills Australia, Australian Jobs 2025, 2025.</w:t>
      </w:r>
    </w:p>
    <w:p w14:paraId="3A8D20EB" w14:textId="0DC59585" w:rsidR="00DB15AA" w:rsidRDefault="001F6A8D" w:rsidP="00DB15AA">
      <w:pPr>
        <w:pStyle w:val="FootnoteText"/>
      </w:pPr>
      <w:r>
        <w:rPr>
          <w:rStyle w:val="FootnoteReference"/>
        </w:rPr>
        <w:t>2</w:t>
      </w:r>
      <w:r w:rsidR="00DB15AA">
        <w:t xml:space="preserve"> </w:t>
      </w:r>
      <w:r>
        <w:t xml:space="preserve">JSA </w:t>
      </w:r>
      <w:r w:rsidR="00DB15AA">
        <w:t>Employment Projections</w:t>
      </w:r>
      <w:r>
        <w:t>, 2025.</w:t>
      </w:r>
    </w:p>
    <w:p w14:paraId="5334BAE0" w14:textId="7F1061AD" w:rsidR="00DB15AA" w:rsidRDefault="001F6A8D" w:rsidP="00DB15AA">
      <w:pPr>
        <w:pStyle w:val="FootnoteText"/>
      </w:pPr>
      <w:r>
        <w:rPr>
          <w:rStyle w:val="FootnoteReference"/>
        </w:rPr>
        <w:t>3</w:t>
      </w:r>
      <w:r w:rsidR="00DB15AA">
        <w:t xml:space="preserve"> Jobs and Skills Australia, 2025 OSL Key Findings Report, 2025.</w:t>
      </w:r>
    </w:p>
    <w:p w14:paraId="28F2059C" w14:textId="79B78805" w:rsidR="00DB15AA" w:rsidRDefault="001F6A8D" w:rsidP="00DB15AA">
      <w:pPr>
        <w:pStyle w:val="FootnoteText"/>
      </w:pPr>
      <w:r>
        <w:rPr>
          <w:rStyle w:val="FootnoteReference"/>
        </w:rPr>
        <w:t>4</w:t>
      </w:r>
      <w:r w:rsidR="00DB15AA">
        <w:t xml:space="preserve"> Powering Skills Organisation, The New Power Generation: Challenges and Opportunities Within Australia’s Energy Sector, 2025.</w:t>
      </w:r>
    </w:p>
    <w:p w14:paraId="67CDEA2A" w14:textId="7EF1DD75" w:rsidR="00DB15AA" w:rsidRDefault="001F6A8D" w:rsidP="00DB15AA">
      <w:pPr>
        <w:pStyle w:val="FootnoteText"/>
      </w:pPr>
      <w:r>
        <w:rPr>
          <w:rStyle w:val="FootnoteReference"/>
        </w:rPr>
        <w:t>5</w:t>
      </w:r>
      <w:r w:rsidR="00DB15AA">
        <w:t xml:space="preserve"> Manufacturing Industry Skills Alliance, Manufacturing Workforce Plan 2025: Pathways to Transformation, 2025.</w:t>
      </w:r>
    </w:p>
    <w:p w14:paraId="3DA2F50A" w14:textId="661640A8" w:rsidR="00415EDA" w:rsidRDefault="00415EDA" w:rsidP="005C67AF">
      <w:pPr>
        <w:pStyle w:val="Spacer"/>
        <w:spacing w:after="1560"/>
      </w:pPr>
    </w:p>
    <w:p w14:paraId="769196B3" w14:textId="5B5EFCD4" w:rsidR="00726C5C" w:rsidRPr="00604701" w:rsidRDefault="00D90A2E" w:rsidP="00726C5C">
      <w:pPr>
        <w:spacing w:after="920"/>
        <w:ind w:left="1361" w:right="1700"/>
      </w:pPr>
      <w:r>
        <w:rPr>
          <w:noProof/>
        </w:rPr>
        <w:drawing>
          <wp:anchor distT="0" distB="0" distL="114300" distR="114300" simplePos="0" relativeHeight="251658241" behindDoc="1" locked="0" layoutInCell="1" allowOverlap="1" wp14:anchorId="6147D0C8" wp14:editId="754F4001">
            <wp:simplePos x="0" y="0"/>
            <wp:positionH relativeFrom="page">
              <wp:posOffset>-40234</wp:posOffset>
            </wp:positionH>
            <wp:positionV relativeFrom="page">
              <wp:posOffset>6605626</wp:posOffset>
            </wp:positionV>
            <wp:extent cx="7602220" cy="4085590"/>
            <wp:effectExtent l="0" t="0" r="0" b="0"/>
            <wp:wrapNone/>
            <wp:docPr id="66292163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21638"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2220" cy="4085590"/>
                    </a:xfrm>
                    <a:prstGeom prst="rect">
                      <a:avLst/>
                    </a:prstGeom>
                  </pic:spPr>
                </pic:pic>
              </a:graphicData>
            </a:graphic>
            <wp14:sizeRelH relativeFrom="margin">
              <wp14:pctWidth>0</wp14:pctWidth>
            </wp14:sizeRelH>
            <wp14:sizeRelV relativeFrom="margin">
              <wp14:pctHeight>0</wp14:pctHeight>
            </wp14:sizeRelV>
          </wp:anchor>
        </w:drawing>
      </w:r>
      <w:r w:rsidR="00726C5C" w:rsidRPr="00604701">
        <w:t>The</w:t>
      </w:r>
      <w:r w:rsidR="00726C5C" w:rsidRPr="00907928">
        <w:rPr>
          <w:u w:color="B91C1C"/>
        </w:rPr>
        <w:t xml:space="preserve"> </w:t>
      </w:r>
      <w:r w:rsidR="00726C5C" w:rsidRPr="00604701">
        <w:t>next</w:t>
      </w:r>
      <w:r w:rsidR="00726C5C" w:rsidRPr="00907928">
        <w:rPr>
          <w:u w:color="B91C1C"/>
        </w:rPr>
        <w:t xml:space="preserve"> </w:t>
      </w:r>
      <w:r w:rsidR="00240205">
        <w:t>TNV</w:t>
      </w:r>
      <w:r w:rsidR="00726C5C" w:rsidRPr="00907928">
        <w:rPr>
          <w:u w:color="B91C1C"/>
        </w:rPr>
        <w:t xml:space="preserve"> </w:t>
      </w:r>
      <w:r w:rsidR="00726C5C" w:rsidRPr="00604701">
        <w:t>release</w:t>
      </w:r>
      <w:r w:rsidR="00726C5C" w:rsidRPr="00907928">
        <w:rPr>
          <w:u w:color="B91C1C"/>
        </w:rPr>
        <w:t xml:space="preserve"> </w:t>
      </w:r>
      <w:r w:rsidR="00726C5C" w:rsidRPr="00604701">
        <w:t>is</w:t>
      </w:r>
      <w:r w:rsidR="00726C5C" w:rsidRPr="00907928">
        <w:rPr>
          <w:u w:color="B91C1C"/>
        </w:rPr>
        <w:t xml:space="preserve"> </w:t>
      </w:r>
      <w:r w:rsidR="00726C5C" w:rsidRPr="00604701">
        <w:t>scheduled</w:t>
      </w:r>
      <w:r w:rsidR="00726C5C" w:rsidRPr="00907928">
        <w:rPr>
          <w:u w:color="B91C1C"/>
        </w:rPr>
        <w:t xml:space="preserve"> </w:t>
      </w:r>
      <w:r w:rsidR="00726C5C" w:rsidRPr="00604701">
        <w:t>for</w:t>
      </w:r>
      <w:r w:rsidR="00726C5C" w:rsidRPr="00907928">
        <w:rPr>
          <w:u w:color="B91C1C"/>
        </w:rPr>
        <w:t xml:space="preserve"> </w:t>
      </w:r>
      <w:r w:rsidR="00FD26FF">
        <w:t>May</w:t>
      </w:r>
      <w:r w:rsidR="00726C5C">
        <w:t xml:space="preserve"> 2026.</w:t>
      </w:r>
      <w:r w:rsidR="00726C5C" w:rsidRPr="00907928">
        <w:rPr>
          <w:u w:color="B91C1C"/>
        </w:rPr>
        <w:t xml:space="preserve"> </w:t>
      </w:r>
      <w:r w:rsidR="00726C5C" w:rsidRPr="00604701">
        <w:t>The</w:t>
      </w:r>
      <w:r w:rsidR="00726C5C" w:rsidRPr="00907928">
        <w:rPr>
          <w:u w:color="B91C1C"/>
        </w:rPr>
        <w:t xml:space="preserve"> </w:t>
      </w:r>
      <w:r w:rsidR="00726C5C">
        <w:t>TNV</w:t>
      </w:r>
      <w:r w:rsidR="00726C5C" w:rsidRPr="00907928">
        <w:rPr>
          <w:u w:color="B91C1C"/>
        </w:rPr>
        <w:t xml:space="preserve"> </w:t>
      </w:r>
      <w:r w:rsidR="00726C5C" w:rsidRPr="00604701">
        <w:t>is</w:t>
      </w:r>
      <w:r w:rsidR="00726C5C" w:rsidRPr="00907928">
        <w:rPr>
          <w:u w:color="B91C1C"/>
        </w:rPr>
        <w:t xml:space="preserve"> </w:t>
      </w:r>
      <w:r w:rsidR="00726C5C" w:rsidRPr="00604701">
        <w:t>published</w:t>
      </w:r>
      <w:r w:rsidR="00726C5C" w:rsidRPr="00907928">
        <w:rPr>
          <w:u w:color="B91C1C"/>
        </w:rPr>
        <w:t xml:space="preserve"> </w:t>
      </w:r>
      <w:r w:rsidR="00726C5C" w:rsidRPr="00604701">
        <w:t>on</w:t>
      </w:r>
      <w:r w:rsidR="00726C5C" w:rsidRPr="00907928">
        <w:rPr>
          <w:u w:color="B91C1C"/>
        </w:rPr>
        <w:t xml:space="preserve"> </w:t>
      </w:r>
      <w:r w:rsidR="00726C5C" w:rsidRPr="00604701">
        <w:t>the</w:t>
      </w:r>
      <w:r w:rsidR="00726C5C" w:rsidRPr="00907928">
        <w:rPr>
          <w:u w:color="B91C1C"/>
        </w:rPr>
        <w:t xml:space="preserve"> </w:t>
      </w:r>
      <w:r w:rsidR="00726C5C" w:rsidRPr="00604701">
        <w:t>JSA</w:t>
      </w:r>
      <w:r w:rsidR="00726C5C" w:rsidRPr="00907928">
        <w:rPr>
          <w:u w:color="B91C1C"/>
        </w:rPr>
        <w:t xml:space="preserve"> </w:t>
      </w:r>
      <w:r w:rsidR="00726C5C" w:rsidRPr="00604701">
        <w:t>website</w:t>
      </w:r>
      <w:r w:rsidR="00726C5C" w:rsidRPr="00907928">
        <w:rPr>
          <w:u w:color="B91C1C"/>
        </w:rPr>
        <w:t xml:space="preserve"> </w:t>
      </w:r>
      <w:r w:rsidR="00726C5C" w:rsidRPr="00604701">
        <w:t>at</w:t>
      </w:r>
      <w:r w:rsidR="00726C5C" w:rsidRPr="00907928">
        <w:rPr>
          <w:u w:color="B91C1C"/>
        </w:rPr>
        <w:t xml:space="preserve"> </w:t>
      </w:r>
      <w:r w:rsidR="00726C5C" w:rsidRPr="00604701">
        <w:t>jobsandskills.gov.au</w:t>
      </w:r>
      <w:r w:rsidR="00726C5C">
        <w:t>.</w:t>
      </w:r>
    </w:p>
    <w:p w14:paraId="47C6ADC1" w14:textId="1F8D2E01" w:rsidR="00D422A0" w:rsidRPr="001A637A" w:rsidRDefault="00726C5C" w:rsidP="00DA7A1B">
      <w:r w:rsidRPr="00600A76">
        <w:t>The TNV uses insights from JSA’s Recruitment Experiences and Outlook Survey (REOS) to estimate the total number of new vacancies created each quarter. It combines online job ad data with employer survey responses to capture vacancies not advertised online (such as word of mouth, signage, and social media). As a new release, JSA is seeking feedback on the series including suggestions for possible improvements. Caution should also be exercised when utilising the JSA TNV data. This provides a quarterly measure of new job openings across Australia. More information is available on the Jobs and Skills Australia website.</w:t>
      </w:r>
      <w:r w:rsidR="00D422A0" w:rsidRPr="00122087">
        <w:rPr>
          <w:noProof/>
        </w:rPr>
        <w:drawing>
          <wp:anchor distT="0" distB="0" distL="114300" distR="114300" simplePos="0" relativeHeight="251658242" behindDoc="0" locked="0" layoutInCell="1" allowOverlap="1" wp14:anchorId="1ACD0DA8" wp14:editId="0D5F35D6">
            <wp:simplePos x="0" y="0"/>
            <wp:positionH relativeFrom="margin">
              <wp:posOffset>-487563</wp:posOffset>
            </wp:positionH>
            <wp:positionV relativeFrom="paragraph">
              <wp:posOffset>5504696</wp:posOffset>
            </wp:positionV>
            <wp:extent cx="7095472" cy="3859294"/>
            <wp:effectExtent l="0" t="0" r="0" b="8255"/>
            <wp:wrapNone/>
            <wp:docPr id="14766632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63246" name="Picture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095472" cy="3859294"/>
                    </a:xfrm>
                    <a:prstGeom prst="rect">
                      <a:avLst/>
                    </a:prstGeom>
                  </pic:spPr>
                </pic:pic>
              </a:graphicData>
            </a:graphic>
            <wp14:sizeRelH relativeFrom="page">
              <wp14:pctWidth>0</wp14:pctWidth>
            </wp14:sizeRelH>
            <wp14:sizeRelV relativeFrom="page">
              <wp14:pctHeight>0</wp14:pctHeight>
            </wp14:sizeRelV>
          </wp:anchor>
        </w:drawing>
      </w:r>
    </w:p>
    <w:sectPr w:rsidR="00D422A0" w:rsidRPr="001A637A" w:rsidSect="004860A5">
      <w:type w:val="continuous"/>
      <w:pgSz w:w="11906" w:h="16838"/>
      <w:pgMar w:top="1361" w:right="1134" w:bottom="1134" w:left="1134"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F998E" w14:textId="77777777" w:rsidR="00F010BB" w:rsidRDefault="00F010BB" w:rsidP="0081036F">
      <w:r>
        <w:separator/>
      </w:r>
    </w:p>
  </w:endnote>
  <w:endnote w:type="continuationSeparator" w:id="0">
    <w:p w14:paraId="5569C9D0" w14:textId="77777777" w:rsidR="00F010BB" w:rsidRDefault="00F010BB" w:rsidP="0081036F">
      <w:r>
        <w:continuationSeparator/>
      </w:r>
    </w:p>
  </w:endnote>
  <w:endnote w:type="continuationNotice" w:id="1">
    <w:p w14:paraId="22D8E844" w14:textId="77777777" w:rsidR="00F010BB" w:rsidRDefault="00F010BB" w:rsidP="008103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032E5" w14:textId="48E736EC" w:rsidR="004860A5" w:rsidRPr="00B14460" w:rsidRDefault="000E38B7" w:rsidP="004860A5">
    <w:pPr>
      <w:pStyle w:val="Footer"/>
      <w:pBdr>
        <w:top w:val="single" w:sz="4" w:space="1" w:color="auto"/>
      </w:pBdr>
      <w:tabs>
        <w:tab w:val="clear" w:pos="9026"/>
        <w:tab w:val="right" w:pos="9638"/>
      </w:tabs>
    </w:pPr>
    <w:r>
      <w:t>Total New Vacancies</w:t>
    </w:r>
    <w:r w:rsidR="004860A5" w:rsidRPr="00B14460">
      <w:t xml:space="preserve"> – </w:t>
    </w:r>
    <w:r w:rsidR="00F014B6">
      <w:t>November</w:t>
    </w:r>
    <w:r>
      <w:t xml:space="preserve"> 2025</w:t>
    </w:r>
    <w:r w:rsidR="004860A5" w:rsidRPr="00B14460">
      <w:t xml:space="preserve"> </w:t>
    </w:r>
    <w:r w:rsidR="004860A5" w:rsidRPr="00B14460">
      <w:tab/>
      <w:t xml:space="preserve">Jobs and Skills Australia </w:t>
    </w:r>
    <w:r w:rsidR="004860A5">
      <w:t xml:space="preserve"> </w:t>
    </w:r>
    <w:r w:rsidR="004860A5" w:rsidRPr="00B14460">
      <w:t xml:space="preserve"> | </w:t>
    </w:r>
    <w:r w:rsidR="004860A5">
      <w:t xml:space="preserve"> </w:t>
    </w:r>
    <w:r w:rsidR="004860A5" w:rsidRPr="00B14460">
      <w:t xml:space="preserve"> </w:t>
    </w:r>
    <w:sdt>
      <w:sdtPr>
        <w:id w:val="-2122141121"/>
        <w:docPartObj>
          <w:docPartGallery w:val="Page Numbers (Bottom of Page)"/>
          <w:docPartUnique/>
        </w:docPartObj>
      </w:sdtPr>
      <w:sdtEndPr>
        <w:rPr>
          <w:noProof/>
        </w:rPr>
      </w:sdtEndPr>
      <w:sdtContent>
        <w:r w:rsidR="004860A5" w:rsidRPr="00B14460">
          <w:fldChar w:fldCharType="begin"/>
        </w:r>
        <w:r w:rsidR="004860A5" w:rsidRPr="00B14460">
          <w:instrText xml:space="preserve"> PAGE   \* MERGEFORMAT </w:instrText>
        </w:r>
        <w:r w:rsidR="004860A5" w:rsidRPr="00B14460">
          <w:fldChar w:fldCharType="separate"/>
        </w:r>
        <w:r w:rsidR="004860A5">
          <w:t>1</w:t>
        </w:r>
        <w:r w:rsidR="004860A5" w:rsidRPr="00B14460">
          <w:rPr>
            <w:noProof/>
          </w:rPr>
          <w:fldChar w:fldCharType="end"/>
        </w:r>
      </w:sdtContent>
    </w:sdt>
  </w:p>
  <w:p w14:paraId="1DE9E510" w14:textId="48FD8418" w:rsidR="003708C1" w:rsidRPr="004860A5" w:rsidRDefault="003708C1" w:rsidP="004860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29AEE" w14:textId="7BB23118" w:rsidR="00753665" w:rsidRPr="00B14460" w:rsidRDefault="00D2549B" w:rsidP="001279A4">
    <w:pPr>
      <w:pStyle w:val="Footer"/>
      <w:pBdr>
        <w:top w:val="single" w:sz="4" w:space="1" w:color="auto"/>
      </w:pBdr>
      <w:tabs>
        <w:tab w:val="clear" w:pos="9026"/>
        <w:tab w:val="right" w:pos="9638"/>
      </w:tabs>
    </w:pPr>
    <w:r w:rsidRPr="00B14460">
      <w:t>Vacancy Index Report – October 2023</w:t>
    </w:r>
    <w:r w:rsidR="00E24280" w:rsidRPr="00B14460">
      <w:t xml:space="preserve"> </w:t>
    </w:r>
    <w:r w:rsidR="00E24280" w:rsidRPr="00B14460">
      <w:tab/>
      <w:t xml:space="preserve">Jobs and Skills Australia </w:t>
    </w:r>
    <w:r w:rsidR="004C427B">
      <w:t xml:space="preserve"> </w:t>
    </w:r>
    <w:r w:rsidR="00E24280" w:rsidRPr="00B14460">
      <w:t xml:space="preserve"> | </w:t>
    </w:r>
    <w:r w:rsidR="004C427B">
      <w:t xml:space="preserve"> </w:t>
    </w:r>
    <w:r w:rsidR="00E24280" w:rsidRPr="00B14460">
      <w:t xml:space="preserve"> </w:t>
    </w:r>
    <w:sdt>
      <w:sdtPr>
        <w:id w:val="1346446715"/>
        <w:docPartObj>
          <w:docPartGallery w:val="Page Numbers (Bottom of Page)"/>
          <w:docPartUnique/>
        </w:docPartObj>
      </w:sdtPr>
      <w:sdtEndPr>
        <w:rPr>
          <w:noProof/>
        </w:rPr>
      </w:sdtEndPr>
      <w:sdtContent>
        <w:r w:rsidR="00753665" w:rsidRPr="00B14460">
          <w:fldChar w:fldCharType="begin"/>
        </w:r>
        <w:r w:rsidR="00753665" w:rsidRPr="00B14460">
          <w:instrText xml:space="preserve"> PAGE   \* MERGEFORMAT </w:instrText>
        </w:r>
        <w:r w:rsidR="00753665" w:rsidRPr="00B14460">
          <w:fldChar w:fldCharType="separate"/>
        </w:r>
        <w:r w:rsidR="00753665" w:rsidRPr="00B14460">
          <w:rPr>
            <w:noProof/>
          </w:rPr>
          <w:t>2</w:t>
        </w:r>
        <w:r w:rsidR="00753665" w:rsidRPr="00B14460">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832CA" w14:textId="77777777" w:rsidR="00F010BB" w:rsidRDefault="00F010BB" w:rsidP="0081036F">
      <w:r>
        <w:separator/>
      </w:r>
    </w:p>
  </w:footnote>
  <w:footnote w:type="continuationSeparator" w:id="0">
    <w:p w14:paraId="462A610D" w14:textId="77777777" w:rsidR="00F010BB" w:rsidRDefault="00F010BB" w:rsidP="0081036F">
      <w:r>
        <w:continuationSeparator/>
      </w:r>
    </w:p>
  </w:footnote>
  <w:footnote w:type="continuationNotice" w:id="1">
    <w:p w14:paraId="5FCDA095" w14:textId="77777777" w:rsidR="00F010BB" w:rsidRDefault="00F010BB" w:rsidP="0081036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A0ABC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6EA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E459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5E7D0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C2A15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4410687E"/>
    <w:lvl w:ilvl="0">
      <w:start w:val="1"/>
      <w:numFmt w:val="decimal"/>
      <w:pStyle w:val="ListNumber"/>
      <w:lvlText w:val="%1."/>
      <w:lvlJc w:val="left"/>
      <w:pPr>
        <w:tabs>
          <w:tab w:val="num" w:pos="360"/>
        </w:tabs>
        <w:ind w:left="360" w:hanging="360"/>
      </w:pPr>
    </w:lvl>
  </w:abstractNum>
  <w:abstractNum w:abstractNumId="6" w15:restartNumberingAfterBreak="0">
    <w:nsid w:val="097C163D"/>
    <w:multiLevelType w:val="hybridMultilevel"/>
    <w:tmpl w:val="594C2E34"/>
    <w:lvl w:ilvl="0" w:tplc="0C090001">
      <w:start w:val="1"/>
      <w:numFmt w:val="bullet"/>
      <w:lvlText w:val=""/>
      <w:lvlJc w:val="left"/>
      <w:pPr>
        <w:ind w:left="720" w:hanging="360"/>
      </w:pPr>
      <w:rPr>
        <w:rFonts w:ascii="Symbol" w:hAnsi="Symbol" w:hint="default"/>
      </w:rPr>
    </w:lvl>
    <w:lvl w:ilvl="1" w:tplc="70D2A66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96197"/>
    <w:multiLevelType w:val="hybridMultilevel"/>
    <w:tmpl w:val="309672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585F53"/>
    <w:multiLevelType w:val="multilevel"/>
    <w:tmpl w:val="8E1096D0"/>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9" w15:restartNumberingAfterBreak="0">
    <w:nsid w:val="27D85117"/>
    <w:multiLevelType w:val="hybridMultilevel"/>
    <w:tmpl w:val="3D4AC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667452"/>
    <w:multiLevelType w:val="multilevel"/>
    <w:tmpl w:val="873ED2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376F56A1"/>
    <w:multiLevelType w:val="multilevel"/>
    <w:tmpl w:val="285CD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6FEB691B"/>
    <w:multiLevelType w:val="multilevel"/>
    <w:tmpl w:val="2362D8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1A80D02"/>
    <w:multiLevelType w:val="hybridMultilevel"/>
    <w:tmpl w:val="158ABB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B2B0659"/>
    <w:multiLevelType w:val="multilevel"/>
    <w:tmpl w:val="5CDE43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37269666">
    <w:abstractNumId w:val="14"/>
  </w:num>
  <w:num w:numId="2" w16cid:durableId="1668050683">
    <w:abstractNumId w:val="11"/>
  </w:num>
  <w:num w:numId="3" w16cid:durableId="1683042470">
    <w:abstractNumId w:val="6"/>
  </w:num>
  <w:num w:numId="4" w16cid:durableId="133523604">
    <w:abstractNumId w:val="12"/>
  </w:num>
  <w:num w:numId="5" w16cid:durableId="1994024302">
    <w:abstractNumId w:val="13"/>
  </w:num>
  <w:num w:numId="6" w16cid:durableId="1358852113">
    <w:abstractNumId w:val="10"/>
  </w:num>
  <w:num w:numId="7" w16cid:durableId="2047246184">
    <w:abstractNumId w:val="8"/>
  </w:num>
  <w:num w:numId="8" w16cid:durableId="1985233239">
    <w:abstractNumId w:val="4"/>
  </w:num>
  <w:num w:numId="9" w16cid:durableId="2105372984">
    <w:abstractNumId w:val="5"/>
  </w:num>
  <w:num w:numId="10" w16cid:durableId="935869809">
    <w:abstractNumId w:val="3"/>
  </w:num>
  <w:num w:numId="11" w16cid:durableId="1109662273">
    <w:abstractNumId w:val="2"/>
  </w:num>
  <w:num w:numId="12" w16cid:durableId="2049716342">
    <w:abstractNumId w:val="1"/>
  </w:num>
  <w:num w:numId="13" w16cid:durableId="1578317811">
    <w:abstractNumId w:val="0"/>
  </w:num>
  <w:num w:numId="14" w16cid:durableId="1127550344">
    <w:abstractNumId w:val="9"/>
  </w:num>
  <w:num w:numId="15" w16cid:durableId="406730085">
    <w:abstractNumId w:val="7"/>
  </w:num>
  <w:num w:numId="16" w16cid:durableId="1528132923">
    <w:abstractNumId w:val="5"/>
  </w:num>
  <w:num w:numId="17" w16cid:durableId="1478671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8"/>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3E8E"/>
    <w:rsid w:val="000060E4"/>
    <w:rsid w:val="0000790B"/>
    <w:rsid w:val="000105AF"/>
    <w:rsid w:val="00025BD0"/>
    <w:rsid w:val="000261A3"/>
    <w:rsid w:val="00033021"/>
    <w:rsid w:val="0003316F"/>
    <w:rsid w:val="00037EB9"/>
    <w:rsid w:val="000404CE"/>
    <w:rsid w:val="00040FCE"/>
    <w:rsid w:val="0004100D"/>
    <w:rsid w:val="00041073"/>
    <w:rsid w:val="0004138A"/>
    <w:rsid w:val="00042611"/>
    <w:rsid w:val="00044C84"/>
    <w:rsid w:val="00044D4F"/>
    <w:rsid w:val="00045E59"/>
    <w:rsid w:val="00051CBE"/>
    <w:rsid w:val="000541F7"/>
    <w:rsid w:val="0005518A"/>
    <w:rsid w:val="0005610B"/>
    <w:rsid w:val="000572BD"/>
    <w:rsid w:val="000768A0"/>
    <w:rsid w:val="00081F93"/>
    <w:rsid w:val="00084707"/>
    <w:rsid w:val="00084BA3"/>
    <w:rsid w:val="00085AE9"/>
    <w:rsid w:val="00085DA0"/>
    <w:rsid w:val="00095E11"/>
    <w:rsid w:val="000A145A"/>
    <w:rsid w:val="000A1E27"/>
    <w:rsid w:val="000A7F1E"/>
    <w:rsid w:val="000B6324"/>
    <w:rsid w:val="000C0BA2"/>
    <w:rsid w:val="000C410C"/>
    <w:rsid w:val="000C425B"/>
    <w:rsid w:val="000C47F7"/>
    <w:rsid w:val="000C7DD7"/>
    <w:rsid w:val="000D04EA"/>
    <w:rsid w:val="000D3458"/>
    <w:rsid w:val="000D5A75"/>
    <w:rsid w:val="000D5FCE"/>
    <w:rsid w:val="000D6745"/>
    <w:rsid w:val="000E38B7"/>
    <w:rsid w:val="000E38BA"/>
    <w:rsid w:val="000E6F5E"/>
    <w:rsid w:val="000E7042"/>
    <w:rsid w:val="000E7116"/>
    <w:rsid w:val="000F1722"/>
    <w:rsid w:val="000F3A61"/>
    <w:rsid w:val="000F5169"/>
    <w:rsid w:val="00101FBF"/>
    <w:rsid w:val="00105370"/>
    <w:rsid w:val="00105D29"/>
    <w:rsid w:val="00111A39"/>
    <w:rsid w:val="001134ED"/>
    <w:rsid w:val="00114717"/>
    <w:rsid w:val="001154C1"/>
    <w:rsid w:val="00117807"/>
    <w:rsid w:val="00121C35"/>
    <w:rsid w:val="00122087"/>
    <w:rsid w:val="00123DFA"/>
    <w:rsid w:val="00124D9E"/>
    <w:rsid w:val="00125C36"/>
    <w:rsid w:val="001279A4"/>
    <w:rsid w:val="001306D6"/>
    <w:rsid w:val="00134225"/>
    <w:rsid w:val="0013610D"/>
    <w:rsid w:val="001408C4"/>
    <w:rsid w:val="00143208"/>
    <w:rsid w:val="00146BBB"/>
    <w:rsid w:val="00151274"/>
    <w:rsid w:val="001516BF"/>
    <w:rsid w:val="00152694"/>
    <w:rsid w:val="001534EA"/>
    <w:rsid w:val="0015748D"/>
    <w:rsid w:val="00164614"/>
    <w:rsid w:val="0016618F"/>
    <w:rsid w:val="00167762"/>
    <w:rsid w:val="00172296"/>
    <w:rsid w:val="0017574A"/>
    <w:rsid w:val="0018263B"/>
    <w:rsid w:val="00183ECA"/>
    <w:rsid w:val="00185C8D"/>
    <w:rsid w:val="001869B2"/>
    <w:rsid w:val="001921C3"/>
    <w:rsid w:val="00192BED"/>
    <w:rsid w:val="00193635"/>
    <w:rsid w:val="00195DA0"/>
    <w:rsid w:val="001A22A8"/>
    <w:rsid w:val="001A637A"/>
    <w:rsid w:val="001B1EB2"/>
    <w:rsid w:val="001B3681"/>
    <w:rsid w:val="001B521B"/>
    <w:rsid w:val="001B60C2"/>
    <w:rsid w:val="001B628D"/>
    <w:rsid w:val="001B7035"/>
    <w:rsid w:val="001B7F1C"/>
    <w:rsid w:val="001C0CB2"/>
    <w:rsid w:val="001C0D18"/>
    <w:rsid w:val="001C381D"/>
    <w:rsid w:val="001C6BA8"/>
    <w:rsid w:val="001C73D7"/>
    <w:rsid w:val="001D1AB8"/>
    <w:rsid w:val="001E358A"/>
    <w:rsid w:val="001E3A83"/>
    <w:rsid w:val="001E3F0D"/>
    <w:rsid w:val="001E4423"/>
    <w:rsid w:val="001E487A"/>
    <w:rsid w:val="001E58C4"/>
    <w:rsid w:val="001F0154"/>
    <w:rsid w:val="001F2809"/>
    <w:rsid w:val="001F36D6"/>
    <w:rsid w:val="001F59D3"/>
    <w:rsid w:val="001F6A8D"/>
    <w:rsid w:val="001F72E3"/>
    <w:rsid w:val="00201984"/>
    <w:rsid w:val="00206249"/>
    <w:rsid w:val="002238E0"/>
    <w:rsid w:val="00224EF3"/>
    <w:rsid w:val="00225E72"/>
    <w:rsid w:val="002303A9"/>
    <w:rsid w:val="00233A75"/>
    <w:rsid w:val="00233D78"/>
    <w:rsid w:val="00236C1F"/>
    <w:rsid w:val="00240205"/>
    <w:rsid w:val="002414D1"/>
    <w:rsid w:val="0024392D"/>
    <w:rsid w:val="00244550"/>
    <w:rsid w:val="0024576E"/>
    <w:rsid w:val="00245967"/>
    <w:rsid w:val="002572BB"/>
    <w:rsid w:val="002618DF"/>
    <w:rsid w:val="00261D00"/>
    <w:rsid w:val="002633D9"/>
    <w:rsid w:val="00265CD4"/>
    <w:rsid w:val="002663E4"/>
    <w:rsid w:val="00280AC6"/>
    <w:rsid w:val="00281D3D"/>
    <w:rsid w:val="0028228C"/>
    <w:rsid w:val="002824C3"/>
    <w:rsid w:val="00284311"/>
    <w:rsid w:val="00294394"/>
    <w:rsid w:val="002948AB"/>
    <w:rsid w:val="002950ED"/>
    <w:rsid w:val="00296166"/>
    <w:rsid w:val="002A021E"/>
    <w:rsid w:val="002A4B17"/>
    <w:rsid w:val="002A534B"/>
    <w:rsid w:val="002B524A"/>
    <w:rsid w:val="002B58AB"/>
    <w:rsid w:val="002B7212"/>
    <w:rsid w:val="002C0D2C"/>
    <w:rsid w:val="002C22C6"/>
    <w:rsid w:val="002C30E8"/>
    <w:rsid w:val="002D68E2"/>
    <w:rsid w:val="002E0E18"/>
    <w:rsid w:val="002E12CF"/>
    <w:rsid w:val="002E47F6"/>
    <w:rsid w:val="002E5B03"/>
    <w:rsid w:val="002E6E2F"/>
    <w:rsid w:val="002F0ECD"/>
    <w:rsid w:val="002F3EB5"/>
    <w:rsid w:val="002F537A"/>
    <w:rsid w:val="002F5690"/>
    <w:rsid w:val="00305084"/>
    <w:rsid w:val="003060CC"/>
    <w:rsid w:val="00306575"/>
    <w:rsid w:val="00306C0E"/>
    <w:rsid w:val="00310CA1"/>
    <w:rsid w:val="00313B29"/>
    <w:rsid w:val="00314E27"/>
    <w:rsid w:val="00320406"/>
    <w:rsid w:val="0032103C"/>
    <w:rsid w:val="00322A13"/>
    <w:rsid w:val="00323B9A"/>
    <w:rsid w:val="003244B3"/>
    <w:rsid w:val="00327AB4"/>
    <w:rsid w:val="003360BD"/>
    <w:rsid w:val="00337196"/>
    <w:rsid w:val="00343E77"/>
    <w:rsid w:val="00344D2B"/>
    <w:rsid w:val="00347262"/>
    <w:rsid w:val="0035131B"/>
    <w:rsid w:val="00352C50"/>
    <w:rsid w:val="00366923"/>
    <w:rsid w:val="003676D3"/>
    <w:rsid w:val="003708C1"/>
    <w:rsid w:val="00370C83"/>
    <w:rsid w:val="00371F25"/>
    <w:rsid w:val="00374E1D"/>
    <w:rsid w:val="003818AB"/>
    <w:rsid w:val="00381BC5"/>
    <w:rsid w:val="00382E36"/>
    <w:rsid w:val="00385322"/>
    <w:rsid w:val="00385788"/>
    <w:rsid w:val="00385ABF"/>
    <w:rsid w:val="0039115D"/>
    <w:rsid w:val="003926FD"/>
    <w:rsid w:val="003936EE"/>
    <w:rsid w:val="00396DFA"/>
    <w:rsid w:val="003A1B68"/>
    <w:rsid w:val="003A2110"/>
    <w:rsid w:val="003A2337"/>
    <w:rsid w:val="003A6867"/>
    <w:rsid w:val="003B0482"/>
    <w:rsid w:val="003B08F3"/>
    <w:rsid w:val="003B474F"/>
    <w:rsid w:val="003D017B"/>
    <w:rsid w:val="003D13A9"/>
    <w:rsid w:val="003D48E5"/>
    <w:rsid w:val="003E0796"/>
    <w:rsid w:val="003E0B70"/>
    <w:rsid w:val="003E0E55"/>
    <w:rsid w:val="003E1A64"/>
    <w:rsid w:val="003E2525"/>
    <w:rsid w:val="003E31B5"/>
    <w:rsid w:val="003E3395"/>
    <w:rsid w:val="003E5195"/>
    <w:rsid w:val="003F35A1"/>
    <w:rsid w:val="003F7C51"/>
    <w:rsid w:val="00414265"/>
    <w:rsid w:val="00414A4A"/>
    <w:rsid w:val="00415DA8"/>
    <w:rsid w:val="00415EDA"/>
    <w:rsid w:val="00416544"/>
    <w:rsid w:val="004221F7"/>
    <w:rsid w:val="00422AD4"/>
    <w:rsid w:val="00431177"/>
    <w:rsid w:val="00431BE4"/>
    <w:rsid w:val="00431BFC"/>
    <w:rsid w:val="0043440C"/>
    <w:rsid w:val="00440C82"/>
    <w:rsid w:val="004415F0"/>
    <w:rsid w:val="004420E5"/>
    <w:rsid w:val="004440ED"/>
    <w:rsid w:val="00447153"/>
    <w:rsid w:val="004566BE"/>
    <w:rsid w:val="00456915"/>
    <w:rsid w:val="00456E42"/>
    <w:rsid w:val="00461252"/>
    <w:rsid w:val="00465736"/>
    <w:rsid w:val="00474810"/>
    <w:rsid w:val="004773D3"/>
    <w:rsid w:val="004832BF"/>
    <w:rsid w:val="00483618"/>
    <w:rsid w:val="00484C00"/>
    <w:rsid w:val="004860A5"/>
    <w:rsid w:val="00490C06"/>
    <w:rsid w:val="00492EE9"/>
    <w:rsid w:val="004959E6"/>
    <w:rsid w:val="004A5E52"/>
    <w:rsid w:val="004A63C3"/>
    <w:rsid w:val="004B09C1"/>
    <w:rsid w:val="004B4EF5"/>
    <w:rsid w:val="004C427B"/>
    <w:rsid w:val="004C705B"/>
    <w:rsid w:val="004D00A9"/>
    <w:rsid w:val="004D22A5"/>
    <w:rsid w:val="004D3224"/>
    <w:rsid w:val="004D3A08"/>
    <w:rsid w:val="004E0B8B"/>
    <w:rsid w:val="004E35D6"/>
    <w:rsid w:val="004F2369"/>
    <w:rsid w:val="004F76F0"/>
    <w:rsid w:val="005013B3"/>
    <w:rsid w:val="00501D30"/>
    <w:rsid w:val="00501F38"/>
    <w:rsid w:val="00506CD7"/>
    <w:rsid w:val="005109B7"/>
    <w:rsid w:val="005111CD"/>
    <w:rsid w:val="0051161C"/>
    <w:rsid w:val="00513C8F"/>
    <w:rsid w:val="0051412A"/>
    <w:rsid w:val="0051507F"/>
    <w:rsid w:val="0051546F"/>
    <w:rsid w:val="00523591"/>
    <w:rsid w:val="005252E3"/>
    <w:rsid w:val="00532929"/>
    <w:rsid w:val="005354D1"/>
    <w:rsid w:val="00536467"/>
    <w:rsid w:val="005379EA"/>
    <w:rsid w:val="00540C1E"/>
    <w:rsid w:val="005411A8"/>
    <w:rsid w:val="00543D06"/>
    <w:rsid w:val="005446B5"/>
    <w:rsid w:val="005470AE"/>
    <w:rsid w:val="005533B5"/>
    <w:rsid w:val="00560872"/>
    <w:rsid w:val="005654B7"/>
    <w:rsid w:val="00567E50"/>
    <w:rsid w:val="0057143D"/>
    <w:rsid w:val="00572133"/>
    <w:rsid w:val="00574F09"/>
    <w:rsid w:val="00592584"/>
    <w:rsid w:val="005964AC"/>
    <w:rsid w:val="00597E9D"/>
    <w:rsid w:val="00597EF7"/>
    <w:rsid w:val="005A2862"/>
    <w:rsid w:val="005A515C"/>
    <w:rsid w:val="005B09B7"/>
    <w:rsid w:val="005B2318"/>
    <w:rsid w:val="005B2B33"/>
    <w:rsid w:val="005B5A7A"/>
    <w:rsid w:val="005B60AC"/>
    <w:rsid w:val="005B76B2"/>
    <w:rsid w:val="005C09D5"/>
    <w:rsid w:val="005C5BF0"/>
    <w:rsid w:val="005C6471"/>
    <w:rsid w:val="005C668B"/>
    <w:rsid w:val="005C67AF"/>
    <w:rsid w:val="005D1364"/>
    <w:rsid w:val="005D22CC"/>
    <w:rsid w:val="005D467D"/>
    <w:rsid w:val="005D4AEC"/>
    <w:rsid w:val="005D640A"/>
    <w:rsid w:val="005E18D8"/>
    <w:rsid w:val="005E30E3"/>
    <w:rsid w:val="005E340A"/>
    <w:rsid w:val="005E379D"/>
    <w:rsid w:val="005E6E28"/>
    <w:rsid w:val="005F1E8D"/>
    <w:rsid w:val="005F1FDA"/>
    <w:rsid w:val="005F246D"/>
    <w:rsid w:val="005F28B0"/>
    <w:rsid w:val="00600709"/>
    <w:rsid w:val="00600A76"/>
    <w:rsid w:val="006029D6"/>
    <w:rsid w:val="00602D3B"/>
    <w:rsid w:val="00603A79"/>
    <w:rsid w:val="00604F98"/>
    <w:rsid w:val="006066C4"/>
    <w:rsid w:val="00607390"/>
    <w:rsid w:val="00611056"/>
    <w:rsid w:val="00613BE7"/>
    <w:rsid w:val="00621B8F"/>
    <w:rsid w:val="006232EC"/>
    <w:rsid w:val="00631632"/>
    <w:rsid w:val="00635255"/>
    <w:rsid w:val="00635D31"/>
    <w:rsid w:val="0063726B"/>
    <w:rsid w:val="0064002D"/>
    <w:rsid w:val="00641A2D"/>
    <w:rsid w:val="00642A9A"/>
    <w:rsid w:val="00652349"/>
    <w:rsid w:val="00655404"/>
    <w:rsid w:val="00655BCA"/>
    <w:rsid w:val="0065687D"/>
    <w:rsid w:val="006572CA"/>
    <w:rsid w:val="006606E0"/>
    <w:rsid w:val="006670A4"/>
    <w:rsid w:val="00672411"/>
    <w:rsid w:val="006731CD"/>
    <w:rsid w:val="00675DB2"/>
    <w:rsid w:val="00676F14"/>
    <w:rsid w:val="00677034"/>
    <w:rsid w:val="00677A7E"/>
    <w:rsid w:val="006810B2"/>
    <w:rsid w:val="0068647D"/>
    <w:rsid w:val="00693BA4"/>
    <w:rsid w:val="00693C5D"/>
    <w:rsid w:val="00693E00"/>
    <w:rsid w:val="00694606"/>
    <w:rsid w:val="006973C4"/>
    <w:rsid w:val="006B202B"/>
    <w:rsid w:val="006B74CB"/>
    <w:rsid w:val="006C06BF"/>
    <w:rsid w:val="006C127D"/>
    <w:rsid w:val="006C1650"/>
    <w:rsid w:val="006C465C"/>
    <w:rsid w:val="006C6E0B"/>
    <w:rsid w:val="006D2345"/>
    <w:rsid w:val="006D3281"/>
    <w:rsid w:val="006D69B3"/>
    <w:rsid w:val="006E10CE"/>
    <w:rsid w:val="006E1136"/>
    <w:rsid w:val="006E5C82"/>
    <w:rsid w:val="006F7520"/>
    <w:rsid w:val="00701D1C"/>
    <w:rsid w:val="00702CB5"/>
    <w:rsid w:val="00703260"/>
    <w:rsid w:val="007107D0"/>
    <w:rsid w:val="00710A67"/>
    <w:rsid w:val="00710DAA"/>
    <w:rsid w:val="007117F1"/>
    <w:rsid w:val="007119BB"/>
    <w:rsid w:val="00714C8F"/>
    <w:rsid w:val="00716F9F"/>
    <w:rsid w:val="00717636"/>
    <w:rsid w:val="007177A7"/>
    <w:rsid w:val="00720E6A"/>
    <w:rsid w:val="0072283D"/>
    <w:rsid w:val="0072616C"/>
    <w:rsid w:val="00726C5C"/>
    <w:rsid w:val="00727591"/>
    <w:rsid w:val="007276AD"/>
    <w:rsid w:val="00730889"/>
    <w:rsid w:val="0073151F"/>
    <w:rsid w:val="007325F3"/>
    <w:rsid w:val="00732A55"/>
    <w:rsid w:val="007338A2"/>
    <w:rsid w:val="00734B20"/>
    <w:rsid w:val="0073513A"/>
    <w:rsid w:val="007371B3"/>
    <w:rsid w:val="007374F9"/>
    <w:rsid w:val="007376E0"/>
    <w:rsid w:val="00742430"/>
    <w:rsid w:val="0074492F"/>
    <w:rsid w:val="00746381"/>
    <w:rsid w:val="00746A43"/>
    <w:rsid w:val="007532A4"/>
    <w:rsid w:val="00753665"/>
    <w:rsid w:val="00754AB9"/>
    <w:rsid w:val="00760CA4"/>
    <w:rsid w:val="00766D1E"/>
    <w:rsid w:val="00767C3A"/>
    <w:rsid w:val="00777605"/>
    <w:rsid w:val="0078091C"/>
    <w:rsid w:val="00782490"/>
    <w:rsid w:val="00787D4C"/>
    <w:rsid w:val="00795897"/>
    <w:rsid w:val="007A3F61"/>
    <w:rsid w:val="007A5668"/>
    <w:rsid w:val="007A566E"/>
    <w:rsid w:val="007A6A39"/>
    <w:rsid w:val="007A7572"/>
    <w:rsid w:val="007B0EC1"/>
    <w:rsid w:val="007B100A"/>
    <w:rsid w:val="007B21A5"/>
    <w:rsid w:val="007B2AD6"/>
    <w:rsid w:val="007B3938"/>
    <w:rsid w:val="007B591E"/>
    <w:rsid w:val="007C2DE4"/>
    <w:rsid w:val="007C6AEC"/>
    <w:rsid w:val="007D0B68"/>
    <w:rsid w:val="007D1BB5"/>
    <w:rsid w:val="007D29B8"/>
    <w:rsid w:val="007D4855"/>
    <w:rsid w:val="007D799D"/>
    <w:rsid w:val="007D7FC3"/>
    <w:rsid w:val="007E018F"/>
    <w:rsid w:val="007E199A"/>
    <w:rsid w:val="007F4310"/>
    <w:rsid w:val="007F44F4"/>
    <w:rsid w:val="007F6888"/>
    <w:rsid w:val="007F7DBD"/>
    <w:rsid w:val="00801CB1"/>
    <w:rsid w:val="00802F0D"/>
    <w:rsid w:val="0080538D"/>
    <w:rsid w:val="0081036F"/>
    <w:rsid w:val="00810D87"/>
    <w:rsid w:val="0081136A"/>
    <w:rsid w:val="00811B37"/>
    <w:rsid w:val="00813464"/>
    <w:rsid w:val="00814D30"/>
    <w:rsid w:val="00816793"/>
    <w:rsid w:val="00823B55"/>
    <w:rsid w:val="00824B3C"/>
    <w:rsid w:val="00831410"/>
    <w:rsid w:val="00840DAA"/>
    <w:rsid w:val="0084197B"/>
    <w:rsid w:val="00846CA9"/>
    <w:rsid w:val="0084740A"/>
    <w:rsid w:val="00857878"/>
    <w:rsid w:val="00857E1B"/>
    <w:rsid w:val="008634C2"/>
    <w:rsid w:val="00864EEA"/>
    <w:rsid w:val="00865E4F"/>
    <w:rsid w:val="00866663"/>
    <w:rsid w:val="00867AAD"/>
    <w:rsid w:val="00873BE7"/>
    <w:rsid w:val="00874A0E"/>
    <w:rsid w:val="0087706C"/>
    <w:rsid w:val="008810D4"/>
    <w:rsid w:val="0088123E"/>
    <w:rsid w:val="008820C6"/>
    <w:rsid w:val="00882BA1"/>
    <w:rsid w:val="00886A15"/>
    <w:rsid w:val="00891368"/>
    <w:rsid w:val="00896061"/>
    <w:rsid w:val="008A2249"/>
    <w:rsid w:val="008A51DB"/>
    <w:rsid w:val="008A56A3"/>
    <w:rsid w:val="008A6964"/>
    <w:rsid w:val="008B3E8F"/>
    <w:rsid w:val="008B7810"/>
    <w:rsid w:val="008C0056"/>
    <w:rsid w:val="008C195E"/>
    <w:rsid w:val="008C21E1"/>
    <w:rsid w:val="008C3F54"/>
    <w:rsid w:val="008C5199"/>
    <w:rsid w:val="008C6A9D"/>
    <w:rsid w:val="008D0E7D"/>
    <w:rsid w:val="008D1843"/>
    <w:rsid w:val="008D3A26"/>
    <w:rsid w:val="008D6E3C"/>
    <w:rsid w:val="008D76F6"/>
    <w:rsid w:val="008E0767"/>
    <w:rsid w:val="008E1ED0"/>
    <w:rsid w:val="008E60CF"/>
    <w:rsid w:val="008E6380"/>
    <w:rsid w:val="008F0ED0"/>
    <w:rsid w:val="008F2F17"/>
    <w:rsid w:val="008F2F5C"/>
    <w:rsid w:val="008F3930"/>
    <w:rsid w:val="008F5797"/>
    <w:rsid w:val="0090250E"/>
    <w:rsid w:val="00902667"/>
    <w:rsid w:val="009062AE"/>
    <w:rsid w:val="00907928"/>
    <w:rsid w:val="00912A1C"/>
    <w:rsid w:val="0091303C"/>
    <w:rsid w:val="0091408D"/>
    <w:rsid w:val="00914840"/>
    <w:rsid w:val="00923B0D"/>
    <w:rsid w:val="0092478E"/>
    <w:rsid w:val="0092666B"/>
    <w:rsid w:val="00931751"/>
    <w:rsid w:val="00937A11"/>
    <w:rsid w:val="009417F7"/>
    <w:rsid w:val="009426F3"/>
    <w:rsid w:val="00947D61"/>
    <w:rsid w:val="0095611D"/>
    <w:rsid w:val="00957871"/>
    <w:rsid w:val="00963C9F"/>
    <w:rsid w:val="00963F49"/>
    <w:rsid w:val="0096517C"/>
    <w:rsid w:val="00966619"/>
    <w:rsid w:val="0096703C"/>
    <w:rsid w:val="00972FAD"/>
    <w:rsid w:val="00973117"/>
    <w:rsid w:val="009773F2"/>
    <w:rsid w:val="00986594"/>
    <w:rsid w:val="009873F5"/>
    <w:rsid w:val="00987F03"/>
    <w:rsid w:val="00991526"/>
    <w:rsid w:val="00991DED"/>
    <w:rsid w:val="00997F6C"/>
    <w:rsid w:val="009A0E76"/>
    <w:rsid w:val="009A5BC4"/>
    <w:rsid w:val="009A7A02"/>
    <w:rsid w:val="009A7E33"/>
    <w:rsid w:val="009B0B6B"/>
    <w:rsid w:val="009B0BC5"/>
    <w:rsid w:val="009B2B6E"/>
    <w:rsid w:val="009B34AC"/>
    <w:rsid w:val="009B4F16"/>
    <w:rsid w:val="009B62C5"/>
    <w:rsid w:val="009C1DEE"/>
    <w:rsid w:val="009C38C0"/>
    <w:rsid w:val="009C3CB0"/>
    <w:rsid w:val="009C413F"/>
    <w:rsid w:val="009C4CA6"/>
    <w:rsid w:val="009C56D1"/>
    <w:rsid w:val="009C75A7"/>
    <w:rsid w:val="009D004A"/>
    <w:rsid w:val="009D18C2"/>
    <w:rsid w:val="009D3693"/>
    <w:rsid w:val="009D5A36"/>
    <w:rsid w:val="009E07A4"/>
    <w:rsid w:val="009E186F"/>
    <w:rsid w:val="009E34D5"/>
    <w:rsid w:val="009E4054"/>
    <w:rsid w:val="009E53E8"/>
    <w:rsid w:val="009E6555"/>
    <w:rsid w:val="009F4D35"/>
    <w:rsid w:val="009F7A5A"/>
    <w:rsid w:val="00A0032F"/>
    <w:rsid w:val="00A01DA2"/>
    <w:rsid w:val="00A033F6"/>
    <w:rsid w:val="00A03473"/>
    <w:rsid w:val="00A05331"/>
    <w:rsid w:val="00A070B7"/>
    <w:rsid w:val="00A07270"/>
    <w:rsid w:val="00A13691"/>
    <w:rsid w:val="00A14752"/>
    <w:rsid w:val="00A20333"/>
    <w:rsid w:val="00A2461C"/>
    <w:rsid w:val="00A26D3D"/>
    <w:rsid w:val="00A26F00"/>
    <w:rsid w:val="00A3043E"/>
    <w:rsid w:val="00A36110"/>
    <w:rsid w:val="00A36734"/>
    <w:rsid w:val="00A369AC"/>
    <w:rsid w:val="00A43021"/>
    <w:rsid w:val="00A4461A"/>
    <w:rsid w:val="00A459DE"/>
    <w:rsid w:val="00A46E09"/>
    <w:rsid w:val="00A50D02"/>
    <w:rsid w:val="00A5508E"/>
    <w:rsid w:val="00A62216"/>
    <w:rsid w:val="00A6280D"/>
    <w:rsid w:val="00A65913"/>
    <w:rsid w:val="00A70A4D"/>
    <w:rsid w:val="00A71386"/>
    <w:rsid w:val="00A7229C"/>
    <w:rsid w:val="00A7445E"/>
    <w:rsid w:val="00A74E0F"/>
    <w:rsid w:val="00A8003F"/>
    <w:rsid w:val="00A80E09"/>
    <w:rsid w:val="00A81698"/>
    <w:rsid w:val="00A83DD5"/>
    <w:rsid w:val="00A851E3"/>
    <w:rsid w:val="00A9012A"/>
    <w:rsid w:val="00A93CC5"/>
    <w:rsid w:val="00A93DF6"/>
    <w:rsid w:val="00AA4840"/>
    <w:rsid w:val="00AA7C1B"/>
    <w:rsid w:val="00AB3B75"/>
    <w:rsid w:val="00AC08D2"/>
    <w:rsid w:val="00AC1BEE"/>
    <w:rsid w:val="00AC3E56"/>
    <w:rsid w:val="00AC4BDA"/>
    <w:rsid w:val="00AD0C81"/>
    <w:rsid w:val="00AD1B33"/>
    <w:rsid w:val="00AD229C"/>
    <w:rsid w:val="00AD24B5"/>
    <w:rsid w:val="00AD6C85"/>
    <w:rsid w:val="00AE1EED"/>
    <w:rsid w:val="00AE31F6"/>
    <w:rsid w:val="00AE3C17"/>
    <w:rsid w:val="00AE47C8"/>
    <w:rsid w:val="00AE68CA"/>
    <w:rsid w:val="00AF14B2"/>
    <w:rsid w:val="00AF2783"/>
    <w:rsid w:val="00AF3EFA"/>
    <w:rsid w:val="00AF57B3"/>
    <w:rsid w:val="00AF7F4E"/>
    <w:rsid w:val="00B00EDD"/>
    <w:rsid w:val="00B03914"/>
    <w:rsid w:val="00B04E3B"/>
    <w:rsid w:val="00B10FC9"/>
    <w:rsid w:val="00B11937"/>
    <w:rsid w:val="00B12498"/>
    <w:rsid w:val="00B14460"/>
    <w:rsid w:val="00B21E09"/>
    <w:rsid w:val="00B26C3D"/>
    <w:rsid w:val="00B275AC"/>
    <w:rsid w:val="00B27734"/>
    <w:rsid w:val="00B32201"/>
    <w:rsid w:val="00B366DB"/>
    <w:rsid w:val="00B37667"/>
    <w:rsid w:val="00B44B46"/>
    <w:rsid w:val="00B44BFF"/>
    <w:rsid w:val="00B5117D"/>
    <w:rsid w:val="00B532DB"/>
    <w:rsid w:val="00B545CC"/>
    <w:rsid w:val="00B54794"/>
    <w:rsid w:val="00B56115"/>
    <w:rsid w:val="00B57FB6"/>
    <w:rsid w:val="00B60BF5"/>
    <w:rsid w:val="00B62E58"/>
    <w:rsid w:val="00B63CC7"/>
    <w:rsid w:val="00B70B73"/>
    <w:rsid w:val="00B72A6C"/>
    <w:rsid w:val="00B72B74"/>
    <w:rsid w:val="00B815AA"/>
    <w:rsid w:val="00B84AFF"/>
    <w:rsid w:val="00B94111"/>
    <w:rsid w:val="00B94F0A"/>
    <w:rsid w:val="00B95926"/>
    <w:rsid w:val="00B95FED"/>
    <w:rsid w:val="00BA083D"/>
    <w:rsid w:val="00BA18F6"/>
    <w:rsid w:val="00BA3731"/>
    <w:rsid w:val="00BA4854"/>
    <w:rsid w:val="00BB2ACB"/>
    <w:rsid w:val="00BB51E7"/>
    <w:rsid w:val="00BC34CF"/>
    <w:rsid w:val="00BD5583"/>
    <w:rsid w:val="00BD5DE1"/>
    <w:rsid w:val="00BD6A26"/>
    <w:rsid w:val="00BE0061"/>
    <w:rsid w:val="00BE0FFD"/>
    <w:rsid w:val="00BE13B4"/>
    <w:rsid w:val="00BE2AB7"/>
    <w:rsid w:val="00BE4369"/>
    <w:rsid w:val="00BE4587"/>
    <w:rsid w:val="00BE5400"/>
    <w:rsid w:val="00BE68F3"/>
    <w:rsid w:val="00BF1EBD"/>
    <w:rsid w:val="00BF3528"/>
    <w:rsid w:val="00BF3EC4"/>
    <w:rsid w:val="00BF7294"/>
    <w:rsid w:val="00C01030"/>
    <w:rsid w:val="00C03955"/>
    <w:rsid w:val="00C0460F"/>
    <w:rsid w:val="00C133C6"/>
    <w:rsid w:val="00C148E0"/>
    <w:rsid w:val="00C1615E"/>
    <w:rsid w:val="00C21468"/>
    <w:rsid w:val="00C23CA2"/>
    <w:rsid w:val="00C261DA"/>
    <w:rsid w:val="00C27195"/>
    <w:rsid w:val="00C27FFB"/>
    <w:rsid w:val="00C313AC"/>
    <w:rsid w:val="00C378AA"/>
    <w:rsid w:val="00C405E9"/>
    <w:rsid w:val="00C40E20"/>
    <w:rsid w:val="00C6447C"/>
    <w:rsid w:val="00C65760"/>
    <w:rsid w:val="00C702DB"/>
    <w:rsid w:val="00C81264"/>
    <w:rsid w:val="00C830AD"/>
    <w:rsid w:val="00C83737"/>
    <w:rsid w:val="00C84B60"/>
    <w:rsid w:val="00C91F4E"/>
    <w:rsid w:val="00C920DC"/>
    <w:rsid w:val="00CA3148"/>
    <w:rsid w:val="00CA5864"/>
    <w:rsid w:val="00CA7135"/>
    <w:rsid w:val="00CB0697"/>
    <w:rsid w:val="00CB1A30"/>
    <w:rsid w:val="00CC261B"/>
    <w:rsid w:val="00CD0493"/>
    <w:rsid w:val="00CD1F19"/>
    <w:rsid w:val="00CD26D1"/>
    <w:rsid w:val="00CE03A4"/>
    <w:rsid w:val="00CE03C4"/>
    <w:rsid w:val="00CE1816"/>
    <w:rsid w:val="00CE6EEC"/>
    <w:rsid w:val="00CE71A4"/>
    <w:rsid w:val="00CE7DBE"/>
    <w:rsid w:val="00CF277F"/>
    <w:rsid w:val="00CF46DC"/>
    <w:rsid w:val="00CF60FD"/>
    <w:rsid w:val="00CF6993"/>
    <w:rsid w:val="00CF78B0"/>
    <w:rsid w:val="00D03812"/>
    <w:rsid w:val="00D03D7C"/>
    <w:rsid w:val="00D045C6"/>
    <w:rsid w:val="00D048F7"/>
    <w:rsid w:val="00D05054"/>
    <w:rsid w:val="00D0648C"/>
    <w:rsid w:val="00D10492"/>
    <w:rsid w:val="00D125F6"/>
    <w:rsid w:val="00D17D28"/>
    <w:rsid w:val="00D21F38"/>
    <w:rsid w:val="00D234A6"/>
    <w:rsid w:val="00D238E3"/>
    <w:rsid w:val="00D24119"/>
    <w:rsid w:val="00D241DE"/>
    <w:rsid w:val="00D25219"/>
    <w:rsid w:val="00D2549B"/>
    <w:rsid w:val="00D26A23"/>
    <w:rsid w:val="00D31218"/>
    <w:rsid w:val="00D31444"/>
    <w:rsid w:val="00D31FDA"/>
    <w:rsid w:val="00D35DF2"/>
    <w:rsid w:val="00D4055A"/>
    <w:rsid w:val="00D422A0"/>
    <w:rsid w:val="00D4302A"/>
    <w:rsid w:val="00D45D49"/>
    <w:rsid w:val="00D500BB"/>
    <w:rsid w:val="00D52350"/>
    <w:rsid w:val="00D56072"/>
    <w:rsid w:val="00D56910"/>
    <w:rsid w:val="00D56B38"/>
    <w:rsid w:val="00D634E8"/>
    <w:rsid w:val="00D65093"/>
    <w:rsid w:val="00D658D0"/>
    <w:rsid w:val="00D70222"/>
    <w:rsid w:val="00D70F8A"/>
    <w:rsid w:val="00D71EFE"/>
    <w:rsid w:val="00D73EA4"/>
    <w:rsid w:val="00D75AD5"/>
    <w:rsid w:val="00D82891"/>
    <w:rsid w:val="00D8323E"/>
    <w:rsid w:val="00D8583A"/>
    <w:rsid w:val="00D90A2E"/>
    <w:rsid w:val="00D92118"/>
    <w:rsid w:val="00D9287B"/>
    <w:rsid w:val="00D933C7"/>
    <w:rsid w:val="00D95909"/>
    <w:rsid w:val="00D96A1E"/>
    <w:rsid w:val="00DA4048"/>
    <w:rsid w:val="00DA4E2B"/>
    <w:rsid w:val="00DA58C4"/>
    <w:rsid w:val="00DA7A1B"/>
    <w:rsid w:val="00DB15AA"/>
    <w:rsid w:val="00DC1C0B"/>
    <w:rsid w:val="00DC229F"/>
    <w:rsid w:val="00DC5645"/>
    <w:rsid w:val="00DC69D9"/>
    <w:rsid w:val="00DC6A05"/>
    <w:rsid w:val="00DC6BC0"/>
    <w:rsid w:val="00DC7B56"/>
    <w:rsid w:val="00DD0FBF"/>
    <w:rsid w:val="00DD2D82"/>
    <w:rsid w:val="00DD32CF"/>
    <w:rsid w:val="00DD3DF5"/>
    <w:rsid w:val="00DD4A34"/>
    <w:rsid w:val="00DE0E42"/>
    <w:rsid w:val="00DE10BD"/>
    <w:rsid w:val="00DE176C"/>
    <w:rsid w:val="00DE213A"/>
    <w:rsid w:val="00DE2335"/>
    <w:rsid w:val="00DE251A"/>
    <w:rsid w:val="00DE4605"/>
    <w:rsid w:val="00DE5233"/>
    <w:rsid w:val="00DE5E50"/>
    <w:rsid w:val="00DE64B7"/>
    <w:rsid w:val="00DF1DCE"/>
    <w:rsid w:val="00DF408B"/>
    <w:rsid w:val="00E02FC7"/>
    <w:rsid w:val="00E06DC6"/>
    <w:rsid w:val="00E0792F"/>
    <w:rsid w:val="00E148F7"/>
    <w:rsid w:val="00E16524"/>
    <w:rsid w:val="00E16D35"/>
    <w:rsid w:val="00E20046"/>
    <w:rsid w:val="00E217E6"/>
    <w:rsid w:val="00E21A5F"/>
    <w:rsid w:val="00E21F96"/>
    <w:rsid w:val="00E2211A"/>
    <w:rsid w:val="00E22C30"/>
    <w:rsid w:val="00E24280"/>
    <w:rsid w:val="00E255B8"/>
    <w:rsid w:val="00E32512"/>
    <w:rsid w:val="00E326D6"/>
    <w:rsid w:val="00E32F69"/>
    <w:rsid w:val="00E33211"/>
    <w:rsid w:val="00E332A6"/>
    <w:rsid w:val="00E33993"/>
    <w:rsid w:val="00E359C1"/>
    <w:rsid w:val="00E36FA9"/>
    <w:rsid w:val="00E419B6"/>
    <w:rsid w:val="00E4665F"/>
    <w:rsid w:val="00E47E48"/>
    <w:rsid w:val="00E50054"/>
    <w:rsid w:val="00E53D3D"/>
    <w:rsid w:val="00E55A0E"/>
    <w:rsid w:val="00E56D6D"/>
    <w:rsid w:val="00E56D75"/>
    <w:rsid w:val="00E570C0"/>
    <w:rsid w:val="00E5785E"/>
    <w:rsid w:val="00E57ACE"/>
    <w:rsid w:val="00E61856"/>
    <w:rsid w:val="00E65C22"/>
    <w:rsid w:val="00E71B72"/>
    <w:rsid w:val="00E73C9C"/>
    <w:rsid w:val="00E7418D"/>
    <w:rsid w:val="00E754A5"/>
    <w:rsid w:val="00E76C36"/>
    <w:rsid w:val="00E80980"/>
    <w:rsid w:val="00E81981"/>
    <w:rsid w:val="00E82EEB"/>
    <w:rsid w:val="00E8392F"/>
    <w:rsid w:val="00E85606"/>
    <w:rsid w:val="00E90BC7"/>
    <w:rsid w:val="00E96FB9"/>
    <w:rsid w:val="00E97F1F"/>
    <w:rsid w:val="00EA04CB"/>
    <w:rsid w:val="00EA2C32"/>
    <w:rsid w:val="00EB576C"/>
    <w:rsid w:val="00EB66D9"/>
    <w:rsid w:val="00EB6B00"/>
    <w:rsid w:val="00EB6B22"/>
    <w:rsid w:val="00EC316B"/>
    <w:rsid w:val="00ED1D58"/>
    <w:rsid w:val="00ED2051"/>
    <w:rsid w:val="00ED39D8"/>
    <w:rsid w:val="00ED538C"/>
    <w:rsid w:val="00EE3512"/>
    <w:rsid w:val="00EE49FB"/>
    <w:rsid w:val="00EF0B2B"/>
    <w:rsid w:val="00EF44B8"/>
    <w:rsid w:val="00F010BB"/>
    <w:rsid w:val="00F014B6"/>
    <w:rsid w:val="00F01D0D"/>
    <w:rsid w:val="00F01D6B"/>
    <w:rsid w:val="00F0241D"/>
    <w:rsid w:val="00F0563C"/>
    <w:rsid w:val="00F06BC4"/>
    <w:rsid w:val="00F10A19"/>
    <w:rsid w:val="00F11DE4"/>
    <w:rsid w:val="00F134E9"/>
    <w:rsid w:val="00F154E4"/>
    <w:rsid w:val="00F2332D"/>
    <w:rsid w:val="00F23CF8"/>
    <w:rsid w:val="00F2586E"/>
    <w:rsid w:val="00F27965"/>
    <w:rsid w:val="00F32D7A"/>
    <w:rsid w:val="00F37B0F"/>
    <w:rsid w:val="00F40820"/>
    <w:rsid w:val="00F40DA7"/>
    <w:rsid w:val="00F41DB1"/>
    <w:rsid w:val="00F43668"/>
    <w:rsid w:val="00F4374D"/>
    <w:rsid w:val="00F4565F"/>
    <w:rsid w:val="00F544BD"/>
    <w:rsid w:val="00F54586"/>
    <w:rsid w:val="00F5677E"/>
    <w:rsid w:val="00F61B23"/>
    <w:rsid w:val="00F627D7"/>
    <w:rsid w:val="00F63A24"/>
    <w:rsid w:val="00F70446"/>
    <w:rsid w:val="00F739F5"/>
    <w:rsid w:val="00F76AA6"/>
    <w:rsid w:val="00F81D28"/>
    <w:rsid w:val="00F8257B"/>
    <w:rsid w:val="00F90A42"/>
    <w:rsid w:val="00F93590"/>
    <w:rsid w:val="00F97459"/>
    <w:rsid w:val="00F97B7E"/>
    <w:rsid w:val="00FA19F4"/>
    <w:rsid w:val="00FA51BF"/>
    <w:rsid w:val="00FA5DA5"/>
    <w:rsid w:val="00FB0757"/>
    <w:rsid w:val="00FB0968"/>
    <w:rsid w:val="00FC25C0"/>
    <w:rsid w:val="00FC5299"/>
    <w:rsid w:val="00FD1FBC"/>
    <w:rsid w:val="00FD26FF"/>
    <w:rsid w:val="00FD6456"/>
    <w:rsid w:val="00FD7BD3"/>
    <w:rsid w:val="00FF23F5"/>
    <w:rsid w:val="00FF3FB5"/>
    <w:rsid w:val="00FF53A9"/>
    <w:rsid w:val="00FF73F7"/>
    <w:rsid w:val="00FF7A18"/>
    <w:rsid w:val="1EF220FE"/>
    <w:rsid w:val="76731B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11A"/>
    <w:pPr>
      <w:spacing w:after="120" w:line="276" w:lineRule="auto"/>
    </w:pPr>
    <w:rPr>
      <w:sz w:val="18"/>
      <w:szCs w:val="18"/>
    </w:rPr>
  </w:style>
  <w:style w:type="paragraph" w:styleId="Heading1">
    <w:name w:val="heading 1"/>
    <w:basedOn w:val="Normal"/>
    <w:next w:val="Normal"/>
    <w:link w:val="Heading1Char"/>
    <w:uiPriority w:val="9"/>
    <w:qFormat/>
    <w:rsid w:val="00F97B7E"/>
    <w:pPr>
      <w:keepNext/>
      <w:keepLines/>
      <w:spacing w:before="240" w:after="0"/>
      <w:outlineLvl w:val="0"/>
    </w:pPr>
    <w:rPr>
      <w:rFonts w:asciiTheme="majorHAnsi" w:eastAsiaTheme="majorEastAsia" w:hAnsiTheme="majorHAnsi" w:cstheme="majorBidi"/>
      <w:b/>
      <w:color w:val="4B0885" w:themeColor="text2"/>
      <w:sz w:val="56"/>
      <w:szCs w:val="32"/>
    </w:rPr>
  </w:style>
  <w:style w:type="paragraph" w:styleId="Heading2">
    <w:name w:val="heading 2"/>
    <w:basedOn w:val="Normal"/>
    <w:next w:val="Normal"/>
    <w:link w:val="Heading2Char"/>
    <w:uiPriority w:val="9"/>
    <w:unhideWhenUsed/>
    <w:qFormat/>
    <w:rsid w:val="001F36D6"/>
    <w:pPr>
      <w:keepNext/>
      <w:keepLines/>
      <w:spacing w:before="240" w:after="0"/>
      <w:outlineLvl w:val="1"/>
    </w:pPr>
    <w:rPr>
      <w:rFonts w:asciiTheme="majorHAnsi" w:eastAsiaTheme="majorEastAsia" w:hAnsiTheme="majorHAnsi" w:cstheme="majorBidi"/>
      <w:b/>
      <w:sz w:val="32"/>
      <w:szCs w:val="26"/>
    </w:rPr>
  </w:style>
  <w:style w:type="paragraph" w:styleId="Heading3">
    <w:name w:val="heading 3"/>
    <w:basedOn w:val="Normal"/>
    <w:next w:val="Normal"/>
    <w:link w:val="Heading3Char"/>
    <w:uiPriority w:val="9"/>
    <w:unhideWhenUsed/>
    <w:qFormat/>
    <w:rsid w:val="004420E5"/>
    <w:pPr>
      <w:keepNext/>
      <w:keepLines/>
      <w:spacing w:before="120" w:after="160"/>
      <w:outlineLvl w:val="2"/>
    </w:pPr>
    <w:rPr>
      <w:rFonts w:asciiTheme="majorHAnsi" w:eastAsiaTheme="majorEastAsia" w:hAnsiTheme="majorHAnsi" w:cstheme="majorBidi"/>
      <w:b/>
      <w:color w:val="012749"/>
      <w:sz w:val="28"/>
      <w:szCs w:val="28"/>
    </w:rPr>
  </w:style>
  <w:style w:type="paragraph" w:styleId="Heading4">
    <w:name w:val="heading 4"/>
    <w:basedOn w:val="Normal"/>
    <w:next w:val="Normal"/>
    <w:link w:val="Heading4Char"/>
    <w:uiPriority w:val="9"/>
    <w:unhideWhenUsed/>
    <w:qFormat/>
    <w:rsid w:val="009C38C0"/>
    <w:pPr>
      <w:spacing w:before="580" w:after="300"/>
      <w:outlineLvl w:val="3"/>
    </w:pPr>
    <w:rPr>
      <w:rFonts w:asciiTheme="majorHAnsi" w:hAnsiTheme="majorHAnsi" w:cs="Arial"/>
      <w:b/>
      <w:bCs/>
      <w:color w:val="4B0985"/>
      <w:sz w:val="24"/>
      <w:szCs w:val="24"/>
    </w:rPr>
  </w:style>
  <w:style w:type="paragraph" w:styleId="Heading5">
    <w:name w:val="heading 5"/>
    <w:basedOn w:val="Normal"/>
    <w:next w:val="Normal"/>
    <w:link w:val="Heading5Char"/>
    <w:uiPriority w:val="9"/>
    <w:unhideWhenUsed/>
    <w:qFormat/>
    <w:rsid w:val="00F01D6B"/>
    <w:pPr>
      <w:spacing w:before="240" w:after="0"/>
      <w:outlineLvl w:val="4"/>
    </w:pPr>
    <w:rPr>
      <w:rFonts w:asciiTheme="majorHAnsi" w:hAnsiTheme="majorHAnsi" w:cs="Arial"/>
      <w:color w:val="4B0885" w:themeColor="text2"/>
      <w:sz w:val="19"/>
      <w:szCs w:val="19"/>
    </w:rPr>
  </w:style>
  <w:style w:type="paragraph" w:styleId="Heading6">
    <w:name w:val="heading 6"/>
    <w:basedOn w:val="Normal"/>
    <w:next w:val="Normal"/>
    <w:link w:val="Heading6Char"/>
    <w:uiPriority w:val="9"/>
    <w:unhideWhenUsed/>
    <w:qFormat/>
    <w:rsid w:val="00F01D6B"/>
    <w:pPr>
      <w:keepNext/>
      <w:keepLines/>
      <w:spacing w:before="240" w:after="0"/>
      <w:outlineLvl w:val="5"/>
    </w:pPr>
    <w:rPr>
      <w:rFonts w:asciiTheme="majorHAnsi" w:eastAsiaTheme="majorEastAsia" w:hAnsiTheme="majorHAnsi" w:cstheme="majorBidi"/>
      <w:color w:val="341461" w:themeColor="accent1" w:themeShade="7F"/>
    </w:rPr>
  </w:style>
  <w:style w:type="paragraph" w:styleId="Heading7">
    <w:name w:val="heading 7"/>
    <w:basedOn w:val="Normal"/>
    <w:next w:val="Normal"/>
    <w:link w:val="Heading7Char"/>
    <w:uiPriority w:val="9"/>
    <w:unhideWhenUsed/>
    <w:rsid w:val="00642A9A"/>
    <w:pPr>
      <w:keepNext/>
      <w:keepLines/>
      <w:spacing w:before="240" w:after="0"/>
      <w:outlineLvl w:val="6"/>
    </w:pPr>
    <w:rPr>
      <w:rFonts w:asciiTheme="majorHAnsi" w:eastAsiaTheme="majorEastAsia" w:hAnsiTheme="majorHAnsi" w:cstheme="majorBidi"/>
      <w:i/>
      <w:iCs/>
      <w:color w:val="341461" w:themeColor="accent1" w:themeShade="7F"/>
    </w:rPr>
  </w:style>
  <w:style w:type="paragraph" w:styleId="Heading8">
    <w:name w:val="heading 8"/>
    <w:basedOn w:val="Normal"/>
    <w:next w:val="Normal"/>
    <w:link w:val="Heading8Char"/>
    <w:uiPriority w:val="9"/>
    <w:semiHidden/>
    <w:unhideWhenUsed/>
    <w:rsid w:val="00642A9A"/>
    <w:pPr>
      <w:keepNext/>
      <w:keepLines/>
      <w:spacing w:before="2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2A9A"/>
    <w:pPr>
      <w:keepNext/>
      <w:keepLines/>
      <w:spacing w:before="2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991526"/>
    <w:pPr>
      <w:tabs>
        <w:tab w:val="right" w:pos="9026"/>
      </w:tabs>
      <w:spacing w:before="20" w:after="0" w:line="240" w:lineRule="auto"/>
    </w:pPr>
    <w:rPr>
      <w:sz w:val="17"/>
      <w:szCs w:val="17"/>
    </w:rPr>
  </w:style>
  <w:style w:type="character" w:customStyle="1" w:styleId="FooterChar">
    <w:name w:val="Footer Char"/>
    <w:basedOn w:val="DefaultParagraphFont"/>
    <w:link w:val="Footer"/>
    <w:uiPriority w:val="99"/>
    <w:rsid w:val="00991526"/>
    <w:rPr>
      <w:color w:val="000000" w:themeColor="text1"/>
      <w:sz w:val="17"/>
      <w:szCs w:val="17"/>
    </w:rPr>
  </w:style>
  <w:style w:type="paragraph" w:styleId="Title">
    <w:name w:val="Title"/>
    <w:basedOn w:val="Normal"/>
    <w:next w:val="Normal"/>
    <w:link w:val="TitleChar"/>
    <w:uiPriority w:val="1"/>
    <w:rsid w:val="00233A75"/>
    <w:pPr>
      <w:spacing w:before="2600" w:after="240" w:line="252" w:lineRule="auto"/>
    </w:pPr>
    <w:rPr>
      <w:rFonts w:asciiTheme="majorHAnsi" w:eastAsiaTheme="majorEastAsia" w:hAnsiTheme="majorHAnsi" w:cstheme="majorBidi"/>
      <w:b/>
      <w:color w:val="FFFFFF" w:themeColor="background1"/>
      <w:spacing w:val="-2"/>
      <w:kern w:val="28"/>
      <w:sz w:val="80"/>
      <w:szCs w:val="80"/>
    </w:rPr>
  </w:style>
  <w:style w:type="character" w:customStyle="1" w:styleId="TitleChar">
    <w:name w:val="Title Char"/>
    <w:basedOn w:val="DefaultParagraphFont"/>
    <w:link w:val="Title"/>
    <w:uiPriority w:val="1"/>
    <w:rsid w:val="00233A75"/>
    <w:rPr>
      <w:rFonts w:asciiTheme="majorHAnsi" w:eastAsiaTheme="majorEastAsia" w:hAnsiTheme="majorHAnsi" w:cstheme="majorBidi"/>
      <w:b/>
      <w:color w:val="FFFFFF" w:themeColor="background1"/>
      <w:spacing w:val="-2"/>
      <w:kern w:val="28"/>
      <w:sz w:val="80"/>
      <w:szCs w:val="80"/>
    </w:rPr>
  </w:style>
  <w:style w:type="character" w:customStyle="1" w:styleId="Heading1Char">
    <w:name w:val="Heading 1 Char"/>
    <w:basedOn w:val="DefaultParagraphFont"/>
    <w:link w:val="Heading1"/>
    <w:uiPriority w:val="9"/>
    <w:rsid w:val="00F97B7E"/>
    <w:rPr>
      <w:rFonts w:asciiTheme="majorHAnsi" w:eastAsiaTheme="majorEastAsia" w:hAnsiTheme="majorHAnsi" w:cstheme="majorBidi"/>
      <w:b/>
      <w:color w:val="4B0885" w:themeColor="text2"/>
      <w:sz w:val="56"/>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basedOn w:val="Normal"/>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A62216"/>
    <w:pPr>
      <w:spacing w:after="0" w:line="240" w:lineRule="auto"/>
    </w:p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795897"/>
    <w:pPr>
      <w:numPr>
        <w:numId w:val="7"/>
      </w:numPr>
      <w:spacing w:before="40" w:after="20"/>
      <w:ind w:left="284" w:hanging="284"/>
    </w:pPr>
    <w:rPr>
      <w:rFonts w:eastAsia="SimSun" w:cs="Times New Roman"/>
      <w:szCs w:val="20"/>
      <w:lang w:val="en-GB" w:eastAsia="en-GB"/>
    </w:rPr>
  </w:style>
  <w:style w:type="character" w:customStyle="1" w:styleId="Heading2Char">
    <w:name w:val="Heading 2 Char"/>
    <w:basedOn w:val="DefaultParagraphFont"/>
    <w:link w:val="Heading2"/>
    <w:uiPriority w:val="9"/>
    <w:rsid w:val="001F36D6"/>
    <w:rPr>
      <w:rFonts w:asciiTheme="majorHAnsi" w:eastAsiaTheme="majorEastAsia" w:hAnsiTheme="majorHAnsi" w:cstheme="majorBidi"/>
      <w:b/>
      <w:sz w:val="32"/>
      <w:szCs w:val="26"/>
    </w:rPr>
  </w:style>
  <w:style w:type="paragraph" w:styleId="TOC1">
    <w:name w:val="toc 1"/>
    <w:basedOn w:val="Normal"/>
    <w:next w:val="Normal"/>
    <w:uiPriority w:val="39"/>
    <w:unhideWhenUsed/>
    <w:rsid w:val="00A3043E"/>
    <w:rPr>
      <w:b/>
      <w:color w:val="4B0885" w:themeColor="text2"/>
    </w:rPr>
  </w:style>
  <w:style w:type="character" w:customStyle="1" w:styleId="Heading3Char">
    <w:name w:val="Heading 3 Char"/>
    <w:basedOn w:val="DefaultParagraphFont"/>
    <w:link w:val="Heading3"/>
    <w:uiPriority w:val="9"/>
    <w:rsid w:val="004420E5"/>
    <w:rPr>
      <w:rFonts w:asciiTheme="majorHAnsi" w:eastAsiaTheme="majorEastAsia" w:hAnsiTheme="majorHAnsi" w:cstheme="majorBidi"/>
      <w:b/>
      <w:color w:val="012749"/>
      <w:sz w:val="28"/>
      <w:szCs w:val="28"/>
    </w:rPr>
  </w:style>
  <w:style w:type="paragraph" w:styleId="TOC2">
    <w:name w:val="toc 2"/>
    <w:basedOn w:val="Normal"/>
    <w:next w:val="Normal"/>
    <w:uiPriority w:val="39"/>
    <w:unhideWhenUsed/>
    <w:rsid w:val="00233A75"/>
    <w:pPr>
      <w:ind w:left="227"/>
    </w:pPr>
  </w:style>
  <w:style w:type="paragraph" w:styleId="TOC4">
    <w:name w:val="toc 4"/>
    <w:basedOn w:val="Normal"/>
    <w:next w:val="Normal"/>
    <w:autoRedefine/>
    <w:uiPriority w:val="39"/>
    <w:unhideWhenUsed/>
    <w:rsid w:val="007B2AD6"/>
    <w:pPr>
      <w:tabs>
        <w:tab w:val="right" w:leader="dot" w:pos="9016"/>
      </w:tabs>
      <w:ind w:left="220"/>
    </w:pPr>
  </w:style>
  <w:style w:type="paragraph" w:styleId="TOC3">
    <w:name w:val="toc 3"/>
    <w:basedOn w:val="Normal"/>
    <w:next w:val="Normal"/>
    <w:uiPriority w:val="39"/>
    <w:unhideWhenUsed/>
    <w:rsid w:val="00233A75"/>
    <w:pPr>
      <w:tabs>
        <w:tab w:val="right" w:leader="dot" w:pos="9016"/>
      </w:tabs>
      <w:ind w:left="454"/>
    </w:pPr>
  </w:style>
  <w:style w:type="paragraph" w:styleId="TOC5">
    <w:name w:val="toc 5"/>
    <w:basedOn w:val="Normal"/>
    <w:next w:val="Normal"/>
    <w:autoRedefine/>
    <w:uiPriority w:val="39"/>
    <w:unhideWhenUsed/>
    <w:rsid w:val="007B2AD6"/>
    <w:pPr>
      <w:tabs>
        <w:tab w:val="right" w:leader="dot" w:pos="9016"/>
      </w:tabs>
      <w:ind w:left="220"/>
    </w:pPr>
  </w:style>
  <w:style w:type="character" w:styleId="Hyperlink">
    <w:name w:val="Hyperlink"/>
    <w:basedOn w:val="DefaultParagraphFont"/>
    <w:uiPriority w:val="99"/>
    <w:unhideWhenUsed/>
    <w:rsid w:val="00A93DF6"/>
    <w:rPr>
      <w:color w:val="013D74" w:themeColor="hyperlink"/>
      <w:u w:val="single"/>
    </w:rPr>
  </w:style>
  <w:style w:type="paragraph" w:styleId="ListBullet2">
    <w:name w:val="List Bullet 2"/>
    <w:basedOn w:val="Normal"/>
    <w:qFormat/>
    <w:rsid w:val="00795897"/>
    <w:pPr>
      <w:numPr>
        <w:ilvl w:val="1"/>
        <w:numId w:val="7"/>
      </w:numPr>
      <w:spacing w:after="60"/>
      <w:ind w:left="568" w:hanging="284"/>
    </w:pPr>
    <w:rPr>
      <w:rFonts w:eastAsia="SimSun" w:cs="Times New Roman"/>
      <w:spacing w:val="-1"/>
      <w:szCs w:val="20"/>
      <w:lang w:val="en-GB" w:eastAsia="en-GB"/>
    </w:rPr>
  </w:style>
  <w:style w:type="paragraph" w:styleId="ListBullet3">
    <w:name w:val="List Bullet 3"/>
    <w:basedOn w:val="Normal"/>
    <w:rsid w:val="00BE68F3"/>
    <w:pPr>
      <w:numPr>
        <w:ilvl w:val="2"/>
        <w:numId w:val="7"/>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9C38C0"/>
    <w:rPr>
      <w:rFonts w:asciiTheme="majorHAnsi" w:hAnsiTheme="majorHAnsi" w:cs="Arial"/>
      <w:b/>
      <w:bCs/>
      <w:color w:val="4B0985"/>
      <w:sz w:val="24"/>
      <w:szCs w:val="24"/>
    </w:rPr>
  </w:style>
  <w:style w:type="character" w:customStyle="1" w:styleId="Heading5Char">
    <w:name w:val="Heading 5 Char"/>
    <w:basedOn w:val="DefaultParagraphFont"/>
    <w:link w:val="Heading5"/>
    <w:uiPriority w:val="9"/>
    <w:rsid w:val="00F01D6B"/>
    <w:rPr>
      <w:rFonts w:asciiTheme="majorHAnsi" w:hAnsiTheme="majorHAnsi" w:cs="Arial"/>
      <w:color w:val="4B0885" w:themeColor="text2"/>
      <w:sz w:val="19"/>
      <w:szCs w:val="19"/>
    </w:rPr>
  </w:style>
  <w:style w:type="character" w:customStyle="1" w:styleId="Heading6Char">
    <w:name w:val="Heading 6 Char"/>
    <w:basedOn w:val="DefaultParagraphFont"/>
    <w:link w:val="Heading6"/>
    <w:uiPriority w:val="9"/>
    <w:rsid w:val="00F01D6B"/>
    <w:rPr>
      <w:rFonts w:asciiTheme="majorHAnsi" w:eastAsiaTheme="majorEastAsia" w:hAnsiTheme="majorHAnsi" w:cstheme="majorBidi"/>
      <w:color w:val="341461" w:themeColor="accent1" w:themeShade="7F"/>
    </w:rPr>
  </w:style>
  <w:style w:type="character" w:customStyle="1" w:styleId="Heading7Char">
    <w:name w:val="Heading 7 Char"/>
    <w:basedOn w:val="DefaultParagraphFont"/>
    <w:link w:val="Heading7"/>
    <w:uiPriority w:val="9"/>
    <w:rsid w:val="00642A9A"/>
    <w:rPr>
      <w:rFonts w:asciiTheme="majorHAnsi" w:eastAsiaTheme="majorEastAsia" w:hAnsiTheme="majorHAnsi" w:cstheme="majorBidi"/>
      <w:i/>
      <w:iCs/>
      <w:color w:val="341461" w:themeColor="accent1" w:themeShade="7F"/>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Caption">
    <w:name w:val="caption"/>
    <w:basedOn w:val="Normal"/>
    <w:next w:val="Normal"/>
    <w:uiPriority w:val="35"/>
    <w:unhideWhenUsed/>
    <w:qFormat/>
    <w:rsid w:val="004860A5"/>
    <w:pPr>
      <w:keepNext/>
      <w:spacing w:before="320" w:after="720" w:line="240" w:lineRule="auto"/>
    </w:pPr>
    <w:rPr>
      <w:b/>
      <w:bCs/>
    </w:rPr>
  </w:style>
  <w:style w:type="paragraph" w:styleId="Subtitle">
    <w:name w:val="Subtitle"/>
    <w:basedOn w:val="Normal"/>
    <w:next w:val="Normal"/>
    <w:link w:val="SubtitleChar"/>
    <w:uiPriority w:val="1"/>
    <w:rsid w:val="00233A75"/>
    <w:pPr>
      <w:numPr>
        <w:ilvl w:val="1"/>
      </w:numPr>
      <w:spacing w:before="480" w:after="160"/>
    </w:pPr>
    <w:rPr>
      <w:rFonts w:asciiTheme="majorHAnsi" w:eastAsiaTheme="minorEastAsia" w:hAnsiTheme="majorHAnsi"/>
      <w:color w:val="FFFFFF" w:themeColor="background1"/>
      <w:sz w:val="48"/>
      <w:szCs w:val="48"/>
    </w:rPr>
  </w:style>
  <w:style w:type="character" w:customStyle="1" w:styleId="SubtitleChar">
    <w:name w:val="Subtitle Char"/>
    <w:basedOn w:val="DefaultParagraphFont"/>
    <w:link w:val="Subtitle"/>
    <w:uiPriority w:val="1"/>
    <w:rsid w:val="00233A75"/>
    <w:rPr>
      <w:rFonts w:asciiTheme="majorHAnsi" w:eastAsiaTheme="minorEastAsia" w:hAnsiTheme="majorHAnsi"/>
      <w:color w:val="FFFFFF" w:themeColor="background1"/>
      <w:sz w:val="48"/>
      <w:szCs w:val="48"/>
    </w:rPr>
  </w:style>
  <w:style w:type="paragraph" w:customStyle="1" w:styleId="Spacer">
    <w:name w:val="Spacer"/>
    <w:basedOn w:val="NoSpacing"/>
    <w:next w:val="Normal"/>
    <w:qFormat/>
    <w:rsid w:val="00506CD7"/>
    <w:pPr>
      <w:tabs>
        <w:tab w:val="left" w:pos="2906"/>
      </w:tabs>
    </w:pPr>
    <w:rPr>
      <w:rFonts w:ascii="Times New Roman" w:hAnsi="Times New Roman" w:cs="Times New Roman"/>
      <w:bCs/>
      <w:noProof/>
      <w:color w:val="E55493" w:themeColor="accent6" w:themeTint="99"/>
      <w:spacing w:val="-5"/>
      <w:sz w:val="6"/>
      <w:szCs w:val="23"/>
    </w:rPr>
  </w:style>
  <w:style w:type="character" w:styleId="PlaceholderText">
    <w:name w:val="Placeholder Text"/>
    <w:basedOn w:val="DefaultParagraphFont"/>
    <w:uiPriority w:val="99"/>
    <w:semiHidden/>
    <w:rsid w:val="00C6447C"/>
    <w:rPr>
      <w:color w:val="808080"/>
    </w:rPr>
  </w:style>
  <w:style w:type="paragraph" w:customStyle="1" w:styleId="Source">
    <w:name w:val="Source"/>
    <w:basedOn w:val="Normal"/>
    <w:next w:val="Normal"/>
    <w:qFormat/>
    <w:rsid w:val="00414265"/>
    <w:pPr>
      <w:spacing w:line="240" w:lineRule="auto"/>
    </w:pPr>
    <w:rPr>
      <w:sz w:val="14"/>
      <w:szCs w:val="14"/>
    </w:rPr>
  </w:style>
  <w:style w:type="paragraph" w:styleId="MacroText">
    <w:name w:val="macro"/>
    <w:link w:val="MacroTextChar"/>
    <w:uiPriority w:val="99"/>
    <w:unhideWhenUsed/>
    <w:rsid w:val="00AF2783"/>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rsid w:val="00AF2783"/>
    <w:rPr>
      <w:rFonts w:ascii="Consolas" w:hAnsi="Consolas"/>
      <w:sz w:val="20"/>
      <w:szCs w:val="20"/>
    </w:rPr>
  </w:style>
  <w:style w:type="table" w:customStyle="1" w:styleId="JSATable1">
    <w:name w:val="JSA Table 1"/>
    <w:basedOn w:val="TableNormal"/>
    <w:uiPriority w:val="99"/>
    <w:rsid w:val="00D73EA4"/>
    <w:pPr>
      <w:spacing w:after="0" w:line="240" w:lineRule="auto"/>
    </w:p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table" w:customStyle="1" w:styleId="JSATable2">
    <w:name w:val="JSA Table 2"/>
    <w:basedOn w:val="TableNormal"/>
    <w:uiPriority w:val="99"/>
    <w:rsid w:val="00A74E0F"/>
    <w:pPr>
      <w:spacing w:after="0" w:line="240" w:lineRule="auto"/>
    </w:pPr>
    <w:tblPr>
      <w:tblStyleRowBandSize w:val="1"/>
      <w:tblBorders>
        <w:bottom w:val="single" w:sz="4" w:space="0" w:color="A584C2"/>
      </w:tblBorders>
    </w:tblPr>
    <w:tblStylePr w:type="firstRow">
      <w:rPr>
        <w:rFonts w:asciiTheme="majorHAnsi" w:hAnsiTheme="majorHAnsi"/>
        <w:color w:val="FFFFFF" w:themeColor="background1"/>
        <w:sz w:val="22"/>
      </w:rPr>
      <w:tblPr/>
      <w:tcPr>
        <w:shd w:val="clear" w:color="auto" w:fill="012749" w:themeFill="accent3"/>
      </w:tcPr>
    </w:tblStylePr>
    <w:tblStylePr w:type="band2Horz">
      <w:tblPr/>
      <w:tcPr>
        <w:shd w:val="clear" w:color="auto" w:fill="E6E6E6"/>
      </w:tcPr>
    </w:tblStylePr>
  </w:style>
  <w:style w:type="paragraph" w:styleId="Index7">
    <w:name w:val="index 7"/>
    <w:basedOn w:val="Normal"/>
    <w:next w:val="Normal"/>
    <w:autoRedefine/>
    <w:uiPriority w:val="99"/>
    <w:semiHidden/>
    <w:unhideWhenUsed/>
    <w:rsid w:val="00244550"/>
    <w:pPr>
      <w:spacing w:before="240" w:after="0" w:line="240" w:lineRule="auto"/>
      <w:ind w:left="1542" w:hanging="221"/>
    </w:pPr>
  </w:style>
  <w:style w:type="character" w:customStyle="1" w:styleId="Heading8Char">
    <w:name w:val="Heading 8 Char"/>
    <w:basedOn w:val="DefaultParagraphFont"/>
    <w:link w:val="Heading8"/>
    <w:uiPriority w:val="9"/>
    <w:semiHidden/>
    <w:rsid w:val="00642A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2A9A"/>
    <w:rPr>
      <w:rFonts w:asciiTheme="majorHAnsi" w:eastAsiaTheme="majorEastAsia" w:hAnsiTheme="majorHAnsi" w:cstheme="majorBidi"/>
      <w:i/>
      <w:iCs/>
      <w:color w:val="272727" w:themeColor="text1" w:themeTint="D8"/>
      <w:sz w:val="21"/>
      <w:szCs w:val="21"/>
    </w:rPr>
  </w:style>
  <w:style w:type="character" w:customStyle="1" w:styleId="StrongandEmphasis">
    <w:name w:val="Strong and Emphasis"/>
    <w:basedOn w:val="DefaultParagraphFont"/>
    <w:uiPriority w:val="1"/>
    <w:qFormat/>
    <w:rsid w:val="009C56D1"/>
    <w:rPr>
      <w:b/>
      <w:i/>
    </w:rPr>
  </w:style>
  <w:style w:type="paragraph" w:styleId="ListNumber">
    <w:name w:val="List Number"/>
    <w:basedOn w:val="Normal"/>
    <w:uiPriority w:val="99"/>
    <w:unhideWhenUsed/>
    <w:rsid w:val="004B09C1"/>
    <w:pPr>
      <w:numPr>
        <w:numId w:val="16"/>
      </w:numPr>
      <w:contextualSpacing/>
    </w:pPr>
  </w:style>
  <w:style w:type="paragraph" w:styleId="ListNumber2">
    <w:name w:val="List Number 2"/>
    <w:basedOn w:val="Normal"/>
    <w:uiPriority w:val="99"/>
    <w:unhideWhenUsed/>
    <w:rsid w:val="004B09C1"/>
    <w:pPr>
      <w:numPr>
        <w:numId w:val="17"/>
      </w:numPr>
      <w:contextualSpacing/>
    </w:pPr>
  </w:style>
  <w:style w:type="character" w:styleId="FootnoteReference">
    <w:name w:val="footnote reference"/>
    <w:basedOn w:val="DefaultParagraphFont"/>
    <w:uiPriority w:val="99"/>
    <w:unhideWhenUsed/>
    <w:rsid w:val="004B09C1"/>
    <w:rPr>
      <w:vertAlign w:val="superscript"/>
    </w:rPr>
  </w:style>
  <w:style w:type="paragraph" w:styleId="FootnoteText">
    <w:name w:val="footnote text"/>
    <w:basedOn w:val="Normal"/>
    <w:link w:val="FootnoteTextChar"/>
    <w:uiPriority w:val="99"/>
    <w:unhideWhenUsed/>
    <w:rsid w:val="00105D29"/>
    <w:pPr>
      <w:spacing w:after="0" w:line="240" w:lineRule="auto"/>
    </w:pPr>
    <w:rPr>
      <w:sz w:val="12"/>
      <w:szCs w:val="12"/>
    </w:rPr>
  </w:style>
  <w:style w:type="character" w:customStyle="1" w:styleId="FootnoteTextChar">
    <w:name w:val="Footnote Text Char"/>
    <w:basedOn w:val="DefaultParagraphFont"/>
    <w:link w:val="FootnoteText"/>
    <w:uiPriority w:val="99"/>
    <w:rsid w:val="00105D29"/>
    <w:rPr>
      <w:sz w:val="12"/>
      <w:szCs w:val="12"/>
    </w:rPr>
  </w:style>
  <w:style w:type="table" w:customStyle="1" w:styleId="IVISummarySheet">
    <w:name w:val="IVI Summary Sheet"/>
    <w:basedOn w:val="TableNormal"/>
    <w:uiPriority w:val="99"/>
    <w:rsid w:val="00560872"/>
    <w:pPr>
      <w:spacing w:after="0" w:line="240" w:lineRule="auto"/>
      <w:jc w:val="right"/>
    </w:pPr>
    <w:tblPr>
      <w:tblStyleRowBandSize w:val="1"/>
      <w:tblBorders>
        <w:top w:val="single" w:sz="4" w:space="0" w:color="7F7F7F"/>
        <w:left w:val="single" w:sz="4" w:space="0" w:color="7F7F7F"/>
        <w:bottom w:val="single" w:sz="4" w:space="0" w:color="7F7F7F"/>
        <w:right w:val="single" w:sz="4" w:space="0" w:color="7F7F7F"/>
        <w:insideV w:val="single" w:sz="4" w:space="0" w:color="7F7F7F"/>
      </w:tblBorders>
    </w:tblPr>
    <w:tcPr>
      <w:vAlign w:val="center"/>
    </w:tcPr>
    <w:tblStylePr w:type="firstRow">
      <w:pPr>
        <w:jc w:val="right"/>
      </w:pPr>
      <w:rPr>
        <w:b/>
        <w:color w:val="FFFFFF" w:themeColor="background1"/>
      </w:rPr>
      <w:tblPr/>
      <w:tcPr>
        <w:tcBorders>
          <w:left w:val="nil"/>
          <w:right w:val="nil"/>
          <w:insideV w:val="nil"/>
        </w:tcBorders>
        <w:shd w:val="clear" w:color="auto" w:fill="2C054E"/>
        <w:vAlign w:val="bottom"/>
      </w:tcPr>
    </w:tblStylePr>
    <w:tblStylePr w:type="firstCol">
      <w:pPr>
        <w:jc w:val="left"/>
      </w:pPr>
    </w:tblStylePr>
    <w:tblStylePr w:type="band1Horz">
      <w:tblPr/>
      <w:tcPr>
        <w:shd w:val="clear" w:color="auto" w:fill="F1F4F9"/>
      </w:tcPr>
    </w:tblStylePr>
    <w:tblStylePr w:type="band2Horz">
      <w:tblPr/>
      <w:tcPr>
        <w:shd w:val="clear" w:color="auto" w:fill="FFFFFF" w:themeFill="background1"/>
      </w:tcPr>
    </w:tblStylePr>
  </w:style>
  <w:style w:type="table" w:styleId="TableGridLight">
    <w:name w:val="Grid Table Light"/>
    <w:basedOn w:val="TableNormal"/>
    <w:uiPriority w:val="40"/>
    <w:rsid w:val="00DA58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IVISummarySheet"/>
    <w:uiPriority w:val="99"/>
    <w:rsid w:val="0074492F"/>
    <w:tblPr/>
    <w:tblStylePr w:type="firstRow">
      <w:pPr>
        <w:jc w:val="right"/>
      </w:pPr>
      <w:rPr>
        <w:b w:val="0"/>
        <w:color w:val="FFFFFF" w:themeColor="background1"/>
        <w:sz w:val="2"/>
      </w:rPr>
      <w:tblPr/>
      <w:tcPr>
        <w:tcBorders>
          <w:top w:val="nil"/>
          <w:left w:val="nil"/>
          <w:bottom w:val="single" w:sz="4" w:space="0" w:color="7F7F7F"/>
          <w:right w:val="nil"/>
          <w:insideH w:val="nil"/>
          <w:insideV w:val="nil"/>
          <w:tl2br w:val="nil"/>
          <w:tr2bl w:val="nil"/>
        </w:tcBorders>
        <w:shd w:val="clear" w:color="auto" w:fill="FFFFFF" w:themeFill="background1"/>
        <w:vAlign w:val="bottom"/>
      </w:tcPr>
    </w:tblStylePr>
    <w:tblStylePr w:type="firstCol">
      <w:pPr>
        <w:jc w:val="left"/>
      </w:pPr>
    </w:tblStylePr>
    <w:tblStylePr w:type="band1Horz">
      <w:tblPr/>
      <w:tcPr>
        <w:shd w:val="clear" w:color="auto" w:fill="F1F4F9"/>
      </w:tcPr>
    </w:tblStylePr>
    <w:tblStylePr w:type="band2Horz">
      <w:tblPr/>
      <w:tcPr>
        <w:shd w:val="clear" w:color="auto" w:fill="FFFFFF" w:themeFill="background1"/>
      </w:tcPr>
    </w:tblStylePr>
  </w:style>
  <w:style w:type="paragraph" w:styleId="Revision">
    <w:name w:val="Revision"/>
    <w:hidden/>
    <w:uiPriority w:val="99"/>
    <w:semiHidden/>
    <w:rsid w:val="00641A2D"/>
    <w:pPr>
      <w:spacing w:after="0" w:line="240" w:lineRule="auto"/>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334394">
      <w:bodyDiv w:val="1"/>
      <w:marLeft w:val="0"/>
      <w:marRight w:val="0"/>
      <w:marTop w:val="0"/>
      <w:marBottom w:val="0"/>
      <w:divBdr>
        <w:top w:val="none" w:sz="0" w:space="0" w:color="auto"/>
        <w:left w:val="none" w:sz="0" w:space="0" w:color="auto"/>
        <w:bottom w:val="none" w:sz="0" w:space="0" w:color="auto"/>
        <w:right w:val="none" w:sz="0" w:space="0" w:color="auto"/>
      </w:divBdr>
    </w:div>
    <w:div w:id="865950480">
      <w:bodyDiv w:val="1"/>
      <w:marLeft w:val="0"/>
      <w:marRight w:val="0"/>
      <w:marTop w:val="0"/>
      <w:marBottom w:val="0"/>
      <w:divBdr>
        <w:top w:val="none" w:sz="0" w:space="0" w:color="auto"/>
        <w:left w:val="none" w:sz="0" w:space="0" w:color="auto"/>
        <w:bottom w:val="none" w:sz="0" w:space="0" w:color="auto"/>
        <w:right w:val="none" w:sz="0" w:space="0" w:color="auto"/>
      </w:divBdr>
    </w:div>
    <w:div w:id="867451769">
      <w:bodyDiv w:val="1"/>
      <w:marLeft w:val="0"/>
      <w:marRight w:val="0"/>
      <w:marTop w:val="0"/>
      <w:marBottom w:val="0"/>
      <w:divBdr>
        <w:top w:val="none" w:sz="0" w:space="0" w:color="auto"/>
        <w:left w:val="none" w:sz="0" w:space="0" w:color="auto"/>
        <w:bottom w:val="none" w:sz="0" w:space="0" w:color="auto"/>
        <w:right w:val="none" w:sz="0" w:space="0" w:color="auto"/>
      </w:divBdr>
    </w:div>
    <w:div w:id="1505318704">
      <w:bodyDiv w:val="1"/>
      <w:marLeft w:val="0"/>
      <w:marRight w:val="0"/>
      <w:marTop w:val="0"/>
      <w:marBottom w:val="0"/>
      <w:divBdr>
        <w:top w:val="none" w:sz="0" w:space="0" w:color="auto"/>
        <w:left w:val="none" w:sz="0" w:space="0" w:color="auto"/>
        <w:bottom w:val="none" w:sz="0" w:space="0" w:color="auto"/>
        <w:right w:val="none" w:sz="0" w:space="0" w:color="auto"/>
      </w:divBdr>
    </w:div>
    <w:div w:id="1664355830">
      <w:bodyDiv w:val="1"/>
      <w:marLeft w:val="0"/>
      <w:marRight w:val="0"/>
      <w:marTop w:val="0"/>
      <w:marBottom w:val="0"/>
      <w:divBdr>
        <w:top w:val="none" w:sz="0" w:space="0" w:color="auto"/>
        <w:left w:val="none" w:sz="0" w:space="0" w:color="auto"/>
        <w:bottom w:val="none" w:sz="0" w:space="0" w:color="auto"/>
        <w:right w:val="none" w:sz="0" w:space="0" w:color="auto"/>
      </w:divBdr>
    </w:div>
    <w:div w:id="1898853904">
      <w:bodyDiv w:val="1"/>
      <w:marLeft w:val="0"/>
      <w:marRight w:val="0"/>
      <w:marTop w:val="0"/>
      <w:marBottom w:val="0"/>
      <w:divBdr>
        <w:top w:val="none" w:sz="0" w:space="0" w:color="auto"/>
        <w:left w:val="none" w:sz="0" w:space="0" w:color="auto"/>
        <w:bottom w:val="none" w:sz="0" w:space="0" w:color="auto"/>
        <w:right w:val="none" w:sz="0" w:space="0" w:color="auto"/>
      </w:divBdr>
    </w:div>
    <w:div w:id="1913470334">
      <w:bodyDiv w:val="1"/>
      <w:marLeft w:val="0"/>
      <w:marRight w:val="0"/>
      <w:marTop w:val="0"/>
      <w:marBottom w:val="0"/>
      <w:divBdr>
        <w:top w:val="none" w:sz="0" w:space="0" w:color="auto"/>
        <w:left w:val="none" w:sz="0" w:space="0" w:color="auto"/>
        <w:bottom w:val="none" w:sz="0" w:space="0" w:color="auto"/>
        <w:right w:val="none" w:sz="0" w:space="0" w:color="auto"/>
      </w:divBdr>
    </w:div>
    <w:div w:id="1929532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25191819073733"/>
          <c:y val="4.2553191489361701E-2"/>
          <c:w val="0.74011181133429538"/>
          <c:h val="0.84047453887774126"/>
        </c:manualLayout>
      </c:layout>
      <c:lineChart>
        <c:grouping val="standard"/>
        <c:varyColors val="0"/>
        <c:ser>
          <c:idx val="0"/>
          <c:order val="0"/>
          <c:tx>
            <c:strRef>
              <c:f>Graph!$C$2</c:f>
              <c:strCache>
                <c:ptCount val="1"/>
                <c:pt idx="0">
                  <c:v>JSA Total New Vacancies</c:v>
                </c:pt>
              </c:strCache>
            </c:strRef>
          </c:tx>
          <c:spPr>
            <a:ln w="28575" cap="rnd">
              <a:solidFill>
                <a:schemeClr val="tx2">
                  <a:lumMod val="75000"/>
                </a:schemeClr>
              </a:solidFill>
              <a:round/>
            </a:ln>
            <a:effectLst/>
          </c:spPr>
          <c:marker>
            <c:symbol val="none"/>
          </c:marker>
          <c:cat>
            <c:numRef>
              <c:f>Graph!$D$1:$AE$1</c:f>
              <c:numCache>
                <c:formatCode>m/d/yyyy</c:formatCode>
                <c:ptCount val="28"/>
                <c:pt idx="0">
                  <c:v>43497</c:v>
                </c:pt>
                <c:pt idx="1">
                  <c:v>43586</c:v>
                </c:pt>
                <c:pt idx="2">
                  <c:v>43678</c:v>
                </c:pt>
                <c:pt idx="3">
                  <c:v>43770</c:v>
                </c:pt>
                <c:pt idx="4">
                  <c:v>43862</c:v>
                </c:pt>
                <c:pt idx="5">
                  <c:v>43952</c:v>
                </c:pt>
                <c:pt idx="6">
                  <c:v>44044</c:v>
                </c:pt>
                <c:pt idx="7">
                  <c:v>44136</c:v>
                </c:pt>
                <c:pt idx="8">
                  <c:v>44228</c:v>
                </c:pt>
                <c:pt idx="9">
                  <c:v>44317</c:v>
                </c:pt>
                <c:pt idx="10">
                  <c:v>44409</c:v>
                </c:pt>
                <c:pt idx="11">
                  <c:v>44501</c:v>
                </c:pt>
                <c:pt idx="12">
                  <c:v>44593</c:v>
                </c:pt>
                <c:pt idx="13">
                  <c:v>44682</c:v>
                </c:pt>
                <c:pt idx="14">
                  <c:v>44774</c:v>
                </c:pt>
                <c:pt idx="15">
                  <c:v>44866</c:v>
                </c:pt>
                <c:pt idx="16">
                  <c:v>44958</c:v>
                </c:pt>
                <c:pt idx="17">
                  <c:v>45047</c:v>
                </c:pt>
                <c:pt idx="18">
                  <c:v>45139</c:v>
                </c:pt>
                <c:pt idx="19">
                  <c:v>45231</c:v>
                </c:pt>
                <c:pt idx="20">
                  <c:v>45323</c:v>
                </c:pt>
                <c:pt idx="21">
                  <c:v>45413</c:v>
                </c:pt>
                <c:pt idx="22">
                  <c:v>45505</c:v>
                </c:pt>
                <c:pt idx="23">
                  <c:v>45597</c:v>
                </c:pt>
                <c:pt idx="24">
                  <c:v>45689</c:v>
                </c:pt>
                <c:pt idx="25">
                  <c:v>45778</c:v>
                </c:pt>
                <c:pt idx="26">
                  <c:v>45870</c:v>
                </c:pt>
                <c:pt idx="27">
                  <c:v>45962</c:v>
                </c:pt>
              </c:numCache>
            </c:numRef>
          </c:cat>
          <c:val>
            <c:numRef>
              <c:f>Graph!$D$2:$AE$2</c:f>
              <c:numCache>
                <c:formatCode>_-* #,##0_-;\-* #,##0_-;_-* "-"??_-;_-@_-</c:formatCode>
                <c:ptCount val="28"/>
                <c:pt idx="0">
                  <c:v>1184030.8177665255</c:v>
                </c:pt>
                <c:pt idx="1">
                  <c:v>1066350.0288896901</c:v>
                </c:pt>
                <c:pt idx="2">
                  <c:v>1034676.8818692634</c:v>
                </c:pt>
                <c:pt idx="3">
                  <c:v>993527.57185246598</c:v>
                </c:pt>
                <c:pt idx="4">
                  <c:v>835607.83412243531</c:v>
                </c:pt>
                <c:pt idx="5">
                  <c:v>664133.96449037106</c:v>
                </c:pt>
                <c:pt idx="6">
                  <c:v>779577.19026246108</c:v>
                </c:pt>
                <c:pt idx="7">
                  <c:v>974618.74404143135</c:v>
                </c:pt>
                <c:pt idx="8">
                  <c:v>1100503.7968511712</c:v>
                </c:pt>
                <c:pt idx="9">
                  <c:v>1276573.6572192907</c:v>
                </c:pt>
                <c:pt idx="10">
                  <c:v>1376934.7278209969</c:v>
                </c:pt>
                <c:pt idx="11">
                  <c:v>1451396.4363753903</c:v>
                </c:pt>
                <c:pt idx="12">
                  <c:v>1478799.1521034851</c:v>
                </c:pt>
                <c:pt idx="13">
                  <c:v>1632615.2380359501</c:v>
                </c:pt>
                <c:pt idx="14">
                  <c:v>1711894.6585420438</c:v>
                </c:pt>
                <c:pt idx="15">
                  <c:v>1645508.4254460009</c:v>
                </c:pt>
                <c:pt idx="16">
                  <c:v>1568956.0217454024</c:v>
                </c:pt>
                <c:pt idx="17">
                  <c:v>1639336.6955002996</c:v>
                </c:pt>
                <c:pt idx="18">
                  <c:v>1654148.2705864438</c:v>
                </c:pt>
                <c:pt idx="19">
                  <c:v>1559154.6328713133</c:v>
                </c:pt>
                <c:pt idx="20">
                  <c:v>1437682.1871994101</c:v>
                </c:pt>
                <c:pt idx="21">
                  <c:v>1417622.7506687033</c:v>
                </c:pt>
                <c:pt idx="22">
                  <c:v>1383058.8400323512</c:v>
                </c:pt>
                <c:pt idx="23">
                  <c:v>1336838.0021607636</c:v>
                </c:pt>
                <c:pt idx="24">
                  <c:v>1247952.8956249943</c:v>
                </c:pt>
                <c:pt idx="25">
                  <c:v>1254069.852778407</c:v>
                </c:pt>
                <c:pt idx="26">
                  <c:v>1288268.0436946386</c:v>
                </c:pt>
                <c:pt idx="27" formatCode="General">
                  <c:v>1310386.0418080101</c:v>
                </c:pt>
              </c:numCache>
            </c:numRef>
          </c:val>
          <c:smooth val="0"/>
          <c:extLst>
            <c:ext xmlns:c16="http://schemas.microsoft.com/office/drawing/2014/chart" uri="{C3380CC4-5D6E-409C-BE32-E72D297353CC}">
              <c16:uniqueId val="{00000000-10C2-4040-BBED-5A1FCD76D78C}"/>
            </c:ext>
          </c:extLst>
        </c:ser>
        <c:dLbls>
          <c:showLegendKey val="0"/>
          <c:showVal val="0"/>
          <c:showCatName val="0"/>
          <c:showSerName val="0"/>
          <c:showPercent val="0"/>
          <c:showBubbleSize val="0"/>
        </c:dLbls>
        <c:smooth val="0"/>
        <c:axId val="1579297808"/>
        <c:axId val="1575047104"/>
      </c:lineChart>
      <c:dateAx>
        <c:axId val="1579297808"/>
        <c:scaling>
          <c:orientation val="minMax"/>
        </c:scaling>
        <c:delete val="0"/>
        <c:axPos val="b"/>
        <c:numFmt formatCode="[$-C09]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575047104"/>
        <c:crosses val="autoZero"/>
        <c:auto val="1"/>
        <c:lblOffset val="100"/>
        <c:baseTimeUnit val="months"/>
        <c:majorUnit val="3"/>
        <c:majorTimeUnit val="months"/>
        <c:minorUnit val="3"/>
        <c:minorTimeUnit val="months"/>
      </c:dateAx>
      <c:valAx>
        <c:axId val="157504710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5792978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n-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D174A-DF8D-45B2-A472-5D9384021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732</Words>
  <Characters>4411</Characters>
  <Application>Microsoft Office Word</Application>
  <DocSecurity>0</DocSecurity>
  <Lines>200</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2026-02-24T23:27:00Z</dcterms:created>
  <dcterms:modified xsi:type="dcterms:W3CDTF">2026-02-25T00:29:00Z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2026-02-24T23:28:25Z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5cb16709-edb6-4ea1-87ac-c927f105ddbc</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