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274E" w14:textId="77777777" w:rsidR="00EE49FB" w:rsidRDefault="00997F6C" w:rsidP="006C282B">
      <w:pPr>
        <w:sectPr w:rsidR="00EE49FB" w:rsidSect="00306C0E">
          <w:headerReference w:type="default" r:id="rId8"/>
          <w:footerReference w:type="default" r:id="rId9"/>
          <w:headerReference w:type="first" r:id="rId10"/>
          <w:footerReference w:type="first" r:id="rId11"/>
          <w:type w:val="continuous"/>
          <w:pgSz w:w="11906" w:h="16838"/>
          <w:pgMar w:top="1134" w:right="1440" w:bottom="1134" w:left="1440" w:header="0" w:footer="539" w:gutter="0"/>
          <w:pgNumType w:start="0"/>
          <w:cols w:space="708"/>
          <w:titlePg/>
          <w:docGrid w:linePitch="360"/>
        </w:sectPr>
      </w:pPr>
      <w:bookmarkStart w:id="0" w:name="_Toc118443202"/>
      <w:bookmarkStart w:id="1" w:name="_Toc119418020"/>
      <w:r w:rsidRPr="00997F6C">
        <w:rPr>
          <w:noProof/>
        </w:rPr>
        <w:drawing>
          <wp:inline distT="0" distB="0" distL="0" distR="0" wp14:anchorId="202EBB92" wp14:editId="4A57C2D7">
            <wp:extent cx="3294580" cy="715784"/>
            <wp:effectExtent l="0" t="0" r="1270" b="8255"/>
            <wp:docPr id="717505474" name="Picture 717505474"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1" descr="Australian Government Jobs and Skills Australia"/>
                    <pic:cNvPicPr/>
                  </pic:nvPicPr>
                  <pic:blipFill>
                    <a:blip r:embed="rId12"/>
                    <a:stretch>
                      <a:fillRect/>
                    </a:stretch>
                  </pic:blipFill>
                  <pic:spPr>
                    <a:xfrm>
                      <a:off x="0" y="0"/>
                      <a:ext cx="3524334" cy="765701"/>
                    </a:xfrm>
                    <a:prstGeom prst="rect">
                      <a:avLst/>
                    </a:prstGeom>
                  </pic:spPr>
                </pic:pic>
              </a:graphicData>
            </a:graphic>
          </wp:inline>
        </w:drawing>
      </w:r>
    </w:p>
    <w:p w14:paraId="4BCC52F1" w14:textId="55FB2E5E" w:rsidR="003E0B70" w:rsidRPr="00B11937" w:rsidRDefault="00B32201" w:rsidP="00B11937">
      <w:r w:rsidRPr="00B11937">
        <w:rPr>
          <w:noProof/>
        </w:rPr>
        <w:drawing>
          <wp:anchor distT="0" distB="0" distL="114300" distR="114300" simplePos="0" relativeHeight="251658240" behindDoc="1" locked="0" layoutInCell="1" allowOverlap="1" wp14:anchorId="41B9CE17" wp14:editId="3C5BDDD2">
            <wp:simplePos x="0" y="0"/>
            <wp:positionH relativeFrom="page">
              <wp:align>center</wp:align>
            </wp:positionH>
            <wp:positionV relativeFrom="page">
              <wp:align>top</wp:align>
            </wp:positionV>
            <wp:extent cx="7560000" cy="10695600"/>
            <wp:effectExtent l="0" t="0" r="3175" b="0"/>
            <wp:wrapNone/>
            <wp:docPr id="911560792" name="Picture 911560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60792" name="Picture 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65CE7F50" w14:textId="34B9D9D2" w:rsidR="004F2369" w:rsidRPr="00AB2FCB" w:rsidRDefault="005F0CA3" w:rsidP="00233A75">
      <w:pPr>
        <w:pStyle w:val="Title"/>
        <w:rPr>
          <w:rFonts w:ascii="Arial" w:hAnsi="Arial" w:cs="Arial"/>
        </w:rPr>
      </w:pPr>
      <w:r w:rsidRPr="005F0CA3">
        <w:rPr>
          <w:rFonts w:ascii="Arial" w:hAnsi="Arial" w:cs="Arial"/>
        </w:rPr>
        <w:t xml:space="preserve">Total New Vacancies </w:t>
      </w:r>
      <w:r w:rsidR="00F9166E">
        <w:rPr>
          <w:rFonts w:ascii="Arial" w:hAnsi="Arial" w:cs="Arial"/>
        </w:rPr>
        <w:t>(TNV)</w:t>
      </w:r>
      <w:r w:rsidRPr="005F0CA3">
        <w:rPr>
          <w:rFonts w:ascii="Arial" w:hAnsi="Arial" w:cs="Arial"/>
        </w:rPr>
        <w:t xml:space="preserve"> series</w:t>
      </w:r>
    </w:p>
    <w:p w14:paraId="3DF70E82" w14:textId="6AB8F975" w:rsidR="004F2369" w:rsidRPr="00AB2FCB" w:rsidRDefault="005F0CA3" w:rsidP="00233A75">
      <w:pPr>
        <w:pStyle w:val="Subtitle"/>
        <w:rPr>
          <w:rFonts w:ascii="Arial" w:hAnsi="Arial" w:cs="Arial"/>
        </w:rPr>
      </w:pPr>
      <w:r>
        <w:rPr>
          <w:rFonts w:ascii="Arial" w:hAnsi="Arial" w:cs="Arial"/>
        </w:rPr>
        <w:t>Methodological note</w:t>
      </w:r>
    </w:p>
    <w:p w14:paraId="49F46106" w14:textId="3F8246F9" w:rsidR="004F2369" w:rsidRPr="00233A75" w:rsidRDefault="002936DE" w:rsidP="004F2369">
      <w:pPr>
        <w:spacing w:before="460"/>
      </w:pPr>
      <w:r>
        <w:rPr>
          <w:b/>
          <w:bCs/>
          <w:color w:val="FFFFFF" w:themeColor="background1"/>
          <w:spacing w:val="-10"/>
          <w:sz w:val="28"/>
          <w:szCs w:val="28"/>
        </w:rPr>
        <w:t>November</w:t>
      </w:r>
      <w:r w:rsidR="005F0CA3">
        <w:rPr>
          <w:b/>
          <w:bCs/>
          <w:color w:val="FFFFFF" w:themeColor="background1"/>
          <w:spacing w:val="-10"/>
          <w:sz w:val="28"/>
          <w:szCs w:val="28"/>
        </w:rPr>
        <w:t xml:space="preserve"> 202</w:t>
      </w:r>
      <w:r w:rsidR="00F9166E">
        <w:rPr>
          <w:b/>
          <w:bCs/>
          <w:color w:val="FFFFFF" w:themeColor="background1"/>
          <w:spacing w:val="-10"/>
          <w:sz w:val="28"/>
          <w:szCs w:val="28"/>
        </w:rPr>
        <w:t>5</w:t>
      </w:r>
      <w:r w:rsidR="004F2369" w:rsidRPr="00233A75">
        <w:br w:type="page"/>
      </w:r>
    </w:p>
    <w:p w14:paraId="4159D79C" w14:textId="21D03AE1" w:rsidR="001A22A8" w:rsidRDefault="00E1387F" w:rsidP="001F36D6">
      <w:pPr>
        <w:pStyle w:val="Heading1"/>
      </w:pPr>
      <w:r>
        <w:lastRenderedPageBreak/>
        <w:t>Overview</w:t>
      </w:r>
    </w:p>
    <w:p w14:paraId="7210F19A" w14:textId="77777777" w:rsidR="00F9166E" w:rsidRDefault="00F9166E" w:rsidP="00F9166E">
      <w:r w:rsidRPr="00AB6C85">
        <w:t>The new JSA Total New Vacancies (TNV) series offers quarterly estimates of the total number of new job vacancies across Australia, disaggregated by 2-digit ANZSCO occupation codes and SA4 regions.</w:t>
      </w:r>
    </w:p>
    <w:p w14:paraId="0F11A2F3" w14:textId="54DA2FBE" w:rsidR="00F9166E" w:rsidRPr="00AB6C85" w:rsidRDefault="00F9166E" w:rsidP="00F9166E">
      <w:r w:rsidRPr="00AB6C85">
        <w:t>Drawing on insights from JSA’s </w:t>
      </w:r>
      <w:r w:rsidRPr="00AB6C85">
        <w:rPr>
          <w:i/>
          <w:iCs/>
        </w:rPr>
        <w:t>Recruitment Experiences and Outlook Survey (REOS)</w:t>
      </w:r>
      <w:r w:rsidRPr="00AB6C85">
        <w:t>, the TNV series adjusts data from the </w:t>
      </w:r>
      <w:r w:rsidRPr="00AB6C85">
        <w:rPr>
          <w:i/>
          <w:iCs/>
        </w:rPr>
        <w:t>JSA Internet Vacancy Index (IVI)</w:t>
      </w:r>
      <w:r w:rsidRPr="00AB6C85">
        <w:t> </w:t>
      </w:r>
      <w:r w:rsidRPr="00784B29">
        <w:t>to account for changes in the use of online recruitment methods over time</w:t>
      </w:r>
      <w:r w:rsidRPr="00AB6C85">
        <w:t xml:space="preserve">. </w:t>
      </w:r>
      <w:r w:rsidRPr="00784B29">
        <w:t>The resultant series provides a new estimate of the total number of new vacancies (flow) each quarter</w:t>
      </w:r>
      <w:r>
        <w:t xml:space="preserve">. </w:t>
      </w:r>
      <w:r w:rsidRPr="00AB6C85">
        <w:t>The TNV series serves as a valuable complement to existing labour market indicators, including the JSA IVI and the ABS Job Vacancy Series.</w:t>
      </w:r>
    </w:p>
    <w:p w14:paraId="32A4FD73" w14:textId="77777777" w:rsidR="00F9166E" w:rsidRPr="00AB6C85" w:rsidRDefault="00F9166E" w:rsidP="00F9166E">
      <w:r w:rsidRPr="00AB6C85">
        <w:t>Users are advised to exercise caution when interpreting TNV data, as the methodology continues to evolve. Feedback and suggestions for improvement are welcomed to help refine and enhance the series.</w:t>
      </w:r>
    </w:p>
    <w:p w14:paraId="10F0B00C" w14:textId="2B01389C" w:rsidR="0088237E" w:rsidRDefault="00446C7E" w:rsidP="00784B29">
      <w:pPr>
        <w:pStyle w:val="Heading2"/>
      </w:pPr>
      <w:r>
        <w:t>Methodology overview</w:t>
      </w:r>
    </w:p>
    <w:p w14:paraId="280667B1" w14:textId="77777777" w:rsidR="00F9166E" w:rsidRPr="00446C7E" w:rsidRDefault="00F9166E" w:rsidP="00F9166E">
      <w:pPr>
        <w:rPr>
          <w:b/>
        </w:rPr>
      </w:pPr>
      <w:r w:rsidRPr="00446C7E">
        <w:t>Understanding vacancy trends is a key component of labour market analysis. Job vacancies data can provide a leading indicator of employment growth and help identify differences in labour market conditions across regions and industries. Job vacancy rates are also a key component of Beveridge Curve analysis, which is useful to helping assess the efficiency of the labour market. As such, having an accurate measure of job vacancies is a key component of labour market analysis.</w:t>
      </w:r>
    </w:p>
    <w:p w14:paraId="18C4B543" w14:textId="77777777" w:rsidR="00F9166E" w:rsidRPr="00446C7E" w:rsidRDefault="00F9166E" w:rsidP="00F9166E">
      <w:pPr>
        <w:rPr>
          <w:b/>
        </w:rPr>
      </w:pPr>
      <w:r w:rsidRPr="00446C7E">
        <w:t xml:space="preserve">When it comes to recruitment, employers can use a wide range of methods during recruitment. This includes (but is not limited to) word of mouth, signs in shop windows, social media, newspaper advertisements and online job ads. Such methods may be used by employers as they seek to fill their job vacancies. While the </w:t>
      </w:r>
      <w:hyperlink r:id="rId14" w:history="1">
        <w:r w:rsidRPr="00BE5033">
          <w:rPr>
            <w:rStyle w:val="Hyperlink"/>
            <w:rFonts w:cs="Arial"/>
            <w:bCs/>
          </w:rPr>
          <w:t>JSA Internet Vacancy Index</w:t>
        </w:r>
      </w:hyperlink>
      <w:r w:rsidRPr="00446C7E">
        <w:t xml:space="preserve"> provides a useful count of the number of newly listed online job advertisements, it understates the total number of new vacancies due to the fact not all vacancies are advertised online. The use of online recruitment methods can also vary by region and industry/occupation. This can make identifying the total number of vacancies for a given occupation challenging.</w:t>
      </w:r>
    </w:p>
    <w:p w14:paraId="67B5D63E" w14:textId="77777777" w:rsidR="00F9166E" w:rsidRDefault="00F9166E" w:rsidP="00F9166E">
      <w:r w:rsidRPr="00446C7E">
        <w:t xml:space="preserve">To address this challenge, JSA has combined JSA IVI data with data from the </w:t>
      </w:r>
      <w:hyperlink r:id="rId15" w:history="1">
        <w:r w:rsidRPr="00F766D5">
          <w:rPr>
            <w:rStyle w:val="Hyperlink"/>
            <w:rFonts w:cs="Arial"/>
            <w:bCs/>
          </w:rPr>
          <w:t>JSA Recruitment Experiences and Outlook Survey</w:t>
        </w:r>
      </w:hyperlink>
      <w:r w:rsidRPr="00446C7E">
        <w:t xml:space="preserve"> (REOS). The JSA REOS is a continuous survey (of at least 1,000 employers each month) that provides a range of insights into employer behaviour, including how recruitment activities are changing over time. This includes surveying employers regarding whether they advertised their vacancies on the online job boards that contribute to the IVI (such as with Seek, CareerOne and/or Workforce Australia)</w:t>
      </w:r>
      <w:r w:rsidRPr="00D31BB7">
        <w:rPr>
          <w:vertAlign w:val="superscript"/>
        </w:rPr>
        <w:footnoteReference w:id="2"/>
      </w:r>
      <w:r w:rsidRPr="00446C7E">
        <w:t xml:space="preserve">. </w:t>
      </w:r>
    </w:p>
    <w:p w14:paraId="0DDCD812" w14:textId="5E93D095" w:rsidR="00F9166E" w:rsidRPr="00446C7E" w:rsidRDefault="00F9166E" w:rsidP="00F9166E">
      <w:pPr>
        <w:rPr>
          <w:b/>
        </w:rPr>
      </w:pPr>
      <w:r w:rsidRPr="00446C7E">
        <w:t>By way of example, according to insights on employer behaviour from the JSA REOS, the proportion of job vacancies advertised on IVI job boards rose from around 3</w:t>
      </w:r>
      <w:r>
        <w:t>9</w:t>
      </w:r>
      <w:r w:rsidRPr="00446C7E">
        <w:t>% in 2016 to approximately 5</w:t>
      </w:r>
      <w:r>
        <w:t>5</w:t>
      </w:r>
      <w:r w:rsidRPr="00446C7E">
        <w:t>% in 202</w:t>
      </w:r>
      <w:r>
        <w:t>4</w:t>
      </w:r>
      <w:r w:rsidRPr="00446C7E">
        <w:t>, reflecting the continued take-up of online job advertising by employers over time. Further, around 6</w:t>
      </w:r>
      <w:r>
        <w:t>1</w:t>
      </w:r>
      <w:r w:rsidRPr="00446C7E">
        <w:t>% of vacancies for Professionals were listed on IVI job boards in 202</w:t>
      </w:r>
      <w:r>
        <w:t>4</w:t>
      </w:r>
      <w:r w:rsidRPr="00446C7E">
        <w:t xml:space="preserve">, compared with just </w:t>
      </w:r>
      <w:r>
        <w:t>38</w:t>
      </w:r>
      <w:r w:rsidRPr="00446C7E">
        <w:t>% for Sales Workers</w:t>
      </w:r>
      <w:r w:rsidRPr="00A857A7">
        <w:rPr>
          <w:vertAlign w:val="superscript"/>
        </w:rPr>
        <w:footnoteReference w:id="3"/>
      </w:r>
      <w:r w:rsidRPr="00446C7E">
        <w:t xml:space="preserve">, demonstrating the variation in employer preferences that can occur when recruiting for different occupations. </w:t>
      </w:r>
    </w:p>
    <w:p w14:paraId="6C59D818" w14:textId="1DDF7273" w:rsidR="00F9166E" w:rsidRDefault="00F9166E" w:rsidP="00F9166E">
      <w:r w:rsidRPr="00387373">
        <w:lastRenderedPageBreak/>
        <w:t>By combining JSA IVI data with JSA REOS data, the new JSA TNV dataset seeks to account for changes in the use of online recruitment methods over time, as well as differences in use between occupations</w:t>
      </w:r>
      <w:r>
        <w:t xml:space="preserve"> (regions)</w:t>
      </w:r>
      <w:r w:rsidRPr="00387373">
        <w:t>.</w:t>
      </w:r>
      <w:r w:rsidRPr="00E63B21">
        <w:t xml:space="preserve"> This approach captures both temporal changes in the use of online job advertising and variations across occupations</w:t>
      </w:r>
      <w:r>
        <w:t xml:space="preserve"> (</w:t>
      </w:r>
      <w:r w:rsidRPr="00E63B21">
        <w:t>regions</w:t>
      </w:r>
      <w:r>
        <w:t>)</w:t>
      </w:r>
      <w:r w:rsidRPr="00E63B21">
        <w:t>.</w:t>
      </w:r>
      <w:r>
        <w:t xml:space="preserve"> </w:t>
      </w:r>
      <w:r w:rsidRPr="00E63B21">
        <w:t>A straightforward adjustment factor is applied to reflect shifts in the proportion of vacancies advertised online, as well as differences in online recruitment usage across occupation</w:t>
      </w:r>
      <w:r>
        <w:t>s (regions)</w:t>
      </w:r>
      <w:r w:rsidRPr="00E63B21">
        <w:t>. To ensure the dataset is robust and suitable for analysis, standard smoothing and interpolation techniques are employed. These methods help mitigate point-to-point volatility present in the source data, enhancing the reliability and interpretability of the TNV series.</w:t>
      </w:r>
    </w:p>
    <w:p w14:paraId="5EB8E389" w14:textId="77777777" w:rsidR="00F9166E" w:rsidRPr="00E63B21" w:rsidRDefault="00F9166E" w:rsidP="00F9166E"/>
    <w:p w14:paraId="4DC3FB57" w14:textId="77777777" w:rsidR="00F9166E" w:rsidRDefault="00AE6E2F" w:rsidP="00F9166E">
      <m:oMathPara>
        <m:oMath>
          <m:sSub>
            <m:sSubPr>
              <m:ctrlPr>
                <w:rPr>
                  <w:rFonts w:ascii="Cambria Math" w:hAnsi="Cambria Math"/>
                </w:rPr>
              </m:ctrlPr>
            </m:sSubPr>
            <m:e>
              <m:r>
                <w:rPr>
                  <w:rFonts w:ascii="Cambria Math" w:hAnsi="Cambria Math"/>
                </w:rPr>
                <m:t>A</m:t>
              </m:r>
            </m:e>
            <m:sub>
              <m:r>
                <w:rPr>
                  <w:rFonts w:ascii="Cambria Math" w:hAnsi="Cambria Math"/>
                </w:rPr>
                <m:t>t</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f>
                    <m:fPr>
                      <m:ctrlPr>
                        <w:rPr>
                          <w:rFonts w:ascii="Cambria Math" w:hAnsi="Cambria Math"/>
                        </w:rPr>
                      </m:ctrlPr>
                    </m:fPr>
                    <m:num>
                      <m:r>
                        <m:rPr>
                          <m:sty m:val="p"/>
                        </m:rPr>
                        <w:rPr>
                          <w:rFonts w:ascii="Cambria Math" w:hAnsi="Cambria Math"/>
                        </w:rPr>
                        <m:t>1</m:t>
                      </m:r>
                    </m:num>
                    <m:den>
                      <m:r>
                        <w:rPr>
                          <w:rFonts w:ascii="Cambria Math" w:hAnsi="Cambria Math"/>
                        </w:rPr>
                        <m:t>k</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t</m:t>
                      </m:r>
                      <m:r>
                        <m:rPr>
                          <m:sty m:val="p"/>
                        </m:rPr>
                        <w:rPr>
                          <w:rFonts w:ascii="Cambria Math" w:hAnsi="Cambria Math"/>
                        </w:rPr>
                        <m:t>+</m:t>
                      </m:r>
                      <m:r>
                        <w:rPr>
                          <w:rFonts w:ascii="Cambria Math" w:hAnsi="Cambria Math"/>
                        </w:rPr>
                        <m:t>k</m:t>
                      </m:r>
                      <m:r>
                        <m:rPr>
                          <m:sty m:val="p"/>
                        </m:rPr>
                        <w:rPr>
                          <w:rFonts w:ascii="Cambria Math" w:hAnsi="Cambria Math"/>
                        </w:rPr>
                        <m:t>-1</m:t>
                      </m:r>
                    </m:sup>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 xml:space="preserve">, </m:t>
                      </m:r>
                      <m:r>
                        <w:rPr>
                          <w:rFonts w:ascii="Cambria Math" w:hAnsi="Cambria Math"/>
                        </w:rPr>
                        <m:t>if</m:t>
                      </m:r>
                      <m:r>
                        <m:rPr>
                          <m:sty m:val="p"/>
                        </m:rPr>
                        <w:rPr>
                          <w:rFonts w:ascii="Cambria Math" w:hAnsi="Cambria Math"/>
                        </w:rPr>
                        <m:t xml:space="preserve"> </m:t>
                      </m:r>
                      <m:r>
                        <w:rPr>
                          <w:rFonts w:ascii="Cambria Math" w:hAnsi="Cambria Math"/>
                        </w:rPr>
                        <m:t>n</m:t>
                      </m:r>
                      <m:r>
                        <m:rPr>
                          <m:sty m:val="p"/>
                        </m:rPr>
                        <w:rPr>
                          <w:rFonts w:ascii="Cambria Math" w:hAnsi="Cambria Math"/>
                        </w:rPr>
                        <m:t>≥100</m:t>
                      </m:r>
                    </m:e>
                  </m:nary>
                </m:e>
                <m:e>
                  <m:f>
                    <m:fPr>
                      <m:ctrlPr>
                        <w:rPr>
                          <w:rFonts w:ascii="Cambria Math" w:hAnsi="Cambria Math"/>
                        </w:rPr>
                      </m:ctrlPr>
                    </m:fPr>
                    <m:num>
                      <m:r>
                        <m:rPr>
                          <m:sty m:val="p"/>
                        </m:rPr>
                        <w:rPr>
                          <w:rFonts w:ascii="Cambria Math" w:hAnsi="Cambria Math"/>
                        </w:rPr>
                        <m:t>1</m:t>
                      </m:r>
                    </m:num>
                    <m:den>
                      <m:r>
                        <w:rPr>
                          <w:rFonts w:ascii="Cambria Math" w:hAnsi="Cambria Math"/>
                        </w:rPr>
                        <m:t>k</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t</m:t>
                      </m:r>
                    </m:sub>
                    <m:sup>
                      <m:r>
                        <w:rPr>
                          <w:rFonts w:ascii="Cambria Math" w:hAnsi="Cambria Math"/>
                        </w:rPr>
                        <m:t>t</m:t>
                      </m:r>
                      <m:r>
                        <m:rPr>
                          <m:sty m:val="p"/>
                        </m:rPr>
                        <w:rPr>
                          <w:rFonts w:ascii="Cambria Math" w:hAnsi="Cambria Math"/>
                        </w:rPr>
                        <m:t>+</m:t>
                      </m:r>
                      <m:r>
                        <w:rPr>
                          <w:rFonts w:ascii="Cambria Math" w:hAnsi="Cambria Math"/>
                        </w:rPr>
                        <m:t>k</m:t>
                      </m:r>
                      <m:r>
                        <m:rPr>
                          <m:sty m:val="p"/>
                        </m:rPr>
                        <w:rPr>
                          <w:rFonts w:ascii="Cambria Math" w:hAnsi="Cambria Math"/>
                        </w:rPr>
                        <m:t>-1</m:t>
                      </m:r>
                    </m:sup>
                    <m:e>
                      <m:sSub>
                        <m:sSubPr>
                          <m:ctrlPr>
                            <w:rPr>
                              <w:rFonts w:ascii="Cambria Math" w:hAnsi="Cambria Math"/>
                            </w:rPr>
                          </m:ctrlPr>
                        </m:sSubPr>
                        <m:e>
                          <m:r>
                            <w:rPr>
                              <w:rFonts w:ascii="Cambria Math" w:hAnsi="Cambria Math"/>
                            </w:rPr>
                            <m:t>H</m:t>
                          </m:r>
                        </m:e>
                        <m:sub>
                          <m:r>
                            <w:rPr>
                              <w:rFonts w:ascii="Cambria Math" w:hAnsi="Cambria Math"/>
                            </w:rPr>
                            <m:t>i</m:t>
                          </m:r>
                        </m:sub>
                      </m:sSub>
                      <m:r>
                        <m:rPr>
                          <m:sty m:val="p"/>
                        </m:rPr>
                        <w:rPr>
                          <w:rFonts w:ascii="Cambria Math" w:hAnsi="Cambria Math"/>
                        </w:rPr>
                        <m:t xml:space="preserve">, </m:t>
                      </m:r>
                      <m:r>
                        <w:rPr>
                          <w:rFonts w:ascii="Cambria Math" w:hAnsi="Cambria Math"/>
                        </w:rPr>
                        <m:t>if</m:t>
                      </m:r>
                      <m:r>
                        <m:rPr>
                          <m:sty m:val="p"/>
                        </m:rPr>
                        <w:rPr>
                          <w:rFonts w:ascii="Cambria Math" w:hAnsi="Cambria Math"/>
                        </w:rPr>
                        <m:t xml:space="preserve"> </m:t>
                      </m:r>
                      <m:r>
                        <w:rPr>
                          <w:rFonts w:ascii="Cambria Math" w:hAnsi="Cambria Math"/>
                        </w:rPr>
                        <m:t>n</m:t>
                      </m:r>
                      <m:r>
                        <m:rPr>
                          <m:sty m:val="p"/>
                        </m:rPr>
                        <w:rPr>
                          <w:rFonts w:ascii="Cambria Math" w:hAnsi="Cambria Math"/>
                        </w:rPr>
                        <m:t>&lt;100</m:t>
                      </m:r>
                    </m:e>
                  </m:nary>
                </m:e>
              </m:eqArr>
            </m:e>
          </m:d>
        </m:oMath>
      </m:oMathPara>
    </w:p>
    <w:p w14:paraId="728E24B9" w14:textId="77777777" w:rsidR="00F9166E" w:rsidRPr="00031B14" w:rsidRDefault="00F9166E" w:rsidP="00F9166E">
      <w:r w:rsidRPr="00031B14">
        <w:t>Where:</w:t>
      </w:r>
    </w:p>
    <w:p w14:paraId="5223D188" w14:textId="77777777" w:rsidR="00F9166E" w:rsidRPr="00031B14" w:rsidRDefault="00F9166E" w:rsidP="00F9166E">
      <m:oMath>
        <m:r>
          <w:rPr>
            <w:rFonts w:ascii="Cambria Math" w:hAnsi="Cambria Math"/>
          </w:rPr>
          <m:t>k</m:t>
        </m:r>
      </m:oMath>
      <w:r>
        <w:rPr>
          <w:rFonts w:eastAsiaTheme="minorEastAsia"/>
        </w:rPr>
        <w:t xml:space="preserve"> </w:t>
      </w:r>
      <w:r w:rsidRPr="00031B14">
        <w:t>is the window size</w:t>
      </w:r>
    </w:p>
    <w:p w14:paraId="432A1FDA" w14:textId="77777777" w:rsidR="00F9166E" w:rsidRPr="00031B14" w:rsidRDefault="00AE6E2F" w:rsidP="00F9166E">
      <m:oMath>
        <m:sSub>
          <m:sSubPr>
            <m:ctrlPr>
              <w:rPr>
                <w:rFonts w:ascii="Cambria Math" w:hAnsi="Cambria Math"/>
                <w:i/>
              </w:rPr>
            </m:ctrlPr>
          </m:sSubPr>
          <m:e>
            <m:r>
              <w:rPr>
                <w:rFonts w:ascii="Cambria Math" w:hAnsi="Cambria Math"/>
              </w:rPr>
              <m:t>x</m:t>
            </m:r>
          </m:e>
          <m:sub>
            <m:r>
              <w:rPr>
                <w:rFonts w:ascii="Cambria Math" w:hAnsi="Cambria Math"/>
              </w:rPr>
              <m:t>i</m:t>
            </m:r>
          </m:sub>
        </m:sSub>
      </m:oMath>
      <w:r w:rsidR="00F9166E" w:rsidRPr="00031B14">
        <w:t xml:space="preserve"> is the original mean series</w:t>
      </w:r>
    </w:p>
    <w:p w14:paraId="4214D90B" w14:textId="77777777" w:rsidR="00F9166E" w:rsidRDefault="00AE6E2F" w:rsidP="00F9166E">
      <m:oMath>
        <m:sSub>
          <m:sSubPr>
            <m:ctrlPr>
              <w:rPr>
                <w:rFonts w:ascii="Cambria Math" w:hAnsi="Cambria Math"/>
                <w:i/>
              </w:rPr>
            </m:ctrlPr>
          </m:sSubPr>
          <m:e>
            <m:r>
              <w:rPr>
                <w:rFonts w:ascii="Cambria Math" w:hAnsi="Cambria Math"/>
              </w:rPr>
              <m:t>H</m:t>
            </m:r>
          </m:e>
          <m:sub>
            <m:r>
              <w:rPr>
                <w:rFonts w:ascii="Cambria Math" w:hAnsi="Cambria Math"/>
              </w:rPr>
              <m:t>i</m:t>
            </m:r>
          </m:sub>
        </m:sSub>
      </m:oMath>
      <w:r w:rsidR="00F9166E" w:rsidRPr="00031B14">
        <w:t xml:space="preserve">  is the aggregated mean series used when the sample size is insufficient</w:t>
      </w:r>
    </w:p>
    <w:p w14:paraId="34D75596" w14:textId="77777777" w:rsidR="00F9166E" w:rsidRDefault="00F9166E" w:rsidP="00F9166E"/>
    <w:p w14:paraId="14F249CF" w14:textId="475A0A05" w:rsidR="00F9166E" w:rsidRPr="00F9166E" w:rsidRDefault="00F9166E" w:rsidP="00F9166E">
      <w:r>
        <w:t xml:space="preserve">The adjustment factor </w:t>
      </w:r>
      <m:oMath>
        <m:sSub>
          <m:sSubPr>
            <m:ctrlPr>
              <w:rPr>
                <w:rFonts w:ascii="Cambria Math" w:hAnsi="Cambria Math"/>
                <w:i/>
              </w:rPr>
            </m:ctrlPr>
          </m:sSubPr>
          <m:e>
            <m:r>
              <w:rPr>
                <w:rFonts w:ascii="Cambria Math" w:hAnsi="Cambria Math"/>
              </w:rPr>
              <m:t>A</m:t>
            </m:r>
          </m:e>
          <m:sub>
            <m:r>
              <w:rPr>
                <w:rFonts w:ascii="Cambria Math" w:hAnsi="Cambria Math"/>
              </w:rPr>
              <m:t>t</m:t>
            </m:r>
          </m:sub>
        </m:sSub>
      </m:oMath>
      <w:r>
        <w:t xml:space="preserve"> </w:t>
      </w:r>
      <w:r w:rsidRPr="00387373">
        <w:t>creates a new total vacancy</w:t>
      </w:r>
      <w:r>
        <w:t xml:space="preserve"> (TNV)</w:t>
      </w:r>
      <w:r w:rsidRPr="00387373">
        <w:t xml:space="preserve"> measure by adjusting JSA IVI data according to the proportion of vacancies advertised online using the</w:t>
      </w:r>
      <w:r w:rsidRPr="00446C7E">
        <w:t xml:space="preserve"> JSA REOS data</w:t>
      </w:r>
      <w:r>
        <w:t xml:space="preserve"> </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it</m:t>
                </m:r>
              </m:sub>
            </m:sSub>
          </m:num>
          <m:den>
            <m:sSub>
              <m:sSubPr>
                <m:ctrlPr>
                  <w:rPr>
                    <w:rFonts w:ascii="Cambria Math" w:hAnsi="Cambria Math"/>
                    <w:i/>
                  </w:rPr>
                </m:ctrlPr>
              </m:sSubPr>
              <m:e>
                <m:r>
                  <w:rPr>
                    <w:rFonts w:ascii="Cambria Math" w:hAnsi="Cambria Math"/>
                  </w:rPr>
                  <m:t>A</m:t>
                </m:r>
              </m:e>
              <m:sub>
                <m:r>
                  <w:rPr>
                    <w:rFonts w:ascii="Cambria Math" w:hAnsi="Cambria Math"/>
                  </w:rPr>
                  <m:t>t</m:t>
                </m:r>
              </m:sub>
            </m:sSub>
          </m:den>
        </m:f>
      </m:oMath>
      <w:r>
        <w:rPr>
          <w:rFonts w:eastAsiaTheme="minorEastAsia"/>
        </w:rPr>
        <w:t xml:space="preserve"> where </w:t>
      </w:r>
      <m:oMath>
        <m:r>
          <w:rPr>
            <w:rFonts w:ascii="Cambria Math" w:hAnsi="Cambria Math"/>
          </w:rPr>
          <m:t>v</m:t>
        </m:r>
      </m:oMath>
      <w:r>
        <w:rPr>
          <w:rFonts w:eastAsiaTheme="minorEastAsia"/>
        </w:rPr>
        <w:t xml:space="preserve"> is the JSA IVI series. </w:t>
      </w:r>
      <w:r w:rsidRPr="00446C7E">
        <w:t xml:space="preserve">In simple terms, and by way of example, suppose that data from the JSA IVI shows that there are approximately 100 online job advertisements for a certain occupation </w:t>
      </w:r>
      <w:proofErr w:type="gramStart"/>
      <w:r w:rsidRPr="00446C7E">
        <w:t>in a given</w:t>
      </w:r>
      <w:proofErr w:type="gramEnd"/>
      <w:r w:rsidRPr="00446C7E">
        <w:t xml:space="preserve"> quarter. Suppose also that insights on employer behaviour from the JSA REOS show that for this occupation, around 60 per cent of all vacancies are advertised by employers on an IVI online job board, 40 per cent of vacancies managed through other recruitment methods. In simple terms, we can estimate the total number of vacancies in the labour market for this occupation as 100 / 0.6 = 167 total vacancies. This simple example demonstrates the type of approach taken to create the TNV.</w:t>
      </w:r>
      <w:r>
        <w:t xml:space="preserve"> </w:t>
      </w:r>
    </w:p>
    <w:p w14:paraId="2001F71D" w14:textId="77777777" w:rsidR="00446C7E" w:rsidRDefault="00446C7E" w:rsidP="00446C7E">
      <w:pPr>
        <w:sectPr w:rsidR="00446C7E" w:rsidSect="00D238E3">
          <w:headerReference w:type="default" r:id="rId16"/>
          <w:headerReference w:type="first" r:id="rId17"/>
          <w:footerReference w:type="first" r:id="rId18"/>
          <w:type w:val="continuous"/>
          <w:pgSz w:w="11906" w:h="16838"/>
          <w:pgMar w:top="1276" w:right="1440" w:bottom="1134" w:left="1440" w:header="0" w:footer="539" w:gutter="0"/>
          <w:pgNumType w:start="0"/>
          <w:cols w:space="708"/>
          <w:titlePg/>
          <w:docGrid w:linePitch="360"/>
        </w:sectPr>
      </w:pPr>
    </w:p>
    <w:p w14:paraId="5AD7971E" w14:textId="39BBF2FA" w:rsidR="00446C7E" w:rsidRDefault="00446C7E" w:rsidP="00A857A7">
      <w:pPr>
        <w:pStyle w:val="Heading1"/>
      </w:pPr>
      <w:r>
        <w:lastRenderedPageBreak/>
        <w:t xml:space="preserve">Frequently Asked </w:t>
      </w:r>
      <w:r w:rsidRPr="00FA7E74">
        <w:t>Q</w:t>
      </w:r>
      <w:r>
        <w:t>uestions</w:t>
      </w:r>
    </w:p>
    <w:p w14:paraId="6F49879C" w14:textId="77777777" w:rsidR="00446C7E" w:rsidRPr="00EB68D6" w:rsidRDefault="00446C7E" w:rsidP="00212536">
      <w:pPr>
        <w:pStyle w:val="Heading2"/>
      </w:pPr>
      <w:r w:rsidRPr="00EB68D6">
        <w:t xml:space="preserve">What led to JSA developing the </w:t>
      </w:r>
      <w:r>
        <w:t>TNV</w:t>
      </w:r>
      <w:r w:rsidRPr="00EB68D6">
        <w:t>?</w:t>
      </w:r>
    </w:p>
    <w:p w14:paraId="6A5D02DF" w14:textId="6CF2F102" w:rsidR="00446C7E" w:rsidRPr="00446C7E" w:rsidRDefault="00446C7E" w:rsidP="00875ABD">
      <w:pPr>
        <w:rPr>
          <w:b/>
        </w:rPr>
      </w:pPr>
      <w:r w:rsidRPr="00446C7E">
        <w:t>JSA’s role includes providing advice on the current, emerging and future skills needs of the economy. As part of this, JSA delivers a range of products that help to provide evidence of current trends in the labour market. The TNV complements these existing sources of labour market information by providing a new estimate of the total number of vacancies arising in the labour market each a quarter. The TNV was developed as part of a related modelling project undertaken by JSA.</w:t>
      </w:r>
    </w:p>
    <w:p w14:paraId="08CD923F" w14:textId="77777777" w:rsidR="00446C7E" w:rsidRPr="00EB68D6" w:rsidRDefault="00446C7E" w:rsidP="00212536">
      <w:pPr>
        <w:pStyle w:val="Heading2"/>
      </w:pPr>
      <w:r w:rsidRPr="00EB68D6">
        <w:t xml:space="preserve">Does the </w:t>
      </w:r>
      <w:r>
        <w:t>TNV</w:t>
      </w:r>
      <w:r w:rsidRPr="00EB68D6">
        <w:t xml:space="preserve"> represent total labour demand?</w:t>
      </w:r>
    </w:p>
    <w:p w14:paraId="51701EED" w14:textId="77777777" w:rsidR="00446C7E" w:rsidRPr="00446C7E" w:rsidRDefault="00446C7E" w:rsidP="00875ABD">
      <w:pPr>
        <w:rPr>
          <w:b/>
        </w:rPr>
      </w:pPr>
      <w:r w:rsidRPr="00446C7E">
        <w:t xml:space="preserve">The TNV may help inform estimations of labour demand, noting that employment, wages, hours </w:t>
      </w:r>
      <w:proofErr w:type="gramStart"/>
      <w:r w:rsidRPr="00446C7E">
        <w:t>worked</w:t>
      </w:r>
      <w:proofErr w:type="gramEnd"/>
      <w:r w:rsidRPr="00446C7E">
        <w:t xml:space="preserve"> and labour productivity (among other factors) should also be considered when analysing labour demand. Seeking to gain a better understanding of the total level of vacancies in the labour market, and the resultant implications for estimating labour demand, was nonetheless a key factor that led to JSA’s development of the TNV.</w:t>
      </w:r>
    </w:p>
    <w:p w14:paraId="44DD676B" w14:textId="77777777" w:rsidR="00446C7E" w:rsidRPr="00446C7E" w:rsidRDefault="00446C7E" w:rsidP="00212536">
      <w:pPr>
        <w:pStyle w:val="Heading2"/>
      </w:pPr>
      <w:r w:rsidRPr="00EB68D6">
        <w:t xml:space="preserve">How does the JSA </w:t>
      </w:r>
      <w:r>
        <w:t>TNV</w:t>
      </w:r>
      <w:r w:rsidRPr="00EB68D6">
        <w:t xml:space="preserve"> differ</w:t>
      </w:r>
      <w:r>
        <w:t xml:space="preserve"> from the JSA Internet </w:t>
      </w:r>
      <w:r w:rsidRPr="00446C7E">
        <w:t>Vacancy Index and ABS Job Vacancy Series?</w:t>
      </w:r>
    </w:p>
    <w:p w14:paraId="7CD541A5" w14:textId="77777777" w:rsidR="00446C7E" w:rsidRDefault="00446C7E" w:rsidP="00875ABD">
      <w:pPr>
        <w:rPr>
          <w:b/>
        </w:rPr>
      </w:pPr>
      <w:r w:rsidRPr="00446C7E">
        <w:t>Table 1 below provides an overview of the key differences between the JSA TNV, JSA IVI and ABS JVS. This includes differences in the scope, frequency, disaggregation and length of the time series.</w:t>
      </w:r>
    </w:p>
    <w:p w14:paraId="54F0E257" w14:textId="77777777" w:rsidR="00A857A7" w:rsidRPr="00D31BB7" w:rsidRDefault="00A857A7" w:rsidP="00875ABD">
      <w:pPr>
        <w:pStyle w:val="Caption"/>
      </w:pPr>
      <w:r w:rsidRPr="00D31BB7">
        <w:t xml:space="preserve">Table 1: Understanding the differences in various vacancy estimates </w:t>
      </w:r>
    </w:p>
    <w:tbl>
      <w:tblPr>
        <w:tblStyle w:val="JSATable1"/>
        <w:tblW w:w="8845" w:type="dxa"/>
        <w:tblLayout w:type="fixed"/>
        <w:tblLook w:val="04A0" w:firstRow="1" w:lastRow="0" w:firstColumn="1" w:lastColumn="0" w:noHBand="0" w:noVBand="1"/>
      </w:tblPr>
      <w:tblGrid>
        <w:gridCol w:w="1397"/>
        <w:gridCol w:w="2497"/>
        <w:gridCol w:w="1351"/>
        <w:gridCol w:w="992"/>
        <w:gridCol w:w="1814"/>
        <w:gridCol w:w="794"/>
      </w:tblGrid>
      <w:tr w:rsidR="00A857A7" w14:paraId="121ECC67" w14:textId="77777777" w:rsidTr="004E1317">
        <w:trPr>
          <w:cnfStyle w:val="100000000000" w:firstRow="1" w:lastRow="0" w:firstColumn="0" w:lastColumn="0" w:oddVBand="0" w:evenVBand="0" w:oddHBand="0" w:evenHBand="0" w:firstRowFirstColumn="0" w:firstRowLastColumn="0" w:lastRowFirstColumn="0" w:lastRowLastColumn="0"/>
        </w:trPr>
        <w:tc>
          <w:tcPr>
            <w:tcW w:w="1397" w:type="dxa"/>
          </w:tcPr>
          <w:p w14:paraId="70EAF351" w14:textId="77777777" w:rsidR="00A857A7" w:rsidRPr="00D31BB7" w:rsidRDefault="00A857A7" w:rsidP="005216F1">
            <w:pPr>
              <w:pStyle w:val="NormalWeb"/>
              <w:keepNext/>
              <w:spacing w:before="0" w:beforeAutospacing="0" w:after="0" w:afterAutospacing="0" w:line="276" w:lineRule="auto"/>
              <w:rPr>
                <w:rFonts w:ascii="Arial" w:hAnsi="Arial" w:cs="Arial"/>
                <w:b/>
                <w:bCs/>
                <w:color w:val="FFFFFF" w:themeColor="background1"/>
                <w:sz w:val="22"/>
                <w:szCs w:val="22"/>
              </w:rPr>
            </w:pPr>
            <w:r w:rsidRPr="00D31BB7">
              <w:rPr>
                <w:rFonts w:ascii="Arial" w:hAnsi="Arial" w:cs="Arial"/>
                <w:b/>
                <w:bCs/>
                <w:color w:val="FFFFFF" w:themeColor="background1"/>
                <w:sz w:val="22"/>
                <w:szCs w:val="22"/>
              </w:rPr>
              <w:t>Vacancy series</w:t>
            </w:r>
          </w:p>
        </w:tc>
        <w:tc>
          <w:tcPr>
            <w:tcW w:w="2497" w:type="dxa"/>
          </w:tcPr>
          <w:p w14:paraId="00855E1F" w14:textId="77777777" w:rsidR="00A857A7" w:rsidRPr="00D31BB7" w:rsidRDefault="00A857A7" w:rsidP="005216F1">
            <w:pPr>
              <w:pStyle w:val="NormalWeb"/>
              <w:spacing w:before="0" w:beforeAutospacing="0" w:after="0" w:afterAutospacing="0" w:line="276" w:lineRule="auto"/>
              <w:rPr>
                <w:rFonts w:ascii="Arial" w:hAnsi="Arial" w:cs="Arial"/>
                <w:b/>
                <w:bCs/>
                <w:color w:val="FFFFFF" w:themeColor="background1"/>
                <w:sz w:val="22"/>
                <w:szCs w:val="22"/>
              </w:rPr>
            </w:pPr>
            <w:r w:rsidRPr="00D31BB7">
              <w:rPr>
                <w:rFonts w:ascii="Arial" w:hAnsi="Arial" w:cs="Arial"/>
                <w:b/>
                <w:bCs/>
                <w:color w:val="FFFFFF" w:themeColor="background1"/>
                <w:sz w:val="22"/>
                <w:szCs w:val="22"/>
              </w:rPr>
              <w:t>Description</w:t>
            </w:r>
          </w:p>
        </w:tc>
        <w:tc>
          <w:tcPr>
            <w:tcW w:w="1351" w:type="dxa"/>
          </w:tcPr>
          <w:p w14:paraId="177869C3" w14:textId="77777777" w:rsidR="00A857A7" w:rsidRPr="00D31BB7" w:rsidRDefault="00A857A7" w:rsidP="005216F1">
            <w:pPr>
              <w:pStyle w:val="NormalWeb"/>
              <w:spacing w:before="0" w:beforeAutospacing="0" w:after="0" w:afterAutospacing="0" w:line="276" w:lineRule="auto"/>
              <w:rPr>
                <w:rFonts w:ascii="Arial" w:hAnsi="Arial" w:cs="Arial"/>
                <w:b/>
                <w:bCs/>
                <w:color w:val="FFFFFF" w:themeColor="background1"/>
                <w:sz w:val="22"/>
                <w:szCs w:val="22"/>
              </w:rPr>
            </w:pPr>
            <w:r w:rsidRPr="00D31BB7">
              <w:rPr>
                <w:rFonts w:ascii="Arial" w:hAnsi="Arial" w:cs="Arial"/>
                <w:b/>
                <w:bCs/>
                <w:color w:val="FFFFFF" w:themeColor="background1"/>
                <w:sz w:val="22"/>
                <w:szCs w:val="22"/>
              </w:rPr>
              <w:t>Source(s)</w:t>
            </w:r>
          </w:p>
        </w:tc>
        <w:tc>
          <w:tcPr>
            <w:tcW w:w="992" w:type="dxa"/>
          </w:tcPr>
          <w:p w14:paraId="017E0E8C" w14:textId="77777777" w:rsidR="00A857A7" w:rsidRPr="00D31BB7" w:rsidRDefault="00A857A7" w:rsidP="005216F1">
            <w:pPr>
              <w:pStyle w:val="NormalWeb"/>
              <w:spacing w:before="0" w:beforeAutospacing="0" w:after="0" w:afterAutospacing="0" w:line="276" w:lineRule="auto"/>
              <w:rPr>
                <w:rFonts w:ascii="Arial" w:hAnsi="Arial" w:cs="Arial"/>
                <w:b/>
                <w:bCs/>
                <w:color w:val="FFFFFF" w:themeColor="background1"/>
                <w:sz w:val="22"/>
                <w:szCs w:val="22"/>
              </w:rPr>
            </w:pPr>
            <w:r w:rsidRPr="00D31BB7">
              <w:rPr>
                <w:rFonts w:ascii="Arial" w:hAnsi="Arial" w:cs="Arial"/>
                <w:b/>
                <w:bCs/>
                <w:color w:val="FFFFFF" w:themeColor="background1"/>
                <w:sz w:val="22"/>
                <w:szCs w:val="22"/>
              </w:rPr>
              <w:t>Freq.</w:t>
            </w:r>
          </w:p>
        </w:tc>
        <w:tc>
          <w:tcPr>
            <w:tcW w:w="1814" w:type="dxa"/>
          </w:tcPr>
          <w:p w14:paraId="5C00D262" w14:textId="77777777" w:rsidR="00A857A7" w:rsidRPr="00D31BB7" w:rsidRDefault="00A857A7" w:rsidP="005216F1">
            <w:pPr>
              <w:pStyle w:val="NormalWeb"/>
              <w:spacing w:before="0" w:beforeAutospacing="0" w:after="0" w:afterAutospacing="0" w:line="276" w:lineRule="auto"/>
              <w:rPr>
                <w:rFonts w:ascii="Arial" w:hAnsi="Arial" w:cs="Arial"/>
                <w:b/>
                <w:bCs/>
                <w:color w:val="FFFFFF" w:themeColor="background1"/>
                <w:sz w:val="22"/>
                <w:szCs w:val="22"/>
              </w:rPr>
            </w:pPr>
            <w:r w:rsidRPr="00D31BB7">
              <w:rPr>
                <w:rFonts w:ascii="Arial" w:hAnsi="Arial" w:cs="Arial"/>
                <w:b/>
                <w:bCs/>
                <w:color w:val="FFFFFF" w:themeColor="background1"/>
                <w:sz w:val="22"/>
                <w:szCs w:val="22"/>
              </w:rPr>
              <w:t>Components</w:t>
            </w:r>
          </w:p>
        </w:tc>
        <w:tc>
          <w:tcPr>
            <w:tcW w:w="794" w:type="dxa"/>
          </w:tcPr>
          <w:p w14:paraId="2693E0AB" w14:textId="77777777" w:rsidR="00A857A7" w:rsidRPr="00D31BB7" w:rsidRDefault="00A857A7" w:rsidP="005216F1">
            <w:pPr>
              <w:pStyle w:val="NormalWeb"/>
              <w:spacing w:before="0" w:beforeAutospacing="0" w:after="0" w:afterAutospacing="0" w:line="276" w:lineRule="auto"/>
              <w:rPr>
                <w:rFonts w:ascii="Arial" w:hAnsi="Arial" w:cs="Arial"/>
                <w:b/>
                <w:bCs/>
                <w:color w:val="FFFFFF" w:themeColor="background1"/>
                <w:sz w:val="22"/>
                <w:szCs w:val="22"/>
              </w:rPr>
            </w:pPr>
            <w:r w:rsidRPr="00D31BB7">
              <w:rPr>
                <w:rFonts w:ascii="Arial" w:hAnsi="Arial" w:cs="Arial"/>
                <w:b/>
                <w:bCs/>
                <w:color w:val="FFFFFF" w:themeColor="background1"/>
                <w:sz w:val="22"/>
                <w:szCs w:val="22"/>
              </w:rPr>
              <w:t>Start</w:t>
            </w:r>
          </w:p>
        </w:tc>
      </w:tr>
      <w:tr w:rsidR="004E1317" w14:paraId="2D61BB3C" w14:textId="77777777" w:rsidTr="004E1317">
        <w:tc>
          <w:tcPr>
            <w:tcW w:w="1397" w:type="dxa"/>
            <w:vMerge w:val="restart"/>
            <w:shd w:val="clear" w:color="auto" w:fill="F2F2F2" w:themeFill="background1" w:themeFillShade="F2"/>
          </w:tcPr>
          <w:p w14:paraId="17CA3720" w14:textId="77777777" w:rsidR="002936DE" w:rsidRPr="00D31BB7" w:rsidRDefault="002936DE" w:rsidP="00F83ADC">
            <w:pPr>
              <w:pStyle w:val="NormalWeb"/>
              <w:spacing w:before="0" w:beforeAutospacing="0" w:after="0" w:afterAutospacing="0" w:line="276" w:lineRule="auto"/>
              <w:rPr>
                <w:rFonts w:ascii="Arial" w:hAnsi="Arial" w:cs="Arial"/>
                <w:b/>
                <w:bCs/>
                <w:color w:val="101929"/>
                <w:sz w:val="22"/>
                <w:szCs w:val="22"/>
              </w:rPr>
            </w:pPr>
            <w:r w:rsidRPr="00D31BB7">
              <w:rPr>
                <w:rFonts w:ascii="Arial" w:hAnsi="Arial" w:cs="Arial"/>
                <w:b/>
                <w:bCs/>
                <w:color w:val="101929"/>
                <w:sz w:val="22"/>
                <w:szCs w:val="22"/>
              </w:rPr>
              <w:t xml:space="preserve">JSA TNV </w:t>
            </w:r>
          </w:p>
        </w:tc>
        <w:tc>
          <w:tcPr>
            <w:tcW w:w="2497" w:type="dxa"/>
            <w:vMerge w:val="restart"/>
            <w:shd w:val="clear" w:color="auto" w:fill="F2F2F2" w:themeFill="background1" w:themeFillShade="F2"/>
          </w:tcPr>
          <w:p w14:paraId="43B18424" w14:textId="77777777" w:rsidR="002936DE" w:rsidRPr="00D31BB7" w:rsidRDefault="002936DE" w:rsidP="00F83ADC">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 xml:space="preserve">Modelled estimate of </w:t>
            </w:r>
            <w:r w:rsidRPr="00D31BB7">
              <w:rPr>
                <w:rFonts w:ascii="Arial" w:hAnsi="Arial" w:cs="Arial"/>
                <w:b/>
                <w:bCs/>
                <w:color w:val="101929"/>
                <w:sz w:val="22"/>
                <w:szCs w:val="22"/>
              </w:rPr>
              <w:t>total new job vacancies</w:t>
            </w:r>
            <w:r w:rsidRPr="00D31BB7">
              <w:rPr>
                <w:rFonts w:ascii="Arial" w:hAnsi="Arial" w:cs="Arial"/>
                <w:color w:val="101929"/>
                <w:sz w:val="22"/>
                <w:szCs w:val="22"/>
              </w:rPr>
              <w:t xml:space="preserve"> that arose during the quarter</w:t>
            </w:r>
          </w:p>
        </w:tc>
        <w:tc>
          <w:tcPr>
            <w:tcW w:w="1351" w:type="dxa"/>
            <w:vMerge w:val="restart"/>
            <w:shd w:val="clear" w:color="auto" w:fill="F2F2F2" w:themeFill="background1" w:themeFillShade="F2"/>
          </w:tcPr>
          <w:p w14:paraId="0C2737CA" w14:textId="77777777" w:rsidR="002936DE" w:rsidRPr="00D31BB7" w:rsidRDefault="002936DE" w:rsidP="00F83ADC">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Online job boards data and employer surveys</w:t>
            </w:r>
          </w:p>
        </w:tc>
        <w:tc>
          <w:tcPr>
            <w:tcW w:w="992" w:type="dxa"/>
            <w:vMerge w:val="restart"/>
            <w:shd w:val="clear" w:color="auto" w:fill="F2F2F2" w:themeFill="background1" w:themeFillShade="F2"/>
          </w:tcPr>
          <w:p w14:paraId="57940AA3" w14:textId="77777777" w:rsidR="002936DE" w:rsidRPr="00D31BB7" w:rsidRDefault="002936DE" w:rsidP="00F83ADC">
            <w:pPr>
              <w:pStyle w:val="NormalWeb"/>
              <w:spacing w:before="0" w:beforeAutospacing="0" w:after="0" w:afterAutospacing="0" w:line="276" w:lineRule="auto"/>
              <w:rPr>
                <w:rFonts w:ascii="Arial" w:hAnsi="Arial" w:cs="Arial"/>
                <w:color w:val="101929"/>
                <w:sz w:val="22"/>
                <w:szCs w:val="22"/>
              </w:rPr>
            </w:pPr>
            <w:proofErr w:type="spellStart"/>
            <w:r w:rsidRPr="00D31BB7">
              <w:rPr>
                <w:rFonts w:ascii="Arial" w:hAnsi="Arial" w:cs="Arial"/>
                <w:color w:val="101929"/>
                <w:sz w:val="22"/>
                <w:szCs w:val="22"/>
              </w:rPr>
              <w:t>Qtrly</w:t>
            </w:r>
            <w:proofErr w:type="spellEnd"/>
          </w:p>
        </w:tc>
        <w:tc>
          <w:tcPr>
            <w:tcW w:w="1814" w:type="dxa"/>
            <w:shd w:val="clear" w:color="auto" w:fill="F2F2F2" w:themeFill="background1" w:themeFillShade="F2"/>
          </w:tcPr>
          <w:p w14:paraId="6568E947" w14:textId="77777777" w:rsidR="002936DE" w:rsidRPr="00D31BB7" w:rsidRDefault="002936DE" w:rsidP="00F83ADC">
            <w:pPr>
              <w:pStyle w:val="ListBullet"/>
              <w:spacing w:line="276" w:lineRule="auto"/>
            </w:pPr>
            <w:r w:rsidRPr="00D31BB7">
              <w:t>National</w:t>
            </w:r>
          </w:p>
          <w:p w14:paraId="5B881C89" w14:textId="613958DE" w:rsidR="002936DE" w:rsidRPr="00D31BB7" w:rsidRDefault="002936DE" w:rsidP="002936DE">
            <w:pPr>
              <w:pStyle w:val="ListBullet"/>
              <w:spacing w:line="276" w:lineRule="auto"/>
            </w:pPr>
            <w:r w:rsidRPr="00D31BB7">
              <w:t>2-digit Occupation</w:t>
            </w:r>
          </w:p>
        </w:tc>
        <w:tc>
          <w:tcPr>
            <w:tcW w:w="794" w:type="dxa"/>
            <w:shd w:val="clear" w:color="auto" w:fill="F2F2F2" w:themeFill="background1" w:themeFillShade="F2"/>
          </w:tcPr>
          <w:p w14:paraId="0FBBA97C" w14:textId="77777777" w:rsidR="002936DE" w:rsidRPr="00D31BB7" w:rsidRDefault="002936DE" w:rsidP="00F83ADC">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2016</w:t>
            </w:r>
          </w:p>
        </w:tc>
      </w:tr>
      <w:tr w:rsidR="004E1317" w14:paraId="5B4D71D7" w14:textId="77777777" w:rsidTr="004E1317">
        <w:trPr>
          <w:cnfStyle w:val="000000010000" w:firstRow="0" w:lastRow="0" w:firstColumn="0" w:lastColumn="0" w:oddVBand="0" w:evenVBand="0" w:oddHBand="0" w:evenHBand="1" w:firstRowFirstColumn="0" w:firstRowLastColumn="0" w:lastRowFirstColumn="0" w:lastRowLastColumn="0"/>
        </w:trPr>
        <w:tc>
          <w:tcPr>
            <w:tcW w:w="1397" w:type="dxa"/>
            <w:vMerge/>
            <w:shd w:val="clear" w:color="auto" w:fill="F2F2F2" w:themeFill="background1" w:themeFillShade="F2"/>
          </w:tcPr>
          <w:p w14:paraId="1C00B088" w14:textId="77777777" w:rsidR="002936DE" w:rsidRPr="00D31BB7" w:rsidRDefault="002936DE" w:rsidP="00F83ADC">
            <w:pPr>
              <w:pStyle w:val="NormalWeb"/>
              <w:spacing w:before="0" w:beforeAutospacing="0" w:after="0" w:afterAutospacing="0" w:line="276" w:lineRule="auto"/>
              <w:rPr>
                <w:rFonts w:ascii="Arial" w:hAnsi="Arial" w:cs="Arial"/>
                <w:b/>
                <w:bCs/>
                <w:color w:val="101929"/>
                <w:sz w:val="22"/>
                <w:szCs w:val="22"/>
              </w:rPr>
            </w:pPr>
          </w:p>
        </w:tc>
        <w:tc>
          <w:tcPr>
            <w:tcW w:w="2497" w:type="dxa"/>
            <w:vMerge/>
            <w:shd w:val="clear" w:color="auto" w:fill="F2F2F2" w:themeFill="background1" w:themeFillShade="F2"/>
          </w:tcPr>
          <w:p w14:paraId="61811211" w14:textId="77777777" w:rsidR="002936DE" w:rsidRPr="00D31BB7" w:rsidRDefault="002936DE" w:rsidP="00F83ADC">
            <w:pPr>
              <w:pStyle w:val="NormalWeb"/>
              <w:spacing w:before="0" w:beforeAutospacing="0" w:after="0" w:afterAutospacing="0" w:line="276" w:lineRule="auto"/>
              <w:rPr>
                <w:rFonts w:ascii="Arial" w:hAnsi="Arial" w:cs="Arial"/>
                <w:color w:val="101929"/>
                <w:sz w:val="22"/>
                <w:szCs w:val="22"/>
              </w:rPr>
            </w:pPr>
          </w:p>
        </w:tc>
        <w:tc>
          <w:tcPr>
            <w:tcW w:w="1351" w:type="dxa"/>
            <w:vMerge/>
            <w:shd w:val="clear" w:color="auto" w:fill="F2F2F2" w:themeFill="background1" w:themeFillShade="F2"/>
          </w:tcPr>
          <w:p w14:paraId="2F9F0D03" w14:textId="77777777" w:rsidR="002936DE" w:rsidRPr="00D31BB7" w:rsidRDefault="002936DE" w:rsidP="00F83ADC">
            <w:pPr>
              <w:pStyle w:val="NormalWeb"/>
              <w:spacing w:before="0" w:beforeAutospacing="0" w:after="0" w:afterAutospacing="0" w:line="276" w:lineRule="auto"/>
              <w:rPr>
                <w:rFonts w:ascii="Arial" w:hAnsi="Arial" w:cs="Arial"/>
                <w:color w:val="101929"/>
                <w:sz w:val="22"/>
                <w:szCs w:val="22"/>
              </w:rPr>
            </w:pPr>
          </w:p>
        </w:tc>
        <w:tc>
          <w:tcPr>
            <w:tcW w:w="992" w:type="dxa"/>
            <w:vMerge/>
            <w:shd w:val="clear" w:color="auto" w:fill="F2F2F2" w:themeFill="background1" w:themeFillShade="F2"/>
          </w:tcPr>
          <w:p w14:paraId="03C30914" w14:textId="77777777" w:rsidR="002936DE" w:rsidRPr="00D31BB7" w:rsidRDefault="002936DE" w:rsidP="00F83ADC">
            <w:pPr>
              <w:pStyle w:val="NormalWeb"/>
              <w:spacing w:before="0" w:beforeAutospacing="0" w:after="0" w:afterAutospacing="0" w:line="276" w:lineRule="auto"/>
              <w:rPr>
                <w:rFonts w:ascii="Arial" w:hAnsi="Arial" w:cs="Arial"/>
                <w:color w:val="101929"/>
                <w:sz w:val="22"/>
                <w:szCs w:val="22"/>
              </w:rPr>
            </w:pPr>
          </w:p>
        </w:tc>
        <w:tc>
          <w:tcPr>
            <w:tcW w:w="1814" w:type="dxa"/>
            <w:shd w:val="clear" w:color="auto" w:fill="F2F2F2" w:themeFill="background1" w:themeFillShade="F2"/>
          </w:tcPr>
          <w:p w14:paraId="6C4007B3" w14:textId="79269ADF" w:rsidR="002936DE" w:rsidRPr="00D31BB7" w:rsidRDefault="002936DE" w:rsidP="00F83ADC">
            <w:pPr>
              <w:pStyle w:val="ListBullet"/>
              <w:spacing w:line="276" w:lineRule="auto"/>
            </w:pPr>
            <w:r>
              <w:t>Region (SA4)</w:t>
            </w:r>
          </w:p>
        </w:tc>
        <w:tc>
          <w:tcPr>
            <w:tcW w:w="794" w:type="dxa"/>
            <w:shd w:val="clear" w:color="auto" w:fill="F2F2F2" w:themeFill="background1" w:themeFillShade="F2"/>
          </w:tcPr>
          <w:p w14:paraId="6F744A25" w14:textId="7CB8591E" w:rsidR="002936DE" w:rsidRPr="00D31BB7" w:rsidRDefault="002936DE" w:rsidP="00F83ADC">
            <w:pPr>
              <w:pStyle w:val="NormalWeb"/>
              <w:spacing w:before="0" w:beforeAutospacing="0" w:after="0" w:afterAutospacing="0" w:line="276" w:lineRule="auto"/>
              <w:rPr>
                <w:rFonts w:ascii="Arial" w:hAnsi="Arial" w:cs="Arial"/>
                <w:color w:val="101929"/>
                <w:sz w:val="22"/>
                <w:szCs w:val="22"/>
              </w:rPr>
            </w:pPr>
            <w:r>
              <w:rPr>
                <w:rFonts w:ascii="Arial" w:hAnsi="Arial" w:cs="Arial"/>
                <w:color w:val="101929"/>
                <w:sz w:val="22"/>
                <w:szCs w:val="22"/>
              </w:rPr>
              <w:t>2019</w:t>
            </w:r>
          </w:p>
        </w:tc>
      </w:tr>
      <w:tr w:rsidR="00A857A7" w14:paraId="27921BFF" w14:textId="77777777" w:rsidTr="004E1317">
        <w:tc>
          <w:tcPr>
            <w:tcW w:w="1397" w:type="dxa"/>
          </w:tcPr>
          <w:p w14:paraId="42943B72" w14:textId="77777777" w:rsidR="00A857A7" w:rsidRPr="00D31BB7" w:rsidRDefault="00A857A7" w:rsidP="005216F1">
            <w:pPr>
              <w:pStyle w:val="NormalWeb"/>
              <w:spacing w:before="0" w:beforeAutospacing="0" w:after="0" w:afterAutospacing="0" w:line="276" w:lineRule="auto"/>
              <w:rPr>
                <w:rFonts w:ascii="Arial" w:hAnsi="Arial" w:cs="Arial"/>
                <w:b/>
                <w:bCs/>
                <w:color w:val="101929"/>
                <w:sz w:val="22"/>
                <w:szCs w:val="22"/>
              </w:rPr>
            </w:pPr>
            <w:r w:rsidRPr="00D31BB7">
              <w:rPr>
                <w:rFonts w:ascii="Arial" w:hAnsi="Arial" w:cs="Arial"/>
                <w:b/>
                <w:bCs/>
                <w:color w:val="101929"/>
                <w:sz w:val="22"/>
                <w:szCs w:val="22"/>
              </w:rPr>
              <w:t>ABS JVS</w:t>
            </w:r>
          </w:p>
        </w:tc>
        <w:tc>
          <w:tcPr>
            <w:tcW w:w="2497" w:type="dxa"/>
          </w:tcPr>
          <w:p w14:paraId="4BB96ED0"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 xml:space="preserve">A </w:t>
            </w:r>
            <w:r w:rsidRPr="003F4869">
              <w:rPr>
                <w:rFonts w:ascii="Arial" w:hAnsi="Arial" w:cs="Arial"/>
                <w:b/>
                <w:bCs/>
                <w:color w:val="101929"/>
                <w:sz w:val="22"/>
                <w:szCs w:val="22"/>
              </w:rPr>
              <w:t>point-in-time stock estimate of vacancies</w:t>
            </w:r>
            <w:r w:rsidRPr="00D31BB7">
              <w:rPr>
                <w:rFonts w:ascii="Arial" w:hAnsi="Arial" w:cs="Arial"/>
                <w:color w:val="101929"/>
                <w:sz w:val="22"/>
                <w:szCs w:val="22"/>
              </w:rPr>
              <w:t xml:space="preserve"> (a count of currently open job vacancies) on the day of the survey (the Friday of the middle of the reference month) </w:t>
            </w:r>
          </w:p>
        </w:tc>
        <w:tc>
          <w:tcPr>
            <w:tcW w:w="1351" w:type="dxa"/>
          </w:tcPr>
          <w:p w14:paraId="23DCF8B5"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Employer survey</w:t>
            </w:r>
          </w:p>
        </w:tc>
        <w:tc>
          <w:tcPr>
            <w:tcW w:w="992" w:type="dxa"/>
          </w:tcPr>
          <w:p w14:paraId="6F3DF4BE"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proofErr w:type="spellStart"/>
            <w:r w:rsidRPr="00D31BB7">
              <w:rPr>
                <w:rFonts w:ascii="Arial" w:hAnsi="Arial" w:cs="Arial"/>
                <w:color w:val="101929"/>
                <w:sz w:val="22"/>
                <w:szCs w:val="22"/>
              </w:rPr>
              <w:t>Qtrly</w:t>
            </w:r>
            <w:proofErr w:type="spellEnd"/>
          </w:p>
        </w:tc>
        <w:tc>
          <w:tcPr>
            <w:tcW w:w="1814" w:type="dxa"/>
          </w:tcPr>
          <w:p w14:paraId="36E317AF" w14:textId="77777777" w:rsidR="00A857A7" w:rsidRPr="00D31BB7" w:rsidRDefault="00A857A7" w:rsidP="005216F1">
            <w:pPr>
              <w:pStyle w:val="ListBullet"/>
              <w:spacing w:line="276" w:lineRule="auto"/>
            </w:pPr>
            <w:r w:rsidRPr="00D31BB7">
              <w:t>National</w:t>
            </w:r>
          </w:p>
          <w:p w14:paraId="41105563" w14:textId="77777777" w:rsidR="00A857A7" w:rsidRPr="00D31BB7" w:rsidRDefault="00A857A7" w:rsidP="005216F1">
            <w:pPr>
              <w:pStyle w:val="ListBullet"/>
              <w:spacing w:line="276" w:lineRule="auto"/>
            </w:pPr>
            <w:r w:rsidRPr="00D31BB7">
              <w:t>State</w:t>
            </w:r>
          </w:p>
          <w:p w14:paraId="2AA89560" w14:textId="77777777" w:rsidR="00A857A7" w:rsidRPr="00D31BB7" w:rsidRDefault="00A857A7" w:rsidP="005216F1">
            <w:pPr>
              <w:pStyle w:val="ListBullet"/>
              <w:spacing w:line="276" w:lineRule="auto"/>
            </w:pPr>
            <w:r w:rsidRPr="00D31BB7">
              <w:t>Industry</w:t>
            </w:r>
          </w:p>
          <w:p w14:paraId="2077589F"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p>
        </w:tc>
        <w:tc>
          <w:tcPr>
            <w:tcW w:w="794" w:type="dxa"/>
          </w:tcPr>
          <w:p w14:paraId="1D8F8FF3"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1984</w:t>
            </w:r>
          </w:p>
        </w:tc>
      </w:tr>
      <w:tr w:rsidR="004E1317" w14:paraId="1203CA34" w14:textId="77777777" w:rsidTr="004E1317">
        <w:trPr>
          <w:cnfStyle w:val="000000010000" w:firstRow="0" w:lastRow="0" w:firstColumn="0" w:lastColumn="0" w:oddVBand="0" w:evenVBand="0" w:oddHBand="0" w:evenHBand="1" w:firstRowFirstColumn="0" w:firstRowLastColumn="0" w:lastRowFirstColumn="0" w:lastRowLastColumn="0"/>
        </w:trPr>
        <w:tc>
          <w:tcPr>
            <w:tcW w:w="1397" w:type="dxa"/>
            <w:shd w:val="clear" w:color="auto" w:fill="F2F2F2" w:themeFill="background1" w:themeFillShade="F2"/>
          </w:tcPr>
          <w:p w14:paraId="2B48BA63" w14:textId="77777777" w:rsidR="00A857A7" w:rsidRPr="00D31BB7" w:rsidRDefault="00A857A7" w:rsidP="005216F1">
            <w:pPr>
              <w:pStyle w:val="NormalWeb"/>
              <w:spacing w:before="0" w:beforeAutospacing="0" w:after="0" w:afterAutospacing="0" w:line="276" w:lineRule="auto"/>
              <w:rPr>
                <w:rFonts w:ascii="Arial" w:hAnsi="Arial" w:cs="Arial"/>
                <w:b/>
                <w:bCs/>
                <w:color w:val="101929"/>
                <w:sz w:val="22"/>
                <w:szCs w:val="22"/>
              </w:rPr>
            </w:pPr>
            <w:r w:rsidRPr="00D31BB7">
              <w:rPr>
                <w:rFonts w:ascii="Arial" w:hAnsi="Arial" w:cs="Arial"/>
                <w:b/>
                <w:bCs/>
                <w:color w:val="101929"/>
                <w:sz w:val="22"/>
                <w:szCs w:val="22"/>
              </w:rPr>
              <w:t>JSA IVI</w:t>
            </w:r>
          </w:p>
        </w:tc>
        <w:tc>
          <w:tcPr>
            <w:tcW w:w="2497" w:type="dxa"/>
            <w:shd w:val="clear" w:color="auto" w:fill="F2F2F2" w:themeFill="background1" w:themeFillShade="F2"/>
          </w:tcPr>
          <w:p w14:paraId="20233D03"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 xml:space="preserve">Count of </w:t>
            </w:r>
            <w:r w:rsidRPr="00D31BB7">
              <w:rPr>
                <w:rFonts w:ascii="Arial" w:hAnsi="Arial" w:cs="Arial"/>
                <w:b/>
                <w:bCs/>
                <w:color w:val="101929"/>
                <w:sz w:val="22"/>
                <w:szCs w:val="22"/>
              </w:rPr>
              <w:t>newly listed online job advertisements</w:t>
            </w:r>
            <w:r w:rsidRPr="00D31BB7">
              <w:rPr>
                <w:rFonts w:ascii="Arial" w:hAnsi="Arial" w:cs="Arial"/>
                <w:color w:val="101929"/>
                <w:sz w:val="22"/>
                <w:szCs w:val="22"/>
              </w:rPr>
              <w:t xml:space="preserve"> on the contributing online job boards during the calendar month</w:t>
            </w:r>
          </w:p>
        </w:tc>
        <w:tc>
          <w:tcPr>
            <w:tcW w:w="1351" w:type="dxa"/>
            <w:shd w:val="clear" w:color="auto" w:fill="F2F2F2" w:themeFill="background1" w:themeFillShade="F2"/>
          </w:tcPr>
          <w:p w14:paraId="02E855CA"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Online job boards data</w:t>
            </w:r>
          </w:p>
        </w:tc>
        <w:tc>
          <w:tcPr>
            <w:tcW w:w="992" w:type="dxa"/>
            <w:shd w:val="clear" w:color="auto" w:fill="F2F2F2" w:themeFill="background1" w:themeFillShade="F2"/>
          </w:tcPr>
          <w:p w14:paraId="262FD49E"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Monthly</w:t>
            </w:r>
          </w:p>
        </w:tc>
        <w:tc>
          <w:tcPr>
            <w:tcW w:w="1814" w:type="dxa"/>
            <w:shd w:val="clear" w:color="auto" w:fill="F2F2F2" w:themeFill="background1" w:themeFillShade="F2"/>
          </w:tcPr>
          <w:p w14:paraId="13FC67A7" w14:textId="77777777" w:rsidR="00A857A7" w:rsidRPr="00D31BB7" w:rsidRDefault="00A857A7" w:rsidP="005216F1">
            <w:pPr>
              <w:pStyle w:val="ListBullet"/>
              <w:spacing w:line="276" w:lineRule="auto"/>
            </w:pPr>
            <w:r w:rsidRPr="00D31BB7">
              <w:t>National</w:t>
            </w:r>
          </w:p>
          <w:p w14:paraId="55212944" w14:textId="77777777" w:rsidR="00A857A7" w:rsidRPr="00D31BB7" w:rsidRDefault="00A857A7" w:rsidP="005216F1">
            <w:pPr>
              <w:pStyle w:val="ListBullet"/>
              <w:spacing w:line="276" w:lineRule="auto"/>
            </w:pPr>
            <w:r w:rsidRPr="00D31BB7">
              <w:t>State</w:t>
            </w:r>
          </w:p>
          <w:p w14:paraId="7438E6FF" w14:textId="77777777" w:rsidR="00A857A7" w:rsidRPr="00D31BB7" w:rsidRDefault="00A857A7" w:rsidP="005216F1">
            <w:pPr>
              <w:pStyle w:val="ListBullet"/>
              <w:spacing w:line="276" w:lineRule="auto"/>
            </w:pPr>
            <w:r w:rsidRPr="00D31BB7">
              <w:t>IVI regions</w:t>
            </w:r>
          </w:p>
          <w:p w14:paraId="4602C7E9" w14:textId="77777777" w:rsidR="00A857A7" w:rsidRPr="00D31BB7" w:rsidRDefault="00A857A7" w:rsidP="005216F1">
            <w:pPr>
              <w:pStyle w:val="ListBullet"/>
              <w:spacing w:line="276" w:lineRule="auto"/>
            </w:pPr>
            <w:r w:rsidRPr="00D31BB7">
              <w:t>4-digit Occupation</w:t>
            </w:r>
          </w:p>
        </w:tc>
        <w:tc>
          <w:tcPr>
            <w:tcW w:w="794" w:type="dxa"/>
            <w:shd w:val="clear" w:color="auto" w:fill="F2F2F2" w:themeFill="background1" w:themeFillShade="F2"/>
          </w:tcPr>
          <w:p w14:paraId="73BC1879" w14:textId="77777777" w:rsidR="00A857A7" w:rsidRPr="00D31BB7" w:rsidRDefault="00A857A7" w:rsidP="005216F1">
            <w:pPr>
              <w:pStyle w:val="NormalWeb"/>
              <w:spacing w:before="0" w:beforeAutospacing="0" w:after="0" w:afterAutospacing="0" w:line="276" w:lineRule="auto"/>
              <w:rPr>
                <w:rFonts w:ascii="Arial" w:hAnsi="Arial" w:cs="Arial"/>
                <w:color w:val="101929"/>
                <w:sz w:val="22"/>
                <w:szCs w:val="22"/>
              </w:rPr>
            </w:pPr>
            <w:r w:rsidRPr="00D31BB7">
              <w:rPr>
                <w:rFonts w:ascii="Arial" w:hAnsi="Arial" w:cs="Arial"/>
                <w:color w:val="101929"/>
                <w:sz w:val="22"/>
                <w:szCs w:val="22"/>
              </w:rPr>
              <w:t>2006</w:t>
            </w:r>
          </w:p>
        </w:tc>
      </w:tr>
    </w:tbl>
    <w:p w14:paraId="69A33B4B" w14:textId="596E16BC" w:rsidR="00A857A7" w:rsidRPr="00A857A7" w:rsidRDefault="00A857A7" w:rsidP="00875ABD">
      <w:pPr>
        <w:rPr>
          <w:b/>
        </w:rPr>
      </w:pPr>
      <w:r w:rsidRPr="00A857A7">
        <w:lastRenderedPageBreak/>
        <w:t xml:space="preserve">The estimate of vacancies from the JSA TNV is substantially larger than that of the JSA IVI. This is for two key reasons. First, the JSA TNV is a quarterly total, whereas the JSA IVI is a monthly total. And secondly, the JSA TNV has been calculated to </w:t>
      </w:r>
      <w:proofErr w:type="gramStart"/>
      <w:r w:rsidRPr="00A857A7">
        <w:t>take into account</w:t>
      </w:r>
      <w:proofErr w:type="gramEnd"/>
      <w:r w:rsidRPr="00A857A7">
        <w:t xml:space="preserve"> the fact that not all jobs are advertised online, unlike the JSA IVI which only counts online job advertisements from the job boards that contribute to the JSA IVI. As a result, the figures under the JSA TNV are substantially higher than that of the JSA IVI. Table 2 below provides the estimated levels from each of the relevant sources for May 2024.</w:t>
      </w:r>
    </w:p>
    <w:p w14:paraId="02C9DF70" w14:textId="77777777" w:rsidR="00A857A7" w:rsidRPr="00D31BB7" w:rsidRDefault="00A857A7" w:rsidP="00875ABD">
      <w:pPr>
        <w:pStyle w:val="Caption"/>
      </w:pPr>
      <w:r w:rsidRPr="00D31BB7">
        <w:t xml:space="preserve">Table 2: Different measures of vacancies in Australia – May 2024 </w:t>
      </w:r>
    </w:p>
    <w:tbl>
      <w:tblPr>
        <w:tblStyle w:val="JSATable1"/>
        <w:tblW w:w="0" w:type="auto"/>
        <w:tblLook w:val="04A0" w:firstRow="1" w:lastRow="0" w:firstColumn="1" w:lastColumn="0" w:noHBand="0" w:noVBand="1"/>
      </w:tblPr>
      <w:tblGrid>
        <w:gridCol w:w="988"/>
        <w:gridCol w:w="5811"/>
        <w:gridCol w:w="2217"/>
      </w:tblGrid>
      <w:tr w:rsidR="00A857A7" w:rsidRPr="00026EB9" w14:paraId="3E8219AC" w14:textId="77777777" w:rsidTr="00D31BB7">
        <w:trPr>
          <w:cnfStyle w:val="100000000000" w:firstRow="1" w:lastRow="0" w:firstColumn="0" w:lastColumn="0" w:oddVBand="0" w:evenVBand="0" w:oddHBand="0" w:evenHBand="0" w:firstRowFirstColumn="0" w:firstRowLastColumn="0" w:lastRowFirstColumn="0" w:lastRowLastColumn="0"/>
          <w:trHeight w:val="454"/>
        </w:trPr>
        <w:tc>
          <w:tcPr>
            <w:tcW w:w="6799" w:type="dxa"/>
            <w:gridSpan w:val="2"/>
          </w:tcPr>
          <w:p w14:paraId="71C42F60" w14:textId="77777777" w:rsidR="00A857A7" w:rsidRPr="00026EB9" w:rsidRDefault="00A857A7" w:rsidP="00BC29C3">
            <w:pPr>
              <w:pStyle w:val="NormalWeb"/>
              <w:spacing w:before="0" w:beforeAutospacing="0" w:after="0" w:afterAutospacing="0"/>
              <w:rPr>
                <w:rFonts w:ascii="Arial" w:hAnsi="Arial" w:cs="Arial"/>
                <w:b/>
                <w:bCs/>
                <w:color w:val="FFFFFF" w:themeColor="background1"/>
              </w:rPr>
            </w:pPr>
            <w:r w:rsidRPr="00026EB9">
              <w:rPr>
                <w:rFonts w:ascii="Arial" w:hAnsi="Arial" w:cs="Arial"/>
                <w:b/>
                <w:bCs/>
                <w:color w:val="FFFFFF" w:themeColor="background1"/>
              </w:rPr>
              <w:t>Source (measure)</w:t>
            </w:r>
          </w:p>
        </w:tc>
        <w:tc>
          <w:tcPr>
            <w:tcW w:w="2217" w:type="dxa"/>
          </w:tcPr>
          <w:p w14:paraId="0E5A6FDD" w14:textId="18236E8B" w:rsidR="00A857A7" w:rsidRPr="00026EB9" w:rsidRDefault="00A857A7" w:rsidP="00BC29C3">
            <w:pPr>
              <w:pStyle w:val="NormalWeb"/>
              <w:spacing w:before="0" w:beforeAutospacing="0" w:after="0" w:afterAutospacing="0"/>
              <w:rPr>
                <w:rFonts w:ascii="Arial" w:hAnsi="Arial" w:cs="Arial"/>
                <w:b/>
                <w:bCs/>
                <w:color w:val="FFFFFF" w:themeColor="background1"/>
              </w:rPr>
            </w:pPr>
            <w:r>
              <w:rPr>
                <w:rFonts w:ascii="Arial" w:hAnsi="Arial" w:cs="Arial"/>
                <w:b/>
                <w:bCs/>
                <w:color w:val="FFFFFF" w:themeColor="background1"/>
              </w:rPr>
              <w:t>May-2</w:t>
            </w:r>
            <w:r w:rsidR="00383F3A">
              <w:rPr>
                <w:rFonts w:ascii="Arial" w:hAnsi="Arial" w:cs="Arial"/>
                <w:b/>
                <w:bCs/>
                <w:color w:val="FFFFFF" w:themeColor="background1"/>
              </w:rPr>
              <w:t>5</w:t>
            </w:r>
            <w:r>
              <w:rPr>
                <w:rFonts w:ascii="Arial" w:hAnsi="Arial" w:cs="Arial"/>
                <w:b/>
                <w:bCs/>
                <w:color w:val="FFFFFF" w:themeColor="background1"/>
              </w:rPr>
              <w:t xml:space="preserve"> e</w:t>
            </w:r>
            <w:r w:rsidRPr="00026EB9">
              <w:rPr>
                <w:rFonts w:ascii="Arial" w:hAnsi="Arial" w:cs="Arial"/>
                <w:b/>
                <w:bCs/>
                <w:color w:val="FFFFFF" w:themeColor="background1"/>
              </w:rPr>
              <w:t>stimate</w:t>
            </w:r>
          </w:p>
        </w:tc>
      </w:tr>
      <w:tr w:rsidR="00A857A7" w14:paraId="72424448" w14:textId="77777777" w:rsidTr="00D31BB7">
        <w:trPr>
          <w:trHeight w:val="454"/>
        </w:trPr>
        <w:tc>
          <w:tcPr>
            <w:tcW w:w="988" w:type="dxa"/>
          </w:tcPr>
          <w:p w14:paraId="201FB1A7" w14:textId="77777777" w:rsidR="00A857A7" w:rsidRPr="000C7251" w:rsidRDefault="00A857A7" w:rsidP="00BC29C3">
            <w:pPr>
              <w:pStyle w:val="NormalWeb"/>
              <w:spacing w:before="0" w:beforeAutospacing="0" w:after="0" w:afterAutospacing="0"/>
              <w:rPr>
                <w:rFonts w:ascii="Arial" w:hAnsi="Arial" w:cs="Arial"/>
                <w:color w:val="000000" w:themeColor="text1"/>
                <w:u w:val="single"/>
              </w:rPr>
            </w:pPr>
            <w:r w:rsidRPr="00322118">
              <w:rPr>
                <w:rFonts w:ascii="Arial" w:hAnsi="Arial" w:cs="Arial"/>
                <w:color w:val="000000" w:themeColor="text1"/>
              </w:rPr>
              <w:t>ABS</w:t>
            </w:r>
          </w:p>
        </w:tc>
        <w:tc>
          <w:tcPr>
            <w:tcW w:w="5811" w:type="dxa"/>
          </w:tcPr>
          <w:p w14:paraId="7AEF2928" w14:textId="77777777" w:rsidR="00A857A7" w:rsidRPr="00322118" w:rsidRDefault="00A857A7" w:rsidP="00BC29C3">
            <w:pPr>
              <w:pStyle w:val="NormalWeb"/>
              <w:spacing w:before="0" w:beforeAutospacing="0" w:after="0" w:afterAutospacing="0"/>
              <w:rPr>
                <w:rFonts w:ascii="Arial" w:hAnsi="Arial" w:cs="Arial"/>
                <w:color w:val="000000"/>
              </w:rPr>
            </w:pPr>
            <w:r w:rsidRPr="00322118">
              <w:rPr>
                <w:rFonts w:ascii="Arial" w:hAnsi="Arial" w:cs="Arial"/>
                <w:color w:val="000000" w:themeColor="text1"/>
              </w:rPr>
              <w:t>Job Vacancy Survey</w:t>
            </w:r>
          </w:p>
        </w:tc>
        <w:tc>
          <w:tcPr>
            <w:tcW w:w="2217" w:type="dxa"/>
          </w:tcPr>
          <w:p w14:paraId="440AED66" w14:textId="3C3DB25F" w:rsidR="00A857A7" w:rsidRPr="000C7251" w:rsidRDefault="0060719B" w:rsidP="00BC29C3">
            <w:pPr>
              <w:pStyle w:val="NormalWeb"/>
              <w:spacing w:before="0" w:beforeAutospacing="0" w:after="0" w:afterAutospacing="0"/>
              <w:rPr>
                <w:rFonts w:ascii="Arial" w:hAnsi="Arial" w:cs="Arial"/>
                <w:color w:val="000000" w:themeColor="text1"/>
                <w:u w:val="single"/>
              </w:rPr>
            </w:pPr>
            <w:r w:rsidRPr="0060719B">
              <w:rPr>
                <w:rFonts w:ascii="Arial" w:hAnsi="Arial" w:cs="Arial"/>
                <w:color w:val="000000"/>
              </w:rPr>
              <w:t>339</w:t>
            </w:r>
            <w:r>
              <w:rPr>
                <w:rFonts w:ascii="Arial" w:hAnsi="Arial" w:cs="Arial"/>
                <w:color w:val="000000"/>
              </w:rPr>
              <w:t>,</w:t>
            </w:r>
            <w:r w:rsidRPr="0060719B">
              <w:rPr>
                <w:rFonts w:ascii="Arial" w:hAnsi="Arial" w:cs="Arial"/>
                <w:color w:val="000000"/>
              </w:rPr>
              <w:t>400</w:t>
            </w:r>
          </w:p>
        </w:tc>
      </w:tr>
      <w:tr w:rsidR="00A857A7" w14:paraId="388E44A3" w14:textId="77777777" w:rsidTr="00D31BB7">
        <w:trPr>
          <w:cnfStyle w:val="000000010000" w:firstRow="0" w:lastRow="0" w:firstColumn="0" w:lastColumn="0" w:oddVBand="0" w:evenVBand="0" w:oddHBand="0" w:evenHBand="1" w:firstRowFirstColumn="0" w:firstRowLastColumn="0" w:lastRowFirstColumn="0" w:lastRowLastColumn="0"/>
          <w:trHeight w:val="454"/>
        </w:trPr>
        <w:tc>
          <w:tcPr>
            <w:tcW w:w="988" w:type="dxa"/>
            <w:vMerge w:val="restart"/>
          </w:tcPr>
          <w:p w14:paraId="73428360" w14:textId="77777777" w:rsidR="00A857A7" w:rsidRPr="000C7251" w:rsidRDefault="00A857A7" w:rsidP="00BC29C3">
            <w:pPr>
              <w:pStyle w:val="NormalWeb"/>
              <w:spacing w:before="0" w:beforeAutospacing="0" w:after="0" w:afterAutospacing="0"/>
              <w:rPr>
                <w:rFonts w:ascii="Arial" w:hAnsi="Arial" w:cs="Arial"/>
                <w:color w:val="000000" w:themeColor="text1"/>
                <w:u w:val="single"/>
              </w:rPr>
            </w:pPr>
            <w:r>
              <w:rPr>
                <w:rFonts w:ascii="Arial" w:hAnsi="Arial" w:cs="Arial"/>
                <w:color w:val="000000" w:themeColor="text1"/>
              </w:rPr>
              <w:t>JSA</w:t>
            </w:r>
          </w:p>
        </w:tc>
        <w:tc>
          <w:tcPr>
            <w:tcW w:w="5811" w:type="dxa"/>
          </w:tcPr>
          <w:p w14:paraId="59B6F894" w14:textId="77777777" w:rsidR="00A857A7" w:rsidRPr="00322118" w:rsidRDefault="00A857A7" w:rsidP="00BC29C3">
            <w:pPr>
              <w:pStyle w:val="NormalWeb"/>
              <w:spacing w:before="0" w:beforeAutospacing="0" w:after="0" w:afterAutospacing="0"/>
              <w:rPr>
                <w:rFonts w:ascii="Arial" w:hAnsi="Arial" w:cs="Arial"/>
                <w:color w:val="000000"/>
              </w:rPr>
            </w:pPr>
            <w:r>
              <w:rPr>
                <w:rFonts w:ascii="Arial" w:hAnsi="Arial" w:cs="Arial"/>
                <w:color w:val="000000" w:themeColor="text1"/>
              </w:rPr>
              <w:t xml:space="preserve">IVI </w:t>
            </w:r>
            <w:r w:rsidRPr="00322118">
              <w:rPr>
                <w:rFonts w:ascii="Arial" w:hAnsi="Arial" w:cs="Arial"/>
                <w:color w:val="000000" w:themeColor="text1"/>
              </w:rPr>
              <w:t>online job advertisements - monthly</w:t>
            </w:r>
          </w:p>
        </w:tc>
        <w:tc>
          <w:tcPr>
            <w:tcW w:w="2217" w:type="dxa"/>
          </w:tcPr>
          <w:p w14:paraId="5B6B2599" w14:textId="4EA25591" w:rsidR="00A857A7" w:rsidRPr="000C7251" w:rsidRDefault="00383F3A" w:rsidP="00BC29C3">
            <w:pPr>
              <w:pStyle w:val="NormalWeb"/>
              <w:spacing w:before="0" w:beforeAutospacing="0" w:after="0" w:afterAutospacing="0"/>
              <w:rPr>
                <w:rFonts w:ascii="Arial" w:hAnsi="Arial" w:cs="Arial"/>
                <w:color w:val="000000" w:themeColor="text1"/>
                <w:u w:val="single"/>
              </w:rPr>
            </w:pPr>
            <w:r w:rsidRPr="00383F3A">
              <w:rPr>
                <w:rFonts w:ascii="Arial" w:hAnsi="Arial" w:cs="Arial"/>
                <w:color w:val="000000"/>
              </w:rPr>
              <w:t>210</w:t>
            </w:r>
            <w:r>
              <w:rPr>
                <w:rFonts w:ascii="Arial" w:hAnsi="Arial" w:cs="Arial"/>
                <w:color w:val="000000"/>
              </w:rPr>
              <w:t>,</w:t>
            </w:r>
            <w:r w:rsidRPr="00383F3A">
              <w:rPr>
                <w:rFonts w:ascii="Arial" w:hAnsi="Arial" w:cs="Arial"/>
                <w:color w:val="000000"/>
              </w:rPr>
              <w:t>09</w:t>
            </w:r>
            <w:r>
              <w:rPr>
                <w:rFonts w:ascii="Arial" w:hAnsi="Arial" w:cs="Arial"/>
                <w:color w:val="000000"/>
              </w:rPr>
              <w:t>5</w:t>
            </w:r>
          </w:p>
        </w:tc>
      </w:tr>
      <w:tr w:rsidR="00A857A7" w14:paraId="210CF405" w14:textId="77777777" w:rsidTr="00D31BB7">
        <w:trPr>
          <w:trHeight w:val="454"/>
        </w:trPr>
        <w:tc>
          <w:tcPr>
            <w:tcW w:w="988" w:type="dxa"/>
            <w:vMerge/>
          </w:tcPr>
          <w:p w14:paraId="44EBE3D3" w14:textId="77777777" w:rsidR="00A857A7" w:rsidRPr="000C7251" w:rsidRDefault="00A857A7" w:rsidP="00BC29C3">
            <w:pPr>
              <w:pStyle w:val="NormalWeb"/>
              <w:spacing w:before="0" w:after="0"/>
              <w:rPr>
                <w:rFonts w:ascii="Arial" w:hAnsi="Arial" w:cs="Arial"/>
                <w:color w:val="000000" w:themeColor="text1"/>
                <w:u w:val="single"/>
              </w:rPr>
            </w:pPr>
          </w:p>
        </w:tc>
        <w:tc>
          <w:tcPr>
            <w:tcW w:w="5811" w:type="dxa"/>
          </w:tcPr>
          <w:p w14:paraId="289001DA" w14:textId="77777777" w:rsidR="00A857A7" w:rsidRPr="00322118" w:rsidRDefault="00A857A7" w:rsidP="00BC29C3">
            <w:pPr>
              <w:pStyle w:val="NormalWeb"/>
              <w:spacing w:before="0" w:beforeAutospacing="0" w:after="0" w:afterAutospacing="0"/>
              <w:rPr>
                <w:rFonts w:ascii="Arial" w:hAnsi="Arial" w:cs="Arial"/>
                <w:color w:val="000000"/>
              </w:rPr>
            </w:pPr>
            <w:r>
              <w:rPr>
                <w:rFonts w:ascii="Arial" w:hAnsi="Arial" w:cs="Arial"/>
                <w:color w:val="000000" w:themeColor="text1"/>
              </w:rPr>
              <w:t xml:space="preserve">IVI </w:t>
            </w:r>
            <w:r w:rsidRPr="00322118">
              <w:rPr>
                <w:rFonts w:ascii="Arial" w:hAnsi="Arial" w:cs="Arial"/>
                <w:color w:val="000000" w:themeColor="text1"/>
              </w:rPr>
              <w:t xml:space="preserve">online job advertisements </w:t>
            </w:r>
            <w:r>
              <w:rPr>
                <w:rFonts w:ascii="Arial" w:hAnsi="Arial" w:cs="Arial"/>
                <w:color w:val="000000" w:themeColor="text1"/>
              </w:rPr>
              <w:t>–</w:t>
            </w:r>
            <w:r w:rsidRPr="00322118">
              <w:rPr>
                <w:rFonts w:ascii="Arial" w:hAnsi="Arial" w:cs="Arial"/>
                <w:color w:val="000000" w:themeColor="text1"/>
              </w:rPr>
              <w:t xml:space="preserve"> </w:t>
            </w:r>
            <w:proofErr w:type="spellStart"/>
            <w:r>
              <w:rPr>
                <w:rFonts w:ascii="Arial" w:hAnsi="Arial" w:cs="Arial"/>
                <w:color w:val="000000" w:themeColor="text1"/>
              </w:rPr>
              <w:t>qtrly</w:t>
            </w:r>
            <w:proofErr w:type="spellEnd"/>
            <w:r>
              <w:rPr>
                <w:rFonts w:ascii="Arial" w:hAnsi="Arial" w:cs="Arial"/>
                <w:color w:val="000000" w:themeColor="text1"/>
              </w:rPr>
              <w:t xml:space="preserve"> total</w:t>
            </w:r>
          </w:p>
        </w:tc>
        <w:tc>
          <w:tcPr>
            <w:tcW w:w="2217" w:type="dxa"/>
          </w:tcPr>
          <w:p w14:paraId="37A3C6C3" w14:textId="13C44BF1" w:rsidR="00A857A7" w:rsidRPr="000C7251" w:rsidRDefault="00383F3A" w:rsidP="00BC29C3">
            <w:pPr>
              <w:pStyle w:val="NormalWeb"/>
              <w:spacing w:before="0" w:beforeAutospacing="0" w:after="0" w:afterAutospacing="0"/>
              <w:rPr>
                <w:rFonts w:ascii="Arial" w:hAnsi="Arial" w:cs="Arial"/>
                <w:color w:val="000000" w:themeColor="text1"/>
                <w:u w:val="single"/>
              </w:rPr>
            </w:pPr>
            <w:r w:rsidRPr="00383F3A">
              <w:rPr>
                <w:rFonts w:ascii="Arial" w:hAnsi="Arial" w:cs="Arial"/>
                <w:color w:val="000000"/>
              </w:rPr>
              <w:t>631</w:t>
            </w:r>
            <w:r>
              <w:rPr>
                <w:rFonts w:ascii="Arial" w:hAnsi="Arial" w:cs="Arial"/>
                <w:color w:val="000000"/>
              </w:rPr>
              <w:t>,</w:t>
            </w:r>
            <w:r w:rsidRPr="00383F3A">
              <w:rPr>
                <w:rFonts w:ascii="Arial" w:hAnsi="Arial" w:cs="Arial"/>
                <w:color w:val="000000"/>
              </w:rPr>
              <w:t>836</w:t>
            </w:r>
          </w:p>
        </w:tc>
      </w:tr>
      <w:tr w:rsidR="00A857A7" w14:paraId="33C9B178" w14:textId="77777777" w:rsidTr="00D31BB7">
        <w:trPr>
          <w:cnfStyle w:val="000000010000" w:firstRow="0" w:lastRow="0" w:firstColumn="0" w:lastColumn="0" w:oddVBand="0" w:evenVBand="0" w:oddHBand="0" w:evenHBand="1" w:firstRowFirstColumn="0" w:firstRowLastColumn="0" w:lastRowFirstColumn="0" w:lastRowLastColumn="0"/>
          <w:trHeight w:val="454"/>
        </w:trPr>
        <w:tc>
          <w:tcPr>
            <w:tcW w:w="988" w:type="dxa"/>
            <w:vMerge/>
          </w:tcPr>
          <w:p w14:paraId="08FA1ABE" w14:textId="77777777" w:rsidR="00A857A7" w:rsidRPr="000C7251" w:rsidRDefault="00A857A7" w:rsidP="00BC29C3">
            <w:pPr>
              <w:pStyle w:val="NormalWeb"/>
              <w:spacing w:before="0" w:beforeAutospacing="0" w:after="0" w:afterAutospacing="0"/>
              <w:rPr>
                <w:rFonts w:ascii="Arial" w:hAnsi="Arial" w:cs="Arial"/>
                <w:color w:val="000000" w:themeColor="text1"/>
                <w:u w:val="single"/>
              </w:rPr>
            </w:pPr>
          </w:p>
        </w:tc>
        <w:tc>
          <w:tcPr>
            <w:tcW w:w="5811" w:type="dxa"/>
          </w:tcPr>
          <w:p w14:paraId="7DE0A3F7" w14:textId="3F14D941" w:rsidR="00A857A7" w:rsidRPr="00322118" w:rsidRDefault="00A857A7" w:rsidP="00BC29C3">
            <w:pPr>
              <w:pStyle w:val="NormalWeb"/>
              <w:spacing w:before="0" w:beforeAutospacing="0" w:after="0" w:afterAutospacing="0"/>
              <w:rPr>
                <w:rFonts w:ascii="Arial" w:hAnsi="Arial" w:cs="Arial"/>
                <w:b/>
                <w:bCs/>
                <w:color w:val="000000" w:themeColor="text1"/>
              </w:rPr>
            </w:pPr>
            <w:r w:rsidRPr="00322118">
              <w:rPr>
                <w:rFonts w:ascii="Arial" w:hAnsi="Arial" w:cs="Arial"/>
                <w:b/>
                <w:bCs/>
                <w:color w:val="000000" w:themeColor="text1"/>
              </w:rPr>
              <w:t xml:space="preserve">Total New Vacancies </w:t>
            </w:r>
          </w:p>
        </w:tc>
        <w:tc>
          <w:tcPr>
            <w:tcW w:w="2217" w:type="dxa"/>
          </w:tcPr>
          <w:p w14:paraId="2DFF3CBC" w14:textId="3C56E5DD" w:rsidR="00A857A7" w:rsidRPr="000C7251" w:rsidRDefault="00383F3A" w:rsidP="00BC29C3">
            <w:pPr>
              <w:pStyle w:val="NormalWeb"/>
              <w:spacing w:before="0" w:beforeAutospacing="0" w:after="0" w:afterAutospacing="0"/>
              <w:rPr>
                <w:rFonts w:ascii="Arial" w:hAnsi="Arial" w:cs="Arial"/>
                <w:color w:val="000000" w:themeColor="text1"/>
                <w:u w:val="single"/>
              </w:rPr>
            </w:pPr>
            <w:r w:rsidRPr="00383F3A">
              <w:rPr>
                <w:rFonts w:ascii="Arial" w:hAnsi="Arial" w:cs="Arial"/>
                <w:b/>
                <w:bCs/>
                <w:color w:val="000000" w:themeColor="text1"/>
              </w:rPr>
              <w:t>1</w:t>
            </w:r>
            <w:r>
              <w:rPr>
                <w:rFonts w:ascii="Arial" w:hAnsi="Arial" w:cs="Arial"/>
                <w:b/>
                <w:bCs/>
                <w:color w:val="000000" w:themeColor="text1"/>
              </w:rPr>
              <w:t>,</w:t>
            </w:r>
            <w:r w:rsidR="00181FAC">
              <w:rPr>
                <w:rFonts w:ascii="Arial" w:hAnsi="Arial" w:cs="Arial"/>
                <w:b/>
                <w:bCs/>
                <w:color w:val="000000" w:themeColor="text1"/>
              </w:rPr>
              <w:t>138,555</w:t>
            </w:r>
          </w:p>
        </w:tc>
      </w:tr>
    </w:tbl>
    <w:p w14:paraId="13BB66F4" w14:textId="77777777" w:rsidR="003F4869" w:rsidRDefault="003F4869" w:rsidP="005216F1"/>
    <w:p w14:paraId="3E2A15E1" w14:textId="1FA6371C" w:rsidR="00A857A7" w:rsidRPr="00A857A7" w:rsidRDefault="00A857A7" w:rsidP="00AD7BF9">
      <w:r w:rsidRPr="00A857A7">
        <w:t>The difference between the JSA TNV and the ABS JVS can be understood as arising from the difference between point-in-time vacancy stock (as per the ABS JVS) and total vacancy flow (as per the JSA TNV) measures. The ABS Job Vacancy Survey provides a point-in-time estimate of the number of vacancies that are open on the day of the survey (the middle Friday of the reference month). In this way, the ABS JVS series is effectively a stock estimate of vacancies. By contrast, the JSA TNV estimates the total number of vacancies arising on any day point in the quarter. At the end of the quarter, some of these vacancies will remain open (</w:t>
      </w:r>
      <w:proofErr w:type="gramStart"/>
      <w:r w:rsidRPr="00A857A7">
        <w:t>similar to</w:t>
      </w:r>
      <w:proofErr w:type="gramEnd"/>
      <w:r w:rsidRPr="00A857A7">
        <w:t xml:space="preserve"> the ABS JVS measure), have been filled, or have been withdrawn from the market (i.e. gone </w:t>
      </w:r>
      <w:r w:rsidRPr="00B2138E">
        <w:t>unfilled). The difference between the two series can thus be explained by changes in the duration of time it takes for vacancies to be filled (including changes in the rate of vacancies going unfilled)</w:t>
      </w:r>
      <w:r w:rsidR="00CC41F4" w:rsidRPr="00B2138E">
        <w:t xml:space="preserve"> as well as possible changes in the rate of job turnover</w:t>
      </w:r>
      <w:r w:rsidRPr="00B2138E">
        <w:t>. This helps explain the difference between the JSA TNV and ABS JVS series, as highlighted in Figure 2 below.</w:t>
      </w:r>
    </w:p>
    <w:p w14:paraId="6F962563" w14:textId="77777777" w:rsidR="00A857A7" w:rsidRDefault="00A857A7" w:rsidP="005216F1">
      <w:pPr>
        <w:pStyle w:val="Caption"/>
      </w:pPr>
      <w:r w:rsidRPr="00D31BB7">
        <w:t>Figure 2: Comparison of ABS Job Vacancy Survey and JSA Total New Vacancies series over time</w:t>
      </w:r>
    </w:p>
    <w:p w14:paraId="2D75EAC6" w14:textId="6EFC921C" w:rsidR="00B07C62" w:rsidRPr="00B07C62" w:rsidRDefault="0072165B" w:rsidP="00B07C62">
      <w:r>
        <w:rPr>
          <w:noProof/>
        </w:rPr>
        <w:drawing>
          <wp:inline distT="0" distB="0" distL="0" distR="0" wp14:anchorId="6A7E248B" wp14:editId="3002338C">
            <wp:extent cx="4866224" cy="2846089"/>
            <wp:effectExtent l="0" t="0" r="0" b="0"/>
            <wp:docPr id="451304202" name="Picture 7" descr="The line chart shows Total New Vacancies from February 2019 to August 2025. Vacancies start around 1.2 million in early 2019 and decline steadily, reaching a low of about 650,000 around mid-2020 during the initial COVID-19 period. From there, vacancies rise sharply through 2021 and early 2022, peaking at roughly 1.7 million in mid-2022. After this peak, the trend fluctuates slightly but remains high until early 2023, then gradually declines through 2024 to about 1.25 million. By mid-2025, vacancies show a slight uptick but remain well below the 2022 peak. This trend is broadly mirrored by the ABS Job Vacancy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04202" name="Picture 7" descr="The line chart shows Total New Vacancies from February 2019 to August 2025. Vacancies start around 1.2 million in early 2019 and decline steadily, reaching a low of about 650,000 around mid-2020 during the initial COVID-19 period. From there, vacancies rise sharply through 2021 and early 2022, peaking at roughly 1.7 million in mid-2022. After this peak, the trend fluctuates slightly but remains high until early 2023, then gradually declines through 2024 to about 1.25 million. By mid-2025, vacancies show a slight uptick but remain well below the 2022 peak. This trend is broadly mirrored by the ABS Job Vacancy Series."/>
                    <pic:cNvPicPr/>
                  </pic:nvPicPr>
                  <pic:blipFill>
                    <a:blip r:embed="rId19">
                      <a:extLst>
                        <a:ext uri="{28A0092B-C50C-407E-A947-70E740481C1C}">
                          <a14:useLocalDpi xmlns:a14="http://schemas.microsoft.com/office/drawing/2010/main" val="0"/>
                        </a:ext>
                      </a:extLst>
                    </a:blip>
                    <a:stretch>
                      <a:fillRect/>
                    </a:stretch>
                  </pic:blipFill>
                  <pic:spPr>
                    <a:xfrm>
                      <a:off x="0" y="0"/>
                      <a:ext cx="4877712" cy="2852808"/>
                    </a:xfrm>
                    <a:prstGeom prst="rect">
                      <a:avLst/>
                    </a:prstGeom>
                  </pic:spPr>
                </pic:pic>
              </a:graphicData>
            </a:graphic>
          </wp:inline>
        </w:drawing>
      </w:r>
    </w:p>
    <w:p w14:paraId="2203013E" w14:textId="539AD091" w:rsidR="00752771" w:rsidRDefault="00752771" w:rsidP="00A857A7">
      <w:pPr>
        <w:pStyle w:val="NormalWeb"/>
        <w:shd w:val="clear" w:color="auto" w:fill="FFFFFF"/>
        <w:spacing w:before="0" w:beforeAutospacing="0" w:after="0" w:afterAutospacing="0" w:line="384" w:lineRule="atLeast"/>
        <w:rPr>
          <w:rFonts w:ascii="Arial" w:eastAsiaTheme="minorHAnsi" w:hAnsi="Arial" w:cstheme="minorBidi"/>
          <w:b/>
          <w:bCs/>
          <w:sz w:val="22"/>
          <w:szCs w:val="22"/>
          <w:lang w:eastAsia="en-US"/>
        </w:rPr>
      </w:pPr>
    </w:p>
    <w:p w14:paraId="15D290B0" w14:textId="67370F28" w:rsidR="003E0AC4" w:rsidRDefault="00A857A7" w:rsidP="005216F1">
      <w:pPr>
        <w:pStyle w:val="Caption"/>
        <w:rPr>
          <w:noProof/>
        </w:rPr>
      </w:pPr>
      <w:r w:rsidRPr="00B2138E">
        <w:t>Figure 3: Understanding differences in vacancy measures, including stock and flow measures and sources – an illustrative example</w:t>
      </w:r>
      <w:r w:rsidRPr="00EB68D6">
        <w:rPr>
          <w:noProof/>
        </w:rPr>
        <w:t xml:space="preserve"> </w:t>
      </w:r>
    </w:p>
    <w:p w14:paraId="01461C2A" w14:textId="2A630DE2" w:rsidR="000400CC" w:rsidRPr="000400CC" w:rsidRDefault="000400CC" w:rsidP="000400CC">
      <w:r w:rsidRPr="000400CC">
        <w:t> </w:t>
      </w:r>
      <w:r w:rsidR="006852AA" w:rsidRPr="006852AA">
        <w:t> </w:t>
      </w:r>
      <w:r w:rsidR="006852AA" w:rsidRPr="006852AA">
        <w:rPr>
          <w:noProof/>
        </w:rPr>
        <w:drawing>
          <wp:inline distT="0" distB="0" distL="0" distR="0" wp14:anchorId="299F80F2" wp14:editId="6FC0D32E">
            <wp:extent cx="5543550" cy="3958453"/>
            <wp:effectExtent l="0" t="0" r="0" b="4445"/>
            <wp:docPr id="616333761" name="Picture 4" descr="Illustrative flow chart showing how various JSA products are used in the difference vacancy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33761" name="Picture 4" descr="Illustrative flow chart showing how various JSA products are used in the difference vacancy measures."/>
                    <pic:cNvPicPr>
                      <a:picLocks noChangeAspect="1" noChangeArrowheads="1"/>
                    </pic:cNvPicPr>
                  </pic:nvPicPr>
                  <pic:blipFill rotWithShape="1">
                    <a:blip r:embed="rId20">
                      <a:extLst>
                        <a:ext uri="{28A0092B-C50C-407E-A947-70E740481C1C}">
                          <a14:useLocalDpi xmlns:a14="http://schemas.microsoft.com/office/drawing/2010/main" val="0"/>
                        </a:ext>
                      </a:extLst>
                    </a:blip>
                    <a:srcRect r="21228"/>
                    <a:stretch>
                      <a:fillRect/>
                    </a:stretch>
                  </pic:blipFill>
                  <pic:spPr bwMode="auto">
                    <a:xfrm>
                      <a:off x="0" y="0"/>
                      <a:ext cx="5547788" cy="3961479"/>
                    </a:xfrm>
                    <a:prstGeom prst="rect">
                      <a:avLst/>
                    </a:prstGeom>
                    <a:noFill/>
                    <a:ln>
                      <a:noFill/>
                    </a:ln>
                    <a:extLst>
                      <a:ext uri="{53640926-AAD7-44D8-BBD7-CCE9431645EC}">
                        <a14:shadowObscured xmlns:a14="http://schemas.microsoft.com/office/drawing/2010/main"/>
                      </a:ext>
                    </a:extLst>
                  </pic:spPr>
                </pic:pic>
              </a:graphicData>
            </a:graphic>
          </wp:inline>
        </w:drawing>
      </w:r>
    </w:p>
    <w:p w14:paraId="43C41C88" w14:textId="1286F178" w:rsidR="00A857A7" w:rsidRDefault="00A857A7" w:rsidP="00212536">
      <w:pPr>
        <w:pStyle w:val="Heading2"/>
      </w:pPr>
      <w:r>
        <w:t>Does the TNV provide an indication of shortages?</w:t>
      </w:r>
    </w:p>
    <w:p w14:paraId="55875A22" w14:textId="77777777" w:rsidR="00A857A7" w:rsidRPr="00A857A7" w:rsidRDefault="00A857A7" w:rsidP="005216F1">
      <w:pPr>
        <w:rPr>
          <w:b/>
        </w:rPr>
      </w:pPr>
      <w:r w:rsidRPr="00A857A7">
        <w:t>Vacancy data alone does not provide an indication whether there is a labour market shortage, as the fill rates of vacancies can vary across the labour market. As such, caution should be exercised when using vacancy data to infer labour market conditions.</w:t>
      </w:r>
    </w:p>
    <w:p w14:paraId="553CBD79" w14:textId="77777777" w:rsidR="00A857A7" w:rsidRPr="001E227E" w:rsidRDefault="00A857A7" w:rsidP="00212536">
      <w:pPr>
        <w:pStyle w:val="Heading2"/>
      </w:pPr>
      <w:r w:rsidRPr="001E227E">
        <w:t>Is data available for the period prior to 2016?</w:t>
      </w:r>
    </w:p>
    <w:p w14:paraId="163DA459" w14:textId="664ABF8E" w:rsidR="00A857A7" w:rsidRPr="00A857A7" w:rsidRDefault="00A857A7" w:rsidP="005216F1">
      <w:pPr>
        <w:rPr>
          <w:b/>
        </w:rPr>
      </w:pPr>
      <w:r w:rsidRPr="00A857A7">
        <w:t xml:space="preserve">Data is only available from 2016 onwards as the relevant supporting data from the JSA REOS only started being collected in 2016. </w:t>
      </w:r>
    </w:p>
    <w:p w14:paraId="55D6B88E" w14:textId="77777777" w:rsidR="00A857A7" w:rsidRPr="0062097D" w:rsidRDefault="00A857A7" w:rsidP="00212536">
      <w:pPr>
        <w:pStyle w:val="Heading2"/>
      </w:pPr>
      <w:r w:rsidRPr="00CD5EED">
        <w:t>Is data on more detailed occupations and regions available?</w:t>
      </w:r>
      <w:r w:rsidRPr="0062097D">
        <w:t xml:space="preserve"> </w:t>
      </w:r>
    </w:p>
    <w:p w14:paraId="297311B4" w14:textId="6658E40C" w:rsidR="00A857A7" w:rsidRPr="00A857A7" w:rsidRDefault="00A857A7" w:rsidP="005216F1">
      <w:pPr>
        <w:rPr>
          <w:b/>
        </w:rPr>
      </w:pPr>
      <w:r w:rsidRPr="00A857A7">
        <w:t>The JSA Total New Vacancies (TNV) series is as an initial release, with data available for Australia and by 2-digit ANZSCO occupation</w:t>
      </w:r>
      <w:r w:rsidR="00AD6142">
        <w:t xml:space="preserve"> and SA4 regions</w:t>
      </w:r>
      <w:r w:rsidRPr="00A857A7">
        <w:t>. JSA is continuing to review and develop the TNV series and may consider publishing the series on a regular basis and at more detailed levels of disaggregation in the future.</w:t>
      </w:r>
    </w:p>
    <w:p w14:paraId="3E7AF25E" w14:textId="59A58C5A" w:rsidR="00A857A7" w:rsidRPr="005216F1" w:rsidRDefault="00B2138E" w:rsidP="005216F1">
      <w:pPr>
        <w:pStyle w:val="Heading1"/>
      </w:pPr>
      <w:r>
        <w:br w:type="column"/>
      </w:r>
      <w:r w:rsidR="00A857A7" w:rsidRPr="005216F1">
        <w:lastRenderedPageBreak/>
        <w:t>Feedback and future releases</w:t>
      </w:r>
    </w:p>
    <w:p w14:paraId="0DB0E109" w14:textId="37F83C5C" w:rsidR="00A857A7" w:rsidRPr="00731AEC" w:rsidRDefault="00A857A7" w:rsidP="005216F1">
      <w:r w:rsidRPr="00D31BB7">
        <w:t xml:space="preserve">JSA welcomes comments, feedback and questions to help improve the series, as well as feedback on the usefulness of the series for stakeholders. To provide feedback or submit an enquiry, please contact: </w:t>
      </w:r>
      <w:hyperlink r:id="rId21" w:history="1">
        <w:r w:rsidRPr="00D31BB7">
          <w:rPr>
            <w:rStyle w:val="Hyperlink"/>
            <w:rFonts w:cs="Arial"/>
          </w:rPr>
          <w:t>JSA-Nowcasting@jobsandskills.gov.au</w:t>
        </w:r>
      </w:hyperlink>
    </w:p>
    <w:p w14:paraId="55B5C46D" w14:textId="77777777" w:rsidR="00A857A7" w:rsidRPr="005216F1" w:rsidRDefault="00A857A7" w:rsidP="005216F1">
      <w:pPr>
        <w:pStyle w:val="Heading1"/>
      </w:pPr>
      <w:r w:rsidRPr="005216F1">
        <w:t>Acknowledgements</w:t>
      </w:r>
    </w:p>
    <w:p w14:paraId="393D5F3E" w14:textId="77777777" w:rsidR="00A857A7" w:rsidRPr="00A857A7" w:rsidRDefault="00A857A7" w:rsidP="005216F1">
      <w:pPr>
        <w:rPr>
          <w:b/>
        </w:rPr>
      </w:pPr>
      <w:r w:rsidRPr="00A857A7">
        <w:t xml:space="preserve">JSA would like to acknowledge and thank the following people and organisations for their engagement and feedback on the project to date: </w:t>
      </w:r>
    </w:p>
    <w:p w14:paraId="027B989B" w14:textId="77777777" w:rsidR="00A857A7" w:rsidRPr="0062097D" w:rsidRDefault="00A857A7" w:rsidP="005216F1">
      <w:pPr>
        <w:pStyle w:val="ListBullet"/>
      </w:pPr>
      <w:r w:rsidRPr="00A857A7">
        <w:t>Seek, CareerOne and Workforce Australia for their ongoing contribution to the JSA Internet Vacancy Index.</w:t>
      </w:r>
    </w:p>
    <w:p w14:paraId="5A9A25EF" w14:textId="77777777" w:rsidR="00A857A7" w:rsidRPr="0062097D" w:rsidRDefault="00A857A7" w:rsidP="005216F1">
      <w:pPr>
        <w:pStyle w:val="ListBullet"/>
      </w:pPr>
      <w:r w:rsidRPr="00A857A7">
        <w:t>ABS, RBA, Treasury, e61 and Jeff Borland for their advice during the development of the TNV series.</w:t>
      </w:r>
    </w:p>
    <w:p w14:paraId="125EF17F" w14:textId="4AF99362" w:rsidR="00446C7E" w:rsidRPr="0062097D" w:rsidRDefault="00A857A7" w:rsidP="00212536">
      <w:pPr>
        <w:pStyle w:val="ListBullet"/>
      </w:pPr>
      <w:r w:rsidRPr="00A857A7">
        <w:t>All other stakeholders and interested parties who have provided feedback following the initial release of the TNV series.</w:t>
      </w:r>
      <w:bookmarkEnd w:id="0"/>
      <w:bookmarkEnd w:id="1"/>
    </w:p>
    <w:sectPr w:rsidR="00446C7E" w:rsidRPr="0062097D" w:rsidSect="00446C7E">
      <w:pgSz w:w="11906" w:h="16838"/>
      <w:pgMar w:top="1276" w:right="1440" w:bottom="1134" w:left="1440" w:header="0" w:footer="5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0FF6" w14:textId="77777777" w:rsidR="00FD5C2A" w:rsidRDefault="00FD5C2A" w:rsidP="008C0056">
      <w:r>
        <w:separator/>
      </w:r>
    </w:p>
  </w:endnote>
  <w:endnote w:type="continuationSeparator" w:id="0">
    <w:p w14:paraId="693058E5" w14:textId="77777777" w:rsidR="00FD5C2A" w:rsidRDefault="00FD5C2A" w:rsidP="008C0056">
      <w:r>
        <w:continuationSeparator/>
      </w:r>
    </w:p>
  </w:endnote>
  <w:endnote w:type="continuationNotice" w:id="1">
    <w:p w14:paraId="713C997D" w14:textId="77777777" w:rsidR="00FD5C2A" w:rsidRDefault="00FD5C2A"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0DDA2CCC" w:rsidR="003708C1" w:rsidRPr="00991526" w:rsidRDefault="00051CBE" w:rsidP="00991526">
        <w:pPr>
          <w:pStyle w:val="Footer"/>
        </w:pPr>
        <w:r w:rsidRPr="00991526">
          <w:t xml:space="preserve">Jobs and Skills Australia – </w:t>
        </w:r>
        <w:r w:rsidR="00F9166E">
          <w:t>Total New Vacancies (TNV) series</w:t>
        </w:r>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20DF6BD7" w14:textId="77777777" w:rsidTr="576AB269">
      <w:trPr>
        <w:trHeight w:val="300"/>
      </w:trPr>
      <w:tc>
        <w:tcPr>
          <w:tcW w:w="3005" w:type="dxa"/>
        </w:tcPr>
        <w:p w14:paraId="023A381E" w14:textId="2E603919" w:rsidR="576AB269" w:rsidRDefault="576AB269" w:rsidP="576AB269">
          <w:pPr>
            <w:pStyle w:val="Header"/>
            <w:ind w:left="-115"/>
          </w:pPr>
        </w:p>
      </w:tc>
      <w:tc>
        <w:tcPr>
          <w:tcW w:w="3005" w:type="dxa"/>
        </w:tcPr>
        <w:p w14:paraId="4AB0E096" w14:textId="1E1D98F6" w:rsidR="576AB269" w:rsidRDefault="576AB269" w:rsidP="576AB269">
          <w:pPr>
            <w:pStyle w:val="Header"/>
            <w:jc w:val="center"/>
          </w:pPr>
        </w:p>
      </w:tc>
      <w:tc>
        <w:tcPr>
          <w:tcW w:w="3005" w:type="dxa"/>
        </w:tcPr>
        <w:p w14:paraId="2548FA19" w14:textId="4BA48CB4" w:rsidR="576AB269" w:rsidRDefault="576AB269" w:rsidP="576AB269">
          <w:pPr>
            <w:pStyle w:val="Header"/>
            <w:ind w:right="-115"/>
            <w:jc w:val="right"/>
          </w:pPr>
        </w:p>
      </w:tc>
    </w:tr>
  </w:tbl>
  <w:p w14:paraId="486D0428" w14:textId="4AFBFF1C" w:rsidR="576AB269" w:rsidRDefault="576AB269" w:rsidP="576AB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3F5213CB" w14:textId="77777777" w:rsidTr="576AB269">
      <w:trPr>
        <w:trHeight w:val="300"/>
      </w:trPr>
      <w:tc>
        <w:tcPr>
          <w:tcW w:w="3005" w:type="dxa"/>
        </w:tcPr>
        <w:p w14:paraId="2C9F4CE5" w14:textId="62444DE3" w:rsidR="576AB269" w:rsidRDefault="576AB269" w:rsidP="576AB269">
          <w:pPr>
            <w:pStyle w:val="Header"/>
            <w:ind w:left="-115"/>
          </w:pPr>
        </w:p>
      </w:tc>
      <w:tc>
        <w:tcPr>
          <w:tcW w:w="3005" w:type="dxa"/>
        </w:tcPr>
        <w:p w14:paraId="1A847802" w14:textId="6513400F" w:rsidR="576AB269" w:rsidRDefault="576AB269" w:rsidP="576AB269">
          <w:pPr>
            <w:pStyle w:val="Header"/>
            <w:jc w:val="center"/>
          </w:pPr>
        </w:p>
      </w:tc>
      <w:tc>
        <w:tcPr>
          <w:tcW w:w="3005" w:type="dxa"/>
        </w:tcPr>
        <w:p w14:paraId="270D7629" w14:textId="6637942F" w:rsidR="576AB269" w:rsidRDefault="576AB269" w:rsidP="576AB269">
          <w:pPr>
            <w:pStyle w:val="Header"/>
            <w:ind w:right="-115"/>
            <w:jc w:val="right"/>
          </w:pPr>
        </w:p>
      </w:tc>
    </w:tr>
  </w:tbl>
  <w:p w14:paraId="111650F1" w14:textId="3D663947" w:rsidR="576AB269" w:rsidRDefault="576AB269" w:rsidP="576AB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06190" w14:textId="77777777" w:rsidR="00FD5C2A" w:rsidRDefault="00FD5C2A" w:rsidP="008C0056">
      <w:r>
        <w:separator/>
      </w:r>
    </w:p>
  </w:footnote>
  <w:footnote w:type="continuationSeparator" w:id="0">
    <w:p w14:paraId="77801C0A" w14:textId="77777777" w:rsidR="00FD5C2A" w:rsidRDefault="00FD5C2A" w:rsidP="008C0056">
      <w:r>
        <w:continuationSeparator/>
      </w:r>
    </w:p>
  </w:footnote>
  <w:footnote w:type="continuationNotice" w:id="1">
    <w:p w14:paraId="5F4E47F0" w14:textId="77777777" w:rsidR="00FD5C2A" w:rsidRDefault="00FD5C2A" w:rsidP="008C0056"/>
  </w:footnote>
  <w:footnote w:id="2">
    <w:p w14:paraId="2E0635CF" w14:textId="77777777" w:rsidR="00F9166E" w:rsidRPr="00446C7E" w:rsidRDefault="00F9166E" w:rsidP="00F9166E">
      <w:pPr>
        <w:pStyle w:val="FootnoteText"/>
        <w:rPr>
          <w:rFonts w:ascii="Arial" w:hAnsi="Arial" w:cs="Arial"/>
          <w:sz w:val="18"/>
          <w:szCs w:val="18"/>
        </w:rPr>
      </w:pPr>
      <w:r w:rsidRPr="00446C7E">
        <w:rPr>
          <w:rStyle w:val="FootnoteReference"/>
          <w:rFonts w:cs="Arial"/>
          <w:sz w:val="18"/>
          <w:szCs w:val="18"/>
        </w:rPr>
        <w:footnoteRef/>
      </w:r>
      <w:r w:rsidRPr="00446C7E">
        <w:rPr>
          <w:rFonts w:ascii="Arial" w:hAnsi="Arial" w:cs="Arial"/>
          <w:sz w:val="18"/>
          <w:szCs w:val="18"/>
        </w:rPr>
        <w:t xml:space="preserve"> Further information on the concepts, methods and core questionnaire of the REOS survey can be found </w:t>
      </w:r>
      <w:hyperlink r:id="rId1" w:history="1">
        <w:r w:rsidRPr="00446C7E">
          <w:rPr>
            <w:rStyle w:val="Hyperlink"/>
            <w:rFonts w:ascii="Arial" w:hAnsi="Arial" w:cs="Arial"/>
            <w:sz w:val="18"/>
            <w:szCs w:val="18"/>
          </w:rPr>
          <w:t>here</w:t>
        </w:r>
      </w:hyperlink>
      <w:r w:rsidRPr="00446C7E">
        <w:rPr>
          <w:rFonts w:ascii="Arial" w:hAnsi="Arial" w:cs="Arial"/>
          <w:sz w:val="18"/>
          <w:szCs w:val="18"/>
        </w:rPr>
        <w:t xml:space="preserve"> noting that there are also additional questions asked in the survey beyond those in the core survey.</w:t>
      </w:r>
    </w:p>
  </w:footnote>
  <w:footnote w:id="3">
    <w:p w14:paraId="3F4B1519" w14:textId="77777777" w:rsidR="00F9166E" w:rsidRPr="00446C7E" w:rsidRDefault="00F9166E" w:rsidP="00F9166E">
      <w:pPr>
        <w:pStyle w:val="FootnoteText"/>
        <w:rPr>
          <w:rFonts w:ascii="Arial" w:hAnsi="Arial" w:cs="Arial"/>
          <w:sz w:val="18"/>
          <w:szCs w:val="18"/>
        </w:rPr>
      </w:pPr>
      <w:r w:rsidRPr="00446C7E">
        <w:rPr>
          <w:rStyle w:val="FootnoteReference"/>
          <w:sz w:val="18"/>
          <w:szCs w:val="18"/>
        </w:rPr>
        <w:footnoteRef/>
      </w:r>
      <w:r w:rsidRPr="00446C7E">
        <w:rPr>
          <w:sz w:val="18"/>
          <w:szCs w:val="18"/>
        </w:rPr>
        <w:t xml:space="preserve"> </w:t>
      </w:r>
      <w:r w:rsidRPr="00446C7E">
        <w:rPr>
          <w:rFonts w:ascii="Arial" w:hAnsi="Arial" w:cs="Arial"/>
          <w:sz w:val="18"/>
          <w:szCs w:val="18"/>
        </w:rPr>
        <w:t>For reference, the average annual REOS sample size for Sales Workers vacancies was around 2,800 in 2021 and 2022, while for Professionals vacancies the average annual REOS sample size was 1,200.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A712252" w14:textId="77777777" w:rsidTr="576AB269">
      <w:trPr>
        <w:trHeight w:val="300"/>
      </w:trPr>
      <w:tc>
        <w:tcPr>
          <w:tcW w:w="3005" w:type="dxa"/>
        </w:tcPr>
        <w:p w14:paraId="4D4D91D2" w14:textId="6A42D6FB" w:rsidR="576AB269" w:rsidRDefault="576AB269" w:rsidP="576AB269">
          <w:pPr>
            <w:pStyle w:val="Header"/>
            <w:ind w:left="-115"/>
          </w:pPr>
        </w:p>
      </w:tc>
      <w:tc>
        <w:tcPr>
          <w:tcW w:w="3005" w:type="dxa"/>
        </w:tcPr>
        <w:p w14:paraId="51609BDA" w14:textId="0A0C651B" w:rsidR="576AB269" w:rsidRDefault="576AB269" w:rsidP="576AB269">
          <w:pPr>
            <w:pStyle w:val="Header"/>
            <w:jc w:val="center"/>
          </w:pPr>
        </w:p>
      </w:tc>
      <w:tc>
        <w:tcPr>
          <w:tcW w:w="3005" w:type="dxa"/>
        </w:tcPr>
        <w:p w14:paraId="1E653625" w14:textId="30193F51" w:rsidR="576AB269" w:rsidRDefault="576AB269" w:rsidP="576AB269">
          <w:pPr>
            <w:pStyle w:val="Header"/>
            <w:ind w:right="-115"/>
            <w:jc w:val="right"/>
          </w:pPr>
        </w:p>
      </w:tc>
    </w:tr>
  </w:tbl>
  <w:p w14:paraId="3730D40E" w14:textId="1FC5D652" w:rsidR="576AB269" w:rsidRDefault="576AB269" w:rsidP="576AB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06EBD6A4" w14:textId="77777777" w:rsidTr="576AB269">
      <w:trPr>
        <w:trHeight w:val="300"/>
      </w:trPr>
      <w:tc>
        <w:tcPr>
          <w:tcW w:w="3005" w:type="dxa"/>
        </w:tcPr>
        <w:p w14:paraId="6FA94443" w14:textId="074FC6DD" w:rsidR="576AB269" w:rsidRDefault="576AB269" w:rsidP="576AB269">
          <w:pPr>
            <w:pStyle w:val="Header"/>
            <w:ind w:left="-115"/>
          </w:pPr>
        </w:p>
      </w:tc>
      <w:tc>
        <w:tcPr>
          <w:tcW w:w="3005" w:type="dxa"/>
        </w:tcPr>
        <w:p w14:paraId="30F5AC60" w14:textId="2B5DCB08" w:rsidR="576AB269" w:rsidRDefault="576AB269" w:rsidP="576AB269">
          <w:pPr>
            <w:pStyle w:val="Header"/>
            <w:jc w:val="center"/>
          </w:pPr>
        </w:p>
      </w:tc>
      <w:tc>
        <w:tcPr>
          <w:tcW w:w="3005" w:type="dxa"/>
        </w:tcPr>
        <w:p w14:paraId="2EAF1768" w14:textId="027CFF36" w:rsidR="576AB269" w:rsidRDefault="576AB269" w:rsidP="576AB269">
          <w:pPr>
            <w:pStyle w:val="Header"/>
            <w:ind w:right="-115"/>
            <w:jc w:val="right"/>
          </w:pPr>
        </w:p>
      </w:tc>
    </w:tr>
  </w:tbl>
  <w:p w14:paraId="0532DD90" w14:textId="67F12944" w:rsidR="576AB269" w:rsidRDefault="576AB269" w:rsidP="576AB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7D53ECD" w14:textId="77777777" w:rsidTr="576AB269">
      <w:trPr>
        <w:trHeight w:val="300"/>
      </w:trPr>
      <w:tc>
        <w:tcPr>
          <w:tcW w:w="3005" w:type="dxa"/>
        </w:tcPr>
        <w:p w14:paraId="461FE6D5" w14:textId="076F802E" w:rsidR="576AB269" w:rsidRDefault="576AB269" w:rsidP="576AB269">
          <w:pPr>
            <w:pStyle w:val="Header"/>
            <w:ind w:left="-115"/>
          </w:pPr>
        </w:p>
      </w:tc>
      <w:tc>
        <w:tcPr>
          <w:tcW w:w="3005" w:type="dxa"/>
        </w:tcPr>
        <w:p w14:paraId="6DC3180F" w14:textId="5C42AEB9" w:rsidR="576AB269" w:rsidRDefault="576AB269" w:rsidP="576AB269">
          <w:pPr>
            <w:pStyle w:val="Header"/>
            <w:jc w:val="center"/>
          </w:pPr>
        </w:p>
      </w:tc>
      <w:tc>
        <w:tcPr>
          <w:tcW w:w="3005" w:type="dxa"/>
        </w:tcPr>
        <w:p w14:paraId="6ABE341D" w14:textId="3D021FE0" w:rsidR="576AB269" w:rsidRDefault="576AB269" w:rsidP="576AB269">
          <w:pPr>
            <w:pStyle w:val="Header"/>
            <w:ind w:right="-115"/>
            <w:jc w:val="right"/>
          </w:pPr>
        </w:p>
      </w:tc>
    </w:tr>
  </w:tbl>
  <w:p w14:paraId="6B853316" w14:textId="7EFB1D91" w:rsidR="576AB269" w:rsidRDefault="576AB269" w:rsidP="576AB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C2BE72E" w14:textId="77777777" w:rsidTr="576AB269">
      <w:trPr>
        <w:trHeight w:val="300"/>
      </w:trPr>
      <w:tc>
        <w:tcPr>
          <w:tcW w:w="3005" w:type="dxa"/>
        </w:tcPr>
        <w:p w14:paraId="5860EF61" w14:textId="59D9ABBB" w:rsidR="576AB269" w:rsidRDefault="576AB269" w:rsidP="576AB269">
          <w:pPr>
            <w:pStyle w:val="Header"/>
            <w:ind w:left="-115"/>
          </w:pPr>
        </w:p>
      </w:tc>
      <w:tc>
        <w:tcPr>
          <w:tcW w:w="3005" w:type="dxa"/>
        </w:tcPr>
        <w:p w14:paraId="51FE75E4" w14:textId="5B3E34E1" w:rsidR="576AB269" w:rsidRDefault="576AB269" w:rsidP="576AB269">
          <w:pPr>
            <w:pStyle w:val="Header"/>
            <w:jc w:val="center"/>
          </w:pPr>
        </w:p>
      </w:tc>
      <w:tc>
        <w:tcPr>
          <w:tcW w:w="3005" w:type="dxa"/>
        </w:tcPr>
        <w:p w14:paraId="3298DFA3" w14:textId="0F46A30B" w:rsidR="576AB269" w:rsidRDefault="576AB269" w:rsidP="576AB269">
          <w:pPr>
            <w:pStyle w:val="Header"/>
            <w:ind w:right="-115"/>
            <w:jc w:val="right"/>
          </w:pPr>
        </w:p>
      </w:tc>
    </w:tr>
  </w:tbl>
  <w:p w14:paraId="6EDC3CA4" w14:textId="3BF3ECCB" w:rsidR="576AB269" w:rsidRDefault="576AB269" w:rsidP="576AB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1DB564E"/>
    <w:multiLevelType w:val="hybridMultilevel"/>
    <w:tmpl w:val="D0AC0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0" w15:restartNumberingAfterBreak="0">
    <w:nsid w:val="1F634BE2"/>
    <w:multiLevelType w:val="hybridMultilevel"/>
    <w:tmpl w:val="CD48C1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EF39CA"/>
    <w:multiLevelType w:val="hybridMultilevel"/>
    <w:tmpl w:val="E974C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7072DB"/>
    <w:multiLevelType w:val="hybridMultilevel"/>
    <w:tmpl w:val="111A7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5A34B82"/>
    <w:multiLevelType w:val="hybridMultilevel"/>
    <w:tmpl w:val="D0CCD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53361C"/>
    <w:multiLevelType w:val="hybridMultilevel"/>
    <w:tmpl w:val="351267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EDB3953"/>
    <w:multiLevelType w:val="hybridMultilevel"/>
    <w:tmpl w:val="A50AF9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21"/>
  </w:num>
  <w:num w:numId="2" w16cid:durableId="1668050683">
    <w:abstractNumId w:val="15"/>
  </w:num>
  <w:num w:numId="3" w16cid:durableId="1683042470">
    <w:abstractNumId w:val="7"/>
  </w:num>
  <w:num w:numId="4" w16cid:durableId="133523604">
    <w:abstractNumId w:val="19"/>
  </w:num>
  <w:num w:numId="5" w16cid:durableId="1994024302">
    <w:abstractNumId w:val="20"/>
  </w:num>
  <w:num w:numId="6" w16cid:durableId="1358852113">
    <w:abstractNumId w:val="14"/>
  </w:num>
  <w:num w:numId="7" w16cid:durableId="2047246184">
    <w:abstractNumId w:val="9"/>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3"/>
  </w:num>
  <w:num w:numId="15" w16cid:durableId="406730085">
    <w:abstractNumId w:val="8"/>
  </w:num>
  <w:num w:numId="16" w16cid:durableId="529299046">
    <w:abstractNumId w:val="6"/>
  </w:num>
  <w:num w:numId="17" w16cid:durableId="887106997">
    <w:abstractNumId w:val="16"/>
  </w:num>
  <w:num w:numId="18" w16cid:durableId="1426072955">
    <w:abstractNumId w:val="12"/>
  </w:num>
  <w:num w:numId="19" w16cid:durableId="672146131">
    <w:abstractNumId w:val="10"/>
  </w:num>
  <w:num w:numId="20" w16cid:durableId="1425683951">
    <w:abstractNumId w:val="17"/>
  </w:num>
  <w:num w:numId="21" w16cid:durableId="439490660">
    <w:abstractNumId w:val="18"/>
  </w:num>
  <w:num w:numId="22" w16cid:durableId="5452598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E8E"/>
    <w:rsid w:val="00025BD0"/>
    <w:rsid w:val="000261A3"/>
    <w:rsid w:val="0003316F"/>
    <w:rsid w:val="00035ADD"/>
    <w:rsid w:val="00037EB9"/>
    <w:rsid w:val="000400CC"/>
    <w:rsid w:val="000404CE"/>
    <w:rsid w:val="0004100D"/>
    <w:rsid w:val="00041073"/>
    <w:rsid w:val="00042611"/>
    <w:rsid w:val="00051CBE"/>
    <w:rsid w:val="0005518A"/>
    <w:rsid w:val="000572BD"/>
    <w:rsid w:val="00085C9C"/>
    <w:rsid w:val="00095E11"/>
    <w:rsid w:val="000A145A"/>
    <w:rsid w:val="000A6F66"/>
    <w:rsid w:val="000A7F1E"/>
    <w:rsid w:val="000B37A0"/>
    <w:rsid w:val="000B6324"/>
    <w:rsid w:val="000C0BA2"/>
    <w:rsid w:val="000C48C1"/>
    <w:rsid w:val="000D4135"/>
    <w:rsid w:val="000D5FCE"/>
    <w:rsid w:val="000D6745"/>
    <w:rsid w:val="000E38BA"/>
    <w:rsid w:val="000E7042"/>
    <w:rsid w:val="000E7BE8"/>
    <w:rsid w:val="00101FBF"/>
    <w:rsid w:val="00111A3D"/>
    <w:rsid w:val="001134ED"/>
    <w:rsid w:val="00123DFA"/>
    <w:rsid w:val="00124D9E"/>
    <w:rsid w:val="00125C36"/>
    <w:rsid w:val="001306D6"/>
    <w:rsid w:val="00131E99"/>
    <w:rsid w:val="00143208"/>
    <w:rsid w:val="001516BF"/>
    <w:rsid w:val="001534EA"/>
    <w:rsid w:val="00164614"/>
    <w:rsid w:val="0017574A"/>
    <w:rsid w:val="00181FAC"/>
    <w:rsid w:val="00186DC1"/>
    <w:rsid w:val="00192BED"/>
    <w:rsid w:val="001A22A8"/>
    <w:rsid w:val="001B7035"/>
    <w:rsid w:val="001B7F1C"/>
    <w:rsid w:val="001C0CB2"/>
    <w:rsid w:val="001C0D18"/>
    <w:rsid w:val="001C381D"/>
    <w:rsid w:val="001C6BA8"/>
    <w:rsid w:val="001E4423"/>
    <w:rsid w:val="001E58C4"/>
    <w:rsid w:val="001E68B7"/>
    <w:rsid w:val="001F36D6"/>
    <w:rsid w:val="001F59D3"/>
    <w:rsid w:val="00201984"/>
    <w:rsid w:val="00206249"/>
    <w:rsid w:val="00212536"/>
    <w:rsid w:val="00230142"/>
    <w:rsid w:val="0023102B"/>
    <w:rsid w:val="00233A75"/>
    <w:rsid w:val="0024392D"/>
    <w:rsid w:val="00244550"/>
    <w:rsid w:val="002618DF"/>
    <w:rsid w:val="00261D00"/>
    <w:rsid w:val="002633D9"/>
    <w:rsid w:val="00280AC6"/>
    <w:rsid w:val="002824C3"/>
    <w:rsid w:val="002927DB"/>
    <w:rsid w:val="002936DE"/>
    <w:rsid w:val="002950ED"/>
    <w:rsid w:val="00296166"/>
    <w:rsid w:val="002A4B17"/>
    <w:rsid w:val="002A4DD6"/>
    <w:rsid w:val="002B2D34"/>
    <w:rsid w:val="002B56AD"/>
    <w:rsid w:val="002B71D4"/>
    <w:rsid w:val="002C30E8"/>
    <w:rsid w:val="002D68E2"/>
    <w:rsid w:val="002E0E18"/>
    <w:rsid w:val="002E5B03"/>
    <w:rsid w:val="002E6E2F"/>
    <w:rsid w:val="002F3EB5"/>
    <w:rsid w:val="002F5690"/>
    <w:rsid w:val="002F60F2"/>
    <w:rsid w:val="003060CC"/>
    <w:rsid w:val="00306575"/>
    <w:rsid w:val="00306C0E"/>
    <w:rsid w:val="00310CA1"/>
    <w:rsid w:val="003122CC"/>
    <w:rsid w:val="00313B29"/>
    <w:rsid w:val="00314E27"/>
    <w:rsid w:val="00323B9A"/>
    <w:rsid w:val="00327AB4"/>
    <w:rsid w:val="0033752C"/>
    <w:rsid w:val="0035131B"/>
    <w:rsid w:val="00366923"/>
    <w:rsid w:val="003708C1"/>
    <w:rsid w:val="00374E1D"/>
    <w:rsid w:val="00383F3A"/>
    <w:rsid w:val="00385788"/>
    <w:rsid w:val="00385ABF"/>
    <w:rsid w:val="00387373"/>
    <w:rsid w:val="0039115D"/>
    <w:rsid w:val="003926FD"/>
    <w:rsid w:val="003A2337"/>
    <w:rsid w:val="003B19DF"/>
    <w:rsid w:val="003B474F"/>
    <w:rsid w:val="003C0817"/>
    <w:rsid w:val="003D48E5"/>
    <w:rsid w:val="003E0796"/>
    <w:rsid w:val="003E0AC4"/>
    <w:rsid w:val="003E0B70"/>
    <w:rsid w:val="003E3395"/>
    <w:rsid w:val="003F4869"/>
    <w:rsid w:val="00414A4A"/>
    <w:rsid w:val="00422AD4"/>
    <w:rsid w:val="00431BE4"/>
    <w:rsid w:val="00431BFC"/>
    <w:rsid w:val="00440C82"/>
    <w:rsid w:val="00444072"/>
    <w:rsid w:val="004440ED"/>
    <w:rsid w:val="00446C7E"/>
    <w:rsid w:val="00465736"/>
    <w:rsid w:val="00475029"/>
    <w:rsid w:val="004773D3"/>
    <w:rsid w:val="004959E6"/>
    <w:rsid w:val="004B5AE4"/>
    <w:rsid w:val="004C542A"/>
    <w:rsid w:val="004C705B"/>
    <w:rsid w:val="004D0F14"/>
    <w:rsid w:val="004D22A5"/>
    <w:rsid w:val="004D3224"/>
    <w:rsid w:val="004D3A08"/>
    <w:rsid w:val="004E0B8B"/>
    <w:rsid w:val="004E1317"/>
    <w:rsid w:val="004F2369"/>
    <w:rsid w:val="00506CD7"/>
    <w:rsid w:val="005109B7"/>
    <w:rsid w:val="00513C8F"/>
    <w:rsid w:val="0051507F"/>
    <w:rsid w:val="005216F1"/>
    <w:rsid w:val="00532929"/>
    <w:rsid w:val="005411A8"/>
    <w:rsid w:val="00543D06"/>
    <w:rsid w:val="005446B5"/>
    <w:rsid w:val="00553257"/>
    <w:rsid w:val="005533B5"/>
    <w:rsid w:val="00567E50"/>
    <w:rsid w:val="0057143D"/>
    <w:rsid w:val="00572133"/>
    <w:rsid w:val="00584E9E"/>
    <w:rsid w:val="00592584"/>
    <w:rsid w:val="005964AC"/>
    <w:rsid w:val="00597EF7"/>
    <w:rsid w:val="005A0B81"/>
    <w:rsid w:val="005A2862"/>
    <w:rsid w:val="005B2318"/>
    <w:rsid w:val="005B5A7A"/>
    <w:rsid w:val="005B60AC"/>
    <w:rsid w:val="005C1000"/>
    <w:rsid w:val="005C5BF0"/>
    <w:rsid w:val="005C6471"/>
    <w:rsid w:val="005D467D"/>
    <w:rsid w:val="005D4AEC"/>
    <w:rsid w:val="005E18D8"/>
    <w:rsid w:val="005F0CA3"/>
    <w:rsid w:val="005F1E8D"/>
    <w:rsid w:val="006029D6"/>
    <w:rsid w:val="006066C4"/>
    <w:rsid w:val="0060719B"/>
    <w:rsid w:val="006109D8"/>
    <w:rsid w:val="0062097D"/>
    <w:rsid w:val="00631632"/>
    <w:rsid w:val="00635255"/>
    <w:rsid w:val="0064002D"/>
    <w:rsid w:val="00642A9A"/>
    <w:rsid w:val="00655BCA"/>
    <w:rsid w:val="006606E0"/>
    <w:rsid w:val="006670A4"/>
    <w:rsid w:val="00677034"/>
    <w:rsid w:val="006852AA"/>
    <w:rsid w:val="00693BA4"/>
    <w:rsid w:val="00693E00"/>
    <w:rsid w:val="006A2E2C"/>
    <w:rsid w:val="006B6C94"/>
    <w:rsid w:val="006C06BF"/>
    <w:rsid w:val="006C282B"/>
    <w:rsid w:val="006D2345"/>
    <w:rsid w:val="006D3281"/>
    <w:rsid w:val="006D75B7"/>
    <w:rsid w:val="006E1136"/>
    <w:rsid w:val="006E7D59"/>
    <w:rsid w:val="006F14E0"/>
    <w:rsid w:val="006F7520"/>
    <w:rsid w:val="00702CB5"/>
    <w:rsid w:val="00703260"/>
    <w:rsid w:val="00706431"/>
    <w:rsid w:val="00710DAA"/>
    <w:rsid w:val="007117F1"/>
    <w:rsid w:val="007119BB"/>
    <w:rsid w:val="00717636"/>
    <w:rsid w:val="007177A7"/>
    <w:rsid w:val="0072165B"/>
    <w:rsid w:val="0072283D"/>
    <w:rsid w:val="0072616C"/>
    <w:rsid w:val="00731AEC"/>
    <w:rsid w:val="0073513A"/>
    <w:rsid w:val="007371B3"/>
    <w:rsid w:val="007374F9"/>
    <w:rsid w:val="0074684F"/>
    <w:rsid w:val="00746A43"/>
    <w:rsid w:val="00752771"/>
    <w:rsid w:val="00754AB9"/>
    <w:rsid w:val="00767C3A"/>
    <w:rsid w:val="00772AA8"/>
    <w:rsid w:val="00773054"/>
    <w:rsid w:val="00782490"/>
    <w:rsid w:val="00784B29"/>
    <w:rsid w:val="007866FA"/>
    <w:rsid w:val="007A3F61"/>
    <w:rsid w:val="007A5668"/>
    <w:rsid w:val="007A7572"/>
    <w:rsid w:val="007B0EC1"/>
    <w:rsid w:val="007B100A"/>
    <w:rsid w:val="007B21A5"/>
    <w:rsid w:val="007B2AD6"/>
    <w:rsid w:val="007B3938"/>
    <w:rsid w:val="007C6AEC"/>
    <w:rsid w:val="007C7CE3"/>
    <w:rsid w:val="007D1E7B"/>
    <w:rsid w:val="007D4ED8"/>
    <w:rsid w:val="007D799D"/>
    <w:rsid w:val="007F7DBD"/>
    <w:rsid w:val="00802F0D"/>
    <w:rsid w:val="0081136A"/>
    <w:rsid w:val="00811B37"/>
    <w:rsid w:val="00814D30"/>
    <w:rsid w:val="00837EDC"/>
    <w:rsid w:val="00840DAA"/>
    <w:rsid w:val="0084197B"/>
    <w:rsid w:val="0084740A"/>
    <w:rsid w:val="00857878"/>
    <w:rsid w:val="00857E1B"/>
    <w:rsid w:val="008634C2"/>
    <w:rsid w:val="00864EEA"/>
    <w:rsid w:val="00865E4F"/>
    <w:rsid w:val="00866663"/>
    <w:rsid w:val="00873BE7"/>
    <w:rsid w:val="00875ABD"/>
    <w:rsid w:val="0087706C"/>
    <w:rsid w:val="0088237E"/>
    <w:rsid w:val="00886A15"/>
    <w:rsid w:val="008A4932"/>
    <w:rsid w:val="008A6964"/>
    <w:rsid w:val="008B3E8F"/>
    <w:rsid w:val="008C0056"/>
    <w:rsid w:val="008C21E1"/>
    <w:rsid w:val="008D09A1"/>
    <w:rsid w:val="008D76F6"/>
    <w:rsid w:val="008F2F17"/>
    <w:rsid w:val="008F2F5C"/>
    <w:rsid w:val="008F5797"/>
    <w:rsid w:val="008F67C4"/>
    <w:rsid w:val="009062AE"/>
    <w:rsid w:val="00923B0D"/>
    <w:rsid w:val="0092478E"/>
    <w:rsid w:val="00934B76"/>
    <w:rsid w:val="00937A11"/>
    <w:rsid w:val="009417F7"/>
    <w:rsid w:val="009426F3"/>
    <w:rsid w:val="00960625"/>
    <w:rsid w:val="00963C9F"/>
    <w:rsid w:val="00963F49"/>
    <w:rsid w:val="0096517C"/>
    <w:rsid w:val="00966619"/>
    <w:rsid w:val="00970592"/>
    <w:rsid w:val="00973117"/>
    <w:rsid w:val="009858C3"/>
    <w:rsid w:val="00991526"/>
    <w:rsid w:val="00991DED"/>
    <w:rsid w:val="00997F6C"/>
    <w:rsid w:val="009A0E76"/>
    <w:rsid w:val="009A5BC4"/>
    <w:rsid w:val="009B0BC5"/>
    <w:rsid w:val="009B1F4E"/>
    <w:rsid w:val="009B34AC"/>
    <w:rsid w:val="009C18FD"/>
    <w:rsid w:val="009C3CB0"/>
    <w:rsid w:val="009C4CA6"/>
    <w:rsid w:val="009C56D1"/>
    <w:rsid w:val="009D18C2"/>
    <w:rsid w:val="009D5A36"/>
    <w:rsid w:val="009E34D5"/>
    <w:rsid w:val="009E4054"/>
    <w:rsid w:val="009F4D35"/>
    <w:rsid w:val="009F7A5A"/>
    <w:rsid w:val="00A03C15"/>
    <w:rsid w:val="00A070B7"/>
    <w:rsid w:val="00A13691"/>
    <w:rsid w:val="00A14752"/>
    <w:rsid w:val="00A3043E"/>
    <w:rsid w:val="00A36734"/>
    <w:rsid w:val="00A369AC"/>
    <w:rsid w:val="00A43021"/>
    <w:rsid w:val="00A4461A"/>
    <w:rsid w:val="00A44B77"/>
    <w:rsid w:val="00A459DE"/>
    <w:rsid w:val="00A50D02"/>
    <w:rsid w:val="00A5508E"/>
    <w:rsid w:val="00A6063F"/>
    <w:rsid w:val="00A62216"/>
    <w:rsid w:val="00A65913"/>
    <w:rsid w:val="00A70A4D"/>
    <w:rsid w:val="00A7229C"/>
    <w:rsid w:val="00A74E0F"/>
    <w:rsid w:val="00A80E09"/>
    <w:rsid w:val="00A82967"/>
    <w:rsid w:val="00A851E3"/>
    <w:rsid w:val="00A85242"/>
    <w:rsid w:val="00A857A7"/>
    <w:rsid w:val="00A9012A"/>
    <w:rsid w:val="00A93DF6"/>
    <w:rsid w:val="00AA5771"/>
    <w:rsid w:val="00AB0EF9"/>
    <w:rsid w:val="00AB2FCB"/>
    <w:rsid w:val="00AC08D2"/>
    <w:rsid w:val="00AC1BEE"/>
    <w:rsid w:val="00AC3E56"/>
    <w:rsid w:val="00AC4BDA"/>
    <w:rsid w:val="00AD0C81"/>
    <w:rsid w:val="00AD6142"/>
    <w:rsid w:val="00AD7BF9"/>
    <w:rsid w:val="00AE1EED"/>
    <w:rsid w:val="00AE5CF6"/>
    <w:rsid w:val="00AE68CA"/>
    <w:rsid w:val="00AE6E2F"/>
    <w:rsid w:val="00AF2783"/>
    <w:rsid w:val="00AF57B3"/>
    <w:rsid w:val="00B04E3B"/>
    <w:rsid w:val="00B07C62"/>
    <w:rsid w:val="00B10FC9"/>
    <w:rsid w:val="00B11937"/>
    <w:rsid w:val="00B12498"/>
    <w:rsid w:val="00B2138E"/>
    <w:rsid w:val="00B21E09"/>
    <w:rsid w:val="00B23D6D"/>
    <w:rsid w:val="00B26C3D"/>
    <w:rsid w:val="00B275AC"/>
    <w:rsid w:val="00B27734"/>
    <w:rsid w:val="00B32201"/>
    <w:rsid w:val="00B366DB"/>
    <w:rsid w:val="00B37667"/>
    <w:rsid w:val="00B44B46"/>
    <w:rsid w:val="00B44BFF"/>
    <w:rsid w:val="00B5117D"/>
    <w:rsid w:val="00B532DB"/>
    <w:rsid w:val="00B545CC"/>
    <w:rsid w:val="00B54794"/>
    <w:rsid w:val="00B72A6C"/>
    <w:rsid w:val="00B72B74"/>
    <w:rsid w:val="00B94111"/>
    <w:rsid w:val="00B94F0A"/>
    <w:rsid w:val="00B95FED"/>
    <w:rsid w:val="00BA18F6"/>
    <w:rsid w:val="00BA4854"/>
    <w:rsid w:val="00BB2ACB"/>
    <w:rsid w:val="00BB55C1"/>
    <w:rsid w:val="00BD5583"/>
    <w:rsid w:val="00BE0FFD"/>
    <w:rsid w:val="00BE13B4"/>
    <w:rsid w:val="00BE2AB7"/>
    <w:rsid w:val="00BE4587"/>
    <w:rsid w:val="00BE5033"/>
    <w:rsid w:val="00BE5400"/>
    <w:rsid w:val="00BE68F3"/>
    <w:rsid w:val="00BF3528"/>
    <w:rsid w:val="00C03955"/>
    <w:rsid w:val="00C051C3"/>
    <w:rsid w:val="00C27FFB"/>
    <w:rsid w:val="00C337DD"/>
    <w:rsid w:val="00C408E3"/>
    <w:rsid w:val="00C40E20"/>
    <w:rsid w:val="00C6447C"/>
    <w:rsid w:val="00C83737"/>
    <w:rsid w:val="00C84B60"/>
    <w:rsid w:val="00C91F4E"/>
    <w:rsid w:val="00C97453"/>
    <w:rsid w:val="00CC41F4"/>
    <w:rsid w:val="00CD0493"/>
    <w:rsid w:val="00CD1F19"/>
    <w:rsid w:val="00CE03A4"/>
    <w:rsid w:val="00CE1816"/>
    <w:rsid w:val="00CE6EEC"/>
    <w:rsid w:val="00CE71A4"/>
    <w:rsid w:val="00CF277F"/>
    <w:rsid w:val="00CF78B0"/>
    <w:rsid w:val="00D03812"/>
    <w:rsid w:val="00D045C6"/>
    <w:rsid w:val="00D048F7"/>
    <w:rsid w:val="00D05054"/>
    <w:rsid w:val="00D10911"/>
    <w:rsid w:val="00D125F6"/>
    <w:rsid w:val="00D12938"/>
    <w:rsid w:val="00D21F38"/>
    <w:rsid w:val="00D238E3"/>
    <w:rsid w:val="00D241DE"/>
    <w:rsid w:val="00D26A23"/>
    <w:rsid w:val="00D2781F"/>
    <w:rsid w:val="00D31218"/>
    <w:rsid w:val="00D31BB7"/>
    <w:rsid w:val="00D31FDA"/>
    <w:rsid w:val="00D4055A"/>
    <w:rsid w:val="00D4302A"/>
    <w:rsid w:val="00D436E8"/>
    <w:rsid w:val="00D500BB"/>
    <w:rsid w:val="00D56072"/>
    <w:rsid w:val="00D56B38"/>
    <w:rsid w:val="00D633BB"/>
    <w:rsid w:val="00D658D0"/>
    <w:rsid w:val="00D70F8A"/>
    <w:rsid w:val="00D71EFE"/>
    <w:rsid w:val="00D73EA4"/>
    <w:rsid w:val="00D82891"/>
    <w:rsid w:val="00D8323E"/>
    <w:rsid w:val="00D8583A"/>
    <w:rsid w:val="00D92118"/>
    <w:rsid w:val="00D96A1E"/>
    <w:rsid w:val="00DA60CB"/>
    <w:rsid w:val="00DB0916"/>
    <w:rsid w:val="00DC69D9"/>
    <w:rsid w:val="00DC6A05"/>
    <w:rsid w:val="00DC6BC0"/>
    <w:rsid w:val="00DD32CF"/>
    <w:rsid w:val="00DD4A34"/>
    <w:rsid w:val="00DE251A"/>
    <w:rsid w:val="00DE4605"/>
    <w:rsid w:val="00DF5B11"/>
    <w:rsid w:val="00E023D4"/>
    <w:rsid w:val="00E1387F"/>
    <w:rsid w:val="00E148F7"/>
    <w:rsid w:val="00E2056E"/>
    <w:rsid w:val="00E21A5F"/>
    <w:rsid w:val="00E255B8"/>
    <w:rsid w:val="00E32512"/>
    <w:rsid w:val="00E34BE0"/>
    <w:rsid w:val="00E419B6"/>
    <w:rsid w:val="00E47E48"/>
    <w:rsid w:val="00E560FE"/>
    <w:rsid w:val="00E56D6D"/>
    <w:rsid w:val="00E570C0"/>
    <w:rsid w:val="00E57ACE"/>
    <w:rsid w:val="00E61856"/>
    <w:rsid w:val="00E61ADA"/>
    <w:rsid w:val="00E7418D"/>
    <w:rsid w:val="00E80980"/>
    <w:rsid w:val="00E82EEB"/>
    <w:rsid w:val="00E8392F"/>
    <w:rsid w:val="00E85606"/>
    <w:rsid w:val="00E97F1F"/>
    <w:rsid w:val="00EA04CB"/>
    <w:rsid w:val="00EB6B00"/>
    <w:rsid w:val="00EB6B22"/>
    <w:rsid w:val="00ED1D58"/>
    <w:rsid w:val="00ED2051"/>
    <w:rsid w:val="00ED538C"/>
    <w:rsid w:val="00ED6282"/>
    <w:rsid w:val="00EE49FB"/>
    <w:rsid w:val="00F01D0D"/>
    <w:rsid w:val="00F01D6B"/>
    <w:rsid w:val="00F06BC4"/>
    <w:rsid w:val="00F10A19"/>
    <w:rsid w:val="00F11DE4"/>
    <w:rsid w:val="00F154E4"/>
    <w:rsid w:val="00F2073C"/>
    <w:rsid w:val="00F2332D"/>
    <w:rsid w:val="00F2586E"/>
    <w:rsid w:val="00F32D7A"/>
    <w:rsid w:val="00F40DA7"/>
    <w:rsid w:val="00F43668"/>
    <w:rsid w:val="00F4374D"/>
    <w:rsid w:val="00F61B23"/>
    <w:rsid w:val="00F627D7"/>
    <w:rsid w:val="00F63A24"/>
    <w:rsid w:val="00F739F5"/>
    <w:rsid w:val="00F766D5"/>
    <w:rsid w:val="00F8257B"/>
    <w:rsid w:val="00F84805"/>
    <w:rsid w:val="00F9166E"/>
    <w:rsid w:val="00F97459"/>
    <w:rsid w:val="00F97B7E"/>
    <w:rsid w:val="00FA72FC"/>
    <w:rsid w:val="00FA7E74"/>
    <w:rsid w:val="00FC25C0"/>
    <w:rsid w:val="00FD1FBC"/>
    <w:rsid w:val="00FD5C2A"/>
    <w:rsid w:val="00FE1090"/>
    <w:rsid w:val="00FF53A9"/>
    <w:rsid w:val="576AB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D12938"/>
    <w:pPr>
      <w:keepNext/>
      <w:keepLines/>
      <w:spacing w:before="24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D12938"/>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semiHidden/>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semiHidden/>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styleId="NormalWeb">
    <w:name w:val="Normal (Web)"/>
    <w:basedOn w:val="Normal"/>
    <w:uiPriority w:val="99"/>
    <w:unhideWhenUsed/>
    <w:rsid w:val="00446C7E"/>
    <w:pPr>
      <w:spacing w:before="100" w:beforeAutospacing="1"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446C7E"/>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446C7E"/>
    <w:rPr>
      <w:kern w:val="2"/>
      <w:sz w:val="20"/>
      <w:szCs w:val="20"/>
      <w14:ligatures w14:val="standardContextual"/>
    </w:rPr>
  </w:style>
  <w:style w:type="character" w:styleId="FootnoteReference">
    <w:name w:val="footnote reference"/>
    <w:basedOn w:val="DefaultParagraphFont"/>
    <w:uiPriority w:val="99"/>
    <w:semiHidden/>
    <w:unhideWhenUsed/>
    <w:rsid w:val="00446C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JSA-Nowcasting@jobsandskills.gov.au"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jobsandskills.gov.au/data/recruitment-experiences-and-outlook-survey"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jobsandskills.gov.au/data/internet-vacancy-inde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https://www.jobsandskills.gov.au/sites/default/files/2023-06/reos_-_concepts_methods_and_questionnaire_.pdf" TargetMode="External"/></Relationship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1764</Words>
  <Characters>9167</Characters>
  <Application>Microsoft Office Word</Application>
  <DocSecurity>0</DocSecurity>
  <Lines>227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2025-11-26T21:23:00Z</dcterms:created>
  <dcterms:modified xsi:type="dcterms:W3CDTF">2025-12-01T00:43:00Z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2025-11-19T23:36:31Z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fc450113-0c80-49c6-ade5-61d33325fb3f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