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5DD32" w14:textId="62C57D2F" w:rsidR="00D10492" w:rsidRDefault="00FD6456" w:rsidP="0081036F">
      <w:bookmarkStart w:id="0" w:name="_Hlk214480194"/>
      <w:bookmarkEnd w:id="0"/>
      <w:r>
        <w:rPr>
          <w:noProof/>
        </w:rPr>
        <w:drawing>
          <wp:inline distT="0" distB="0" distL="0" distR="0" wp14:anchorId="5A0F6164" wp14:editId="4D6064EA">
            <wp:extent cx="95263" cy="95263"/>
            <wp:effectExtent l="0" t="0" r="0" b="0"/>
            <wp:docPr id="1997040210" name="Picture 9"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40210" name="Picture 9" descr="Australian Government Jobs and Skills Australia"/>
                    <pic:cNvPicPr/>
                  </pic:nvPicPr>
                  <pic:blipFill>
                    <a:blip r:embed="rId8">
                      <a:extLst>
                        <a:ext uri="{28A0092B-C50C-407E-A947-70E740481C1C}">
                          <a14:useLocalDpi xmlns:a14="http://schemas.microsoft.com/office/drawing/2010/main" val="0"/>
                        </a:ext>
                      </a:extLst>
                    </a:blip>
                    <a:stretch>
                      <a:fillRect/>
                    </a:stretch>
                  </pic:blipFill>
                  <pic:spPr>
                    <a:xfrm>
                      <a:off x="0" y="0"/>
                      <a:ext cx="95263" cy="95263"/>
                    </a:xfrm>
                    <a:prstGeom prst="rect">
                      <a:avLst/>
                    </a:prstGeom>
                  </pic:spPr>
                </pic:pic>
              </a:graphicData>
            </a:graphic>
          </wp:inline>
        </w:drawing>
      </w:r>
      <w:r w:rsidR="00753665">
        <w:rPr>
          <w:noProof/>
        </w:rPr>
        <w:drawing>
          <wp:anchor distT="0" distB="0" distL="114300" distR="114300" simplePos="0" relativeHeight="251658240" behindDoc="1" locked="0" layoutInCell="1" allowOverlap="1" wp14:anchorId="15A583EE" wp14:editId="31DC0809">
            <wp:simplePos x="0" y="0"/>
            <wp:positionH relativeFrom="page">
              <wp:align>center</wp:align>
            </wp:positionH>
            <wp:positionV relativeFrom="page">
              <wp:posOffset>0</wp:posOffset>
            </wp:positionV>
            <wp:extent cx="7560000" cy="3596400"/>
            <wp:effectExtent l="0" t="0" r="3175" b="4445"/>
            <wp:wrapNone/>
            <wp:docPr id="1500599590" name="Picture 3"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99590" name="Picture 3" descr="A purple background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3596400"/>
                    </a:xfrm>
                    <a:prstGeom prst="rect">
                      <a:avLst/>
                    </a:prstGeom>
                  </pic:spPr>
                </pic:pic>
              </a:graphicData>
            </a:graphic>
            <wp14:sizeRelH relativeFrom="margin">
              <wp14:pctWidth>0</wp14:pctWidth>
            </wp14:sizeRelH>
            <wp14:sizeRelV relativeFrom="margin">
              <wp14:pctHeight>0</wp14:pctHeight>
            </wp14:sizeRelV>
          </wp:anchor>
        </w:drawing>
      </w:r>
    </w:p>
    <w:p w14:paraId="0AACF3F8" w14:textId="2D3B67E8" w:rsidR="001B1EB2" w:rsidRPr="00AF14B2" w:rsidRDefault="003E31B5" w:rsidP="00121C35">
      <w:pPr>
        <w:pStyle w:val="Heading1"/>
        <w:spacing w:before="1740"/>
        <w:rPr>
          <w:color w:val="FFFFFF" w:themeColor="background1"/>
          <w:sz w:val="58"/>
          <w:szCs w:val="58"/>
        </w:rPr>
      </w:pPr>
      <w:r>
        <w:rPr>
          <w:color w:val="FFFFFF" w:themeColor="background1"/>
          <w:sz w:val="58"/>
          <w:szCs w:val="58"/>
        </w:rPr>
        <w:t>Total New Vacancies</w:t>
      </w:r>
    </w:p>
    <w:p w14:paraId="28183189" w14:textId="3DA47DD9" w:rsidR="001B1EB2" w:rsidRPr="00AF14B2" w:rsidRDefault="003E31B5" w:rsidP="0081036F">
      <w:pPr>
        <w:rPr>
          <w:color w:val="FFFFFF" w:themeColor="background1"/>
          <w:sz w:val="44"/>
          <w:szCs w:val="44"/>
        </w:rPr>
      </w:pPr>
      <w:r>
        <w:rPr>
          <w:color w:val="FFFFFF" w:themeColor="background1"/>
          <w:sz w:val="44"/>
          <w:szCs w:val="44"/>
        </w:rPr>
        <w:t>August 2025</w:t>
      </w:r>
    </w:p>
    <w:p w14:paraId="5AE64FAA" w14:textId="6D01C634" w:rsidR="005E30E3" w:rsidRPr="003E31B5" w:rsidRDefault="001B1EB2" w:rsidP="003E31B5">
      <w:pPr>
        <w:spacing w:before="280" w:after="840"/>
        <w:rPr>
          <w:color w:val="FFFFFF" w:themeColor="background1"/>
          <w:sz w:val="24"/>
          <w:szCs w:val="24"/>
        </w:rPr>
        <w:sectPr w:rsidR="005E30E3" w:rsidRPr="003E31B5" w:rsidSect="004860A5">
          <w:footerReference w:type="default" r:id="rId10"/>
          <w:footerReference w:type="first" r:id="rId11"/>
          <w:type w:val="continuous"/>
          <w:pgSz w:w="11906" w:h="16838"/>
          <w:pgMar w:top="1361" w:right="1134" w:bottom="1134" w:left="1134" w:header="0" w:footer="454" w:gutter="0"/>
          <w:pgNumType w:start="1"/>
          <w:cols w:space="708"/>
          <w:docGrid w:linePitch="360"/>
        </w:sectPr>
      </w:pPr>
      <w:r w:rsidRPr="00AF14B2">
        <w:rPr>
          <w:color w:val="FFFFFF" w:themeColor="background1"/>
          <w:sz w:val="24"/>
          <w:szCs w:val="24"/>
        </w:rPr>
        <w:t xml:space="preserve">Released </w:t>
      </w:r>
      <w:r w:rsidR="003E31B5">
        <w:rPr>
          <w:color w:val="FFFFFF" w:themeColor="background1"/>
          <w:sz w:val="24"/>
          <w:szCs w:val="24"/>
        </w:rPr>
        <w:t>20</w:t>
      </w:r>
      <w:r w:rsidRPr="00AF14B2">
        <w:rPr>
          <w:color w:val="FFFFFF" w:themeColor="background1"/>
          <w:sz w:val="24"/>
          <w:szCs w:val="24"/>
        </w:rPr>
        <w:t xml:space="preserve"> November 202</w:t>
      </w:r>
      <w:r w:rsidR="003E31B5">
        <w:rPr>
          <w:color w:val="FFFFFF" w:themeColor="background1"/>
          <w:sz w:val="24"/>
          <w:szCs w:val="24"/>
        </w:rPr>
        <w:t>5</w:t>
      </w:r>
    </w:p>
    <w:p w14:paraId="35FEB2C7" w14:textId="442B7576" w:rsidR="007D1BB5" w:rsidRDefault="007D1BB5" w:rsidP="00BD1351">
      <w:pPr>
        <w:pStyle w:val="Spacer"/>
        <w:spacing w:after="360"/>
      </w:pPr>
      <w:r>
        <w:drawing>
          <wp:anchor distT="0" distB="0" distL="114300" distR="114300" simplePos="0" relativeHeight="251658242" behindDoc="1" locked="0" layoutInCell="1" allowOverlap="1" wp14:anchorId="0875CB34" wp14:editId="302B8B5F">
            <wp:simplePos x="0" y="0"/>
            <wp:positionH relativeFrom="column">
              <wp:posOffset>4368180</wp:posOffset>
            </wp:positionH>
            <wp:positionV relativeFrom="paragraph">
              <wp:posOffset>164908</wp:posOffset>
            </wp:positionV>
            <wp:extent cx="1993623" cy="3938382"/>
            <wp:effectExtent l="0" t="0" r="6985" b="5080"/>
            <wp:wrapNone/>
            <wp:docPr id="553186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1993623" cy="39383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36028" w14:textId="109F23C2" w:rsidR="0081036F" w:rsidRPr="00E0792F" w:rsidRDefault="006731CD" w:rsidP="00E32F69">
      <w:pPr>
        <w:pStyle w:val="Heading2"/>
        <w:spacing w:after="180"/>
        <w:rPr>
          <w:sz w:val="36"/>
          <w:szCs w:val="28"/>
        </w:rPr>
      </w:pPr>
      <w:r w:rsidRPr="006731CD">
        <w:rPr>
          <w:sz w:val="36"/>
          <w:szCs w:val="28"/>
        </w:rPr>
        <w:t xml:space="preserve">Uncovering hidden labour demand: Introducing JSA’s Total New Vacancies </w:t>
      </w:r>
    </w:p>
    <w:p w14:paraId="5E41E79E" w14:textId="77777777" w:rsidR="00824B3C" w:rsidRDefault="00824B3C" w:rsidP="0081036F">
      <w:r w:rsidRPr="00824B3C">
        <w:t xml:space="preserve">Total New Vacancies (TNV) is a new quarterly data series from Jobs and Skills Australia which provides a more comprehensive view of job vacancy trends across Australia. While online recruitment methods are popular, their use can vary, including across regions and industries, and as labour market conditions change. This can make it difficult to accurately identify emerging trends in the economy and labour market. </w:t>
      </w:r>
    </w:p>
    <w:p w14:paraId="00B6E50C" w14:textId="77777777" w:rsidR="00931751" w:rsidRDefault="00931751" w:rsidP="0081036F">
      <w:r w:rsidRPr="00931751">
        <w:t xml:space="preserve">JSA’s new TNV series helps address this challenge. The TNV estimates the total number of new vacancies created each quarter, offering insights into hiring activity beyond online job ads or point in time estimates. It combines data from JSA’s Internet Vacancy Index (IVI) with employer feedback on recruitment methods obtained from JSA’s Recruitment Experiences and Outlook Survey (REOS). Using these insights, the TNV estimates the total number of jobs that were available </w:t>
      </w:r>
      <w:proofErr w:type="gramStart"/>
      <w:r w:rsidRPr="00931751">
        <w:t>in a given</w:t>
      </w:r>
      <w:proofErr w:type="gramEnd"/>
      <w:r w:rsidRPr="00931751">
        <w:t xml:space="preserve"> quarter, including through informal channels such as word of mouth, signs in shop windows, and social media groups. </w:t>
      </w:r>
    </w:p>
    <w:p w14:paraId="56C683BD" w14:textId="77777777" w:rsidR="00347262" w:rsidRDefault="00A20333" w:rsidP="00A20333">
      <w:pPr>
        <w:pStyle w:val="ListBullet"/>
        <w:numPr>
          <w:ilvl w:val="0"/>
          <w:numId w:val="0"/>
        </w:numPr>
        <w:rPr>
          <w:rFonts w:eastAsiaTheme="minorHAnsi" w:cstheme="minorBidi"/>
          <w:szCs w:val="18"/>
          <w:lang w:val="en-AU" w:eastAsia="en-US"/>
        </w:rPr>
      </w:pPr>
      <w:r w:rsidRPr="00A20333">
        <w:rPr>
          <w:rFonts w:eastAsiaTheme="minorHAnsi" w:cstheme="minorBidi"/>
          <w:szCs w:val="18"/>
          <w:lang w:val="en-AU" w:eastAsia="en-US"/>
        </w:rPr>
        <w:t>Improving the evidence base on regional and occupational labour demand is a core tenet of the Jobs and Skills Australia legislation. The TNV series plays a critical role in achieving this goal by providing a more complete picture of job opportunities across occupations and regions. This richer data will support the development of place-based initiatives and regional planning, ensuring industry policy responses are better tailored to emerging trends.</w:t>
      </w:r>
    </w:p>
    <w:p w14:paraId="18B272BB" w14:textId="118E454D" w:rsidR="001B1EB2" w:rsidRDefault="001B1EB2" w:rsidP="00347262">
      <w:pPr>
        <w:pStyle w:val="ListBullet"/>
        <w:numPr>
          <w:ilvl w:val="0"/>
          <w:numId w:val="0"/>
        </w:numPr>
        <w:ind w:left="284" w:hanging="284"/>
      </w:pPr>
    </w:p>
    <w:p w14:paraId="1BFFB889" w14:textId="77777777" w:rsidR="00CF46DC" w:rsidRPr="00C81264" w:rsidRDefault="00FC5299" w:rsidP="001D1AB8">
      <w:pPr>
        <w:pStyle w:val="Spacer"/>
        <w:spacing w:after="560"/>
      </w:pPr>
      <w:r>
        <w:br w:type="column"/>
      </w:r>
    </w:p>
    <w:p w14:paraId="606475E8" w14:textId="669AC5EE" w:rsidR="002F537A" w:rsidRPr="00DE64B7" w:rsidRDefault="00193635" w:rsidP="00152694">
      <w:pPr>
        <w:spacing w:after="0"/>
        <w:jc w:val="center"/>
        <w:rPr>
          <w:b/>
          <w:bCs/>
          <w:color w:val="FFFFFF" w:themeColor="background1"/>
          <w:sz w:val="44"/>
          <w:szCs w:val="44"/>
        </w:rPr>
      </w:pPr>
      <w:r>
        <w:rPr>
          <w:b/>
          <w:bCs/>
          <w:color w:val="FFFFFF" w:themeColor="background1"/>
          <w:sz w:val="44"/>
          <w:szCs w:val="44"/>
        </w:rPr>
        <w:t>1,128,300</w:t>
      </w:r>
    </w:p>
    <w:p w14:paraId="0CB78FC7" w14:textId="773D05A0" w:rsidR="004A5E52" w:rsidRDefault="00874A0E" w:rsidP="004A5E52">
      <w:pPr>
        <w:spacing w:after="480"/>
        <w:jc w:val="center"/>
        <w:rPr>
          <w:b/>
          <w:bCs/>
          <w:color w:val="FFFFFF" w:themeColor="background1"/>
          <w:sz w:val="20"/>
          <w:szCs w:val="20"/>
        </w:rPr>
      </w:pPr>
      <w:r>
        <w:rPr>
          <w:b/>
          <w:bCs/>
          <w:color w:val="FFFFFF" w:themeColor="background1"/>
          <w:sz w:val="20"/>
          <w:szCs w:val="20"/>
        </w:rPr>
        <w:t>new vacancies</w:t>
      </w:r>
    </w:p>
    <w:p w14:paraId="5CBDF232" w14:textId="2A4CE37A" w:rsidR="002F537A" w:rsidRPr="009873F5" w:rsidRDefault="00371F25" w:rsidP="009873F5">
      <w:pPr>
        <w:spacing w:before="800" w:after="0"/>
        <w:rPr>
          <w:b/>
          <w:bCs/>
          <w:sz w:val="40"/>
          <w:szCs w:val="40"/>
        </w:rPr>
      </w:pPr>
      <w:r w:rsidRPr="009873F5">
        <w:rPr>
          <w:b/>
          <w:bCs/>
          <w:color w:val="B91C1C"/>
          <w:sz w:val="40"/>
          <w:szCs w:val="40"/>
          <w:u w:color="B91C1C"/>
        </w:rPr>
        <w:t>▼</w:t>
      </w:r>
      <w:r w:rsidR="002F537A" w:rsidRPr="009873F5">
        <w:rPr>
          <w:b/>
          <w:bCs/>
          <w:sz w:val="40"/>
          <w:szCs w:val="40"/>
        </w:rPr>
        <w:t xml:space="preserve"> </w:t>
      </w:r>
      <w:r w:rsidR="008F0ED0" w:rsidRPr="009873F5">
        <w:rPr>
          <w:b/>
          <w:bCs/>
          <w:sz w:val="40"/>
          <w:szCs w:val="40"/>
        </w:rPr>
        <w:t>6</w:t>
      </w:r>
      <w:r w:rsidR="002F537A" w:rsidRPr="009873F5">
        <w:rPr>
          <w:b/>
          <w:bCs/>
          <w:sz w:val="40"/>
          <w:szCs w:val="40"/>
        </w:rPr>
        <w:t>.</w:t>
      </w:r>
      <w:r w:rsidR="008F0ED0" w:rsidRPr="009873F5">
        <w:rPr>
          <w:b/>
          <w:bCs/>
          <w:sz w:val="40"/>
          <w:szCs w:val="40"/>
        </w:rPr>
        <w:t>9</w:t>
      </w:r>
      <w:r w:rsidR="002F537A" w:rsidRPr="009873F5">
        <w:rPr>
          <w:b/>
          <w:bCs/>
          <w:sz w:val="40"/>
          <w:szCs w:val="40"/>
        </w:rPr>
        <w:t>%</w:t>
      </w:r>
    </w:p>
    <w:p w14:paraId="7D196FBC" w14:textId="77777777" w:rsidR="00B95926" w:rsidRDefault="00B95926" w:rsidP="00E32F69">
      <w:pPr>
        <w:ind w:right="-172"/>
      </w:pPr>
    </w:p>
    <w:p w14:paraId="654BF178" w14:textId="34EE9E46" w:rsidR="00B95926" w:rsidRDefault="00B95926" w:rsidP="00E32F69">
      <w:pPr>
        <w:ind w:right="-172"/>
      </w:pPr>
      <w:r w:rsidRPr="00B95926">
        <w:t>Over the year to August 2025, vacancies decreased by 6.9% (or around 94,800 job advertisements) to stand at 1,128,300.</w:t>
      </w:r>
    </w:p>
    <w:p w14:paraId="3D02E697" w14:textId="111DDB89" w:rsidR="001869B2" w:rsidRDefault="00337196" w:rsidP="007F4310">
      <w:r w:rsidRPr="00337196">
        <w:t>In some occupations and regions, over half of job vacancies are advertised online. The new TNV offers a broader measure, estimating total new vacancies across all recruitment methods.</w:t>
      </w:r>
    </w:p>
    <w:p w14:paraId="105E6A3A" w14:textId="77777777" w:rsidR="00C81264" w:rsidRDefault="001869B2" w:rsidP="007F4310">
      <w:pPr>
        <w:sectPr w:rsidR="00C81264" w:rsidSect="00121C35">
          <w:type w:val="continuous"/>
          <w:pgSz w:w="11906" w:h="16838"/>
          <w:pgMar w:top="1361" w:right="1134" w:bottom="1134" w:left="1134" w:header="0" w:footer="454" w:gutter="0"/>
          <w:pgNumType w:start="1"/>
          <w:cols w:num="2" w:space="454" w:equalWidth="0">
            <w:col w:w="6804" w:space="454"/>
            <w:col w:w="2380"/>
          </w:cols>
          <w:titlePg/>
          <w:docGrid w:linePitch="360"/>
        </w:sectPr>
      </w:pPr>
      <w:r>
        <w:br w:type="column"/>
      </w:r>
    </w:p>
    <w:p w14:paraId="57F7DB44" w14:textId="73254DFD" w:rsidR="001E3F0D" w:rsidRDefault="001E3F0D" w:rsidP="00860EFF">
      <w:pPr>
        <w:pStyle w:val="Heading3"/>
      </w:pPr>
      <w:r w:rsidRPr="001E3F0D">
        <w:t xml:space="preserve">Mind the </w:t>
      </w:r>
      <w:r w:rsidR="00604F98">
        <w:t>g</w:t>
      </w:r>
      <w:r w:rsidRPr="001E3F0D">
        <w:t xml:space="preserve">ap: Understanding </w:t>
      </w:r>
      <w:r w:rsidR="00604F98">
        <w:t>h</w:t>
      </w:r>
      <w:r w:rsidRPr="001E3F0D">
        <w:t xml:space="preserve">idden </w:t>
      </w:r>
      <w:r w:rsidR="00604F98">
        <w:t>o</w:t>
      </w:r>
      <w:r w:rsidRPr="001E3F0D">
        <w:t xml:space="preserve">ccupational </w:t>
      </w:r>
      <w:r w:rsidR="00604F98">
        <w:t>d</w:t>
      </w:r>
      <w:r w:rsidRPr="001E3F0D">
        <w:t xml:space="preserve">emand </w:t>
      </w:r>
      <w:r w:rsidR="00604F98">
        <w:t>u</w:t>
      </w:r>
      <w:r w:rsidRPr="001E3F0D">
        <w:t xml:space="preserve">sing the </w:t>
      </w:r>
      <w:r w:rsidR="00604F98">
        <w:t>n</w:t>
      </w:r>
      <w:r w:rsidRPr="001E3F0D">
        <w:t>ew TNV</w:t>
      </w:r>
    </w:p>
    <w:p w14:paraId="0972B607" w14:textId="77777777" w:rsidR="00CB0697" w:rsidRDefault="00CB0697" w:rsidP="00CB0697">
      <w:r>
        <w:t xml:space="preserve">The TNV can help fill gaps in understanding labour demand, particularly in sectors where online advertising is less common, such for occupational groups like Labourers and Technicians and Trades. </w:t>
      </w:r>
    </w:p>
    <w:p w14:paraId="10BDD8ED" w14:textId="77777777" w:rsidR="00CB0697" w:rsidRDefault="00CB0697" w:rsidP="00CB0697">
      <w:r>
        <w:t xml:space="preserve">Table 1 provides a comparison between the TNV and the IVI over the year to August 2025 at the occupational level. The divergence between TNV and IVI underscores the importance of the new TNV series in better understanding labour demand. </w:t>
      </w:r>
    </w:p>
    <w:p w14:paraId="614D0990" w14:textId="77777777" w:rsidR="00CB0697" w:rsidRDefault="00CB0697" w:rsidP="00CB0697">
      <w:r>
        <w:t>This is demonstrated through the number of vacancies advertised for Labourers. For this key occupation group, the IVI indicates there were around 41,700 online job ads over the previous quarter (or around 13,900 job ads per month). However, analysis of JSA REOS data on recruitment behaviours by employers hiring for Labourers shows only around 40% to 45% of Labourer vacancies are advertised through an online job board captured in the IVI. Through the modelled estimates of the TNV, we can thus see that there were likely around 100,000 new vacancies added to the prospective job market in the three months to August 2025 – more than double the amount indicated by online job ads alone.</w:t>
      </w:r>
    </w:p>
    <w:p w14:paraId="5F9E3F44" w14:textId="664C2A16" w:rsidR="001B1EB2" w:rsidRPr="00604701" w:rsidRDefault="00604F98" w:rsidP="00D14A5E">
      <w:pPr>
        <w:pStyle w:val="Heading3"/>
      </w:pPr>
      <w:r w:rsidRPr="00604F98">
        <w:t>Fewer jobs or changes in recruitment methods? Improving our understanding of changes in labour demand</w:t>
      </w:r>
      <w:r w:rsidR="001B1EB2" w:rsidRPr="00604701">
        <w:t xml:space="preserve"> </w:t>
      </w:r>
    </w:p>
    <w:p w14:paraId="01C7D367" w14:textId="77777777" w:rsidR="008C3F54" w:rsidRDefault="008C3F54" w:rsidP="008C3F54">
      <w:r>
        <w:t xml:space="preserve">The TNV also helps account for changes in recruitment behaviour over time. For instance, during a tight labour market, employers may become more likely to try alternative methods of recruitment </w:t>
      </w:r>
      <w:proofErr w:type="gramStart"/>
      <w:r>
        <w:t>in an attempt to</w:t>
      </w:r>
      <w:proofErr w:type="gramEnd"/>
      <w:r>
        <w:t xml:space="preserve"> fill their vacancy. This suggests that the use of online job boards (as captured by the IVI) may vary depending on labour market conditions. </w:t>
      </w:r>
    </w:p>
    <w:p w14:paraId="721F0278" w14:textId="77777777" w:rsidR="008C3F54" w:rsidRDefault="008C3F54" w:rsidP="008C3F54">
      <w:r>
        <w:t>For example, looking at the occupation group Professionals. The TNV indicates vacancies for this group are down by 8.6% over the year, yet the IVI for the same group fell by 13.9%. A similar trend is noticed for Technicians and Trades Workers. Given the decline in the TNV is smaller than that of the IVI, this suggests that the reduction in online job ads as measured in the IVI may be a combination of both changes in labour demand but also changes in recruitment methods, pointing to a shift in recruitment practices as a strong contributing factor to current job advertisement trends as labour market conditions have softened in recent periods.</w:t>
      </w:r>
    </w:p>
    <w:p w14:paraId="0BEB78BE" w14:textId="5D99FDE7" w:rsidR="002E47F6" w:rsidRDefault="002E47F6" w:rsidP="00620968">
      <w:pPr>
        <w:pStyle w:val="Caption"/>
        <w:rPr>
          <w:lang w:eastAsia="en-AU"/>
        </w:rPr>
      </w:pPr>
      <w:r w:rsidRPr="000A1264">
        <w:t xml:space="preserve">Table 1: </w:t>
      </w:r>
      <w:r w:rsidRPr="000A1264">
        <w:rPr>
          <w:lang w:eastAsia="en-AU"/>
        </w:rPr>
        <w:t xml:space="preserve">Total New Vacancies by Occupation </w:t>
      </w:r>
      <w:r w:rsidR="00E359C1">
        <w:rPr>
          <w:lang w:eastAsia="en-AU"/>
        </w:rPr>
        <w:t>G</w:t>
      </w:r>
      <w:r w:rsidRPr="000A1264">
        <w:rPr>
          <w:lang w:eastAsia="en-AU"/>
        </w:rPr>
        <w:t>roup, August 2025</w:t>
      </w:r>
    </w:p>
    <w:tbl>
      <w:tblPr>
        <w:tblW w:w="9040" w:type="dxa"/>
        <w:tblLook w:val="04A0" w:firstRow="1" w:lastRow="0" w:firstColumn="1" w:lastColumn="0" w:noHBand="0" w:noVBand="1"/>
      </w:tblPr>
      <w:tblGrid>
        <w:gridCol w:w="3695"/>
        <w:gridCol w:w="1249"/>
        <w:gridCol w:w="1219"/>
        <w:gridCol w:w="1068"/>
        <w:gridCol w:w="912"/>
        <w:gridCol w:w="897"/>
      </w:tblGrid>
      <w:tr w:rsidR="00620968" w:rsidRPr="002E47F6" w14:paraId="1FDB4C00" w14:textId="77777777" w:rsidTr="00620968">
        <w:trPr>
          <w:trHeight w:val="330"/>
          <w:tblHeader/>
        </w:trPr>
        <w:tc>
          <w:tcPr>
            <w:tcW w:w="3695" w:type="dxa"/>
            <w:vMerge w:val="restart"/>
            <w:tcBorders>
              <w:top w:val="nil"/>
              <w:left w:val="nil"/>
              <w:right w:val="nil"/>
            </w:tcBorders>
            <w:noWrap/>
            <w:vAlign w:val="bottom"/>
            <w:hideMark/>
          </w:tcPr>
          <w:p w14:paraId="7B8CF3F7" w14:textId="77777777" w:rsidR="00620968" w:rsidRPr="002E47F6" w:rsidRDefault="00620968">
            <w:pPr>
              <w:keepNext/>
              <w:keepLines/>
              <w:spacing w:after="0" w:line="240" w:lineRule="auto"/>
              <w:rPr>
                <w:rFonts w:eastAsia="Times New Roman" w:cstheme="minorHAnsi"/>
                <w:lang w:eastAsia="en-AU"/>
              </w:rPr>
            </w:pPr>
          </w:p>
        </w:tc>
        <w:tc>
          <w:tcPr>
            <w:tcW w:w="2468" w:type="dxa"/>
            <w:gridSpan w:val="2"/>
            <w:tcBorders>
              <w:top w:val="single" w:sz="8" w:space="0" w:color="auto"/>
              <w:left w:val="single" w:sz="8" w:space="0" w:color="auto"/>
              <w:bottom w:val="single" w:sz="8" w:space="0" w:color="auto"/>
              <w:right w:val="single" w:sz="8" w:space="0" w:color="000000"/>
            </w:tcBorders>
            <w:vAlign w:val="center"/>
            <w:hideMark/>
          </w:tcPr>
          <w:p w14:paraId="69783F77" w14:textId="77777777" w:rsidR="00620968" w:rsidRPr="002E47F6" w:rsidRDefault="00620968">
            <w:pPr>
              <w:keepNext/>
              <w:keepLines/>
              <w:spacing w:after="0" w:line="240" w:lineRule="auto"/>
              <w:rPr>
                <w:rFonts w:eastAsia="Times New Roman" w:cstheme="minorHAnsi"/>
                <w:b/>
                <w:bCs/>
                <w:color w:val="000000"/>
                <w:lang w:eastAsia="en-AU"/>
              </w:rPr>
            </w:pPr>
            <w:r w:rsidRPr="002E47F6">
              <w:rPr>
                <w:rFonts w:eastAsia="Times New Roman" w:cstheme="minorHAnsi"/>
                <w:b/>
                <w:bCs/>
                <w:color w:val="000000"/>
                <w:lang w:eastAsia="en-AU"/>
              </w:rPr>
              <w:t xml:space="preserve">JSA Total New Vacancies </w:t>
            </w:r>
          </w:p>
        </w:tc>
        <w:tc>
          <w:tcPr>
            <w:tcW w:w="2877" w:type="dxa"/>
            <w:gridSpan w:val="3"/>
            <w:tcBorders>
              <w:top w:val="single" w:sz="8" w:space="0" w:color="auto"/>
              <w:left w:val="nil"/>
              <w:bottom w:val="single" w:sz="8" w:space="0" w:color="auto"/>
              <w:right w:val="single" w:sz="8" w:space="0" w:color="000000"/>
            </w:tcBorders>
            <w:vAlign w:val="center"/>
            <w:hideMark/>
          </w:tcPr>
          <w:p w14:paraId="4527B86F" w14:textId="77777777" w:rsidR="00620968" w:rsidRPr="002E47F6" w:rsidRDefault="00620968">
            <w:pPr>
              <w:keepNext/>
              <w:keepLines/>
              <w:spacing w:after="0" w:line="240" w:lineRule="auto"/>
              <w:rPr>
                <w:rFonts w:eastAsia="Times New Roman" w:cstheme="minorHAnsi"/>
                <w:b/>
                <w:bCs/>
                <w:color w:val="000000"/>
                <w:lang w:eastAsia="en-AU"/>
              </w:rPr>
            </w:pPr>
            <w:r w:rsidRPr="002E47F6">
              <w:rPr>
                <w:rFonts w:eastAsia="Times New Roman" w:cstheme="minorHAnsi"/>
                <w:b/>
                <w:bCs/>
                <w:color w:val="000000"/>
                <w:lang w:eastAsia="en-AU"/>
              </w:rPr>
              <w:t xml:space="preserve">JSA Internet Vacancy Index </w:t>
            </w:r>
          </w:p>
        </w:tc>
      </w:tr>
      <w:tr w:rsidR="00620968" w:rsidRPr="002E47F6" w14:paraId="0286BA84" w14:textId="77777777" w:rsidTr="00620968">
        <w:trPr>
          <w:trHeight w:val="880"/>
          <w:tblHeader/>
        </w:trPr>
        <w:tc>
          <w:tcPr>
            <w:tcW w:w="3695" w:type="dxa"/>
            <w:vMerge/>
            <w:tcBorders>
              <w:left w:val="nil"/>
              <w:bottom w:val="nil"/>
              <w:right w:val="nil"/>
            </w:tcBorders>
            <w:noWrap/>
            <w:vAlign w:val="center"/>
            <w:hideMark/>
          </w:tcPr>
          <w:p w14:paraId="3AFF4F07" w14:textId="77777777" w:rsidR="00620968" w:rsidRPr="002E47F6" w:rsidRDefault="00620968">
            <w:pPr>
              <w:keepNext/>
              <w:keepLines/>
              <w:spacing w:after="0" w:line="240" w:lineRule="auto"/>
              <w:rPr>
                <w:rFonts w:eastAsia="Times New Roman" w:cstheme="minorHAnsi"/>
                <w:b/>
                <w:bCs/>
                <w:color w:val="000000"/>
                <w:lang w:eastAsia="en-AU"/>
              </w:rPr>
            </w:pPr>
          </w:p>
        </w:tc>
        <w:tc>
          <w:tcPr>
            <w:tcW w:w="1249" w:type="dxa"/>
            <w:tcBorders>
              <w:top w:val="nil"/>
              <w:left w:val="single" w:sz="8" w:space="0" w:color="auto"/>
              <w:bottom w:val="single" w:sz="8" w:space="0" w:color="auto"/>
              <w:right w:val="single" w:sz="8" w:space="0" w:color="auto"/>
            </w:tcBorders>
            <w:vAlign w:val="center"/>
            <w:hideMark/>
          </w:tcPr>
          <w:p w14:paraId="6F878DC4" w14:textId="77777777" w:rsidR="00620968" w:rsidRPr="002E47F6" w:rsidRDefault="00620968">
            <w:pPr>
              <w:keepNext/>
              <w:keepLines/>
              <w:spacing w:after="0" w:line="240" w:lineRule="auto"/>
              <w:rPr>
                <w:rFonts w:eastAsia="Times New Roman" w:cstheme="minorHAnsi"/>
                <w:b/>
                <w:bCs/>
                <w:color w:val="000000"/>
                <w:lang w:eastAsia="en-AU"/>
              </w:rPr>
            </w:pPr>
            <w:proofErr w:type="spellStart"/>
            <w:r w:rsidRPr="002E47F6">
              <w:rPr>
                <w:rFonts w:eastAsia="Times New Roman" w:cstheme="minorHAnsi"/>
                <w:b/>
                <w:bCs/>
                <w:color w:val="000000"/>
                <w:lang w:eastAsia="en-AU"/>
              </w:rPr>
              <w:t>Qtrly</w:t>
            </w:r>
            <w:proofErr w:type="spellEnd"/>
            <w:r w:rsidRPr="002E47F6">
              <w:rPr>
                <w:rFonts w:eastAsia="Times New Roman" w:cstheme="minorHAnsi"/>
                <w:b/>
                <w:bCs/>
                <w:color w:val="000000"/>
                <w:lang w:eastAsia="en-AU"/>
              </w:rPr>
              <w:t xml:space="preserve"> total</w:t>
            </w:r>
          </w:p>
        </w:tc>
        <w:tc>
          <w:tcPr>
            <w:tcW w:w="1219" w:type="dxa"/>
            <w:tcBorders>
              <w:top w:val="nil"/>
              <w:left w:val="nil"/>
              <w:bottom w:val="single" w:sz="8" w:space="0" w:color="auto"/>
              <w:right w:val="single" w:sz="8" w:space="0" w:color="auto"/>
            </w:tcBorders>
            <w:vAlign w:val="center"/>
            <w:hideMark/>
          </w:tcPr>
          <w:p w14:paraId="3E568A52" w14:textId="77777777" w:rsidR="00620968" w:rsidRPr="002E47F6" w:rsidRDefault="00620968">
            <w:pPr>
              <w:keepNext/>
              <w:keepLines/>
              <w:spacing w:after="0" w:line="240" w:lineRule="auto"/>
              <w:rPr>
                <w:rFonts w:eastAsia="Times New Roman" w:cstheme="minorHAnsi"/>
                <w:b/>
                <w:bCs/>
                <w:color w:val="000000"/>
                <w:lang w:eastAsia="en-AU"/>
              </w:rPr>
            </w:pPr>
            <w:r w:rsidRPr="002E47F6">
              <w:rPr>
                <w:rFonts w:eastAsia="Times New Roman" w:cstheme="minorHAnsi"/>
                <w:b/>
                <w:bCs/>
                <w:color w:val="000000"/>
                <w:lang w:eastAsia="en-AU"/>
              </w:rPr>
              <w:t>Annual change (%)</w:t>
            </w:r>
          </w:p>
        </w:tc>
        <w:tc>
          <w:tcPr>
            <w:tcW w:w="1068" w:type="dxa"/>
            <w:tcBorders>
              <w:top w:val="nil"/>
              <w:left w:val="nil"/>
              <w:bottom w:val="single" w:sz="8" w:space="0" w:color="auto"/>
              <w:right w:val="single" w:sz="8" w:space="0" w:color="auto"/>
            </w:tcBorders>
            <w:vAlign w:val="center"/>
            <w:hideMark/>
          </w:tcPr>
          <w:p w14:paraId="190537D8" w14:textId="77777777" w:rsidR="00620968" w:rsidRPr="002E47F6" w:rsidRDefault="00620968">
            <w:pPr>
              <w:keepNext/>
              <w:keepLines/>
              <w:spacing w:after="0" w:line="240" w:lineRule="auto"/>
              <w:rPr>
                <w:rFonts w:eastAsia="Times New Roman" w:cstheme="minorHAnsi"/>
                <w:b/>
                <w:bCs/>
                <w:color w:val="000000"/>
                <w:lang w:eastAsia="en-AU"/>
              </w:rPr>
            </w:pPr>
            <w:r w:rsidRPr="002E47F6">
              <w:rPr>
                <w:rFonts w:eastAsia="Times New Roman" w:cstheme="minorHAnsi"/>
                <w:b/>
                <w:bCs/>
                <w:color w:val="000000"/>
                <w:lang w:eastAsia="en-AU"/>
              </w:rPr>
              <w:t>Monthly total</w:t>
            </w:r>
          </w:p>
        </w:tc>
        <w:tc>
          <w:tcPr>
            <w:tcW w:w="912" w:type="dxa"/>
            <w:tcBorders>
              <w:top w:val="nil"/>
              <w:left w:val="nil"/>
              <w:bottom w:val="single" w:sz="8" w:space="0" w:color="auto"/>
              <w:right w:val="single" w:sz="8" w:space="0" w:color="auto"/>
            </w:tcBorders>
            <w:vAlign w:val="center"/>
            <w:hideMark/>
          </w:tcPr>
          <w:p w14:paraId="783C1AF4" w14:textId="77777777" w:rsidR="00620968" w:rsidRPr="002E47F6" w:rsidRDefault="00620968">
            <w:pPr>
              <w:keepNext/>
              <w:keepLines/>
              <w:spacing w:after="0" w:line="240" w:lineRule="auto"/>
              <w:rPr>
                <w:rFonts w:eastAsia="Times New Roman" w:cstheme="minorHAnsi"/>
                <w:b/>
                <w:bCs/>
                <w:color w:val="000000"/>
                <w:lang w:eastAsia="en-AU"/>
              </w:rPr>
            </w:pPr>
            <w:proofErr w:type="spellStart"/>
            <w:r w:rsidRPr="002E47F6">
              <w:rPr>
                <w:rFonts w:eastAsia="Times New Roman" w:cstheme="minorHAnsi"/>
                <w:b/>
                <w:bCs/>
                <w:color w:val="000000"/>
                <w:lang w:eastAsia="en-AU"/>
              </w:rPr>
              <w:t>Qtrly</w:t>
            </w:r>
            <w:proofErr w:type="spellEnd"/>
            <w:r w:rsidRPr="002E47F6">
              <w:rPr>
                <w:rFonts w:eastAsia="Times New Roman" w:cstheme="minorHAnsi"/>
                <w:b/>
                <w:bCs/>
                <w:color w:val="000000"/>
                <w:lang w:eastAsia="en-AU"/>
              </w:rPr>
              <w:t xml:space="preserve"> total</w:t>
            </w:r>
          </w:p>
        </w:tc>
        <w:tc>
          <w:tcPr>
            <w:tcW w:w="897" w:type="dxa"/>
            <w:tcBorders>
              <w:top w:val="nil"/>
              <w:left w:val="nil"/>
              <w:bottom w:val="single" w:sz="8" w:space="0" w:color="auto"/>
              <w:right w:val="single" w:sz="8" w:space="0" w:color="auto"/>
            </w:tcBorders>
            <w:vAlign w:val="center"/>
            <w:hideMark/>
          </w:tcPr>
          <w:p w14:paraId="34E2F967" w14:textId="77777777" w:rsidR="00620968" w:rsidRPr="002E47F6" w:rsidRDefault="00620968">
            <w:pPr>
              <w:keepNext/>
              <w:keepLines/>
              <w:spacing w:after="0" w:line="240" w:lineRule="auto"/>
              <w:rPr>
                <w:rFonts w:eastAsia="Times New Roman" w:cstheme="minorHAnsi"/>
                <w:b/>
                <w:bCs/>
                <w:color w:val="000000"/>
                <w:lang w:eastAsia="en-AU"/>
              </w:rPr>
            </w:pPr>
            <w:r w:rsidRPr="002E47F6">
              <w:rPr>
                <w:rFonts w:eastAsia="Times New Roman" w:cstheme="minorHAnsi"/>
                <w:b/>
                <w:bCs/>
                <w:color w:val="000000"/>
                <w:lang w:eastAsia="en-AU"/>
              </w:rPr>
              <w:t>Annual change (%)</w:t>
            </w:r>
          </w:p>
        </w:tc>
      </w:tr>
      <w:tr w:rsidR="002E47F6" w:rsidRPr="002E47F6" w14:paraId="4008A80B" w14:textId="77777777">
        <w:trPr>
          <w:trHeight w:val="300"/>
        </w:trPr>
        <w:tc>
          <w:tcPr>
            <w:tcW w:w="3695" w:type="dxa"/>
            <w:tcBorders>
              <w:top w:val="single" w:sz="8" w:space="0" w:color="auto"/>
              <w:left w:val="single" w:sz="8" w:space="0" w:color="auto"/>
              <w:bottom w:val="single" w:sz="8" w:space="0" w:color="auto"/>
              <w:right w:val="single" w:sz="8" w:space="0" w:color="auto"/>
            </w:tcBorders>
            <w:noWrap/>
            <w:vAlign w:val="center"/>
            <w:hideMark/>
          </w:tcPr>
          <w:p w14:paraId="05AE021E"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Managers</w:t>
            </w:r>
          </w:p>
        </w:tc>
        <w:tc>
          <w:tcPr>
            <w:tcW w:w="1249" w:type="dxa"/>
            <w:tcBorders>
              <w:top w:val="nil"/>
              <w:left w:val="nil"/>
              <w:bottom w:val="single" w:sz="8" w:space="0" w:color="auto"/>
              <w:right w:val="single" w:sz="8" w:space="0" w:color="auto"/>
            </w:tcBorders>
            <w:noWrap/>
            <w:vAlign w:val="center"/>
            <w:hideMark/>
          </w:tcPr>
          <w:p w14:paraId="7F93FA29"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123,900</w:t>
            </w:r>
          </w:p>
        </w:tc>
        <w:tc>
          <w:tcPr>
            <w:tcW w:w="1219" w:type="dxa"/>
            <w:tcBorders>
              <w:top w:val="nil"/>
              <w:left w:val="nil"/>
              <w:bottom w:val="single" w:sz="8" w:space="0" w:color="auto"/>
              <w:right w:val="single" w:sz="8" w:space="0" w:color="auto"/>
            </w:tcBorders>
            <w:noWrap/>
            <w:vAlign w:val="center"/>
            <w:hideMark/>
          </w:tcPr>
          <w:p w14:paraId="6AF0EFBE"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-7.5%</w:t>
            </w:r>
          </w:p>
        </w:tc>
        <w:tc>
          <w:tcPr>
            <w:tcW w:w="1068" w:type="dxa"/>
            <w:tcBorders>
              <w:top w:val="nil"/>
              <w:left w:val="nil"/>
              <w:bottom w:val="single" w:sz="8" w:space="0" w:color="auto"/>
              <w:right w:val="single" w:sz="8" w:space="0" w:color="auto"/>
            </w:tcBorders>
            <w:noWrap/>
            <w:vAlign w:val="center"/>
            <w:hideMark/>
          </w:tcPr>
          <w:p w14:paraId="382A3C7E"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24,100</w:t>
            </w:r>
          </w:p>
        </w:tc>
        <w:tc>
          <w:tcPr>
            <w:tcW w:w="912" w:type="dxa"/>
            <w:tcBorders>
              <w:top w:val="nil"/>
              <w:left w:val="nil"/>
              <w:bottom w:val="single" w:sz="8" w:space="0" w:color="auto"/>
              <w:right w:val="single" w:sz="8" w:space="0" w:color="auto"/>
            </w:tcBorders>
            <w:noWrap/>
            <w:vAlign w:val="center"/>
            <w:hideMark/>
          </w:tcPr>
          <w:p w14:paraId="475F79FA"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74,800</w:t>
            </w:r>
          </w:p>
        </w:tc>
        <w:tc>
          <w:tcPr>
            <w:tcW w:w="897" w:type="dxa"/>
            <w:tcBorders>
              <w:top w:val="nil"/>
              <w:left w:val="nil"/>
              <w:bottom w:val="single" w:sz="8" w:space="0" w:color="auto"/>
              <w:right w:val="single" w:sz="8" w:space="0" w:color="auto"/>
            </w:tcBorders>
            <w:noWrap/>
            <w:vAlign w:val="center"/>
            <w:hideMark/>
          </w:tcPr>
          <w:p w14:paraId="34D73B3F"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-13.0%</w:t>
            </w:r>
          </w:p>
        </w:tc>
      </w:tr>
      <w:tr w:rsidR="002E47F6" w:rsidRPr="002E47F6" w14:paraId="408465D0" w14:textId="77777777">
        <w:trPr>
          <w:trHeight w:val="300"/>
        </w:trPr>
        <w:tc>
          <w:tcPr>
            <w:tcW w:w="3695" w:type="dxa"/>
            <w:tcBorders>
              <w:top w:val="nil"/>
              <w:left w:val="single" w:sz="8" w:space="0" w:color="auto"/>
              <w:bottom w:val="single" w:sz="8" w:space="0" w:color="auto"/>
              <w:right w:val="single" w:sz="8" w:space="0" w:color="auto"/>
            </w:tcBorders>
            <w:noWrap/>
            <w:vAlign w:val="center"/>
            <w:hideMark/>
          </w:tcPr>
          <w:p w14:paraId="272384C4"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Professionals</w:t>
            </w:r>
          </w:p>
        </w:tc>
        <w:tc>
          <w:tcPr>
            <w:tcW w:w="1249" w:type="dxa"/>
            <w:tcBorders>
              <w:top w:val="nil"/>
              <w:left w:val="nil"/>
              <w:bottom w:val="single" w:sz="8" w:space="0" w:color="auto"/>
              <w:right w:val="single" w:sz="8" w:space="0" w:color="auto"/>
            </w:tcBorders>
            <w:noWrap/>
            <w:vAlign w:val="center"/>
            <w:hideMark/>
          </w:tcPr>
          <w:p w14:paraId="18A913B8"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309,900</w:t>
            </w:r>
          </w:p>
        </w:tc>
        <w:tc>
          <w:tcPr>
            <w:tcW w:w="1219" w:type="dxa"/>
            <w:tcBorders>
              <w:top w:val="nil"/>
              <w:left w:val="nil"/>
              <w:bottom w:val="single" w:sz="8" w:space="0" w:color="auto"/>
              <w:right w:val="single" w:sz="8" w:space="0" w:color="auto"/>
            </w:tcBorders>
            <w:noWrap/>
            <w:vAlign w:val="center"/>
            <w:hideMark/>
          </w:tcPr>
          <w:p w14:paraId="29663C62"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-8.6%</w:t>
            </w:r>
          </w:p>
        </w:tc>
        <w:tc>
          <w:tcPr>
            <w:tcW w:w="1068" w:type="dxa"/>
            <w:tcBorders>
              <w:top w:val="nil"/>
              <w:left w:val="nil"/>
              <w:bottom w:val="single" w:sz="8" w:space="0" w:color="auto"/>
              <w:right w:val="single" w:sz="8" w:space="0" w:color="auto"/>
            </w:tcBorders>
            <w:noWrap/>
            <w:vAlign w:val="center"/>
            <w:hideMark/>
          </w:tcPr>
          <w:p w14:paraId="52273A77"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56,500</w:t>
            </w:r>
          </w:p>
        </w:tc>
        <w:tc>
          <w:tcPr>
            <w:tcW w:w="912" w:type="dxa"/>
            <w:tcBorders>
              <w:top w:val="nil"/>
              <w:left w:val="nil"/>
              <w:bottom w:val="single" w:sz="8" w:space="0" w:color="auto"/>
              <w:right w:val="single" w:sz="8" w:space="0" w:color="auto"/>
            </w:tcBorders>
            <w:noWrap/>
            <w:vAlign w:val="center"/>
            <w:hideMark/>
          </w:tcPr>
          <w:p w14:paraId="45FAD048"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179,500</w:t>
            </w:r>
          </w:p>
        </w:tc>
        <w:tc>
          <w:tcPr>
            <w:tcW w:w="897" w:type="dxa"/>
            <w:tcBorders>
              <w:top w:val="nil"/>
              <w:left w:val="nil"/>
              <w:bottom w:val="single" w:sz="8" w:space="0" w:color="auto"/>
              <w:right w:val="single" w:sz="8" w:space="0" w:color="auto"/>
            </w:tcBorders>
            <w:noWrap/>
            <w:vAlign w:val="center"/>
            <w:hideMark/>
          </w:tcPr>
          <w:p w14:paraId="421526F5"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-13.9%</w:t>
            </w:r>
          </w:p>
        </w:tc>
      </w:tr>
      <w:tr w:rsidR="002E47F6" w:rsidRPr="002E47F6" w14:paraId="487FFAED" w14:textId="77777777">
        <w:trPr>
          <w:trHeight w:val="300"/>
        </w:trPr>
        <w:tc>
          <w:tcPr>
            <w:tcW w:w="3695" w:type="dxa"/>
            <w:tcBorders>
              <w:top w:val="nil"/>
              <w:left w:val="single" w:sz="8" w:space="0" w:color="auto"/>
              <w:bottom w:val="single" w:sz="8" w:space="0" w:color="auto"/>
              <w:right w:val="single" w:sz="8" w:space="0" w:color="auto"/>
            </w:tcBorders>
            <w:noWrap/>
            <w:vAlign w:val="center"/>
            <w:hideMark/>
          </w:tcPr>
          <w:p w14:paraId="3242AA1D"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Technicians and Trades Workers</w:t>
            </w:r>
          </w:p>
        </w:tc>
        <w:tc>
          <w:tcPr>
            <w:tcW w:w="1249" w:type="dxa"/>
            <w:tcBorders>
              <w:top w:val="nil"/>
              <w:left w:val="nil"/>
              <w:bottom w:val="single" w:sz="8" w:space="0" w:color="auto"/>
              <w:right w:val="single" w:sz="8" w:space="0" w:color="auto"/>
            </w:tcBorders>
            <w:noWrap/>
            <w:vAlign w:val="center"/>
            <w:hideMark/>
          </w:tcPr>
          <w:p w14:paraId="4284F44D"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142,600</w:t>
            </w:r>
          </w:p>
        </w:tc>
        <w:tc>
          <w:tcPr>
            <w:tcW w:w="1219" w:type="dxa"/>
            <w:tcBorders>
              <w:top w:val="nil"/>
              <w:left w:val="nil"/>
              <w:bottom w:val="single" w:sz="8" w:space="0" w:color="auto"/>
              <w:right w:val="single" w:sz="8" w:space="0" w:color="auto"/>
            </w:tcBorders>
            <w:noWrap/>
            <w:vAlign w:val="center"/>
            <w:hideMark/>
          </w:tcPr>
          <w:p w14:paraId="019CF8AE"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-6.8%</w:t>
            </w:r>
          </w:p>
        </w:tc>
        <w:tc>
          <w:tcPr>
            <w:tcW w:w="1068" w:type="dxa"/>
            <w:tcBorders>
              <w:top w:val="nil"/>
              <w:left w:val="nil"/>
              <w:bottom w:val="single" w:sz="8" w:space="0" w:color="auto"/>
              <w:right w:val="single" w:sz="8" w:space="0" w:color="auto"/>
            </w:tcBorders>
            <w:noWrap/>
            <w:vAlign w:val="center"/>
            <w:hideMark/>
          </w:tcPr>
          <w:p w14:paraId="7DFCE25B"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29,000</w:t>
            </w:r>
          </w:p>
        </w:tc>
        <w:tc>
          <w:tcPr>
            <w:tcW w:w="912" w:type="dxa"/>
            <w:tcBorders>
              <w:top w:val="nil"/>
              <w:left w:val="nil"/>
              <w:bottom w:val="single" w:sz="8" w:space="0" w:color="auto"/>
              <w:right w:val="single" w:sz="8" w:space="0" w:color="auto"/>
            </w:tcBorders>
            <w:noWrap/>
            <w:vAlign w:val="center"/>
            <w:hideMark/>
          </w:tcPr>
          <w:p w14:paraId="6984B145"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89,900</w:t>
            </w:r>
          </w:p>
        </w:tc>
        <w:tc>
          <w:tcPr>
            <w:tcW w:w="897" w:type="dxa"/>
            <w:tcBorders>
              <w:top w:val="nil"/>
              <w:left w:val="nil"/>
              <w:bottom w:val="single" w:sz="8" w:space="0" w:color="auto"/>
              <w:right w:val="single" w:sz="8" w:space="0" w:color="auto"/>
            </w:tcBorders>
            <w:noWrap/>
            <w:vAlign w:val="center"/>
            <w:hideMark/>
          </w:tcPr>
          <w:p w14:paraId="2291A552"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-10.6%</w:t>
            </w:r>
          </w:p>
        </w:tc>
      </w:tr>
      <w:tr w:rsidR="002E47F6" w:rsidRPr="002E47F6" w14:paraId="44203F61" w14:textId="77777777">
        <w:trPr>
          <w:trHeight w:val="300"/>
        </w:trPr>
        <w:tc>
          <w:tcPr>
            <w:tcW w:w="3695" w:type="dxa"/>
            <w:tcBorders>
              <w:top w:val="nil"/>
              <w:left w:val="single" w:sz="8" w:space="0" w:color="auto"/>
              <w:bottom w:val="single" w:sz="8" w:space="0" w:color="auto"/>
              <w:right w:val="single" w:sz="8" w:space="0" w:color="auto"/>
            </w:tcBorders>
            <w:noWrap/>
            <w:vAlign w:val="center"/>
            <w:hideMark/>
          </w:tcPr>
          <w:p w14:paraId="70CA4284"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Community and Personal Service Workers</w:t>
            </w:r>
          </w:p>
        </w:tc>
        <w:tc>
          <w:tcPr>
            <w:tcW w:w="1249" w:type="dxa"/>
            <w:tcBorders>
              <w:top w:val="nil"/>
              <w:left w:val="nil"/>
              <w:bottom w:val="single" w:sz="8" w:space="0" w:color="auto"/>
              <w:right w:val="single" w:sz="8" w:space="0" w:color="auto"/>
            </w:tcBorders>
            <w:noWrap/>
            <w:vAlign w:val="center"/>
            <w:hideMark/>
          </w:tcPr>
          <w:p w14:paraId="1A66BBCA"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105,800</w:t>
            </w:r>
          </w:p>
        </w:tc>
        <w:tc>
          <w:tcPr>
            <w:tcW w:w="1219" w:type="dxa"/>
            <w:tcBorders>
              <w:top w:val="nil"/>
              <w:left w:val="nil"/>
              <w:bottom w:val="single" w:sz="8" w:space="0" w:color="auto"/>
              <w:right w:val="single" w:sz="8" w:space="0" w:color="auto"/>
            </w:tcBorders>
            <w:noWrap/>
            <w:vAlign w:val="center"/>
            <w:hideMark/>
          </w:tcPr>
          <w:p w14:paraId="723EF558"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-17.9%</w:t>
            </w:r>
          </w:p>
        </w:tc>
        <w:tc>
          <w:tcPr>
            <w:tcW w:w="1068" w:type="dxa"/>
            <w:tcBorders>
              <w:top w:val="nil"/>
              <w:left w:val="nil"/>
              <w:bottom w:val="single" w:sz="8" w:space="0" w:color="auto"/>
              <w:right w:val="single" w:sz="8" w:space="0" w:color="auto"/>
            </w:tcBorders>
            <w:noWrap/>
            <w:vAlign w:val="center"/>
            <w:hideMark/>
          </w:tcPr>
          <w:p w14:paraId="74571D50"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20,100</w:t>
            </w:r>
          </w:p>
        </w:tc>
        <w:tc>
          <w:tcPr>
            <w:tcW w:w="912" w:type="dxa"/>
            <w:tcBorders>
              <w:top w:val="nil"/>
              <w:left w:val="nil"/>
              <w:bottom w:val="single" w:sz="8" w:space="0" w:color="auto"/>
              <w:right w:val="single" w:sz="8" w:space="0" w:color="auto"/>
            </w:tcBorders>
            <w:noWrap/>
            <w:vAlign w:val="center"/>
            <w:hideMark/>
          </w:tcPr>
          <w:p w14:paraId="4D0C7914"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61,600</w:t>
            </w:r>
          </w:p>
        </w:tc>
        <w:tc>
          <w:tcPr>
            <w:tcW w:w="897" w:type="dxa"/>
            <w:tcBorders>
              <w:top w:val="nil"/>
              <w:left w:val="nil"/>
              <w:bottom w:val="single" w:sz="8" w:space="0" w:color="auto"/>
              <w:right w:val="single" w:sz="8" w:space="0" w:color="auto"/>
            </w:tcBorders>
            <w:noWrap/>
            <w:vAlign w:val="center"/>
            <w:hideMark/>
          </w:tcPr>
          <w:p w14:paraId="728DC735"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-17.7%</w:t>
            </w:r>
          </w:p>
        </w:tc>
      </w:tr>
      <w:tr w:rsidR="002E47F6" w:rsidRPr="002E47F6" w14:paraId="404A21DA" w14:textId="77777777">
        <w:trPr>
          <w:trHeight w:val="300"/>
        </w:trPr>
        <w:tc>
          <w:tcPr>
            <w:tcW w:w="3695" w:type="dxa"/>
            <w:tcBorders>
              <w:top w:val="nil"/>
              <w:left w:val="single" w:sz="8" w:space="0" w:color="auto"/>
              <w:bottom w:val="single" w:sz="8" w:space="0" w:color="auto"/>
              <w:right w:val="single" w:sz="8" w:space="0" w:color="auto"/>
            </w:tcBorders>
            <w:noWrap/>
            <w:vAlign w:val="center"/>
            <w:hideMark/>
          </w:tcPr>
          <w:p w14:paraId="242C4149"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Clerical and Administrative Workers</w:t>
            </w:r>
          </w:p>
        </w:tc>
        <w:tc>
          <w:tcPr>
            <w:tcW w:w="1249" w:type="dxa"/>
            <w:tcBorders>
              <w:top w:val="nil"/>
              <w:left w:val="nil"/>
              <w:bottom w:val="single" w:sz="8" w:space="0" w:color="auto"/>
              <w:right w:val="single" w:sz="8" w:space="0" w:color="auto"/>
            </w:tcBorders>
            <w:noWrap/>
            <w:vAlign w:val="center"/>
            <w:hideMark/>
          </w:tcPr>
          <w:p w14:paraId="50D14737"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161,200</w:t>
            </w:r>
          </w:p>
        </w:tc>
        <w:tc>
          <w:tcPr>
            <w:tcW w:w="1219" w:type="dxa"/>
            <w:tcBorders>
              <w:top w:val="nil"/>
              <w:left w:val="nil"/>
              <w:bottom w:val="single" w:sz="8" w:space="0" w:color="auto"/>
              <w:right w:val="single" w:sz="8" w:space="0" w:color="auto"/>
            </w:tcBorders>
            <w:noWrap/>
            <w:vAlign w:val="center"/>
            <w:hideMark/>
          </w:tcPr>
          <w:p w14:paraId="07A5DD94"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-9.2%</w:t>
            </w:r>
          </w:p>
        </w:tc>
        <w:tc>
          <w:tcPr>
            <w:tcW w:w="1068" w:type="dxa"/>
            <w:tcBorders>
              <w:top w:val="nil"/>
              <w:left w:val="nil"/>
              <w:bottom w:val="single" w:sz="8" w:space="0" w:color="auto"/>
              <w:right w:val="single" w:sz="8" w:space="0" w:color="auto"/>
            </w:tcBorders>
            <w:noWrap/>
            <w:vAlign w:val="center"/>
            <w:hideMark/>
          </w:tcPr>
          <w:p w14:paraId="01322D05"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30,600</w:t>
            </w:r>
          </w:p>
        </w:tc>
        <w:tc>
          <w:tcPr>
            <w:tcW w:w="912" w:type="dxa"/>
            <w:tcBorders>
              <w:top w:val="nil"/>
              <w:left w:val="nil"/>
              <w:bottom w:val="single" w:sz="8" w:space="0" w:color="auto"/>
              <w:right w:val="single" w:sz="8" w:space="0" w:color="auto"/>
            </w:tcBorders>
            <w:noWrap/>
            <w:vAlign w:val="center"/>
            <w:hideMark/>
          </w:tcPr>
          <w:p w14:paraId="7CF5B968"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94,300</w:t>
            </w:r>
          </w:p>
        </w:tc>
        <w:tc>
          <w:tcPr>
            <w:tcW w:w="897" w:type="dxa"/>
            <w:tcBorders>
              <w:top w:val="nil"/>
              <w:left w:val="nil"/>
              <w:bottom w:val="single" w:sz="8" w:space="0" w:color="auto"/>
              <w:right w:val="single" w:sz="8" w:space="0" w:color="auto"/>
            </w:tcBorders>
            <w:noWrap/>
            <w:vAlign w:val="center"/>
            <w:hideMark/>
          </w:tcPr>
          <w:p w14:paraId="79D6CB82"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-13.1%</w:t>
            </w:r>
          </w:p>
        </w:tc>
      </w:tr>
      <w:tr w:rsidR="002E47F6" w:rsidRPr="002E47F6" w14:paraId="394FCA8B" w14:textId="77777777">
        <w:trPr>
          <w:trHeight w:val="300"/>
        </w:trPr>
        <w:tc>
          <w:tcPr>
            <w:tcW w:w="3695" w:type="dxa"/>
            <w:tcBorders>
              <w:top w:val="nil"/>
              <w:left w:val="single" w:sz="8" w:space="0" w:color="auto"/>
              <w:bottom w:val="single" w:sz="8" w:space="0" w:color="auto"/>
              <w:right w:val="single" w:sz="8" w:space="0" w:color="auto"/>
            </w:tcBorders>
            <w:noWrap/>
            <w:vAlign w:val="center"/>
            <w:hideMark/>
          </w:tcPr>
          <w:p w14:paraId="77018A20"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Sales Workers</w:t>
            </w:r>
          </w:p>
        </w:tc>
        <w:tc>
          <w:tcPr>
            <w:tcW w:w="1249" w:type="dxa"/>
            <w:tcBorders>
              <w:top w:val="nil"/>
              <w:left w:val="nil"/>
              <w:bottom w:val="single" w:sz="8" w:space="0" w:color="auto"/>
              <w:right w:val="single" w:sz="8" w:space="0" w:color="auto"/>
            </w:tcBorders>
            <w:noWrap/>
            <w:vAlign w:val="center"/>
            <w:hideMark/>
          </w:tcPr>
          <w:p w14:paraId="111CD6FA"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123,400</w:t>
            </w:r>
          </w:p>
        </w:tc>
        <w:tc>
          <w:tcPr>
            <w:tcW w:w="1219" w:type="dxa"/>
            <w:tcBorders>
              <w:top w:val="nil"/>
              <w:left w:val="nil"/>
              <w:bottom w:val="single" w:sz="8" w:space="0" w:color="auto"/>
              <w:right w:val="single" w:sz="8" w:space="0" w:color="auto"/>
            </w:tcBorders>
            <w:noWrap/>
            <w:vAlign w:val="center"/>
            <w:hideMark/>
          </w:tcPr>
          <w:p w14:paraId="1A6FF749"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-8.0%</w:t>
            </w:r>
          </w:p>
        </w:tc>
        <w:tc>
          <w:tcPr>
            <w:tcW w:w="1068" w:type="dxa"/>
            <w:tcBorders>
              <w:top w:val="nil"/>
              <w:left w:val="nil"/>
              <w:bottom w:val="single" w:sz="8" w:space="0" w:color="auto"/>
              <w:right w:val="single" w:sz="8" w:space="0" w:color="auto"/>
            </w:tcBorders>
            <w:noWrap/>
            <w:vAlign w:val="center"/>
            <w:hideMark/>
          </w:tcPr>
          <w:p w14:paraId="546E636A"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15,800</w:t>
            </w:r>
          </w:p>
        </w:tc>
        <w:tc>
          <w:tcPr>
            <w:tcW w:w="912" w:type="dxa"/>
            <w:tcBorders>
              <w:top w:val="nil"/>
              <w:left w:val="nil"/>
              <w:bottom w:val="single" w:sz="8" w:space="0" w:color="auto"/>
              <w:right w:val="single" w:sz="8" w:space="0" w:color="auto"/>
            </w:tcBorders>
            <w:noWrap/>
            <w:vAlign w:val="center"/>
            <w:hideMark/>
          </w:tcPr>
          <w:p w14:paraId="29E8C6AE"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49,400</w:t>
            </w:r>
          </w:p>
        </w:tc>
        <w:tc>
          <w:tcPr>
            <w:tcW w:w="897" w:type="dxa"/>
            <w:tcBorders>
              <w:top w:val="nil"/>
              <w:left w:val="nil"/>
              <w:bottom w:val="single" w:sz="8" w:space="0" w:color="auto"/>
              <w:right w:val="single" w:sz="8" w:space="0" w:color="auto"/>
            </w:tcBorders>
            <w:noWrap/>
            <w:vAlign w:val="center"/>
            <w:hideMark/>
          </w:tcPr>
          <w:p w14:paraId="621ACDA3"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-12.9%</w:t>
            </w:r>
          </w:p>
        </w:tc>
      </w:tr>
      <w:tr w:rsidR="002E47F6" w:rsidRPr="002E47F6" w14:paraId="7B579187" w14:textId="77777777">
        <w:trPr>
          <w:trHeight w:val="300"/>
        </w:trPr>
        <w:tc>
          <w:tcPr>
            <w:tcW w:w="3695" w:type="dxa"/>
            <w:tcBorders>
              <w:top w:val="nil"/>
              <w:left w:val="single" w:sz="8" w:space="0" w:color="auto"/>
              <w:bottom w:val="single" w:sz="8" w:space="0" w:color="auto"/>
              <w:right w:val="single" w:sz="8" w:space="0" w:color="auto"/>
            </w:tcBorders>
            <w:noWrap/>
            <w:vAlign w:val="center"/>
            <w:hideMark/>
          </w:tcPr>
          <w:p w14:paraId="451A18A7"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Machinery Operators and Drivers</w:t>
            </w:r>
          </w:p>
        </w:tc>
        <w:tc>
          <w:tcPr>
            <w:tcW w:w="1249" w:type="dxa"/>
            <w:tcBorders>
              <w:top w:val="nil"/>
              <w:left w:val="nil"/>
              <w:bottom w:val="single" w:sz="8" w:space="0" w:color="auto"/>
              <w:right w:val="single" w:sz="8" w:space="0" w:color="auto"/>
            </w:tcBorders>
            <w:noWrap/>
            <w:vAlign w:val="center"/>
            <w:hideMark/>
          </w:tcPr>
          <w:p w14:paraId="15309690"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60,100</w:t>
            </w:r>
          </w:p>
        </w:tc>
        <w:tc>
          <w:tcPr>
            <w:tcW w:w="1219" w:type="dxa"/>
            <w:tcBorders>
              <w:top w:val="nil"/>
              <w:left w:val="nil"/>
              <w:bottom w:val="single" w:sz="8" w:space="0" w:color="auto"/>
              <w:right w:val="single" w:sz="8" w:space="0" w:color="auto"/>
            </w:tcBorders>
            <w:noWrap/>
            <w:vAlign w:val="center"/>
            <w:hideMark/>
          </w:tcPr>
          <w:p w14:paraId="040CC844"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-1.3%</w:t>
            </w:r>
          </w:p>
        </w:tc>
        <w:tc>
          <w:tcPr>
            <w:tcW w:w="1068" w:type="dxa"/>
            <w:tcBorders>
              <w:top w:val="nil"/>
              <w:left w:val="nil"/>
              <w:bottom w:val="single" w:sz="8" w:space="0" w:color="auto"/>
              <w:right w:val="single" w:sz="8" w:space="0" w:color="auto"/>
            </w:tcBorders>
            <w:noWrap/>
            <w:vAlign w:val="center"/>
            <w:hideMark/>
          </w:tcPr>
          <w:p w14:paraId="796B83C9"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12,100</w:t>
            </w:r>
          </w:p>
        </w:tc>
        <w:tc>
          <w:tcPr>
            <w:tcW w:w="912" w:type="dxa"/>
            <w:tcBorders>
              <w:top w:val="nil"/>
              <w:left w:val="nil"/>
              <w:bottom w:val="single" w:sz="8" w:space="0" w:color="auto"/>
              <w:right w:val="single" w:sz="8" w:space="0" w:color="auto"/>
            </w:tcBorders>
            <w:noWrap/>
            <w:vAlign w:val="center"/>
            <w:hideMark/>
          </w:tcPr>
          <w:p w14:paraId="2CABA0DE"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36,600</w:t>
            </w:r>
          </w:p>
        </w:tc>
        <w:tc>
          <w:tcPr>
            <w:tcW w:w="897" w:type="dxa"/>
            <w:tcBorders>
              <w:top w:val="nil"/>
              <w:left w:val="nil"/>
              <w:bottom w:val="single" w:sz="8" w:space="0" w:color="auto"/>
              <w:right w:val="single" w:sz="8" w:space="0" w:color="auto"/>
            </w:tcBorders>
            <w:noWrap/>
            <w:vAlign w:val="center"/>
            <w:hideMark/>
          </w:tcPr>
          <w:p w14:paraId="4F473F63" w14:textId="77777777" w:rsidR="002E47F6" w:rsidRPr="002E47F6" w:rsidRDefault="002E47F6">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-1.5%</w:t>
            </w:r>
          </w:p>
        </w:tc>
      </w:tr>
      <w:tr w:rsidR="00114717" w:rsidRPr="002E47F6" w14:paraId="3E498C49" w14:textId="77777777">
        <w:trPr>
          <w:trHeight w:val="300"/>
        </w:trPr>
        <w:tc>
          <w:tcPr>
            <w:tcW w:w="3695" w:type="dxa"/>
            <w:tcBorders>
              <w:top w:val="nil"/>
              <w:left w:val="single" w:sz="8" w:space="0" w:color="auto"/>
              <w:bottom w:val="single" w:sz="8" w:space="0" w:color="auto"/>
              <w:right w:val="single" w:sz="8" w:space="0" w:color="auto"/>
            </w:tcBorders>
            <w:noWrap/>
            <w:vAlign w:val="center"/>
          </w:tcPr>
          <w:p w14:paraId="71AD4549" w14:textId="31378034" w:rsidR="00114717" w:rsidRPr="002E47F6" w:rsidRDefault="00114717" w:rsidP="00114717">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Labourers</w:t>
            </w:r>
          </w:p>
        </w:tc>
        <w:tc>
          <w:tcPr>
            <w:tcW w:w="1249" w:type="dxa"/>
            <w:tcBorders>
              <w:top w:val="nil"/>
              <w:left w:val="nil"/>
              <w:bottom w:val="single" w:sz="8" w:space="0" w:color="auto"/>
              <w:right w:val="single" w:sz="8" w:space="0" w:color="auto"/>
            </w:tcBorders>
            <w:noWrap/>
            <w:vAlign w:val="center"/>
          </w:tcPr>
          <w:p w14:paraId="1F47FB35" w14:textId="393E26D4" w:rsidR="00114717" w:rsidRPr="002E47F6" w:rsidRDefault="00114717" w:rsidP="00114717">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101,000</w:t>
            </w:r>
          </w:p>
        </w:tc>
        <w:tc>
          <w:tcPr>
            <w:tcW w:w="1219" w:type="dxa"/>
            <w:tcBorders>
              <w:top w:val="nil"/>
              <w:left w:val="nil"/>
              <w:bottom w:val="single" w:sz="8" w:space="0" w:color="auto"/>
              <w:right w:val="single" w:sz="8" w:space="0" w:color="auto"/>
            </w:tcBorders>
            <w:noWrap/>
            <w:vAlign w:val="center"/>
          </w:tcPr>
          <w:p w14:paraId="277CD322" w14:textId="206467FD" w:rsidR="00114717" w:rsidRPr="002E47F6" w:rsidRDefault="00114717" w:rsidP="00114717">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-2.9%</w:t>
            </w:r>
          </w:p>
        </w:tc>
        <w:tc>
          <w:tcPr>
            <w:tcW w:w="1068" w:type="dxa"/>
            <w:tcBorders>
              <w:top w:val="nil"/>
              <w:left w:val="nil"/>
              <w:bottom w:val="single" w:sz="8" w:space="0" w:color="auto"/>
              <w:right w:val="single" w:sz="8" w:space="0" w:color="auto"/>
            </w:tcBorders>
            <w:noWrap/>
            <w:vAlign w:val="center"/>
          </w:tcPr>
          <w:p w14:paraId="7ABC7FA3" w14:textId="46F607A3" w:rsidR="00114717" w:rsidRPr="002E47F6" w:rsidRDefault="00114717" w:rsidP="00114717">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13,900</w:t>
            </w:r>
          </w:p>
        </w:tc>
        <w:tc>
          <w:tcPr>
            <w:tcW w:w="912" w:type="dxa"/>
            <w:tcBorders>
              <w:top w:val="nil"/>
              <w:left w:val="nil"/>
              <w:bottom w:val="single" w:sz="8" w:space="0" w:color="auto"/>
              <w:right w:val="single" w:sz="8" w:space="0" w:color="auto"/>
            </w:tcBorders>
            <w:noWrap/>
            <w:vAlign w:val="center"/>
          </w:tcPr>
          <w:p w14:paraId="2C798A93" w14:textId="678FD0EE" w:rsidR="00114717" w:rsidRPr="002E47F6" w:rsidRDefault="00114717" w:rsidP="00114717">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41,700</w:t>
            </w:r>
          </w:p>
        </w:tc>
        <w:tc>
          <w:tcPr>
            <w:tcW w:w="897" w:type="dxa"/>
            <w:tcBorders>
              <w:top w:val="nil"/>
              <w:left w:val="nil"/>
              <w:bottom w:val="single" w:sz="8" w:space="0" w:color="auto"/>
              <w:right w:val="single" w:sz="8" w:space="0" w:color="auto"/>
            </w:tcBorders>
            <w:noWrap/>
            <w:vAlign w:val="center"/>
          </w:tcPr>
          <w:p w14:paraId="4DC5F4B4" w14:textId="134F16B3" w:rsidR="00114717" w:rsidRPr="002E47F6" w:rsidRDefault="00114717" w:rsidP="00114717">
            <w:pPr>
              <w:keepNext/>
              <w:keepLines/>
              <w:spacing w:after="0" w:line="240" w:lineRule="auto"/>
              <w:jc w:val="right"/>
              <w:rPr>
                <w:rFonts w:eastAsia="Times New Roman" w:cstheme="minorHAnsi"/>
                <w:color w:val="000000"/>
                <w:lang w:eastAsia="en-AU"/>
              </w:rPr>
            </w:pPr>
            <w:r w:rsidRPr="002E47F6">
              <w:rPr>
                <w:rFonts w:eastAsia="Times New Roman" w:cstheme="minorHAnsi"/>
                <w:color w:val="000000"/>
                <w:lang w:eastAsia="en-AU"/>
              </w:rPr>
              <w:t>-3.2%</w:t>
            </w:r>
          </w:p>
        </w:tc>
      </w:tr>
      <w:tr w:rsidR="00114717" w:rsidRPr="002E47F6" w14:paraId="2FC89185" w14:textId="77777777">
        <w:trPr>
          <w:trHeight w:val="300"/>
        </w:trPr>
        <w:tc>
          <w:tcPr>
            <w:tcW w:w="3695" w:type="dxa"/>
            <w:tcBorders>
              <w:top w:val="nil"/>
              <w:left w:val="single" w:sz="8" w:space="0" w:color="auto"/>
              <w:bottom w:val="single" w:sz="8" w:space="0" w:color="auto"/>
              <w:right w:val="single" w:sz="8" w:space="0" w:color="auto"/>
            </w:tcBorders>
            <w:noWrap/>
            <w:vAlign w:val="center"/>
            <w:hideMark/>
          </w:tcPr>
          <w:p w14:paraId="6976DCB4" w14:textId="0C0F6C2E" w:rsidR="00114717" w:rsidRPr="00114717" w:rsidRDefault="00114717" w:rsidP="00114717">
            <w:pPr>
              <w:keepNext/>
              <w:keepLines/>
              <w:spacing w:after="0" w:line="240" w:lineRule="auto"/>
              <w:jc w:val="right"/>
              <w:rPr>
                <w:rFonts w:eastAsia="Times New Roman" w:cstheme="minorHAnsi"/>
                <w:b/>
                <w:bCs/>
                <w:color w:val="000000"/>
                <w:lang w:eastAsia="en-AU"/>
              </w:rPr>
            </w:pPr>
            <w:r>
              <w:rPr>
                <w:rFonts w:eastAsia="Times New Roman" w:cstheme="minorHAnsi"/>
                <w:b/>
                <w:bCs/>
                <w:color w:val="000000"/>
                <w:lang w:eastAsia="en-AU"/>
              </w:rPr>
              <w:t>Australia</w:t>
            </w:r>
          </w:p>
        </w:tc>
        <w:tc>
          <w:tcPr>
            <w:tcW w:w="1249" w:type="dxa"/>
            <w:tcBorders>
              <w:top w:val="nil"/>
              <w:left w:val="nil"/>
              <w:bottom w:val="single" w:sz="8" w:space="0" w:color="auto"/>
              <w:right w:val="single" w:sz="8" w:space="0" w:color="auto"/>
            </w:tcBorders>
            <w:noWrap/>
            <w:vAlign w:val="center"/>
            <w:hideMark/>
          </w:tcPr>
          <w:p w14:paraId="0FFDDE8E" w14:textId="79B39954" w:rsidR="00114717" w:rsidRPr="007D0B68" w:rsidRDefault="00114717" w:rsidP="00114717">
            <w:pPr>
              <w:keepNext/>
              <w:keepLines/>
              <w:spacing w:after="0" w:line="240" w:lineRule="auto"/>
              <w:jc w:val="right"/>
              <w:rPr>
                <w:rFonts w:eastAsia="Times New Roman" w:cstheme="minorHAnsi"/>
                <w:b/>
                <w:bCs/>
                <w:color w:val="000000"/>
                <w:lang w:eastAsia="en-AU"/>
              </w:rPr>
            </w:pPr>
            <w:r w:rsidRPr="007D0B68">
              <w:rPr>
                <w:rFonts w:eastAsia="Times New Roman" w:cstheme="minorHAnsi"/>
                <w:b/>
                <w:bCs/>
                <w:color w:val="000000"/>
                <w:lang w:eastAsia="en-AU"/>
              </w:rPr>
              <w:t>1,128,300</w:t>
            </w:r>
          </w:p>
        </w:tc>
        <w:tc>
          <w:tcPr>
            <w:tcW w:w="1219" w:type="dxa"/>
            <w:tcBorders>
              <w:top w:val="nil"/>
              <w:left w:val="nil"/>
              <w:bottom w:val="single" w:sz="8" w:space="0" w:color="auto"/>
              <w:right w:val="single" w:sz="8" w:space="0" w:color="auto"/>
            </w:tcBorders>
            <w:noWrap/>
            <w:vAlign w:val="center"/>
            <w:hideMark/>
          </w:tcPr>
          <w:p w14:paraId="194F960D" w14:textId="360A8466" w:rsidR="00114717" w:rsidRPr="007D0B68" w:rsidRDefault="00E06DC6" w:rsidP="00114717">
            <w:pPr>
              <w:keepNext/>
              <w:keepLines/>
              <w:spacing w:after="0" w:line="240" w:lineRule="auto"/>
              <w:jc w:val="right"/>
              <w:rPr>
                <w:rFonts w:eastAsia="Times New Roman" w:cstheme="minorHAnsi"/>
                <w:b/>
                <w:bCs/>
                <w:color w:val="000000"/>
                <w:lang w:eastAsia="en-AU"/>
              </w:rPr>
            </w:pPr>
            <w:r w:rsidRPr="007D0B68">
              <w:rPr>
                <w:rFonts w:eastAsia="Times New Roman" w:cstheme="minorHAnsi"/>
                <w:b/>
                <w:bCs/>
                <w:color w:val="000000"/>
                <w:lang w:eastAsia="en-AU"/>
              </w:rPr>
              <w:t>-</w:t>
            </w:r>
            <w:r w:rsidR="00236C1F" w:rsidRPr="007D0B68">
              <w:rPr>
                <w:rFonts w:eastAsia="Times New Roman" w:cstheme="minorHAnsi"/>
                <w:b/>
                <w:bCs/>
                <w:color w:val="000000"/>
                <w:lang w:eastAsia="en-AU"/>
              </w:rPr>
              <w:t>6.9%</w:t>
            </w:r>
          </w:p>
        </w:tc>
        <w:tc>
          <w:tcPr>
            <w:tcW w:w="1068" w:type="dxa"/>
            <w:tcBorders>
              <w:top w:val="nil"/>
              <w:left w:val="nil"/>
              <w:bottom w:val="single" w:sz="8" w:space="0" w:color="auto"/>
              <w:right w:val="single" w:sz="8" w:space="0" w:color="auto"/>
            </w:tcBorders>
            <w:noWrap/>
            <w:vAlign w:val="center"/>
            <w:hideMark/>
          </w:tcPr>
          <w:p w14:paraId="1D3C277F" w14:textId="7EEF592D" w:rsidR="00114717" w:rsidRPr="007D0B68" w:rsidRDefault="007D0B68" w:rsidP="00114717">
            <w:pPr>
              <w:keepNext/>
              <w:keepLines/>
              <w:spacing w:after="0" w:line="240" w:lineRule="auto"/>
              <w:jc w:val="right"/>
              <w:rPr>
                <w:rFonts w:eastAsia="Times New Roman" w:cstheme="minorHAnsi"/>
                <w:b/>
                <w:bCs/>
                <w:color w:val="000000"/>
                <w:lang w:eastAsia="en-AU"/>
              </w:rPr>
            </w:pPr>
            <w:r w:rsidRPr="007D0B68">
              <w:rPr>
                <w:rFonts w:eastAsia="Times New Roman" w:cstheme="minorHAnsi"/>
                <w:b/>
                <w:bCs/>
                <w:color w:val="000000"/>
                <w:lang w:eastAsia="en-AU"/>
              </w:rPr>
              <w:t>202,900</w:t>
            </w:r>
          </w:p>
        </w:tc>
        <w:tc>
          <w:tcPr>
            <w:tcW w:w="912" w:type="dxa"/>
            <w:tcBorders>
              <w:top w:val="nil"/>
              <w:left w:val="nil"/>
              <w:bottom w:val="single" w:sz="8" w:space="0" w:color="auto"/>
              <w:right w:val="single" w:sz="8" w:space="0" w:color="auto"/>
            </w:tcBorders>
            <w:noWrap/>
            <w:vAlign w:val="center"/>
            <w:hideMark/>
          </w:tcPr>
          <w:p w14:paraId="27C40483" w14:textId="070C1926" w:rsidR="00114717" w:rsidRPr="007D0B68" w:rsidRDefault="00CF6993" w:rsidP="00114717">
            <w:pPr>
              <w:keepNext/>
              <w:keepLines/>
              <w:spacing w:after="0" w:line="240" w:lineRule="auto"/>
              <w:jc w:val="right"/>
              <w:rPr>
                <w:rFonts w:eastAsia="Times New Roman" w:cstheme="minorHAnsi"/>
                <w:b/>
                <w:bCs/>
                <w:color w:val="000000"/>
                <w:lang w:eastAsia="en-AU"/>
              </w:rPr>
            </w:pPr>
            <w:r>
              <w:rPr>
                <w:rFonts w:eastAsia="Times New Roman" w:cstheme="minorHAnsi"/>
                <w:b/>
                <w:bCs/>
                <w:color w:val="000000"/>
                <w:lang w:eastAsia="en-AU"/>
              </w:rPr>
              <w:t>627,300</w:t>
            </w:r>
          </w:p>
        </w:tc>
        <w:tc>
          <w:tcPr>
            <w:tcW w:w="897" w:type="dxa"/>
            <w:tcBorders>
              <w:top w:val="nil"/>
              <w:left w:val="nil"/>
              <w:bottom w:val="single" w:sz="8" w:space="0" w:color="auto"/>
              <w:right w:val="single" w:sz="8" w:space="0" w:color="auto"/>
            </w:tcBorders>
            <w:noWrap/>
            <w:vAlign w:val="center"/>
            <w:hideMark/>
          </w:tcPr>
          <w:p w14:paraId="25EDD31C" w14:textId="7108F8BC" w:rsidR="00114717" w:rsidRPr="007D0B68" w:rsidRDefault="00114717" w:rsidP="00114717">
            <w:pPr>
              <w:keepNext/>
              <w:keepLines/>
              <w:spacing w:after="0" w:line="240" w:lineRule="auto"/>
              <w:jc w:val="right"/>
              <w:rPr>
                <w:rFonts w:eastAsia="Times New Roman" w:cstheme="minorHAnsi"/>
                <w:b/>
                <w:bCs/>
                <w:color w:val="000000"/>
                <w:lang w:eastAsia="en-AU"/>
              </w:rPr>
            </w:pPr>
            <w:r w:rsidRPr="007D0B68">
              <w:rPr>
                <w:rFonts w:eastAsia="Times New Roman" w:cstheme="minorHAnsi"/>
                <w:b/>
                <w:bCs/>
                <w:color w:val="000000"/>
                <w:lang w:eastAsia="en-AU"/>
              </w:rPr>
              <w:t>-</w:t>
            </w:r>
            <w:r w:rsidR="00FF3FB5">
              <w:rPr>
                <w:rFonts w:eastAsia="Times New Roman" w:cstheme="minorHAnsi"/>
                <w:b/>
                <w:bCs/>
                <w:color w:val="000000"/>
                <w:lang w:eastAsia="en-AU"/>
              </w:rPr>
              <w:t>12</w:t>
            </w:r>
            <w:r w:rsidRPr="007D0B68">
              <w:rPr>
                <w:rFonts w:eastAsia="Times New Roman" w:cstheme="minorHAnsi"/>
                <w:b/>
                <w:bCs/>
                <w:color w:val="000000"/>
                <w:lang w:eastAsia="en-AU"/>
              </w:rPr>
              <w:t>.</w:t>
            </w:r>
            <w:r w:rsidR="00FF3FB5">
              <w:rPr>
                <w:rFonts w:eastAsia="Times New Roman" w:cstheme="minorHAnsi"/>
                <w:b/>
                <w:bCs/>
                <w:color w:val="000000"/>
                <w:lang w:eastAsia="en-AU"/>
              </w:rPr>
              <w:t>1</w:t>
            </w:r>
            <w:r w:rsidRPr="007D0B68">
              <w:rPr>
                <w:rFonts w:eastAsia="Times New Roman" w:cstheme="minorHAnsi"/>
                <w:b/>
                <w:bCs/>
                <w:color w:val="000000"/>
                <w:lang w:eastAsia="en-AU"/>
              </w:rPr>
              <w:t>%</w:t>
            </w:r>
          </w:p>
        </w:tc>
      </w:tr>
    </w:tbl>
    <w:p w14:paraId="01C394E8" w14:textId="77777777" w:rsidR="00344D2B" w:rsidRPr="009C0703" w:rsidRDefault="00344D2B" w:rsidP="009C0703">
      <w:pPr>
        <w:pStyle w:val="Source"/>
      </w:pPr>
      <w:r w:rsidRPr="009C0703">
        <w:t>Source: JSA, Total New Vacancies and Internet Vacancy Index.</w:t>
      </w:r>
    </w:p>
    <w:p w14:paraId="6ECC489C" w14:textId="3649F878" w:rsidR="005111CD" w:rsidRPr="00604701" w:rsidRDefault="001A637A" w:rsidP="00D14A5E">
      <w:pPr>
        <w:pStyle w:val="Heading3"/>
      </w:pPr>
      <w:r>
        <w:br w:type="column"/>
      </w:r>
      <w:r w:rsidR="005111CD">
        <w:lastRenderedPageBreak/>
        <w:t>Off the grid</w:t>
      </w:r>
      <w:r w:rsidR="00701D1C">
        <w:t>: Imp</w:t>
      </w:r>
      <w:r w:rsidR="00701D1C" w:rsidRPr="00701D1C">
        <w:t xml:space="preserve">roving our understanding of </w:t>
      </w:r>
      <w:r w:rsidR="00701D1C">
        <w:t>v</w:t>
      </w:r>
      <w:r w:rsidR="00701D1C" w:rsidRPr="00701D1C">
        <w:t xml:space="preserve">acancies </w:t>
      </w:r>
      <w:r w:rsidR="00701D1C">
        <w:t>b</w:t>
      </w:r>
      <w:r w:rsidR="00701D1C" w:rsidRPr="00701D1C">
        <w:t xml:space="preserve">eyond the </w:t>
      </w:r>
      <w:r w:rsidR="00701D1C">
        <w:t>c</w:t>
      </w:r>
      <w:r w:rsidR="00701D1C" w:rsidRPr="00701D1C">
        <w:t xml:space="preserve">ity </w:t>
      </w:r>
      <w:r w:rsidR="00701D1C">
        <w:t>l</w:t>
      </w:r>
      <w:r w:rsidR="00701D1C" w:rsidRPr="00701D1C">
        <w:t>imits</w:t>
      </w:r>
    </w:p>
    <w:p w14:paraId="20D1ED0B" w14:textId="77777777" w:rsidR="00396DFA" w:rsidRDefault="00396DFA" w:rsidP="00396DFA">
      <w:r>
        <w:t>While the JSA IVI is relatively representative of job advertisement trends in Australia’s capital cities, analysis from JSA’s REOS suggests it typically only captures a lower proportion of vacancies advertised within more regional and remote regions. This can make it difficult to better understand job vacancy trends in regional areas, where employers are more likely rely on local networks, word-of-mouth, signs in shop windows and community notice boards.</w:t>
      </w:r>
    </w:p>
    <w:p w14:paraId="307F7971" w14:textId="0ADD9459" w:rsidR="00396DFA" w:rsidRDefault="00396DFA" w:rsidP="00396DFA">
      <w:r>
        <w:t xml:space="preserve">Table 2 provides a comparison between the TNV and the IVI over the year to August 2025 at the geographical level. The divergence between TNV and IVI underscores the importance of the new TNV series in better understanding labour demand. </w:t>
      </w:r>
    </w:p>
    <w:p w14:paraId="06AD6366" w14:textId="77777777" w:rsidR="001A637A" w:rsidRDefault="00396DFA" w:rsidP="00DA7A1B">
      <w:r>
        <w:t xml:space="preserve">To illustrate the scale of this gap, consider Queensland – Outback. During the quarter of August 2025, the IVI indicates there were roughly 2,300 vacancies advertised (or around 750 vacancies per month). However, with REOS insights indicating only around 15% to 20% of the vacancies within remote areas are captured on online job boards (compared with around 50% to 60% in areas like the Gold Coast). This suggests there were </w:t>
      </w:r>
      <w:proofErr w:type="gramStart"/>
      <w:r>
        <w:t>actually likely</w:t>
      </w:r>
      <w:proofErr w:type="gramEnd"/>
      <w:r>
        <w:t xml:space="preserve"> closer to 12,100 new vacancies in Queensland – Outback over the same the same period. This illustrates the powerful insights of the new TNV series.</w:t>
      </w:r>
      <w:bookmarkStart w:id="1" w:name="_Ref207615171"/>
      <w:bookmarkStart w:id="2" w:name="_Toc207899202"/>
      <w:bookmarkStart w:id="3" w:name="_Toc211604172"/>
    </w:p>
    <w:p w14:paraId="4DB2F89E" w14:textId="5423FD91" w:rsidR="0018263B" w:rsidRPr="00EA5537" w:rsidRDefault="0018263B" w:rsidP="00EA5537">
      <w:pPr>
        <w:pStyle w:val="Caption"/>
      </w:pPr>
      <w:r w:rsidRPr="00EA5537">
        <w:t>Table 2: Total New Vacancies by GCCSA, August 2025</w:t>
      </w:r>
    </w:p>
    <w:tbl>
      <w:tblPr>
        <w:tblpPr w:leftFromText="180" w:rightFromText="180" w:vertAnchor="text" w:horzAnchor="margin" w:tblpY="-18"/>
        <w:tblW w:w="9040" w:type="dxa"/>
        <w:tblLook w:val="04A0" w:firstRow="1" w:lastRow="0" w:firstColumn="1" w:lastColumn="0" w:noHBand="0" w:noVBand="1"/>
      </w:tblPr>
      <w:tblGrid>
        <w:gridCol w:w="3180"/>
        <w:gridCol w:w="1400"/>
        <w:gridCol w:w="1380"/>
        <w:gridCol w:w="1160"/>
        <w:gridCol w:w="960"/>
        <w:gridCol w:w="960"/>
      </w:tblGrid>
      <w:tr w:rsidR="00E43E0C" w:rsidRPr="0004138A" w14:paraId="518357E3" w14:textId="77777777" w:rsidTr="00E43E0C">
        <w:trPr>
          <w:trHeight w:val="330"/>
          <w:tblHeader/>
        </w:trPr>
        <w:tc>
          <w:tcPr>
            <w:tcW w:w="3180" w:type="dxa"/>
            <w:vMerge w:val="restart"/>
            <w:tcBorders>
              <w:top w:val="nil"/>
              <w:left w:val="nil"/>
              <w:right w:val="nil"/>
            </w:tcBorders>
            <w:noWrap/>
            <w:vAlign w:val="bottom"/>
            <w:hideMark/>
          </w:tcPr>
          <w:p w14:paraId="65F89425" w14:textId="77777777" w:rsidR="00E43E0C" w:rsidRDefault="00E43E0C">
            <w:pPr>
              <w:keepNext/>
              <w:keepLines/>
              <w:spacing w:after="0" w:line="240" w:lineRule="auto"/>
              <w:rPr>
                <w:rFonts w:eastAsia="Times New Roman" w:cstheme="minorHAnsi"/>
                <w:lang w:eastAsia="en-AU"/>
              </w:rPr>
            </w:pPr>
          </w:p>
          <w:p w14:paraId="0C584BFA" w14:textId="77777777" w:rsidR="00E43E0C" w:rsidRPr="0004138A" w:rsidRDefault="00E43E0C">
            <w:pPr>
              <w:keepNext/>
              <w:keepLines/>
              <w:spacing w:after="0" w:line="240" w:lineRule="auto"/>
              <w:rPr>
                <w:rFonts w:eastAsia="Times New Roman" w:cstheme="minorHAnsi"/>
                <w:lang w:eastAsia="en-AU"/>
              </w:rPr>
            </w:pPr>
          </w:p>
        </w:tc>
        <w:tc>
          <w:tcPr>
            <w:tcW w:w="2780" w:type="dxa"/>
            <w:gridSpan w:val="2"/>
            <w:tcBorders>
              <w:top w:val="single" w:sz="8" w:space="0" w:color="auto"/>
              <w:left w:val="single" w:sz="8" w:space="0" w:color="auto"/>
              <w:bottom w:val="single" w:sz="8" w:space="0" w:color="auto"/>
              <w:right w:val="single" w:sz="8" w:space="0" w:color="000000"/>
            </w:tcBorders>
            <w:vAlign w:val="center"/>
            <w:hideMark/>
          </w:tcPr>
          <w:p w14:paraId="326764F4" w14:textId="77777777" w:rsidR="00E43E0C" w:rsidRPr="0004138A" w:rsidRDefault="00E43E0C">
            <w:pPr>
              <w:keepNext/>
              <w:keepLines/>
              <w:spacing w:after="0" w:line="240" w:lineRule="auto"/>
              <w:rPr>
                <w:rFonts w:eastAsia="Times New Roman" w:cstheme="minorHAnsi"/>
                <w:b/>
                <w:bCs/>
                <w:color w:val="000000"/>
                <w:lang w:eastAsia="en-AU"/>
              </w:rPr>
            </w:pPr>
            <w:r w:rsidRPr="0004138A">
              <w:rPr>
                <w:rFonts w:eastAsia="Times New Roman" w:cstheme="minorHAnsi"/>
                <w:b/>
                <w:bCs/>
                <w:color w:val="000000"/>
                <w:lang w:eastAsia="en-AU"/>
              </w:rPr>
              <w:t xml:space="preserve">JSA Total New Vacancies </w:t>
            </w:r>
          </w:p>
        </w:tc>
        <w:tc>
          <w:tcPr>
            <w:tcW w:w="3080" w:type="dxa"/>
            <w:gridSpan w:val="3"/>
            <w:tcBorders>
              <w:top w:val="single" w:sz="8" w:space="0" w:color="auto"/>
              <w:left w:val="nil"/>
              <w:bottom w:val="single" w:sz="8" w:space="0" w:color="auto"/>
              <w:right w:val="single" w:sz="8" w:space="0" w:color="000000"/>
            </w:tcBorders>
            <w:vAlign w:val="center"/>
            <w:hideMark/>
          </w:tcPr>
          <w:p w14:paraId="4398A1C8" w14:textId="77777777" w:rsidR="00E43E0C" w:rsidRPr="0004138A" w:rsidRDefault="00E43E0C">
            <w:pPr>
              <w:keepNext/>
              <w:keepLines/>
              <w:spacing w:after="0" w:line="240" w:lineRule="auto"/>
              <w:rPr>
                <w:rFonts w:eastAsia="Times New Roman" w:cstheme="minorHAnsi"/>
                <w:b/>
                <w:bCs/>
                <w:color w:val="000000"/>
                <w:lang w:eastAsia="en-AU"/>
              </w:rPr>
            </w:pPr>
            <w:r w:rsidRPr="0004138A">
              <w:rPr>
                <w:rFonts w:eastAsia="Times New Roman" w:cstheme="minorHAnsi"/>
                <w:b/>
                <w:bCs/>
                <w:color w:val="000000"/>
                <w:lang w:eastAsia="en-AU"/>
              </w:rPr>
              <w:t xml:space="preserve">JSA Internet Vacancy Index </w:t>
            </w:r>
          </w:p>
        </w:tc>
      </w:tr>
      <w:tr w:rsidR="00E43E0C" w:rsidRPr="0004138A" w14:paraId="6AE2D4F8" w14:textId="77777777" w:rsidTr="00E43E0C">
        <w:trPr>
          <w:trHeight w:val="880"/>
          <w:tblHeader/>
        </w:trPr>
        <w:tc>
          <w:tcPr>
            <w:tcW w:w="3180" w:type="dxa"/>
            <w:vMerge/>
            <w:tcBorders>
              <w:left w:val="nil"/>
              <w:bottom w:val="nil"/>
              <w:right w:val="nil"/>
            </w:tcBorders>
            <w:noWrap/>
            <w:vAlign w:val="center"/>
            <w:hideMark/>
          </w:tcPr>
          <w:p w14:paraId="36CF7E53" w14:textId="77777777" w:rsidR="00E43E0C" w:rsidRPr="0004138A" w:rsidRDefault="00E43E0C">
            <w:pPr>
              <w:keepNext/>
              <w:keepLines/>
              <w:spacing w:after="0" w:line="240" w:lineRule="auto"/>
              <w:rPr>
                <w:rFonts w:eastAsia="Times New Roman" w:cstheme="minorHAnsi"/>
                <w:b/>
                <w:bCs/>
                <w:color w:val="000000"/>
                <w:lang w:eastAsia="en-AU"/>
              </w:rPr>
            </w:pPr>
          </w:p>
        </w:tc>
        <w:tc>
          <w:tcPr>
            <w:tcW w:w="1400" w:type="dxa"/>
            <w:tcBorders>
              <w:top w:val="nil"/>
              <w:left w:val="single" w:sz="8" w:space="0" w:color="auto"/>
              <w:bottom w:val="single" w:sz="8" w:space="0" w:color="auto"/>
              <w:right w:val="single" w:sz="8" w:space="0" w:color="auto"/>
            </w:tcBorders>
            <w:vAlign w:val="center"/>
            <w:hideMark/>
          </w:tcPr>
          <w:p w14:paraId="512E0E58" w14:textId="77777777" w:rsidR="00E43E0C" w:rsidRPr="0004138A" w:rsidRDefault="00E43E0C">
            <w:pPr>
              <w:keepNext/>
              <w:keepLines/>
              <w:spacing w:after="0" w:line="240" w:lineRule="auto"/>
              <w:rPr>
                <w:rFonts w:eastAsia="Times New Roman" w:cstheme="minorHAnsi"/>
                <w:b/>
                <w:bCs/>
                <w:color w:val="000000"/>
                <w:lang w:eastAsia="en-AU"/>
              </w:rPr>
            </w:pPr>
            <w:proofErr w:type="spellStart"/>
            <w:r w:rsidRPr="0004138A">
              <w:rPr>
                <w:rFonts w:eastAsia="Times New Roman" w:cstheme="minorHAnsi"/>
                <w:b/>
                <w:bCs/>
                <w:color w:val="000000"/>
                <w:lang w:eastAsia="en-AU"/>
              </w:rPr>
              <w:t>Qtrly</w:t>
            </w:r>
            <w:proofErr w:type="spellEnd"/>
            <w:r w:rsidRPr="0004138A">
              <w:rPr>
                <w:rFonts w:eastAsia="Times New Roman" w:cstheme="minorHAnsi"/>
                <w:b/>
                <w:bCs/>
                <w:color w:val="000000"/>
                <w:lang w:eastAsia="en-AU"/>
              </w:rPr>
              <w:t xml:space="preserve"> total</w:t>
            </w:r>
          </w:p>
        </w:tc>
        <w:tc>
          <w:tcPr>
            <w:tcW w:w="1380" w:type="dxa"/>
            <w:tcBorders>
              <w:top w:val="nil"/>
              <w:left w:val="nil"/>
              <w:bottom w:val="single" w:sz="8" w:space="0" w:color="auto"/>
              <w:right w:val="single" w:sz="8" w:space="0" w:color="auto"/>
            </w:tcBorders>
            <w:vAlign w:val="center"/>
            <w:hideMark/>
          </w:tcPr>
          <w:p w14:paraId="6EE917CA" w14:textId="77777777" w:rsidR="00E43E0C" w:rsidRPr="0004138A" w:rsidRDefault="00E43E0C">
            <w:pPr>
              <w:keepNext/>
              <w:keepLines/>
              <w:spacing w:after="0" w:line="240" w:lineRule="auto"/>
              <w:rPr>
                <w:rFonts w:eastAsia="Times New Roman" w:cstheme="minorHAnsi"/>
                <w:b/>
                <w:bCs/>
                <w:color w:val="000000"/>
                <w:lang w:eastAsia="en-AU"/>
              </w:rPr>
            </w:pPr>
            <w:r w:rsidRPr="0004138A">
              <w:rPr>
                <w:rFonts w:eastAsia="Times New Roman" w:cstheme="minorHAnsi"/>
                <w:b/>
                <w:bCs/>
                <w:color w:val="000000"/>
                <w:lang w:eastAsia="en-AU"/>
              </w:rPr>
              <w:t>Annual change (%)</w:t>
            </w:r>
          </w:p>
        </w:tc>
        <w:tc>
          <w:tcPr>
            <w:tcW w:w="1160" w:type="dxa"/>
            <w:tcBorders>
              <w:top w:val="nil"/>
              <w:left w:val="nil"/>
              <w:bottom w:val="single" w:sz="8" w:space="0" w:color="auto"/>
              <w:right w:val="single" w:sz="8" w:space="0" w:color="auto"/>
            </w:tcBorders>
            <w:vAlign w:val="center"/>
            <w:hideMark/>
          </w:tcPr>
          <w:p w14:paraId="7F4287B5" w14:textId="77777777" w:rsidR="00E43E0C" w:rsidRPr="0004138A" w:rsidRDefault="00E43E0C">
            <w:pPr>
              <w:keepNext/>
              <w:keepLines/>
              <w:spacing w:after="0" w:line="240" w:lineRule="auto"/>
              <w:rPr>
                <w:rFonts w:eastAsia="Times New Roman" w:cstheme="minorHAnsi"/>
                <w:b/>
                <w:bCs/>
                <w:color w:val="000000"/>
                <w:lang w:eastAsia="en-AU"/>
              </w:rPr>
            </w:pPr>
            <w:r w:rsidRPr="0004138A">
              <w:rPr>
                <w:rFonts w:eastAsia="Times New Roman" w:cstheme="minorHAnsi"/>
                <w:b/>
                <w:bCs/>
                <w:color w:val="000000"/>
                <w:lang w:eastAsia="en-AU"/>
              </w:rPr>
              <w:t>Monthly total</w:t>
            </w:r>
          </w:p>
        </w:tc>
        <w:tc>
          <w:tcPr>
            <w:tcW w:w="960" w:type="dxa"/>
            <w:tcBorders>
              <w:top w:val="nil"/>
              <w:left w:val="nil"/>
              <w:bottom w:val="single" w:sz="8" w:space="0" w:color="auto"/>
              <w:right w:val="single" w:sz="8" w:space="0" w:color="auto"/>
            </w:tcBorders>
            <w:vAlign w:val="center"/>
            <w:hideMark/>
          </w:tcPr>
          <w:p w14:paraId="365D172D" w14:textId="77777777" w:rsidR="00E43E0C" w:rsidRPr="0004138A" w:rsidRDefault="00E43E0C">
            <w:pPr>
              <w:keepNext/>
              <w:keepLines/>
              <w:spacing w:after="0" w:line="240" w:lineRule="auto"/>
              <w:rPr>
                <w:rFonts w:eastAsia="Times New Roman" w:cstheme="minorHAnsi"/>
                <w:b/>
                <w:bCs/>
                <w:color w:val="000000"/>
                <w:lang w:eastAsia="en-AU"/>
              </w:rPr>
            </w:pPr>
            <w:proofErr w:type="spellStart"/>
            <w:r w:rsidRPr="0004138A">
              <w:rPr>
                <w:rFonts w:eastAsia="Times New Roman" w:cstheme="minorHAnsi"/>
                <w:b/>
                <w:bCs/>
                <w:color w:val="000000"/>
                <w:lang w:eastAsia="en-AU"/>
              </w:rPr>
              <w:t>Qtrly</w:t>
            </w:r>
            <w:proofErr w:type="spellEnd"/>
            <w:r w:rsidRPr="0004138A">
              <w:rPr>
                <w:rFonts w:eastAsia="Times New Roman" w:cstheme="minorHAnsi"/>
                <w:b/>
                <w:bCs/>
                <w:color w:val="000000"/>
                <w:lang w:eastAsia="en-AU"/>
              </w:rPr>
              <w:t xml:space="preserve"> total</w:t>
            </w:r>
          </w:p>
        </w:tc>
        <w:tc>
          <w:tcPr>
            <w:tcW w:w="960" w:type="dxa"/>
            <w:tcBorders>
              <w:top w:val="nil"/>
              <w:left w:val="nil"/>
              <w:bottom w:val="single" w:sz="8" w:space="0" w:color="auto"/>
              <w:right w:val="single" w:sz="8" w:space="0" w:color="auto"/>
            </w:tcBorders>
            <w:vAlign w:val="center"/>
            <w:hideMark/>
          </w:tcPr>
          <w:p w14:paraId="2C4EECE5" w14:textId="77777777" w:rsidR="00E43E0C" w:rsidRPr="0004138A" w:rsidRDefault="00E43E0C">
            <w:pPr>
              <w:keepNext/>
              <w:keepLines/>
              <w:spacing w:after="0" w:line="240" w:lineRule="auto"/>
              <w:rPr>
                <w:rFonts w:eastAsia="Times New Roman" w:cstheme="minorHAnsi"/>
                <w:b/>
                <w:bCs/>
                <w:color w:val="000000"/>
                <w:lang w:eastAsia="en-AU"/>
              </w:rPr>
            </w:pPr>
            <w:r w:rsidRPr="0004138A">
              <w:rPr>
                <w:rFonts w:eastAsia="Times New Roman" w:cstheme="minorHAnsi"/>
                <w:b/>
                <w:bCs/>
                <w:color w:val="000000"/>
                <w:lang w:eastAsia="en-AU"/>
              </w:rPr>
              <w:t>Annual change (%)</w:t>
            </w:r>
          </w:p>
        </w:tc>
      </w:tr>
      <w:tr w:rsidR="0018263B" w:rsidRPr="0004138A" w14:paraId="0E7D1181" w14:textId="77777777">
        <w:trPr>
          <w:trHeight w:val="300"/>
        </w:trPr>
        <w:tc>
          <w:tcPr>
            <w:tcW w:w="3180" w:type="dxa"/>
            <w:tcBorders>
              <w:top w:val="single" w:sz="8" w:space="0" w:color="auto"/>
              <w:left w:val="single" w:sz="8" w:space="0" w:color="auto"/>
              <w:bottom w:val="single" w:sz="8" w:space="0" w:color="auto"/>
              <w:right w:val="single" w:sz="8" w:space="0" w:color="auto"/>
            </w:tcBorders>
            <w:noWrap/>
            <w:vAlign w:val="center"/>
            <w:hideMark/>
          </w:tcPr>
          <w:p w14:paraId="1B112EC0"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Greater Sydney</w:t>
            </w:r>
          </w:p>
        </w:tc>
        <w:tc>
          <w:tcPr>
            <w:tcW w:w="1400" w:type="dxa"/>
            <w:tcBorders>
              <w:top w:val="nil"/>
              <w:left w:val="nil"/>
              <w:bottom w:val="single" w:sz="8" w:space="0" w:color="auto"/>
              <w:right w:val="single" w:sz="8" w:space="0" w:color="auto"/>
            </w:tcBorders>
            <w:noWrap/>
            <w:vAlign w:val="center"/>
            <w:hideMark/>
          </w:tcPr>
          <w:p w14:paraId="7D3B2A94"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269,600</w:t>
            </w:r>
          </w:p>
        </w:tc>
        <w:tc>
          <w:tcPr>
            <w:tcW w:w="1380" w:type="dxa"/>
            <w:tcBorders>
              <w:top w:val="nil"/>
              <w:left w:val="nil"/>
              <w:bottom w:val="single" w:sz="8" w:space="0" w:color="auto"/>
              <w:right w:val="single" w:sz="8" w:space="0" w:color="auto"/>
            </w:tcBorders>
            <w:noWrap/>
            <w:vAlign w:val="center"/>
            <w:hideMark/>
          </w:tcPr>
          <w:p w14:paraId="61DD5DC2"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-2.9%</w:t>
            </w:r>
          </w:p>
        </w:tc>
        <w:tc>
          <w:tcPr>
            <w:tcW w:w="1160" w:type="dxa"/>
            <w:tcBorders>
              <w:top w:val="nil"/>
              <w:left w:val="nil"/>
              <w:bottom w:val="single" w:sz="8" w:space="0" w:color="auto"/>
              <w:right w:val="single" w:sz="8" w:space="0" w:color="auto"/>
            </w:tcBorders>
            <w:noWrap/>
            <w:vAlign w:val="center"/>
            <w:hideMark/>
          </w:tcPr>
          <w:p w14:paraId="0462CE32"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44,400</w:t>
            </w:r>
          </w:p>
        </w:tc>
        <w:tc>
          <w:tcPr>
            <w:tcW w:w="960" w:type="dxa"/>
            <w:tcBorders>
              <w:top w:val="nil"/>
              <w:left w:val="nil"/>
              <w:bottom w:val="single" w:sz="8" w:space="0" w:color="auto"/>
              <w:right w:val="single" w:sz="8" w:space="0" w:color="auto"/>
            </w:tcBorders>
            <w:noWrap/>
            <w:vAlign w:val="center"/>
            <w:hideMark/>
          </w:tcPr>
          <w:p w14:paraId="5D8D0B29"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129,400</w:t>
            </w:r>
          </w:p>
        </w:tc>
        <w:tc>
          <w:tcPr>
            <w:tcW w:w="960" w:type="dxa"/>
            <w:tcBorders>
              <w:top w:val="nil"/>
              <w:left w:val="nil"/>
              <w:bottom w:val="single" w:sz="8" w:space="0" w:color="auto"/>
              <w:right w:val="single" w:sz="8" w:space="0" w:color="auto"/>
            </w:tcBorders>
            <w:noWrap/>
            <w:vAlign w:val="center"/>
            <w:hideMark/>
          </w:tcPr>
          <w:p w14:paraId="06F20A2D"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-7.5%</w:t>
            </w:r>
          </w:p>
        </w:tc>
      </w:tr>
      <w:tr w:rsidR="0018263B" w:rsidRPr="0004138A" w14:paraId="4E2CA8D6"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6F153B55"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Rest of New South Wales</w:t>
            </w:r>
          </w:p>
        </w:tc>
        <w:tc>
          <w:tcPr>
            <w:tcW w:w="1400" w:type="dxa"/>
            <w:tcBorders>
              <w:top w:val="nil"/>
              <w:left w:val="nil"/>
              <w:bottom w:val="single" w:sz="8" w:space="0" w:color="auto"/>
              <w:right w:val="single" w:sz="8" w:space="0" w:color="auto"/>
            </w:tcBorders>
            <w:noWrap/>
            <w:vAlign w:val="center"/>
            <w:hideMark/>
          </w:tcPr>
          <w:p w14:paraId="1C9211EF"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126,300</w:t>
            </w:r>
          </w:p>
        </w:tc>
        <w:tc>
          <w:tcPr>
            <w:tcW w:w="1380" w:type="dxa"/>
            <w:tcBorders>
              <w:top w:val="nil"/>
              <w:left w:val="nil"/>
              <w:bottom w:val="single" w:sz="8" w:space="0" w:color="auto"/>
              <w:right w:val="single" w:sz="8" w:space="0" w:color="auto"/>
            </w:tcBorders>
            <w:noWrap/>
            <w:vAlign w:val="center"/>
            <w:hideMark/>
          </w:tcPr>
          <w:p w14:paraId="2AC6C096"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-2.7%</w:t>
            </w:r>
          </w:p>
        </w:tc>
        <w:tc>
          <w:tcPr>
            <w:tcW w:w="1160" w:type="dxa"/>
            <w:tcBorders>
              <w:top w:val="nil"/>
              <w:left w:val="nil"/>
              <w:bottom w:val="single" w:sz="8" w:space="0" w:color="auto"/>
              <w:right w:val="single" w:sz="8" w:space="0" w:color="auto"/>
            </w:tcBorders>
            <w:noWrap/>
            <w:vAlign w:val="center"/>
            <w:hideMark/>
          </w:tcPr>
          <w:p w14:paraId="25D70E44"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17,100</w:t>
            </w:r>
          </w:p>
        </w:tc>
        <w:tc>
          <w:tcPr>
            <w:tcW w:w="960" w:type="dxa"/>
            <w:tcBorders>
              <w:top w:val="nil"/>
              <w:left w:val="nil"/>
              <w:bottom w:val="single" w:sz="8" w:space="0" w:color="auto"/>
              <w:right w:val="single" w:sz="8" w:space="0" w:color="auto"/>
            </w:tcBorders>
            <w:noWrap/>
            <w:vAlign w:val="center"/>
            <w:hideMark/>
          </w:tcPr>
          <w:p w14:paraId="464AFD07"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48,500</w:t>
            </w:r>
          </w:p>
        </w:tc>
        <w:tc>
          <w:tcPr>
            <w:tcW w:w="960" w:type="dxa"/>
            <w:tcBorders>
              <w:top w:val="nil"/>
              <w:left w:val="nil"/>
              <w:bottom w:val="single" w:sz="8" w:space="0" w:color="auto"/>
              <w:right w:val="single" w:sz="8" w:space="0" w:color="auto"/>
            </w:tcBorders>
            <w:noWrap/>
            <w:vAlign w:val="center"/>
            <w:hideMark/>
          </w:tcPr>
          <w:p w14:paraId="45D9C378"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-0.2%</w:t>
            </w:r>
          </w:p>
        </w:tc>
      </w:tr>
      <w:tr w:rsidR="0018263B" w:rsidRPr="0004138A" w14:paraId="66A69117"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2255F635"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Greater Melbourne</w:t>
            </w:r>
          </w:p>
        </w:tc>
        <w:tc>
          <w:tcPr>
            <w:tcW w:w="1400" w:type="dxa"/>
            <w:tcBorders>
              <w:top w:val="nil"/>
              <w:left w:val="nil"/>
              <w:bottom w:val="single" w:sz="8" w:space="0" w:color="auto"/>
              <w:right w:val="single" w:sz="8" w:space="0" w:color="auto"/>
            </w:tcBorders>
            <w:noWrap/>
            <w:vAlign w:val="center"/>
            <w:hideMark/>
          </w:tcPr>
          <w:p w14:paraId="56D30846"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227,300</w:t>
            </w:r>
          </w:p>
        </w:tc>
        <w:tc>
          <w:tcPr>
            <w:tcW w:w="1380" w:type="dxa"/>
            <w:tcBorders>
              <w:top w:val="nil"/>
              <w:left w:val="nil"/>
              <w:bottom w:val="single" w:sz="8" w:space="0" w:color="auto"/>
              <w:right w:val="single" w:sz="8" w:space="0" w:color="auto"/>
            </w:tcBorders>
            <w:noWrap/>
            <w:vAlign w:val="center"/>
            <w:hideMark/>
          </w:tcPr>
          <w:p w14:paraId="78F14808"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-3.9%</w:t>
            </w:r>
          </w:p>
        </w:tc>
        <w:tc>
          <w:tcPr>
            <w:tcW w:w="1160" w:type="dxa"/>
            <w:tcBorders>
              <w:top w:val="nil"/>
              <w:left w:val="nil"/>
              <w:bottom w:val="single" w:sz="8" w:space="0" w:color="auto"/>
              <w:right w:val="single" w:sz="8" w:space="0" w:color="auto"/>
            </w:tcBorders>
            <w:noWrap/>
            <w:vAlign w:val="center"/>
            <w:hideMark/>
          </w:tcPr>
          <w:p w14:paraId="5B655C9B"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37,700</w:t>
            </w:r>
          </w:p>
        </w:tc>
        <w:tc>
          <w:tcPr>
            <w:tcW w:w="960" w:type="dxa"/>
            <w:tcBorders>
              <w:top w:val="nil"/>
              <w:left w:val="nil"/>
              <w:bottom w:val="single" w:sz="8" w:space="0" w:color="auto"/>
              <w:right w:val="single" w:sz="8" w:space="0" w:color="auto"/>
            </w:tcBorders>
            <w:noWrap/>
            <w:vAlign w:val="center"/>
            <w:hideMark/>
          </w:tcPr>
          <w:p w14:paraId="5A9E9055"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111,400</w:t>
            </w:r>
          </w:p>
        </w:tc>
        <w:tc>
          <w:tcPr>
            <w:tcW w:w="960" w:type="dxa"/>
            <w:tcBorders>
              <w:top w:val="nil"/>
              <w:left w:val="nil"/>
              <w:bottom w:val="single" w:sz="8" w:space="0" w:color="auto"/>
              <w:right w:val="single" w:sz="8" w:space="0" w:color="auto"/>
            </w:tcBorders>
            <w:noWrap/>
            <w:vAlign w:val="center"/>
            <w:hideMark/>
          </w:tcPr>
          <w:p w14:paraId="1013E78C"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-11.5%</w:t>
            </w:r>
          </w:p>
        </w:tc>
      </w:tr>
      <w:tr w:rsidR="0018263B" w:rsidRPr="0004138A" w14:paraId="4D767ED0"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1F191824"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Rest of Victoria</w:t>
            </w:r>
          </w:p>
        </w:tc>
        <w:tc>
          <w:tcPr>
            <w:tcW w:w="1400" w:type="dxa"/>
            <w:tcBorders>
              <w:top w:val="nil"/>
              <w:left w:val="nil"/>
              <w:bottom w:val="single" w:sz="8" w:space="0" w:color="auto"/>
              <w:right w:val="single" w:sz="8" w:space="0" w:color="auto"/>
            </w:tcBorders>
            <w:noWrap/>
            <w:vAlign w:val="center"/>
            <w:hideMark/>
          </w:tcPr>
          <w:p w14:paraId="20BFEF6D"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80,500</w:t>
            </w:r>
          </w:p>
        </w:tc>
        <w:tc>
          <w:tcPr>
            <w:tcW w:w="1380" w:type="dxa"/>
            <w:tcBorders>
              <w:top w:val="nil"/>
              <w:left w:val="nil"/>
              <w:bottom w:val="single" w:sz="8" w:space="0" w:color="auto"/>
              <w:right w:val="single" w:sz="8" w:space="0" w:color="auto"/>
            </w:tcBorders>
            <w:noWrap/>
            <w:vAlign w:val="center"/>
            <w:hideMark/>
          </w:tcPr>
          <w:p w14:paraId="7E50F3F9"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-11.4%</w:t>
            </w:r>
          </w:p>
        </w:tc>
        <w:tc>
          <w:tcPr>
            <w:tcW w:w="1160" w:type="dxa"/>
            <w:tcBorders>
              <w:top w:val="nil"/>
              <w:left w:val="nil"/>
              <w:bottom w:val="single" w:sz="8" w:space="0" w:color="auto"/>
              <w:right w:val="single" w:sz="8" w:space="0" w:color="auto"/>
            </w:tcBorders>
            <w:noWrap/>
            <w:vAlign w:val="center"/>
            <w:hideMark/>
          </w:tcPr>
          <w:p w14:paraId="02AC8D53"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7,700</w:t>
            </w:r>
          </w:p>
        </w:tc>
        <w:tc>
          <w:tcPr>
            <w:tcW w:w="960" w:type="dxa"/>
            <w:tcBorders>
              <w:top w:val="nil"/>
              <w:left w:val="nil"/>
              <w:bottom w:val="single" w:sz="8" w:space="0" w:color="auto"/>
              <w:right w:val="single" w:sz="8" w:space="0" w:color="auto"/>
            </w:tcBorders>
            <w:noWrap/>
            <w:vAlign w:val="center"/>
            <w:hideMark/>
          </w:tcPr>
          <w:p w14:paraId="30B651FD"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22,800</w:t>
            </w:r>
          </w:p>
        </w:tc>
        <w:tc>
          <w:tcPr>
            <w:tcW w:w="960" w:type="dxa"/>
            <w:tcBorders>
              <w:top w:val="nil"/>
              <w:left w:val="nil"/>
              <w:bottom w:val="single" w:sz="8" w:space="0" w:color="auto"/>
              <w:right w:val="single" w:sz="8" w:space="0" w:color="auto"/>
            </w:tcBorders>
            <w:noWrap/>
            <w:vAlign w:val="center"/>
            <w:hideMark/>
          </w:tcPr>
          <w:p w14:paraId="5D743086"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-6.4%</w:t>
            </w:r>
          </w:p>
        </w:tc>
      </w:tr>
      <w:tr w:rsidR="0018263B" w:rsidRPr="0004138A" w14:paraId="2AB51B2D"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55EBCE3F"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Greater Brisbane</w:t>
            </w:r>
          </w:p>
        </w:tc>
        <w:tc>
          <w:tcPr>
            <w:tcW w:w="1400" w:type="dxa"/>
            <w:tcBorders>
              <w:top w:val="nil"/>
              <w:left w:val="nil"/>
              <w:bottom w:val="single" w:sz="8" w:space="0" w:color="auto"/>
              <w:right w:val="single" w:sz="8" w:space="0" w:color="auto"/>
            </w:tcBorders>
            <w:noWrap/>
            <w:vAlign w:val="center"/>
            <w:hideMark/>
          </w:tcPr>
          <w:p w14:paraId="52543B2D"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141,900</w:t>
            </w:r>
          </w:p>
        </w:tc>
        <w:tc>
          <w:tcPr>
            <w:tcW w:w="1380" w:type="dxa"/>
            <w:tcBorders>
              <w:top w:val="nil"/>
              <w:left w:val="nil"/>
              <w:bottom w:val="single" w:sz="8" w:space="0" w:color="auto"/>
              <w:right w:val="single" w:sz="8" w:space="0" w:color="auto"/>
            </w:tcBorders>
            <w:noWrap/>
            <w:vAlign w:val="center"/>
            <w:hideMark/>
          </w:tcPr>
          <w:p w14:paraId="046F0398"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-15.9%</w:t>
            </w:r>
          </w:p>
        </w:tc>
        <w:tc>
          <w:tcPr>
            <w:tcW w:w="1160" w:type="dxa"/>
            <w:tcBorders>
              <w:top w:val="nil"/>
              <w:left w:val="nil"/>
              <w:bottom w:val="single" w:sz="8" w:space="0" w:color="auto"/>
              <w:right w:val="single" w:sz="8" w:space="0" w:color="auto"/>
            </w:tcBorders>
            <w:noWrap/>
            <w:vAlign w:val="center"/>
            <w:hideMark/>
          </w:tcPr>
          <w:p w14:paraId="31E99451"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28,300</w:t>
            </w:r>
          </w:p>
        </w:tc>
        <w:tc>
          <w:tcPr>
            <w:tcW w:w="960" w:type="dxa"/>
            <w:tcBorders>
              <w:top w:val="nil"/>
              <w:left w:val="nil"/>
              <w:bottom w:val="single" w:sz="8" w:space="0" w:color="auto"/>
              <w:right w:val="single" w:sz="8" w:space="0" w:color="auto"/>
            </w:tcBorders>
            <w:noWrap/>
            <w:vAlign w:val="center"/>
            <w:hideMark/>
          </w:tcPr>
          <w:p w14:paraId="68EBC6CF"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82,800</w:t>
            </w:r>
          </w:p>
        </w:tc>
        <w:tc>
          <w:tcPr>
            <w:tcW w:w="960" w:type="dxa"/>
            <w:tcBorders>
              <w:top w:val="nil"/>
              <w:left w:val="nil"/>
              <w:bottom w:val="single" w:sz="8" w:space="0" w:color="auto"/>
              <w:right w:val="single" w:sz="8" w:space="0" w:color="auto"/>
            </w:tcBorders>
            <w:noWrap/>
            <w:vAlign w:val="center"/>
            <w:hideMark/>
          </w:tcPr>
          <w:p w14:paraId="3836D5CE"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-7.9%</w:t>
            </w:r>
          </w:p>
        </w:tc>
      </w:tr>
      <w:tr w:rsidR="0018263B" w:rsidRPr="0004138A" w14:paraId="1F0D1D3C"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00E050F0"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Rest of Queensland</w:t>
            </w:r>
          </w:p>
        </w:tc>
        <w:tc>
          <w:tcPr>
            <w:tcW w:w="1400" w:type="dxa"/>
            <w:tcBorders>
              <w:top w:val="nil"/>
              <w:left w:val="nil"/>
              <w:bottom w:val="single" w:sz="8" w:space="0" w:color="auto"/>
              <w:right w:val="single" w:sz="8" w:space="0" w:color="auto"/>
            </w:tcBorders>
            <w:noWrap/>
            <w:vAlign w:val="center"/>
            <w:hideMark/>
          </w:tcPr>
          <w:p w14:paraId="388DB485"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130,700</w:t>
            </w:r>
          </w:p>
        </w:tc>
        <w:tc>
          <w:tcPr>
            <w:tcW w:w="1380" w:type="dxa"/>
            <w:tcBorders>
              <w:top w:val="nil"/>
              <w:left w:val="nil"/>
              <w:bottom w:val="single" w:sz="8" w:space="0" w:color="auto"/>
              <w:right w:val="single" w:sz="8" w:space="0" w:color="auto"/>
            </w:tcBorders>
            <w:noWrap/>
            <w:vAlign w:val="center"/>
            <w:hideMark/>
          </w:tcPr>
          <w:p w14:paraId="2F532809"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-4.1%</w:t>
            </w:r>
          </w:p>
        </w:tc>
        <w:tc>
          <w:tcPr>
            <w:tcW w:w="1160" w:type="dxa"/>
            <w:tcBorders>
              <w:top w:val="nil"/>
              <w:left w:val="nil"/>
              <w:bottom w:val="single" w:sz="8" w:space="0" w:color="auto"/>
              <w:right w:val="single" w:sz="8" w:space="0" w:color="auto"/>
            </w:tcBorders>
            <w:noWrap/>
            <w:vAlign w:val="center"/>
            <w:hideMark/>
          </w:tcPr>
          <w:p w14:paraId="2433BEC8"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22,400</w:t>
            </w:r>
          </w:p>
        </w:tc>
        <w:tc>
          <w:tcPr>
            <w:tcW w:w="960" w:type="dxa"/>
            <w:tcBorders>
              <w:top w:val="nil"/>
              <w:left w:val="nil"/>
              <w:bottom w:val="single" w:sz="8" w:space="0" w:color="auto"/>
              <w:right w:val="single" w:sz="8" w:space="0" w:color="auto"/>
            </w:tcBorders>
            <w:noWrap/>
            <w:vAlign w:val="center"/>
            <w:hideMark/>
          </w:tcPr>
          <w:p w14:paraId="702ACC81"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63,900</w:t>
            </w:r>
          </w:p>
        </w:tc>
        <w:tc>
          <w:tcPr>
            <w:tcW w:w="960" w:type="dxa"/>
            <w:tcBorders>
              <w:top w:val="nil"/>
              <w:left w:val="nil"/>
              <w:bottom w:val="single" w:sz="8" w:space="0" w:color="auto"/>
              <w:right w:val="single" w:sz="8" w:space="0" w:color="auto"/>
            </w:tcBorders>
            <w:noWrap/>
            <w:vAlign w:val="center"/>
            <w:hideMark/>
          </w:tcPr>
          <w:p w14:paraId="34F46680"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-2.0%</w:t>
            </w:r>
          </w:p>
        </w:tc>
      </w:tr>
      <w:tr w:rsidR="0018263B" w:rsidRPr="0004138A" w14:paraId="040A0079"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55274D61"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Greater Adelaide</w:t>
            </w:r>
          </w:p>
        </w:tc>
        <w:tc>
          <w:tcPr>
            <w:tcW w:w="1400" w:type="dxa"/>
            <w:tcBorders>
              <w:top w:val="nil"/>
              <w:left w:val="nil"/>
              <w:bottom w:val="single" w:sz="8" w:space="0" w:color="auto"/>
              <w:right w:val="single" w:sz="8" w:space="0" w:color="auto"/>
            </w:tcBorders>
            <w:noWrap/>
            <w:vAlign w:val="center"/>
            <w:hideMark/>
          </w:tcPr>
          <w:p w14:paraId="5FD0601F"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67,500</w:t>
            </w:r>
          </w:p>
        </w:tc>
        <w:tc>
          <w:tcPr>
            <w:tcW w:w="1380" w:type="dxa"/>
            <w:tcBorders>
              <w:top w:val="nil"/>
              <w:left w:val="nil"/>
              <w:bottom w:val="single" w:sz="8" w:space="0" w:color="auto"/>
              <w:right w:val="single" w:sz="8" w:space="0" w:color="auto"/>
            </w:tcBorders>
            <w:noWrap/>
            <w:vAlign w:val="center"/>
            <w:hideMark/>
          </w:tcPr>
          <w:p w14:paraId="580475F4"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-2.3%</w:t>
            </w:r>
          </w:p>
        </w:tc>
        <w:tc>
          <w:tcPr>
            <w:tcW w:w="1160" w:type="dxa"/>
            <w:tcBorders>
              <w:top w:val="nil"/>
              <w:left w:val="nil"/>
              <w:bottom w:val="single" w:sz="8" w:space="0" w:color="auto"/>
              <w:right w:val="single" w:sz="8" w:space="0" w:color="auto"/>
            </w:tcBorders>
            <w:noWrap/>
            <w:vAlign w:val="center"/>
            <w:hideMark/>
          </w:tcPr>
          <w:p w14:paraId="3E2DF2AC"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11,900</w:t>
            </w:r>
          </w:p>
        </w:tc>
        <w:tc>
          <w:tcPr>
            <w:tcW w:w="960" w:type="dxa"/>
            <w:tcBorders>
              <w:top w:val="nil"/>
              <w:left w:val="nil"/>
              <w:bottom w:val="single" w:sz="8" w:space="0" w:color="auto"/>
              <w:right w:val="single" w:sz="8" w:space="0" w:color="auto"/>
            </w:tcBorders>
            <w:noWrap/>
            <w:vAlign w:val="center"/>
            <w:hideMark/>
          </w:tcPr>
          <w:p w14:paraId="03C392F2"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34,200</w:t>
            </w:r>
          </w:p>
        </w:tc>
        <w:tc>
          <w:tcPr>
            <w:tcW w:w="960" w:type="dxa"/>
            <w:tcBorders>
              <w:top w:val="nil"/>
              <w:left w:val="nil"/>
              <w:bottom w:val="single" w:sz="8" w:space="0" w:color="auto"/>
              <w:right w:val="single" w:sz="8" w:space="0" w:color="auto"/>
            </w:tcBorders>
            <w:noWrap/>
            <w:vAlign w:val="center"/>
            <w:hideMark/>
          </w:tcPr>
          <w:p w14:paraId="00E8F4F5"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2.0%</w:t>
            </w:r>
          </w:p>
        </w:tc>
      </w:tr>
      <w:tr w:rsidR="0018263B" w:rsidRPr="0004138A" w14:paraId="2A7D8143"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0EC0CE8B"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Rest of South Australia</w:t>
            </w:r>
          </w:p>
        </w:tc>
        <w:tc>
          <w:tcPr>
            <w:tcW w:w="1400" w:type="dxa"/>
            <w:tcBorders>
              <w:top w:val="nil"/>
              <w:left w:val="nil"/>
              <w:bottom w:val="single" w:sz="8" w:space="0" w:color="auto"/>
              <w:right w:val="single" w:sz="8" w:space="0" w:color="auto"/>
            </w:tcBorders>
            <w:noWrap/>
            <w:vAlign w:val="center"/>
            <w:hideMark/>
          </w:tcPr>
          <w:p w14:paraId="15C06C65"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35,200</w:t>
            </w:r>
          </w:p>
        </w:tc>
        <w:tc>
          <w:tcPr>
            <w:tcW w:w="1380" w:type="dxa"/>
            <w:tcBorders>
              <w:top w:val="nil"/>
              <w:left w:val="nil"/>
              <w:bottom w:val="single" w:sz="8" w:space="0" w:color="auto"/>
              <w:right w:val="single" w:sz="8" w:space="0" w:color="auto"/>
            </w:tcBorders>
            <w:noWrap/>
            <w:vAlign w:val="center"/>
            <w:hideMark/>
          </w:tcPr>
          <w:p w14:paraId="120B1440"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-1.7%</w:t>
            </w:r>
          </w:p>
        </w:tc>
        <w:tc>
          <w:tcPr>
            <w:tcW w:w="1160" w:type="dxa"/>
            <w:tcBorders>
              <w:top w:val="nil"/>
              <w:left w:val="nil"/>
              <w:bottom w:val="single" w:sz="8" w:space="0" w:color="auto"/>
              <w:right w:val="single" w:sz="8" w:space="0" w:color="auto"/>
            </w:tcBorders>
            <w:noWrap/>
            <w:vAlign w:val="center"/>
            <w:hideMark/>
          </w:tcPr>
          <w:p w14:paraId="4E1491B4"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1,900</w:t>
            </w:r>
          </w:p>
        </w:tc>
        <w:tc>
          <w:tcPr>
            <w:tcW w:w="960" w:type="dxa"/>
            <w:tcBorders>
              <w:top w:val="nil"/>
              <w:left w:val="nil"/>
              <w:bottom w:val="single" w:sz="8" w:space="0" w:color="auto"/>
              <w:right w:val="single" w:sz="8" w:space="0" w:color="auto"/>
            </w:tcBorders>
            <w:noWrap/>
            <w:vAlign w:val="center"/>
            <w:hideMark/>
          </w:tcPr>
          <w:p w14:paraId="06268A1B"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5,700</w:t>
            </w:r>
          </w:p>
        </w:tc>
        <w:tc>
          <w:tcPr>
            <w:tcW w:w="960" w:type="dxa"/>
            <w:tcBorders>
              <w:top w:val="nil"/>
              <w:left w:val="nil"/>
              <w:bottom w:val="single" w:sz="8" w:space="0" w:color="auto"/>
              <w:right w:val="single" w:sz="8" w:space="0" w:color="auto"/>
            </w:tcBorders>
            <w:noWrap/>
            <w:vAlign w:val="center"/>
            <w:hideMark/>
          </w:tcPr>
          <w:p w14:paraId="0F8CE017"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-1.4%</w:t>
            </w:r>
          </w:p>
        </w:tc>
      </w:tr>
      <w:tr w:rsidR="0018263B" w:rsidRPr="0004138A" w14:paraId="374CAE92"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2BD4B5F1"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Greater Perth</w:t>
            </w:r>
          </w:p>
        </w:tc>
        <w:tc>
          <w:tcPr>
            <w:tcW w:w="1400" w:type="dxa"/>
            <w:tcBorders>
              <w:top w:val="nil"/>
              <w:left w:val="nil"/>
              <w:bottom w:val="single" w:sz="8" w:space="0" w:color="auto"/>
              <w:right w:val="single" w:sz="8" w:space="0" w:color="auto"/>
            </w:tcBorders>
            <w:noWrap/>
            <w:vAlign w:val="center"/>
            <w:hideMark/>
          </w:tcPr>
          <w:p w14:paraId="1A54A6C9"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101,000</w:t>
            </w:r>
          </w:p>
        </w:tc>
        <w:tc>
          <w:tcPr>
            <w:tcW w:w="1380" w:type="dxa"/>
            <w:tcBorders>
              <w:top w:val="nil"/>
              <w:left w:val="nil"/>
              <w:bottom w:val="single" w:sz="8" w:space="0" w:color="auto"/>
              <w:right w:val="single" w:sz="8" w:space="0" w:color="auto"/>
            </w:tcBorders>
            <w:noWrap/>
            <w:vAlign w:val="center"/>
            <w:hideMark/>
          </w:tcPr>
          <w:p w14:paraId="3C8F2464"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-13.2%</w:t>
            </w:r>
          </w:p>
        </w:tc>
        <w:tc>
          <w:tcPr>
            <w:tcW w:w="1160" w:type="dxa"/>
            <w:tcBorders>
              <w:top w:val="nil"/>
              <w:left w:val="nil"/>
              <w:bottom w:val="single" w:sz="8" w:space="0" w:color="auto"/>
              <w:right w:val="single" w:sz="8" w:space="0" w:color="auto"/>
            </w:tcBorders>
            <w:noWrap/>
            <w:vAlign w:val="center"/>
            <w:hideMark/>
          </w:tcPr>
          <w:p w14:paraId="5A73F315"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20,800</w:t>
            </w:r>
          </w:p>
        </w:tc>
        <w:tc>
          <w:tcPr>
            <w:tcW w:w="960" w:type="dxa"/>
            <w:tcBorders>
              <w:top w:val="nil"/>
              <w:left w:val="nil"/>
              <w:bottom w:val="single" w:sz="8" w:space="0" w:color="auto"/>
              <w:right w:val="single" w:sz="8" w:space="0" w:color="auto"/>
            </w:tcBorders>
            <w:noWrap/>
            <w:vAlign w:val="center"/>
            <w:hideMark/>
          </w:tcPr>
          <w:p w14:paraId="2D4155E8"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60,600</w:t>
            </w:r>
          </w:p>
        </w:tc>
        <w:tc>
          <w:tcPr>
            <w:tcW w:w="960" w:type="dxa"/>
            <w:tcBorders>
              <w:top w:val="nil"/>
              <w:left w:val="nil"/>
              <w:bottom w:val="single" w:sz="8" w:space="0" w:color="auto"/>
              <w:right w:val="single" w:sz="8" w:space="0" w:color="auto"/>
            </w:tcBorders>
            <w:noWrap/>
            <w:vAlign w:val="center"/>
            <w:hideMark/>
          </w:tcPr>
          <w:p w14:paraId="3E8960A0"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-7.3%</w:t>
            </w:r>
          </w:p>
        </w:tc>
      </w:tr>
      <w:tr w:rsidR="0018263B" w:rsidRPr="0004138A" w14:paraId="7CDB8733"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13D1E5B7"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Rest of Western Australia</w:t>
            </w:r>
          </w:p>
        </w:tc>
        <w:tc>
          <w:tcPr>
            <w:tcW w:w="1400" w:type="dxa"/>
            <w:tcBorders>
              <w:top w:val="nil"/>
              <w:left w:val="nil"/>
              <w:bottom w:val="single" w:sz="8" w:space="0" w:color="auto"/>
              <w:right w:val="single" w:sz="8" w:space="0" w:color="auto"/>
            </w:tcBorders>
            <w:noWrap/>
            <w:vAlign w:val="center"/>
            <w:hideMark/>
          </w:tcPr>
          <w:p w14:paraId="76666CAD"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33,600</w:t>
            </w:r>
          </w:p>
        </w:tc>
        <w:tc>
          <w:tcPr>
            <w:tcW w:w="1380" w:type="dxa"/>
            <w:tcBorders>
              <w:top w:val="nil"/>
              <w:left w:val="nil"/>
              <w:bottom w:val="single" w:sz="8" w:space="0" w:color="auto"/>
              <w:right w:val="single" w:sz="8" w:space="0" w:color="auto"/>
            </w:tcBorders>
            <w:noWrap/>
            <w:vAlign w:val="center"/>
            <w:hideMark/>
          </w:tcPr>
          <w:p w14:paraId="526428D3"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-0.8%</w:t>
            </w:r>
          </w:p>
        </w:tc>
        <w:tc>
          <w:tcPr>
            <w:tcW w:w="1160" w:type="dxa"/>
            <w:tcBorders>
              <w:top w:val="nil"/>
              <w:left w:val="nil"/>
              <w:bottom w:val="single" w:sz="8" w:space="0" w:color="auto"/>
              <w:right w:val="single" w:sz="8" w:space="0" w:color="auto"/>
            </w:tcBorders>
            <w:noWrap/>
            <w:vAlign w:val="center"/>
            <w:hideMark/>
          </w:tcPr>
          <w:p w14:paraId="677F09C8"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4,900</w:t>
            </w:r>
          </w:p>
        </w:tc>
        <w:tc>
          <w:tcPr>
            <w:tcW w:w="960" w:type="dxa"/>
            <w:tcBorders>
              <w:top w:val="nil"/>
              <w:left w:val="nil"/>
              <w:bottom w:val="single" w:sz="8" w:space="0" w:color="auto"/>
              <w:right w:val="single" w:sz="8" w:space="0" w:color="auto"/>
            </w:tcBorders>
            <w:noWrap/>
            <w:vAlign w:val="center"/>
            <w:hideMark/>
          </w:tcPr>
          <w:p w14:paraId="0FA7236A"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14,800</w:t>
            </w:r>
          </w:p>
        </w:tc>
        <w:tc>
          <w:tcPr>
            <w:tcW w:w="960" w:type="dxa"/>
            <w:tcBorders>
              <w:top w:val="nil"/>
              <w:left w:val="nil"/>
              <w:bottom w:val="single" w:sz="8" w:space="0" w:color="auto"/>
              <w:right w:val="single" w:sz="8" w:space="0" w:color="auto"/>
            </w:tcBorders>
            <w:noWrap/>
            <w:vAlign w:val="center"/>
            <w:hideMark/>
          </w:tcPr>
          <w:p w14:paraId="1A064040"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-1.5%</w:t>
            </w:r>
          </w:p>
        </w:tc>
      </w:tr>
      <w:tr w:rsidR="0018263B" w:rsidRPr="0004138A" w14:paraId="7F477841"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0CDEB953"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Greater Hobart</w:t>
            </w:r>
          </w:p>
        </w:tc>
        <w:tc>
          <w:tcPr>
            <w:tcW w:w="1400" w:type="dxa"/>
            <w:tcBorders>
              <w:top w:val="nil"/>
              <w:left w:val="nil"/>
              <w:bottom w:val="single" w:sz="8" w:space="0" w:color="auto"/>
              <w:right w:val="single" w:sz="8" w:space="0" w:color="auto"/>
            </w:tcBorders>
            <w:noWrap/>
            <w:vAlign w:val="center"/>
            <w:hideMark/>
          </w:tcPr>
          <w:p w14:paraId="57785A20"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12,600</w:t>
            </w:r>
          </w:p>
        </w:tc>
        <w:tc>
          <w:tcPr>
            <w:tcW w:w="1380" w:type="dxa"/>
            <w:tcBorders>
              <w:top w:val="nil"/>
              <w:left w:val="nil"/>
              <w:bottom w:val="single" w:sz="8" w:space="0" w:color="auto"/>
              <w:right w:val="single" w:sz="8" w:space="0" w:color="auto"/>
            </w:tcBorders>
            <w:noWrap/>
            <w:vAlign w:val="center"/>
            <w:hideMark/>
          </w:tcPr>
          <w:p w14:paraId="3F266793"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-15.6%</w:t>
            </w:r>
          </w:p>
        </w:tc>
        <w:tc>
          <w:tcPr>
            <w:tcW w:w="1160" w:type="dxa"/>
            <w:tcBorders>
              <w:top w:val="nil"/>
              <w:left w:val="nil"/>
              <w:bottom w:val="single" w:sz="8" w:space="0" w:color="auto"/>
              <w:right w:val="single" w:sz="8" w:space="0" w:color="auto"/>
            </w:tcBorders>
            <w:noWrap/>
            <w:vAlign w:val="center"/>
            <w:hideMark/>
          </w:tcPr>
          <w:p w14:paraId="3F604619"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1,700</w:t>
            </w:r>
          </w:p>
        </w:tc>
        <w:tc>
          <w:tcPr>
            <w:tcW w:w="960" w:type="dxa"/>
            <w:tcBorders>
              <w:top w:val="nil"/>
              <w:left w:val="nil"/>
              <w:bottom w:val="single" w:sz="8" w:space="0" w:color="auto"/>
              <w:right w:val="single" w:sz="8" w:space="0" w:color="auto"/>
            </w:tcBorders>
            <w:noWrap/>
            <w:vAlign w:val="center"/>
            <w:hideMark/>
          </w:tcPr>
          <w:p w14:paraId="6B6E02CC"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5,000</w:t>
            </w:r>
          </w:p>
        </w:tc>
        <w:tc>
          <w:tcPr>
            <w:tcW w:w="960" w:type="dxa"/>
            <w:tcBorders>
              <w:top w:val="nil"/>
              <w:left w:val="nil"/>
              <w:bottom w:val="single" w:sz="8" w:space="0" w:color="auto"/>
              <w:right w:val="single" w:sz="8" w:space="0" w:color="auto"/>
            </w:tcBorders>
            <w:noWrap/>
            <w:vAlign w:val="center"/>
            <w:hideMark/>
          </w:tcPr>
          <w:p w14:paraId="766E4484"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-14.3%</w:t>
            </w:r>
          </w:p>
        </w:tc>
      </w:tr>
      <w:tr w:rsidR="0018263B" w:rsidRPr="0004138A" w14:paraId="610A6F1E"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73DD6300"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Rest of Tasmania</w:t>
            </w:r>
          </w:p>
        </w:tc>
        <w:tc>
          <w:tcPr>
            <w:tcW w:w="1400" w:type="dxa"/>
            <w:tcBorders>
              <w:top w:val="nil"/>
              <w:left w:val="nil"/>
              <w:bottom w:val="single" w:sz="8" w:space="0" w:color="auto"/>
              <w:right w:val="single" w:sz="8" w:space="0" w:color="auto"/>
            </w:tcBorders>
            <w:noWrap/>
            <w:vAlign w:val="center"/>
            <w:hideMark/>
          </w:tcPr>
          <w:p w14:paraId="0F2BEDEA"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15,400</w:t>
            </w:r>
          </w:p>
        </w:tc>
        <w:tc>
          <w:tcPr>
            <w:tcW w:w="1380" w:type="dxa"/>
            <w:tcBorders>
              <w:top w:val="nil"/>
              <w:left w:val="nil"/>
              <w:bottom w:val="single" w:sz="8" w:space="0" w:color="auto"/>
              <w:right w:val="single" w:sz="8" w:space="0" w:color="auto"/>
            </w:tcBorders>
            <w:noWrap/>
            <w:vAlign w:val="center"/>
            <w:hideMark/>
          </w:tcPr>
          <w:p w14:paraId="2352E7AD"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-5.8%</w:t>
            </w:r>
          </w:p>
        </w:tc>
        <w:tc>
          <w:tcPr>
            <w:tcW w:w="1160" w:type="dxa"/>
            <w:tcBorders>
              <w:top w:val="nil"/>
              <w:left w:val="nil"/>
              <w:bottom w:val="single" w:sz="8" w:space="0" w:color="auto"/>
              <w:right w:val="single" w:sz="8" w:space="0" w:color="auto"/>
            </w:tcBorders>
            <w:noWrap/>
            <w:vAlign w:val="center"/>
            <w:hideMark/>
          </w:tcPr>
          <w:p w14:paraId="3E8E9E21"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1,500</w:t>
            </w:r>
          </w:p>
        </w:tc>
        <w:tc>
          <w:tcPr>
            <w:tcW w:w="960" w:type="dxa"/>
            <w:tcBorders>
              <w:top w:val="nil"/>
              <w:left w:val="nil"/>
              <w:bottom w:val="single" w:sz="8" w:space="0" w:color="auto"/>
              <w:right w:val="single" w:sz="8" w:space="0" w:color="auto"/>
            </w:tcBorders>
            <w:noWrap/>
            <w:vAlign w:val="center"/>
            <w:hideMark/>
          </w:tcPr>
          <w:p w14:paraId="0055405E"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4,400</w:t>
            </w:r>
          </w:p>
        </w:tc>
        <w:tc>
          <w:tcPr>
            <w:tcW w:w="960" w:type="dxa"/>
            <w:tcBorders>
              <w:top w:val="nil"/>
              <w:left w:val="nil"/>
              <w:bottom w:val="single" w:sz="8" w:space="0" w:color="auto"/>
              <w:right w:val="single" w:sz="8" w:space="0" w:color="auto"/>
            </w:tcBorders>
            <w:noWrap/>
            <w:vAlign w:val="center"/>
            <w:hideMark/>
          </w:tcPr>
          <w:p w14:paraId="61930A99"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-2.3%</w:t>
            </w:r>
          </w:p>
        </w:tc>
      </w:tr>
      <w:tr w:rsidR="0018263B" w:rsidRPr="0004138A" w14:paraId="2245472A"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6855AA76"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Greater Darwin</w:t>
            </w:r>
          </w:p>
        </w:tc>
        <w:tc>
          <w:tcPr>
            <w:tcW w:w="1400" w:type="dxa"/>
            <w:tcBorders>
              <w:top w:val="nil"/>
              <w:left w:val="nil"/>
              <w:bottom w:val="single" w:sz="8" w:space="0" w:color="auto"/>
              <w:right w:val="single" w:sz="8" w:space="0" w:color="auto"/>
            </w:tcBorders>
            <w:noWrap/>
            <w:vAlign w:val="center"/>
            <w:hideMark/>
          </w:tcPr>
          <w:p w14:paraId="39796588"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13,500</w:t>
            </w:r>
          </w:p>
        </w:tc>
        <w:tc>
          <w:tcPr>
            <w:tcW w:w="1380" w:type="dxa"/>
            <w:tcBorders>
              <w:top w:val="nil"/>
              <w:left w:val="nil"/>
              <w:bottom w:val="single" w:sz="8" w:space="0" w:color="auto"/>
              <w:right w:val="single" w:sz="8" w:space="0" w:color="auto"/>
            </w:tcBorders>
            <w:noWrap/>
            <w:vAlign w:val="center"/>
            <w:hideMark/>
          </w:tcPr>
          <w:p w14:paraId="0138E522"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-5.6%</w:t>
            </w:r>
          </w:p>
        </w:tc>
        <w:tc>
          <w:tcPr>
            <w:tcW w:w="1160" w:type="dxa"/>
            <w:tcBorders>
              <w:top w:val="nil"/>
              <w:left w:val="nil"/>
              <w:bottom w:val="single" w:sz="8" w:space="0" w:color="auto"/>
              <w:right w:val="single" w:sz="8" w:space="0" w:color="auto"/>
            </w:tcBorders>
            <w:noWrap/>
            <w:vAlign w:val="center"/>
            <w:hideMark/>
          </w:tcPr>
          <w:p w14:paraId="7EBAEAD7"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2,100</w:t>
            </w:r>
          </w:p>
        </w:tc>
        <w:tc>
          <w:tcPr>
            <w:tcW w:w="960" w:type="dxa"/>
            <w:tcBorders>
              <w:top w:val="nil"/>
              <w:left w:val="nil"/>
              <w:bottom w:val="single" w:sz="8" w:space="0" w:color="auto"/>
              <w:right w:val="single" w:sz="8" w:space="0" w:color="auto"/>
            </w:tcBorders>
            <w:noWrap/>
            <w:vAlign w:val="center"/>
            <w:hideMark/>
          </w:tcPr>
          <w:p w14:paraId="63D041BA"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6,100</w:t>
            </w:r>
          </w:p>
        </w:tc>
        <w:tc>
          <w:tcPr>
            <w:tcW w:w="960" w:type="dxa"/>
            <w:tcBorders>
              <w:top w:val="nil"/>
              <w:left w:val="nil"/>
              <w:bottom w:val="single" w:sz="8" w:space="0" w:color="auto"/>
              <w:right w:val="single" w:sz="8" w:space="0" w:color="auto"/>
            </w:tcBorders>
            <w:noWrap/>
            <w:vAlign w:val="center"/>
            <w:hideMark/>
          </w:tcPr>
          <w:p w14:paraId="4776591B"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-2.3%</w:t>
            </w:r>
          </w:p>
        </w:tc>
      </w:tr>
      <w:tr w:rsidR="0018263B" w:rsidRPr="0004138A" w14:paraId="66F11391"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56C7CE61"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Rest of Northern Territory</w:t>
            </w:r>
          </w:p>
        </w:tc>
        <w:tc>
          <w:tcPr>
            <w:tcW w:w="1400" w:type="dxa"/>
            <w:tcBorders>
              <w:top w:val="nil"/>
              <w:left w:val="nil"/>
              <w:bottom w:val="single" w:sz="8" w:space="0" w:color="auto"/>
              <w:right w:val="single" w:sz="8" w:space="0" w:color="auto"/>
            </w:tcBorders>
            <w:noWrap/>
            <w:vAlign w:val="center"/>
            <w:hideMark/>
          </w:tcPr>
          <w:p w14:paraId="4A453AF3"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10,800</w:t>
            </w:r>
          </w:p>
        </w:tc>
        <w:tc>
          <w:tcPr>
            <w:tcW w:w="1380" w:type="dxa"/>
            <w:tcBorders>
              <w:top w:val="nil"/>
              <w:left w:val="nil"/>
              <w:bottom w:val="single" w:sz="8" w:space="0" w:color="auto"/>
              <w:right w:val="single" w:sz="8" w:space="0" w:color="auto"/>
            </w:tcBorders>
            <w:noWrap/>
            <w:vAlign w:val="center"/>
            <w:hideMark/>
          </w:tcPr>
          <w:p w14:paraId="5CF362B4"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-10.1%</w:t>
            </w:r>
          </w:p>
        </w:tc>
        <w:tc>
          <w:tcPr>
            <w:tcW w:w="1160" w:type="dxa"/>
            <w:tcBorders>
              <w:top w:val="nil"/>
              <w:left w:val="nil"/>
              <w:bottom w:val="single" w:sz="8" w:space="0" w:color="auto"/>
              <w:right w:val="single" w:sz="8" w:space="0" w:color="auto"/>
            </w:tcBorders>
            <w:noWrap/>
            <w:vAlign w:val="center"/>
            <w:hideMark/>
          </w:tcPr>
          <w:p w14:paraId="001E78D9"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900</w:t>
            </w:r>
          </w:p>
        </w:tc>
        <w:tc>
          <w:tcPr>
            <w:tcW w:w="960" w:type="dxa"/>
            <w:tcBorders>
              <w:top w:val="nil"/>
              <w:left w:val="nil"/>
              <w:bottom w:val="single" w:sz="8" w:space="0" w:color="auto"/>
              <w:right w:val="single" w:sz="8" w:space="0" w:color="auto"/>
            </w:tcBorders>
            <w:noWrap/>
            <w:vAlign w:val="center"/>
            <w:hideMark/>
          </w:tcPr>
          <w:p w14:paraId="2C0ECE10"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2,800</w:t>
            </w:r>
          </w:p>
        </w:tc>
        <w:tc>
          <w:tcPr>
            <w:tcW w:w="960" w:type="dxa"/>
            <w:tcBorders>
              <w:top w:val="nil"/>
              <w:left w:val="nil"/>
              <w:bottom w:val="single" w:sz="8" w:space="0" w:color="auto"/>
              <w:right w:val="single" w:sz="8" w:space="0" w:color="auto"/>
            </w:tcBorders>
            <w:noWrap/>
            <w:vAlign w:val="center"/>
            <w:hideMark/>
          </w:tcPr>
          <w:p w14:paraId="4F03FC40"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-7.8%</w:t>
            </w:r>
          </w:p>
        </w:tc>
      </w:tr>
      <w:tr w:rsidR="0018263B" w:rsidRPr="0004138A" w14:paraId="5AADAE39" w14:textId="77777777">
        <w:trPr>
          <w:trHeight w:val="300"/>
        </w:trPr>
        <w:tc>
          <w:tcPr>
            <w:tcW w:w="3180" w:type="dxa"/>
            <w:tcBorders>
              <w:top w:val="nil"/>
              <w:left w:val="single" w:sz="8" w:space="0" w:color="auto"/>
              <w:bottom w:val="single" w:sz="8" w:space="0" w:color="auto"/>
              <w:right w:val="single" w:sz="8" w:space="0" w:color="auto"/>
            </w:tcBorders>
            <w:noWrap/>
            <w:vAlign w:val="center"/>
          </w:tcPr>
          <w:p w14:paraId="4988863B"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Australian Capital Territory</w:t>
            </w:r>
          </w:p>
        </w:tc>
        <w:tc>
          <w:tcPr>
            <w:tcW w:w="1400" w:type="dxa"/>
            <w:tcBorders>
              <w:top w:val="nil"/>
              <w:left w:val="nil"/>
              <w:bottom w:val="single" w:sz="8" w:space="0" w:color="auto"/>
              <w:right w:val="single" w:sz="8" w:space="0" w:color="auto"/>
            </w:tcBorders>
            <w:noWrap/>
            <w:vAlign w:val="center"/>
          </w:tcPr>
          <w:p w14:paraId="15925622"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22,300</w:t>
            </w:r>
          </w:p>
        </w:tc>
        <w:tc>
          <w:tcPr>
            <w:tcW w:w="1380" w:type="dxa"/>
            <w:tcBorders>
              <w:top w:val="nil"/>
              <w:left w:val="nil"/>
              <w:bottom w:val="single" w:sz="8" w:space="0" w:color="auto"/>
              <w:right w:val="single" w:sz="8" w:space="0" w:color="auto"/>
            </w:tcBorders>
            <w:noWrap/>
            <w:vAlign w:val="center"/>
          </w:tcPr>
          <w:p w14:paraId="29FF21E2"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-26.8%</w:t>
            </w:r>
          </w:p>
        </w:tc>
        <w:tc>
          <w:tcPr>
            <w:tcW w:w="1160" w:type="dxa"/>
            <w:tcBorders>
              <w:top w:val="nil"/>
              <w:left w:val="nil"/>
              <w:bottom w:val="single" w:sz="8" w:space="0" w:color="auto"/>
              <w:right w:val="single" w:sz="8" w:space="0" w:color="auto"/>
            </w:tcBorders>
            <w:noWrap/>
            <w:vAlign w:val="center"/>
          </w:tcPr>
          <w:p w14:paraId="3BC3922D"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4,700</w:t>
            </w:r>
          </w:p>
        </w:tc>
        <w:tc>
          <w:tcPr>
            <w:tcW w:w="960" w:type="dxa"/>
            <w:tcBorders>
              <w:top w:val="nil"/>
              <w:left w:val="nil"/>
              <w:bottom w:val="single" w:sz="8" w:space="0" w:color="auto"/>
              <w:right w:val="single" w:sz="8" w:space="0" w:color="auto"/>
            </w:tcBorders>
            <w:noWrap/>
            <w:vAlign w:val="center"/>
          </w:tcPr>
          <w:p w14:paraId="58CB8F3B"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14,600</w:t>
            </w:r>
          </w:p>
        </w:tc>
        <w:tc>
          <w:tcPr>
            <w:tcW w:w="960" w:type="dxa"/>
            <w:tcBorders>
              <w:top w:val="nil"/>
              <w:left w:val="nil"/>
              <w:bottom w:val="single" w:sz="8" w:space="0" w:color="auto"/>
              <w:right w:val="single" w:sz="8" w:space="0" w:color="auto"/>
            </w:tcBorders>
            <w:noWrap/>
            <w:vAlign w:val="center"/>
          </w:tcPr>
          <w:p w14:paraId="14429DD5" w14:textId="77777777" w:rsidR="0018263B" w:rsidRPr="0004138A" w:rsidRDefault="0018263B">
            <w:pPr>
              <w:keepNext/>
              <w:keepLines/>
              <w:spacing w:after="0" w:line="240" w:lineRule="auto"/>
              <w:jc w:val="right"/>
              <w:rPr>
                <w:rFonts w:eastAsia="Times New Roman" w:cstheme="minorHAnsi"/>
                <w:color w:val="000000"/>
                <w:lang w:eastAsia="en-AU"/>
              </w:rPr>
            </w:pPr>
            <w:r w:rsidRPr="0004138A">
              <w:rPr>
                <w:rFonts w:eastAsia="Times New Roman" w:cstheme="minorHAnsi"/>
                <w:color w:val="000000"/>
                <w:lang w:eastAsia="en-AU"/>
              </w:rPr>
              <w:t>-23.1%</w:t>
            </w:r>
          </w:p>
        </w:tc>
      </w:tr>
      <w:tr w:rsidR="0018263B" w:rsidRPr="0004138A" w14:paraId="4DAFF1D5" w14:textId="77777777">
        <w:trPr>
          <w:trHeight w:val="300"/>
        </w:trPr>
        <w:tc>
          <w:tcPr>
            <w:tcW w:w="3180" w:type="dxa"/>
            <w:tcBorders>
              <w:top w:val="nil"/>
              <w:left w:val="single" w:sz="8" w:space="0" w:color="auto"/>
              <w:bottom w:val="single" w:sz="8" w:space="0" w:color="auto"/>
              <w:right w:val="single" w:sz="8" w:space="0" w:color="auto"/>
            </w:tcBorders>
            <w:noWrap/>
            <w:vAlign w:val="center"/>
            <w:hideMark/>
          </w:tcPr>
          <w:p w14:paraId="5401A33D" w14:textId="77777777" w:rsidR="0018263B" w:rsidRPr="00C01030" w:rsidRDefault="0018263B">
            <w:pPr>
              <w:keepNext/>
              <w:keepLines/>
              <w:spacing w:after="0" w:line="240" w:lineRule="auto"/>
              <w:jc w:val="right"/>
              <w:rPr>
                <w:rFonts w:eastAsia="Times New Roman" w:cstheme="minorHAnsi"/>
                <w:b/>
                <w:bCs/>
                <w:color w:val="000000"/>
                <w:lang w:eastAsia="en-AU"/>
              </w:rPr>
            </w:pPr>
            <w:r>
              <w:rPr>
                <w:rFonts w:eastAsia="Times New Roman" w:cstheme="minorHAnsi"/>
                <w:b/>
                <w:bCs/>
                <w:color w:val="000000"/>
                <w:lang w:eastAsia="en-AU"/>
              </w:rPr>
              <w:t>Australia</w:t>
            </w:r>
          </w:p>
        </w:tc>
        <w:tc>
          <w:tcPr>
            <w:tcW w:w="1400" w:type="dxa"/>
            <w:tcBorders>
              <w:top w:val="nil"/>
              <w:left w:val="nil"/>
              <w:bottom w:val="single" w:sz="8" w:space="0" w:color="auto"/>
              <w:right w:val="single" w:sz="8" w:space="0" w:color="auto"/>
            </w:tcBorders>
            <w:noWrap/>
            <w:vAlign w:val="center"/>
          </w:tcPr>
          <w:p w14:paraId="5DE02F87" w14:textId="77777777" w:rsidR="0018263B" w:rsidRPr="0004138A" w:rsidRDefault="0018263B">
            <w:pPr>
              <w:keepNext/>
              <w:keepLines/>
              <w:spacing w:after="0" w:line="240" w:lineRule="auto"/>
              <w:jc w:val="right"/>
              <w:rPr>
                <w:rFonts w:eastAsia="Times New Roman" w:cstheme="minorHAnsi"/>
                <w:color w:val="000000"/>
                <w:lang w:eastAsia="en-AU"/>
              </w:rPr>
            </w:pPr>
            <w:r w:rsidRPr="007D0B68">
              <w:rPr>
                <w:rFonts w:eastAsia="Times New Roman" w:cstheme="minorHAnsi"/>
                <w:b/>
                <w:bCs/>
                <w:color w:val="000000"/>
                <w:lang w:eastAsia="en-AU"/>
              </w:rPr>
              <w:t>1,128,300</w:t>
            </w:r>
          </w:p>
        </w:tc>
        <w:tc>
          <w:tcPr>
            <w:tcW w:w="1380" w:type="dxa"/>
            <w:tcBorders>
              <w:top w:val="nil"/>
              <w:left w:val="nil"/>
              <w:bottom w:val="single" w:sz="8" w:space="0" w:color="auto"/>
              <w:right w:val="single" w:sz="8" w:space="0" w:color="auto"/>
            </w:tcBorders>
            <w:noWrap/>
            <w:vAlign w:val="center"/>
          </w:tcPr>
          <w:p w14:paraId="7C8C3C1C" w14:textId="77777777" w:rsidR="0018263B" w:rsidRPr="0004138A" w:rsidRDefault="0018263B">
            <w:pPr>
              <w:keepNext/>
              <w:keepLines/>
              <w:spacing w:after="0" w:line="240" w:lineRule="auto"/>
              <w:jc w:val="right"/>
              <w:rPr>
                <w:rFonts w:eastAsia="Times New Roman" w:cstheme="minorHAnsi"/>
                <w:color w:val="000000"/>
                <w:lang w:eastAsia="en-AU"/>
              </w:rPr>
            </w:pPr>
            <w:r w:rsidRPr="007D0B68">
              <w:rPr>
                <w:rFonts w:eastAsia="Times New Roman" w:cstheme="minorHAnsi"/>
                <w:b/>
                <w:bCs/>
                <w:color w:val="000000"/>
                <w:lang w:eastAsia="en-AU"/>
              </w:rPr>
              <w:t>-6.9%</w:t>
            </w:r>
          </w:p>
        </w:tc>
        <w:tc>
          <w:tcPr>
            <w:tcW w:w="1160" w:type="dxa"/>
            <w:tcBorders>
              <w:top w:val="nil"/>
              <w:left w:val="nil"/>
              <w:bottom w:val="single" w:sz="8" w:space="0" w:color="auto"/>
              <w:right w:val="single" w:sz="8" w:space="0" w:color="auto"/>
            </w:tcBorders>
            <w:noWrap/>
            <w:vAlign w:val="center"/>
          </w:tcPr>
          <w:p w14:paraId="2AEAF7DB" w14:textId="77777777" w:rsidR="0018263B" w:rsidRPr="0004138A" w:rsidRDefault="0018263B">
            <w:pPr>
              <w:keepNext/>
              <w:keepLines/>
              <w:spacing w:after="0" w:line="240" w:lineRule="auto"/>
              <w:jc w:val="right"/>
              <w:rPr>
                <w:rFonts w:eastAsia="Times New Roman" w:cstheme="minorHAnsi"/>
                <w:color w:val="000000"/>
                <w:lang w:eastAsia="en-AU"/>
              </w:rPr>
            </w:pPr>
            <w:r w:rsidRPr="007D0B68">
              <w:rPr>
                <w:rFonts w:eastAsia="Times New Roman" w:cstheme="minorHAnsi"/>
                <w:b/>
                <w:bCs/>
                <w:color w:val="000000"/>
                <w:lang w:eastAsia="en-AU"/>
              </w:rPr>
              <w:t>202,900</w:t>
            </w:r>
          </w:p>
        </w:tc>
        <w:tc>
          <w:tcPr>
            <w:tcW w:w="960" w:type="dxa"/>
            <w:tcBorders>
              <w:top w:val="nil"/>
              <w:left w:val="nil"/>
              <w:bottom w:val="single" w:sz="8" w:space="0" w:color="auto"/>
              <w:right w:val="single" w:sz="8" w:space="0" w:color="auto"/>
            </w:tcBorders>
            <w:noWrap/>
            <w:vAlign w:val="center"/>
          </w:tcPr>
          <w:p w14:paraId="133365CD" w14:textId="77777777" w:rsidR="0018263B" w:rsidRPr="0004138A" w:rsidRDefault="0018263B">
            <w:pPr>
              <w:keepNext/>
              <w:keepLines/>
              <w:spacing w:after="0" w:line="240" w:lineRule="auto"/>
              <w:jc w:val="right"/>
              <w:rPr>
                <w:rFonts w:eastAsia="Times New Roman" w:cstheme="minorHAnsi"/>
                <w:color w:val="000000"/>
                <w:lang w:eastAsia="en-AU"/>
              </w:rPr>
            </w:pPr>
            <w:r>
              <w:rPr>
                <w:rFonts w:eastAsia="Times New Roman" w:cstheme="minorHAnsi"/>
                <w:b/>
                <w:bCs/>
                <w:color w:val="000000"/>
                <w:lang w:eastAsia="en-AU"/>
              </w:rPr>
              <w:t>627,300</w:t>
            </w:r>
          </w:p>
        </w:tc>
        <w:tc>
          <w:tcPr>
            <w:tcW w:w="960" w:type="dxa"/>
            <w:tcBorders>
              <w:top w:val="nil"/>
              <w:left w:val="nil"/>
              <w:bottom w:val="single" w:sz="8" w:space="0" w:color="auto"/>
              <w:right w:val="single" w:sz="8" w:space="0" w:color="auto"/>
            </w:tcBorders>
            <w:noWrap/>
            <w:vAlign w:val="center"/>
          </w:tcPr>
          <w:p w14:paraId="35D529C3" w14:textId="77777777" w:rsidR="0018263B" w:rsidRPr="0004138A" w:rsidRDefault="0018263B">
            <w:pPr>
              <w:keepNext/>
              <w:keepLines/>
              <w:spacing w:after="0" w:line="240" w:lineRule="auto"/>
              <w:jc w:val="right"/>
              <w:rPr>
                <w:rFonts w:eastAsia="Times New Roman" w:cstheme="minorHAnsi"/>
                <w:color w:val="000000"/>
                <w:lang w:eastAsia="en-AU"/>
              </w:rPr>
            </w:pPr>
            <w:r w:rsidRPr="007D0B68">
              <w:rPr>
                <w:rFonts w:eastAsia="Times New Roman" w:cstheme="minorHAnsi"/>
                <w:b/>
                <w:bCs/>
                <w:color w:val="000000"/>
                <w:lang w:eastAsia="en-AU"/>
              </w:rPr>
              <w:t>-</w:t>
            </w:r>
            <w:r>
              <w:rPr>
                <w:rFonts w:eastAsia="Times New Roman" w:cstheme="minorHAnsi"/>
                <w:b/>
                <w:bCs/>
                <w:color w:val="000000"/>
                <w:lang w:eastAsia="en-AU"/>
              </w:rPr>
              <w:t>12</w:t>
            </w:r>
            <w:r w:rsidRPr="007D0B68">
              <w:rPr>
                <w:rFonts w:eastAsia="Times New Roman" w:cstheme="minorHAnsi"/>
                <w:b/>
                <w:bCs/>
                <w:color w:val="000000"/>
                <w:lang w:eastAsia="en-AU"/>
              </w:rPr>
              <w:t>.</w:t>
            </w:r>
            <w:r>
              <w:rPr>
                <w:rFonts w:eastAsia="Times New Roman" w:cstheme="minorHAnsi"/>
                <w:b/>
                <w:bCs/>
                <w:color w:val="000000"/>
                <w:lang w:eastAsia="en-AU"/>
              </w:rPr>
              <w:t>1</w:t>
            </w:r>
            <w:r w:rsidRPr="007D0B68">
              <w:rPr>
                <w:rFonts w:eastAsia="Times New Roman" w:cstheme="minorHAnsi"/>
                <w:b/>
                <w:bCs/>
                <w:color w:val="000000"/>
                <w:lang w:eastAsia="en-AU"/>
              </w:rPr>
              <w:t>%</w:t>
            </w:r>
          </w:p>
        </w:tc>
      </w:tr>
    </w:tbl>
    <w:p w14:paraId="71DD69F8" w14:textId="77777777" w:rsidR="0018263B" w:rsidRDefault="0018263B" w:rsidP="0018263B">
      <w:pPr>
        <w:rPr>
          <w:rFonts w:eastAsia="Times New Roman" w:cs="Times New Roman"/>
          <w:color w:val="000000" w:themeColor="text1"/>
          <w:sz w:val="20"/>
          <w:szCs w:val="20"/>
          <w:u w:val="single"/>
          <w:lang w:eastAsia="en-AU"/>
        </w:rPr>
      </w:pPr>
    </w:p>
    <w:p w14:paraId="56373705" w14:textId="77777777" w:rsidR="0018263B" w:rsidRDefault="0018263B" w:rsidP="0018263B">
      <w:pPr>
        <w:rPr>
          <w:rFonts w:eastAsia="Times New Roman" w:cs="Times New Roman"/>
          <w:color w:val="000000" w:themeColor="text1"/>
          <w:sz w:val="20"/>
          <w:szCs w:val="20"/>
          <w:u w:val="single"/>
          <w:lang w:eastAsia="en-AU"/>
        </w:rPr>
      </w:pPr>
    </w:p>
    <w:p w14:paraId="1F469243" w14:textId="77777777" w:rsidR="0018263B" w:rsidRDefault="0018263B" w:rsidP="0018263B">
      <w:pPr>
        <w:rPr>
          <w:rFonts w:eastAsia="Times New Roman" w:cs="Times New Roman"/>
          <w:color w:val="000000" w:themeColor="text1"/>
          <w:sz w:val="20"/>
          <w:szCs w:val="20"/>
          <w:u w:val="single"/>
          <w:lang w:eastAsia="en-AU"/>
        </w:rPr>
      </w:pPr>
    </w:p>
    <w:p w14:paraId="7165C6D7" w14:textId="77777777" w:rsidR="0018263B" w:rsidRDefault="0018263B" w:rsidP="0018263B">
      <w:pPr>
        <w:rPr>
          <w:rFonts w:eastAsia="Times New Roman" w:cs="Times New Roman"/>
          <w:color w:val="000000" w:themeColor="text1"/>
          <w:sz w:val="20"/>
          <w:szCs w:val="20"/>
          <w:u w:val="single"/>
          <w:lang w:eastAsia="en-AU"/>
        </w:rPr>
      </w:pPr>
    </w:p>
    <w:p w14:paraId="688A1047" w14:textId="77777777" w:rsidR="0018263B" w:rsidRDefault="0018263B" w:rsidP="0018263B">
      <w:pPr>
        <w:rPr>
          <w:rFonts w:eastAsia="Times New Roman" w:cs="Times New Roman"/>
          <w:color w:val="000000" w:themeColor="text1"/>
          <w:sz w:val="20"/>
          <w:szCs w:val="20"/>
          <w:u w:val="single"/>
          <w:lang w:eastAsia="en-AU"/>
        </w:rPr>
      </w:pPr>
    </w:p>
    <w:p w14:paraId="139F5C79" w14:textId="77777777" w:rsidR="0018263B" w:rsidRDefault="0018263B" w:rsidP="0018263B">
      <w:pPr>
        <w:rPr>
          <w:rFonts w:eastAsia="Times New Roman" w:cs="Times New Roman"/>
          <w:color w:val="000000" w:themeColor="text1"/>
          <w:sz w:val="20"/>
          <w:szCs w:val="20"/>
          <w:u w:val="single"/>
          <w:lang w:eastAsia="en-AU"/>
        </w:rPr>
      </w:pPr>
    </w:p>
    <w:p w14:paraId="63AB37EA" w14:textId="77777777" w:rsidR="0018263B" w:rsidRDefault="0018263B" w:rsidP="0018263B">
      <w:pPr>
        <w:rPr>
          <w:rFonts w:eastAsia="Times New Roman" w:cs="Times New Roman"/>
          <w:color w:val="000000" w:themeColor="text1"/>
          <w:sz w:val="20"/>
          <w:szCs w:val="20"/>
          <w:u w:val="single"/>
          <w:lang w:eastAsia="en-AU"/>
        </w:rPr>
      </w:pPr>
    </w:p>
    <w:p w14:paraId="3A8D016C" w14:textId="77777777" w:rsidR="0018263B" w:rsidRDefault="0018263B" w:rsidP="0018263B">
      <w:pPr>
        <w:rPr>
          <w:rFonts w:eastAsia="Times New Roman" w:cs="Times New Roman"/>
          <w:color w:val="000000" w:themeColor="text1"/>
          <w:sz w:val="20"/>
          <w:szCs w:val="20"/>
          <w:u w:val="single"/>
          <w:lang w:eastAsia="en-AU"/>
        </w:rPr>
      </w:pPr>
    </w:p>
    <w:p w14:paraId="4E7C57E9" w14:textId="77777777" w:rsidR="0018263B" w:rsidRDefault="0018263B" w:rsidP="0018263B">
      <w:pPr>
        <w:rPr>
          <w:rFonts w:eastAsia="Times New Roman" w:cs="Times New Roman"/>
          <w:color w:val="000000" w:themeColor="text1"/>
          <w:sz w:val="20"/>
          <w:szCs w:val="20"/>
          <w:u w:val="single"/>
          <w:lang w:eastAsia="en-AU"/>
        </w:rPr>
      </w:pPr>
    </w:p>
    <w:p w14:paraId="13457105" w14:textId="77777777" w:rsidR="0018263B" w:rsidRDefault="0018263B" w:rsidP="0018263B">
      <w:pPr>
        <w:rPr>
          <w:rFonts w:eastAsia="Times New Roman" w:cs="Times New Roman"/>
          <w:color w:val="000000" w:themeColor="text1"/>
          <w:sz w:val="20"/>
          <w:szCs w:val="20"/>
          <w:u w:val="single"/>
          <w:lang w:eastAsia="en-AU"/>
        </w:rPr>
      </w:pPr>
    </w:p>
    <w:p w14:paraId="6A0D8B74" w14:textId="77777777" w:rsidR="0018263B" w:rsidRDefault="0018263B" w:rsidP="0018263B">
      <w:pPr>
        <w:rPr>
          <w:rFonts w:eastAsia="Times New Roman" w:cs="Times New Roman"/>
          <w:color w:val="000000" w:themeColor="text1"/>
          <w:sz w:val="20"/>
          <w:szCs w:val="20"/>
          <w:u w:val="single"/>
          <w:lang w:eastAsia="en-AU"/>
        </w:rPr>
      </w:pPr>
    </w:p>
    <w:p w14:paraId="24ABDBA6" w14:textId="77777777" w:rsidR="0018263B" w:rsidRDefault="0018263B" w:rsidP="0018263B">
      <w:pPr>
        <w:rPr>
          <w:rFonts w:eastAsia="Times New Roman" w:cs="Times New Roman"/>
          <w:color w:val="000000" w:themeColor="text1"/>
          <w:sz w:val="20"/>
          <w:szCs w:val="20"/>
          <w:u w:val="single"/>
          <w:lang w:eastAsia="en-AU"/>
        </w:rPr>
      </w:pPr>
    </w:p>
    <w:p w14:paraId="70164877" w14:textId="77777777" w:rsidR="0018263B" w:rsidRDefault="0018263B" w:rsidP="0018263B">
      <w:pPr>
        <w:rPr>
          <w:rFonts w:eastAsia="Times New Roman" w:cs="Times New Roman"/>
          <w:color w:val="000000" w:themeColor="text1"/>
          <w:sz w:val="20"/>
          <w:szCs w:val="20"/>
          <w:u w:val="single"/>
          <w:lang w:eastAsia="en-AU"/>
        </w:rPr>
      </w:pPr>
    </w:p>
    <w:p w14:paraId="21E70348" w14:textId="77777777" w:rsidR="0018263B" w:rsidRDefault="0018263B" w:rsidP="0018263B">
      <w:pPr>
        <w:rPr>
          <w:rFonts w:eastAsia="Times New Roman" w:cs="Times New Roman"/>
          <w:color w:val="000000" w:themeColor="text1"/>
          <w:sz w:val="20"/>
          <w:szCs w:val="20"/>
          <w:u w:val="single"/>
          <w:lang w:eastAsia="en-AU"/>
        </w:rPr>
      </w:pPr>
    </w:p>
    <w:p w14:paraId="367592FC" w14:textId="77777777" w:rsidR="0018263B" w:rsidRDefault="0018263B" w:rsidP="0018263B">
      <w:pPr>
        <w:rPr>
          <w:rFonts w:eastAsia="Times New Roman" w:cs="Times New Roman"/>
          <w:color w:val="000000" w:themeColor="text1"/>
          <w:sz w:val="20"/>
          <w:szCs w:val="20"/>
          <w:u w:val="single"/>
          <w:lang w:eastAsia="en-AU"/>
        </w:rPr>
      </w:pPr>
    </w:p>
    <w:p w14:paraId="57949F5E" w14:textId="77777777" w:rsidR="0018263B" w:rsidRDefault="0018263B" w:rsidP="0018263B">
      <w:pPr>
        <w:rPr>
          <w:rFonts w:eastAsia="Times New Roman" w:cs="Times New Roman"/>
          <w:color w:val="000000" w:themeColor="text1"/>
          <w:sz w:val="20"/>
          <w:szCs w:val="20"/>
          <w:u w:val="single"/>
          <w:lang w:eastAsia="en-AU"/>
        </w:rPr>
      </w:pPr>
    </w:p>
    <w:p w14:paraId="74BE60B5" w14:textId="77777777" w:rsidR="002414D1" w:rsidRDefault="002414D1" w:rsidP="0018263B">
      <w:pPr>
        <w:rPr>
          <w:rFonts w:eastAsia="Times New Roman" w:cs="Times New Roman"/>
          <w:color w:val="000000" w:themeColor="text1"/>
          <w:sz w:val="20"/>
          <w:szCs w:val="20"/>
          <w:u w:val="single"/>
          <w:lang w:eastAsia="en-AU"/>
        </w:rPr>
      </w:pPr>
    </w:p>
    <w:p w14:paraId="7BB2C079" w14:textId="77777777" w:rsidR="002414D1" w:rsidRDefault="002414D1" w:rsidP="009C0703">
      <w:pPr>
        <w:pStyle w:val="Source"/>
      </w:pPr>
      <w:r w:rsidRPr="39526853">
        <w:t>Source: JSA, T</w:t>
      </w:r>
      <w:r>
        <w:t>otal New Vacancies and Internet Vacancy Index</w:t>
      </w:r>
      <w:r w:rsidRPr="39526853">
        <w:t>.</w:t>
      </w:r>
    </w:p>
    <w:p w14:paraId="6ADE266B" w14:textId="77777777" w:rsidR="002414D1" w:rsidRDefault="002414D1" w:rsidP="0018263B">
      <w:pPr>
        <w:rPr>
          <w:rFonts w:eastAsia="Times New Roman" w:cs="Times New Roman"/>
          <w:color w:val="000000" w:themeColor="text1"/>
          <w:sz w:val="20"/>
          <w:szCs w:val="20"/>
          <w:u w:val="single"/>
          <w:lang w:eastAsia="en-AU"/>
        </w:rPr>
      </w:pPr>
    </w:p>
    <w:p w14:paraId="2F5C11EA" w14:textId="42BC946D" w:rsidR="001A637A" w:rsidRDefault="002414D1" w:rsidP="001A637A">
      <w:pPr>
        <w:keepNext/>
        <w:keepLines/>
      </w:pPr>
      <w:r w:rsidRPr="0096703C">
        <w:rPr>
          <w:rFonts w:eastAsia="Aptos" w:cs="Aptos"/>
          <w:sz w:val="20"/>
          <w:szCs w:val="20"/>
          <w:u w:val="single"/>
        </w:rPr>
        <w:lastRenderedPageBreak/>
        <w:t xml:space="preserve">Figure </w:t>
      </w:r>
      <w:r w:rsidRPr="0096703C">
        <w:rPr>
          <w:rFonts w:eastAsia="Aptos" w:cs="Aptos"/>
          <w:sz w:val="20"/>
          <w:szCs w:val="20"/>
          <w:u w:val="single"/>
        </w:rPr>
        <w:fldChar w:fldCharType="begin"/>
      </w:r>
      <w:r w:rsidRPr="0096703C">
        <w:rPr>
          <w:rFonts w:eastAsia="Aptos" w:cs="Aptos"/>
          <w:sz w:val="20"/>
          <w:szCs w:val="20"/>
          <w:u w:val="single"/>
        </w:rPr>
        <w:instrText xml:space="preserve"> SEQ Figure \* ARABIC </w:instrText>
      </w:r>
      <w:r w:rsidRPr="0096703C">
        <w:rPr>
          <w:rFonts w:eastAsia="Aptos" w:cs="Aptos"/>
          <w:sz w:val="20"/>
          <w:szCs w:val="20"/>
          <w:u w:val="single"/>
        </w:rPr>
        <w:fldChar w:fldCharType="separate"/>
      </w:r>
      <w:r w:rsidR="00213B6B">
        <w:rPr>
          <w:rFonts w:eastAsia="Aptos" w:cs="Aptos"/>
          <w:noProof/>
          <w:sz w:val="20"/>
          <w:szCs w:val="20"/>
          <w:u w:val="single"/>
        </w:rPr>
        <w:t>1</w:t>
      </w:r>
      <w:r w:rsidRPr="0096703C">
        <w:rPr>
          <w:rFonts w:eastAsia="Aptos" w:cs="Aptos"/>
          <w:sz w:val="20"/>
          <w:szCs w:val="20"/>
          <w:u w:val="single"/>
        </w:rPr>
        <w:fldChar w:fldCharType="end"/>
      </w:r>
      <w:r w:rsidRPr="0096703C">
        <w:rPr>
          <w:rFonts w:eastAsia="Aptos" w:cs="Aptos"/>
          <w:sz w:val="20"/>
          <w:szCs w:val="20"/>
          <w:u w:val="single"/>
        </w:rPr>
        <w:t xml:space="preserve">: </w:t>
      </w:r>
      <w:r>
        <w:rPr>
          <w:rFonts w:eastAsia="Aptos" w:cs="Aptos"/>
          <w:sz w:val="20"/>
          <w:szCs w:val="20"/>
          <w:u w:val="single"/>
        </w:rPr>
        <w:t>Total New Vacancies, February 2019 to August 2025</w:t>
      </w:r>
    </w:p>
    <w:p w14:paraId="6EE87459" w14:textId="671EAE3F" w:rsidR="001A637A" w:rsidRDefault="00FF7CC9" w:rsidP="001A637A">
      <w:pPr>
        <w:keepNext/>
        <w:keepLines/>
      </w:pPr>
      <w:r>
        <w:rPr>
          <w:noProof/>
        </w:rPr>
        <w:drawing>
          <wp:inline distT="0" distB="0" distL="0" distR="0" wp14:anchorId="36374527" wp14:editId="18D7F8D9">
            <wp:extent cx="6120130" cy="3975735"/>
            <wp:effectExtent l="0" t="0" r="0" b="5715"/>
            <wp:docPr id="1838827542" name="Graphic 1" descr="The line chart shows Total New Vacancies from February 2019 to August 2025. Vacancies start around 1.2 million in early 2019 and decline steadily, reaching a low of about 650,000 around mid-2020 during the initial COVID-19 period. From there, vacancies rise sharply through 2021 and early 2022, peaking at roughly 1.7 million in mid-2022. After this peak, the trend fluctuates slightly but remains high until early 2023, then gradually declines through 2024 to about 1.25 million. By mid-2025, vacancies show a slight uptick but remain well below the 2022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27542" name="Graphic 1" descr="The line chart shows Total New Vacancies from February 2019 to August 2025. Vacancies start around 1.2 million in early 2019 and decline steadily, reaching a low of about 650,000 around mid-2020 during the initial COVID-19 period. From there, vacancies rise sharply through 2021 and early 2022, peaking at roughly 1.7 million in mid-2022. After this peak, the trend fluctuates slightly but remains high until early 2023, then gradually declines through 2024 to about 1.25 million. By mid-2025, vacancies show a slight uptick but remain well below the 2022 peak."/>
                    <pic:cNvPicPr/>
                  </pic:nvPicPr>
                  <pic:blipFill>
                    <a:blip r:embed="rId13">
                      <a:extLst>
                        <a:ext uri="{96DAC541-7B7A-43D3-8B79-37D633B846F1}">
                          <asvg:svgBlip xmlns:asvg="http://schemas.microsoft.com/office/drawing/2016/SVG/main" r:embed="rId14"/>
                        </a:ext>
                      </a:extLst>
                    </a:blip>
                    <a:stretch>
                      <a:fillRect/>
                    </a:stretch>
                  </pic:blipFill>
                  <pic:spPr>
                    <a:xfrm>
                      <a:off x="0" y="0"/>
                      <a:ext cx="6120130" cy="3975735"/>
                    </a:xfrm>
                    <a:prstGeom prst="rect">
                      <a:avLst/>
                    </a:prstGeom>
                  </pic:spPr>
                </pic:pic>
              </a:graphicData>
            </a:graphic>
          </wp:inline>
        </w:drawing>
      </w:r>
    </w:p>
    <w:p w14:paraId="5354C569" w14:textId="77777777" w:rsidR="001A637A" w:rsidRPr="00DA7A1B" w:rsidRDefault="002414D1" w:rsidP="009C0703">
      <w:pPr>
        <w:pStyle w:val="Source"/>
      </w:pPr>
      <w:r>
        <w:t>S</w:t>
      </w:r>
      <w:r w:rsidR="001A637A" w:rsidRPr="39526853">
        <w:t>ource: JSA, T</w:t>
      </w:r>
      <w:r w:rsidR="001A637A">
        <w:t>otal New Vacancies</w:t>
      </w:r>
      <w:r w:rsidR="001A637A" w:rsidRPr="39526853">
        <w:t>.</w:t>
      </w:r>
    </w:p>
    <w:bookmarkEnd w:id="1"/>
    <w:bookmarkEnd w:id="2"/>
    <w:bookmarkEnd w:id="3"/>
    <w:p w14:paraId="0BFEBA8F" w14:textId="42C33157" w:rsidR="00D422A0" w:rsidRDefault="00B03914" w:rsidP="00EA5537">
      <w:pPr>
        <w:pStyle w:val="Spacer"/>
        <w:spacing w:after="2520"/>
        <w:rPr>
          <w:lang w:eastAsia="en-AU"/>
        </w:rPr>
      </w:pPr>
      <w:r>
        <w:drawing>
          <wp:anchor distT="0" distB="0" distL="114300" distR="114300" simplePos="0" relativeHeight="251658241" behindDoc="1" locked="0" layoutInCell="1" allowOverlap="1" wp14:anchorId="6147D0C8" wp14:editId="0A7838C2">
            <wp:simplePos x="0" y="0"/>
            <wp:positionH relativeFrom="page">
              <wp:posOffset>-41910</wp:posOffset>
            </wp:positionH>
            <wp:positionV relativeFrom="page">
              <wp:align>bottom</wp:align>
            </wp:positionV>
            <wp:extent cx="7602279" cy="4085590"/>
            <wp:effectExtent l="0" t="0" r="0" b="0"/>
            <wp:wrapNone/>
            <wp:docPr id="662921638" name="Picture 2" descr="A purple and whit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21638" name="Picture 2" descr="A purple and white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02279" cy="4085590"/>
                    </a:xfrm>
                    <a:prstGeom prst="rect">
                      <a:avLst/>
                    </a:prstGeom>
                  </pic:spPr>
                </pic:pic>
              </a:graphicData>
            </a:graphic>
            <wp14:sizeRelH relativeFrom="margin">
              <wp14:pctWidth>0</wp14:pctWidth>
            </wp14:sizeRelH>
            <wp14:sizeRelV relativeFrom="margin">
              <wp14:pctHeight>0</wp14:pctHeight>
            </wp14:sizeRelV>
          </wp:anchor>
        </w:drawing>
      </w:r>
    </w:p>
    <w:p w14:paraId="769196B3" w14:textId="6B4611D6" w:rsidR="00726C5C" w:rsidRPr="00604701" w:rsidRDefault="00726C5C" w:rsidP="00726C5C">
      <w:pPr>
        <w:spacing w:after="920"/>
        <w:ind w:left="1361" w:right="1700"/>
      </w:pPr>
      <w:r w:rsidRPr="00604701">
        <w:t>The</w:t>
      </w:r>
      <w:r w:rsidRPr="00907928">
        <w:rPr>
          <w:u w:color="B91C1C"/>
        </w:rPr>
        <w:t xml:space="preserve"> </w:t>
      </w:r>
      <w:r w:rsidRPr="00604701">
        <w:t>next</w:t>
      </w:r>
      <w:r w:rsidRPr="00907928">
        <w:rPr>
          <w:u w:color="B91C1C"/>
        </w:rPr>
        <w:t xml:space="preserve"> </w:t>
      </w:r>
      <w:r w:rsidR="00240205">
        <w:t>TNV</w:t>
      </w:r>
      <w:r w:rsidRPr="00907928">
        <w:rPr>
          <w:u w:color="B91C1C"/>
        </w:rPr>
        <w:t xml:space="preserve"> </w:t>
      </w:r>
      <w:r w:rsidRPr="00604701">
        <w:t>release</w:t>
      </w:r>
      <w:r w:rsidRPr="00907928">
        <w:rPr>
          <w:u w:color="B91C1C"/>
        </w:rPr>
        <w:t xml:space="preserve"> </w:t>
      </w:r>
      <w:r w:rsidRPr="00604701">
        <w:t>is</w:t>
      </w:r>
      <w:r w:rsidRPr="00907928">
        <w:rPr>
          <w:u w:color="B91C1C"/>
        </w:rPr>
        <w:t xml:space="preserve"> </w:t>
      </w:r>
      <w:r w:rsidRPr="00604701">
        <w:t>scheduled</w:t>
      </w:r>
      <w:r w:rsidRPr="00907928">
        <w:rPr>
          <w:u w:color="B91C1C"/>
        </w:rPr>
        <w:t xml:space="preserve"> </w:t>
      </w:r>
      <w:r w:rsidRPr="00604701">
        <w:t>for</w:t>
      </w:r>
      <w:r w:rsidRPr="00907928">
        <w:rPr>
          <w:u w:color="B91C1C"/>
        </w:rPr>
        <w:t xml:space="preserve"> </w:t>
      </w:r>
      <w:r>
        <w:t>February 2026.</w:t>
      </w:r>
      <w:r w:rsidRPr="00907928">
        <w:rPr>
          <w:u w:color="B91C1C"/>
        </w:rPr>
        <w:t xml:space="preserve"> </w:t>
      </w:r>
      <w:r w:rsidRPr="00604701">
        <w:t>The</w:t>
      </w:r>
      <w:r w:rsidRPr="00907928">
        <w:rPr>
          <w:u w:color="B91C1C"/>
        </w:rPr>
        <w:t xml:space="preserve"> </w:t>
      </w:r>
      <w:r>
        <w:t>TNV</w:t>
      </w:r>
      <w:r w:rsidRPr="00907928">
        <w:rPr>
          <w:u w:color="B91C1C"/>
        </w:rPr>
        <w:t xml:space="preserve"> </w:t>
      </w:r>
      <w:r w:rsidRPr="00604701">
        <w:t>is</w:t>
      </w:r>
      <w:r w:rsidRPr="00907928">
        <w:rPr>
          <w:u w:color="B91C1C"/>
        </w:rPr>
        <w:t xml:space="preserve"> </w:t>
      </w:r>
      <w:r w:rsidRPr="00604701">
        <w:t>published</w:t>
      </w:r>
      <w:r w:rsidRPr="00907928">
        <w:rPr>
          <w:u w:color="B91C1C"/>
        </w:rPr>
        <w:t xml:space="preserve"> </w:t>
      </w:r>
      <w:r w:rsidRPr="00604701">
        <w:t>on</w:t>
      </w:r>
      <w:r w:rsidRPr="00907928">
        <w:rPr>
          <w:u w:color="B91C1C"/>
        </w:rPr>
        <w:t xml:space="preserve"> </w:t>
      </w:r>
      <w:r w:rsidRPr="00604701">
        <w:t>the</w:t>
      </w:r>
      <w:r w:rsidRPr="00907928">
        <w:rPr>
          <w:u w:color="B91C1C"/>
        </w:rPr>
        <w:t xml:space="preserve"> </w:t>
      </w:r>
      <w:r w:rsidRPr="00604701">
        <w:t>JSA</w:t>
      </w:r>
      <w:r w:rsidRPr="00907928">
        <w:rPr>
          <w:u w:color="B91C1C"/>
        </w:rPr>
        <w:t xml:space="preserve"> </w:t>
      </w:r>
      <w:r w:rsidRPr="00604701">
        <w:t>website</w:t>
      </w:r>
      <w:r w:rsidRPr="00907928">
        <w:rPr>
          <w:u w:color="B91C1C"/>
        </w:rPr>
        <w:t xml:space="preserve"> </w:t>
      </w:r>
      <w:r w:rsidRPr="00604701">
        <w:t>at</w:t>
      </w:r>
      <w:r w:rsidRPr="00907928">
        <w:rPr>
          <w:u w:color="B91C1C"/>
        </w:rPr>
        <w:t xml:space="preserve"> </w:t>
      </w:r>
      <w:r w:rsidRPr="00604701">
        <w:t>jobsandskills.gov.au</w:t>
      </w:r>
      <w:r>
        <w:t>.</w:t>
      </w:r>
    </w:p>
    <w:p w14:paraId="47C6ADC1" w14:textId="4182A67B" w:rsidR="00D422A0" w:rsidRPr="001A637A" w:rsidRDefault="00726C5C" w:rsidP="00DA7A1B">
      <w:r w:rsidRPr="00600A76">
        <w:t xml:space="preserve">The TNV uses insights from JSA’s Recruitment Experiences and Outlook Survey (REOS) to estimate the total number of new vacancies created each quarter. It combines online job ad data with employer survey responses to capture vacancies not advertised online (such as word of mouth, signage, and social media). As a new release, JSA is seeking feedback on the series including suggestions for possible improvements. Caution should also be exercised when utilising the JSA TNV data. This provides a quarterly measure of new job openings across Australia. More information is available on the Jobs and Skills Australia website. </w:t>
      </w:r>
      <w:r w:rsidR="00D422A0" w:rsidRPr="00122087">
        <w:rPr>
          <w:noProof/>
        </w:rPr>
        <w:drawing>
          <wp:anchor distT="0" distB="0" distL="114300" distR="114300" simplePos="0" relativeHeight="251658243" behindDoc="0" locked="0" layoutInCell="1" allowOverlap="1" wp14:anchorId="1ACD0DA8" wp14:editId="6A079529">
            <wp:simplePos x="0" y="0"/>
            <wp:positionH relativeFrom="margin">
              <wp:posOffset>-487563</wp:posOffset>
            </wp:positionH>
            <wp:positionV relativeFrom="paragraph">
              <wp:posOffset>5504696</wp:posOffset>
            </wp:positionV>
            <wp:extent cx="7095472" cy="3859294"/>
            <wp:effectExtent l="0" t="0" r="0" b="8255"/>
            <wp:wrapNone/>
            <wp:docPr id="147666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63246" name=""/>
                    <pic:cNvPicPr/>
                  </pic:nvPicPr>
                  <pic:blipFill>
                    <a:blip r:embed="rId16">
                      <a:extLst>
                        <a:ext uri="{28A0092B-C50C-407E-A947-70E740481C1C}">
                          <a14:useLocalDpi xmlns:a14="http://schemas.microsoft.com/office/drawing/2010/main" val="0"/>
                        </a:ext>
                      </a:extLst>
                    </a:blip>
                    <a:stretch>
                      <a:fillRect/>
                    </a:stretch>
                  </pic:blipFill>
                  <pic:spPr>
                    <a:xfrm>
                      <a:off x="0" y="0"/>
                      <a:ext cx="7095472" cy="3859294"/>
                    </a:xfrm>
                    <a:prstGeom prst="rect">
                      <a:avLst/>
                    </a:prstGeom>
                  </pic:spPr>
                </pic:pic>
              </a:graphicData>
            </a:graphic>
            <wp14:sizeRelH relativeFrom="page">
              <wp14:pctWidth>0</wp14:pctWidth>
            </wp14:sizeRelH>
            <wp14:sizeRelV relativeFrom="page">
              <wp14:pctHeight>0</wp14:pctHeight>
            </wp14:sizeRelV>
          </wp:anchor>
        </w:drawing>
      </w:r>
    </w:p>
    <w:sectPr w:rsidR="00D422A0" w:rsidRPr="001A637A" w:rsidSect="004860A5">
      <w:type w:val="continuous"/>
      <w:pgSz w:w="11906" w:h="16838"/>
      <w:pgMar w:top="1361" w:right="1134" w:bottom="1134" w:left="1134"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10CDF" w14:textId="77777777" w:rsidR="00426BE1" w:rsidRDefault="00426BE1" w:rsidP="0081036F">
      <w:r>
        <w:separator/>
      </w:r>
    </w:p>
  </w:endnote>
  <w:endnote w:type="continuationSeparator" w:id="0">
    <w:p w14:paraId="330A737C" w14:textId="77777777" w:rsidR="00426BE1" w:rsidRDefault="00426BE1" w:rsidP="0081036F">
      <w:r>
        <w:continuationSeparator/>
      </w:r>
    </w:p>
  </w:endnote>
  <w:endnote w:type="continuationNotice" w:id="1">
    <w:p w14:paraId="34CFF0BF" w14:textId="77777777" w:rsidR="00426BE1" w:rsidRDefault="00426BE1" w:rsidP="00810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032E5" w14:textId="0AD6F296" w:rsidR="004860A5" w:rsidRPr="00B14460" w:rsidRDefault="000E38B7" w:rsidP="004860A5">
    <w:pPr>
      <w:pStyle w:val="Footer"/>
      <w:pBdr>
        <w:top w:val="single" w:sz="4" w:space="1" w:color="auto"/>
      </w:pBdr>
      <w:tabs>
        <w:tab w:val="clear" w:pos="9026"/>
        <w:tab w:val="right" w:pos="9638"/>
      </w:tabs>
    </w:pPr>
    <w:r>
      <w:t>Total New Vacancies</w:t>
    </w:r>
    <w:r w:rsidR="004860A5" w:rsidRPr="00B14460">
      <w:t xml:space="preserve"> – </w:t>
    </w:r>
    <w:r w:rsidR="00EC316B">
      <w:t>August</w:t>
    </w:r>
    <w:r>
      <w:t xml:space="preserve"> 2025</w:t>
    </w:r>
    <w:r w:rsidR="004860A5" w:rsidRPr="00B14460">
      <w:t xml:space="preserve"> </w:t>
    </w:r>
    <w:r w:rsidR="004860A5" w:rsidRPr="00B14460">
      <w:tab/>
      <w:t xml:space="preserve">Jobs and Skills Australia </w:t>
    </w:r>
    <w:r w:rsidR="004860A5">
      <w:t xml:space="preserve"> </w:t>
    </w:r>
    <w:r w:rsidR="004860A5" w:rsidRPr="00B14460">
      <w:t xml:space="preserve"> | </w:t>
    </w:r>
    <w:r w:rsidR="004860A5">
      <w:t xml:space="preserve"> </w:t>
    </w:r>
    <w:r w:rsidR="004860A5" w:rsidRPr="00B14460">
      <w:t xml:space="preserve"> </w:t>
    </w:r>
    <w:sdt>
      <w:sdtPr>
        <w:id w:val="-2122141121"/>
        <w:docPartObj>
          <w:docPartGallery w:val="Page Numbers (Bottom of Page)"/>
          <w:docPartUnique/>
        </w:docPartObj>
      </w:sdtPr>
      <w:sdtEndPr>
        <w:rPr>
          <w:noProof/>
        </w:rPr>
      </w:sdtEndPr>
      <w:sdtContent>
        <w:r w:rsidR="004860A5" w:rsidRPr="00B14460">
          <w:fldChar w:fldCharType="begin"/>
        </w:r>
        <w:r w:rsidR="004860A5" w:rsidRPr="00B14460">
          <w:instrText xml:space="preserve"> PAGE   \* MERGEFORMAT </w:instrText>
        </w:r>
        <w:r w:rsidR="004860A5" w:rsidRPr="00B14460">
          <w:fldChar w:fldCharType="separate"/>
        </w:r>
        <w:r w:rsidR="004860A5">
          <w:t>1</w:t>
        </w:r>
        <w:r w:rsidR="004860A5" w:rsidRPr="00B14460">
          <w:rPr>
            <w:noProof/>
          </w:rPr>
          <w:fldChar w:fldCharType="end"/>
        </w:r>
      </w:sdtContent>
    </w:sdt>
  </w:p>
  <w:p w14:paraId="1DE9E510" w14:textId="48FD8418" w:rsidR="003708C1" w:rsidRPr="004860A5" w:rsidRDefault="003708C1" w:rsidP="004860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9AEE" w14:textId="7BB23118" w:rsidR="00753665" w:rsidRPr="00B14460" w:rsidRDefault="00D2549B" w:rsidP="001279A4">
    <w:pPr>
      <w:pStyle w:val="Footer"/>
      <w:pBdr>
        <w:top w:val="single" w:sz="4" w:space="1" w:color="auto"/>
      </w:pBdr>
      <w:tabs>
        <w:tab w:val="clear" w:pos="9026"/>
        <w:tab w:val="right" w:pos="9638"/>
      </w:tabs>
    </w:pPr>
    <w:r w:rsidRPr="00B14460">
      <w:t>Vacancy Index Report – October 2023</w:t>
    </w:r>
    <w:r w:rsidR="00E24280" w:rsidRPr="00B14460">
      <w:t xml:space="preserve"> </w:t>
    </w:r>
    <w:r w:rsidR="00E24280" w:rsidRPr="00B14460">
      <w:tab/>
      <w:t xml:space="preserve">Jobs and Skills Australia </w:t>
    </w:r>
    <w:r w:rsidR="004C427B">
      <w:t xml:space="preserve"> </w:t>
    </w:r>
    <w:r w:rsidR="00E24280" w:rsidRPr="00B14460">
      <w:t xml:space="preserve"> | </w:t>
    </w:r>
    <w:r w:rsidR="004C427B">
      <w:t xml:space="preserve"> </w:t>
    </w:r>
    <w:r w:rsidR="00E24280" w:rsidRPr="00B14460">
      <w:t xml:space="preserve"> </w:t>
    </w:r>
    <w:sdt>
      <w:sdtPr>
        <w:id w:val="1346446715"/>
        <w:docPartObj>
          <w:docPartGallery w:val="Page Numbers (Bottom of Page)"/>
          <w:docPartUnique/>
        </w:docPartObj>
      </w:sdtPr>
      <w:sdtEndPr>
        <w:rPr>
          <w:noProof/>
        </w:rPr>
      </w:sdtEndPr>
      <w:sdtContent>
        <w:r w:rsidR="00753665" w:rsidRPr="00B14460">
          <w:fldChar w:fldCharType="begin"/>
        </w:r>
        <w:r w:rsidR="00753665" w:rsidRPr="00B14460">
          <w:instrText xml:space="preserve"> PAGE   \* MERGEFORMAT </w:instrText>
        </w:r>
        <w:r w:rsidR="00753665" w:rsidRPr="00B14460">
          <w:fldChar w:fldCharType="separate"/>
        </w:r>
        <w:r w:rsidR="00753665" w:rsidRPr="00B14460">
          <w:rPr>
            <w:noProof/>
          </w:rPr>
          <w:t>2</w:t>
        </w:r>
        <w:r w:rsidR="00753665" w:rsidRPr="00B1446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06DBD" w14:textId="77777777" w:rsidR="00426BE1" w:rsidRDefault="00426BE1" w:rsidP="0081036F">
      <w:r>
        <w:separator/>
      </w:r>
    </w:p>
  </w:footnote>
  <w:footnote w:type="continuationSeparator" w:id="0">
    <w:p w14:paraId="6FB4B790" w14:textId="77777777" w:rsidR="00426BE1" w:rsidRDefault="00426BE1" w:rsidP="0081036F">
      <w:r>
        <w:continuationSeparator/>
      </w:r>
    </w:p>
  </w:footnote>
  <w:footnote w:type="continuationNotice" w:id="1">
    <w:p w14:paraId="40091F53" w14:textId="77777777" w:rsidR="00426BE1" w:rsidRDefault="00426BE1" w:rsidP="008103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5E7D0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4410687E"/>
    <w:lvl w:ilvl="0">
      <w:start w:val="1"/>
      <w:numFmt w:val="decimal"/>
      <w:pStyle w:val="ListNumber"/>
      <w:lvlText w:val="%1."/>
      <w:lvlJc w:val="left"/>
      <w:pPr>
        <w:tabs>
          <w:tab w:val="num" w:pos="360"/>
        </w:tabs>
        <w:ind w:left="360" w:hanging="360"/>
      </w:pPr>
    </w:lvl>
  </w:abstractNum>
  <w:abstractNum w:abstractNumId="6"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96197"/>
    <w:multiLevelType w:val="hybridMultilevel"/>
    <w:tmpl w:val="30967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585F53"/>
    <w:multiLevelType w:val="multilevel"/>
    <w:tmpl w:val="8E1096D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9"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37269666">
    <w:abstractNumId w:val="14"/>
  </w:num>
  <w:num w:numId="2" w16cid:durableId="1668050683">
    <w:abstractNumId w:val="11"/>
  </w:num>
  <w:num w:numId="3" w16cid:durableId="1683042470">
    <w:abstractNumId w:val="6"/>
  </w:num>
  <w:num w:numId="4" w16cid:durableId="133523604">
    <w:abstractNumId w:val="12"/>
  </w:num>
  <w:num w:numId="5" w16cid:durableId="1994024302">
    <w:abstractNumId w:val="13"/>
  </w:num>
  <w:num w:numId="6" w16cid:durableId="1358852113">
    <w:abstractNumId w:val="10"/>
  </w:num>
  <w:num w:numId="7" w16cid:durableId="2047246184">
    <w:abstractNumId w:val="8"/>
  </w:num>
  <w:num w:numId="8" w16cid:durableId="1985233239">
    <w:abstractNumId w:val="4"/>
  </w:num>
  <w:num w:numId="9" w16cid:durableId="2105372984">
    <w:abstractNumId w:val="5"/>
  </w:num>
  <w:num w:numId="10" w16cid:durableId="935869809">
    <w:abstractNumId w:val="3"/>
  </w:num>
  <w:num w:numId="11" w16cid:durableId="1109662273">
    <w:abstractNumId w:val="2"/>
  </w:num>
  <w:num w:numId="12" w16cid:durableId="2049716342">
    <w:abstractNumId w:val="1"/>
  </w:num>
  <w:num w:numId="13" w16cid:durableId="1578317811">
    <w:abstractNumId w:val="0"/>
  </w:num>
  <w:num w:numId="14" w16cid:durableId="1127550344">
    <w:abstractNumId w:val="9"/>
  </w:num>
  <w:num w:numId="15" w16cid:durableId="406730085">
    <w:abstractNumId w:val="7"/>
  </w:num>
  <w:num w:numId="16" w16cid:durableId="1528132923">
    <w:abstractNumId w:val="5"/>
  </w:num>
  <w:num w:numId="17" w16cid:durableId="1478671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1"/>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3E8E"/>
    <w:rsid w:val="000060E4"/>
    <w:rsid w:val="0000790B"/>
    <w:rsid w:val="00025BD0"/>
    <w:rsid w:val="000261A3"/>
    <w:rsid w:val="00033021"/>
    <w:rsid w:val="0003316F"/>
    <w:rsid w:val="00037EB9"/>
    <w:rsid w:val="000404CE"/>
    <w:rsid w:val="0004100D"/>
    <w:rsid w:val="00041073"/>
    <w:rsid w:val="0004138A"/>
    <w:rsid w:val="00042611"/>
    <w:rsid w:val="00044C84"/>
    <w:rsid w:val="00044D4F"/>
    <w:rsid w:val="00051CBE"/>
    <w:rsid w:val="000541F7"/>
    <w:rsid w:val="0005518A"/>
    <w:rsid w:val="0005610B"/>
    <w:rsid w:val="000572BD"/>
    <w:rsid w:val="00057F89"/>
    <w:rsid w:val="000768A0"/>
    <w:rsid w:val="00081F93"/>
    <w:rsid w:val="00084BA3"/>
    <w:rsid w:val="00095E11"/>
    <w:rsid w:val="000A145A"/>
    <w:rsid w:val="000A1E27"/>
    <w:rsid w:val="000A7F1E"/>
    <w:rsid w:val="000B6324"/>
    <w:rsid w:val="000C0BA2"/>
    <w:rsid w:val="000C47F7"/>
    <w:rsid w:val="000C4E96"/>
    <w:rsid w:val="000C7DD7"/>
    <w:rsid w:val="000D04EA"/>
    <w:rsid w:val="000D5FCE"/>
    <w:rsid w:val="000D6745"/>
    <w:rsid w:val="000E38B7"/>
    <w:rsid w:val="000E38BA"/>
    <w:rsid w:val="000E7042"/>
    <w:rsid w:val="000F1722"/>
    <w:rsid w:val="000F3A61"/>
    <w:rsid w:val="000F5169"/>
    <w:rsid w:val="00101FBF"/>
    <w:rsid w:val="00105370"/>
    <w:rsid w:val="00105D29"/>
    <w:rsid w:val="001134ED"/>
    <w:rsid w:val="00114717"/>
    <w:rsid w:val="001154C1"/>
    <w:rsid w:val="00117807"/>
    <w:rsid w:val="00121C35"/>
    <w:rsid w:val="00122087"/>
    <w:rsid w:val="00123DFA"/>
    <w:rsid w:val="00124D9E"/>
    <w:rsid w:val="00125C36"/>
    <w:rsid w:val="001279A4"/>
    <w:rsid w:val="001306D6"/>
    <w:rsid w:val="0013610D"/>
    <w:rsid w:val="00143208"/>
    <w:rsid w:val="00146BBB"/>
    <w:rsid w:val="001516BF"/>
    <w:rsid w:val="00152694"/>
    <w:rsid w:val="001534EA"/>
    <w:rsid w:val="0015748D"/>
    <w:rsid w:val="00164614"/>
    <w:rsid w:val="0016618F"/>
    <w:rsid w:val="00167762"/>
    <w:rsid w:val="00172296"/>
    <w:rsid w:val="0017574A"/>
    <w:rsid w:val="0018263B"/>
    <w:rsid w:val="00185C8D"/>
    <w:rsid w:val="001869B2"/>
    <w:rsid w:val="001921C3"/>
    <w:rsid w:val="00192BED"/>
    <w:rsid w:val="00193635"/>
    <w:rsid w:val="00195DA0"/>
    <w:rsid w:val="001A22A8"/>
    <w:rsid w:val="001A637A"/>
    <w:rsid w:val="001B1EB2"/>
    <w:rsid w:val="001B3681"/>
    <w:rsid w:val="001B60C2"/>
    <w:rsid w:val="001B7035"/>
    <w:rsid w:val="001B7F1C"/>
    <w:rsid w:val="001C0CB2"/>
    <w:rsid w:val="001C0D18"/>
    <w:rsid w:val="001C381D"/>
    <w:rsid w:val="001C6BA8"/>
    <w:rsid w:val="001C73D7"/>
    <w:rsid w:val="001D1AB8"/>
    <w:rsid w:val="001E3A83"/>
    <w:rsid w:val="001E3F0D"/>
    <w:rsid w:val="001E4423"/>
    <w:rsid w:val="001E58C4"/>
    <w:rsid w:val="001F0154"/>
    <w:rsid w:val="001F2809"/>
    <w:rsid w:val="001F36D6"/>
    <w:rsid w:val="001F59D3"/>
    <w:rsid w:val="00201984"/>
    <w:rsid w:val="00206249"/>
    <w:rsid w:val="00213B6B"/>
    <w:rsid w:val="00224EF3"/>
    <w:rsid w:val="00225E72"/>
    <w:rsid w:val="00233A75"/>
    <w:rsid w:val="00233D78"/>
    <w:rsid w:val="00236C1F"/>
    <w:rsid w:val="00240205"/>
    <w:rsid w:val="002414D1"/>
    <w:rsid w:val="0024392D"/>
    <w:rsid w:val="00244550"/>
    <w:rsid w:val="002618DF"/>
    <w:rsid w:val="00261D00"/>
    <w:rsid w:val="002633D9"/>
    <w:rsid w:val="00280AC6"/>
    <w:rsid w:val="00281D3D"/>
    <w:rsid w:val="002824C3"/>
    <w:rsid w:val="00294394"/>
    <w:rsid w:val="002948AB"/>
    <w:rsid w:val="002950ED"/>
    <w:rsid w:val="00296166"/>
    <w:rsid w:val="002A4B17"/>
    <w:rsid w:val="002B58AB"/>
    <w:rsid w:val="002B7212"/>
    <w:rsid w:val="002C0D2C"/>
    <w:rsid w:val="002C22C6"/>
    <w:rsid w:val="002C30E8"/>
    <w:rsid w:val="002D68E2"/>
    <w:rsid w:val="002E0E18"/>
    <w:rsid w:val="002E12CF"/>
    <w:rsid w:val="002E47F6"/>
    <w:rsid w:val="002E5B03"/>
    <w:rsid w:val="002E6E2F"/>
    <w:rsid w:val="002F0ECD"/>
    <w:rsid w:val="002F3EB5"/>
    <w:rsid w:val="002F537A"/>
    <w:rsid w:val="002F5690"/>
    <w:rsid w:val="00305084"/>
    <w:rsid w:val="003060CC"/>
    <w:rsid w:val="00306575"/>
    <w:rsid w:val="00306C0E"/>
    <w:rsid w:val="00310CA1"/>
    <w:rsid w:val="00313B29"/>
    <w:rsid w:val="00314E27"/>
    <w:rsid w:val="0032103C"/>
    <w:rsid w:val="00323B9A"/>
    <w:rsid w:val="00327AB4"/>
    <w:rsid w:val="003360BD"/>
    <w:rsid w:val="00337196"/>
    <w:rsid w:val="00343E77"/>
    <w:rsid w:val="00344D2B"/>
    <w:rsid w:val="00347262"/>
    <w:rsid w:val="0035131B"/>
    <w:rsid w:val="00366923"/>
    <w:rsid w:val="003676D3"/>
    <w:rsid w:val="003708C1"/>
    <w:rsid w:val="00370C83"/>
    <w:rsid w:val="00371F25"/>
    <w:rsid w:val="00374E1D"/>
    <w:rsid w:val="003818AB"/>
    <w:rsid w:val="00382E36"/>
    <w:rsid w:val="00385322"/>
    <w:rsid w:val="00385788"/>
    <w:rsid w:val="00385ABF"/>
    <w:rsid w:val="0039115D"/>
    <w:rsid w:val="003926FD"/>
    <w:rsid w:val="00396DFA"/>
    <w:rsid w:val="003A2110"/>
    <w:rsid w:val="003A2337"/>
    <w:rsid w:val="003A6867"/>
    <w:rsid w:val="003B474F"/>
    <w:rsid w:val="003D13A9"/>
    <w:rsid w:val="003D48E5"/>
    <w:rsid w:val="003E0796"/>
    <w:rsid w:val="003E0B70"/>
    <w:rsid w:val="003E0E55"/>
    <w:rsid w:val="003E2525"/>
    <w:rsid w:val="003E31B5"/>
    <w:rsid w:val="003E3395"/>
    <w:rsid w:val="003F35A1"/>
    <w:rsid w:val="003F7C51"/>
    <w:rsid w:val="00414265"/>
    <w:rsid w:val="00414A4A"/>
    <w:rsid w:val="00415DA8"/>
    <w:rsid w:val="00416544"/>
    <w:rsid w:val="004221F7"/>
    <w:rsid w:val="00422AD4"/>
    <w:rsid w:val="00426BE1"/>
    <w:rsid w:val="00431BE4"/>
    <w:rsid w:val="00431BFC"/>
    <w:rsid w:val="0043440C"/>
    <w:rsid w:val="00440C82"/>
    <w:rsid w:val="004415F0"/>
    <w:rsid w:val="004420E5"/>
    <w:rsid w:val="004440ED"/>
    <w:rsid w:val="00447153"/>
    <w:rsid w:val="004566BE"/>
    <w:rsid w:val="00456915"/>
    <w:rsid w:val="00465736"/>
    <w:rsid w:val="004773D3"/>
    <w:rsid w:val="004832BF"/>
    <w:rsid w:val="00483618"/>
    <w:rsid w:val="00484C00"/>
    <w:rsid w:val="004860A5"/>
    <w:rsid w:val="00490C06"/>
    <w:rsid w:val="004959E6"/>
    <w:rsid w:val="004A5E52"/>
    <w:rsid w:val="004A63C3"/>
    <w:rsid w:val="004B09C1"/>
    <w:rsid w:val="004B4EF5"/>
    <w:rsid w:val="004C427B"/>
    <w:rsid w:val="004C705B"/>
    <w:rsid w:val="004D22A5"/>
    <w:rsid w:val="004D3224"/>
    <w:rsid w:val="004D3A08"/>
    <w:rsid w:val="004E0B8B"/>
    <w:rsid w:val="004F2369"/>
    <w:rsid w:val="004F76F0"/>
    <w:rsid w:val="005013B3"/>
    <w:rsid w:val="00501D30"/>
    <w:rsid w:val="00501F38"/>
    <w:rsid w:val="00506CD7"/>
    <w:rsid w:val="005109B7"/>
    <w:rsid w:val="005111CD"/>
    <w:rsid w:val="0051161C"/>
    <w:rsid w:val="00513C8F"/>
    <w:rsid w:val="0051412A"/>
    <w:rsid w:val="0051507F"/>
    <w:rsid w:val="005252E3"/>
    <w:rsid w:val="00532929"/>
    <w:rsid w:val="00536467"/>
    <w:rsid w:val="00540C1E"/>
    <w:rsid w:val="005411A8"/>
    <w:rsid w:val="00543D06"/>
    <w:rsid w:val="005446B5"/>
    <w:rsid w:val="005470AE"/>
    <w:rsid w:val="00553257"/>
    <w:rsid w:val="005533B5"/>
    <w:rsid w:val="00560872"/>
    <w:rsid w:val="005654B7"/>
    <w:rsid w:val="00567E50"/>
    <w:rsid w:val="0057143D"/>
    <w:rsid w:val="00572133"/>
    <w:rsid w:val="00592584"/>
    <w:rsid w:val="005964AC"/>
    <w:rsid w:val="00597E9D"/>
    <w:rsid w:val="00597EF7"/>
    <w:rsid w:val="005A2862"/>
    <w:rsid w:val="005B09B7"/>
    <w:rsid w:val="005B2318"/>
    <w:rsid w:val="005B2B33"/>
    <w:rsid w:val="005B5A7A"/>
    <w:rsid w:val="005B60AC"/>
    <w:rsid w:val="005B76B2"/>
    <w:rsid w:val="005C5BF0"/>
    <w:rsid w:val="005C6471"/>
    <w:rsid w:val="005C668B"/>
    <w:rsid w:val="005D1364"/>
    <w:rsid w:val="005D467D"/>
    <w:rsid w:val="005D4AEC"/>
    <w:rsid w:val="005D640A"/>
    <w:rsid w:val="005E18D8"/>
    <w:rsid w:val="005E30E3"/>
    <w:rsid w:val="005E340A"/>
    <w:rsid w:val="005F1E8D"/>
    <w:rsid w:val="005F1FDA"/>
    <w:rsid w:val="005F246D"/>
    <w:rsid w:val="00600709"/>
    <w:rsid w:val="00600A76"/>
    <w:rsid w:val="006029D6"/>
    <w:rsid w:val="00604F98"/>
    <w:rsid w:val="006066C4"/>
    <w:rsid w:val="00607390"/>
    <w:rsid w:val="00613BE7"/>
    <w:rsid w:val="00620968"/>
    <w:rsid w:val="00621B8F"/>
    <w:rsid w:val="006232EC"/>
    <w:rsid w:val="00631632"/>
    <w:rsid w:val="00635255"/>
    <w:rsid w:val="0063726B"/>
    <w:rsid w:val="0064002D"/>
    <w:rsid w:val="00642A9A"/>
    <w:rsid w:val="00652349"/>
    <w:rsid w:val="00655BCA"/>
    <w:rsid w:val="0065687D"/>
    <w:rsid w:val="006572CA"/>
    <w:rsid w:val="006606E0"/>
    <w:rsid w:val="006670A4"/>
    <w:rsid w:val="006731CD"/>
    <w:rsid w:val="00675DB2"/>
    <w:rsid w:val="00676F14"/>
    <w:rsid w:val="00677034"/>
    <w:rsid w:val="00677A7E"/>
    <w:rsid w:val="0068647D"/>
    <w:rsid w:val="00693BA4"/>
    <w:rsid w:val="00693C5D"/>
    <w:rsid w:val="00693E00"/>
    <w:rsid w:val="00694606"/>
    <w:rsid w:val="006973C4"/>
    <w:rsid w:val="006B202B"/>
    <w:rsid w:val="006B74CB"/>
    <w:rsid w:val="006C06BF"/>
    <w:rsid w:val="006C127D"/>
    <w:rsid w:val="006C1650"/>
    <w:rsid w:val="006C6E0B"/>
    <w:rsid w:val="006D2345"/>
    <w:rsid w:val="006D3281"/>
    <w:rsid w:val="006D69B3"/>
    <w:rsid w:val="006E10CE"/>
    <w:rsid w:val="006E1136"/>
    <w:rsid w:val="006E5C82"/>
    <w:rsid w:val="006F7520"/>
    <w:rsid w:val="00701D1C"/>
    <w:rsid w:val="00702CB5"/>
    <w:rsid w:val="00703260"/>
    <w:rsid w:val="00710A67"/>
    <w:rsid w:val="00710DAA"/>
    <w:rsid w:val="007117F1"/>
    <w:rsid w:val="007119BB"/>
    <w:rsid w:val="00717636"/>
    <w:rsid w:val="007177A7"/>
    <w:rsid w:val="00720E6A"/>
    <w:rsid w:val="0072283D"/>
    <w:rsid w:val="0072616C"/>
    <w:rsid w:val="00726C5C"/>
    <w:rsid w:val="00727591"/>
    <w:rsid w:val="007276AD"/>
    <w:rsid w:val="007325F3"/>
    <w:rsid w:val="007338A2"/>
    <w:rsid w:val="00734B20"/>
    <w:rsid w:val="0073513A"/>
    <w:rsid w:val="007371B3"/>
    <w:rsid w:val="007374F9"/>
    <w:rsid w:val="007376E0"/>
    <w:rsid w:val="0074492F"/>
    <w:rsid w:val="00746381"/>
    <w:rsid w:val="00746A43"/>
    <w:rsid w:val="007532A4"/>
    <w:rsid w:val="00753665"/>
    <w:rsid w:val="00754AB9"/>
    <w:rsid w:val="00760CA4"/>
    <w:rsid w:val="00767C3A"/>
    <w:rsid w:val="00777605"/>
    <w:rsid w:val="00782490"/>
    <w:rsid w:val="00795897"/>
    <w:rsid w:val="007A3F61"/>
    <w:rsid w:val="007A5668"/>
    <w:rsid w:val="007A6A39"/>
    <w:rsid w:val="007A7572"/>
    <w:rsid w:val="007B0EC1"/>
    <w:rsid w:val="007B100A"/>
    <w:rsid w:val="007B21A5"/>
    <w:rsid w:val="007B2AD6"/>
    <w:rsid w:val="007B3938"/>
    <w:rsid w:val="007B591E"/>
    <w:rsid w:val="007C6AEC"/>
    <w:rsid w:val="007D0B68"/>
    <w:rsid w:val="007D1BB5"/>
    <w:rsid w:val="007D29B8"/>
    <w:rsid w:val="007D799D"/>
    <w:rsid w:val="007D7FC3"/>
    <w:rsid w:val="007E199A"/>
    <w:rsid w:val="007F4310"/>
    <w:rsid w:val="007F44F4"/>
    <w:rsid w:val="007F6888"/>
    <w:rsid w:val="007F7DBD"/>
    <w:rsid w:val="00802F0D"/>
    <w:rsid w:val="0081036F"/>
    <w:rsid w:val="0081136A"/>
    <w:rsid w:val="00811B37"/>
    <w:rsid w:val="00813464"/>
    <w:rsid w:val="00814D30"/>
    <w:rsid w:val="00816793"/>
    <w:rsid w:val="00823B55"/>
    <w:rsid w:val="00824B3C"/>
    <w:rsid w:val="00831410"/>
    <w:rsid w:val="00840DAA"/>
    <w:rsid w:val="0084197B"/>
    <w:rsid w:val="0084740A"/>
    <w:rsid w:val="00855225"/>
    <w:rsid w:val="00857878"/>
    <w:rsid w:val="00857E1B"/>
    <w:rsid w:val="00860EFF"/>
    <w:rsid w:val="008634C2"/>
    <w:rsid w:val="00864EEA"/>
    <w:rsid w:val="00865E4F"/>
    <w:rsid w:val="00866663"/>
    <w:rsid w:val="00867AAD"/>
    <w:rsid w:val="00873BE7"/>
    <w:rsid w:val="00874A0E"/>
    <w:rsid w:val="0087706C"/>
    <w:rsid w:val="008810D4"/>
    <w:rsid w:val="00882BA1"/>
    <w:rsid w:val="00886A15"/>
    <w:rsid w:val="008A2249"/>
    <w:rsid w:val="008A51DB"/>
    <w:rsid w:val="008A56A3"/>
    <w:rsid w:val="008A6964"/>
    <w:rsid w:val="008B3E8F"/>
    <w:rsid w:val="008C0056"/>
    <w:rsid w:val="008C21E1"/>
    <w:rsid w:val="008C3F54"/>
    <w:rsid w:val="008D1843"/>
    <w:rsid w:val="008D3A26"/>
    <w:rsid w:val="008D76F6"/>
    <w:rsid w:val="008E6380"/>
    <w:rsid w:val="008F0ED0"/>
    <w:rsid w:val="008F2F17"/>
    <w:rsid w:val="008F2F5C"/>
    <w:rsid w:val="008F3930"/>
    <w:rsid w:val="008F5797"/>
    <w:rsid w:val="009062AE"/>
    <w:rsid w:val="00907928"/>
    <w:rsid w:val="00912A1C"/>
    <w:rsid w:val="00923B0D"/>
    <w:rsid w:val="0092478E"/>
    <w:rsid w:val="00931751"/>
    <w:rsid w:val="00937A11"/>
    <w:rsid w:val="009417F7"/>
    <w:rsid w:val="009426F3"/>
    <w:rsid w:val="00963C9F"/>
    <w:rsid w:val="00963F49"/>
    <w:rsid w:val="0096517C"/>
    <w:rsid w:val="00966619"/>
    <w:rsid w:val="0096703C"/>
    <w:rsid w:val="00972FAD"/>
    <w:rsid w:val="00973117"/>
    <w:rsid w:val="009773F2"/>
    <w:rsid w:val="009873F5"/>
    <w:rsid w:val="00987F03"/>
    <w:rsid w:val="00991526"/>
    <w:rsid w:val="00991DED"/>
    <w:rsid w:val="00997F6C"/>
    <w:rsid w:val="009A0E76"/>
    <w:rsid w:val="009A5BC4"/>
    <w:rsid w:val="009A7A02"/>
    <w:rsid w:val="009B0B6B"/>
    <w:rsid w:val="009B0BC5"/>
    <w:rsid w:val="009B34AC"/>
    <w:rsid w:val="009B4F16"/>
    <w:rsid w:val="009C0703"/>
    <w:rsid w:val="009C38C0"/>
    <w:rsid w:val="009C3CB0"/>
    <w:rsid w:val="009C413F"/>
    <w:rsid w:val="009C4CA6"/>
    <w:rsid w:val="009C56D1"/>
    <w:rsid w:val="009C75A7"/>
    <w:rsid w:val="009D004A"/>
    <w:rsid w:val="009D18C2"/>
    <w:rsid w:val="009D3693"/>
    <w:rsid w:val="009D5A36"/>
    <w:rsid w:val="009E34D5"/>
    <w:rsid w:val="009E4054"/>
    <w:rsid w:val="009E53E8"/>
    <w:rsid w:val="009F4D35"/>
    <w:rsid w:val="009F7A5A"/>
    <w:rsid w:val="00A01DA2"/>
    <w:rsid w:val="00A05331"/>
    <w:rsid w:val="00A070B7"/>
    <w:rsid w:val="00A07270"/>
    <w:rsid w:val="00A13691"/>
    <w:rsid w:val="00A14752"/>
    <w:rsid w:val="00A20333"/>
    <w:rsid w:val="00A2461C"/>
    <w:rsid w:val="00A26D3D"/>
    <w:rsid w:val="00A26F00"/>
    <w:rsid w:val="00A3043E"/>
    <w:rsid w:val="00A36110"/>
    <w:rsid w:val="00A36734"/>
    <w:rsid w:val="00A369AC"/>
    <w:rsid w:val="00A43021"/>
    <w:rsid w:val="00A4461A"/>
    <w:rsid w:val="00A459DE"/>
    <w:rsid w:val="00A50D02"/>
    <w:rsid w:val="00A5508E"/>
    <w:rsid w:val="00A62216"/>
    <w:rsid w:val="00A6280D"/>
    <w:rsid w:val="00A65913"/>
    <w:rsid w:val="00A70A4D"/>
    <w:rsid w:val="00A7229C"/>
    <w:rsid w:val="00A7445E"/>
    <w:rsid w:val="00A74E0F"/>
    <w:rsid w:val="00A8003F"/>
    <w:rsid w:val="00A80E09"/>
    <w:rsid w:val="00A81698"/>
    <w:rsid w:val="00A83DD5"/>
    <w:rsid w:val="00A851E3"/>
    <w:rsid w:val="00A9012A"/>
    <w:rsid w:val="00A93CC5"/>
    <w:rsid w:val="00A93DF6"/>
    <w:rsid w:val="00AA4840"/>
    <w:rsid w:val="00AA7C1B"/>
    <w:rsid w:val="00AB3B75"/>
    <w:rsid w:val="00AC08D2"/>
    <w:rsid w:val="00AC1BEE"/>
    <w:rsid w:val="00AC3E56"/>
    <w:rsid w:val="00AC4BDA"/>
    <w:rsid w:val="00AD0C81"/>
    <w:rsid w:val="00AD1B33"/>
    <w:rsid w:val="00AD24B5"/>
    <w:rsid w:val="00AE1EED"/>
    <w:rsid w:val="00AE3C17"/>
    <w:rsid w:val="00AE68CA"/>
    <w:rsid w:val="00AF14B2"/>
    <w:rsid w:val="00AF2783"/>
    <w:rsid w:val="00AF57B3"/>
    <w:rsid w:val="00AF7F4E"/>
    <w:rsid w:val="00B00EDD"/>
    <w:rsid w:val="00B03914"/>
    <w:rsid w:val="00B04E3B"/>
    <w:rsid w:val="00B10FC9"/>
    <w:rsid w:val="00B11937"/>
    <w:rsid w:val="00B12498"/>
    <w:rsid w:val="00B14460"/>
    <w:rsid w:val="00B21E09"/>
    <w:rsid w:val="00B26C3D"/>
    <w:rsid w:val="00B275AC"/>
    <w:rsid w:val="00B27734"/>
    <w:rsid w:val="00B32201"/>
    <w:rsid w:val="00B366DB"/>
    <w:rsid w:val="00B37667"/>
    <w:rsid w:val="00B44B46"/>
    <w:rsid w:val="00B44BFF"/>
    <w:rsid w:val="00B5117D"/>
    <w:rsid w:val="00B532DB"/>
    <w:rsid w:val="00B545CC"/>
    <w:rsid w:val="00B54794"/>
    <w:rsid w:val="00B57FB6"/>
    <w:rsid w:val="00B63CC7"/>
    <w:rsid w:val="00B72A6C"/>
    <w:rsid w:val="00B72B74"/>
    <w:rsid w:val="00B815AA"/>
    <w:rsid w:val="00B84AFF"/>
    <w:rsid w:val="00B94111"/>
    <w:rsid w:val="00B94F0A"/>
    <w:rsid w:val="00B95926"/>
    <w:rsid w:val="00B95FED"/>
    <w:rsid w:val="00BA083D"/>
    <w:rsid w:val="00BA18F6"/>
    <w:rsid w:val="00BA3731"/>
    <w:rsid w:val="00BA4854"/>
    <w:rsid w:val="00BB2ACB"/>
    <w:rsid w:val="00BD1351"/>
    <w:rsid w:val="00BD5583"/>
    <w:rsid w:val="00BE0FFD"/>
    <w:rsid w:val="00BE13B4"/>
    <w:rsid w:val="00BE2AB7"/>
    <w:rsid w:val="00BE4369"/>
    <w:rsid w:val="00BE4587"/>
    <w:rsid w:val="00BE5400"/>
    <w:rsid w:val="00BE68F3"/>
    <w:rsid w:val="00BF1EBD"/>
    <w:rsid w:val="00BF3528"/>
    <w:rsid w:val="00BF3EC4"/>
    <w:rsid w:val="00BF7294"/>
    <w:rsid w:val="00C01030"/>
    <w:rsid w:val="00C03955"/>
    <w:rsid w:val="00C0460F"/>
    <w:rsid w:val="00C21468"/>
    <w:rsid w:val="00C261DA"/>
    <w:rsid w:val="00C27FFB"/>
    <w:rsid w:val="00C313AC"/>
    <w:rsid w:val="00C405E9"/>
    <w:rsid w:val="00C40E20"/>
    <w:rsid w:val="00C6447C"/>
    <w:rsid w:val="00C702DB"/>
    <w:rsid w:val="00C81264"/>
    <w:rsid w:val="00C83737"/>
    <w:rsid w:val="00C84B60"/>
    <w:rsid w:val="00C91F4E"/>
    <w:rsid w:val="00C920DC"/>
    <w:rsid w:val="00CA3148"/>
    <w:rsid w:val="00CA5864"/>
    <w:rsid w:val="00CB0697"/>
    <w:rsid w:val="00CD0493"/>
    <w:rsid w:val="00CD1F19"/>
    <w:rsid w:val="00CD26D1"/>
    <w:rsid w:val="00CE03A4"/>
    <w:rsid w:val="00CE03C4"/>
    <w:rsid w:val="00CE1816"/>
    <w:rsid w:val="00CE6EEC"/>
    <w:rsid w:val="00CE71A4"/>
    <w:rsid w:val="00CF277F"/>
    <w:rsid w:val="00CF46DC"/>
    <w:rsid w:val="00CF60FD"/>
    <w:rsid w:val="00CF6993"/>
    <w:rsid w:val="00CF78B0"/>
    <w:rsid w:val="00D03812"/>
    <w:rsid w:val="00D03D7C"/>
    <w:rsid w:val="00D045C6"/>
    <w:rsid w:val="00D048F7"/>
    <w:rsid w:val="00D05054"/>
    <w:rsid w:val="00D0648C"/>
    <w:rsid w:val="00D10492"/>
    <w:rsid w:val="00D125F6"/>
    <w:rsid w:val="00D14A5E"/>
    <w:rsid w:val="00D21F38"/>
    <w:rsid w:val="00D238E3"/>
    <w:rsid w:val="00D24119"/>
    <w:rsid w:val="00D241DE"/>
    <w:rsid w:val="00D25219"/>
    <w:rsid w:val="00D2549B"/>
    <w:rsid w:val="00D26A23"/>
    <w:rsid w:val="00D31218"/>
    <w:rsid w:val="00D31FDA"/>
    <w:rsid w:val="00D4055A"/>
    <w:rsid w:val="00D422A0"/>
    <w:rsid w:val="00D4302A"/>
    <w:rsid w:val="00D45D49"/>
    <w:rsid w:val="00D500BB"/>
    <w:rsid w:val="00D52350"/>
    <w:rsid w:val="00D56072"/>
    <w:rsid w:val="00D56910"/>
    <w:rsid w:val="00D56B38"/>
    <w:rsid w:val="00D634E8"/>
    <w:rsid w:val="00D65093"/>
    <w:rsid w:val="00D658D0"/>
    <w:rsid w:val="00D70222"/>
    <w:rsid w:val="00D70F8A"/>
    <w:rsid w:val="00D71EFE"/>
    <w:rsid w:val="00D73EA4"/>
    <w:rsid w:val="00D82891"/>
    <w:rsid w:val="00D8323E"/>
    <w:rsid w:val="00D8583A"/>
    <w:rsid w:val="00D92118"/>
    <w:rsid w:val="00D9287B"/>
    <w:rsid w:val="00D933C7"/>
    <w:rsid w:val="00D96A1E"/>
    <w:rsid w:val="00DA4E2B"/>
    <w:rsid w:val="00DA58C4"/>
    <w:rsid w:val="00DA7A1B"/>
    <w:rsid w:val="00DC1C0B"/>
    <w:rsid w:val="00DC229F"/>
    <w:rsid w:val="00DC5645"/>
    <w:rsid w:val="00DC69D9"/>
    <w:rsid w:val="00DC6A05"/>
    <w:rsid w:val="00DC6BC0"/>
    <w:rsid w:val="00DD32CF"/>
    <w:rsid w:val="00DD3DF5"/>
    <w:rsid w:val="00DD4A34"/>
    <w:rsid w:val="00DE10BD"/>
    <w:rsid w:val="00DE176C"/>
    <w:rsid w:val="00DE2335"/>
    <w:rsid w:val="00DE251A"/>
    <w:rsid w:val="00DE4605"/>
    <w:rsid w:val="00DE5233"/>
    <w:rsid w:val="00DE64B7"/>
    <w:rsid w:val="00DF1DCE"/>
    <w:rsid w:val="00DF408B"/>
    <w:rsid w:val="00E06DC6"/>
    <w:rsid w:val="00E0792F"/>
    <w:rsid w:val="00E148F7"/>
    <w:rsid w:val="00E16D35"/>
    <w:rsid w:val="00E20046"/>
    <w:rsid w:val="00E217E6"/>
    <w:rsid w:val="00E21A5F"/>
    <w:rsid w:val="00E21F96"/>
    <w:rsid w:val="00E2211A"/>
    <w:rsid w:val="00E22C30"/>
    <w:rsid w:val="00E24280"/>
    <w:rsid w:val="00E255B8"/>
    <w:rsid w:val="00E32512"/>
    <w:rsid w:val="00E326D6"/>
    <w:rsid w:val="00E32F69"/>
    <w:rsid w:val="00E359C1"/>
    <w:rsid w:val="00E36FA9"/>
    <w:rsid w:val="00E419B6"/>
    <w:rsid w:val="00E43E0C"/>
    <w:rsid w:val="00E47E48"/>
    <w:rsid w:val="00E50054"/>
    <w:rsid w:val="00E53D3D"/>
    <w:rsid w:val="00E55A0E"/>
    <w:rsid w:val="00E56D6D"/>
    <w:rsid w:val="00E570C0"/>
    <w:rsid w:val="00E57ACE"/>
    <w:rsid w:val="00E61856"/>
    <w:rsid w:val="00E65C22"/>
    <w:rsid w:val="00E73C9C"/>
    <w:rsid w:val="00E7418D"/>
    <w:rsid w:val="00E754A5"/>
    <w:rsid w:val="00E80980"/>
    <w:rsid w:val="00E81981"/>
    <w:rsid w:val="00E82EEB"/>
    <w:rsid w:val="00E8392F"/>
    <w:rsid w:val="00E85606"/>
    <w:rsid w:val="00E90BC7"/>
    <w:rsid w:val="00E94087"/>
    <w:rsid w:val="00E96FB9"/>
    <w:rsid w:val="00E97F1F"/>
    <w:rsid w:val="00EA04CB"/>
    <w:rsid w:val="00EA2C32"/>
    <w:rsid w:val="00EA5537"/>
    <w:rsid w:val="00EB576C"/>
    <w:rsid w:val="00EB66D9"/>
    <w:rsid w:val="00EB6B00"/>
    <w:rsid w:val="00EB6B22"/>
    <w:rsid w:val="00EC316B"/>
    <w:rsid w:val="00ED1D58"/>
    <w:rsid w:val="00ED2051"/>
    <w:rsid w:val="00ED538C"/>
    <w:rsid w:val="00EE3512"/>
    <w:rsid w:val="00EE49FB"/>
    <w:rsid w:val="00EF44B8"/>
    <w:rsid w:val="00F01D0D"/>
    <w:rsid w:val="00F01D6B"/>
    <w:rsid w:val="00F0241D"/>
    <w:rsid w:val="00F06BC4"/>
    <w:rsid w:val="00F10A19"/>
    <w:rsid w:val="00F11DE4"/>
    <w:rsid w:val="00F134E9"/>
    <w:rsid w:val="00F154E4"/>
    <w:rsid w:val="00F2332D"/>
    <w:rsid w:val="00F23CF8"/>
    <w:rsid w:val="00F2586E"/>
    <w:rsid w:val="00F32D7A"/>
    <w:rsid w:val="00F40820"/>
    <w:rsid w:val="00F40DA7"/>
    <w:rsid w:val="00F41DB1"/>
    <w:rsid w:val="00F43668"/>
    <w:rsid w:val="00F4374D"/>
    <w:rsid w:val="00F50937"/>
    <w:rsid w:val="00F544BD"/>
    <w:rsid w:val="00F54586"/>
    <w:rsid w:val="00F5677E"/>
    <w:rsid w:val="00F61B23"/>
    <w:rsid w:val="00F627D7"/>
    <w:rsid w:val="00F63A24"/>
    <w:rsid w:val="00F70446"/>
    <w:rsid w:val="00F739F5"/>
    <w:rsid w:val="00F76AA6"/>
    <w:rsid w:val="00F81D28"/>
    <w:rsid w:val="00F8257B"/>
    <w:rsid w:val="00F93590"/>
    <w:rsid w:val="00F97459"/>
    <w:rsid w:val="00F97B7E"/>
    <w:rsid w:val="00FA19F4"/>
    <w:rsid w:val="00FA5DA5"/>
    <w:rsid w:val="00FC25C0"/>
    <w:rsid w:val="00FC5299"/>
    <w:rsid w:val="00FD1FBC"/>
    <w:rsid w:val="00FD6456"/>
    <w:rsid w:val="00FD7BD3"/>
    <w:rsid w:val="00FF23F5"/>
    <w:rsid w:val="00FF3FB5"/>
    <w:rsid w:val="00FF53A9"/>
    <w:rsid w:val="00FF7A18"/>
    <w:rsid w:val="00FF7C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1A"/>
    <w:pPr>
      <w:spacing w:after="120" w:line="276" w:lineRule="auto"/>
    </w:pPr>
    <w:rPr>
      <w:sz w:val="18"/>
      <w:szCs w:val="18"/>
    </w:rPr>
  </w:style>
  <w:style w:type="paragraph" w:styleId="Heading1">
    <w:name w:val="heading 1"/>
    <w:basedOn w:val="Normal"/>
    <w:next w:val="Normal"/>
    <w:link w:val="Heading1Char"/>
    <w:uiPriority w:val="9"/>
    <w:qFormat/>
    <w:rsid w:val="00F97B7E"/>
    <w:pPr>
      <w:keepNext/>
      <w:keepLines/>
      <w:spacing w:before="240" w:after="0"/>
      <w:outlineLvl w:val="0"/>
    </w:pPr>
    <w:rPr>
      <w:rFonts w:asciiTheme="majorHAnsi" w:eastAsiaTheme="majorEastAsia" w:hAnsiTheme="majorHAnsi" w:cstheme="majorBidi"/>
      <w:b/>
      <w:color w:val="4B0885" w:themeColor="text2"/>
      <w:sz w:val="56"/>
      <w:szCs w:val="32"/>
    </w:rPr>
  </w:style>
  <w:style w:type="paragraph" w:styleId="Heading2">
    <w:name w:val="heading 2"/>
    <w:basedOn w:val="Normal"/>
    <w:next w:val="Normal"/>
    <w:link w:val="Heading2Char"/>
    <w:uiPriority w:val="9"/>
    <w:unhideWhenUsed/>
    <w:qFormat/>
    <w:rsid w:val="001F36D6"/>
    <w:pPr>
      <w:keepNext/>
      <w:keepLines/>
      <w:spacing w:before="2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4420E5"/>
    <w:pPr>
      <w:keepNext/>
      <w:keepLines/>
      <w:spacing w:before="120" w:after="160"/>
      <w:outlineLvl w:val="2"/>
    </w:pPr>
    <w:rPr>
      <w:rFonts w:asciiTheme="majorHAnsi" w:eastAsiaTheme="majorEastAsia" w:hAnsiTheme="majorHAnsi" w:cstheme="majorBidi"/>
      <w:b/>
      <w:color w:val="012749"/>
      <w:sz w:val="28"/>
      <w:szCs w:val="28"/>
    </w:rPr>
  </w:style>
  <w:style w:type="paragraph" w:styleId="Heading4">
    <w:name w:val="heading 4"/>
    <w:basedOn w:val="Normal"/>
    <w:next w:val="Normal"/>
    <w:link w:val="Heading4Char"/>
    <w:uiPriority w:val="9"/>
    <w:unhideWhenUsed/>
    <w:qFormat/>
    <w:rsid w:val="009C38C0"/>
    <w:pPr>
      <w:spacing w:before="580" w:after="300"/>
      <w:outlineLvl w:val="3"/>
    </w:pPr>
    <w:rPr>
      <w:rFonts w:asciiTheme="majorHAnsi" w:hAnsiTheme="majorHAnsi" w:cs="Arial"/>
      <w:b/>
      <w:bCs/>
      <w:color w:val="4B0985"/>
      <w:sz w:val="24"/>
      <w:szCs w:val="24"/>
    </w:rPr>
  </w:style>
  <w:style w:type="paragraph" w:styleId="Heading5">
    <w:name w:val="heading 5"/>
    <w:basedOn w:val="Normal"/>
    <w:next w:val="Normal"/>
    <w:link w:val="Heading5Char"/>
    <w:uiPriority w:val="9"/>
    <w:unhideWhenUsed/>
    <w:qFormat/>
    <w:rsid w:val="00F01D6B"/>
    <w:pPr>
      <w:spacing w:before="240" w:after="0"/>
      <w:outlineLvl w:val="4"/>
    </w:pPr>
    <w:rPr>
      <w:rFonts w:asciiTheme="majorHAnsi" w:hAnsiTheme="majorHAnsi" w:cs="Arial"/>
      <w:color w:val="4B0885" w:themeColor="text2"/>
      <w:sz w:val="19"/>
      <w:szCs w:val="19"/>
    </w:rPr>
  </w:style>
  <w:style w:type="paragraph" w:styleId="Heading6">
    <w:name w:val="heading 6"/>
    <w:basedOn w:val="Normal"/>
    <w:next w:val="Normal"/>
    <w:link w:val="Heading6Char"/>
    <w:uiPriority w:val="9"/>
    <w:unhideWhenUsed/>
    <w:qFormat/>
    <w:rsid w:val="00F01D6B"/>
    <w:pPr>
      <w:keepNext/>
      <w:keepLines/>
      <w:spacing w:before="240" w:after="0"/>
      <w:outlineLvl w:val="5"/>
    </w:pPr>
    <w:rPr>
      <w:rFonts w:asciiTheme="majorHAnsi" w:eastAsiaTheme="majorEastAsia" w:hAnsiTheme="majorHAnsi"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F97B7E"/>
    <w:rPr>
      <w:rFonts w:asciiTheme="majorHAnsi" w:eastAsiaTheme="majorEastAsia" w:hAnsiTheme="majorHAnsi"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A62216"/>
    <w:pPr>
      <w:spacing w:after="0" w:line="240" w:lineRule="auto"/>
    </w:p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795897"/>
    <w:pPr>
      <w:numPr>
        <w:numId w:val="7"/>
      </w:numPr>
      <w:spacing w:before="40" w:after="20"/>
      <w:ind w:left="284" w:hanging="284"/>
    </w:pPr>
    <w:rPr>
      <w:rFonts w:eastAsia="SimSun" w:cs="Times New Roman"/>
      <w:szCs w:val="20"/>
      <w:lang w:val="en-GB" w:eastAsia="en-GB"/>
    </w:rPr>
  </w:style>
  <w:style w:type="character" w:customStyle="1" w:styleId="Heading2Char">
    <w:name w:val="Heading 2 Char"/>
    <w:basedOn w:val="DefaultParagraphFont"/>
    <w:link w:val="Heading2"/>
    <w:uiPriority w:val="9"/>
    <w:rsid w:val="001F36D6"/>
    <w:rPr>
      <w:rFonts w:asciiTheme="majorHAnsi" w:eastAsiaTheme="majorEastAsia" w:hAnsiTheme="majorHAnsi"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4420E5"/>
    <w:rPr>
      <w:rFonts w:asciiTheme="majorHAnsi" w:eastAsiaTheme="majorEastAsia" w:hAnsiTheme="majorHAnsi" w:cstheme="majorBidi"/>
      <w:b/>
      <w:color w:val="012749"/>
      <w:sz w:val="28"/>
      <w:szCs w:val="28"/>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795897"/>
    <w:pPr>
      <w:numPr>
        <w:ilvl w:val="1"/>
        <w:numId w:val="7"/>
      </w:numPr>
      <w:spacing w:after="6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9C38C0"/>
    <w:rPr>
      <w:rFonts w:asciiTheme="majorHAnsi" w:hAnsiTheme="majorHAnsi" w:cs="Arial"/>
      <w:b/>
      <w:bCs/>
      <w:color w:val="4B0985"/>
      <w:sz w:val="24"/>
      <w:szCs w:val="24"/>
    </w:rPr>
  </w:style>
  <w:style w:type="character" w:customStyle="1" w:styleId="Heading5Char">
    <w:name w:val="Heading 5 Char"/>
    <w:basedOn w:val="DefaultParagraphFont"/>
    <w:link w:val="Heading5"/>
    <w:uiPriority w:val="9"/>
    <w:rsid w:val="00F01D6B"/>
    <w:rPr>
      <w:rFonts w:asciiTheme="majorHAnsi" w:hAnsiTheme="majorHAnsi" w:cs="Arial"/>
      <w:color w:val="4B0885" w:themeColor="text2"/>
      <w:sz w:val="19"/>
      <w:szCs w:val="19"/>
    </w:rPr>
  </w:style>
  <w:style w:type="character" w:customStyle="1" w:styleId="Heading6Char">
    <w:name w:val="Heading 6 Char"/>
    <w:basedOn w:val="DefaultParagraphFont"/>
    <w:link w:val="Heading6"/>
    <w:uiPriority w:val="9"/>
    <w:rsid w:val="00F01D6B"/>
    <w:rPr>
      <w:rFonts w:asciiTheme="majorHAnsi" w:eastAsiaTheme="majorEastAsia" w:hAnsiTheme="majorHAnsi"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EA5537"/>
    <w:pPr>
      <w:keepNext/>
      <w:spacing w:before="320" w:after="240" w:line="240" w:lineRule="auto"/>
    </w:pPr>
    <w:rPr>
      <w:rFonts w:eastAsia="Aptos" w:cs="Aptos"/>
      <w:b/>
      <w:bCs/>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next w:val="Normal"/>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9C0703"/>
    <w:pPr>
      <w:spacing w:line="240" w:lineRule="auto"/>
    </w:pPr>
    <w:rPr>
      <w:sz w:val="16"/>
      <w:szCs w:val="16"/>
      <w:lang w:eastAsia="en-GB"/>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9C56D1"/>
    <w:rPr>
      <w:b/>
      <w:i/>
    </w:rPr>
  </w:style>
  <w:style w:type="paragraph" w:styleId="ListNumber">
    <w:name w:val="List Number"/>
    <w:basedOn w:val="Normal"/>
    <w:uiPriority w:val="99"/>
    <w:unhideWhenUsed/>
    <w:rsid w:val="004B09C1"/>
    <w:pPr>
      <w:numPr>
        <w:numId w:val="16"/>
      </w:numPr>
      <w:contextualSpacing/>
    </w:pPr>
  </w:style>
  <w:style w:type="paragraph" w:styleId="ListNumber2">
    <w:name w:val="List Number 2"/>
    <w:basedOn w:val="Normal"/>
    <w:uiPriority w:val="99"/>
    <w:unhideWhenUsed/>
    <w:rsid w:val="004B09C1"/>
    <w:pPr>
      <w:numPr>
        <w:numId w:val="17"/>
      </w:numPr>
      <w:contextualSpacing/>
    </w:pPr>
  </w:style>
  <w:style w:type="character" w:styleId="FootnoteReference">
    <w:name w:val="footnote reference"/>
    <w:basedOn w:val="DefaultParagraphFont"/>
    <w:uiPriority w:val="99"/>
    <w:unhideWhenUsed/>
    <w:rsid w:val="004B09C1"/>
    <w:rPr>
      <w:vertAlign w:val="superscript"/>
    </w:rPr>
  </w:style>
  <w:style w:type="paragraph" w:styleId="FootnoteText">
    <w:name w:val="footnote text"/>
    <w:basedOn w:val="Normal"/>
    <w:link w:val="FootnoteTextChar"/>
    <w:uiPriority w:val="99"/>
    <w:unhideWhenUsed/>
    <w:rsid w:val="00105D29"/>
    <w:pPr>
      <w:spacing w:after="0" w:line="240" w:lineRule="auto"/>
    </w:pPr>
    <w:rPr>
      <w:sz w:val="12"/>
      <w:szCs w:val="12"/>
    </w:rPr>
  </w:style>
  <w:style w:type="character" w:customStyle="1" w:styleId="FootnoteTextChar">
    <w:name w:val="Footnote Text Char"/>
    <w:basedOn w:val="DefaultParagraphFont"/>
    <w:link w:val="FootnoteText"/>
    <w:uiPriority w:val="99"/>
    <w:rsid w:val="00105D29"/>
    <w:rPr>
      <w:sz w:val="12"/>
      <w:szCs w:val="12"/>
    </w:rPr>
  </w:style>
  <w:style w:type="table" w:customStyle="1" w:styleId="IVISummarySheet">
    <w:name w:val="IVI Summary Sheet"/>
    <w:basedOn w:val="TableNormal"/>
    <w:uiPriority w:val="99"/>
    <w:rsid w:val="00560872"/>
    <w:pPr>
      <w:spacing w:after="0" w:line="240" w:lineRule="auto"/>
      <w:jc w:val="right"/>
    </w:pPr>
    <w:tblPr>
      <w:tblStyleRowBandSize w:val="1"/>
      <w:tblBorders>
        <w:top w:val="single" w:sz="4" w:space="0" w:color="7F7F7F"/>
        <w:left w:val="single" w:sz="4" w:space="0" w:color="7F7F7F"/>
        <w:bottom w:val="single" w:sz="4" w:space="0" w:color="7F7F7F"/>
        <w:right w:val="single" w:sz="4" w:space="0" w:color="7F7F7F"/>
        <w:insideV w:val="single" w:sz="4" w:space="0" w:color="7F7F7F"/>
      </w:tblBorders>
    </w:tblPr>
    <w:tcPr>
      <w:vAlign w:val="center"/>
    </w:tcPr>
    <w:tblStylePr w:type="firstRow">
      <w:pPr>
        <w:jc w:val="right"/>
      </w:pPr>
      <w:rPr>
        <w:b/>
        <w:color w:val="FFFFFF" w:themeColor="background1"/>
      </w:rPr>
      <w:tblPr/>
      <w:tcPr>
        <w:tcBorders>
          <w:left w:val="nil"/>
          <w:right w:val="nil"/>
          <w:insideV w:val="nil"/>
        </w:tcBorders>
        <w:shd w:val="clear" w:color="auto" w:fill="2C054E"/>
        <w:vAlign w:val="bottom"/>
      </w:tcPr>
    </w:tblStylePr>
    <w:tblStylePr w:type="firstCol">
      <w:pPr>
        <w:jc w:val="left"/>
      </w:pPr>
    </w:tblStylePr>
    <w:tblStylePr w:type="band1Horz">
      <w:tblPr/>
      <w:tcPr>
        <w:shd w:val="clear" w:color="auto" w:fill="F1F4F9"/>
      </w:tcPr>
    </w:tblStylePr>
    <w:tblStylePr w:type="band2Horz">
      <w:tblPr/>
      <w:tcPr>
        <w:shd w:val="clear" w:color="auto" w:fill="FFFFFF" w:themeFill="background1"/>
      </w:tcPr>
    </w:tblStylePr>
  </w:style>
  <w:style w:type="table" w:styleId="TableGridLight">
    <w:name w:val="Grid Table Light"/>
    <w:basedOn w:val="TableNormal"/>
    <w:uiPriority w:val="40"/>
    <w:rsid w:val="00DA58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IVISummarySheet"/>
    <w:uiPriority w:val="99"/>
    <w:rsid w:val="0074492F"/>
    <w:tblPr/>
    <w:tblStylePr w:type="firstRow">
      <w:pPr>
        <w:jc w:val="right"/>
      </w:pPr>
      <w:rPr>
        <w:b w:val="0"/>
        <w:color w:val="FFFFFF" w:themeColor="background1"/>
        <w:sz w:val="2"/>
      </w:rPr>
      <w:tblPr/>
      <w:tcPr>
        <w:tcBorders>
          <w:top w:val="nil"/>
          <w:left w:val="nil"/>
          <w:bottom w:val="single" w:sz="4" w:space="0" w:color="7F7F7F"/>
          <w:right w:val="nil"/>
          <w:insideH w:val="nil"/>
          <w:insideV w:val="nil"/>
          <w:tl2br w:val="nil"/>
          <w:tr2bl w:val="nil"/>
        </w:tcBorders>
        <w:shd w:val="clear" w:color="auto" w:fill="FFFFFF" w:themeFill="background1"/>
        <w:vAlign w:val="bottom"/>
      </w:tcPr>
    </w:tblStylePr>
    <w:tblStylePr w:type="firstCol">
      <w:pPr>
        <w:jc w:val="left"/>
      </w:pPr>
    </w:tblStylePr>
    <w:tblStylePr w:type="band1Horz">
      <w:tblPr/>
      <w:tcPr>
        <w:shd w:val="clear" w:color="auto" w:fill="F1F4F9"/>
      </w:tcPr>
    </w:tblStylePr>
    <w:tblStylePr w:type="band2Horz">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334394">
      <w:bodyDiv w:val="1"/>
      <w:marLeft w:val="0"/>
      <w:marRight w:val="0"/>
      <w:marTop w:val="0"/>
      <w:marBottom w:val="0"/>
      <w:divBdr>
        <w:top w:val="none" w:sz="0" w:space="0" w:color="auto"/>
        <w:left w:val="none" w:sz="0" w:space="0" w:color="auto"/>
        <w:bottom w:val="none" w:sz="0" w:space="0" w:color="auto"/>
        <w:right w:val="none" w:sz="0" w:space="0" w:color="auto"/>
      </w:divBdr>
    </w:div>
    <w:div w:id="865950480">
      <w:bodyDiv w:val="1"/>
      <w:marLeft w:val="0"/>
      <w:marRight w:val="0"/>
      <w:marTop w:val="0"/>
      <w:marBottom w:val="0"/>
      <w:divBdr>
        <w:top w:val="none" w:sz="0" w:space="0" w:color="auto"/>
        <w:left w:val="none" w:sz="0" w:space="0" w:color="auto"/>
        <w:bottom w:val="none" w:sz="0" w:space="0" w:color="auto"/>
        <w:right w:val="none" w:sz="0" w:space="0" w:color="auto"/>
      </w:divBdr>
    </w:div>
    <w:div w:id="867451769">
      <w:bodyDiv w:val="1"/>
      <w:marLeft w:val="0"/>
      <w:marRight w:val="0"/>
      <w:marTop w:val="0"/>
      <w:marBottom w:val="0"/>
      <w:divBdr>
        <w:top w:val="none" w:sz="0" w:space="0" w:color="auto"/>
        <w:left w:val="none" w:sz="0" w:space="0" w:color="auto"/>
        <w:bottom w:val="none" w:sz="0" w:space="0" w:color="auto"/>
        <w:right w:val="none" w:sz="0" w:space="0" w:color="auto"/>
      </w:divBdr>
    </w:div>
    <w:div w:id="1505318704">
      <w:bodyDiv w:val="1"/>
      <w:marLeft w:val="0"/>
      <w:marRight w:val="0"/>
      <w:marTop w:val="0"/>
      <w:marBottom w:val="0"/>
      <w:divBdr>
        <w:top w:val="none" w:sz="0" w:space="0" w:color="auto"/>
        <w:left w:val="none" w:sz="0" w:space="0" w:color="auto"/>
        <w:bottom w:val="none" w:sz="0" w:space="0" w:color="auto"/>
        <w:right w:val="none" w:sz="0" w:space="0" w:color="auto"/>
      </w:divBdr>
    </w:div>
    <w:div w:id="1664355830">
      <w:bodyDiv w:val="1"/>
      <w:marLeft w:val="0"/>
      <w:marRight w:val="0"/>
      <w:marTop w:val="0"/>
      <w:marBottom w:val="0"/>
      <w:divBdr>
        <w:top w:val="none" w:sz="0" w:space="0" w:color="auto"/>
        <w:left w:val="none" w:sz="0" w:space="0" w:color="auto"/>
        <w:bottom w:val="none" w:sz="0" w:space="0" w:color="auto"/>
        <w:right w:val="none" w:sz="0" w:space="0" w:color="auto"/>
      </w:divBdr>
    </w:div>
    <w:div w:id="1898853904">
      <w:bodyDiv w:val="1"/>
      <w:marLeft w:val="0"/>
      <w:marRight w:val="0"/>
      <w:marTop w:val="0"/>
      <w:marBottom w:val="0"/>
      <w:divBdr>
        <w:top w:val="none" w:sz="0" w:space="0" w:color="auto"/>
        <w:left w:val="none" w:sz="0" w:space="0" w:color="auto"/>
        <w:bottom w:val="none" w:sz="0" w:space="0" w:color="auto"/>
        <w:right w:val="none" w:sz="0" w:space="0" w:color="auto"/>
      </w:divBdr>
    </w:div>
    <w:div w:id="1913470334">
      <w:bodyDiv w:val="1"/>
      <w:marLeft w:val="0"/>
      <w:marRight w:val="0"/>
      <w:marTop w:val="0"/>
      <w:marBottom w:val="0"/>
      <w:divBdr>
        <w:top w:val="none" w:sz="0" w:space="0" w:color="auto"/>
        <w:left w:val="none" w:sz="0" w:space="0" w:color="auto"/>
        <w:bottom w:val="none" w:sz="0" w:space="0" w:color="auto"/>
        <w:right w:val="none" w:sz="0" w:space="0" w:color="auto"/>
      </w:divBdr>
    </w:div>
    <w:div w:id="192953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svg"/></Relationship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1288</Words>
  <Characters>6976</Characters>
  <Application>Microsoft Office Word</Application>
  <DocSecurity>0</DocSecurity>
  <Lines>295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2025-11-20T00:03:00Z</dcterms:created>
  <dcterms:modified xsi:type="dcterms:W3CDTF">2025-11-20T00:05:00Z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2025-11-20T00:04:00Z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9d30ce7b-31a8-4755-8693-7e450c0cdb1a</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