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52B4" w14:textId="5BB69EBB" w:rsidR="00665863" w:rsidRDefault="00665863" w:rsidP="00B11937">
      <w:pPr>
        <w:rPr>
          <w:noProof/>
        </w:rPr>
      </w:pPr>
      <w:bookmarkStart w:id="0" w:name="_Hlk205565405"/>
      <w:bookmarkStart w:id="1" w:name="_Toc118443202"/>
      <w:bookmarkStart w:id="2" w:name="_Toc119418020"/>
      <w:bookmarkEnd w:id="0"/>
    </w:p>
    <w:p w14:paraId="01804EBB" w14:textId="5F4EEA09" w:rsidR="00665863" w:rsidRDefault="00665863" w:rsidP="00B11937">
      <w:pPr>
        <w:rPr>
          <w:noProof/>
        </w:rPr>
      </w:pPr>
    </w:p>
    <w:p w14:paraId="4BCC52F1" w14:textId="3FC9C460" w:rsidR="003E0B70" w:rsidRPr="00B11937" w:rsidRDefault="00093F7D" w:rsidP="00B11937">
      <w:r>
        <w:rPr>
          <w:noProof/>
        </w:rPr>
        <w:drawing>
          <wp:anchor distT="0" distB="0" distL="114300" distR="114300" simplePos="0" relativeHeight="251637760" behindDoc="0" locked="0" layoutInCell="1" allowOverlap="1" wp14:anchorId="0CBAD37C" wp14:editId="621E7C2B">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7E5FAF60" w:rsidR="004F2369" w:rsidRDefault="00EE1C42" w:rsidP="00665863">
      <w:pPr>
        <w:pStyle w:val="Heading1"/>
        <w:keepNext w:val="0"/>
      </w:pPr>
      <w:sdt>
        <w:sdt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F367BE">
            <w:t>RLMI Re</w:t>
          </w:r>
          <w:r w:rsidR="00FA030B">
            <w:t>sults</w:t>
          </w:r>
          <w:r w:rsidR="00E531E7">
            <w:t xml:space="preserve"> – </w:t>
          </w:r>
          <w:r w:rsidR="001954A5">
            <w:t>September</w:t>
          </w:r>
          <w:r w:rsidR="005240E7">
            <w:t xml:space="preserve"> 2025</w:t>
          </w:r>
        </w:sdtContent>
      </w:sdt>
    </w:p>
    <w:p w14:paraId="24281DA5" w14:textId="4858B735" w:rsidR="00DC6534" w:rsidRDefault="00DE597E" w:rsidP="00665863">
      <w:pPr>
        <w:pStyle w:val="Heading2"/>
        <w:keepNext w:val="0"/>
      </w:pPr>
      <w:r>
        <w:t>Key Findings</w:t>
      </w:r>
    </w:p>
    <w:p w14:paraId="1F68669A" w14:textId="5FC811A6" w:rsidR="005F0409" w:rsidRPr="000A57AC" w:rsidRDefault="00523A10" w:rsidP="00CC32B2">
      <w:pPr>
        <w:pStyle w:val="ListParagraph"/>
        <w:numPr>
          <w:ilvl w:val="0"/>
          <w:numId w:val="35"/>
        </w:numPr>
      </w:pPr>
      <w:r w:rsidRPr="000A57AC">
        <w:t>R</w:t>
      </w:r>
      <w:r w:rsidR="00CF49DF" w:rsidRPr="000A57AC">
        <w:t xml:space="preserve">egional and remote areas </w:t>
      </w:r>
      <w:r w:rsidR="002F36BC" w:rsidRPr="000A57AC">
        <w:t xml:space="preserve">continue to be </w:t>
      </w:r>
      <w:r w:rsidR="00CF49DF" w:rsidRPr="000A57AC">
        <w:t xml:space="preserve">more likely to experience </w:t>
      </w:r>
      <w:r w:rsidR="00755ADC" w:rsidRPr="000A57AC">
        <w:t xml:space="preserve">relatively </w:t>
      </w:r>
      <w:r w:rsidR="00CF49DF" w:rsidRPr="000A57AC">
        <w:t xml:space="preserve">weaker labour market conditions than their </w:t>
      </w:r>
      <w:r w:rsidR="009564A5" w:rsidRPr="000A57AC">
        <w:t>major</w:t>
      </w:r>
      <w:r w:rsidR="00CF49DF" w:rsidRPr="000A57AC">
        <w:t xml:space="preserve"> city counterparts. </w:t>
      </w:r>
    </w:p>
    <w:p w14:paraId="34457DF9" w14:textId="77777777" w:rsidR="000D07A8" w:rsidRDefault="000D07A8" w:rsidP="009564A5">
      <w:pPr>
        <w:pStyle w:val="ListParagraph"/>
        <w:numPr>
          <w:ilvl w:val="0"/>
          <w:numId w:val="35"/>
        </w:numPr>
      </w:pPr>
      <w:r w:rsidRPr="000D07A8">
        <w:t>Highlighting the strength of many metropolitan regions are current strong conditions in Greater Adelaide, where overall conditions are strong despite persistent challenges in parts of the region.</w:t>
      </w:r>
    </w:p>
    <w:p w14:paraId="05D074E8" w14:textId="006B6D1C" w:rsidR="007E2E53" w:rsidRPr="000A57AC" w:rsidRDefault="000A57AC" w:rsidP="009564A5">
      <w:pPr>
        <w:pStyle w:val="ListParagraph"/>
        <w:numPr>
          <w:ilvl w:val="0"/>
          <w:numId w:val="35"/>
        </w:numPr>
      </w:pPr>
      <w:r w:rsidRPr="000A57AC">
        <w:t xml:space="preserve">Analysis of JSA’s landmark </w:t>
      </w:r>
      <w:hyperlink r:id="rId13" w:history="1">
        <w:r w:rsidRPr="00F147DF">
          <w:rPr>
            <w:rStyle w:val="Hyperlink"/>
          </w:rPr>
          <w:t>Generative AI Capacity Study</w:t>
        </w:r>
      </w:hyperlink>
      <w:r w:rsidRPr="000A57AC">
        <w:t xml:space="preserve"> alongside RLMI data shows that exposure to Gen AI is highest in stronger performing labour markets in major cities. </w:t>
      </w:r>
    </w:p>
    <w:p w14:paraId="329F06EE" w14:textId="77777777" w:rsidR="00CC68E9" w:rsidRPr="00A070B7" w:rsidRDefault="00CC68E9" w:rsidP="00CC68E9">
      <w:pPr>
        <w:pStyle w:val="Heading3"/>
        <w:keepNext w:val="0"/>
        <w:keepLines w:val="0"/>
      </w:pPr>
      <w:r>
        <w:t>Labour market challenges are more pronounced in many regional areas</w:t>
      </w:r>
    </w:p>
    <w:p w14:paraId="68BF35B5" w14:textId="6EAA5D5C" w:rsidR="00897E41" w:rsidRDefault="00CD452F" w:rsidP="00582B5D">
      <w:pPr>
        <w:pStyle w:val="Bodycopy"/>
      </w:pPr>
      <w:r>
        <w:t xml:space="preserve">The </w:t>
      </w:r>
      <w:r w:rsidR="001954A5">
        <w:t>September</w:t>
      </w:r>
      <w:r w:rsidR="005240E7">
        <w:t xml:space="preserve"> 2025</w:t>
      </w:r>
      <w:r>
        <w:t xml:space="preserve"> RLMI results </w:t>
      </w:r>
      <w:r w:rsidR="00036C69">
        <w:t xml:space="preserve">continue to show </w:t>
      </w:r>
      <w:r>
        <w:t xml:space="preserve">that regional and remote </w:t>
      </w:r>
      <w:r w:rsidR="007D3239">
        <w:t xml:space="preserve">areas </w:t>
      </w:r>
      <w:r>
        <w:t xml:space="preserve">are more likely to experience weaker labour market conditions than their </w:t>
      </w:r>
      <w:r w:rsidR="00EB66A5">
        <w:t>major</w:t>
      </w:r>
      <w:r>
        <w:t xml:space="preserve"> city counterparts, highlight</w:t>
      </w:r>
      <w:r w:rsidR="00B15249">
        <w:t>ing</w:t>
      </w:r>
      <w:r>
        <w:t xml:space="preserve"> the additional challenges face</w:t>
      </w:r>
      <w:r w:rsidR="007D3239">
        <w:t>d</w:t>
      </w:r>
      <w:r>
        <w:t xml:space="preserve"> in many region</w:t>
      </w:r>
      <w:r w:rsidR="007D3239">
        <w:t>al</w:t>
      </w:r>
      <w:r>
        <w:t xml:space="preserve"> areas by both employers and jobseekers (see Chart </w:t>
      </w:r>
      <w:r w:rsidR="0033423B">
        <w:t>1</w:t>
      </w:r>
      <w:r w:rsidR="00FD3BD4">
        <w:t>, below</w:t>
      </w:r>
      <w:r>
        <w:t xml:space="preserve">). </w:t>
      </w:r>
    </w:p>
    <w:p w14:paraId="55856B84" w14:textId="79B4A0E8" w:rsidR="005D78A7" w:rsidRDefault="001954A5" w:rsidP="00582B5D">
      <w:pPr>
        <w:pStyle w:val="Bodycopy"/>
        <w:numPr>
          <w:ilvl w:val="0"/>
          <w:numId w:val="31"/>
        </w:numPr>
      </w:pPr>
      <w:r>
        <w:t>A</w:t>
      </w:r>
      <w:r w:rsidR="00E93E9B">
        <w:t>lmost</w:t>
      </w:r>
      <w:r>
        <w:t xml:space="preserve"> h</w:t>
      </w:r>
      <w:r w:rsidR="00D2244E">
        <w:t>alf of the SA4’s (1</w:t>
      </w:r>
      <w:r w:rsidR="00E93E9B">
        <w:t>7</w:t>
      </w:r>
      <w:r w:rsidR="00D2244E">
        <w:t xml:space="preserve"> out of</w:t>
      </w:r>
      <w:r>
        <w:t xml:space="preserve"> 37</w:t>
      </w:r>
      <w:r w:rsidR="00D2244E">
        <w:t xml:space="preserve">) located in regional areas were rated either ‘below average’ or ‘poor’ in </w:t>
      </w:r>
      <w:r>
        <w:t>September</w:t>
      </w:r>
      <w:r w:rsidR="00DF46C2">
        <w:t xml:space="preserve"> 2025, while </w:t>
      </w:r>
      <w:r w:rsidR="00D2244E">
        <w:t xml:space="preserve">all </w:t>
      </w:r>
      <w:r w:rsidR="00AA311A">
        <w:t>six</w:t>
      </w:r>
      <w:r w:rsidR="00D2244E">
        <w:t xml:space="preserve"> (or 100%) remote areas were rated either ‘below average’ or ‘poor’</w:t>
      </w:r>
      <w:r w:rsidR="00DF46C2">
        <w:t xml:space="preserve">. </w:t>
      </w:r>
    </w:p>
    <w:p w14:paraId="70702A80" w14:textId="59B9E399" w:rsidR="00D2244E" w:rsidRDefault="001954A5" w:rsidP="00582B5D">
      <w:pPr>
        <w:pStyle w:val="Bodycopy"/>
        <w:numPr>
          <w:ilvl w:val="0"/>
          <w:numId w:val="31"/>
        </w:numPr>
      </w:pPr>
      <w:r>
        <w:t>T</w:t>
      </w:r>
      <w:r w:rsidR="00DF46C2">
        <w:t>wo-thirds of the SA4’s (</w:t>
      </w:r>
      <w:r>
        <w:t>29</w:t>
      </w:r>
      <w:r w:rsidR="00DF46C2">
        <w:t xml:space="preserve"> out of 44) located in major city areas were rated either ‘strong’ or ‘above average’ in </w:t>
      </w:r>
      <w:r>
        <w:t>September</w:t>
      </w:r>
      <w:r w:rsidR="00DF46C2">
        <w:t xml:space="preserve"> 2025. </w:t>
      </w:r>
    </w:p>
    <w:p w14:paraId="7004A699" w14:textId="586923A8" w:rsidR="00324789" w:rsidRPr="00400336" w:rsidRDefault="00E93E9B" w:rsidP="007E2E53">
      <w:pPr>
        <w:pStyle w:val="Caption"/>
        <w:spacing w:before="0" w:after="0"/>
        <w:rPr>
          <w:sz w:val="20"/>
          <w:szCs w:val="20"/>
        </w:rPr>
      </w:pPr>
      <w:r w:rsidRPr="00E93E9B">
        <w:rPr>
          <w:noProof/>
        </w:rPr>
        <w:lastRenderedPageBreak/>
        <w:drawing>
          <wp:anchor distT="0" distB="0" distL="114300" distR="114300" simplePos="0" relativeHeight="251660288" behindDoc="1" locked="0" layoutInCell="1" allowOverlap="1" wp14:anchorId="3052BF81" wp14:editId="3E71A574">
            <wp:simplePos x="0" y="0"/>
            <wp:positionH relativeFrom="page">
              <wp:posOffset>852178</wp:posOffset>
            </wp:positionH>
            <wp:positionV relativeFrom="paragraph">
              <wp:posOffset>6066244</wp:posOffset>
            </wp:positionV>
            <wp:extent cx="5294268" cy="316616"/>
            <wp:effectExtent l="19050" t="19050" r="20955" b="26670"/>
            <wp:wrapTight wrapText="bothSides">
              <wp:wrapPolygon edited="0">
                <wp:start x="-78" y="-1301"/>
                <wp:lineTo x="-78" y="22120"/>
                <wp:lineTo x="21608" y="22120"/>
                <wp:lineTo x="21608" y="-1301"/>
                <wp:lineTo x="-78" y="-1301"/>
              </wp:wrapPolygon>
            </wp:wrapTight>
            <wp:docPr id="26" name="Picture 25" descr="A legend of the RLMI rating categories (Strong, Above average, Average, Below average, Poor). ">
              <a:extLst xmlns:a="http://schemas.openxmlformats.org/drawingml/2006/main">
                <a:ext uri="{FF2B5EF4-FFF2-40B4-BE49-F238E27FC236}">
                  <a16:creationId xmlns:a16="http://schemas.microsoft.com/office/drawing/2014/main" id="{8972A19C-AEF7-962E-C41F-2939D71DD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legend of the RLMI rating categories (Strong, Above average, Average, Below average, Poor). ">
                      <a:extLst>
                        <a:ext uri="{FF2B5EF4-FFF2-40B4-BE49-F238E27FC236}">
                          <a16:creationId xmlns:a16="http://schemas.microsoft.com/office/drawing/2014/main" id="{8972A19C-AEF7-962E-C41F-2939D71DDA5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94268" cy="31661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93E9B">
        <w:rPr>
          <w:noProof/>
        </w:rPr>
        <w:drawing>
          <wp:anchor distT="0" distB="0" distL="114300" distR="114300" simplePos="0" relativeHeight="251659264" behindDoc="1" locked="0" layoutInCell="1" allowOverlap="1" wp14:anchorId="37EAE66A" wp14:editId="793DB3E9">
            <wp:simplePos x="0" y="0"/>
            <wp:positionH relativeFrom="margin">
              <wp:align>left</wp:align>
            </wp:positionH>
            <wp:positionV relativeFrom="paragraph">
              <wp:posOffset>272214</wp:posOffset>
            </wp:positionV>
            <wp:extent cx="5836725" cy="5717893"/>
            <wp:effectExtent l="0" t="0" r="0" b="0"/>
            <wp:wrapTight wrapText="bothSides">
              <wp:wrapPolygon edited="0">
                <wp:start x="0" y="0"/>
                <wp:lineTo x="0" y="21518"/>
                <wp:lineTo x="21504" y="21518"/>
                <wp:lineTo x="21504" y="0"/>
                <wp:lineTo x="0" y="0"/>
              </wp:wrapPolygon>
            </wp:wrapTight>
            <wp:docPr id="3" name="Picture 2" descr="A map of Australia displaying the RLMI ratings of labour market performance (strong, above average, average, below average, poor) by SA4. The map shows that regional and remote regions are more likely to experience weaker labour market conditions than major city areas. ">
              <a:extLst xmlns:a="http://schemas.openxmlformats.org/drawingml/2006/main">
                <a:ext uri="{FF2B5EF4-FFF2-40B4-BE49-F238E27FC236}">
                  <a16:creationId xmlns:a16="http://schemas.microsoft.com/office/drawing/2014/main" id="{07F158DD-0FBD-E05C-6C22-1DEB181C1F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map of Australia displaying the RLMI ratings of labour market performance (strong, above average, average, below average, poor) by SA4. The map shows that regional and remote regions are more likely to experience weaker labour market conditions than major city areas. ">
                      <a:extLst>
                        <a:ext uri="{FF2B5EF4-FFF2-40B4-BE49-F238E27FC236}">
                          <a16:creationId xmlns:a16="http://schemas.microsoft.com/office/drawing/2014/main" id="{07F158DD-0FBD-E05C-6C22-1DEB181C1F0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836725" cy="5717893"/>
                    </a:xfrm>
                    <a:prstGeom prst="rect">
                      <a:avLst/>
                    </a:prstGeom>
                  </pic:spPr>
                </pic:pic>
              </a:graphicData>
            </a:graphic>
          </wp:anchor>
        </w:drawing>
      </w:r>
      <w:r w:rsidR="00324789" w:rsidRPr="004923E9">
        <w:rPr>
          <w:sz w:val="20"/>
          <w:szCs w:val="20"/>
        </w:rPr>
        <w:t xml:space="preserve">Chart 1: RLMI ratings of relative labour market performance, </w:t>
      </w:r>
      <w:r w:rsidR="00872458">
        <w:rPr>
          <w:sz w:val="20"/>
          <w:szCs w:val="20"/>
        </w:rPr>
        <w:t>September</w:t>
      </w:r>
      <w:r w:rsidR="00AA0260" w:rsidRPr="004923E9">
        <w:rPr>
          <w:sz w:val="20"/>
          <w:szCs w:val="20"/>
        </w:rPr>
        <w:t xml:space="preserve"> 2025</w:t>
      </w:r>
    </w:p>
    <w:p w14:paraId="723B9831" w14:textId="1ADE0559" w:rsidR="00400336" w:rsidRPr="00324789" w:rsidRDefault="00400336" w:rsidP="007E2E53">
      <w:pPr>
        <w:keepNext/>
        <w:spacing w:after="0"/>
        <w:jc w:val="center"/>
      </w:pPr>
    </w:p>
    <w:p w14:paraId="006C67A0" w14:textId="1B328C15" w:rsidR="00E93E9B" w:rsidRDefault="00E93E9B" w:rsidP="007E2E53">
      <w:pPr>
        <w:pStyle w:val="Source"/>
        <w:keepNext/>
        <w:spacing w:before="0" w:after="0"/>
      </w:pPr>
    </w:p>
    <w:p w14:paraId="0AAE604E" w14:textId="2BCF8FBE" w:rsidR="00324789" w:rsidRDefault="00324789" w:rsidP="007E2E53">
      <w:pPr>
        <w:pStyle w:val="Source"/>
        <w:keepNext/>
        <w:spacing w:before="0" w:after="0"/>
      </w:pPr>
      <w:r>
        <w:t xml:space="preserve">Source: JSA, </w:t>
      </w:r>
      <w:r w:rsidRPr="007D069F">
        <w:rPr>
          <w:i/>
          <w:iCs/>
        </w:rPr>
        <w:t>Regional Labour Market Indicator (RLMI)</w:t>
      </w:r>
      <w:r>
        <w:t xml:space="preserve">, </w:t>
      </w:r>
      <w:r w:rsidR="00872458">
        <w:t>September</w:t>
      </w:r>
      <w:r w:rsidR="005240E7">
        <w:t xml:space="preserve"> 2025</w:t>
      </w:r>
    </w:p>
    <w:p w14:paraId="62E16F7A" w14:textId="77777777" w:rsidR="00E93E9B" w:rsidRDefault="00E93E9B" w:rsidP="00A17299">
      <w:pPr>
        <w:pStyle w:val="Caption"/>
        <w:keepNext w:val="0"/>
        <w:rPr>
          <w:sz w:val="20"/>
          <w:szCs w:val="20"/>
        </w:rPr>
      </w:pPr>
    </w:p>
    <w:p w14:paraId="77AF1412" w14:textId="77777777" w:rsidR="00E93E9B" w:rsidRDefault="00E93E9B" w:rsidP="00A17299">
      <w:pPr>
        <w:pStyle w:val="Caption"/>
        <w:keepNext w:val="0"/>
        <w:rPr>
          <w:sz w:val="20"/>
          <w:szCs w:val="20"/>
        </w:rPr>
      </w:pPr>
    </w:p>
    <w:p w14:paraId="6B07E2D2" w14:textId="77777777" w:rsidR="00E93E9B" w:rsidRDefault="00E93E9B" w:rsidP="00A17299">
      <w:pPr>
        <w:pStyle w:val="Caption"/>
        <w:keepNext w:val="0"/>
        <w:rPr>
          <w:sz w:val="20"/>
          <w:szCs w:val="20"/>
        </w:rPr>
      </w:pPr>
    </w:p>
    <w:p w14:paraId="08B25088" w14:textId="77777777" w:rsidR="00E93E9B" w:rsidRDefault="00E93E9B" w:rsidP="00A17299">
      <w:pPr>
        <w:pStyle w:val="Caption"/>
        <w:keepNext w:val="0"/>
        <w:rPr>
          <w:sz w:val="20"/>
          <w:szCs w:val="20"/>
        </w:rPr>
      </w:pPr>
    </w:p>
    <w:p w14:paraId="0AA5C7F9" w14:textId="77777777" w:rsidR="00E93E9B" w:rsidRDefault="00E93E9B" w:rsidP="00A17299">
      <w:pPr>
        <w:pStyle w:val="Caption"/>
        <w:keepNext w:val="0"/>
        <w:rPr>
          <w:sz w:val="20"/>
          <w:szCs w:val="20"/>
        </w:rPr>
      </w:pPr>
    </w:p>
    <w:p w14:paraId="2143DF9C" w14:textId="77777777" w:rsidR="00E93E9B" w:rsidRDefault="00E93E9B" w:rsidP="00A17299">
      <w:pPr>
        <w:pStyle w:val="Caption"/>
        <w:keepNext w:val="0"/>
        <w:rPr>
          <w:sz w:val="20"/>
          <w:szCs w:val="20"/>
        </w:rPr>
      </w:pPr>
    </w:p>
    <w:p w14:paraId="723A431D" w14:textId="77777777" w:rsidR="00E93E9B" w:rsidRDefault="00E93E9B" w:rsidP="00A17299">
      <w:pPr>
        <w:pStyle w:val="Caption"/>
        <w:keepNext w:val="0"/>
        <w:rPr>
          <w:sz w:val="20"/>
          <w:szCs w:val="20"/>
        </w:rPr>
      </w:pPr>
    </w:p>
    <w:p w14:paraId="35A814D0" w14:textId="43E6398A" w:rsidR="00A17299" w:rsidRPr="004923E9" w:rsidRDefault="00A17299" w:rsidP="00A17299">
      <w:pPr>
        <w:pStyle w:val="Caption"/>
        <w:keepNext w:val="0"/>
        <w:rPr>
          <w:sz w:val="20"/>
          <w:szCs w:val="20"/>
        </w:rPr>
      </w:pPr>
      <w:r w:rsidRPr="004923E9">
        <w:rPr>
          <w:sz w:val="20"/>
          <w:szCs w:val="20"/>
        </w:rPr>
        <w:lastRenderedPageBreak/>
        <w:t xml:space="preserve">Chart 2: RLMI ratings of relative labour market performance, by selected Capital Cities, </w:t>
      </w:r>
      <w:r w:rsidR="00C03405">
        <w:rPr>
          <w:sz w:val="20"/>
          <w:szCs w:val="20"/>
        </w:rPr>
        <w:t>September</w:t>
      </w:r>
      <w:r w:rsidRPr="004923E9">
        <w:rPr>
          <w:sz w:val="20"/>
          <w:szCs w:val="20"/>
        </w:rPr>
        <w:t xml:space="preserve"> 2025</w:t>
      </w:r>
    </w:p>
    <w:p w14:paraId="47FA1234" w14:textId="7F66CA35" w:rsidR="003F013C" w:rsidRPr="003F013C" w:rsidRDefault="00C03405" w:rsidP="005D78A7">
      <w:pPr>
        <w:jc w:val="center"/>
      </w:pPr>
      <w:r w:rsidRPr="00C03405">
        <w:rPr>
          <w:noProof/>
        </w:rPr>
        <w:drawing>
          <wp:inline distT="0" distB="0" distL="0" distR="0" wp14:anchorId="256844C6" wp14:editId="323C8B61">
            <wp:extent cx="5657850" cy="4776514"/>
            <wp:effectExtent l="0" t="0" r="0" b="5080"/>
            <wp:docPr id="2003263083" name="Picture 1" descr="A map of Australia's major cities displaying the RLMI ratings of labour market performance (strong, above average, average, below average, poor) by SA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63083" name="Picture 1" descr="A map of Australia's major cities displaying the RLMI ratings of labour market performance (strong, above average, average, below average, poor) by SA4. "/>
                    <pic:cNvPicPr/>
                  </pic:nvPicPr>
                  <pic:blipFill>
                    <a:blip r:embed="rId16"/>
                    <a:stretch>
                      <a:fillRect/>
                    </a:stretch>
                  </pic:blipFill>
                  <pic:spPr>
                    <a:xfrm>
                      <a:off x="0" y="0"/>
                      <a:ext cx="5659193" cy="4777648"/>
                    </a:xfrm>
                    <a:prstGeom prst="rect">
                      <a:avLst/>
                    </a:prstGeom>
                  </pic:spPr>
                </pic:pic>
              </a:graphicData>
            </a:graphic>
          </wp:inline>
        </w:drawing>
      </w:r>
    </w:p>
    <w:p w14:paraId="0688AD7D" w14:textId="77777777" w:rsidR="00A17299" w:rsidRDefault="00A17299" w:rsidP="00806934">
      <w:pPr>
        <w:pStyle w:val="Heading3"/>
        <w:keepLines w:val="0"/>
        <w:sectPr w:rsidR="00A17299" w:rsidSect="00A17299">
          <w:footerReference w:type="default" r:id="rId17"/>
          <w:footerReference w:type="first" r:id="rId18"/>
          <w:type w:val="continuous"/>
          <w:pgSz w:w="11906" w:h="16838"/>
          <w:pgMar w:top="993" w:right="1440" w:bottom="1134" w:left="1440" w:header="0" w:footer="539" w:gutter="0"/>
          <w:cols w:space="708"/>
          <w:titlePg/>
          <w:docGrid w:linePitch="360"/>
        </w:sectPr>
      </w:pPr>
    </w:p>
    <w:p w14:paraId="0745A1A6" w14:textId="375F9EFE" w:rsidR="00215C7C" w:rsidRDefault="00215C7C" w:rsidP="00215C7C">
      <w:pPr>
        <w:pStyle w:val="Source"/>
        <w:spacing w:before="0" w:after="0"/>
      </w:pPr>
      <w:r>
        <w:t xml:space="preserve">Source: JSA, </w:t>
      </w:r>
      <w:r w:rsidRPr="007D069F">
        <w:rPr>
          <w:i/>
          <w:iCs/>
        </w:rPr>
        <w:t>Regional Labour Market Indicator (RLMI)</w:t>
      </w:r>
      <w:r>
        <w:t xml:space="preserve">, </w:t>
      </w:r>
      <w:r w:rsidR="00C03405">
        <w:t>September</w:t>
      </w:r>
      <w:r>
        <w:t xml:space="preserve"> 2025</w:t>
      </w:r>
    </w:p>
    <w:p w14:paraId="40106F4E" w14:textId="77777777" w:rsidR="002A23A7" w:rsidRDefault="002A23A7" w:rsidP="002A23A7">
      <w:pPr>
        <w:pStyle w:val="Heading3"/>
        <w:keepLines w:val="0"/>
      </w:pPr>
      <w:r>
        <w:t>Recent trends in regional labour market performance</w:t>
      </w:r>
    </w:p>
    <w:p w14:paraId="04CA1307" w14:textId="07174A67" w:rsidR="002E3B50" w:rsidRDefault="002E3B50" w:rsidP="00582B5D">
      <w:pPr>
        <w:pStyle w:val="Heading5"/>
        <w:spacing w:before="0" w:after="160" w:line="259" w:lineRule="auto"/>
        <w:rPr>
          <w:rFonts w:cstheme="minorBidi"/>
          <w:color w:val="auto"/>
          <w:sz w:val="22"/>
          <w:szCs w:val="22"/>
        </w:rPr>
      </w:pPr>
      <w:r w:rsidRPr="002E3B50">
        <w:rPr>
          <w:rFonts w:cstheme="minorBidi"/>
          <w:color w:val="auto"/>
          <w:sz w:val="22"/>
          <w:szCs w:val="22"/>
        </w:rPr>
        <w:t xml:space="preserve">The latest RLMI results highlight areas of relative labour market strength and weakness across Australia’s regions, including Greater Adelaide, where overall conditions </w:t>
      </w:r>
      <w:r w:rsidR="00E36EE7">
        <w:rPr>
          <w:rFonts w:cstheme="minorBidi"/>
          <w:color w:val="auto"/>
          <w:sz w:val="22"/>
          <w:szCs w:val="22"/>
        </w:rPr>
        <w:t>are</w:t>
      </w:r>
      <w:r w:rsidRPr="002E3B50">
        <w:rPr>
          <w:rFonts w:cstheme="minorBidi"/>
          <w:color w:val="auto"/>
          <w:sz w:val="22"/>
          <w:szCs w:val="22"/>
        </w:rPr>
        <w:t xml:space="preserve"> strong despite persistent challenges in parts of the region.</w:t>
      </w:r>
    </w:p>
    <w:p w14:paraId="391642C5" w14:textId="7621AFC1" w:rsidR="006F1D54" w:rsidRDefault="000A57AC" w:rsidP="00582B5D">
      <w:pPr>
        <w:pStyle w:val="Heading5"/>
        <w:spacing w:before="0" w:after="160" w:line="259" w:lineRule="auto"/>
        <w:rPr>
          <w:color w:val="auto"/>
          <w:sz w:val="22"/>
          <w:szCs w:val="22"/>
        </w:rPr>
      </w:pPr>
      <w:r>
        <w:rPr>
          <w:sz w:val="24"/>
          <w:szCs w:val="24"/>
        </w:rPr>
        <w:t>In focus</w:t>
      </w:r>
      <w:r w:rsidR="002A23A7">
        <w:rPr>
          <w:sz w:val="24"/>
          <w:szCs w:val="24"/>
        </w:rPr>
        <w:t xml:space="preserve">: </w:t>
      </w:r>
      <w:r w:rsidR="002E3B50">
        <w:rPr>
          <w:sz w:val="24"/>
          <w:szCs w:val="24"/>
        </w:rPr>
        <w:t>Gather Round for Strong Labour Market Performance</w:t>
      </w:r>
      <w:r w:rsidR="00F8542C">
        <w:rPr>
          <w:sz w:val="24"/>
          <w:szCs w:val="24"/>
        </w:rPr>
        <w:br/>
      </w:r>
      <w:r w:rsidR="00FA320C">
        <w:rPr>
          <w:color w:val="auto"/>
          <w:sz w:val="22"/>
          <w:szCs w:val="22"/>
        </w:rPr>
        <w:t xml:space="preserve">A diverse economy, with strengths in health and medical research, </w:t>
      </w:r>
      <w:r w:rsidR="0003506D">
        <w:rPr>
          <w:color w:val="auto"/>
          <w:sz w:val="22"/>
          <w:szCs w:val="22"/>
        </w:rPr>
        <w:t xml:space="preserve">education and training and retail trade, the latest RLMI results help to highlight strong overall labour market conditions in Greater Adelaide. </w:t>
      </w:r>
    </w:p>
    <w:p w14:paraId="7A35FADF" w14:textId="1975AE8C" w:rsidR="0003506D" w:rsidRDefault="0003506D" w:rsidP="00582B5D">
      <w:pPr>
        <w:spacing w:after="160" w:line="259" w:lineRule="auto"/>
      </w:pPr>
      <w:r>
        <w:t xml:space="preserve">For instance, labour market conditions have been persistently strong in the Adelaide – South and Adelaide – Central and Hills (SA4) regions, having been regularly rated ‘above average’ and ‘strong’ over the last decade. </w:t>
      </w:r>
    </w:p>
    <w:p w14:paraId="75816779" w14:textId="1E5F7F49" w:rsidR="002A23A7" w:rsidRDefault="00493EE9" w:rsidP="002A23A7">
      <w:pPr>
        <w:keepNext/>
        <w:rPr>
          <w:b/>
          <w:bCs/>
          <w:noProof/>
          <w:sz w:val="18"/>
          <w:szCs w:val="18"/>
        </w:rPr>
      </w:pPr>
      <w:r w:rsidRPr="00493EE9">
        <w:rPr>
          <w:b/>
          <w:bCs/>
          <w:sz w:val="20"/>
          <w:szCs w:val="20"/>
        </w:rPr>
        <w:lastRenderedPageBreak/>
        <w:t>C</w:t>
      </w:r>
      <w:r w:rsidR="002A23A7" w:rsidRPr="00493EE9">
        <w:rPr>
          <w:b/>
          <w:bCs/>
          <w:sz w:val="20"/>
          <w:szCs w:val="20"/>
        </w:rPr>
        <w:t xml:space="preserve">hart 3: RLMI ratings of relative labour market performance for </w:t>
      </w:r>
      <w:r w:rsidR="00DE4EE7">
        <w:rPr>
          <w:b/>
          <w:bCs/>
          <w:sz w:val="20"/>
          <w:szCs w:val="20"/>
        </w:rPr>
        <w:t>Greater Adelaide</w:t>
      </w:r>
    </w:p>
    <w:p w14:paraId="09FCB8E1" w14:textId="62CD7747" w:rsidR="00B3774E" w:rsidRPr="00D10B90" w:rsidRDefault="00DE4EE7" w:rsidP="000D07A8">
      <w:pPr>
        <w:keepNext/>
        <w:jc w:val="center"/>
        <w:rPr>
          <w:b/>
          <w:bCs/>
          <w:sz w:val="18"/>
          <w:szCs w:val="18"/>
        </w:rPr>
      </w:pPr>
      <w:r w:rsidRPr="00DE4EE7">
        <w:rPr>
          <w:b/>
          <w:bCs/>
          <w:noProof/>
          <w:sz w:val="18"/>
          <w:szCs w:val="18"/>
        </w:rPr>
        <w:drawing>
          <wp:inline distT="0" distB="0" distL="0" distR="0" wp14:anchorId="7F65CFDB" wp14:editId="1D01C64B">
            <wp:extent cx="5553075" cy="3981159"/>
            <wp:effectExtent l="0" t="0" r="0" b="635"/>
            <wp:docPr id="2052550973" name="Picture 1" descr="A map of Greater Adelaide displaying the RLMI ratings of labour market performance (strong, above average, average, below average, poor) by SA4. The map shows that labour market conditions are strong in Greater Adelaide despite persistent challenges in parts of the reg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50973" name="Picture 1" descr="A map of Greater Adelaide displaying the RLMI ratings of labour market performance (strong, above average, average, below average, poor) by SA4. The map shows that labour market conditions are strong in Greater Adelaide despite persistent challenges in parts of the region. "/>
                    <pic:cNvPicPr/>
                  </pic:nvPicPr>
                  <pic:blipFill>
                    <a:blip r:embed="rId19"/>
                    <a:stretch>
                      <a:fillRect/>
                    </a:stretch>
                  </pic:blipFill>
                  <pic:spPr>
                    <a:xfrm>
                      <a:off x="0" y="0"/>
                      <a:ext cx="5572625" cy="3995175"/>
                    </a:xfrm>
                    <a:prstGeom prst="rect">
                      <a:avLst/>
                    </a:prstGeom>
                  </pic:spPr>
                </pic:pic>
              </a:graphicData>
            </a:graphic>
          </wp:inline>
        </w:drawing>
      </w:r>
    </w:p>
    <w:p w14:paraId="2046FD8A" w14:textId="35FDAA87" w:rsidR="00493EE9" w:rsidRDefault="00493EE9" w:rsidP="00CC6A65">
      <w:pPr>
        <w:pStyle w:val="Source"/>
        <w:spacing w:before="0"/>
      </w:pPr>
      <w:r>
        <w:t xml:space="preserve">Source: JSA, </w:t>
      </w:r>
      <w:r w:rsidRPr="007D069F">
        <w:rPr>
          <w:i/>
          <w:iCs/>
        </w:rPr>
        <w:t>Regional Labour Market Indicator (RLMI)</w:t>
      </w:r>
      <w:r>
        <w:t xml:space="preserve">, </w:t>
      </w:r>
      <w:r w:rsidR="005D137B">
        <w:t>September</w:t>
      </w:r>
      <w:r>
        <w:t xml:space="preserve"> 2025</w:t>
      </w:r>
    </w:p>
    <w:p w14:paraId="7EC2475B" w14:textId="2AC84EB4" w:rsidR="00956AA9" w:rsidRDefault="00B2527F" w:rsidP="005818E7">
      <w:r>
        <w:t xml:space="preserve">Additionally, </w:t>
      </w:r>
      <w:r w:rsidR="00956AA9">
        <w:t xml:space="preserve">the relative strength of the labour market in the Adelaide – West (SA4) region has improved from its long-term trend </w:t>
      </w:r>
      <w:r w:rsidR="00297C4F">
        <w:t>with several</w:t>
      </w:r>
      <w:r w:rsidR="00956AA9">
        <w:t xml:space="preserve"> key indicators of spare labour market capacity </w:t>
      </w:r>
      <w:r w:rsidR="005A7E4B">
        <w:t xml:space="preserve">having </w:t>
      </w:r>
      <w:r w:rsidR="00956AA9">
        <w:t xml:space="preserve">recently strengthened (see Table </w:t>
      </w:r>
      <w:r w:rsidR="00434796">
        <w:t>1</w:t>
      </w:r>
      <w:r w:rsidR="00956AA9">
        <w:t>, below). As</w:t>
      </w:r>
      <w:r w:rsidR="00434796">
        <w:t xml:space="preserve"> such, </w:t>
      </w:r>
      <w:r w:rsidR="00956AA9">
        <w:t xml:space="preserve">labour market conditions in the region were rated ‘above average’ in September 2025, up from its rating of ‘below average’ </w:t>
      </w:r>
      <w:r w:rsidR="00434796">
        <w:t>as recently as</w:t>
      </w:r>
      <w:r w:rsidR="00956AA9">
        <w:t xml:space="preserve"> December 2019, indicating that conditions are reasonably tight when compared to the national average. </w:t>
      </w:r>
    </w:p>
    <w:p w14:paraId="22FFC966" w14:textId="12D8D60E" w:rsidR="0058794E" w:rsidRDefault="0058794E" w:rsidP="005818E7">
      <w:r>
        <w:rPr>
          <w:b/>
          <w:bCs/>
          <w:sz w:val="20"/>
          <w:szCs w:val="20"/>
        </w:rPr>
        <w:t xml:space="preserve">Table </w:t>
      </w:r>
      <w:r w:rsidR="00956AA9">
        <w:rPr>
          <w:b/>
          <w:bCs/>
          <w:sz w:val="20"/>
          <w:szCs w:val="20"/>
        </w:rPr>
        <w:t>1</w:t>
      </w:r>
      <w:r w:rsidRPr="00493EE9">
        <w:rPr>
          <w:b/>
          <w:bCs/>
          <w:sz w:val="20"/>
          <w:szCs w:val="20"/>
        </w:rPr>
        <w:t xml:space="preserve">: </w:t>
      </w:r>
      <w:r>
        <w:rPr>
          <w:b/>
          <w:bCs/>
          <w:sz w:val="20"/>
          <w:szCs w:val="20"/>
        </w:rPr>
        <w:t xml:space="preserve">Key labour market indicators for </w:t>
      </w:r>
      <w:r w:rsidR="007C0C94">
        <w:rPr>
          <w:b/>
          <w:bCs/>
          <w:sz w:val="20"/>
          <w:szCs w:val="20"/>
        </w:rPr>
        <w:t>Adelaide – West (SA4)</w:t>
      </w:r>
    </w:p>
    <w:tbl>
      <w:tblPr>
        <w:tblW w:w="9220" w:type="dxa"/>
        <w:tblLook w:val="04A0" w:firstRow="1" w:lastRow="0" w:firstColumn="1" w:lastColumn="0" w:noHBand="0" w:noVBand="1"/>
      </w:tblPr>
      <w:tblGrid>
        <w:gridCol w:w="4840"/>
        <w:gridCol w:w="1460"/>
        <w:gridCol w:w="1460"/>
        <w:gridCol w:w="1460"/>
      </w:tblGrid>
      <w:tr w:rsidR="0077524B" w:rsidRPr="0077524B" w14:paraId="17750FA3" w14:textId="77777777" w:rsidTr="00B40BF6">
        <w:trPr>
          <w:trHeight w:val="340"/>
        </w:trPr>
        <w:tc>
          <w:tcPr>
            <w:tcW w:w="4840" w:type="dxa"/>
            <w:tcBorders>
              <w:top w:val="single" w:sz="4" w:space="0" w:color="auto"/>
              <w:left w:val="single" w:sz="4" w:space="0" w:color="auto"/>
              <w:bottom w:val="single" w:sz="4" w:space="0" w:color="auto"/>
              <w:right w:val="single" w:sz="4" w:space="0" w:color="auto"/>
            </w:tcBorders>
            <w:shd w:val="clear" w:color="auto" w:fill="4B0985"/>
            <w:vAlign w:val="center"/>
            <w:hideMark/>
          </w:tcPr>
          <w:p w14:paraId="25C38924" w14:textId="77777777" w:rsidR="0077524B" w:rsidRPr="0077524B" w:rsidRDefault="0077524B" w:rsidP="0077524B">
            <w:pPr>
              <w:spacing w:after="0" w:line="240" w:lineRule="auto"/>
              <w:jc w:val="center"/>
              <w:rPr>
                <w:rFonts w:eastAsia="Times New Roman" w:cs="Arial"/>
                <w:b/>
                <w:bCs/>
                <w:color w:val="FFFFFF"/>
                <w:lang w:eastAsia="en-AU"/>
              </w:rPr>
            </w:pPr>
            <w:r w:rsidRPr="0077524B">
              <w:rPr>
                <w:rFonts w:eastAsia="Times New Roman" w:cs="Arial"/>
                <w:b/>
                <w:bCs/>
                <w:color w:val="FFFFFF"/>
                <w:lang w:eastAsia="en-AU"/>
              </w:rPr>
              <w:t> </w:t>
            </w:r>
          </w:p>
        </w:tc>
        <w:tc>
          <w:tcPr>
            <w:tcW w:w="1460" w:type="dxa"/>
            <w:tcBorders>
              <w:top w:val="single" w:sz="4" w:space="0" w:color="auto"/>
              <w:left w:val="nil"/>
              <w:bottom w:val="single" w:sz="4" w:space="0" w:color="auto"/>
              <w:right w:val="nil"/>
            </w:tcBorders>
            <w:shd w:val="clear" w:color="000000" w:fill="4B0985"/>
            <w:vAlign w:val="center"/>
            <w:hideMark/>
          </w:tcPr>
          <w:p w14:paraId="5970EF63" w14:textId="5410F7B5" w:rsidR="0077524B" w:rsidRPr="0077524B" w:rsidRDefault="005D137B" w:rsidP="0077524B">
            <w:pPr>
              <w:spacing w:after="0" w:line="240" w:lineRule="auto"/>
              <w:jc w:val="center"/>
              <w:rPr>
                <w:rFonts w:eastAsia="Times New Roman" w:cs="Arial"/>
                <w:b/>
                <w:bCs/>
                <w:color w:val="FFFFFF"/>
                <w:lang w:eastAsia="en-AU"/>
              </w:rPr>
            </w:pPr>
            <w:r>
              <w:rPr>
                <w:rFonts w:eastAsia="Times New Roman" w:cs="Arial"/>
                <w:b/>
                <w:bCs/>
                <w:color w:val="FFFFFF"/>
                <w:lang w:eastAsia="en-AU"/>
              </w:rPr>
              <w:t>Sep</w:t>
            </w:r>
            <w:r w:rsidR="0077524B" w:rsidRPr="0077524B">
              <w:rPr>
                <w:rFonts w:eastAsia="Times New Roman" w:cs="Arial"/>
                <w:b/>
                <w:bCs/>
                <w:color w:val="FFFFFF"/>
                <w:lang w:eastAsia="en-AU"/>
              </w:rPr>
              <w:t>-24</w:t>
            </w:r>
          </w:p>
        </w:tc>
        <w:tc>
          <w:tcPr>
            <w:tcW w:w="1460" w:type="dxa"/>
            <w:tcBorders>
              <w:top w:val="single" w:sz="4" w:space="0" w:color="auto"/>
              <w:left w:val="single" w:sz="4" w:space="0" w:color="auto"/>
              <w:bottom w:val="single" w:sz="4" w:space="0" w:color="auto"/>
              <w:right w:val="single" w:sz="4" w:space="0" w:color="auto"/>
            </w:tcBorders>
            <w:shd w:val="clear" w:color="000000" w:fill="4B0985"/>
            <w:noWrap/>
            <w:vAlign w:val="center"/>
            <w:hideMark/>
          </w:tcPr>
          <w:p w14:paraId="5C9C837A" w14:textId="3BF15A0E" w:rsidR="0077524B" w:rsidRPr="0077524B" w:rsidRDefault="005D137B" w:rsidP="0077524B">
            <w:pPr>
              <w:spacing w:after="0" w:line="240" w:lineRule="auto"/>
              <w:jc w:val="center"/>
              <w:rPr>
                <w:rFonts w:eastAsia="Times New Roman" w:cs="Arial"/>
                <w:b/>
                <w:bCs/>
                <w:color w:val="FFFFFF"/>
                <w:lang w:eastAsia="en-AU"/>
              </w:rPr>
            </w:pPr>
            <w:r>
              <w:rPr>
                <w:rFonts w:eastAsia="Times New Roman" w:cs="Arial"/>
                <w:b/>
                <w:bCs/>
                <w:color w:val="FFFFFF"/>
                <w:lang w:eastAsia="en-AU"/>
              </w:rPr>
              <w:t>Sep</w:t>
            </w:r>
            <w:r w:rsidR="0077524B" w:rsidRPr="0077524B">
              <w:rPr>
                <w:rFonts w:eastAsia="Times New Roman" w:cs="Arial"/>
                <w:b/>
                <w:bCs/>
                <w:color w:val="FFFFFF"/>
                <w:lang w:eastAsia="en-AU"/>
              </w:rPr>
              <w:t>-25</w:t>
            </w:r>
          </w:p>
        </w:tc>
        <w:tc>
          <w:tcPr>
            <w:tcW w:w="1460" w:type="dxa"/>
            <w:tcBorders>
              <w:top w:val="nil"/>
              <w:left w:val="nil"/>
              <w:bottom w:val="single" w:sz="4" w:space="0" w:color="auto"/>
              <w:right w:val="nil"/>
            </w:tcBorders>
            <w:shd w:val="clear" w:color="000000" w:fill="4B0985"/>
            <w:noWrap/>
            <w:vAlign w:val="center"/>
            <w:hideMark/>
          </w:tcPr>
          <w:p w14:paraId="7B6CC957" w14:textId="01680F01" w:rsidR="0077524B" w:rsidRPr="0077524B" w:rsidRDefault="0077524B" w:rsidP="0077524B">
            <w:pPr>
              <w:spacing w:after="0" w:line="240" w:lineRule="auto"/>
              <w:jc w:val="center"/>
              <w:rPr>
                <w:rFonts w:eastAsia="Times New Roman" w:cs="Arial"/>
                <w:b/>
                <w:bCs/>
                <w:color w:val="FFFFFF"/>
                <w:lang w:eastAsia="en-AU"/>
              </w:rPr>
            </w:pPr>
            <w:r w:rsidRPr="0077524B">
              <w:rPr>
                <w:rFonts w:eastAsia="Times New Roman" w:cs="Arial"/>
                <w:b/>
                <w:bCs/>
                <w:color w:val="FFFFFF"/>
                <w:lang w:eastAsia="en-AU"/>
              </w:rPr>
              <w:t> </w:t>
            </w:r>
            <w:r w:rsidR="00266C5E">
              <w:rPr>
                <w:rFonts w:eastAsia="Times New Roman" w:cs="Arial"/>
                <w:b/>
                <w:bCs/>
                <w:color w:val="FFFFFF"/>
                <w:lang w:eastAsia="en-AU"/>
              </w:rPr>
              <w:t>Change</w:t>
            </w:r>
            <w:r w:rsidR="000D07A8">
              <w:rPr>
                <w:rFonts w:eastAsia="Times New Roman" w:cs="Arial"/>
                <w:b/>
                <w:bCs/>
                <w:color w:val="FFFFFF"/>
                <w:lang w:eastAsia="en-AU"/>
              </w:rPr>
              <w:t xml:space="preserve"> in conditions</w:t>
            </w:r>
          </w:p>
        </w:tc>
      </w:tr>
      <w:tr w:rsidR="0077524B" w:rsidRPr="0077524B" w14:paraId="56AC627F" w14:textId="77777777" w:rsidTr="007C0C94">
        <w:trPr>
          <w:trHeight w:val="340"/>
        </w:trPr>
        <w:tc>
          <w:tcPr>
            <w:tcW w:w="4840" w:type="dxa"/>
            <w:tcBorders>
              <w:top w:val="nil"/>
              <w:left w:val="single" w:sz="4" w:space="0" w:color="auto"/>
              <w:bottom w:val="nil"/>
              <w:right w:val="single" w:sz="4" w:space="0" w:color="auto"/>
            </w:tcBorders>
            <w:noWrap/>
            <w:vAlign w:val="bottom"/>
            <w:hideMark/>
          </w:tcPr>
          <w:p w14:paraId="00E58B9A" w14:textId="77777777" w:rsidR="0077524B" w:rsidRPr="0077524B" w:rsidRDefault="0077524B" w:rsidP="0077524B">
            <w:pPr>
              <w:spacing w:after="0" w:line="240" w:lineRule="auto"/>
              <w:rPr>
                <w:rFonts w:eastAsia="Times New Roman" w:cs="Arial"/>
                <w:color w:val="000000"/>
                <w:lang w:eastAsia="en-AU"/>
              </w:rPr>
            </w:pPr>
            <w:r w:rsidRPr="0077524B">
              <w:rPr>
                <w:rFonts w:eastAsia="Times New Roman" w:cs="Arial"/>
                <w:color w:val="000000"/>
                <w:lang w:eastAsia="en-AU"/>
              </w:rPr>
              <w:t>Employment Rate (15-64 years) (%)</w:t>
            </w:r>
          </w:p>
        </w:tc>
        <w:tc>
          <w:tcPr>
            <w:tcW w:w="1460" w:type="dxa"/>
            <w:tcBorders>
              <w:top w:val="nil"/>
              <w:left w:val="nil"/>
              <w:bottom w:val="nil"/>
              <w:right w:val="nil"/>
            </w:tcBorders>
            <w:noWrap/>
            <w:vAlign w:val="bottom"/>
          </w:tcPr>
          <w:p w14:paraId="01294CF2" w14:textId="63F1D742" w:rsidR="0077524B" w:rsidRPr="0077524B" w:rsidRDefault="007C0C94" w:rsidP="0077524B">
            <w:pPr>
              <w:spacing w:after="0" w:line="240" w:lineRule="auto"/>
              <w:jc w:val="center"/>
              <w:rPr>
                <w:rFonts w:eastAsia="Times New Roman" w:cs="Arial"/>
                <w:color w:val="000000"/>
                <w:lang w:eastAsia="en-AU"/>
              </w:rPr>
            </w:pPr>
            <w:r>
              <w:rPr>
                <w:rFonts w:eastAsia="Times New Roman" w:cs="Arial"/>
                <w:color w:val="000000"/>
                <w:lang w:eastAsia="en-AU"/>
              </w:rPr>
              <w:t>77.0</w:t>
            </w:r>
          </w:p>
        </w:tc>
        <w:tc>
          <w:tcPr>
            <w:tcW w:w="1460" w:type="dxa"/>
            <w:tcBorders>
              <w:top w:val="nil"/>
              <w:left w:val="nil"/>
              <w:bottom w:val="nil"/>
              <w:right w:val="nil"/>
            </w:tcBorders>
            <w:noWrap/>
            <w:vAlign w:val="bottom"/>
          </w:tcPr>
          <w:p w14:paraId="287983A8" w14:textId="255C9AF4" w:rsidR="0077524B" w:rsidRPr="0077524B" w:rsidRDefault="007C0C94" w:rsidP="0077524B">
            <w:pPr>
              <w:spacing w:after="0" w:line="240" w:lineRule="auto"/>
              <w:jc w:val="center"/>
              <w:rPr>
                <w:rFonts w:eastAsia="Times New Roman" w:cs="Arial"/>
                <w:color w:val="000000"/>
                <w:lang w:eastAsia="en-AU"/>
              </w:rPr>
            </w:pPr>
            <w:r>
              <w:rPr>
                <w:rFonts w:eastAsia="Times New Roman" w:cs="Arial"/>
                <w:color w:val="000000"/>
                <w:lang w:eastAsia="en-AU"/>
              </w:rPr>
              <w:t>78.3</w:t>
            </w:r>
          </w:p>
        </w:tc>
        <w:tc>
          <w:tcPr>
            <w:tcW w:w="1460" w:type="dxa"/>
            <w:tcBorders>
              <w:top w:val="nil"/>
              <w:left w:val="nil"/>
              <w:bottom w:val="nil"/>
              <w:right w:val="single" w:sz="4" w:space="0" w:color="auto"/>
            </w:tcBorders>
            <w:noWrap/>
            <w:vAlign w:val="bottom"/>
            <w:hideMark/>
          </w:tcPr>
          <w:p w14:paraId="58BC9BA8" w14:textId="0E65AB31" w:rsidR="0077524B" w:rsidRPr="002E487D" w:rsidRDefault="00EA34EE" w:rsidP="00555157">
            <w:pPr>
              <w:spacing w:after="0" w:line="240" w:lineRule="auto"/>
              <w:jc w:val="center"/>
              <w:rPr>
                <w:rFonts w:eastAsia="Times New Roman" w:cs="Arial"/>
                <w:b/>
                <w:bCs/>
                <w:color w:val="00B050"/>
                <w:lang w:eastAsia="en-AU"/>
              </w:rPr>
            </w:pPr>
            <w:r w:rsidRPr="002E487D">
              <w:rPr>
                <w:rFonts w:eastAsia="Times New Roman" w:cs="Arial"/>
                <w:b/>
                <w:bCs/>
                <w:color w:val="00B050"/>
                <w:lang w:eastAsia="en-AU"/>
              </w:rPr>
              <w:t>Improved</w:t>
            </w:r>
          </w:p>
        </w:tc>
      </w:tr>
      <w:tr w:rsidR="007C0C94" w:rsidRPr="0077524B" w14:paraId="4A87D681" w14:textId="77777777" w:rsidTr="007C0C94">
        <w:trPr>
          <w:trHeight w:val="340"/>
        </w:trPr>
        <w:tc>
          <w:tcPr>
            <w:tcW w:w="4840" w:type="dxa"/>
            <w:tcBorders>
              <w:top w:val="nil"/>
              <w:left w:val="single" w:sz="4" w:space="0" w:color="auto"/>
              <w:bottom w:val="nil"/>
              <w:right w:val="single" w:sz="4" w:space="0" w:color="auto"/>
            </w:tcBorders>
            <w:noWrap/>
            <w:vAlign w:val="bottom"/>
            <w:hideMark/>
          </w:tcPr>
          <w:p w14:paraId="2E4B77DB" w14:textId="235F6544" w:rsidR="007C0C94" w:rsidRPr="0077524B" w:rsidRDefault="007C0C94" w:rsidP="007C0C94">
            <w:pPr>
              <w:spacing w:after="0" w:line="240" w:lineRule="auto"/>
              <w:rPr>
                <w:rFonts w:eastAsia="Times New Roman" w:cs="Arial"/>
                <w:color w:val="000000"/>
                <w:lang w:eastAsia="en-AU"/>
              </w:rPr>
            </w:pPr>
            <w:r>
              <w:rPr>
                <w:rFonts w:eastAsia="Times New Roman" w:cs="Arial"/>
                <w:color w:val="000000"/>
                <w:lang w:eastAsia="en-AU"/>
              </w:rPr>
              <w:t>JobSeeker Income Support Rate</w:t>
            </w:r>
            <w:r w:rsidRPr="0077524B">
              <w:rPr>
                <w:rFonts w:eastAsia="Times New Roman" w:cs="Arial"/>
                <w:color w:val="000000"/>
                <w:lang w:eastAsia="en-AU"/>
              </w:rPr>
              <w:t xml:space="preserve"> (%)</w:t>
            </w:r>
          </w:p>
        </w:tc>
        <w:tc>
          <w:tcPr>
            <w:tcW w:w="1460" w:type="dxa"/>
            <w:tcBorders>
              <w:top w:val="nil"/>
              <w:left w:val="nil"/>
              <w:bottom w:val="nil"/>
              <w:right w:val="nil"/>
            </w:tcBorders>
            <w:noWrap/>
            <w:vAlign w:val="bottom"/>
          </w:tcPr>
          <w:p w14:paraId="2041DE9B" w14:textId="48C23B2A"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5.9</w:t>
            </w:r>
          </w:p>
        </w:tc>
        <w:tc>
          <w:tcPr>
            <w:tcW w:w="1460" w:type="dxa"/>
            <w:tcBorders>
              <w:top w:val="nil"/>
              <w:left w:val="nil"/>
              <w:bottom w:val="nil"/>
              <w:right w:val="nil"/>
            </w:tcBorders>
            <w:noWrap/>
            <w:vAlign w:val="bottom"/>
          </w:tcPr>
          <w:p w14:paraId="1A05B62E" w14:textId="28B441DA"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5.9</w:t>
            </w:r>
          </w:p>
        </w:tc>
        <w:tc>
          <w:tcPr>
            <w:tcW w:w="1460" w:type="dxa"/>
            <w:tcBorders>
              <w:top w:val="nil"/>
              <w:left w:val="nil"/>
              <w:bottom w:val="nil"/>
              <w:right w:val="single" w:sz="4" w:space="0" w:color="auto"/>
            </w:tcBorders>
            <w:noWrap/>
            <w:vAlign w:val="bottom"/>
            <w:hideMark/>
          </w:tcPr>
          <w:p w14:paraId="682ABC54" w14:textId="39231341" w:rsidR="007C0C94" w:rsidRPr="002E487D" w:rsidRDefault="007C0C94" w:rsidP="007C0C94">
            <w:pPr>
              <w:spacing w:after="0" w:line="240" w:lineRule="auto"/>
              <w:jc w:val="center"/>
              <w:rPr>
                <w:rFonts w:eastAsia="Times New Roman" w:cs="Arial"/>
                <w:b/>
                <w:bCs/>
                <w:color w:val="000000"/>
                <w:lang w:eastAsia="en-AU"/>
              </w:rPr>
            </w:pPr>
            <w:r w:rsidRPr="007C0C94">
              <w:rPr>
                <w:rFonts w:eastAsia="Times New Roman" w:cs="Arial"/>
                <w:b/>
                <w:bCs/>
                <w:color w:val="000000" w:themeColor="text1"/>
                <w:lang w:eastAsia="en-AU"/>
              </w:rPr>
              <w:t>Stable</w:t>
            </w:r>
          </w:p>
        </w:tc>
      </w:tr>
      <w:tr w:rsidR="007C0C94" w:rsidRPr="0077524B" w14:paraId="5F9B5F99" w14:textId="77777777" w:rsidTr="007C0C94">
        <w:trPr>
          <w:trHeight w:val="340"/>
        </w:trPr>
        <w:tc>
          <w:tcPr>
            <w:tcW w:w="4840" w:type="dxa"/>
            <w:tcBorders>
              <w:top w:val="nil"/>
              <w:left w:val="single" w:sz="4" w:space="0" w:color="auto"/>
              <w:bottom w:val="nil"/>
              <w:right w:val="single" w:sz="4" w:space="0" w:color="auto"/>
            </w:tcBorders>
            <w:noWrap/>
            <w:vAlign w:val="bottom"/>
            <w:hideMark/>
          </w:tcPr>
          <w:p w14:paraId="583CF398" w14:textId="24A5C2E5" w:rsidR="007C0C94" w:rsidRPr="0077524B" w:rsidRDefault="007C0C94" w:rsidP="007C0C94">
            <w:pPr>
              <w:spacing w:after="0" w:line="240" w:lineRule="auto"/>
              <w:rPr>
                <w:rFonts w:eastAsia="Times New Roman" w:cs="Arial"/>
                <w:color w:val="000000"/>
                <w:lang w:eastAsia="en-AU"/>
              </w:rPr>
            </w:pPr>
            <w:r>
              <w:rPr>
                <w:rFonts w:eastAsia="Times New Roman" w:cs="Arial"/>
                <w:color w:val="000000"/>
                <w:lang w:eastAsia="en-AU"/>
              </w:rPr>
              <w:t>Unemployment Rate</w:t>
            </w:r>
            <w:r w:rsidRPr="0077524B">
              <w:rPr>
                <w:rFonts w:eastAsia="Times New Roman" w:cs="Arial"/>
                <w:color w:val="000000"/>
                <w:lang w:eastAsia="en-AU"/>
              </w:rPr>
              <w:t xml:space="preserve"> (%)</w:t>
            </w:r>
          </w:p>
        </w:tc>
        <w:tc>
          <w:tcPr>
            <w:tcW w:w="1460" w:type="dxa"/>
            <w:tcBorders>
              <w:top w:val="nil"/>
              <w:left w:val="nil"/>
              <w:bottom w:val="nil"/>
              <w:right w:val="nil"/>
            </w:tcBorders>
            <w:noWrap/>
            <w:vAlign w:val="bottom"/>
          </w:tcPr>
          <w:p w14:paraId="3559FB2A" w14:textId="52E01E66"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3.6</w:t>
            </w:r>
          </w:p>
        </w:tc>
        <w:tc>
          <w:tcPr>
            <w:tcW w:w="1460" w:type="dxa"/>
            <w:tcBorders>
              <w:top w:val="nil"/>
              <w:left w:val="nil"/>
              <w:bottom w:val="nil"/>
              <w:right w:val="nil"/>
            </w:tcBorders>
            <w:noWrap/>
            <w:vAlign w:val="bottom"/>
          </w:tcPr>
          <w:p w14:paraId="58055824" w14:textId="649BB458"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3.9</w:t>
            </w:r>
          </w:p>
        </w:tc>
        <w:tc>
          <w:tcPr>
            <w:tcW w:w="1460" w:type="dxa"/>
            <w:tcBorders>
              <w:top w:val="nil"/>
              <w:left w:val="nil"/>
              <w:bottom w:val="nil"/>
              <w:right w:val="single" w:sz="4" w:space="0" w:color="auto"/>
            </w:tcBorders>
            <w:noWrap/>
            <w:vAlign w:val="bottom"/>
            <w:hideMark/>
          </w:tcPr>
          <w:p w14:paraId="60134DC5" w14:textId="140495D4" w:rsidR="007C0C94" w:rsidRPr="002E487D" w:rsidRDefault="007C0C94" w:rsidP="007C0C94">
            <w:pPr>
              <w:spacing w:after="0" w:line="240" w:lineRule="auto"/>
              <w:jc w:val="center"/>
              <w:rPr>
                <w:rFonts w:eastAsia="Times New Roman" w:cs="Arial"/>
                <w:b/>
                <w:bCs/>
                <w:color w:val="000000"/>
                <w:lang w:eastAsia="en-AU"/>
              </w:rPr>
            </w:pPr>
            <w:r w:rsidRPr="002E487D">
              <w:rPr>
                <w:rFonts w:eastAsia="Times New Roman" w:cs="Arial"/>
                <w:b/>
                <w:bCs/>
                <w:color w:val="FF0000"/>
                <w:lang w:eastAsia="en-AU"/>
              </w:rPr>
              <w:t>Softened</w:t>
            </w:r>
          </w:p>
        </w:tc>
      </w:tr>
      <w:tr w:rsidR="007C0C94" w:rsidRPr="0077524B" w14:paraId="1A22444F" w14:textId="77777777" w:rsidTr="007C0C94">
        <w:trPr>
          <w:trHeight w:val="340"/>
        </w:trPr>
        <w:tc>
          <w:tcPr>
            <w:tcW w:w="4840" w:type="dxa"/>
            <w:tcBorders>
              <w:top w:val="nil"/>
              <w:left w:val="single" w:sz="4" w:space="0" w:color="auto"/>
              <w:bottom w:val="nil"/>
              <w:right w:val="single" w:sz="4" w:space="0" w:color="auto"/>
            </w:tcBorders>
            <w:noWrap/>
            <w:vAlign w:val="bottom"/>
            <w:hideMark/>
          </w:tcPr>
          <w:p w14:paraId="66AF5309" w14:textId="459E8041" w:rsidR="007C0C94" w:rsidRPr="0077524B" w:rsidRDefault="007C0C94" w:rsidP="007C0C94">
            <w:pPr>
              <w:spacing w:after="0" w:line="240" w:lineRule="auto"/>
              <w:rPr>
                <w:rFonts w:eastAsia="Times New Roman" w:cs="Arial"/>
                <w:color w:val="000000"/>
                <w:lang w:eastAsia="en-AU"/>
              </w:rPr>
            </w:pPr>
            <w:r>
              <w:rPr>
                <w:rFonts w:eastAsia="Times New Roman" w:cs="Arial"/>
                <w:color w:val="000000"/>
                <w:lang w:eastAsia="en-AU"/>
              </w:rPr>
              <w:t>Vacancy Fill Rate</w:t>
            </w:r>
            <w:r w:rsidRPr="0077524B">
              <w:rPr>
                <w:rFonts w:eastAsia="Times New Roman" w:cs="Arial"/>
                <w:color w:val="000000"/>
                <w:lang w:eastAsia="en-AU"/>
              </w:rPr>
              <w:t xml:space="preserve"> (%)</w:t>
            </w:r>
            <w:r w:rsidRPr="00D02BA0">
              <w:rPr>
                <w:rStyle w:val="FootnoteReference"/>
                <w:rFonts w:asciiTheme="majorHAnsi" w:hAnsiTheme="majorHAnsi" w:cstheme="majorHAnsi"/>
              </w:rPr>
              <w:footnoteReference w:id="2"/>
            </w:r>
          </w:p>
        </w:tc>
        <w:tc>
          <w:tcPr>
            <w:tcW w:w="1460" w:type="dxa"/>
            <w:tcBorders>
              <w:top w:val="nil"/>
              <w:left w:val="nil"/>
              <w:bottom w:val="nil"/>
              <w:right w:val="nil"/>
            </w:tcBorders>
            <w:noWrap/>
            <w:vAlign w:val="bottom"/>
          </w:tcPr>
          <w:p w14:paraId="6F117408" w14:textId="439BAC7F"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63.4</w:t>
            </w:r>
          </w:p>
        </w:tc>
        <w:tc>
          <w:tcPr>
            <w:tcW w:w="1460" w:type="dxa"/>
            <w:tcBorders>
              <w:top w:val="nil"/>
              <w:left w:val="nil"/>
              <w:bottom w:val="nil"/>
              <w:right w:val="nil"/>
            </w:tcBorders>
            <w:noWrap/>
            <w:vAlign w:val="bottom"/>
          </w:tcPr>
          <w:p w14:paraId="0B9D491A" w14:textId="30B3ADCE"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72.6</w:t>
            </w:r>
          </w:p>
        </w:tc>
        <w:tc>
          <w:tcPr>
            <w:tcW w:w="1460" w:type="dxa"/>
            <w:tcBorders>
              <w:top w:val="nil"/>
              <w:left w:val="nil"/>
              <w:bottom w:val="nil"/>
              <w:right w:val="single" w:sz="4" w:space="0" w:color="auto"/>
            </w:tcBorders>
            <w:noWrap/>
            <w:vAlign w:val="bottom"/>
            <w:hideMark/>
          </w:tcPr>
          <w:p w14:paraId="2C0A1707" w14:textId="0D2C99FA" w:rsidR="007C0C94" w:rsidRPr="002E487D" w:rsidRDefault="007C0C94" w:rsidP="007C0C94">
            <w:pPr>
              <w:spacing w:after="0" w:line="240" w:lineRule="auto"/>
              <w:jc w:val="center"/>
              <w:rPr>
                <w:rFonts w:eastAsia="Times New Roman" w:cs="Arial"/>
                <w:b/>
                <w:bCs/>
                <w:color w:val="00B050"/>
                <w:lang w:eastAsia="en-AU"/>
              </w:rPr>
            </w:pPr>
            <w:r w:rsidRPr="00003363">
              <w:rPr>
                <w:rFonts w:eastAsia="Times New Roman" w:cs="Arial"/>
                <w:b/>
                <w:bCs/>
                <w:color w:val="00B050"/>
                <w:lang w:eastAsia="en-AU"/>
              </w:rPr>
              <w:t>Improved</w:t>
            </w:r>
          </w:p>
        </w:tc>
      </w:tr>
      <w:tr w:rsidR="007C0C94" w:rsidRPr="0077524B" w14:paraId="1146A616" w14:textId="77777777" w:rsidTr="007C0C94">
        <w:trPr>
          <w:trHeight w:val="340"/>
        </w:trPr>
        <w:tc>
          <w:tcPr>
            <w:tcW w:w="4840" w:type="dxa"/>
            <w:tcBorders>
              <w:top w:val="nil"/>
              <w:left w:val="single" w:sz="4" w:space="0" w:color="auto"/>
              <w:bottom w:val="single" w:sz="4" w:space="0" w:color="auto"/>
              <w:right w:val="single" w:sz="4" w:space="0" w:color="auto"/>
            </w:tcBorders>
            <w:noWrap/>
            <w:vAlign w:val="bottom"/>
            <w:hideMark/>
          </w:tcPr>
          <w:p w14:paraId="2FA3393B" w14:textId="02BEF195" w:rsidR="007C0C94" w:rsidRPr="0077524B" w:rsidRDefault="007C0C94" w:rsidP="007C0C94">
            <w:pPr>
              <w:spacing w:after="0" w:line="240" w:lineRule="auto"/>
              <w:rPr>
                <w:rFonts w:eastAsia="Times New Roman" w:cs="Arial"/>
                <w:color w:val="000000"/>
                <w:lang w:eastAsia="en-AU"/>
              </w:rPr>
            </w:pPr>
            <w:r>
              <w:rPr>
                <w:rFonts w:eastAsia="Times New Roman" w:cs="Arial"/>
                <w:color w:val="000000"/>
                <w:lang w:eastAsia="en-AU"/>
              </w:rPr>
              <w:t>Underemployment Rate (%)</w:t>
            </w:r>
          </w:p>
        </w:tc>
        <w:tc>
          <w:tcPr>
            <w:tcW w:w="1460" w:type="dxa"/>
            <w:tcBorders>
              <w:top w:val="nil"/>
              <w:left w:val="nil"/>
              <w:bottom w:val="single" w:sz="4" w:space="0" w:color="auto"/>
              <w:right w:val="nil"/>
            </w:tcBorders>
            <w:noWrap/>
            <w:vAlign w:val="bottom"/>
          </w:tcPr>
          <w:p w14:paraId="23D75E8F" w14:textId="06B1A4A4"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7.2</w:t>
            </w:r>
          </w:p>
        </w:tc>
        <w:tc>
          <w:tcPr>
            <w:tcW w:w="1460" w:type="dxa"/>
            <w:tcBorders>
              <w:top w:val="nil"/>
              <w:left w:val="nil"/>
              <w:bottom w:val="single" w:sz="4" w:space="0" w:color="auto"/>
              <w:right w:val="nil"/>
            </w:tcBorders>
            <w:noWrap/>
            <w:vAlign w:val="bottom"/>
          </w:tcPr>
          <w:p w14:paraId="18534A6D" w14:textId="413E327C" w:rsidR="007C0C94" w:rsidRPr="0077524B" w:rsidRDefault="007C0C94" w:rsidP="007C0C94">
            <w:pPr>
              <w:spacing w:after="0" w:line="240" w:lineRule="auto"/>
              <w:jc w:val="center"/>
              <w:rPr>
                <w:rFonts w:eastAsia="Times New Roman" w:cs="Arial"/>
                <w:color w:val="000000"/>
                <w:lang w:eastAsia="en-AU"/>
              </w:rPr>
            </w:pPr>
            <w:r>
              <w:rPr>
                <w:rFonts w:eastAsia="Times New Roman" w:cs="Arial"/>
                <w:color w:val="000000"/>
                <w:lang w:eastAsia="en-AU"/>
              </w:rPr>
              <w:t>6.1</w:t>
            </w:r>
          </w:p>
        </w:tc>
        <w:tc>
          <w:tcPr>
            <w:tcW w:w="1460" w:type="dxa"/>
            <w:tcBorders>
              <w:top w:val="nil"/>
              <w:left w:val="nil"/>
              <w:bottom w:val="single" w:sz="4" w:space="0" w:color="auto"/>
              <w:right w:val="single" w:sz="4" w:space="0" w:color="auto"/>
            </w:tcBorders>
            <w:noWrap/>
            <w:vAlign w:val="bottom"/>
            <w:hideMark/>
          </w:tcPr>
          <w:p w14:paraId="4E5AED19" w14:textId="275255E2" w:rsidR="007C0C94" w:rsidRPr="00003363" w:rsidRDefault="007C0C94" w:rsidP="007C0C94">
            <w:pPr>
              <w:spacing w:after="0" w:line="240" w:lineRule="auto"/>
              <w:jc w:val="center"/>
              <w:rPr>
                <w:rFonts w:eastAsia="Times New Roman" w:cs="Arial"/>
                <w:b/>
                <w:bCs/>
                <w:color w:val="000000"/>
                <w:lang w:eastAsia="en-AU"/>
              </w:rPr>
            </w:pPr>
            <w:r w:rsidRPr="00003363">
              <w:rPr>
                <w:rFonts w:eastAsia="Times New Roman" w:cs="Arial"/>
                <w:b/>
                <w:bCs/>
                <w:color w:val="00B050"/>
                <w:lang w:eastAsia="en-AU"/>
              </w:rPr>
              <w:t>Improved</w:t>
            </w:r>
          </w:p>
        </w:tc>
      </w:tr>
    </w:tbl>
    <w:p w14:paraId="2DB2956D" w14:textId="77777777" w:rsidR="00DA14E3" w:rsidRDefault="00DA14E3" w:rsidP="00CC6A65">
      <w:pPr>
        <w:pStyle w:val="Source"/>
        <w:spacing w:before="0" w:line="259" w:lineRule="auto"/>
      </w:pPr>
      <w:r>
        <w:t xml:space="preserve">Source: JSA, </w:t>
      </w:r>
      <w:r w:rsidRPr="007D069F">
        <w:rPr>
          <w:i/>
          <w:iCs/>
        </w:rPr>
        <w:t>Regional Labour Market Indicator (RLMI)</w:t>
      </w:r>
      <w:r>
        <w:t>, September 2025</w:t>
      </w:r>
    </w:p>
    <w:p w14:paraId="33A326B0" w14:textId="27E7DF7A" w:rsidR="00095258" w:rsidRDefault="002E3B50" w:rsidP="000860AD">
      <w:r>
        <w:t xml:space="preserve">In contrast to the strength seen elsewhere in Greater Adelaide, the </w:t>
      </w:r>
      <w:r w:rsidR="00095258">
        <w:t xml:space="preserve">Adelaide – North (SA4) region has a long history of labour market disadvantage, with conditions having been regularly rated as ‘poor’ over the last decade, relative to the national average. </w:t>
      </w:r>
    </w:p>
    <w:p w14:paraId="64C0180E" w14:textId="1BE28969" w:rsidR="00434796" w:rsidRDefault="00095258" w:rsidP="00095258">
      <w:pPr>
        <w:pStyle w:val="ListParagraph"/>
        <w:numPr>
          <w:ilvl w:val="0"/>
          <w:numId w:val="36"/>
        </w:numPr>
      </w:pPr>
      <w:r>
        <w:t xml:space="preserve">Contributing to persistently poor conditions in the region is a low rate of employment, a high proportion of the working age population on JobSeeker Income Support, and a high unemployment rate. </w:t>
      </w:r>
    </w:p>
    <w:p w14:paraId="7E767C59" w14:textId="5F7CECDA" w:rsidR="00434796" w:rsidRDefault="00095258" w:rsidP="000860AD">
      <w:r>
        <w:lastRenderedPageBreak/>
        <w:t xml:space="preserve">Taken together, these key measures of labour market performance indicate considerable spare capacity in the region’s labour market and highlight the pronounced difficulty for jobseekers. </w:t>
      </w:r>
    </w:p>
    <w:p w14:paraId="0A8AA27B" w14:textId="064C6035" w:rsidR="00806934" w:rsidRDefault="000A57AC" w:rsidP="00806934">
      <w:pPr>
        <w:pStyle w:val="Heading3"/>
        <w:keepLines w:val="0"/>
      </w:pPr>
      <w:r>
        <w:t>Spotlight</w:t>
      </w:r>
      <w:r w:rsidR="00653BDD">
        <w:t xml:space="preserve">: </w:t>
      </w:r>
      <w:bookmarkStart w:id="3" w:name="_Hlk205651381"/>
      <w:r w:rsidR="004D2C9E">
        <w:t>Our (regional) Gen AI Transition</w:t>
      </w:r>
      <w:bookmarkEnd w:id="3"/>
    </w:p>
    <w:p w14:paraId="13DF1745" w14:textId="6C44EF40" w:rsidR="00852D25" w:rsidRPr="00852D25" w:rsidRDefault="00852D25" w:rsidP="00852D25">
      <w:pPr>
        <w:rPr>
          <w:rFonts w:eastAsia="Arial"/>
        </w:rPr>
      </w:pPr>
      <w:r w:rsidRPr="00852D25">
        <w:rPr>
          <w:rFonts w:eastAsia="Arial"/>
        </w:rPr>
        <w:t>Generative AI</w:t>
      </w:r>
      <w:r w:rsidRPr="00D02BA0">
        <w:rPr>
          <w:rStyle w:val="FootnoteReference"/>
          <w:rFonts w:asciiTheme="majorHAnsi" w:hAnsiTheme="majorHAnsi" w:cstheme="majorHAnsi"/>
        </w:rPr>
        <w:footnoteReference w:id="3"/>
      </w:r>
      <w:r w:rsidRPr="00852D25">
        <w:rPr>
          <w:rFonts w:eastAsia="Arial"/>
        </w:rPr>
        <w:t xml:space="preserve"> (Gen AI) is one of the most significant shifts shaping Australia’s labour market. It can change how work is done—helping people work smarter, boosting productivity, and creating new opportunities across industries. Jobs and Skills Australia’s landmark </w:t>
      </w:r>
      <w:hyperlink r:id="rId20" w:history="1">
        <w:r w:rsidRPr="00852D25">
          <w:rPr>
            <w:rStyle w:val="Hyperlink"/>
            <w:rFonts w:eastAsia="Arial"/>
            <w:i/>
            <w:iCs/>
          </w:rPr>
          <w:t>Generative AI Capacity Study</w:t>
        </w:r>
      </w:hyperlink>
      <w:r w:rsidRPr="00852D25">
        <w:rPr>
          <w:rFonts w:eastAsia="Arial"/>
        </w:rPr>
        <w:t xml:space="preserve"> provides the first comprehensive view of Gen AI’s potential, its impact so far, and what’s needed to support the digital </w:t>
      </w:r>
      <w:r w:rsidR="000D07A8">
        <w:rPr>
          <w:rFonts w:eastAsia="Arial"/>
        </w:rPr>
        <w:t xml:space="preserve">and AI </w:t>
      </w:r>
      <w:r w:rsidRPr="00852D25">
        <w:rPr>
          <w:rFonts w:eastAsia="Arial"/>
        </w:rPr>
        <w:t>transition.</w:t>
      </w:r>
    </w:p>
    <w:p w14:paraId="3A597E44" w14:textId="1C525AA8" w:rsidR="00C23E5B" w:rsidRDefault="00852D25" w:rsidP="00852D25">
      <w:pPr>
        <w:rPr>
          <w:rFonts w:eastAsia="Arial"/>
        </w:rPr>
      </w:pPr>
      <w:r w:rsidRPr="00852D25">
        <w:rPr>
          <w:rFonts w:eastAsia="Arial"/>
        </w:rPr>
        <w:t xml:space="preserve">Analysis of this study alongside RLMI data shows that exposure to Gen AI—through </w:t>
      </w:r>
      <w:r w:rsidRPr="00852D25">
        <w:rPr>
          <w:rFonts w:eastAsia="Arial"/>
          <w:b/>
          <w:bCs/>
        </w:rPr>
        <w:t>automation</w:t>
      </w:r>
      <w:r w:rsidRPr="00D02BA0">
        <w:rPr>
          <w:rStyle w:val="FootnoteReference"/>
          <w:rFonts w:asciiTheme="majorHAnsi" w:hAnsiTheme="majorHAnsi" w:cstheme="majorHAnsi"/>
        </w:rPr>
        <w:footnoteReference w:id="4"/>
      </w:r>
      <w:r w:rsidRPr="00852D25">
        <w:rPr>
          <w:rFonts w:eastAsia="Arial"/>
        </w:rPr>
        <w:t xml:space="preserve"> (AI doing tasks </w:t>
      </w:r>
      <w:r w:rsidR="000D07A8">
        <w:rPr>
          <w:rFonts w:eastAsia="Arial"/>
        </w:rPr>
        <w:t xml:space="preserve">previously done by </w:t>
      </w:r>
      <w:r w:rsidRPr="00852D25">
        <w:rPr>
          <w:rFonts w:eastAsia="Arial"/>
        </w:rPr>
        <w:t xml:space="preserve">people) and </w:t>
      </w:r>
      <w:r w:rsidRPr="00852D25">
        <w:rPr>
          <w:rFonts w:eastAsia="Arial"/>
          <w:b/>
          <w:bCs/>
        </w:rPr>
        <w:t>augmentation</w:t>
      </w:r>
      <w:r w:rsidRPr="00D02BA0">
        <w:rPr>
          <w:rStyle w:val="FootnoteReference"/>
          <w:rFonts w:asciiTheme="majorHAnsi" w:hAnsiTheme="majorHAnsi" w:cstheme="majorHAnsi"/>
        </w:rPr>
        <w:footnoteReference w:id="5"/>
      </w:r>
      <w:r w:rsidRPr="00852D25">
        <w:rPr>
          <w:rFonts w:eastAsia="Arial"/>
        </w:rPr>
        <w:t xml:space="preserve"> (AI helping people do tasks better)—is highest in stronger performing labour markets in </w:t>
      </w:r>
      <w:r w:rsidR="00B927D9">
        <w:rPr>
          <w:rFonts w:eastAsia="Arial"/>
        </w:rPr>
        <w:t>m</w:t>
      </w:r>
      <w:r w:rsidRPr="00852D25">
        <w:rPr>
          <w:rFonts w:eastAsia="Arial"/>
        </w:rPr>
        <w:t xml:space="preserve">ajor </w:t>
      </w:r>
      <w:r w:rsidR="00B927D9">
        <w:rPr>
          <w:rFonts w:eastAsia="Arial"/>
        </w:rPr>
        <w:t>c</w:t>
      </w:r>
      <w:r w:rsidRPr="00852D25">
        <w:rPr>
          <w:rFonts w:eastAsia="Arial"/>
        </w:rPr>
        <w:t>ities (see Table 2</w:t>
      </w:r>
      <w:r>
        <w:rPr>
          <w:rFonts w:eastAsia="Arial"/>
        </w:rPr>
        <w:t>, below</w:t>
      </w:r>
      <w:r w:rsidRPr="00D02BA0">
        <w:rPr>
          <w:rStyle w:val="FootnoteReference"/>
          <w:rFonts w:asciiTheme="majorHAnsi" w:hAnsiTheme="majorHAnsi" w:cstheme="majorHAnsi"/>
        </w:rPr>
        <w:footnoteReference w:id="6"/>
      </w:r>
      <w:r w:rsidRPr="00852D25">
        <w:rPr>
          <w:rFonts w:eastAsia="Arial"/>
        </w:rPr>
        <w:t xml:space="preserve">). Regional and </w:t>
      </w:r>
      <w:r w:rsidR="00B927D9">
        <w:rPr>
          <w:rFonts w:eastAsia="Arial"/>
        </w:rPr>
        <w:t>r</w:t>
      </w:r>
      <w:r w:rsidRPr="00852D25">
        <w:rPr>
          <w:rFonts w:eastAsia="Arial"/>
        </w:rPr>
        <w:t>emote areas</w:t>
      </w:r>
      <w:r w:rsidR="00E83FB3">
        <w:rPr>
          <w:rFonts w:eastAsia="Arial"/>
        </w:rPr>
        <w:t>, however,</w:t>
      </w:r>
      <w:r w:rsidRPr="00852D25">
        <w:rPr>
          <w:rFonts w:eastAsia="Arial"/>
        </w:rPr>
        <w:t xml:space="preserve"> have lower exposure, meaning less immediate disruption but also fewer short-term productivity gains</w:t>
      </w:r>
      <w:r w:rsidR="000D07A8">
        <w:rPr>
          <w:rFonts w:eastAsia="Arial"/>
        </w:rPr>
        <w:t xml:space="preserve"> or opportunities to develop experience with the new technology</w:t>
      </w:r>
      <w:r w:rsidRPr="00852D25">
        <w:rPr>
          <w:rFonts w:eastAsia="Arial"/>
        </w:rPr>
        <w:t>.</w:t>
      </w:r>
    </w:p>
    <w:p w14:paraId="3B333F0F" w14:textId="77777777" w:rsidR="00852D25" w:rsidRDefault="00852D25" w:rsidP="00852D25">
      <w:r>
        <w:rPr>
          <w:b/>
          <w:bCs/>
          <w:sz w:val="20"/>
          <w:szCs w:val="20"/>
        </w:rPr>
        <w:t>Table 2</w:t>
      </w:r>
      <w:r w:rsidRPr="00493EE9">
        <w:rPr>
          <w:b/>
          <w:bCs/>
          <w:sz w:val="20"/>
          <w:szCs w:val="20"/>
        </w:rPr>
        <w:t xml:space="preserve">: </w:t>
      </w:r>
      <w:r>
        <w:rPr>
          <w:b/>
          <w:bCs/>
          <w:sz w:val="20"/>
          <w:szCs w:val="20"/>
        </w:rPr>
        <w:t>AI Exposure (weighted occupations)</w:t>
      </w:r>
    </w:p>
    <w:tbl>
      <w:tblPr>
        <w:tblW w:w="8920" w:type="dxa"/>
        <w:tblLook w:val="04A0" w:firstRow="1" w:lastRow="0" w:firstColumn="1" w:lastColumn="0" w:noHBand="0" w:noVBand="1"/>
      </w:tblPr>
      <w:tblGrid>
        <w:gridCol w:w="2600"/>
        <w:gridCol w:w="3040"/>
        <w:gridCol w:w="3280"/>
      </w:tblGrid>
      <w:tr w:rsidR="00852D25" w:rsidRPr="00B40BF6" w14:paraId="528B9A5B" w14:textId="77777777" w:rsidTr="00BB6ECF">
        <w:trPr>
          <w:trHeight w:val="300"/>
        </w:trPr>
        <w:tc>
          <w:tcPr>
            <w:tcW w:w="2600" w:type="dxa"/>
            <w:tcBorders>
              <w:top w:val="single" w:sz="4" w:space="0" w:color="auto"/>
              <w:left w:val="single" w:sz="4" w:space="0" w:color="auto"/>
              <w:bottom w:val="single" w:sz="4" w:space="0" w:color="auto"/>
              <w:right w:val="single" w:sz="4" w:space="0" w:color="auto"/>
            </w:tcBorders>
            <w:shd w:val="clear" w:color="000000" w:fill="4B0985"/>
            <w:noWrap/>
            <w:vAlign w:val="bottom"/>
            <w:hideMark/>
          </w:tcPr>
          <w:p w14:paraId="3806EAFB" w14:textId="77777777" w:rsidR="00852D25" w:rsidRPr="00B40BF6" w:rsidRDefault="00852D25" w:rsidP="00BB6ECF">
            <w:pPr>
              <w:spacing w:after="0" w:line="240" w:lineRule="auto"/>
              <w:rPr>
                <w:rFonts w:ascii="Aptos Narrow" w:eastAsia="Times New Roman" w:hAnsi="Aptos Narrow" w:cs="Times New Roman"/>
                <w:color w:val="FFFFFF"/>
                <w:lang w:eastAsia="en-AU"/>
              </w:rPr>
            </w:pPr>
            <w:r w:rsidRPr="00B40BF6">
              <w:rPr>
                <w:rFonts w:ascii="Aptos Narrow" w:eastAsia="Times New Roman" w:hAnsi="Aptos Narrow" w:cs="Times New Roman"/>
                <w:color w:val="FFFFFF"/>
                <w:lang w:eastAsia="en-AU"/>
              </w:rPr>
              <w:t> </w:t>
            </w:r>
          </w:p>
        </w:tc>
        <w:tc>
          <w:tcPr>
            <w:tcW w:w="3040" w:type="dxa"/>
            <w:tcBorders>
              <w:top w:val="single" w:sz="4" w:space="0" w:color="auto"/>
              <w:left w:val="nil"/>
              <w:bottom w:val="single" w:sz="4" w:space="0" w:color="auto"/>
              <w:right w:val="nil"/>
            </w:tcBorders>
            <w:shd w:val="clear" w:color="000000" w:fill="4B0985"/>
            <w:noWrap/>
            <w:vAlign w:val="bottom"/>
            <w:hideMark/>
          </w:tcPr>
          <w:p w14:paraId="7C71726D" w14:textId="77777777" w:rsidR="00852D25" w:rsidRPr="00B40BF6" w:rsidRDefault="00852D25" w:rsidP="00BB6ECF">
            <w:pPr>
              <w:spacing w:after="0" w:line="240" w:lineRule="auto"/>
              <w:jc w:val="center"/>
              <w:rPr>
                <w:rFonts w:ascii="Aptos Narrow" w:eastAsia="Times New Roman" w:hAnsi="Aptos Narrow" w:cs="Times New Roman"/>
                <w:b/>
                <w:bCs/>
                <w:color w:val="FFFFFF"/>
                <w:lang w:eastAsia="en-AU"/>
              </w:rPr>
            </w:pPr>
            <w:r>
              <w:rPr>
                <w:rFonts w:ascii="Aptos Narrow" w:eastAsia="Times New Roman" w:hAnsi="Aptos Narrow" w:cs="Times New Roman"/>
                <w:b/>
                <w:bCs/>
                <w:color w:val="FFFFFF"/>
                <w:u w:val="single"/>
                <w:lang w:eastAsia="en-AU"/>
              </w:rPr>
              <w:t>A</w:t>
            </w:r>
            <w:r w:rsidRPr="00B40BF6">
              <w:rPr>
                <w:rFonts w:ascii="Aptos Narrow" w:eastAsia="Times New Roman" w:hAnsi="Aptos Narrow" w:cs="Times New Roman"/>
                <w:b/>
                <w:bCs/>
                <w:color w:val="FFFFFF"/>
                <w:u w:val="single"/>
                <w:lang w:eastAsia="en-AU"/>
              </w:rPr>
              <w:t>utomation</w:t>
            </w:r>
            <w:r w:rsidRPr="00B40BF6">
              <w:rPr>
                <w:rFonts w:ascii="Aptos Narrow" w:eastAsia="Times New Roman" w:hAnsi="Aptos Narrow" w:cs="Times New Roman"/>
                <w:color w:val="FFFFFF"/>
                <w:lang w:eastAsia="en-AU"/>
              </w:rPr>
              <w:t xml:space="preserve"> exposure</w:t>
            </w:r>
          </w:p>
        </w:tc>
        <w:tc>
          <w:tcPr>
            <w:tcW w:w="3280" w:type="dxa"/>
            <w:tcBorders>
              <w:top w:val="single" w:sz="4" w:space="0" w:color="auto"/>
              <w:left w:val="single" w:sz="4" w:space="0" w:color="auto"/>
              <w:bottom w:val="single" w:sz="4" w:space="0" w:color="auto"/>
              <w:right w:val="single" w:sz="4" w:space="0" w:color="auto"/>
            </w:tcBorders>
            <w:shd w:val="clear" w:color="000000" w:fill="4B0985"/>
            <w:noWrap/>
            <w:vAlign w:val="bottom"/>
            <w:hideMark/>
          </w:tcPr>
          <w:p w14:paraId="273FB83C" w14:textId="77777777" w:rsidR="00852D25" w:rsidRPr="00B40BF6" w:rsidRDefault="00852D25" w:rsidP="00BB6ECF">
            <w:pPr>
              <w:spacing w:after="0" w:line="240" w:lineRule="auto"/>
              <w:jc w:val="center"/>
              <w:rPr>
                <w:rFonts w:ascii="Aptos Narrow" w:eastAsia="Times New Roman" w:hAnsi="Aptos Narrow" w:cs="Times New Roman"/>
                <w:color w:val="FFFFFF"/>
                <w:lang w:eastAsia="en-AU"/>
              </w:rPr>
            </w:pPr>
            <w:r>
              <w:rPr>
                <w:rFonts w:ascii="Aptos Narrow" w:eastAsia="Times New Roman" w:hAnsi="Aptos Narrow" w:cs="Times New Roman"/>
                <w:b/>
                <w:bCs/>
                <w:color w:val="FFFFFF"/>
                <w:u w:val="single"/>
                <w:lang w:eastAsia="en-AU"/>
              </w:rPr>
              <w:t>A</w:t>
            </w:r>
            <w:r w:rsidRPr="00B40BF6">
              <w:rPr>
                <w:rFonts w:ascii="Aptos Narrow" w:eastAsia="Times New Roman" w:hAnsi="Aptos Narrow" w:cs="Times New Roman"/>
                <w:b/>
                <w:bCs/>
                <w:color w:val="FFFFFF"/>
                <w:u w:val="single"/>
                <w:lang w:eastAsia="en-AU"/>
              </w:rPr>
              <w:t>ugmentation</w:t>
            </w:r>
            <w:r w:rsidRPr="00B40BF6">
              <w:rPr>
                <w:rFonts w:ascii="Aptos Narrow" w:eastAsia="Times New Roman" w:hAnsi="Aptos Narrow" w:cs="Times New Roman"/>
                <w:color w:val="FFFFFF"/>
                <w:lang w:eastAsia="en-AU"/>
              </w:rPr>
              <w:t xml:space="preserve"> exposure</w:t>
            </w:r>
          </w:p>
        </w:tc>
      </w:tr>
      <w:tr w:rsidR="00852D25" w:rsidRPr="00B40BF6" w14:paraId="6B7A5AFA" w14:textId="77777777" w:rsidTr="00BB6ECF">
        <w:trPr>
          <w:trHeight w:val="300"/>
        </w:trPr>
        <w:tc>
          <w:tcPr>
            <w:tcW w:w="2600" w:type="dxa"/>
            <w:tcBorders>
              <w:top w:val="nil"/>
              <w:left w:val="single" w:sz="4" w:space="0" w:color="auto"/>
              <w:bottom w:val="nil"/>
              <w:right w:val="single" w:sz="4" w:space="0" w:color="auto"/>
            </w:tcBorders>
            <w:shd w:val="clear" w:color="000000" w:fill="FFFFFF"/>
            <w:noWrap/>
            <w:vAlign w:val="bottom"/>
            <w:hideMark/>
          </w:tcPr>
          <w:p w14:paraId="50AD769D" w14:textId="77777777" w:rsidR="00852D25" w:rsidRPr="00B40BF6" w:rsidRDefault="00852D25" w:rsidP="00BB6ECF">
            <w:pPr>
              <w:spacing w:after="0" w:line="240" w:lineRule="auto"/>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Major City average</w:t>
            </w:r>
          </w:p>
        </w:tc>
        <w:tc>
          <w:tcPr>
            <w:tcW w:w="3040" w:type="dxa"/>
            <w:tcBorders>
              <w:top w:val="nil"/>
              <w:left w:val="nil"/>
              <w:bottom w:val="nil"/>
              <w:right w:val="nil"/>
            </w:tcBorders>
            <w:shd w:val="clear" w:color="000000" w:fill="FFFFFF"/>
            <w:noWrap/>
            <w:vAlign w:val="bottom"/>
            <w:hideMark/>
          </w:tcPr>
          <w:p w14:paraId="29AC51E8"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0.38</w:t>
            </w:r>
          </w:p>
        </w:tc>
        <w:tc>
          <w:tcPr>
            <w:tcW w:w="3280" w:type="dxa"/>
            <w:tcBorders>
              <w:top w:val="nil"/>
              <w:left w:val="single" w:sz="4" w:space="0" w:color="auto"/>
              <w:bottom w:val="nil"/>
              <w:right w:val="single" w:sz="4" w:space="0" w:color="auto"/>
            </w:tcBorders>
            <w:shd w:val="clear" w:color="000000" w:fill="FFFFFF"/>
            <w:noWrap/>
            <w:vAlign w:val="bottom"/>
            <w:hideMark/>
          </w:tcPr>
          <w:p w14:paraId="52CF0832"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0.63</w:t>
            </w:r>
          </w:p>
        </w:tc>
      </w:tr>
      <w:tr w:rsidR="00852D25" w:rsidRPr="00B40BF6" w14:paraId="563EA722" w14:textId="77777777" w:rsidTr="00BB6ECF">
        <w:trPr>
          <w:trHeight w:val="300"/>
        </w:trPr>
        <w:tc>
          <w:tcPr>
            <w:tcW w:w="2600" w:type="dxa"/>
            <w:tcBorders>
              <w:top w:val="nil"/>
              <w:left w:val="single" w:sz="4" w:space="0" w:color="auto"/>
              <w:bottom w:val="nil"/>
              <w:right w:val="single" w:sz="4" w:space="0" w:color="auto"/>
            </w:tcBorders>
            <w:shd w:val="clear" w:color="000000" w:fill="FFFFFF"/>
            <w:noWrap/>
            <w:vAlign w:val="bottom"/>
            <w:hideMark/>
          </w:tcPr>
          <w:p w14:paraId="5001097A" w14:textId="77777777" w:rsidR="00852D25" w:rsidRPr="00B40BF6" w:rsidRDefault="00852D25" w:rsidP="00BB6ECF">
            <w:pPr>
              <w:spacing w:after="0" w:line="240" w:lineRule="auto"/>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Regional average</w:t>
            </w:r>
          </w:p>
        </w:tc>
        <w:tc>
          <w:tcPr>
            <w:tcW w:w="3040" w:type="dxa"/>
            <w:tcBorders>
              <w:top w:val="nil"/>
              <w:left w:val="nil"/>
              <w:bottom w:val="nil"/>
              <w:right w:val="nil"/>
            </w:tcBorders>
            <w:shd w:val="clear" w:color="000000" w:fill="FFFFFF"/>
            <w:noWrap/>
            <w:vAlign w:val="bottom"/>
            <w:hideMark/>
          </w:tcPr>
          <w:p w14:paraId="52D57372"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0.35</w:t>
            </w:r>
          </w:p>
        </w:tc>
        <w:tc>
          <w:tcPr>
            <w:tcW w:w="3280" w:type="dxa"/>
            <w:tcBorders>
              <w:top w:val="nil"/>
              <w:left w:val="single" w:sz="4" w:space="0" w:color="auto"/>
              <w:bottom w:val="nil"/>
              <w:right w:val="single" w:sz="4" w:space="0" w:color="auto"/>
            </w:tcBorders>
            <w:shd w:val="clear" w:color="000000" w:fill="FFFFFF"/>
            <w:noWrap/>
            <w:vAlign w:val="bottom"/>
            <w:hideMark/>
          </w:tcPr>
          <w:p w14:paraId="61BACC5B"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0.62</w:t>
            </w:r>
          </w:p>
        </w:tc>
      </w:tr>
      <w:tr w:rsidR="00852D25" w:rsidRPr="00B40BF6" w14:paraId="44138495" w14:textId="77777777" w:rsidTr="00BB6ECF">
        <w:trPr>
          <w:trHeight w:val="315"/>
        </w:trPr>
        <w:tc>
          <w:tcPr>
            <w:tcW w:w="2600" w:type="dxa"/>
            <w:tcBorders>
              <w:top w:val="nil"/>
              <w:left w:val="single" w:sz="4" w:space="0" w:color="auto"/>
              <w:bottom w:val="single" w:sz="4" w:space="0" w:color="auto"/>
              <w:right w:val="single" w:sz="4" w:space="0" w:color="auto"/>
            </w:tcBorders>
            <w:shd w:val="clear" w:color="000000" w:fill="FFFFFF"/>
            <w:noWrap/>
            <w:vAlign w:val="bottom"/>
            <w:hideMark/>
          </w:tcPr>
          <w:p w14:paraId="3C9EA8A8" w14:textId="77777777" w:rsidR="00852D25" w:rsidRPr="00B40BF6" w:rsidRDefault="00852D25" w:rsidP="00BB6ECF">
            <w:pPr>
              <w:spacing w:after="0" w:line="240" w:lineRule="auto"/>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Remote average</w:t>
            </w:r>
          </w:p>
        </w:tc>
        <w:tc>
          <w:tcPr>
            <w:tcW w:w="3040" w:type="dxa"/>
            <w:tcBorders>
              <w:top w:val="nil"/>
              <w:left w:val="nil"/>
              <w:bottom w:val="single" w:sz="4" w:space="0" w:color="auto"/>
              <w:right w:val="nil"/>
            </w:tcBorders>
            <w:shd w:val="clear" w:color="000000" w:fill="FFFFFF"/>
            <w:noWrap/>
            <w:vAlign w:val="bottom"/>
            <w:hideMark/>
          </w:tcPr>
          <w:p w14:paraId="2DB8FEB0"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0.33</w:t>
            </w:r>
          </w:p>
        </w:tc>
        <w:tc>
          <w:tcPr>
            <w:tcW w:w="3280" w:type="dxa"/>
            <w:tcBorders>
              <w:top w:val="nil"/>
              <w:left w:val="single" w:sz="4" w:space="0" w:color="auto"/>
              <w:bottom w:val="single" w:sz="4" w:space="0" w:color="auto"/>
              <w:right w:val="single" w:sz="4" w:space="0" w:color="auto"/>
            </w:tcBorders>
            <w:shd w:val="clear" w:color="000000" w:fill="FFFFFF"/>
            <w:noWrap/>
            <w:vAlign w:val="bottom"/>
            <w:hideMark/>
          </w:tcPr>
          <w:p w14:paraId="2D0F6E9F" w14:textId="77777777" w:rsidR="00852D25" w:rsidRPr="00B40BF6" w:rsidRDefault="00852D25" w:rsidP="00BB6ECF">
            <w:pPr>
              <w:spacing w:after="0" w:line="240" w:lineRule="auto"/>
              <w:jc w:val="center"/>
              <w:rPr>
                <w:rFonts w:ascii="Aptos Narrow" w:eastAsia="Times New Roman" w:hAnsi="Aptos Narrow" w:cs="Times New Roman"/>
                <w:color w:val="000000"/>
                <w:lang w:eastAsia="en-AU"/>
              </w:rPr>
            </w:pPr>
            <w:r w:rsidRPr="00B40BF6">
              <w:rPr>
                <w:rFonts w:ascii="Aptos Narrow" w:eastAsia="Times New Roman" w:hAnsi="Aptos Narrow" w:cs="Times New Roman"/>
                <w:color w:val="000000"/>
                <w:lang w:eastAsia="en-AU"/>
              </w:rPr>
              <w:t>0.61</w:t>
            </w:r>
          </w:p>
        </w:tc>
      </w:tr>
    </w:tbl>
    <w:p w14:paraId="3BD21229" w14:textId="77777777" w:rsidR="00852D25" w:rsidRDefault="00852D25" w:rsidP="00852D25">
      <w:pPr>
        <w:pStyle w:val="Source"/>
        <w:spacing w:before="0" w:after="0"/>
      </w:pPr>
      <w:r>
        <w:t xml:space="preserve">Source: JSA, </w:t>
      </w:r>
      <w:r w:rsidRPr="00B40BF6">
        <w:rPr>
          <w:i/>
          <w:iCs/>
        </w:rPr>
        <w:t>Our Gen AI Transition: Generative AI Capacity Study</w:t>
      </w:r>
      <w:r>
        <w:t>, 2025</w:t>
      </w:r>
    </w:p>
    <w:p w14:paraId="465B64B5" w14:textId="3CE409AA" w:rsidR="00852D25" w:rsidRPr="00852D25" w:rsidRDefault="00852D25" w:rsidP="00852D25">
      <w:pPr>
        <w:rPr>
          <w:sz w:val="18"/>
          <w:szCs w:val="18"/>
        </w:rPr>
      </w:pPr>
      <w:r w:rsidRPr="008F134F">
        <w:rPr>
          <w:sz w:val="18"/>
          <w:szCs w:val="18"/>
        </w:rPr>
        <w:t xml:space="preserve">Note: See Appendix A for AI Exposure (weighted occupations) by SA4 </w:t>
      </w:r>
    </w:p>
    <w:p w14:paraId="60BF475E" w14:textId="77777777" w:rsidR="000D07A8" w:rsidRPr="000D07A8" w:rsidRDefault="000D07A8" w:rsidP="000D07A8">
      <w:pPr>
        <w:rPr>
          <w:rFonts w:eastAsia="Arial"/>
        </w:rPr>
      </w:pPr>
      <w:r w:rsidRPr="000D07A8">
        <w:rPr>
          <w:rFonts w:eastAsia="Arial"/>
        </w:rPr>
        <w:t>Differences in AI exposure across regions reflect the types of jobs and industries that are common in local economies. Major city areas have more roles that involve tasks Gen AI can easily augment or automate. In contrast, regional and remote areas rely more on hands-on sectors like agriculture, trades, and tourism, where tasks are less suited to automation or augmentation. This occupational mix means cities face higher exposure to AI-driven change – both opportunities and challenges - while regional areas experience lower exposure and may see a slower pace of adoption.</w:t>
      </w:r>
    </w:p>
    <w:p w14:paraId="04B5EDCD" w14:textId="46979700" w:rsidR="00DA14E3" w:rsidRDefault="000D07A8">
      <w:pPr>
        <w:spacing w:after="160" w:line="259" w:lineRule="auto"/>
        <w:rPr>
          <w:rFonts w:eastAsia="Arial"/>
        </w:rPr>
      </w:pPr>
      <w:r w:rsidRPr="000D07A8">
        <w:rPr>
          <w:rFonts w:eastAsia="Arial"/>
        </w:rPr>
        <w:t xml:space="preserve">This has important implications. Regions with higher augmentation exposure—typically major cities with stronger labour markets—may be better placed to use AI to drive innovation and growth. However, for regional and remote areas, lower AI exposure may offer valuable time to plan and invest in skills, ensuring workers are ready for gradual adoption. This transition offers a chance to shape AI adoption on regional terms—including focusing on sectors like health care, education, and construction. By building digital capability now, regions can unlock AI’s broad potential benefits while supporting inclusive growth across </w:t>
      </w:r>
      <w:r w:rsidRPr="000D07A8">
        <w:rPr>
          <w:rFonts w:eastAsia="Arial"/>
        </w:rPr>
        <w:t>Australia.</w:t>
      </w:r>
    </w:p>
    <w:p w14:paraId="563E1CE8" w14:textId="77777777" w:rsidR="00791481" w:rsidRDefault="00791481">
      <w:pPr>
        <w:spacing w:after="160" w:line="259" w:lineRule="auto"/>
        <w:rPr>
          <w:rFonts w:eastAsiaTheme="majorEastAsia" w:cstheme="majorBidi"/>
          <w:b/>
          <w:sz w:val="32"/>
          <w:szCs w:val="26"/>
        </w:rPr>
      </w:pPr>
    </w:p>
    <w:p w14:paraId="03D48C93" w14:textId="7BBFB5FF" w:rsidR="009B7476" w:rsidRDefault="009B7476" w:rsidP="009B7476">
      <w:pPr>
        <w:pStyle w:val="Heading2"/>
        <w:keepNext w:val="0"/>
        <w:keepLines w:val="0"/>
      </w:pPr>
      <w:r>
        <w:lastRenderedPageBreak/>
        <w:t>Appendix A: AI exposure (weighted occupations) by</w:t>
      </w:r>
      <w:r w:rsidRPr="00BC1B66">
        <w:t xml:space="preserve"> SA4</w:t>
      </w:r>
    </w:p>
    <w:tbl>
      <w:tblPr>
        <w:tblW w:w="9180" w:type="dxa"/>
        <w:tblLook w:val="04A0" w:firstRow="1" w:lastRow="0" w:firstColumn="1" w:lastColumn="0" w:noHBand="0" w:noVBand="1"/>
      </w:tblPr>
      <w:tblGrid>
        <w:gridCol w:w="3580"/>
        <w:gridCol w:w="1460"/>
        <w:gridCol w:w="1960"/>
        <w:gridCol w:w="2180"/>
      </w:tblGrid>
      <w:tr w:rsidR="009B7476" w:rsidRPr="009B7476" w14:paraId="3753C62C" w14:textId="77777777" w:rsidTr="009B7476">
        <w:trPr>
          <w:trHeight w:val="283"/>
        </w:trPr>
        <w:tc>
          <w:tcPr>
            <w:tcW w:w="3580" w:type="dxa"/>
            <w:tcBorders>
              <w:top w:val="single" w:sz="4" w:space="0" w:color="auto"/>
              <w:left w:val="single" w:sz="4" w:space="0" w:color="auto"/>
              <w:bottom w:val="nil"/>
              <w:right w:val="single" w:sz="4" w:space="0" w:color="auto"/>
            </w:tcBorders>
            <w:shd w:val="clear" w:color="000000" w:fill="4B0985"/>
            <w:vAlign w:val="center"/>
            <w:hideMark/>
          </w:tcPr>
          <w:p w14:paraId="55359713"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Statistical Area Level 4 (SA4)</w:t>
            </w:r>
          </w:p>
        </w:tc>
        <w:tc>
          <w:tcPr>
            <w:tcW w:w="1460" w:type="dxa"/>
            <w:tcBorders>
              <w:top w:val="single" w:sz="4" w:space="0" w:color="auto"/>
              <w:left w:val="nil"/>
              <w:bottom w:val="single" w:sz="4" w:space="0" w:color="auto"/>
              <w:right w:val="single" w:sz="4" w:space="0" w:color="auto"/>
            </w:tcBorders>
            <w:shd w:val="clear" w:color="000000" w:fill="4B0985"/>
            <w:noWrap/>
            <w:vAlign w:val="center"/>
            <w:hideMark/>
          </w:tcPr>
          <w:p w14:paraId="03F18A00"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RLMI Rating</w:t>
            </w:r>
          </w:p>
        </w:tc>
        <w:tc>
          <w:tcPr>
            <w:tcW w:w="1960" w:type="dxa"/>
            <w:tcBorders>
              <w:top w:val="single" w:sz="4" w:space="0" w:color="auto"/>
              <w:left w:val="nil"/>
              <w:bottom w:val="single" w:sz="4" w:space="0" w:color="auto"/>
              <w:right w:val="single" w:sz="4" w:space="0" w:color="auto"/>
            </w:tcBorders>
            <w:shd w:val="clear" w:color="000000" w:fill="4B0985"/>
            <w:noWrap/>
            <w:vAlign w:val="center"/>
            <w:hideMark/>
          </w:tcPr>
          <w:p w14:paraId="6447CA29"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Automation exposure</w:t>
            </w:r>
          </w:p>
        </w:tc>
        <w:tc>
          <w:tcPr>
            <w:tcW w:w="2180" w:type="dxa"/>
            <w:tcBorders>
              <w:top w:val="single" w:sz="4" w:space="0" w:color="auto"/>
              <w:left w:val="nil"/>
              <w:bottom w:val="single" w:sz="4" w:space="0" w:color="auto"/>
              <w:right w:val="single" w:sz="4" w:space="0" w:color="auto"/>
            </w:tcBorders>
            <w:shd w:val="clear" w:color="000000" w:fill="4B0985"/>
            <w:noWrap/>
            <w:vAlign w:val="center"/>
            <w:hideMark/>
          </w:tcPr>
          <w:p w14:paraId="31236E86"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Augmentation exposure</w:t>
            </w:r>
          </w:p>
        </w:tc>
      </w:tr>
      <w:tr w:rsidR="009B7476" w:rsidRPr="009B7476" w14:paraId="3F765707" w14:textId="77777777" w:rsidTr="009B7476">
        <w:trPr>
          <w:trHeight w:val="283"/>
        </w:trPr>
        <w:tc>
          <w:tcPr>
            <w:tcW w:w="3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E6685E" w14:textId="77777777" w:rsidR="009B7476" w:rsidRPr="009B7476" w:rsidRDefault="009B7476" w:rsidP="009B7476">
            <w:pPr>
              <w:spacing w:after="0" w:line="240" w:lineRule="auto"/>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Major City average</w:t>
            </w:r>
          </w:p>
        </w:tc>
        <w:tc>
          <w:tcPr>
            <w:tcW w:w="1460" w:type="dxa"/>
            <w:tcBorders>
              <w:top w:val="nil"/>
              <w:left w:val="nil"/>
              <w:bottom w:val="single" w:sz="4" w:space="0" w:color="auto"/>
              <w:right w:val="single" w:sz="4" w:space="0" w:color="auto"/>
            </w:tcBorders>
            <w:shd w:val="clear" w:color="000000" w:fill="D9D9D9"/>
            <w:noWrap/>
            <w:vAlign w:val="bottom"/>
            <w:hideMark/>
          </w:tcPr>
          <w:p w14:paraId="593EA494" w14:textId="77777777" w:rsidR="009B7476" w:rsidRPr="009B7476" w:rsidRDefault="009B7476" w:rsidP="009B7476">
            <w:pPr>
              <w:spacing w:after="0" w:line="240" w:lineRule="auto"/>
              <w:jc w:val="center"/>
              <w:rPr>
                <w:rFonts w:eastAsia="Times New Roman" w:cs="Arial"/>
                <w:color w:val="000000"/>
                <w:sz w:val="20"/>
                <w:szCs w:val="20"/>
                <w:lang w:eastAsia="en-AU"/>
              </w:rPr>
            </w:pPr>
            <w:r w:rsidRPr="009B7476">
              <w:rPr>
                <w:rFonts w:eastAsia="Times New Roman" w:cs="Arial"/>
                <w:color w:val="000000"/>
                <w:sz w:val="20"/>
                <w:szCs w:val="20"/>
                <w:lang w:eastAsia="en-AU"/>
              </w:rPr>
              <w:t> </w:t>
            </w:r>
          </w:p>
        </w:tc>
        <w:tc>
          <w:tcPr>
            <w:tcW w:w="1960" w:type="dxa"/>
            <w:tcBorders>
              <w:top w:val="nil"/>
              <w:left w:val="nil"/>
              <w:bottom w:val="single" w:sz="4" w:space="0" w:color="auto"/>
              <w:right w:val="single" w:sz="4" w:space="0" w:color="auto"/>
            </w:tcBorders>
            <w:shd w:val="clear" w:color="000000" w:fill="D9D9D9"/>
            <w:noWrap/>
            <w:vAlign w:val="bottom"/>
            <w:hideMark/>
          </w:tcPr>
          <w:p w14:paraId="533CB814"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0.38</w:t>
            </w:r>
          </w:p>
        </w:tc>
        <w:tc>
          <w:tcPr>
            <w:tcW w:w="2180" w:type="dxa"/>
            <w:tcBorders>
              <w:top w:val="nil"/>
              <w:left w:val="nil"/>
              <w:bottom w:val="single" w:sz="4" w:space="0" w:color="auto"/>
              <w:right w:val="single" w:sz="4" w:space="0" w:color="auto"/>
            </w:tcBorders>
            <w:shd w:val="clear" w:color="000000" w:fill="D9D9D9"/>
            <w:noWrap/>
            <w:vAlign w:val="bottom"/>
            <w:hideMark/>
          </w:tcPr>
          <w:p w14:paraId="5B6EA9D6"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0.63</w:t>
            </w:r>
          </w:p>
        </w:tc>
      </w:tr>
      <w:tr w:rsidR="009B7476" w:rsidRPr="009B7476" w14:paraId="6DB274E6"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9F56AAE"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City and Inner South</w:t>
            </w:r>
          </w:p>
        </w:tc>
        <w:tc>
          <w:tcPr>
            <w:tcW w:w="1460" w:type="dxa"/>
            <w:tcBorders>
              <w:top w:val="nil"/>
              <w:left w:val="nil"/>
              <w:bottom w:val="nil"/>
              <w:right w:val="single" w:sz="4" w:space="0" w:color="auto"/>
            </w:tcBorders>
            <w:shd w:val="clear" w:color="000000" w:fill="8E43D1"/>
            <w:noWrap/>
            <w:vAlign w:val="bottom"/>
            <w:hideMark/>
          </w:tcPr>
          <w:p w14:paraId="170A6576"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4E327F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0.45</w:t>
            </w:r>
          </w:p>
        </w:tc>
        <w:tc>
          <w:tcPr>
            <w:tcW w:w="2180" w:type="dxa"/>
            <w:tcBorders>
              <w:top w:val="nil"/>
              <w:left w:val="nil"/>
              <w:bottom w:val="nil"/>
              <w:right w:val="single" w:sz="4" w:space="0" w:color="auto"/>
            </w:tcBorders>
            <w:noWrap/>
            <w:vAlign w:val="bottom"/>
            <w:hideMark/>
          </w:tcPr>
          <w:p w14:paraId="1980651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0.68</w:t>
            </w:r>
          </w:p>
        </w:tc>
      </w:tr>
      <w:tr w:rsidR="009B7476" w:rsidRPr="009B7476" w14:paraId="2AF5477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23B841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Melbourne - Inner</w:t>
            </w:r>
          </w:p>
        </w:tc>
        <w:tc>
          <w:tcPr>
            <w:tcW w:w="1460" w:type="dxa"/>
            <w:tcBorders>
              <w:top w:val="nil"/>
              <w:left w:val="nil"/>
              <w:bottom w:val="nil"/>
              <w:right w:val="single" w:sz="4" w:space="0" w:color="auto"/>
            </w:tcBorders>
            <w:shd w:val="clear" w:color="000000" w:fill="8E43D1"/>
            <w:noWrap/>
            <w:vAlign w:val="bottom"/>
            <w:hideMark/>
          </w:tcPr>
          <w:p w14:paraId="7046DC16"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69763CB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0.43</w:t>
            </w:r>
          </w:p>
        </w:tc>
        <w:tc>
          <w:tcPr>
            <w:tcW w:w="2180" w:type="dxa"/>
            <w:tcBorders>
              <w:top w:val="nil"/>
              <w:left w:val="nil"/>
              <w:bottom w:val="nil"/>
              <w:right w:val="single" w:sz="4" w:space="0" w:color="auto"/>
            </w:tcBorders>
            <w:noWrap/>
            <w:vAlign w:val="bottom"/>
            <w:hideMark/>
          </w:tcPr>
          <w:p w14:paraId="7803202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0.67</w:t>
            </w:r>
          </w:p>
        </w:tc>
      </w:tr>
      <w:tr w:rsidR="009B7476" w:rsidRPr="009B7476" w14:paraId="36FD2DC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EC29AC9"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Brisbane Inner City</w:t>
            </w:r>
          </w:p>
        </w:tc>
        <w:tc>
          <w:tcPr>
            <w:tcW w:w="1460" w:type="dxa"/>
            <w:tcBorders>
              <w:top w:val="nil"/>
              <w:left w:val="nil"/>
              <w:bottom w:val="nil"/>
              <w:right w:val="single" w:sz="4" w:space="0" w:color="auto"/>
            </w:tcBorders>
            <w:shd w:val="clear" w:color="000000" w:fill="4B0985"/>
            <w:noWrap/>
            <w:vAlign w:val="bottom"/>
            <w:hideMark/>
          </w:tcPr>
          <w:p w14:paraId="2AB8D79B"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10340CD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0.43</w:t>
            </w:r>
          </w:p>
        </w:tc>
        <w:tc>
          <w:tcPr>
            <w:tcW w:w="2180" w:type="dxa"/>
            <w:tcBorders>
              <w:top w:val="nil"/>
              <w:left w:val="nil"/>
              <w:bottom w:val="nil"/>
              <w:right w:val="single" w:sz="4" w:space="0" w:color="auto"/>
            </w:tcBorders>
            <w:noWrap/>
            <w:vAlign w:val="bottom"/>
            <w:hideMark/>
          </w:tcPr>
          <w:p w14:paraId="37DD11B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0.67</w:t>
            </w:r>
          </w:p>
        </w:tc>
      </w:tr>
      <w:tr w:rsidR="009B7476" w:rsidRPr="009B7476" w14:paraId="27B966BE"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9D25A7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North Sydney and Hornsby</w:t>
            </w:r>
          </w:p>
        </w:tc>
        <w:tc>
          <w:tcPr>
            <w:tcW w:w="1460" w:type="dxa"/>
            <w:tcBorders>
              <w:top w:val="nil"/>
              <w:left w:val="nil"/>
              <w:bottom w:val="nil"/>
              <w:right w:val="single" w:sz="4" w:space="0" w:color="auto"/>
            </w:tcBorders>
            <w:shd w:val="clear" w:color="000000" w:fill="4B0985"/>
            <w:noWrap/>
            <w:vAlign w:val="bottom"/>
            <w:hideMark/>
          </w:tcPr>
          <w:p w14:paraId="05E5C7BA"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5B2BD00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0.42</w:t>
            </w:r>
          </w:p>
        </w:tc>
        <w:tc>
          <w:tcPr>
            <w:tcW w:w="2180" w:type="dxa"/>
            <w:tcBorders>
              <w:top w:val="nil"/>
              <w:left w:val="nil"/>
              <w:bottom w:val="nil"/>
              <w:right w:val="single" w:sz="4" w:space="0" w:color="auto"/>
            </w:tcBorders>
            <w:noWrap/>
            <w:vAlign w:val="bottom"/>
            <w:hideMark/>
          </w:tcPr>
          <w:p w14:paraId="3AD8BC37"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0.67</w:t>
            </w:r>
          </w:p>
        </w:tc>
      </w:tr>
      <w:tr w:rsidR="009B7476" w:rsidRPr="009B7476" w14:paraId="7B9BC7C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EA75BEC"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Ryde</w:t>
            </w:r>
          </w:p>
        </w:tc>
        <w:tc>
          <w:tcPr>
            <w:tcW w:w="1460" w:type="dxa"/>
            <w:tcBorders>
              <w:top w:val="nil"/>
              <w:left w:val="nil"/>
              <w:bottom w:val="nil"/>
              <w:right w:val="single" w:sz="4" w:space="0" w:color="auto"/>
            </w:tcBorders>
            <w:shd w:val="clear" w:color="000000" w:fill="4B0985"/>
            <w:noWrap/>
            <w:vAlign w:val="bottom"/>
            <w:hideMark/>
          </w:tcPr>
          <w:p w14:paraId="457E187E"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117E769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0.42</w:t>
            </w:r>
          </w:p>
        </w:tc>
        <w:tc>
          <w:tcPr>
            <w:tcW w:w="2180" w:type="dxa"/>
            <w:tcBorders>
              <w:top w:val="nil"/>
              <w:left w:val="nil"/>
              <w:bottom w:val="nil"/>
              <w:right w:val="single" w:sz="4" w:space="0" w:color="auto"/>
            </w:tcBorders>
            <w:noWrap/>
            <w:vAlign w:val="bottom"/>
            <w:hideMark/>
          </w:tcPr>
          <w:p w14:paraId="3B991A8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0.67</w:t>
            </w:r>
          </w:p>
        </w:tc>
      </w:tr>
      <w:tr w:rsidR="009B7476" w:rsidRPr="009B7476" w14:paraId="7CF0213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24BADC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Perth - Inner</w:t>
            </w:r>
          </w:p>
        </w:tc>
        <w:tc>
          <w:tcPr>
            <w:tcW w:w="1460" w:type="dxa"/>
            <w:tcBorders>
              <w:top w:val="nil"/>
              <w:left w:val="nil"/>
              <w:bottom w:val="nil"/>
              <w:right w:val="single" w:sz="4" w:space="0" w:color="auto"/>
            </w:tcBorders>
            <w:shd w:val="clear" w:color="000000" w:fill="4B0985"/>
            <w:noWrap/>
            <w:vAlign w:val="bottom"/>
            <w:hideMark/>
          </w:tcPr>
          <w:p w14:paraId="4C5683A2"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2E04BD9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0.42</w:t>
            </w:r>
          </w:p>
        </w:tc>
        <w:tc>
          <w:tcPr>
            <w:tcW w:w="2180" w:type="dxa"/>
            <w:tcBorders>
              <w:top w:val="nil"/>
              <w:left w:val="nil"/>
              <w:bottom w:val="nil"/>
              <w:right w:val="single" w:sz="4" w:space="0" w:color="auto"/>
            </w:tcBorders>
            <w:noWrap/>
            <w:vAlign w:val="bottom"/>
            <w:hideMark/>
          </w:tcPr>
          <w:p w14:paraId="06EAE8C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0.67</w:t>
            </w:r>
          </w:p>
        </w:tc>
      </w:tr>
      <w:tr w:rsidR="009B7476" w:rsidRPr="009B7476" w14:paraId="73A58B0D"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336DA1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Adelaide - Central and Hills</w:t>
            </w:r>
          </w:p>
        </w:tc>
        <w:tc>
          <w:tcPr>
            <w:tcW w:w="1460" w:type="dxa"/>
            <w:tcBorders>
              <w:top w:val="nil"/>
              <w:left w:val="nil"/>
              <w:bottom w:val="nil"/>
              <w:right w:val="single" w:sz="4" w:space="0" w:color="auto"/>
            </w:tcBorders>
            <w:shd w:val="clear" w:color="000000" w:fill="4B0985"/>
            <w:noWrap/>
            <w:vAlign w:val="bottom"/>
            <w:hideMark/>
          </w:tcPr>
          <w:p w14:paraId="0A58F36E"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117F855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0.41</w:t>
            </w:r>
          </w:p>
        </w:tc>
        <w:tc>
          <w:tcPr>
            <w:tcW w:w="2180" w:type="dxa"/>
            <w:tcBorders>
              <w:top w:val="nil"/>
              <w:left w:val="nil"/>
              <w:bottom w:val="nil"/>
              <w:right w:val="single" w:sz="4" w:space="0" w:color="auto"/>
            </w:tcBorders>
            <w:noWrap/>
            <w:vAlign w:val="bottom"/>
            <w:hideMark/>
          </w:tcPr>
          <w:p w14:paraId="642B7E9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0.65</w:t>
            </w:r>
          </w:p>
        </w:tc>
      </w:tr>
      <w:tr w:rsidR="009B7476" w:rsidRPr="009B7476" w14:paraId="236D307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0D4642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Australian Capital Territory</w:t>
            </w:r>
          </w:p>
        </w:tc>
        <w:tc>
          <w:tcPr>
            <w:tcW w:w="1460" w:type="dxa"/>
            <w:tcBorders>
              <w:top w:val="nil"/>
              <w:left w:val="nil"/>
              <w:bottom w:val="nil"/>
              <w:right w:val="single" w:sz="4" w:space="0" w:color="auto"/>
            </w:tcBorders>
            <w:shd w:val="clear" w:color="000000" w:fill="4B0985"/>
            <w:noWrap/>
            <w:vAlign w:val="bottom"/>
            <w:hideMark/>
          </w:tcPr>
          <w:p w14:paraId="5F127AA4"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62F7BCF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0.41</w:t>
            </w:r>
          </w:p>
        </w:tc>
        <w:tc>
          <w:tcPr>
            <w:tcW w:w="2180" w:type="dxa"/>
            <w:tcBorders>
              <w:top w:val="nil"/>
              <w:left w:val="nil"/>
              <w:bottom w:val="nil"/>
              <w:right w:val="single" w:sz="4" w:space="0" w:color="auto"/>
            </w:tcBorders>
            <w:noWrap/>
            <w:vAlign w:val="bottom"/>
            <w:hideMark/>
          </w:tcPr>
          <w:p w14:paraId="551861C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0.66</w:t>
            </w:r>
          </w:p>
        </w:tc>
      </w:tr>
      <w:tr w:rsidR="009B7476" w:rsidRPr="009B7476" w14:paraId="17CF9BB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EEA3A0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Inner West</w:t>
            </w:r>
          </w:p>
        </w:tc>
        <w:tc>
          <w:tcPr>
            <w:tcW w:w="1460" w:type="dxa"/>
            <w:tcBorders>
              <w:top w:val="nil"/>
              <w:left w:val="nil"/>
              <w:bottom w:val="nil"/>
              <w:right w:val="single" w:sz="4" w:space="0" w:color="auto"/>
            </w:tcBorders>
            <w:shd w:val="clear" w:color="000000" w:fill="4B0985"/>
            <w:noWrap/>
            <w:vAlign w:val="bottom"/>
            <w:hideMark/>
          </w:tcPr>
          <w:p w14:paraId="6ABFDEE0"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5DD61F2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0.40</w:t>
            </w:r>
          </w:p>
        </w:tc>
        <w:tc>
          <w:tcPr>
            <w:tcW w:w="2180" w:type="dxa"/>
            <w:tcBorders>
              <w:top w:val="nil"/>
              <w:left w:val="nil"/>
              <w:bottom w:val="nil"/>
              <w:right w:val="single" w:sz="4" w:space="0" w:color="auto"/>
            </w:tcBorders>
            <w:noWrap/>
            <w:vAlign w:val="bottom"/>
            <w:hideMark/>
          </w:tcPr>
          <w:p w14:paraId="7A75E49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0.65</w:t>
            </w:r>
          </w:p>
        </w:tc>
      </w:tr>
      <w:tr w:rsidR="009B7476" w:rsidRPr="009B7476" w14:paraId="16540AFD"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295CF7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Parramatta</w:t>
            </w:r>
          </w:p>
        </w:tc>
        <w:tc>
          <w:tcPr>
            <w:tcW w:w="1460" w:type="dxa"/>
            <w:tcBorders>
              <w:top w:val="nil"/>
              <w:left w:val="nil"/>
              <w:bottom w:val="nil"/>
              <w:right w:val="single" w:sz="4" w:space="0" w:color="auto"/>
            </w:tcBorders>
            <w:shd w:val="clear" w:color="000000" w:fill="E8CEFB"/>
            <w:noWrap/>
            <w:vAlign w:val="bottom"/>
            <w:hideMark/>
          </w:tcPr>
          <w:p w14:paraId="1844D81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24234F6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0.40</w:t>
            </w:r>
          </w:p>
        </w:tc>
        <w:tc>
          <w:tcPr>
            <w:tcW w:w="2180" w:type="dxa"/>
            <w:tcBorders>
              <w:top w:val="nil"/>
              <w:left w:val="nil"/>
              <w:bottom w:val="nil"/>
              <w:right w:val="single" w:sz="4" w:space="0" w:color="auto"/>
            </w:tcBorders>
            <w:noWrap/>
            <w:vAlign w:val="bottom"/>
            <w:hideMark/>
          </w:tcPr>
          <w:p w14:paraId="79AA538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0.65</w:t>
            </w:r>
          </w:p>
        </w:tc>
      </w:tr>
      <w:tr w:rsidR="009B7476" w:rsidRPr="009B7476" w14:paraId="74BB9600"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136396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Melbourne - Inner East</w:t>
            </w:r>
          </w:p>
        </w:tc>
        <w:tc>
          <w:tcPr>
            <w:tcW w:w="1460" w:type="dxa"/>
            <w:tcBorders>
              <w:top w:val="nil"/>
              <w:left w:val="nil"/>
              <w:bottom w:val="nil"/>
              <w:right w:val="single" w:sz="4" w:space="0" w:color="auto"/>
            </w:tcBorders>
            <w:shd w:val="clear" w:color="000000" w:fill="8E43D1"/>
            <w:noWrap/>
            <w:vAlign w:val="bottom"/>
            <w:hideMark/>
          </w:tcPr>
          <w:p w14:paraId="084494FD"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4A14515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0.40</w:t>
            </w:r>
          </w:p>
        </w:tc>
        <w:tc>
          <w:tcPr>
            <w:tcW w:w="2180" w:type="dxa"/>
            <w:tcBorders>
              <w:top w:val="nil"/>
              <w:left w:val="nil"/>
              <w:bottom w:val="nil"/>
              <w:right w:val="single" w:sz="4" w:space="0" w:color="auto"/>
            </w:tcBorders>
            <w:noWrap/>
            <w:vAlign w:val="bottom"/>
            <w:hideMark/>
          </w:tcPr>
          <w:p w14:paraId="0881C05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0.65</w:t>
            </w:r>
          </w:p>
        </w:tc>
      </w:tr>
      <w:tr w:rsidR="009B7476" w:rsidRPr="009B7476" w14:paraId="0BA7CA6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B766F2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Baulkham Hills and Hawkesbury</w:t>
            </w:r>
          </w:p>
        </w:tc>
        <w:tc>
          <w:tcPr>
            <w:tcW w:w="1460" w:type="dxa"/>
            <w:tcBorders>
              <w:top w:val="nil"/>
              <w:left w:val="nil"/>
              <w:bottom w:val="nil"/>
              <w:right w:val="single" w:sz="4" w:space="0" w:color="auto"/>
            </w:tcBorders>
            <w:shd w:val="clear" w:color="000000" w:fill="4B0985"/>
            <w:noWrap/>
            <w:vAlign w:val="bottom"/>
            <w:hideMark/>
          </w:tcPr>
          <w:p w14:paraId="69929CB4"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3892A36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0.39</w:t>
            </w:r>
          </w:p>
        </w:tc>
        <w:tc>
          <w:tcPr>
            <w:tcW w:w="2180" w:type="dxa"/>
            <w:tcBorders>
              <w:top w:val="nil"/>
              <w:left w:val="nil"/>
              <w:bottom w:val="nil"/>
              <w:right w:val="single" w:sz="4" w:space="0" w:color="auto"/>
            </w:tcBorders>
            <w:noWrap/>
            <w:vAlign w:val="bottom"/>
            <w:hideMark/>
          </w:tcPr>
          <w:p w14:paraId="6C942DA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0.64</w:t>
            </w:r>
          </w:p>
        </w:tc>
      </w:tr>
      <w:tr w:rsidR="009B7476" w:rsidRPr="009B7476" w14:paraId="624B141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F0C21B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Eastern Suburbs</w:t>
            </w:r>
          </w:p>
        </w:tc>
        <w:tc>
          <w:tcPr>
            <w:tcW w:w="1460" w:type="dxa"/>
            <w:tcBorders>
              <w:top w:val="nil"/>
              <w:left w:val="nil"/>
              <w:bottom w:val="nil"/>
              <w:right w:val="single" w:sz="4" w:space="0" w:color="auto"/>
            </w:tcBorders>
            <w:shd w:val="clear" w:color="000000" w:fill="4B0985"/>
            <w:noWrap/>
            <w:vAlign w:val="bottom"/>
            <w:hideMark/>
          </w:tcPr>
          <w:p w14:paraId="4F754217"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60754E6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0.38</w:t>
            </w:r>
          </w:p>
        </w:tc>
        <w:tc>
          <w:tcPr>
            <w:tcW w:w="2180" w:type="dxa"/>
            <w:tcBorders>
              <w:top w:val="nil"/>
              <w:left w:val="nil"/>
              <w:bottom w:val="nil"/>
              <w:right w:val="single" w:sz="4" w:space="0" w:color="auto"/>
            </w:tcBorders>
            <w:noWrap/>
            <w:vAlign w:val="bottom"/>
            <w:hideMark/>
          </w:tcPr>
          <w:p w14:paraId="0F4EEF9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0.65</w:t>
            </w:r>
          </w:p>
        </w:tc>
      </w:tr>
      <w:tr w:rsidR="009B7476" w:rsidRPr="009B7476" w14:paraId="3E3DF4C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54F20E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Sydney - Inner </w:t>
            </w:r>
            <w:proofErr w:type="gramStart"/>
            <w:r w:rsidRPr="009B7476">
              <w:rPr>
                <w:rFonts w:eastAsia="Times New Roman" w:cs="Arial"/>
                <w:color w:val="000000"/>
                <w:sz w:val="16"/>
                <w:szCs w:val="16"/>
                <w:lang w:eastAsia="en-AU"/>
              </w:rPr>
              <w:t>South West</w:t>
            </w:r>
            <w:proofErr w:type="gramEnd"/>
          </w:p>
        </w:tc>
        <w:tc>
          <w:tcPr>
            <w:tcW w:w="1460" w:type="dxa"/>
            <w:tcBorders>
              <w:top w:val="nil"/>
              <w:left w:val="nil"/>
              <w:bottom w:val="nil"/>
              <w:right w:val="single" w:sz="4" w:space="0" w:color="auto"/>
            </w:tcBorders>
            <w:shd w:val="clear" w:color="000000" w:fill="E8CEFB"/>
            <w:noWrap/>
            <w:vAlign w:val="bottom"/>
            <w:hideMark/>
          </w:tcPr>
          <w:p w14:paraId="77AD461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4D67691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0.38</w:t>
            </w:r>
          </w:p>
        </w:tc>
        <w:tc>
          <w:tcPr>
            <w:tcW w:w="2180" w:type="dxa"/>
            <w:tcBorders>
              <w:top w:val="nil"/>
              <w:left w:val="nil"/>
              <w:bottom w:val="nil"/>
              <w:right w:val="single" w:sz="4" w:space="0" w:color="auto"/>
            </w:tcBorders>
            <w:noWrap/>
            <w:vAlign w:val="bottom"/>
            <w:hideMark/>
          </w:tcPr>
          <w:p w14:paraId="1336F41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5D2342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9E591B9"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Northern Beaches</w:t>
            </w:r>
          </w:p>
        </w:tc>
        <w:tc>
          <w:tcPr>
            <w:tcW w:w="1460" w:type="dxa"/>
            <w:tcBorders>
              <w:top w:val="nil"/>
              <w:left w:val="nil"/>
              <w:bottom w:val="nil"/>
              <w:right w:val="single" w:sz="4" w:space="0" w:color="auto"/>
            </w:tcBorders>
            <w:shd w:val="clear" w:color="000000" w:fill="4B0985"/>
            <w:noWrap/>
            <w:vAlign w:val="bottom"/>
            <w:hideMark/>
          </w:tcPr>
          <w:p w14:paraId="27144EF5"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5125E44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0.38</w:t>
            </w:r>
          </w:p>
        </w:tc>
        <w:tc>
          <w:tcPr>
            <w:tcW w:w="2180" w:type="dxa"/>
            <w:tcBorders>
              <w:top w:val="nil"/>
              <w:left w:val="nil"/>
              <w:bottom w:val="nil"/>
              <w:right w:val="single" w:sz="4" w:space="0" w:color="auto"/>
            </w:tcBorders>
            <w:noWrap/>
            <w:vAlign w:val="bottom"/>
            <w:hideMark/>
          </w:tcPr>
          <w:p w14:paraId="35B4028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0.64</w:t>
            </w:r>
          </w:p>
        </w:tc>
      </w:tr>
      <w:tr w:rsidR="009B7476" w:rsidRPr="009B7476" w14:paraId="2E7A37A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C28D6EC"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Melbourne - Inner South</w:t>
            </w:r>
          </w:p>
        </w:tc>
        <w:tc>
          <w:tcPr>
            <w:tcW w:w="1460" w:type="dxa"/>
            <w:tcBorders>
              <w:top w:val="nil"/>
              <w:left w:val="nil"/>
              <w:bottom w:val="nil"/>
              <w:right w:val="single" w:sz="4" w:space="0" w:color="auto"/>
            </w:tcBorders>
            <w:shd w:val="clear" w:color="000000" w:fill="4B0985"/>
            <w:noWrap/>
            <w:vAlign w:val="bottom"/>
            <w:hideMark/>
          </w:tcPr>
          <w:p w14:paraId="45CA127F"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7434683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0.38</w:t>
            </w:r>
          </w:p>
        </w:tc>
        <w:tc>
          <w:tcPr>
            <w:tcW w:w="2180" w:type="dxa"/>
            <w:tcBorders>
              <w:top w:val="nil"/>
              <w:left w:val="nil"/>
              <w:bottom w:val="nil"/>
              <w:right w:val="single" w:sz="4" w:space="0" w:color="auto"/>
            </w:tcBorders>
            <w:noWrap/>
            <w:vAlign w:val="bottom"/>
            <w:hideMark/>
          </w:tcPr>
          <w:p w14:paraId="198F6DF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0.64</w:t>
            </w:r>
          </w:p>
        </w:tc>
      </w:tr>
      <w:tr w:rsidR="009B7476" w:rsidRPr="009B7476" w14:paraId="6D7F68C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1B4FD59"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Brisbane - South</w:t>
            </w:r>
          </w:p>
        </w:tc>
        <w:tc>
          <w:tcPr>
            <w:tcW w:w="1460" w:type="dxa"/>
            <w:tcBorders>
              <w:top w:val="nil"/>
              <w:left w:val="nil"/>
              <w:bottom w:val="nil"/>
              <w:right w:val="single" w:sz="4" w:space="0" w:color="auto"/>
            </w:tcBorders>
            <w:shd w:val="clear" w:color="000000" w:fill="8E43D1"/>
            <w:noWrap/>
            <w:vAlign w:val="bottom"/>
            <w:hideMark/>
          </w:tcPr>
          <w:p w14:paraId="3767FB5A"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2B22722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0.38</w:t>
            </w:r>
          </w:p>
        </w:tc>
        <w:tc>
          <w:tcPr>
            <w:tcW w:w="2180" w:type="dxa"/>
            <w:tcBorders>
              <w:top w:val="nil"/>
              <w:left w:val="nil"/>
              <w:bottom w:val="nil"/>
              <w:right w:val="single" w:sz="4" w:space="0" w:color="auto"/>
            </w:tcBorders>
            <w:noWrap/>
            <w:vAlign w:val="bottom"/>
            <w:hideMark/>
          </w:tcPr>
          <w:p w14:paraId="63812BE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2EAC5D6"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BE2BAC2"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Blacktown</w:t>
            </w:r>
          </w:p>
        </w:tc>
        <w:tc>
          <w:tcPr>
            <w:tcW w:w="1460" w:type="dxa"/>
            <w:tcBorders>
              <w:top w:val="nil"/>
              <w:left w:val="nil"/>
              <w:bottom w:val="nil"/>
              <w:right w:val="single" w:sz="4" w:space="0" w:color="auto"/>
            </w:tcBorders>
            <w:shd w:val="clear" w:color="000000" w:fill="C281F1"/>
            <w:noWrap/>
            <w:vAlign w:val="bottom"/>
            <w:hideMark/>
          </w:tcPr>
          <w:p w14:paraId="54238E0D"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730D5FF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6326648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48B551D1"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3B4913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Sydney - </w:t>
            </w:r>
            <w:proofErr w:type="gramStart"/>
            <w:r w:rsidRPr="009B7476">
              <w:rPr>
                <w:rFonts w:eastAsia="Times New Roman" w:cs="Arial"/>
                <w:color w:val="000000"/>
                <w:sz w:val="16"/>
                <w:szCs w:val="16"/>
                <w:lang w:eastAsia="en-AU"/>
              </w:rPr>
              <w:t>South West</w:t>
            </w:r>
            <w:proofErr w:type="gramEnd"/>
          </w:p>
        </w:tc>
        <w:tc>
          <w:tcPr>
            <w:tcW w:w="1460" w:type="dxa"/>
            <w:tcBorders>
              <w:top w:val="nil"/>
              <w:left w:val="nil"/>
              <w:bottom w:val="nil"/>
              <w:right w:val="single" w:sz="4" w:space="0" w:color="auto"/>
            </w:tcBorders>
            <w:shd w:val="clear" w:color="000000" w:fill="F5E8FF"/>
            <w:noWrap/>
            <w:vAlign w:val="bottom"/>
            <w:hideMark/>
          </w:tcPr>
          <w:p w14:paraId="1132AE3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60531EC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6FD13A4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D49CAA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F10965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Sutherland</w:t>
            </w:r>
          </w:p>
        </w:tc>
        <w:tc>
          <w:tcPr>
            <w:tcW w:w="1460" w:type="dxa"/>
            <w:tcBorders>
              <w:top w:val="nil"/>
              <w:left w:val="nil"/>
              <w:bottom w:val="nil"/>
              <w:right w:val="single" w:sz="4" w:space="0" w:color="auto"/>
            </w:tcBorders>
            <w:shd w:val="clear" w:color="000000" w:fill="4B0985"/>
            <w:noWrap/>
            <w:vAlign w:val="bottom"/>
            <w:hideMark/>
          </w:tcPr>
          <w:p w14:paraId="6A656D03"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5013F66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28E110A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144580E8"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2F195DB"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Melbourne - Outer East</w:t>
            </w:r>
          </w:p>
        </w:tc>
        <w:tc>
          <w:tcPr>
            <w:tcW w:w="1460" w:type="dxa"/>
            <w:tcBorders>
              <w:top w:val="nil"/>
              <w:left w:val="nil"/>
              <w:bottom w:val="nil"/>
              <w:right w:val="single" w:sz="4" w:space="0" w:color="auto"/>
            </w:tcBorders>
            <w:shd w:val="clear" w:color="000000" w:fill="8E43D1"/>
            <w:noWrap/>
            <w:vAlign w:val="bottom"/>
            <w:hideMark/>
          </w:tcPr>
          <w:p w14:paraId="390EDD2F"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A4819D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0B13DE5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29E203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96EFAD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Melbourne - </w:t>
            </w:r>
            <w:proofErr w:type="gramStart"/>
            <w:r w:rsidRPr="009B7476">
              <w:rPr>
                <w:rFonts w:eastAsia="Times New Roman" w:cs="Arial"/>
                <w:color w:val="000000"/>
                <w:sz w:val="16"/>
                <w:szCs w:val="16"/>
                <w:lang w:eastAsia="en-AU"/>
              </w:rPr>
              <w:t>South East</w:t>
            </w:r>
            <w:proofErr w:type="gramEnd"/>
          </w:p>
        </w:tc>
        <w:tc>
          <w:tcPr>
            <w:tcW w:w="1460" w:type="dxa"/>
            <w:tcBorders>
              <w:top w:val="nil"/>
              <w:left w:val="nil"/>
              <w:bottom w:val="nil"/>
              <w:right w:val="single" w:sz="4" w:space="0" w:color="auto"/>
            </w:tcBorders>
            <w:shd w:val="clear" w:color="000000" w:fill="E8CEFB"/>
            <w:noWrap/>
            <w:vAlign w:val="bottom"/>
            <w:hideMark/>
          </w:tcPr>
          <w:p w14:paraId="419979D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37E443B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4B067AB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3723DE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74682C6"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Brisbane - North</w:t>
            </w:r>
          </w:p>
        </w:tc>
        <w:tc>
          <w:tcPr>
            <w:tcW w:w="1460" w:type="dxa"/>
            <w:tcBorders>
              <w:top w:val="nil"/>
              <w:left w:val="nil"/>
              <w:bottom w:val="nil"/>
              <w:right w:val="single" w:sz="4" w:space="0" w:color="auto"/>
            </w:tcBorders>
            <w:shd w:val="clear" w:color="000000" w:fill="4B0985"/>
            <w:noWrap/>
            <w:vAlign w:val="bottom"/>
            <w:hideMark/>
          </w:tcPr>
          <w:p w14:paraId="0713A087"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1702102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4533132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626F459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0BD50A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Brisbane - West</w:t>
            </w:r>
          </w:p>
        </w:tc>
        <w:tc>
          <w:tcPr>
            <w:tcW w:w="1460" w:type="dxa"/>
            <w:tcBorders>
              <w:top w:val="nil"/>
              <w:left w:val="nil"/>
              <w:bottom w:val="nil"/>
              <w:right w:val="single" w:sz="4" w:space="0" w:color="auto"/>
            </w:tcBorders>
            <w:shd w:val="clear" w:color="000000" w:fill="8E43D1"/>
            <w:noWrap/>
            <w:vAlign w:val="bottom"/>
            <w:hideMark/>
          </w:tcPr>
          <w:p w14:paraId="59CC2E66"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91CD21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31B406A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712A2B30"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1CEDD9F"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Adelaide - West</w:t>
            </w:r>
          </w:p>
        </w:tc>
        <w:tc>
          <w:tcPr>
            <w:tcW w:w="1460" w:type="dxa"/>
            <w:tcBorders>
              <w:top w:val="nil"/>
              <w:left w:val="nil"/>
              <w:bottom w:val="nil"/>
              <w:right w:val="single" w:sz="4" w:space="0" w:color="auto"/>
            </w:tcBorders>
            <w:shd w:val="clear" w:color="000000" w:fill="8E43D1"/>
            <w:noWrap/>
            <w:vAlign w:val="bottom"/>
            <w:hideMark/>
          </w:tcPr>
          <w:p w14:paraId="5818F613"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50A5248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6A76F88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B18CC7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9C7B4D7"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Perth - </w:t>
            </w:r>
            <w:proofErr w:type="gramStart"/>
            <w:r w:rsidRPr="009B7476">
              <w:rPr>
                <w:rFonts w:eastAsia="Times New Roman" w:cs="Arial"/>
                <w:color w:val="000000"/>
                <w:sz w:val="16"/>
                <w:szCs w:val="16"/>
                <w:lang w:eastAsia="en-AU"/>
              </w:rPr>
              <w:t>North West</w:t>
            </w:r>
            <w:proofErr w:type="gramEnd"/>
          </w:p>
        </w:tc>
        <w:tc>
          <w:tcPr>
            <w:tcW w:w="1460" w:type="dxa"/>
            <w:tcBorders>
              <w:top w:val="nil"/>
              <w:left w:val="nil"/>
              <w:bottom w:val="nil"/>
              <w:right w:val="single" w:sz="4" w:space="0" w:color="auto"/>
            </w:tcBorders>
            <w:shd w:val="clear" w:color="000000" w:fill="8E43D1"/>
            <w:noWrap/>
            <w:vAlign w:val="bottom"/>
            <w:hideMark/>
          </w:tcPr>
          <w:p w14:paraId="7D71853A"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710FC4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31AB138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0D37AD7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16850A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Central Coast</w:t>
            </w:r>
          </w:p>
        </w:tc>
        <w:tc>
          <w:tcPr>
            <w:tcW w:w="1460" w:type="dxa"/>
            <w:tcBorders>
              <w:top w:val="nil"/>
              <w:left w:val="nil"/>
              <w:bottom w:val="nil"/>
              <w:right w:val="single" w:sz="4" w:space="0" w:color="auto"/>
            </w:tcBorders>
            <w:shd w:val="clear" w:color="000000" w:fill="C281F1"/>
            <w:noWrap/>
            <w:vAlign w:val="bottom"/>
            <w:hideMark/>
          </w:tcPr>
          <w:p w14:paraId="29EA5688"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1E0666A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769D57A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55D3FA0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C061F9F"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Sydney - Outer </w:t>
            </w:r>
            <w:proofErr w:type="gramStart"/>
            <w:r w:rsidRPr="009B7476">
              <w:rPr>
                <w:rFonts w:eastAsia="Times New Roman" w:cs="Arial"/>
                <w:color w:val="000000"/>
                <w:sz w:val="16"/>
                <w:szCs w:val="16"/>
                <w:lang w:eastAsia="en-AU"/>
              </w:rPr>
              <w:t>South West</w:t>
            </w:r>
            <w:proofErr w:type="gramEnd"/>
          </w:p>
        </w:tc>
        <w:tc>
          <w:tcPr>
            <w:tcW w:w="1460" w:type="dxa"/>
            <w:tcBorders>
              <w:top w:val="nil"/>
              <w:left w:val="nil"/>
              <w:bottom w:val="nil"/>
              <w:right w:val="single" w:sz="4" w:space="0" w:color="auto"/>
            </w:tcBorders>
            <w:shd w:val="clear" w:color="000000" w:fill="C281F1"/>
            <w:noWrap/>
            <w:vAlign w:val="bottom"/>
            <w:hideMark/>
          </w:tcPr>
          <w:p w14:paraId="01F7E07F"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1D6C116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55E5394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6224306"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02B4A6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Sydney - Outer West and Blue Mountains</w:t>
            </w:r>
          </w:p>
        </w:tc>
        <w:tc>
          <w:tcPr>
            <w:tcW w:w="1460" w:type="dxa"/>
            <w:tcBorders>
              <w:top w:val="nil"/>
              <w:left w:val="nil"/>
              <w:bottom w:val="nil"/>
              <w:right w:val="single" w:sz="4" w:space="0" w:color="auto"/>
            </w:tcBorders>
            <w:shd w:val="clear" w:color="000000" w:fill="8E43D1"/>
            <w:noWrap/>
            <w:vAlign w:val="bottom"/>
            <w:hideMark/>
          </w:tcPr>
          <w:p w14:paraId="57D1971F"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1E9F745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663E7BD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E856C8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B71F51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Melbourne - </w:t>
            </w:r>
            <w:proofErr w:type="gramStart"/>
            <w:r w:rsidRPr="009B7476">
              <w:rPr>
                <w:rFonts w:eastAsia="Times New Roman" w:cs="Arial"/>
                <w:color w:val="000000"/>
                <w:sz w:val="16"/>
                <w:szCs w:val="16"/>
                <w:lang w:eastAsia="en-AU"/>
              </w:rPr>
              <w:t>North East</w:t>
            </w:r>
            <w:proofErr w:type="gramEnd"/>
          </w:p>
        </w:tc>
        <w:tc>
          <w:tcPr>
            <w:tcW w:w="1460" w:type="dxa"/>
            <w:tcBorders>
              <w:top w:val="nil"/>
              <w:left w:val="nil"/>
              <w:bottom w:val="nil"/>
              <w:right w:val="single" w:sz="4" w:space="0" w:color="auto"/>
            </w:tcBorders>
            <w:shd w:val="clear" w:color="000000" w:fill="8E43D1"/>
            <w:noWrap/>
            <w:vAlign w:val="bottom"/>
            <w:hideMark/>
          </w:tcPr>
          <w:p w14:paraId="0DD3C714"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1088F06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707B8AB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7AC20ED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FA0DC4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Melbourne - </w:t>
            </w:r>
            <w:proofErr w:type="gramStart"/>
            <w:r w:rsidRPr="009B7476">
              <w:rPr>
                <w:rFonts w:eastAsia="Times New Roman" w:cs="Arial"/>
                <w:color w:val="000000"/>
                <w:sz w:val="16"/>
                <w:szCs w:val="16"/>
                <w:lang w:eastAsia="en-AU"/>
              </w:rPr>
              <w:t>North West</w:t>
            </w:r>
            <w:proofErr w:type="gramEnd"/>
          </w:p>
        </w:tc>
        <w:tc>
          <w:tcPr>
            <w:tcW w:w="1460" w:type="dxa"/>
            <w:tcBorders>
              <w:top w:val="nil"/>
              <w:left w:val="nil"/>
              <w:bottom w:val="nil"/>
              <w:right w:val="single" w:sz="4" w:space="0" w:color="auto"/>
            </w:tcBorders>
            <w:shd w:val="clear" w:color="000000" w:fill="F5E8FF"/>
            <w:noWrap/>
            <w:vAlign w:val="bottom"/>
            <w:hideMark/>
          </w:tcPr>
          <w:p w14:paraId="0930090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12D64A9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41F8A44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12BA016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1BFC43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Melbourne - West</w:t>
            </w:r>
          </w:p>
        </w:tc>
        <w:tc>
          <w:tcPr>
            <w:tcW w:w="1460" w:type="dxa"/>
            <w:tcBorders>
              <w:top w:val="nil"/>
              <w:left w:val="nil"/>
              <w:bottom w:val="nil"/>
              <w:right w:val="single" w:sz="4" w:space="0" w:color="auto"/>
            </w:tcBorders>
            <w:shd w:val="clear" w:color="000000" w:fill="E8CEFB"/>
            <w:noWrap/>
            <w:vAlign w:val="bottom"/>
            <w:hideMark/>
          </w:tcPr>
          <w:p w14:paraId="34D74CB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42A7076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1CD42C7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59A9D87C"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4D5C802"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Brisbane - East</w:t>
            </w:r>
          </w:p>
        </w:tc>
        <w:tc>
          <w:tcPr>
            <w:tcW w:w="1460" w:type="dxa"/>
            <w:tcBorders>
              <w:top w:val="nil"/>
              <w:left w:val="nil"/>
              <w:bottom w:val="nil"/>
              <w:right w:val="single" w:sz="4" w:space="0" w:color="auto"/>
            </w:tcBorders>
            <w:shd w:val="clear" w:color="000000" w:fill="4B0985"/>
            <w:noWrap/>
            <w:vAlign w:val="bottom"/>
            <w:hideMark/>
          </w:tcPr>
          <w:p w14:paraId="1866AF8C"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366957E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025D8AF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72AE93A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3E2FF5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Logan - Beaudesert</w:t>
            </w:r>
          </w:p>
        </w:tc>
        <w:tc>
          <w:tcPr>
            <w:tcW w:w="1460" w:type="dxa"/>
            <w:tcBorders>
              <w:top w:val="nil"/>
              <w:left w:val="nil"/>
              <w:bottom w:val="nil"/>
              <w:right w:val="single" w:sz="4" w:space="0" w:color="auto"/>
            </w:tcBorders>
            <w:shd w:val="clear" w:color="000000" w:fill="F5E8FF"/>
            <w:noWrap/>
            <w:vAlign w:val="bottom"/>
            <w:hideMark/>
          </w:tcPr>
          <w:p w14:paraId="166990F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6AEBBCC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70B5349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1A23AFD"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E62C2E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Moreton Bay - South</w:t>
            </w:r>
          </w:p>
        </w:tc>
        <w:tc>
          <w:tcPr>
            <w:tcW w:w="1460" w:type="dxa"/>
            <w:tcBorders>
              <w:top w:val="nil"/>
              <w:left w:val="nil"/>
              <w:bottom w:val="nil"/>
              <w:right w:val="single" w:sz="4" w:space="0" w:color="auto"/>
            </w:tcBorders>
            <w:shd w:val="clear" w:color="000000" w:fill="4B0985"/>
            <w:noWrap/>
            <w:vAlign w:val="bottom"/>
            <w:hideMark/>
          </w:tcPr>
          <w:p w14:paraId="1DDB3CE2"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7EBB695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76C5142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EE8F70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7BDBF4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Adelaide - South</w:t>
            </w:r>
          </w:p>
        </w:tc>
        <w:tc>
          <w:tcPr>
            <w:tcW w:w="1460" w:type="dxa"/>
            <w:tcBorders>
              <w:top w:val="nil"/>
              <w:left w:val="nil"/>
              <w:bottom w:val="nil"/>
              <w:right w:val="single" w:sz="4" w:space="0" w:color="auto"/>
            </w:tcBorders>
            <w:shd w:val="clear" w:color="000000" w:fill="8E43D1"/>
            <w:noWrap/>
            <w:vAlign w:val="bottom"/>
            <w:hideMark/>
          </w:tcPr>
          <w:p w14:paraId="555F9F38"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506C14E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5D6A37B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2C46E0B"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A595ED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Perth - </w:t>
            </w:r>
            <w:proofErr w:type="gramStart"/>
            <w:r w:rsidRPr="009B7476">
              <w:rPr>
                <w:rFonts w:eastAsia="Times New Roman" w:cs="Arial"/>
                <w:color w:val="000000"/>
                <w:sz w:val="16"/>
                <w:szCs w:val="16"/>
                <w:lang w:eastAsia="en-AU"/>
              </w:rPr>
              <w:t>South East</w:t>
            </w:r>
            <w:proofErr w:type="gramEnd"/>
          </w:p>
        </w:tc>
        <w:tc>
          <w:tcPr>
            <w:tcW w:w="1460" w:type="dxa"/>
            <w:tcBorders>
              <w:top w:val="nil"/>
              <w:left w:val="nil"/>
              <w:bottom w:val="nil"/>
              <w:right w:val="single" w:sz="4" w:space="0" w:color="auto"/>
            </w:tcBorders>
            <w:shd w:val="clear" w:color="000000" w:fill="C281F1"/>
            <w:noWrap/>
            <w:vAlign w:val="bottom"/>
            <w:hideMark/>
          </w:tcPr>
          <w:p w14:paraId="3198711E"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40384DE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4B11BE7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2A6E07F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4BE3FD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Perth - </w:t>
            </w:r>
            <w:proofErr w:type="gramStart"/>
            <w:r w:rsidRPr="009B7476">
              <w:rPr>
                <w:rFonts w:eastAsia="Times New Roman" w:cs="Arial"/>
                <w:color w:val="000000"/>
                <w:sz w:val="16"/>
                <w:szCs w:val="16"/>
                <w:lang w:eastAsia="en-AU"/>
              </w:rPr>
              <w:t>South West</w:t>
            </w:r>
            <w:proofErr w:type="gramEnd"/>
          </w:p>
        </w:tc>
        <w:tc>
          <w:tcPr>
            <w:tcW w:w="1460" w:type="dxa"/>
            <w:tcBorders>
              <w:top w:val="nil"/>
              <w:left w:val="nil"/>
              <w:bottom w:val="nil"/>
              <w:right w:val="single" w:sz="4" w:space="0" w:color="auto"/>
            </w:tcBorders>
            <w:shd w:val="clear" w:color="000000" w:fill="8E43D1"/>
            <w:noWrap/>
            <w:vAlign w:val="bottom"/>
            <w:hideMark/>
          </w:tcPr>
          <w:p w14:paraId="51A2E1A9"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70B7EBB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5ADB4EE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254F09B"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A33B29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Mornington Peninsula</w:t>
            </w:r>
          </w:p>
        </w:tc>
        <w:tc>
          <w:tcPr>
            <w:tcW w:w="1460" w:type="dxa"/>
            <w:tcBorders>
              <w:top w:val="nil"/>
              <w:left w:val="nil"/>
              <w:bottom w:val="nil"/>
              <w:right w:val="single" w:sz="4" w:space="0" w:color="auto"/>
            </w:tcBorders>
            <w:shd w:val="clear" w:color="000000" w:fill="8E43D1"/>
            <w:noWrap/>
            <w:vAlign w:val="bottom"/>
            <w:hideMark/>
          </w:tcPr>
          <w:p w14:paraId="0C5654D9"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6701B91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482659E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77FF1A0"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F9F286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Ipswich</w:t>
            </w:r>
          </w:p>
        </w:tc>
        <w:tc>
          <w:tcPr>
            <w:tcW w:w="1460" w:type="dxa"/>
            <w:tcBorders>
              <w:top w:val="nil"/>
              <w:left w:val="nil"/>
              <w:bottom w:val="nil"/>
              <w:right w:val="single" w:sz="4" w:space="0" w:color="auto"/>
            </w:tcBorders>
            <w:shd w:val="clear" w:color="000000" w:fill="F5E8FF"/>
            <w:noWrap/>
            <w:vAlign w:val="bottom"/>
            <w:hideMark/>
          </w:tcPr>
          <w:p w14:paraId="67DEA75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63C6282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43FFCD9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0F9A02B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2656F0E"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Adelaide - North</w:t>
            </w:r>
          </w:p>
        </w:tc>
        <w:tc>
          <w:tcPr>
            <w:tcW w:w="1460" w:type="dxa"/>
            <w:tcBorders>
              <w:top w:val="nil"/>
              <w:left w:val="nil"/>
              <w:bottom w:val="nil"/>
              <w:right w:val="single" w:sz="4" w:space="0" w:color="auto"/>
            </w:tcBorders>
            <w:shd w:val="clear" w:color="000000" w:fill="F5E8FF"/>
            <w:noWrap/>
            <w:vAlign w:val="bottom"/>
            <w:hideMark/>
          </w:tcPr>
          <w:p w14:paraId="58621D1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4702CD4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5188FE8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13787EA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2674016"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Mandurah</w:t>
            </w:r>
          </w:p>
        </w:tc>
        <w:tc>
          <w:tcPr>
            <w:tcW w:w="1460" w:type="dxa"/>
            <w:tcBorders>
              <w:top w:val="nil"/>
              <w:left w:val="nil"/>
              <w:bottom w:val="nil"/>
              <w:right w:val="single" w:sz="4" w:space="0" w:color="auto"/>
            </w:tcBorders>
            <w:shd w:val="clear" w:color="000000" w:fill="F5E8FF"/>
            <w:noWrap/>
            <w:vAlign w:val="bottom"/>
            <w:hideMark/>
          </w:tcPr>
          <w:p w14:paraId="6E124D67"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4F30583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0CB4E9C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5948E54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09FE24E"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Perth - </w:t>
            </w:r>
            <w:proofErr w:type="gramStart"/>
            <w:r w:rsidRPr="009B7476">
              <w:rPr>
                <w:rFonts w:eastAsia="Times New Roman" w:cs="Arial"/>
                <w:color w:val="000000"/>
                <w:sz w:val="16"/>
                <w:szCs w:val="16"/>
                <w:lang w:eastAsia="en-AU"/>
              </w:rPr>
              <w:t>North East</w:t>
            </w:r>
            <w:proofErr w:type="gramEnd"/>
          </w:p>
        </w:tc>
        <w:tc>
          <w:tcPr>
            <w:tcW w:w="1460" w:type="dxa"/>
            <w:tcBorders>
              <w:top w:val="nil"/>
              <w:left w:val="nil"/>
              <w:bottom w:val="nil"/>
              <w:right w:val="single" w:sz="4" w:space="0" w:color="auto"/>
            </w:tcBorders>
            <w:shd w:val="clear" w:color="000000" w:fill="8E43D1"/>
            <w:noWrap/>
            <w:vAlign w:val="bottom"/>
            <w:hideMark/>
          </w:tcPr>
          <w:p w14:paraId="60B973B2"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459857B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00690DF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52695C76" w14:textId="77777777" w:rsidTr="009B7476">
        <w:trPr>
          <w:trHeight w:val="283"/>
        </w:trPr>
        <w:tc>
          <w:tcPr>
            <w:tcW w:w="3580" w:type="dxa"/>
            <w:tcBorders>
              <w:top w:val="nil"/>
              <w:left w:val="single" w:sz="4" w:space="0" w:color="auto"/>
              <w:bottom w:val="single" w:sz="4" w:space="0" w:color="auto"/>
              <w:right w:val="single" w:sz="4" w:space="0" w:color="auto"/>
            </w:tcBorders>
            <w:noWrap/>
            <w:vAlign w:val="bottom"/>
            <w:hideMark/>
          </w:tcPr>
          <w:p w14:paraId="5C9122B2"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Moreton Bay - North</w:t>
            </w:r>
          </w:p>
        </w:tc>
        <w:tc>
          <w:tcPr>
            <w:tcW w:w="1460" w:type="dxa"/>
            <w:tcBorders>
              <w:top w:val="nil"/>
              <w:left w:val="nil"/>
              <w:bottom w:val="single" w:sz="4" w:space="0" w:color="auto"/>
              <w:right w:val="single" w:sz="4" w:space="0" w:color="auto"/>
            </w:tcBorders>
            <w:shd w:val="clear" w:color="000000" w:fill="F5E8FF"/>
            <w:noWrap/>
            <w:vAlign w:val="bottom"/>
            <w:hideMark/>
          </w:tcPr>
          <w:p w14:paraId="46ECF49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single" w:sz="4" w:space="0" w:color="auto"/>
              <w:right w:val="single" w:sz="4" w:space="0" w:color="auto"/>
            </w:tcBorders>
            <w:noWrap/>
            <w:vAlign w:val="bottom"/>
            <w:hideMark/>
          </w:tcPr>
          <w:p w14:paraId="0B6FE3E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single" w:sz="4" w:space="0" w:color="auto"/>
              <w:right w:val="single" w:sz="4" w:space="0" w:color="auto"/>
            </w:tcBorders>
            <w:noWrap/>
            <w:vAlign w:val="bottom"/>
            <w:hideMark/>
          </w:tcPr>
          <w:p w14:paraId="5E85E9D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bl>
    <w:p w14:paraId="1D2A2B86" w14:textId="1A06F9DA" w:rsidR="009B7476" w:rsidRPr="00B40BF6" w:rsidRDefault="009B7476" w:rsidP="00B40BF6">
      <w:pPr>
        <w:tabs>
          <w:tab w:val="left" w:pos="3810"/>
        </w:tabs>
        <w:sectPr w:rsidR="009B7476" w:rsidRPr="00B40BF6" w:rsidSect="001918A6">
          <w:type w:val="continuous"/>
          <w:pgSz w:w="11906" w:h="16838"/>
          <w:pgMar w:top="1276" w:right="1440" w:bottom="1134" w:left="1440" w:header="0" w:footer="539" w:gutter="0"/>
          <w:cols w:space="708"/>
          <w:titlePg/>
          <w:docGrid w:linePitch="360"/>
        </w:sectPr>
      </w:pPr>
    </w:p>
    <w:tbl>
      <w:tblPr>
        <w:tblW w:w="9180" w:type="dxa"/>
        <w:tblLook w:val="04A0" w:firstRow="1" w:lastRow="0" w:firstColumn="1" w:lastColumn="0" w:noHBand="0" w:noVBand="1"/>
      </w:tblPr>
      <w:tblGrid>
        <w:gridCol w:w="3580"/>
        <w:gridCol w:w="1460"/>
        <w:gridCol w:w="1960"/>
        <w:gridCol w:w="2180"/>
      </w:tblGrid>
      <w:tr w:rsidR="009B7476" w:rsidRPr="009B7476" w14:paraId="47385E82" w14:textId="77777777" w:rsidTr="009B7476">
        <w:trPr>
          <w:trHeight w:val="283"/>
        </w:trPr>
        <w:tc>
          <w:tcPr>
            <w:tcW w:w="3580" w:type="dxa"/>
            <w:tcBorders>
              <w:top w:val="single" w:sz="4" w:space="0" w:color="auto"/>
              <w:left w:val="single" w:sz="4" w:space="0" w:color="auto"/>
              <w:bottom w:val="nil"/>
              <w:right w:val="single" w:sz="4" w:space="0" w:color="auto"/>
            </w:tcBorders>
            <w:shd w:val="clear" w:color="000000" w:fill="4B0985"/>
            <w:vAlign w:val="center"/>
            <w:hideMark/>
          </w:tcPr>
          <w:p w14:paraId="1CD1F1EE"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lastRenderedPageBreak/>
              <w:t>Statistical Area Level 4 (SA4)</w:t>
            </w:r>
          </w:p>
        </w:tc>
        <w:tc>
          <w:tcPr>
            <w:tcW w:w="1460" w:type="dxa"/>
            <w:tcBorders>
              <w:top w:val="single" w:sz="4" w:space="0" w:color="auto"/>
              <w:left w:val="nil"/>
              <w:bottom w:val="single" w:sz="4" w:space="0" w:color="auto"/>
              <w:right w:val="single" w:sz="4" w:space="0" w:color="auto"/>
            </w:tcBorders>
            <w:shd w:val="clear" w:color="000000" w:fill="4B0985"/>
            <w:noWrap/>
            <w:vAlign w:val="center"/>
            <w:hideMark/>
          </w:tcPr>
          <w:p w14:paraId="3D3B0131"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RLMI Rating</w:t>
            </w:r>
          </w:p>
        </w:tc>
        <w:tc>
          <w:tcPr>
            <w:tcW w:w="1960" w:type="dxa"/>
            <w:tcBorders>
              <w:top w:val="single" w:sz="4" w:space="0" w:color="auto"/>
              <w:left w:val="nil"/>
              <w:bottom w:val="single" w:sz="4" w:space="0" w:color="auto"/>
              <w:right w:val="single" w:sz="4" w:space="0" w:color="auto"/>
            </w:tcBorders>
            <w:shd w:val="clear" w:color="000000" w:fill="4B0985"/>
            <w:noWrap/>
            <w:vAlign w:val="center"/>
            <w:hideMark/>
          </w:tcPr>
          <w:p w14:paraId="1BA98474"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Automation exposure</w:t>
            </w:r>
          </w:p>
        </w:tc>
        <w:tc>
          <w:tcPr>
            <w:tcW w:w="2180" w:type="dxa"/>
            <w:tcBorders>
              <w:top w:val="single" w:sz="4" w:space="0" w:color="auto"/>
              <w:left w:val="nil"/>
              <w:bottom w:val="single" w:sz="4" w:space="0" w:color="auto"/>
              <w:right w:val="single" w:sz="4" w:space="0" w:color="auto"/>
            </w:tcBorders>
            <w:shd w:val="clear" w:color="000000" w:fill="4B0985"/>
            <w:noWrap/>
            <w:vAlign w:val="center"/>
            <w:hideMark/>
          </w:tcPr>
          <w:p w14:paraId="514B0CD6" w14:textId="77777777" w:rsidR="009B7476" w:rsidRPr="009B7476" w:rsidRDefault="009B7476" w:rsidP="009B7476">
            <w:pPr>
              <w:spacing w:after="0" w:line="240" w:lineRule="auto"/>
              <w:jc w:val="center"/>
              <w:rPr>
                <w:rFonts w:eastAsia="Times New Roman" w:cs="Arial"/>
                <w:b/>
                <w:bCs/>
                <w:color w:val="FFFFFF"/>
                <w:sz w:val="18"/>
                <w:szCs w:val="18"/>
                <w:lang w:eastAsia="en-AU"/>
              </w:rPr>
            </w:pPr>
            <w:r w:rsidRPr="009B7476">
              <w:rPr>
                <w:rFonts w:eastAsia="Times New Roman" w:cs="Arial"/>
                <w:b/>
                <w:bCs/>
                <w:color w:val="FFFFFF"/>
                <w:sz w:val="18"/>
                <w:szCs w:val="18"/>
                <w:lang w:eastAsia="en-AU"/>
              </w:rPr>
              <w:t>Augmentation exposure</w:t>
            </w:r>
          </w:p>
        </w:tc>
      </w:tr>
      <w:tr w:rsidR="009B7476" w:rsidRPr="009B7476" w14:paraId="278F5F0F" w14:textId="77777777" w:rsidTr="009B7476">
        <w:trPr>
          <w:trHeight w:val="283"/>
        </w:trPr>
        <w:tc>
          <w:tcPr>
            <w:tcW w:w="3580" w:type="dxa"/>
            <w:tcBorders>
              <w:top w:val="nil"/>
              <w:left w:val="single" w:sz="4" w:space="0" w:color="auto"/>
              <w:bottom w:val="single" w:sz="4" w:space="0" w:color="auto"/>
              <w:right w:val="single" w:sz="4" w:space="0" w:color="auto"/>
            </w:tcBorders>
            <w:shd w:val="clear" w:color="000000" w:fill="D9D9D9"/>
            <w:noWrap/>
            <w:vAlign w:val="bottom"/>
            <w:hideMark/>
          </w:tcPr>
          <w:p w14:paraId="588E893A" w14:textId="77777777" w:rsidR="009B7476" w:rsidRPr="009B7476" w:rsidRDefault="009B7476" w:rsidP="009B7476">
            <w:pPr>
              <w:spacing w:after="0" w:line="240" w:lineRule="auto"/>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Regional average</w:t>
            </w:r>
          </w:p>
        </w:tc>
        <w:tc>
          <w:tcPr>
            <w:tcW w:w="1460" w:type="dxa"/>
            <w:tcBorders>
              <w:top w:val="nil"/>
              <w:left w:val="nil"/>
              <w:bottom w:val="single" w:sz="4" w:space="0" w:color="auto"/>
              <w:right w:val="single" w:sz="4" w:space="0" w:color="auto"/>
            </w:tcBorders>
            <w:shd w:val="clear" w:color="000000" w:fill="D9D9D9"/>
            <w:noWrap/>
            <w:vAlign w:val="bottom"/>
            <w:hideMark/>
          </w:tcPr>
          <w:p w14:paraId="6F335467"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 </w:t>
            </w:r>
          </w:p>
        </w:tc>
        <w:tc>
          <w:tcPr>
            <w:tcW w:w="1960" w:type="dxa"/>
            <w:tcBorders>
              <w:top w:val="nil"/>
              <w:left w:val="nil"/>
              <w:bottom w:val="single" w:sz="4" w:space="0" w:color="auto"/>
              <w:right w:val="single" w:sz="4" w:space="0" w:color="auto"/>
            </w:tcBorders>
            <w:shd w:val="clear" w:color="000000" w:fill="D9D9D9"/>
            <w:noWrap/>
            <w:vAlign w:val="bottom"/>
            <w:hideMark/>
          </w:tcPr>
          <w:p w14:paraId="1F39E78F"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0.35</w:t>
            </w:r>
          </w:p>
        </w:tc>
        <w:tc>
          <w:tcPr>
            <w:tcW w:w="2180" w:type="dxa"/>
            <w:tcBorders>
              <w:top w:val="nil"/>
              <w:left w:val="nil"/>
              <w:bottom w:val="single" w:sz="4" w:space="0" w:color="auto"/>
              <w:right w:val="single" w:sz="4" w:space="0" w:color="auto"/>
            </w:tcBorders>
            <w:shd w:val="clear" w:color="000000" w:fill="D9D9D9"/>
            <w:noWrap/>
            <w:vAlign w:val="bottom"/>
            <w:hideMark/>
          </w:tcPr>
          <w:p w14:paraId="0B752169"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0.62</w:t>
            </w:r>
          </w:p>
        </w:tc>
      </w:tr>
      <w:tr w:rsidR="009B7476" w:rsidRPr="009B7476" w14:paraId="53AFDA0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23E98D7"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Newcastle and Lake Macquarie</w:t>
            </w:r>
          </w:p>
        </w:tc>
        <w:tc>
          <w:tcPr>
            <w:tcW w:w="1460" w:type="dxa"/>
            <w:tcBorders>
              <w:top w:val="nil"/>
              <w:left w:val="nil"/>
              <w:bottom w:val="nil"/>
              <w:right w:val="single" w:sz="4" w:space="0" w:color="auto"/>
            </w:tcBorders>
            <w:shd w:val="clear" w:color="000000" w:fill="8E43D1"/>
            <w:noWrap/>
            <w:vAlign w:val="bottom"/>
            <w:hideMark/>
          </w:tcPr>
          <w:p w14:paraId="767A5A80"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4EEEDE0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3CC7AFC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25C0971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C4B61B6"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Gold Coast</w:t>
            </w:r>
          </w:p>
        </w:tc>
        <w:tc>
          <w:tcPr>
            <w:tcW w:w="1460" w:type="dxa"/>
            <w:tcBorders>
              <w:top w:val="nil"/>
              <w:left w:val="nil"/>
              <w:bottom w:val="nil"/>
              <w:right w:val="single" w:sz="4" w:space="0" w:color="auto"/>
            </w:tcBorders>
            <w:shd w:val="clear" w:color="000000" w:fill="4B0985"/>
            <w:noWrap/>
            <w:vAlign w:val="bottom"/>
            <w:hideMark/>
          </w:tcPr>
          <w:p w14:paraId="12F03493"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241D9A6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1EB8772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56391D7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87151D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Hobart</w:t>
            </w:r>
          </w:p>
        </w:tc>
        <w:tc>
          <w:tcPr>
            <w:tcW w:w="1460" w:type="dxa"/>
            <w:tcBorders>
              <w:top w:val="nil"/>
              <w:left w:val="nil"/>
              <w:bottom w:val="nil"/>
              <w:right w:val="single" w:sz="4" w:space="0" w:color="auto"/>
            </w:tcBorders>
            <w:shd w:val="clear" w:color="000000" w:fill="C281F1"/>
            <w:noWrap/>
            <w:vAlign w:val="bottom"/>
            <w:hideMark/>
          </w:tcPr>
          <w:p w14:paraId="5E5D113F"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336B98E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41D652F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46D3A29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82CAC0E"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Darwin</w:t>
            </w:r>
          </w:p>
        </w:tc>
        <w:tc>
          <w:tcPr>
            <w:tcW w:w="1460" w:type="dxa"/>
            <w:tcBorders>
              <w:top w:val="nil"/>
              <w:left w:val="nil"/>
              <w:bottom w:val="nil"/>
              <w:right w:val="single" w:sz="4" w:space="0" w:color="auto"/>
            </w:tcBorders>
            <w:shd w:val="clear" w:color="000000" w:fill="4B0985"/>
            <w:noWrap/>
            <w:vAlign w:val="bottom"/>
            <w:hideMark/>
          </w:tcPr>
          <w:p w14:paraId="14D19404"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47282BC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0.37</w:t>
            </w:r>
          </w:p>
        </w:tc>
        <w:tc>
          <w:tcPr>
            <w:tcW w:w="2180" w:type="dxa"/>
            <w:tcBorders>
              <w:top w:val="nil"/>
              <w:left w:val="nil"/>
              <w:bottom w:val="nil"/>
              <w:right w:val="single" w:sz="4" w:space="0" w:color="auto"/>
            </w:tcBorders>
            <w:noWrap/>
            <w:vAlign w:val="bottom"/>
            <w:hideMark/>
          </w:tcPr>
          <w:p w14:paraId="6B235DD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20FFB83C" w14:textId="77777777" w:rsidTr="008B3E7B">
        <w:trPr>
          <w:trHeight w:val="283"/>
        </w:trPr>
        <w:tc>
          <w:tcPr>
            <w:tcW w:w="3580" w:type="dxa"/>
            <w:tcBorders>
              <w:top w:val="nil"/>
              <w:left w:val="single" w:sz="4" w:space="0" w:color="auto"/>
              <w:bottom w:val="nil"/>
              <w:right w:val="single" w:sz="4" w:space="0" w:color="auto"/>
            </w:tcBorders>
            <w:noWrap/>
            <w:vAlign w:val="bottom"/>
            <w:hideMark/>
          </w:tcPr>
          <w:p w14:paraId="4011A8E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Illawarra</w:t>
            </w:r>
          </w:p>
        </w:tc>
        <w:tc>
          <w:tcPr>
            <w:tcW w:w="1460" w:type="dxa"/>
            <w:tcBorders>
              <w:top w:val="nil"/>
              <w:left w:val="nil"/>
              <w:bottom w:val="nil"/>
              <w:right w:val="single" w:sz="4" w:space="0" w:color="auto"/>
            </w:tcBorders>
            <w:shd w:val="clear" w:color="auto" w:fill="C281F1"/>
            <w:noWrap/>
            <w:vAlign w:val="bottom"/>
            <w:hideMark/>
          </w:tcPr>
          <w:p w14:paraId="0089F0FA" w14:textId="2ADF805C" w:rsidR="008B3E7B" w:rsidRPr="009B7476" w:rsidRDefault="008B3E7B" w:rsidP="008B3E7B">
            <w:pPr>
              <w:spacing w:after="0" w:line="240" w:lineRule="auto"/>
              <w:jc w:val="center"/>
              <w:rPr>
                <w:rFonts w:eastAsia="Times New Roman" w:cs="Arial"/>
                <w:color w:val="000000"/>
                <w:sz w:val="16"/>
                <w:szCs w:val="16"/>
                <w:lang w:eastAsia="en-AU"/>
              </w:rPr>
            </w:pPr>
            <w:r w:rsidRPr="008B3E7B">
              <w:rPr>
                <w:rFonts w:eastAsia="Times New Roman" w:cs="Arial"/>
                <w:color w:val="FFFFFF" w:themeColor="background1"/>
                <w:sz w:val="16"/>
                <w:szCs w:val="16"/>
                <w:lang w:eastAsia="en-AU"/>
              </w:rPr>
              <w:t>Average</w:t>
            </w:r>
          </w:p>
        </w:tc>
        <w:tc>
          <w:tcPr>
            <w:tcW w:w="1960" w:type="dxa"/>
            <w:tcBorders>
              <w:top w:val="nil"/>
              <w:left w:val="nil"/>
              <w:bottom w:val="nil"/>
              <w:right w:val="single" w:sz="4" w:space="0" w:color="auto"/>
            </w:tcBorders>
            <w:noWrap/>
            <w:vAlign w:val="bottom"/>
            <w:hideMark/>
          </w:tcPr>
          <w:p w14:paraId="46EE63B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427516F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0.63</w:t>
            </w:r>
          </w:p>
        </w:tc>
      </w:tr>
      <w:tr w:rsidR="009B7476" w:rsidRPr="009B7476" w14:paraId="423022A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D4BA4D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Ballarat</w:t>
            </w:r>
          </w:p>
        </w:tc>
        <w:tc>
          <w:tcPr>
            <w:tcW w:w="1460" w:type="dxa"/>
            <w:tcBorders>
              <w:top w:val="nil"/>
              <w:left w:val="nil"/>
              <w:bottom w:val="nil"/>
              <w:right w:val="single" w:sz="4" w:space="0" w:color="auto"/>
            </w:tcBorders>
            <w:shd w:val="clear" w:color="000000" w:fill="E8CEFB"/>
            <w:noWrap/>
            <w:vAlign w:val="bottom"/>
            <w:hideMark/>
          </w:tcPr>
          <w:p w14:paraId="29FFE48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58EE3A9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464AE49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1F9DAD0"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BADA06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Geelong</w:t>
            </w:r>
          </w:p>
        </w:tc>
        <w:tc>
          <w:tcPr>
            <w:tcW w:w="1460" w:type="dxa"/>
            <w:tcBorders>
              <w:top w:val="nil"/>
              <w:left w:val="nil"/>
              <w:bottom w:val="nil"/>
              <w:right w:val="single" w:sz="4" w:space="0" w:color="auto"/>
            </w:tcBorders>
            <w:shd w:val="clear" w:color="000000" w:fill="8E43D1"/>
            <w:noWrap/>
            <w:vAlign w:val="bottom"/>
            <w:hideMark/>
          </w:tcPr>
          <w:p w14:paraId="5EEE88EC"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0079DD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3F3F7F0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3FB031D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94C0A7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Sunshine Coast</w:t>
            </w:r>
          </w:p>
        </w:tc>
        <w:tc>
          <w:tcPr>
            <w:tcW w:w="1460" w:type="dxa"/>
            <w:tcBorders>
              <w:top w:val="nil"/>
              <w:left w:val="nil"/>
              <w:bottom w:val="nil"/>
              <w:right w:val="single" w:sz="4" w:space="0" w:color="auto"/>
            </w:tcBorders>
            <w:shd w:val="clear" w:color="000000" w:fill="8E43D1"/>
            <w:noWrap/>
            <w:vAlign w:val="bottom"/>
            <w:hideMark/>
          </w:tcPr>
          <w:p w14:paraId="253989B1"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2B64005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366E474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2F8CAC1E"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57441BE"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Toowoomba</w:t>
            </w:r>
          </w:p>
        </w:tc>
        <w:tc>
          <w:tcPr>
            <w:tcW w:w="1460" w:type="dxa"/>
            <w:tcBorders>
              <w:top w:val="nil"/>
              <w:left w:val="nil"/>
              <w:bottom w:val="nil"/>
              <w:right w:val="single" w:sz="4" w:space="0" w:color="auto"/>
            </w:tcBorders>
            <w:shd w:val="clear" w:color="000000" w:fill="E8CEFB"/>
            <w:noWrap/>
            <w:vAlign w:val="bottom"/>
            <w:hideMark/>
          </w:tcPr>
          <w:p w14:paraId="380B0AE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1AAE744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0.36</w:t>
            </w:r>
          </w:p>
        </w:tc>
        <w:tc>
          <w:tcPr>
            <w:tcW w:w="2180" w:type="dxa"/>
            <w:tcBorders>
              <w:top w:val="nil"/>
              <w:left w:val="nil"/>
              <w:bottom w:val="nil"/>
              <w:right w:val="single" w:sz="4" w:space="0" w:color="auto"/>
            </w:tcBorders>
            <w:noWrap/>
            <w:vAlign w:val="bottom"/>
            <w:hideMark/>
          </w:tcPr>
          <w:p w14:paraId="31AF5CE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6923236D"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2B3C15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New South Wales - Central West</w:t>
            </w:r>
          </w:p>
        </w:tc>
        <w:tc>
          <w:tcPr>
            <w:tcW w:w="1460" w:type="dxa"/>
            <w:tcBorders>
              <w:top w:val="nil"/>
              <w:left w:val="nil"/>
              <w:bottom w:val="nil"/>
              <w:right w:val="single" w:sz="4" w:space="0" w:color="auto"/>
            </w:tcBorders>
            <w:shd w:val="clear" w:color="000000" w:fill="8E43D1"/>
            <w:noWrap/>
            <w:vAlign w:val="bottom"/>
            <w:hideMark/>
          </w:tcPr>
          <w:p w14:paraId="050CA9D5"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51DBFC9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7F75E6C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05BC8DD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4130337"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Coffs Harbour - Grafton</w:t>
            </w:r>
          </w:p>
        </w:tc>
        <w:tc>
          <w:tcPr>
            <w:tcW w:w="1460" w:type="dxa"/>
            <w:tcBorders>
              <w:top w:val="nil"/>
              <w:left w:val="nil"/>
              <w:bottom w:val="nil"/>
              <w:right w:val="single" w:sz="4" w:space="0" w:color="auto"/>
            </w:tcBorders>
            <w:shd w:val="clear" w:color="000000" w:fill="F5E8FF"/>
            <w:noWrap/>
            <w:vAlign w:val="bottom"/>
            <w:hideMark/>
          </w:tcPr>
          <w:p w14:paraId="686EF6B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03FB00D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4F5B89A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58AE0FEB"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D99E6C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Mid North Coast</w:t>
            </w:r>
          </w:p>
        </w:tc>
        <w:tc>
          <w:tcPr>
            <w:tcW w:w="1460" w:type="dxa"/>
            <w:tcBorders>
              <w:top w:val="nil"/>
              <w:left w:val="nil"/>
              <w:bottom w:val="nil"/>
              <w:right w:val="single" w:sz="4" w:space="0" w:color="auto"/>
            </w:tcBorders>
            <w:shd w:val="clear" w:color="000000" w:fill="F5E8FF"/>
            <w:noWrap/>
            <w:vAlign w:val="bottom"/>
            <w:hideMark/>
          </w:tcPr>
          <w:p w14:paraId="0436C48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441D071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28A4E33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17EE952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8A5A122"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Murray</w:t>
            </w:r>
          </w:p>
        </w:tc>
        <w:tc>
          <w:tcPr>
            <w:tcW w:w="1460" w:type="dxa"/>
            <w:tcBorders>
              <w:top w:val="nil"/>
              <w:left w:val="nil"/>
              <w:bottom w:val="nil"/>
              <w:right w:val="single" w:sz="4" w:space="0" w:color="auto"/>
            </w:tcBorders>
            <w:shd w:val="clear" w:color="000000" w:fill="8E43D1"/>
            <w:noWrap/>
            <w:vAlign w:val="bottom"/>
            <w:hideMark/>
          </w:tcPr>
          <w:p w14:paraId="75236B5E"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6ADAE31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6A45EEF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7F27459C"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6DD2EA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New England and </w:t>
            </w:r>
            <w:proofErr w:type="gramStart"/>
            <w:r w:rsidRPr="009B7476">
              <w:rPr>
                <w:rFonts w:eastAsia="Times New Roman" w:cs="Arial"/>
                <w:color w:val="000000"/>
                <w:sz w:val="16"/>
                <w:szCs w:val="16"/>
                <w:lang w:eastAsia="en-AU"/>
              </w:rPr>
              <w:t>North West</w:t>
            </w:r>
            <w:proofErr w:type="gramEnd"/>
          </w:p>
        </w:tc>
        <w:tc>
          <w:tcPr>
            <w:tcW w:w="1460" w:type="dxa"/>
            <w:tcBorders>
              <w:top w:val="nil"/>
              <w:left w:val="nil"/>
              <w:bottom w:val="nil"/>
              <w:right w:val="single" w:sz="4" w:space="0" w:color="auto"/>
            </w:tcBorders>
            <w:shd w:val="clear" w:color="000000" w:fill="E8CEFB"/>
            <w:noWrap/>
            <w:vAlign w:val="bottom"/>
            <w:hideMark/>
          </w:tcPr>
          <w:p w14:paraId="5E53473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3BE093B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319012A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2C2AB649" w14:textId="77777777" w:rsidTr="008B3E7B">
        <w:trPr>
          <w:trHeight w:val="283"/>
        </w:trPr>
        <w:tc>
          <w:tcPr>
            <w:tcW w:w="3580" w:type="dxa"/>
            <w:tcBorders>
              <w:top w:val="nil"/>
              <w:left w:val="single" w:sz="4" w:space="0" w:color="auto"/>
              <w:bottom w:val="nil"/>
              <w:right w:val="single" w:sz="4" w:space="0" w:color="auto"/>
            </w:tcBorders>
            <w:noWrap/>
            <w:vAlign w:val="bottom"/>
            <w:hideMark/>
          </w:tcPr>
          <w:p w14:paraId="20A6686F"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Richmond - Tweed</w:t>
            </w:r>
          </w:p>
        </w:tc>
        <w:tc>
          <w:tcPr>
            <w:tcW w:w="1460" w:type="dxa"/>
            <w:tcBorders>
              <w:top w:val="nil"/>
              <w:left w:val="nil"/>
              <w:bottom w:val="nil"/>
              <w:right w:val="single" w:sz="4" w:space="0" w:color="auto"/>
            </w:tcBorders>
            <w:shd w:val="clear" w:color="auto" w:fill="C281F1"/>
            <w:noWrap/>
            <w:vAlign w:val="bottom"/>
            <w:hideMark/>
          </w:tcPr>
          <w:p w14:paraId="2B01406B"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6A11176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2CBB655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11D210D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D9FCA89"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Southern Highlands and Shoalhaven</w:t>
            </w:r>
          </w:p>
        </w:tc>
        <w:tc>
          <w:tcPr>
            <w:tcW w:w="1460" w:type="dxa"/>
            <w:tcBorders>
              <w:top w:val="nil"/>
              <w:left w:val="nil"/>
              <w:bottom w:val="nil"/>
              <w:right w:val="single" w:sz="4" w:space="0" w:color="auto"/>
            </w:tcBorders>
            <w:shd w:val="clear" w:color="000000" w:fill="E8CEFB"/>
            <w:noWrap/>
            <w:vAlign w:val="bottom"/>
            <w:hideMark/>
          </w:tcPr>
          <w:p w14:paraId="7629D69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3E1948A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6B03F4C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7CBBF346"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2DC077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Bendigo</w:t>
            </w:r>
          </w:p>
        </w:tc>
        <w:tc>
          <w:tcPr>
            <w:tcW w:w="1460" w:type="dxa"/>
            <w:tcBorders>
              <w:top w:val="nil"/>
              <w:left w:val="nil"/>
              <w:bottom w:val="nil"/>
              <w:right w:val="single" w:sz="4" w:space="0" w:color="auto"/>
            </w:tcBorders>
            <w:shd w:val="clear" w:color="000000" w:fill="C281F1"/>
            <w:noWrap/>
            <w:vAlign w:val="bottom"/>
            <w:hideMark/>
          </w:tcPr>
          <w:p w14:paraId="0E16CBB4"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1B9174B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3637261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19FF9DB1"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170BED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Latrobe - Gippsland</w:t>
            </w:r>
          </w:p>
        </w:tc>
        <w:tc>
          <w:tcPr>
            <w:tcW w:w="1460" w:type="dxa"/>
            <w:tcBorders>
              <w:top w:val="nil"/>
              <w:left w:val="nil"/>
              <w:bottom w:val="nil"/>
              <w:right w:val="single" w:sz="4" w:space="0" w:color="auto"/>
            </w:tcBorders>
            <w:shd w:val="clear" w:color="000000" w:fill="E8CEFB"/>
            <w:noWrap/>
            <w:vAlign w:val="bottom"/>
            <w:hideMark/>
          </w:tcPr>
          <w:p w14:paraId="6D56F6A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3C40703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0F1E571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32B531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E5159B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Cairns</w:t>
            </w:r>
          </w:p>
        </w:tc>
        <w:tc>
          <w:tcPr>
            <w:tcW w:w="1460" w:type="dxa"/>
            <w:tcBorders>
              <w:top w:val="nil"/>
              <w:left w:val="nil"/>
              <w:bottom w:val="nil"/>
              <w:right w:val="single" w:sz="4" w:space="0" w:color="auto"/>
            </w:tcBorders>
            <w:shd w:val="clear" w:color="000000" w:fill="E8CEFB"/>
            <w:noWrap/>
            <w:vAlign w:val="bottom"/>
            <w:hideMark/>
          </w:tcPr>
          <w:p w14:paraId="11EB366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079278A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192BDF8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2942CB1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701EE49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Townsville</w:t>
            </w:r>
          </w:p>
        </w:tc>
        <w:tc>
          <w:tcPr>
            <w:tcW w:w="1460" w:type="dxa"/>
            <w:tcBorders>
              <w:top w:val="nil"/>
              <w:left w:val="nil"/>
              <w:bottom w:val="nil"/>
              <w:right w:val="single" w:sz="4" w:space="0" w:color="auto"/>
            </w:tcBorders>
            <w:shd w:val="clear" w:color="000000" w:fill="E8CEFB"/>
            <w:noWrap/>
            <w:vAlign w:val="bottom"/>
            <w:hideMark/>
          </w:tcPr>
          <w:p w14:paraId="6C34ECF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4572C34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5EBA39A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F372CC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275B16F"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Launceston and </w:t>
            </w:r>
            <w:proofErr w:type="gramStart"/>
            <w:r w:rsidRPr="009B7476">
              <w:rPr>
                <w:rFonts w:eastAsia="Times New Roman" w:cs="Arial"/>
                <w:color w:val="000000"/>
                <w:sz w:val="16"/>
                <w:szCs w:val="16"/>
                <w:lang w:eastAsia="en-AU"/>
              </w:rPr>
              <w:t>North East</w:t>
            </w:r>
            <w:proofErr w:type="gramEnd"/>
          </w:p>
        </w:tc>
        <w:tc>
          <w:tcPr>
            <w:tcW w:w="1460" w:type="dxa"/>
            <w:tcBorders>
              <w:top w:val="nil"/>
              <w:left w:val="nil"/>
              <w:bottom w:val="nil"/>
              <w:right w:val="single" w:sz="4" w:space="0" w:color="auto"/>
            </w:tcBorders>
            <w:shd w:val="clear" w:color="000000" w:fill="E8CEFB"/>
            <w:noWrap/>
            <w:vAlign w:val="bottom"/>
            <w:hideMark/>
          </w:tcPr>
          <w:p w14:paraId="7824A9C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3191B81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0.35</w:t>
            </w:r>
          </w:p>
        </w:tc>
        <w:tc>
          <w:tcPr>
            <w:tcW w:w="2180" w:type="dxa"/>
            <w:tcBorders>
              <w:top w:val="nil"/>
              <w:left w:val="nil"/>
              <w:bottom w:val="nil"/>
              <w:right w:val="single" w:sz="4" w:space="0" w:color="auto"/>
            </w:tcBorders>
            <w:noWrap/>
            <w:vAlign w:val="bottom"/>
            <w:hideMark/>
          </w:tcPr>
          <w:p w14:paraId="3E5147A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465BE9D6"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12BCECD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Capital Region</w:t>
            </w:r>
          </w:p>
        </w:tc>
        <w:tc>
          <w:tcPr>
            <w:tcW w:w="1460" w:type="dxa"/>
            <w:tcBorders>
              <w:top w:val="nil"/>
              <w:left w:val="nil"/>
              <w:bottom w:val="nil"/>
              <w:right w:val="single" w:sz="4" w:space="0" w:color="auto"/>
            </w:tcBorders>
            <w:shd w:val="clear" w:color="000000" w:fill="8E43D1"/>
            <w:noWrap/>
            <w:vAlign w:val="bottom"/>
            <w:hideMark/>
          </w:tcPr>
          <w:p w14:paraId="74D5B556"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459A92E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5602D96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221F88E8"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F269C4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Hunter Valley </w:t>
            </w:r>
            <w:proofErr w:type="spellStart"/>
            <w:r w:rsidRPr="009B7476">
              <w:rPr>
                <w:rFonts w:eastAsia="Times New Roman" w:cs="Arial"/>
                <w:color w:val="000000"/>
                <w:sz w:val="16"/>
                <w:szCs w:val="16"/>
                <w:lang w:eastAsia="en-AU"/>
              </w:rPr>
              <w:t>exc</w:t>
            </w:r>
            <w:proofErr w:type="spellEnd"/>
            <w:r w:rsidRPr="009B7476">
              <w:rPr>
                <w:rFonts w:eastAsia="Times New Roman" w:cs="Arial"/>
                <w:color w:val="000000"/>
                <w:sz w:val="16"/>
                <w:szCs w:val="16"/>
                <w:lang w:eastAsia="en-AU"/>
              </w:rPr>
              <w:t xml:space="preserve"> Newcastle</w:t>
            </w:r>
          </w:p>
        </w:tc>
        <w:tc>
          <w:tcPr>
            <w:tcW w:w="1460" w:type="dxa"/>
            <w:tcBorders>
              <w:top w:val="nil"/>
              <w:left w:val="nil"/>
              <w:bottom w:val="nil"/>
              <w:right w:val="single" w:sz="4" w:space="0" w:color="auto"/>
            </w:tcBorders>
            <w:shd w:val="clear" w:color="000000" w:fill="E8CEFB"/>
            <w:noWrap/>
            <w:vAlign w:val="bottom"/>
            <w:hideMark/>
          </w:tcPr>
          <w:p w14:paraId="1745E1A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6EED99C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2C32562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66E2FF97"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ED4005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Riverina</w:t>
            </w:r>
          </w:p>
        </w:tc>
        <w:tc>
          <w:tcPr>
            <w:tcW w:w="1460" w:type="dxa"/>
            <w:tcBorders>
              <w:top w:val="nil"/>
              <w:left w:val="nil"/>
              <w:bottom w:val="nil"/>
              <w:right w:val="single" w:sz="4" w:space="0" w:color="auto"/>
            </w:tcBorders>
            <w:shd w:val="clear" w:color="000000" w:fill="C281F1"/>
            <w:noWrap/>
            <w:vAlign w:val="bottom"/>
            <w:hideMark/>
          </w:tcPr>
          <w:p w14:paraId="161E4EE5"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23C564A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66B27297"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67C03934"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D7443E9"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Hume</w:t>
            </w:r>
          </w:p>
        </w:tc>
        <w:tc>
          <w:tcPr>
            <w:tcW w:w="1460" w:type="dxa"/>
            <w:tcBorders>
              <w:top w:val="nil"/>
              <w:left w:val="nil"/>
              <w:bottom w:val="nil"/>
              <w:right w:val="single" w:sz="4" w:space="0" w:color="auto"/>
            </w:tcBorders>
            <w:shd w:val="clear" w:color="000000" w:fill="8E43D1"/>
            <w:noWrap/>
            <w:vAlign w:val="bottom"/>
            <w:hideMark/>
          </w:tcPr>
          <w:p w14:paraId="605E0561"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12013BD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5462A77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6F7F9EC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45F751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Victoria - </w:t>
            </w:r>
            <w:proofErr w:type="gramStart"/>
            <w:r w:rsidRPr="009B7476">
              <w:rPr>
                <w:rFonts w:eastAsia="Times New Roman" w:cs="Arial"/>
                <w:color w:val="000000"/>
                <w:sz w:val="16"/>
                <w:szCs w:val="16"/>
                <w:lang w:eastAsia="en-AU"/>
              </w:rPr>
              <w:t>North West</w:t>
            </w:r>
            <w:proofErr w:type="gramEnd"/>
          </w:p>
        </w:tc>
        <w:tc>
          <w:tcPr>
            <w:tcW w:w="1460" w:type="dxa"/>
            <w:tcBorders>
              <w:top w:val="nil"/>
              <w:left w:val="nil"/>
              <w:bottom w:val="nil"/>
              <w:right w:val="single" w:sz="4" w:space="0" w:color="auto"/>
            </w:tcBorders>
            <w:shd w:val="clear" w:color="000000" w:fill="E8CEFB"/>
            <w:noWrap/>
            <w:vAlign w:val="bottom"/>
            <w:hideMark/>
          </w:tcPr>
          <w:p w14:paraId="6D1B5D6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4DDB09C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67136E6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62158705"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DFB93C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Shepparton</w:t>
            </w:r>
          </w:p>
        </w:tc>
        <w:tc>
          <w:tcPr>
            <w:tcW w:w="1460" w:type="dxa"/>
            <w:tcBorders>
              <w:top w:val="nil"/>
              <w:left w:val="nil"/>
              <w:bottom w:val="nil"/>
              <w:right w:val="single" w:sz="4" w:space="0" w:color="auto"/>
            </w:tcBorders>
            <w:shd w:val="clear" w:color="000000" w:fill="E8CEFB"/>
            <w:noWrap/>
            <w:vAlign w:val="bottom"/>
            <w:hideMark/>
          </w:tcPr>
          <w:p w14:paraId="0760545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15915A4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04418EF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0.62</w:t>
            </w:r>
          </w:p>
        </w:tc>
      </w:tr>
      <w:tr w:rsidR="009B7476" w:rsidRPr="009B7476" w14:paraId="73291388"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EE9B1F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Warrnambool and </w:t>
            </w:r>
            <w:proofErr w:type="gramStart"/>
            <w:r w:rsidRPr="009B7476">
              <w:rPr>
                <w:rFonts w:eastAsia="Times New Roman" w:cs="Arial"/>
                <w:color w:val="000000"/>
                <w:sz w:val="16"/>
                <w:szCs w:val="16"/>
                <w:lang w:eastAsia="en-AU"/>
              </w:rPr>
              <w:t>South West</w:t>
            </w:r>
            <w:proofErr w:type="gramEnd"/>
          </w:p>
        </w:tc>
        <w:tc>
          <w:tcPr>
            <w:tcW w:w="1460" w:type="dxa"/>
            <w:tcBorders>
              <w:top w:val="nil"/>
              <w:left w:val="nil"/>
              <w:bottom w:val="nil"/>
              <w:right w:val="single" w:sz="4" w:space="0" w:color="auto"/>
            </w:tcBorders>
            <w:shd w:val="clear" w:color="000000" w:fill="8E43D1"/>
            <w:noWrap/>
            <w:vAlign w:val="bottom"/>
            <w:hideMark/>
          </w:tcPr>
          <w:p w14:paraId="165E3BB0"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38247D5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6AE876F9"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01F0CEE8"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9DF49F6"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Central Queensland</w:t>
            </w:r>
          </w:p>
        </w:tc>
        <w:tc>
          <w:tcPr>
            <w:tcW w:w="1460" w:type="dxa"/>
            <w:tcBorders>
              <w:top w:val="nil"/>
              <w:left w:val="nil"/>
              <w:bottom w:val="nil"/>
              <w:right w:val="single" w:sz="4" w:space="0" w:color="auto"/>
            </w:tcBorders>
            <w:shd w:val="clear" w:color="000000" w:fill="C281F1"/>
            <w:noWrap/>
            <w:vAlign w:val="bottom"/>
            <w:hideMark/>
          </w:tcPr>
          <w:p w14:paraId="56251817"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681A0D42"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4A7B9430"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3F37ABA3"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0E3E491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Wide Bay</w:t>
            </w:r>
          </w:p>
        </w:tc>
        <w:tc>
          <w:tcPr>
            <w:tcW w:w="1460" w:type="dxa"/>
            <w:tcBorders>
              <w:top w:val="nil"/>
              <w:left w:val="nil"/>
              <w:bottom w:val="nil"/>
              <w:right w:val="single" w:sz="4" w:space="0" w:color="auto"/>
            </w:tcBorders>
            <w:shd w:val="clear" w:color="000000" w:fill="F5E8FF"/>
            <w:noWrap/>
            <w:vAlign w:val="bottom"/>
            <w:hideMark/>
          </w:tcPr>
          <w:p w14:paraId="0687A52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1CD845FA"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30015C1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501C5652"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5C063A8"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Barossa - Yorke - Mid North</w:t>
            </w:r>
          </w:p>
        </w:tc>
        <w:tc>
          <w:tcPr>
            <w:tcW w:w="1460" w:type="dxa"/>
            <w:tcBorders>
              <w:top w:val="nil"/>
              <w:left w:val="nil"/>
              <w:bottom w:val="nil"/>
              <w:right w:val="single" w:sz="4" w:space="0" w:color="auto"/>
            </w:tcBorders>
            <w:shd w:val="clear" w:color="000000" w:fill="E8CEFB"/>
            <w:noWrap/>
            <w:vAlign w:val="bottom"/>
            <w:hideMark/>
          </w:tcPr>
          <w:p w14:paraId="50BBFCE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56E1C75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2EAA236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5948EA4C"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A285AF5"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South Australia - </w:t>
            </w:r>
            <w:proofErr w:type="gramStart"/>
            <w:r w:rsidRPr="009B7476">
              <w:rPr>
                <w:rFonts w:eastAsia="Times New Roman" w:cs="Arial"/>
                <w:color w:val="000000"/>
                <w:sz w:val="16"/>
                <w:szCs w:val="16"/>
                <w:lang w:eastAsia="en-AU"/>
              </w:rPr>
              <w:t>South East</w:t>
            </w:r>
            <w:proofErr w:type="gramEnd"/>
          </w:p>
        </w:tc>
        <w:tc>
          <w:tcPr>
            <w:tcW w:w="1460" w:type="dxa"/>
            <w:tcBorders>
              <w:top w:val="nil"/>
              <w:left w:val="nil"/>
              <w:bottom w:val="nil"/>
              <w:right w:val="single" w:sz="4" w:space="0" w:color="auto"/>
            </w:tcBorders>
            <w:shd w:val="clear" w:color="000000" w:fill="E8CEFB"/>
            <w:noWrap/>
            <w:vAlign w:val="bottom"/>
            <w:hideMark/>
          </w:tcPr>
          <w:p w14:paraId="29365AA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Below average</w:t>
            </w:r>
          </w:p>
        </w:tc>
        <w:tc>
          <w:tcPr>
            <w:tcW w:w="1960" w:type="dxa"/>
            <w:tcBorders>
              <w:top w:val="nil"/>
              <w:left w:val="nil"/>
              <w:bottom w:val="nil"/>
              <w:right w:val="single" w:sz="4" w:space="0" w:color="auto"/>
            </w:tcBorders>
            <w:noWrap/>
            <w:vAlign w:val="bottom"/>
            <w:hideMark/>
          </w:tcPr>
          <w:p w14:paraId="2541410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536809B3"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4A0E81FA"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5D515061"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Bunbury</w:t>
            </w:r>
          </w:p>
        </w:tc>
        <w:tc>
          <w:tcPr>
            <w:tcW w:w="1460" w:type="dxa"/>
            <w:tcBorders>
              <w:top w:val="nil"/>
              <w:left w:val="nil"/>
              <w:bottom w:val="nil"/>
              <w:right w:val="single" w:sz="4" w:space="0" w:color="auto"/>
            </w:tcBorders>
            <w:shd w:val="clear" w:color="000000" w:fill="8E43D1"/>
            <w:noWrap/>
            <w:vAlign w:val="bottom"/>
            <w:hideMark/>
          </w:tcPr>
          <w:p w14:paraId="13859339"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Above average</w:t>
            </w:r>
          </w:p>
        </w:tc>
        <w:tc>
          <w:tcPr>
            <w:tcW w:w="1960" w:type="dxa"/>
            <w:tcBorders>
              <w:top w:val="nil"/>
              <w:left w:val="nil"/>
              <w:bottom w:val="nil"/>
              <w:right w:val="single" w:sz="4" w:space="0" w:color="auto"/>
            </w:tcBorders>
            <w:noWrap/>
            <w:vAlign w:val="bottom"/>
            <w:hideMark/>
          </w:tcPr>
          <w:p w14:paraId="066DC076"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3B7D1EA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0FB21B59"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99D3754"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Western Australia - Wheat Belt</w:t>
            </w:r>
          </w:p>
        </w:tc>
        <w:tc>
          <w:tcPr>
            <w:tcW w:w="1460" w:type="dxa"/>
            <w:tcBorders>
              <w:top w:val="nil"/>
              <w:left w:val="nil"/>
              <w:bottom w:val="nil"/>
              <w:right w:val="single" w:sz="4" w:space="0" w:color="auto"/>
            </w:tcBorders>
            <w:shd w:val="clear" w:color="000000" w:fill="C281F1"/>
            <w:noWrap/>
            <w:vAlign w:val="bottom"/>
            <w:hideMark/>
          </w:tcPr>
          <w:p w14:paraId="0F604D63"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7C85877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29AA920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0325446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3ECFED43"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Darling Downs - Maranoa</w:t>
            </w:r>
          </w:p>
        </w:tc>
        <w:tc>
          <w:tcPr>
            <w:tcW w:w="1460" w:type="dxa"/>
            <w:tcBorders>
              <w:top w:val="nil"/>
              <w:left w:val="nil"/>
              <w:bottom w:val="nil"/>
              <w:right w:val="single" w:sz="4" w:space="0" w:color="auto"/>
            </w:tcBorders>
            <w:shd w:val="clear" w:color="000000" w:fill="C281F1"/>
            <w:noWrap/>
            <w:vAlign w:val="bottom"/>
            <w:hideMark/>
          </w:tcPr>
          <w:p w14:paraId="49CE0B91"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Average</w:t>
            </w:r>
          </w:p>
        </w:tc>
        <w:tc>
          <w:tcPr>
            <w:tcW w:w="1960" w:type="dxa"/>
            <w:tcBorders>
              <w:top w:val="nil"/>
              <w:left w:val="nil"/>
              <w:bottom w:val="nil"/>
              <w:right w:val="single" w:sz="4" w:space="0" w:color="auto"/>
            </w:tcBorders>
            <w:noWrap/>
            <w:vAlign w:val="bottom"/>
            <w:hideMark/>
          </w:tcPr>
          <w:p w14:paraId="009E868E"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0.33</w:t>
            </w:r>
          </w:p>
        </w:tc>
        <w:tc>
          <w:tcPr>
            <w:tcW w:w="2180" w:type="dxa"/>
            <w:tcBorders>
              <w:top w:val="nil"/>
              <w:left w:val="nil"/>
              <w:bottom w:val="nil"/>
              <w:right w:val="single" w:sz="4" w:space="0" w:color="auto"/>
            </w:tcBorders>
            <w:noWrap/>
            <w:vAlign w:val="bottom"/>
            <w:hideMark/>
          </w:tcPr>
          <w:p w14:paraId="5C9CB6FF"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3771DB6E"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47BF1590"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Mackay - Isaac - Whitsunday</w:t>
            </w:r>
          </w:p>
        </w:tc>
        <w:tc>
          <w:tcPr>
            <w:tcW w:w="1460" w:type="dxa"/>
            <w:tcBorders>
              <w:top w:val="nil"/>
              <w:left w:val="nil"/>
              <w:bottom w:val="nil"/>
              <w:right w:val="single" w:sz="4" w:space="0" w:color="auto"/>
            </w:tcBorders>
            <w:shd w:val="clear" w:color="000000" w:fill="4B0985"/>
            <w:noWrap/>
            <w:vAlign w:val="bottom"/>
            <w:hideMark/>
          </w:tcPr>
          <w:p w14:paraId="08AB1AD9" w14:textId="77777777" w:rsidR="009B7476" w:rsidRPr="009B7476" w:rsidRDefault="009B7476" w:rsidP="009B7476">
            <w:pPr>
              <w:spacing w:after="0" w:line="240" w:lineRule="auto"/>
              <w:jc w:val="center"/>
              <w:rPr>
                <w:rFonts w:eastAsia="Times New Roman" w:cs="Arial"/>
                <w:color w:val="FFFFFF"/>
                <w:sz w:val="16"/>
                <w:szCs w:val="16"/>
                <w:lang w:eastAsia="en-AU"/>
              </w:rPr>
            </w:pPr>
            <w:r w:rsidRPr="009B7476">
              <w:rPr>
                <w:rFonts w:eastAsia="Times New Roman" w:cs="Arial"/>
                <w:color w:val="FFFFFF"/>
                <w:sz w:val="16"/>
                <w:szCs w:val="16"/>
                <w:lang w:eastAsia="en-AU"/>
              </w:rPr>
              <w:t>Strong</w:t>
            </w:r>
          </w:p>
        </w:tc>
        <w:tc>
          <w:tcPr>
            <w:tcW w:w="1960" w:type="dxa"/>
            <w:tcBorders>
              <w:top w:val="nil"/>
              <w:left w:val="nil"/>
              <w:bottom w:val="nil"/>
              <w:right w:val="single" w:sz="4" w:space="0" w:color="auto"/>
            </w:tcBorders>
            <w:noWrap/>
            <w:vAlign w:val="bottom"/>
            <w:hideMark/>
          </w:tcPr>
          <w:p w14:paraId="27319FA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0.33</w:t>
            </w:r>
          </w:p>
        </w:tc>
        <w:tc>
          <w:tcPr>
            <w:tcW w:w="2180" w:type="dxa"/>
            <w:tcBorders>
              <w:top w:val="nil"/>
              <w:left w:val="nil"/>
              <w:bottom w:val="nil"/>
              <w:right w:val="single" w:sz="4" w:space="0" w:color="auto"/>
            </w:tcBorders>
            <w:noWrap/>
            <w:vAlign w:val="bottom"/>
            <w:hideMark/>
          </w:tcPr>
          <w:p w14:paraId="35C73CB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0.60</w:t>
            </w:r>
          </w:p>
        </w:tc>
      </w:tr>
      <w:tr w:rsidR="009B7476" w:rsidRPr="009B7476" w14:paraId="105F9BC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25FBCA5A"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Tasmania - </w:t>
            </w:r>
            <w:proofErr w:type="gramStart"/>
            <w:r w:rsidRPr="009B7476">
              <w:rPr>
                <w:rFonts w:eastAsia="Times New Roman" w:cs="Arial"/>
                <w:color w:val="000000"/>
                <w:sz w:val="16"/>
                <w:szCs w:val="16"/>
                <w:lang w:eastAsia="en-AU"/>
              </w:rPr>
              <w:t>South East</w:t>
            </w:r>
            <w:proofErr w:type="gramEnd"/>
          </w:p>
        </w:tc>
        <w:tc>
          <w:tcPr>
            <w:tcW w:w="1460" w:type="dxa"/>
            <w:tcBorders>
              <w:top w:val="nil"/>
              <w:left w:val="nil"/>
              <w:bottom w:val="nil"/>
              <w:right w:val="single" w:sz="4" w:space="0" w:color="auto"/>
            </w:tcBorders>
            <w:shd w:val="clear" w:color="000000" w:fill="F5E8FF"/>
            <w:noWrap/>
            <w:vAlign w:val="bottom"/>
            <w:hideMark/>
          </w:tcPr>
          <w:p w14:paraId="478EABCC"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4761876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0.32</w:t>
            </w:r>
          </w:p>
        </w:tc>
        <w:tc>
          <w:tcPr>
            <w:tcW w:w="2180" w:type="dxa"/>
            <w:tcBorders>
              <w:top w:val="nil"/>
              <w:left w:val="nil"/>
              <w:bottom w:val="nil"/>
              <w:right w:val="single" w:sz="4" w:space="0" w:color="auto"/>
            </w:tcBorders>
            <w:noWrap/>
            <w:vAlign w:val="bottom"/>
            <w:hideMark/>
          </w:tcPr>
          <w:p w14:paraId="0395440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0.60</w:t>
            </w:r>
          </w:p>
        </w:tc>
      </w:tr>
      <w:tr w:rsidR="009B7476" w:rsidRPr="009B7476" w14:paraId="6B70D11A" w14:textId="77777777" w:rsidTr="009B7476">
        <w:trPr>
          <w:trHeight w:val="283"/>
        </w:trPr>
        <w:tc>
          <w:tcPr>
            <w:tcW w:w="3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E910D1" w14:textId="77777777" w:rsidR="009B7476" w:rsidRPr="009B7476" w:rsidRDefault="009B7476" w:rsidP="009B7476">
            <w:pPr>
              <w:spacing w:after="0" w:line="240" w:lineRule="auto"/>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Remote average</w:t>
            </w:r>
          </w:p>
        </w:tc>
        <w:tc>
          <w:tcPr>
            <w:tcW w:w="1460" w:type="dxa"/>
            <w:tcBorders>
              <w:top w:val="single" w:sz="4" w:space="0" w:color="auto"/>
              <w:left w:val="nil"/>
              <w:bottom w:val="single" w:sz="4" w:space="0" w:color="auto"/>
              <w:right w:val="single" w:sz="4" w:space="0" w:color="auto"/>
            </w:tcBorders>
            <w:shd w:val="clear" w:color="000000" w:fill="D9D9D9"/>
            <w:noWrap/>
            <w:vAlign w:val="bottom"/>
            <w:hideMark/>
          </w:tcPr>
          <w:p w14:paraId="0E36F9BF"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 </w:t>
            </w:r>
          </w:p>
        </w:tc>
        <w:tc>
          <w:tcPr>
            <w:tcW w:w="1960" w:type="dxa"/>
            <w:tcBorders>
              <w:top w:val="single" w:sz="4" w:space="0" w:color="auto"/>
              <w:left w:val="nil"/>
              <w:bottom w:val="single" w:sz="4" w:space="0" w:color="auto"/>
              <w:right w:val="single" w:sz="4" w:space="0" w:color="auto"/>
            </w:tcBorders>
            <w:shd w:val="clear" w:color="000000" w:fill="D9D9D9"/>
            <w:noWrap/>
            <w:vAlign w:val="bottom"/>
            <w:hideMark/>
          </w:tcPr>
          <w:p w14:paraId="6E17C35D"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0.33</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20AEC2B8" w14:textId="77777777" w:rsidR="009B7476" w:rsidRPr="009B7476" w:rsidRDefault="009B7476" w:rsidP="009B7476">
            <w:pPr>
              <w:spacing w:after="0" w:line="240" w:lineRule="auto"/>
              <w:jc w:val="center"/>
              <w:rPr>
                <w:rFonts w:eastAsia="Times New Roman" w:cs="Arial"/>
                <w:b/>
                <w:bCs/>
                <w:i/>
                <w:iCs/>
                <w:color w:val="000000"/>
                <w:sz w:val="20"/>
                <w:szCs w:val="20"/>
                <w:lang w:eastAsia="en-AU"/>
              </w:rPr>
            </w:pPr>
            <w:r w:rsidRPr="009B7476">
              <w:rPr>
                <w:rFonts w:eastAsia="Times New Roman" w:cs="Arial"/>
                <w:b/>
                <w:bCs/>
                <w:i/>
                <w:iCs/>
                <w:color w:val="000000"/>
                <w:sz w:val="20"/>
                <w:szCs w:val="20"/>
                <w:lang w:eastAsia="en-AU"/>
              </w:rPr>
              <w:t>0.61</w:t>
            </w:r>
          </w:p>
        </w:tc>
      </w:tr>
      <w:tr w:rsidR="009B7476" w:rsidRPr="009B7476" w14:paraId="0BC9645F" w14:textId="77777777" w:rsidTr="009B7476">
        <w:trPr>
          <w:trHeight w:val="283"/>
        </w:trPr>
        <w:tc>
          <w:tcPr>
            <w:tcW w:w="3580" w:type="dxa"/>
            <w:tcBorders>
              <w:top w:val="nil"/>
              <w:left w:val="single" w:sz="4" w:space="0" w:color="auto"/>
              <w:bottom w:val="nil"/>
              <w:right w:val="single" w:sz="4" w:space="0" w:color="auto"/>
            </w:tcBorders>
            <w:noWrap/>
            <w:vAlign w:val="bottom"/>
            <w:hideMark/>
          </w:tcPr>
          <w:p w14:paraId="6212BE7D"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Far West and Orana</w:t>
            </w:r>
          </w:p>
        </w:tc>
        <w:tc>
          <w:tcPr>
            <w:tcW w:w="1460" w:type="dxa"/>
            <w:tcBorders>
              <w:top w:val="nil"/>
              <w:left w:val="nil"/>
              <w:bottom w:val="nil"/>
              <w:right w:val="single" w:sz="4" w:space="0" w:color="auto"/>
            </w:tcBorders>
            <w:shd w:val="clear" w:color="000000" w:fill="F5E8FF"/>
            <w:noWrap/>
            <w:vAlign w:val="bottom"/>
            <w:hideMark/>
          </w:tcPr>
          <w:p w14:paraId="0422BEEB"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4402FA5D"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414B9614"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40CA8F50" w14:textId="77777777" w:rsidTr="009B7476">
        <w:trPr>
          <w:trHeight w:val="283"/>
        </w:trPr>
        <w:tc>
          <w:tcPr>
            <w:tcW w:w="3580" w:type="dxa"/>
            <w:tcBorders>
              <w:top w:val="nil"/>
              <w:left w:val="single" w:sz="4" w:space="0" w:color="auto"/>
              <w:bottom w:val="nil"/>
              <w:right w:val="nil"/>
            </w:tcBorders>
            <w:noWrap/>
            <w:vAlign w:val="bottom"/>
            <w:hideMark/>
          </w:tcPr>
          <w:p w14:paraId="481C4197" w14:textId="77777777" w:rsidR="009B7476" w:rsidRPr="009B7476" w:rsidRDefault="009B7476" w:rsidP="009B7476">
            <w:pPr>
              <w:spacing w:after="0" w:line="240" w:lineRule="auto"/>
              <w:rPr>
                <w:rFonts w:eastAsia="Times New Roman" w:cs="Arial"/>
                <w:color w:val="000000"/>
                <w:sz w:val="16"/>
                <w:szCs w:val="16"/>
                <w:lang w:eastAsia="en-AU"/>
              </w:rPr>
            </w:pPr>
            <w:r w:rsidRPr="009B7476">
              <w:rPr>
                <w:rFonts w:eastAsia="Times New Roman" w:cs="Arial"/>
                <w:color w:val="000000"/>
                <w:sz w:val="16"/>
                <w:szCs w:val="16"/>
                <w:lang w:eastAsia="en-AU"/>
              </w:rPr>
              <w:t xml:space="preserve">Tasmania - West and </w:t>
            </w:r>
            <w:proofErr w:type="gramStart"/>
            <w:r w:rsidRPr="009B7476">
              <w:rPr>
                <w:rFonts w:eastAsia="Times New Roman" w:cs="Arial"/>
                <w:color w:val="000000"/>
                <w:sz w:val="16"/>
                <w:szCs w:val="16"/>
                <w:lang w:eastAsia="en-AU"/>
              </w:rPr>
              <w:t>North West</w:t>
            </w:r>
            <w:proofErr w:type="gramEnd"/>
          </w:p>
        </w:tc>
        <w:tc>
          <w:tcPr>
            <w:tcW w:w="1460" w:type="dxa"/>
            <w:tcBorders>
              <w:top w:val="nil"/>
              <w:left w:val="single" w:sz="4" w:space="0" w:color="auto"/>
              <w:bottom w:val="nil"/>
              <w:right w:val="single" w:sz="4" w:space="0" w:color="auto"/>
            </w:tcBorders>
            <w:shd w:val="clear" w:color="000000" w:fill="F5E8FF"/>
            <w:noWrap/>
            <w:vAlign w:val="bottom"/>
            <w:hideMark/>
          </w:tcPr>
          <w:p w14:paraId="7F0D16B8"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Poor</w:t>
            </w:r>
          </w:p>
        </w:tc>
        <w:tc>
          <w:tcPr>
            <w:tcW w:w="1960" w:type="dxa"/>
            <w:tcBorders>
              <w:top w:val="nil"/>
              <w:left w:val="nil"/>
              <w:bottom w:val="nil"/>
              <w:right w:val="single" w:sz="4" w:space="0" w:color="auto"/>
            </w:tcBorders>
            <w:noWrap/>
            <w:vAlign w:val="bottom"/>
            <w:hideMark/>
          </w:tcPr>
          <w:p w14:paraId="342D7B05"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0.34</w:t>
            </w:r>
          </w:p>
        </w:tc>
        <w:tc>
          <w:tcPr>
            <w:tcW w:w="2180" w:type="dxa"/>
            <w:tcBorders>
              <w:top w:val="nil"/>
              <w:left w:val="nil"/>
              <w:bottom w:val="nil"/>
              <w:right w:val="single" w:sz="4" w:space="0" w:color="auto"/>
            </w:tcBorders>
            <w:noWrap/>
            <w:vAlign w:val="bottom"/>
            <w:hideMark/>
          </w:tcPr>
          <w:p w14:paraId="4FD53121" w14:textId="77777777" w:rsidR="009B7476" w:rsidRPr="009B7476" w:rsidRDefault="009B7476" w:rsidP="009B7476">
            <w:pPr>
              <w:spacing w:after="0" w:line="240" w:lineRule="auto"/>
              <w:jc w:val="center"/>
              <w:rPr>
                <w:rFonts w:eastAsia="Times New Roman" w:cs="Arial"/>
                <w:color w:val="000000"/>
                <w:sz w:val="16"/>
                <w:szCs w:val="16"/>
                <w:lang w:eastAsia="en-AU"/>
              </w:rPr>
            </w:pPr>
            <w:r w:rsidRPr="009B7476">
              <w:rPr>
                <w:rFonts w:eastAsia="Times New Roman" w:cs="Arial"/>
                <w:color w:val="000000"/>
                <w:sz w:val="16"/>
                <w:szCs w:val="16"/>
                <w:lang w:eastAsia="en-AU"/>
              </w:rPr>
              <w:t>0.61</w:t>
            </w:r>
          </w:p>
        </w:tc>
      </w:tr>
      <w:tr w:rsidR="009B7476" w:rsidRPr="009B7476" w14:paraId="6A83F026" w14:textId="77777777" w:rsidTr="009B7476">
        <w:trPr>
          <w:trHeight w:val="283"/>
        </w:trPr>
        <w:tc>
          <w:tcPr>
            <w:tcW w:w="3580" w:type="dxa"/>
            <w:tcBorders>
              <w:top w:val="nil"/>
              <w:left w:val="single" w:sz="4" w:space="0" w:color="auto"/>
              <w:bottom w:val="nil"/>
              <w:right w:val="nil"/>
            </w:tcBorders>
            <w:noWrap/>
            <w:vAlign w:val="bottom"/>
            <w:hideMark/>
          </w:tcPr>
          <w:p w14:paraId="35E8BF1D" w14:textId="77777777" w:rsidR="009B7476" w:rsidRPr="009B7476" w:rsidRDefault="009B7476" w:rsidP="009B7476">
            <w:pPr>
              <w:spacing w:after="0" w:line="240" w:lineRule="auto"/>
              <w:rPr>
                <w:rFonts w:eastAsia="Times New Roman" w:cs="Arial"/>
                <w:sz w:val="16"/>
                <w:szCs w:val="16"/>
                <w:lang w:eastAsia="en-AU"/>
              </w:rPr>
            </w:pPr>
            <w:r w:rsidRPr="009B7476">
              <w:rPr>
                <w:rFonts w:eastAsia="Times New Roman" w:cs="Arial"/>
                <w:sz w:val="16"/>
                <w:szCs w:val="16"/>
                <w:lang w:eastAsia="en-AU"/>
              </w:rPr>
              <w:t>Northern Territory - Outback</w:t>
            </w:r>
          </w:p>
        </w:tc>
        <w:tc>
          <w:tcPr>
            <w:tcW w:w="1460" w:type="dxa"/>
            <w:tcBorders>
              <w:top w:val="nil"/>
              <w:left w:val="single" w:sz="4" w:space="0" w:color="auto"/>
              <w:bottom w:val="nil"/>
              <w:right w:val="single" w:sz="4" w:space="0" w:color="auto"/>
            </w:tcBorders>
            <w:shd w:val="clear" w:color="000000" w:fill="F5E8FF"/>
            <w:noWrap/>
            <w:vAlign w:val="bottom"/>
            <w:hideMark/>
          </w:tcPr>
          <w:p w14:paraId="3CF88737"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Poor</w:t>
            </w:r>
          </w:p>
        </w:tc>
        <w:tc>
          <w:tcPr>
            <w:tcW w:w="1960" w:type="dxa"/>
            <w:tcBorders>
              <w:top w:val="nil"/>
              <w:left w:val="nil"/>
              <w:bottom w:val="nil"/>
              <w:right w:val="single" w:sz="4" w:space="0" w:color="auto"/>
            </w:tcBorders>
            <w:noWrap/>
            <w:vAlign w:val="bottom"/>
            <w:hideMark/>
          </w:tcPr>
          <w:p w14:paraId="25680DFE"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0.34</w:t>
            </w:r>
          </w:p>
        </w:tc>
        <w:tc>
          <w:tcPr>
            <w:tcW w:w="2180" w:type="dxa"/>
            <w:tcBorders>
              <w:top w:val="nil"/>
              <w:left w:val="nil"/>
              <w:bottom w:val="nil"/>
              <w:right w:val="single" w:sz="4" w:space="0" w:color="auto"/>
            </w:tcBorders>
            <w:noWrap/>
            <w:vAlign w:val="bottom"/>
            <w:hideMark/>
          </w:tcPr>
          <w:p w14:paraId="23ED87EA"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0.62</w:t>
            </w:r>
          </w:p>
        </w:tc>
      </w:tr>
      <w:tr w:rsidR="009B7476" w:rsidRPr="009B7476" w14:paraId="16340E03" w14:textId="77777777" w:rsidTr="009B7476">
        <w:trPr>
          <w:trHeight w:val="283"/>
        </w:trPr>
        <w:tc>
          <w:tcPr>
            <w:tcW w:w="3580" w:type="dxa"/>
            <w:tcBorders>
              <w:top w:val="nil"/>
              <w:left w:val="single" w:sz="4" w:space="0" w:color="auto"/>
              <w:bottom w:val="nil"/>
              <w:right w:val="nil"/>
            </w:tcBorders>
            <w:noWrap/>
            <w:vAlign w:val="bottom"/>
            <w:hideMark/>
          </w:tcPr>
          <w:p w14:paraId="62A0E155" w14:textId="77777777" w:rsidR="009B7476" w:rsidRPr="009B7476" w:rsidRDefault="009B7476" w:rsidP="009B7476">
            <w:pPr>
              <w:spacing w:after="0" w:line="240" w:lineRule="auto"/>
              <w:rPr>
                <w:rFonts w:eastAsia="Times New Roman" w:cs="Arial"/>
                <w:sz w:val="16"/>
                <w:szCs w:val="16"/>
                <w:lang w:eastAsia="en-AU"/>
              </w:rPr>
            </w:pPr>
            <w:r w:rsidRPr="009B7476">
              <w:rPr>
                <w:rFonts w:eastAsia="Times New Roman" w:cs="Arial"/>
                <w:sz w:val="16"/>
                <w:szCs w:val="16"/>
                <w:lang w:eastAsia="en-AU"/>
              </w:rPr>
              <w:t>South Australia - Outback</w:t>
            </w:r>
          </w:p>
        </w:tc>
        <w:tc>
          <w:tcPr>
            <w:tcW w:w="1460" w:type="dxa"/>
            <w:tcBorders>
              <w:top w:val="nil"/>
              <w:left w:val="single" w:sz="4" w:space="0" w:color="auto"/>
              <w:bottom w:val="nil"/>
              <w:right w:val="single" w:sz="4" w:space="0" w:color="auto"/>
            </w:tcBorders>
            <w:shd w:val="clear" w:color="000000" w:fill="F5E8FF"/>
            <w:noWrap/>
            <w:vAlign w:val="bottom"/>
            <w:hideMark/>
          </w:tcPr>
          <w:p w14:paraId="50F15990"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Poor</w:t>
            </w:r>
          </w:p>
        </w:tc>
        <w:tc>
          <w:tcPr>
            <w:tcW w:w="1960" w:type="dxa"/>
            <w:tcBorders>
              <w:top w:val="nil"/>
              <w:left w:val="nil"/>
              <w:bottom w:val="nil"/>
              <w:right w:val="single" w:sz="4" w:space="0" w:color="auto"/>
            </w:tcBorders>
            <w:noWrap/>
            <w:vAlign w:val="bottom"/>
            <w:hideMark/>
          </w:tcPr>
          <w:p w14:paraId="5605C16D"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0.33</w:t>
            </w:r>
          </w:p>
        </w:tc>
        <w:tc>
          <w:tcPr>
            <w:tcW w:w="2180" w:type="dxa"/>
            <w:tcBorders>
              <w:top w:val="nil"/>
              <w:left w:val="nil"/>
              <w:bottom w:val="nil"/>
              <w:right w:val="single" w:sz="4" w:space="0" w:color="auto"/>
            </w:tcBorders>
            <w:noWrap/>
            <w:vAlign w:val="bottom"/>
            <w:hideMark/>
          </w:tcPr>
          <w:p w14:paraId="35DA63D1"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0.61</w:t>
            </w:r>
          </w:p>
        </w:tc>
      </w:tr>
      <w:tr w:rsidR="009B7476" w:rsidRPr="009B7476" w14:paraId="43B9AF60" w14:textId="77777777" w:rsidTr="009B7476">
        <w:trPr>
          <w:trHeight w:val="283"/>
        </w:trPr>
        <w:tc>
          <w:tcPr>
            <w:tcW w:w="3580" w:type="dxa"/>
            <w:tcBorders>
              <w:top w:val="nil"/>
              <w:left w:val="single" w:sz="4" w:space="0" w:color="auto"/>
              <w:bottom w:val="nil"/>
              <w:right w:val="nil"/>
            </w:tcBorders>
            <w:noWrap/>
            <w:vAlign w:val="bottom"/>
            <w:hideMark/>
          </w:tcPr>
          <w:p w14:paraId="660A4EB2" w14:textId="77777777" w:rsidR="009B7476" w:rsidRPr="009B7476" w:rsidRDefault="009B7476" w:rsidP="009B7476">
            <w:pPr>
              <w:spacing w:after="0" w:line="240" w:lineRule="auto"/>
              <w:rPr>
                <w:rFonts w:eastAsia="Times New Roman" w:cs="Arial"/>
                <w:sz w:val="16"/>
                <w:szCs w:val="16"/>
                <w:lang w:eastAsia="en-AU"/>
              </w:rPr>
            </w:pPr>
            <w:r w:rsidRPr="009B7476">
              <w:rPr>
                <w:rFonts w:eastAsia="Times New Roman" w:cs="Arial"/>
                <w:sz w:val="16"/>
                <w:szCs w:val="16"/>
                <w:lang w:eastAsia="en-AU"/>
              </w:rPr>
              <w:t>Queensland - Outback</w:t>
            </w:r>
          </w:p>
        </w:tc>
        <w:tc>
          <w:tcPr>
            <w:tcW w:w="1460" w:type="dxa"/>
            <w:tcBorders>
              <w:top w:val="nil"/>
              <w:left w:val="single" w:sz="4" w:space="0" w:color="auto"/>
              <w:bottom w:val="nil"/>
              <w:right w:val="single" w:sz="4" w:space="0" w:color="auto"/>
            </w:tcBorders>
            <w:shd w:val="clear" w:color="000000" w:fill="F5E8FF"/>
            <w:noWrap/>
            <w:vAlign w:val="bottom"/>
            <w:hideMark/>
          </w:tcPr>
          <w:p w14:paraId="3479F90D"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Poor</w:t>
            </w:r>
          </w:p>
        </w:tc>
        <w:tc>
          <w:tcPr>
            <w:tcW w:w="1960" w:type="dxa"/>
            <w:tcBorders>
              <w:top w:val="nil"/>
              <w:left w:val="nil"/>
              <w:bottom w:val="nil"/>
              <w:right w:val="single" w:sz="4" w:space="0" w:color="auto"/>
            </w:tcBorders>
            <w:noWrap/>
            <w:vAlign w:val="bottom"/>
            <w:hideMark/>
          </w:tcPr>
          <w:p w14:paraId="46544143"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0.32</w:t>
            </w:r>
          </w:p>
        </w:tc>
        <w:tc>
          <w:tcPr>
            <w:tcW w:w="2180" w:type="dxa"/>
            <w:tcBorders>
              <w:top w:val="nil"/>
              <w:left w:val="nil"/>
              <w:bottom w:val="nil"/>
              <w:right w:val="single" w:sz="4" w:space="0" w:color="auto"/>
            </w:tcBorders>
            <w:noWrap/>
            <w:vAlign w:val="bottom"/>
            <w:hideMark/>
          </w:tcPr>
          <w:p w14:paraId="29588381"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0.61</w:t>
            </w:r>
          </w:p>
        </w:tc>
      </w:tr>
      <w:tr w:rsidR="009B7476" w:rsidRPr="009B7476" w14:paraId="4AD64A87" w14:textId="77777777" w:rsidTr="009B7476">
        <w:trPr>
          <w:trHeight w:val="283"/>
        </w:trPr>
        <w:tc>
          <w:tcPr>
            <w:tcW w:w="3580" w:type="dxa"/>
            <w:tcBorders>
              <w:top w:val="nil"/>
              <w:left w:val="single" w:sz="4" w:space="0" w:color="auto"/>
              <w:bottom w:val="single" w:sz="4" w:space="0" w:color="auto"/>
              <w:right w:val="nil"/>
            </w:tcBorders>
            <w:noWrap/>
            <w:vAlign w:val="bottom"/>
            <w:hideMark/>
          </w:tcPr>
          <w:p w14:paraId="4589C29A" w14:textId="77777777" w:rsidR="009B7476" w:rsidRPr="009B7476" w:rsidRDefault="009B7476" w:rsidP="009B7476">
            <w:pPr>
              <w:spacing w:after="0" w:line="240" w:lineRule="auto"/>
              <w:rPr>
                <w:rFonts w:eastAsia="Times New Roman" w:cs="Arial"/>
                <w:sz w:val="16"/>
                <w:szCs w:val="16"/>
                <w:lang w:eastAsia="en-AU"/>
              </w:rPr>
            </w:pPr>
            <w:r w:rsidRPr="009B7476">
              <w:rPr>
                <w:rFonts w:eastAsia="Times New Roman" w:cs="Arial"/>
                <w:sz w:val="16"/>
                <w:szCs w:val="16"/>
                <w:lang w:eastAsia="en-AU"/>
              </w:rPr>
              <w:t>Western Australia - Outback (North and South)</w:t>
            </w:r>
          </w:p>
        </w:tc>
        <w:tc>
          <w:tcPr>
            <w:tcW w:w="1460" w:type="dxa"/>
            <w:tcBorders>
              <w:top w:val="nil"/>
              <w:left w:val="single" w:sz="4" w:space="0" w:color="auto"/>
              <w:bottom w:val="single" w:sz="4" w:space="0" w:color="auto"/>
              <w:right w:val="single" w:sz="4" w:space="0" w:color="auto"/>
            </w:tcBorders>
            <w:shd w:val="clear" w:color="000000" w:fill="E8CEFB"/>
            <w:noWrap/>
            <w:vAlign w:val="bottom"/>
            <w:hideMark/>
          </w:tcPr>
          <w:p w14:paraId="50FB67C9"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Below average</w:t>
            </w:r>
          </w:p>
        </w:tc>
        <w:tc>
          <w:tcPr>
            <w:tcW w:w="1960" w:type="dxa"/>
            <w:tcBorders>
              <w:top w:val="nil"/>
              <w:left w:val="nil"/>
              <w:bottom w:val="single" w:sz="4" w:space="0" w:color="auto"/>
              <w:right w:val="single" w:sz="4" w:space="0" w:color="auto"/>
            </w:tcBorders>
            <w:noWrap/>
            <w:vAlign w:val="bottom"/>
            <w:hideMark/>
          </w:tcPr>
          <w:p w14:paraId="57C95BB1"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0.32</w:t>
            </w:r>
          </w:p>
        </w:tc>
        <w:tc>
          <w:tcPr>
            <w:tcW w:w="2180" w:type="dxa"/>
            <w:tcBorders>
              <w:top w:val="nil"/>
              <w:left w:val="nil"/>
              <w:bottom w:val="single" w:sz="4" w:space="0" w:color="auto"/>
              <w:right w:val="single" w:sz="4" w:space="0" w:color="auto"/>
            </w:tcBorders>
            <w:noWrap/>
            <w:vAlign w:val="bottom"/>
            <w:hideMark/>
          </w:tcPr>
          <w:p w14:paraId="62CF6EB0" w14:textId="77777777" w:rsidR="009B7476" w:rsidRPr="009B7476" w:rsidRDefault="009B7476" w:rsidP="009B7476">
            <w:pPr>
              <w:spacing w:after="0" w:line="240" w:lineRule="auto"/>
              <w:jc w:val="center"/>
              <w:rPr>
                <w:rFonts w:eastAsia="Times New Roman" w:cs="Arial"/>
                <w:sz w:val="16"/>
                <w:szCs w:val="16"/>
                <w:lang w:eastAsia="en-AU"/>
              </w:rPr>
            </w:pPr>
            <w:r w:rsidRPr="009B7476">
              <w:rPr>
                <w:rFonts w:eastAsia="Times New Roman" w:cs="Arial"/>
                <w:sz w:val="16"/>
                <w:szCs w:val="16"/>
                <w:lang w:eastAsia="en-AU"/>
              </w:rPr>
              <w:t>0.61</w:t>
            </w:r>
          </w:p>
        </w:tc>
      </w:tr>
    </w:tbl>
    <w:p w14:paraId="23FD41AB" w14:textId="77777777" w:rsidR="009B7476" w:rsidRDefault="009B7476" w:rsidP="00FF2A2C">
      <w:pPr>
        <w:pStyle w:val="Heading2"/>
        <w:keepNext w:val="0"/>
        <w:keepLines w:val="0"/>
      </w:pPr>
    </w:p>
    <w:p w14:paraId="48391A53" w14:textId="77777777" w:rsidR="009B7476" w:rsidRDefault="009B7476" w:rsidP="009B7476"/>
    <w:p w14:paraId="46439288" w14:textId="3439AF0C" w:rsidR="00FF2A2C" w:rsidRPr="00BC1B66" w:rsidRDefault="009B7476" w:rsidP="00FF2A2C">
      <w:pPr>
        <w:pStyle w:val="Heading2"/>
        <w:keepNext w:val="0"/>
        <w:keepLines w:val="0"/>
      </w:pPr>
      <w:r>
        <w:lastRenderedPageBreak/>
        <w:t xml:space="preserve">Appendix B: </w:t>
      </w:r>
      <w:r w:rsidR="00FF2A2C" w:rsidRPr="00BC1B66">
        <w:t xml:space="preserve">Labour Market Rating by SA4, </w:t>
      </w:r>
      <w:r w:rsidR="001954A5">
        <w:t>September</w:t>
      </w:r>
      <w:r w:rsidR="00653BDD" w:rsidRPr="00BC1B66">
        <w:t xml:space="preserve"> 2025</w:t>
      </w:r>
    </w:p>
    <w:tbl>
      <w:tblPr>
        <w:tblW w:w="9600" w:type="dxa"/>
        <w:tblLook w:val="04A0" w:firstRow="1" w:lastRow="0" w:firstColumn="1" w:lastColumn="0" w:noHBand="0" w:noVBand="1"/>
      </w:tblPr>
      <w:tblGrid>
        <w:gridCol w:w="3320"/>
        <w:gridCol w:w="2200"/>
        <w:gridCol w:w="1460"/>
        <w:gridCol w:w="1460"/>
        <w:gridCol w:w="1160"/>
      </w:tblGrid>
      <w:tr w:rsidR="00CE66BC" w:rsidRPr="00CE66BC" w14:paraId="59DA50B6" w14:textId="77777777" w:rsidTr="00CE66BC">
        <w:trPr>
          <w:trHeight w:val="283"/>
        </w:trPr>
        <w:tc>
          <w:tcPr>
            <w:tcW w:w="3320" w:type="dxa"/>
            <w:tcBorders>
              <w:top w:val="single" w:sz="4" w:space="0" w:color="auto"/>
              <w:left w:val="single" w:sz="4" w:space="0" w:color="auto"/>
              <w:bottom w:val="nil"/>
              <w:right w:val="single" w:sz="4" w:space="0" w:color="auto"/>
            </w:tcBorders>
            <w:shd w:val="clear" w:color="000000" w:fill="4B0985"/>
            <w:vAlign w:val="center"/>
            <w:hideMark/>
          </w:tcPr>
          <w:p w14:paraId="3093A11B"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Statistical Area Level 4 (SA4)</w:t>
            </w:r>
          </w:p>
        </w:tc>
        <w:tc>
          <w:tcPr>
            <w:tcW w:w="2200" w:type="dxa"/>
            <w:tcBorders>
              <w:top w:val="single" w:sz="4" w:space="0" w:color="auto"/>
              <w:left w:val="nil"/>
              <w:bottom w:val="nil"/>
              <w:right w:val="nil"/>
            </w:tcBorders>
            <w:shd w:val="clear" w:color="000000" w:fill="4B0985"/>
            <w:vAlign w:val="center"/>
            <w:hideMark/>
          </w:tcPr>
          <w:p w14:paraId="2A985E14"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Remoteness</w:t>
            </w:r>
          </w:p>
        </w:tc>
        <w:tc>
          <w:tcPr>
            <w:tcW w:w="1460" w:type="dxa"/>
            <w:tcBorders>
              <w:top w:val="single" w:sz="4" w:space="0" w:color="auto"/>
              <w:left w:val="single" w:sz="4" w:space="0" w:color="auto"/>
              <w:bottom w:val="single" w:sz="4" w:space="0" w:color="auto"/>
              <w:right w:val="single" w:sz="4" w:space="0" w:color="auto"/>
            </w:tcBorders>
            <w:shd w:val="clear" w:color="000000" w:fill="4B0985"/>
            <w:noWrap/>
            <w:vAlign w:val="center"/>
            <w:hideMark/>
          </w:tcPr>
          <w:p w14:paraId="325DF3DE"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Sep-24</w:t>
            </w:r>
          </w:p>
        </w:tc>
        <w:tc>
          <w:tcPr>
            <w:tcW w:w="1460" w:type="dxa"/>
            <w:tcBorders>
              <w:top w:val="single" w:sz="4" w:space="0" w:color="auto"/>
              <w:left w:val="nil"/>
              <w:bottom w:val="single" w:sz="4" w:space="0" w:color="auto"/>
              <w:right w:val="single" w:sz="4" w:space="0" w:color="auto"/>
            </w:tcBorders>
            <w:shd w:val="clear" w:color="000000" w:fill="4B0985"/>
            <w:noWrap/>
            <w:vAlign w:val="center"/>
            <w:hideMark/>
          </w:tcPr>
          <w:p w14:paraId="596153E1"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Sep-25</w:t>
            </w:r>
          </w:p>
        </w:tc>
        <w:tc>
          <w:tcPr>
            <w:tcW w:w="1160" w:type="dxa"/>
            <w:tcBorders>
              <w:top w:val="single" w:sz="4" w:space="0" w:color="auto"/>
              <w:left w:val="nil"/>
              <w:bottom w:val="single" w:sz="4" w:space="0" w:color="auto"/>
              <w:right w:val="single" w:sz="4" w:space="0" w:color="auto"/>
            </w:tcBorders>
            <w:shd w:val="clear" w:color="000000" w:fill="4B0985"/>
            <w:noWrap/>
            <w:vAlign w:val="center"/>
            <w:hideMark/>
          </w:tcPr>
          <w:p w14:paraId="05DBBC7A"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Direction</w:t>
            </w:r>
          </w:p>
        </w:tc>
      </w:tr>
      <w:tr w:rsidR="00CE66BC" w:rsidRPr="00CE66BC" w14:paraId="601B1D8C" w14:textId="77777777" w:rsidTr="00CE66BC">
        <w:trPr>
          <w:trHeight w:val="283"/>
        </w:trPr>
        <w:tc>
          <w:tcPr>
            <w:tcW w:w="3320" w:type="dxa"/>
            <w:tcBorders>
              <w:top w:val="single" w:sz="4" w:space="0" w:color="auto"/>
              <w:left w:val="single" w:sz="4" w:space="0" w:color="auto"/>
              <w:bottom w:val="nil"/>
              <w:right w:val="single" w:sz="4" w:space="0" w:color="auto"/>
            </w:tcBorders>
            <w:noWrap/>
            <w:vAlign w:val="bottom"/>
            <w:hideMark/>
          </w:tcPr>
          <w:p w14:paraId="27573F6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Central Coast</w:t>
            </w:r>
          </w:p>
        </w:tc>
        <w:tc>
          <w:tcPr>
            <w:tcW w:w="2200" w:type="dxa"/>
            <w:tcBorders>
              <w:top w:val="single" w:sz="4" w:space="0" w:color="auto"/>
              <w:left w:val="nil"/>
              <w:bottom w:val="nil"/>
              <w:right w:val="nil"/>
            </w:tcBorders>
            <w:noWrap/>
            <w:vAlign w:val="bottom"/>
            <w:hideMark/>
          </w:tcPr>
          <w:p w14:paraId="5927C10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5254AB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62B01D2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195B56B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549901E"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B4966F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Baulkham Hills and Hawkesbury</w:t>
            </w:r>
          </w:p>
        </w:tc>
        <w:tc>
          <w:tcPr>
            <w:tcW w:w="2200" w:type="dxa"/>
            <w:tcBorders>
              <w:top w:val="nil"/>
              <w:left w:val="nil"/>
              <w:bottom w:val="nil"/>
              <w:right w:val="nil"/>
            </w:tcBorders>
            <w:noWrap/>
            <w:vAlign w:val="bottom"/>
            <w:hideMark/>
          </w:tcPr>
          <w:p w14:paraId="1A00DDA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E448FD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74FC13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9B5249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0FC9A4D"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522AB1E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Blacktown</w:t>
            </w:r>
          </w:p>
        </w:tc>
        <w:tc>
          <w:tcPr>
            <w:tcW w:w="2200" w:type="dxa"/>
            <w:tcBorders>
              <w:top w:val="nil"/>
              <w:left w:val="nil"/>
              <w:bottom w:val="nil"/>
              <w:right w:val="nil"/>
            </w:tcBorders>
            <w:noWrap/>
            <w:vAlign w:val="bottom"/>
            <w:hideMark/>
          </w:tcPr>
          <w:p w14:paraId="4AF6DC8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B7808E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6FB680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35D2BF2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F60DF96"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5B8795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City and Inner South</w:t>
            </w:r>
          </w:p>
        </w:tc>
        <w:tc>
          <w:tcPr>
            <w:tcW w:w="2200" w:type="dxa"/>
            <w:tcBorders>
              <w:top w:val="nil"/>
              <w:left w:val="nil"/>
              <w:bottom w:val="nil"/>
              <w:right w:val="nil"/>
            </w:tcBorders>
            <w:noWrap/>
            <w:vAlign w:val="bottom"/>
            <w:hideMark/>
          </w:tcPr>
          <w:p w14:paraId="3113610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F7D6D3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9D452A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174229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9C6438F"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26E75A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Eastern Suburbs</w:t>
            </w:r>
          </w:p>
        </w:tc>
        <w:tc>
          <w:tcPr>
            <w:tcW w:w="2200" w:type="dxa"/>
            <w:tcBorders>
              <w:top w:val="nil"/>
              <w:left w:val="nil"/>
              <w:bottom w:val="nil"/>
              <w:right w:val="nil"/>
            </w:tcBorders>
            <w:noWrap/>
            <w:vAlign w:val="bottom"/>
            <w:hideMark/>
          </w:tcPr>
          <w:p w14:paraId="02A560A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D79318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D6E83A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23BD8C9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790E876"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61A973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Sydney - Inner </w:t>
            </w:r>
            <w:proofErr w:type="gramStart"/>
            <w:r w:rsidRPr="00CE66BC">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45282A1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0E4948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C22811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62BE3F57"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Declined</w:t>
            </w:r>
          </w:p>
        </w:tc>
      </w:tr>
      <w:tr w:rsidR="00CE66BC" w:rsidRPr="00CE66BC" w14:paraId="7239CF8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D32DA5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Inner West</w:t>
            </w:r>
          </w:p>
        </w:tc>
        <w:tc>
          <w:tcPr>
            <w:tcW w:w="2200" w:type="dxa"/>
            <w:tcBorders>
              <w:top w:val="nil"/>
              <w:left w:val="nil"/>
              <w:bottom w:val="nil"/>
              <w:right w:val="nil"/>
            </w:tcBorders>
            <w:noWrap/>
            <w:vAlign w:val="bottom"/>
            <w:hideMark/>
          </w:tcPr>
          <w:p w14:paraId="32F050B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85667E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35DC214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8F60C1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507052D"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EDA4DD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North Sydney and Hornsby</w:t>
            </w:r>
          </w:p>
        </w:tc>
        <w:tc>
          <w:tcPr>
            <w:tcW w:w="2200" w:type="dxa"/>
            <w:tcBorders>
              <w:top w:val="nil"/>
              <w:left w:val="nil"/>
              <w:bottom w:val="nil"/>
              <w:right w:val="nil"/>
            </w:tcBorders>
            <w:noWrap/>
            <w:vAlign w:val="bottom"/>
            <w:hideMark/>
          </w:tcPr>
          <w:p w14:paraId="07E94A7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BDB49E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6AF922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8872E4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863534E"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95E6FB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Northern Beaches</w:t>
            </w:r>
          </w:p>
        </w:tc>
        <w:tc>
          <w:tcPr>
            <w:tcW w:w="2200" w:type="dxa"/>
            <w:tcBorders>
              <w:top w:val="nil"/>
              <w:left w:val="nil"/>
              <w:bottom w:val="nil"/>
              <w:right w:val="nil"/>
            </w:tcBorders>
            <w:noWrap/>
            <w:vAlign w:val="bottom"/>
            <w:hideMark/>
          </w:tcPr>
          <w:p w14:paraId="06F03CD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95B900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58B20B2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4163AFF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807F9E4"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57F9B6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Sydney - Outer </w:t>
            </w:r>
            <w:proofErr w:type="gramStart"/>
            <w:r w:rsidRPr="00CE66BC">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0B7862A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46D840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86EAE7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69283F0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CBD16CE"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50A78B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Outer West and Blue Mountains</w:t>
            </w:r>
          </w:p>
        </w:tc>
        <w:tc>
          <w:tcPr>
            <w:tcW w:w="2200" w:type="dxa"/>
            <w:tcBorders>
              <w:top w:val="nil"/>
              <w:left w:val="nil"/>
              <w:bottom w:val="nil"/>
              <w:right w:val="nil"/>
            </w:tcBorders>
            <w:noWrap/>
            <w:vAlign w:val="bottom"/>
            <w:hideMark/>
          </w:tcPr>
          <w:p w14:paraId="2DC5087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AE2F2A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F83012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FD0EA6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C019593"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5D20CF2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Parramatta</w:t>
            </w:r>
          </w:p>
        </w:tc>
        <w:tc>
          <w:tcPr>
            <w:tcW w:w="2200" w:type="dxa"/>
            <w:tcBorders>
              <w:top w:val="nil"/>
              <w:left w:val="nil"/>
              <w:bottom w:val="nil"/>
              <w:right w:val="nil"/>
            </w:tcBorders>
            <w:noWrap/>
            <w:vAlign w:val="bottom"/>
            <w:hideMark/>
          </w:tcPr>
          <w:p w14:paraId="4EB8D23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365F5F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1999674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2D1C269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C1A5865"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53D3E1A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Ryde</w:t>
            </w:r>
          </w:p>
        </w:tc>
        <w:tc>
          <w:tcPr>
            <w:tcW w:w="2200" w:type="dxa"/>
            <w:tcBorders>
              <w:top w:val="nil"/>
              <w:left w:val="nil"/>
              <w:bottom w:val="nil"/>
              <w:right w:val="nil"/>
            </w:tcBorders>
            <w:noWrap/>
            <w:vAlign w:val="bottom"/>
            <w:hideMark/>
          </w:tcPr>
          <w:p w14:paraId="02846E7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D8E271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17F6E9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0C336C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A312A1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9BE198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Sydney - </w:t>
            </w:r>
            <w:proofErr w:type="gramStart"/>
            <w:r w:rsidRPr="00CE66BC">
              <w:rPr>
                <w:rFonts w:eastAsia="Times New Roman" w:cs="Arial"/>
                <w:color w:val="000000"/>
                <w:sz w:val="16"/>
                <w:szCs w:val="16"/>
                <w:lang w:eastAsia="en-AU"/>
              </w:rPr>
              <w:t>South West</w:t>
            </w:r>
            <w:proofErr w:type="gramEnd"/>
          </w:p>
        </w:tc>
        <w:tc>
          <w:tcPr>
            <w:tcW w:w="2200" w:type="dxa"/>
            <w:tcBorders>
              <w:top w:val="nil"/>
              <w:left w:val="nil"/>
              <w:bottom w:val="nil"/>
              <w:right w:val="nil"/>
            </w:tcBorders>
            <w:noWrap/>
            <w:vAlign w:val="bottom"/>
            <w:hideMark/>
          </w:tcPr>
          <w:p w14:paraId="1CE6D74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EDD298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58E705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477923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66AD705"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6B2778B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Sydney - Sutherland</w:t>
            </w:r>
          </w:p>
        </w:tc>
        <w:tc>
          <w:tcPr>
            <w:tcW w:w="2200" w:type="dxa"/>
            <w:tcBorders>
              <w:top w:val="nil"/>
              <w:left w:val="nil"/>
              <w:bottom w:val="nil"/>
              <w:right w:val="nil"/>
            </w:tcBorders>
            <w:noWrap/>
            <w:vAlign w:val="bottom"/>
            <w:hideMark/>
          </w:tcPr>
          <w:p w14:paraId="644FA4B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E6F6B1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36BD39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AA1A60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A11D591"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BC7C66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Capital Region</w:t>
            </w:r>
          </w:p>
        </w:tc>
        <w:tc>
          <w:tcPr>
            <w:tcW w:w="2200" w:type="dxa"/>
            <w:tcBorders>
              <w:top w:val="nil"/>
              <w:left w:val="nil"/>
              <w:bottom w:val="nil"/>
              <w:right w:val="nil"/>
            </w:tcBorders>
            <w:noWrap/>
            <w:vAlign w:val="bottom"/>
            <w:hideMark/>
          </w:tcPr>
          <w:p w14:paraId="3A13A40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E8974F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A5822C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23C303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4413C4C"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393AE8A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New South Wales - Central West</w:t>
            </w:r>
          </w:p>
        </w:tc>
        <w:tc>
          <w:tcPr>
            <w:tcW w:w="2200" w:type="dxa"/>
            <w:tcBorders>
              <w:top w:val="nil"/>
              <w:left w:val="nil"/>
              <w:bottom w:val="nil"/>
              <w:right w:val="nil"/>
            </w:tcBorders>
            <w:noWrap/>
            <w:vAlign w:val="bottom"/>
            <w:hideMark/>
          </w:tcPr>
          <w:p w14:paraId="23FB30D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68EA05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8A9444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0AE27F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F97CD0E"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35B327B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Coffs Harbour - Grafton</w:t>
            </w:r>
          </w:p>
        </w:tc>
        <w:tc>
          <w:tcPr>
            <w:tcW w:w="2200" w:type="dxa"/>
            <w:tcBorders>
              <w:top w:val="nil"/>
              <w:left w:val="nil"/>
              <w:bottom w:val="nil"/>
              <w:right w:val="nil"/>
            </w:tcBorders>
            <w:noWrap/>
            <w:vAlign w:val="bottom"/>
            <w:hideMark/>
          </w:tcPr>
          <w:p w14:paraId="35079E3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04CFB0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445D4C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6002BA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347D32D"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DA28A0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Far West and Orana</w:t>
            </w:r>
          </w:p>
        </w:tc>
        <w:tc>
          <w:tcPr>
            <w:tcW w:w="2200" w:type="dxa"/>
            <w:tcBorders>
              <w:top w:val="nil"/>
              <w:left w:val="nil"/>
              <w:bottom w:val="nil"/>
              <w:right w:val="nil"/>
            </w:tcBorders>
            <w:noWrap/>
            <w:vAlign w:val="bottom"/>
            <w:hideMark/>
          </w:tcPr>
          <w:p w14:paraId="4F96C0D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65716AD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4B1DDAA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535948B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FB371CE"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157D236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Hunter Valley </w:t>
            </w:r>
            <w:proofErr w:type="spellStart"/>
            <w:r w:rsidRPr="00CE66BC">
              <w:rPr>
                <w:rFonts w:eastAsia="Times New Roman" w:cs="Arial"/>
                <w:color w:val="000000"/>
                <w:sz w:val="16"/>
                <w:szCs w:val="16"/>
                <w:lang w:eastAsia="en-AU"/>
              </w:rPr>
              <w:t>exc</w:t>
            </w:r>
            <w:proofErr w:type="spellEnd"/>
            <w:r w:rsidRPr="00CE66BC">
              <w:rPr>
                <w:rFonts w:eastAsia="Times New Roman" w:cs="Arial"/>
                <w:color w:val="000000"/>
                <w:sz w:val="16"/>
                <w:szCs w:val="16"/>
                <w:lang w:eastAsia="en-AU"/>
              </w:rPr>
              <w:t xml:space="preserve"> Newcastle</w:t>
            </w:r>
          </w:p>
        </w:tc>
        <w:tc>
          <w:tcPr>
            <w:tcW w:w="2200" w:type="dxa"/>
            <w:tcBorders>
              <w:top w:val="nil"/>
              <w:left w:val="nil"/>
              <w:bottom w:val="nil"/>
              <w:right w:val="nil"/>
            </w:tcBorders>
            <w:noWrap/>
            <w:vAlign w:val="bottom"/>
            <w:hideMark/>
          </w:tcPr>
          <w:p w14:paraId="7CC3761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196241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27F4BC7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72EED6C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92EEAEA" w14:textId="77777777" w:rsidTr="008B3E7B">
        <w:trPr>
          <w:trHeight w:val="283"/>
        </w:trPr>
        <w:tc>
          <w:tcPr>
            <w:tcW w:w="3320" w:type="dxa"/>
            <w:tcBorders>
              <w:top w:val="nil"/>
              <w:left w:val="single" w:sz="4" w:space="0" w:color="auto"/>
              <w:bottom w:val="nil"/>
              <w:right w:val="single" w:sz="4" w:space="0" w:color="auto"/>
            </w:tcBorders>
            <w:noWrap/>
            <w:vAlign w:val="bottom"/>
            <w:hideMark/>
          </w:tcPr>
          <w:p w14:paraId="3221C51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Illawarra</w:t>
            </w:r>
          </w:p>
        </w:tc>
        <w:tc>
          <w:tcPr>
            <w:tcW w:w="2200" w:type="dxa"/>
            <w:tcBorders>
              <w:top w:val="nil"/>
              <w:left w:val="nil"/>
              <w:bottom w:val="nil"/>
              <w:right w:val="nil"/>
            </w:tcBorders>
            <w:noWrap/>
            <w:vAlign w:val="bottom"/>
            <w:hideMark/>
          </w:tcPr>
          <w:p w14:paraId="5492508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0C292B9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279BE5C" w14:textId="7EE256DE" w:rsidR="00CE66BC" w:rsidRPr="00CE66BC" w:rsidRDefault="008B3E7B" w:rsidP="00CE66BC">
            <w:pPr>
              <w:spacing w:after="0" w:line="240" w:lineRule="auto"/>
              <w:jc w:val="center"/>
              <w:rPr>
                <w:rFonts w:eastAsia="Times New Roman" w:cs="Arial"/>
                <w:color w:val="000000"/>
                <w:sz w:val="16"/>
                <w:szCs w:val="16"/>
                <w:lang w:eastAsia="en-AU"/>
              </w:rPr>
            </w:pPr>
            <w:r>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noWrap/>
            <w:vAlign w:val="bottom"/>
            <w:hideMark/>
          </w:tcPr>
          <w:p w14:paraId="338890FC" w14:textId="611A81B5" w:rsidR="008B3E7B" w:rsidRPr="00CE66BC" w:rsidRDefault="008B3E7B" w:rsidP="008B3E7B">
            <w:pPr>
              <w:spacing w:after="0" w:line="240" w:lineRule="auto"/>
              <w:jc w:val="center"/>
              <w:rPr>
                <w:rFonts w:eastAsia="Times New Roman" w:cs="Arial"/>
                <w:color w:val="FFFFFF"/>
                <w:sz w:val="16"/>
                <w:szCs w:val="16"/>
                <w:lang w:eastAsia="en-AU"/>
              </w:rPr>
            </w:pPr>
            <w:r w:rsidRPr="008B3E7B">
              <w:rPr>
                <w:rFonts w:eastAsia="Times New Roman" w:cs="Arial"/>
                <w:sz w:val="16"/>
                <w:szCs w:val="16"/>
                <w:lang w:eastAsia="en-AU"/>
              </w:rPr>
              <w:t>Stable</w:t>
            </w:r>
          </w:p>
        </w:tc>
      </w:tr>
      <w:tr w:rsidR="00CE66BC" w:rsidRPr="00CE66BC" w14:paraId="1D0AE1D2"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37F6E4E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Mid North Coast</w:t>
            </w:r>
          </w:p>
        </w:tc>
        <w:tc>
          <w:tcPr>
            <w:tcW w:w="2200" w:type="dxa"/>
            <w:tcBorders>
              <w:top w:val="nil"/>
              <w:left w:val="nil"/>
              <w:bottom w:val="nil"/>
              <w:right w:val="nil"/>
            </w:tcBorders>
            <w:noWrap/>
            <w:vAlign w:val="bottom"/>
            <w:hideMark/>
          </w:tcPr>
          <w:p w14:paraId="15B8603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5D4FDFD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5C4B2E5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4B3DCDB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C157C79"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585E91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Murray</w:t>
            </w:r>
          </w:p>
        </w:tc>
        <w:tc>
          <w:tcPr>
            <w:tcW w:w="2200" w:type="dxa"/>
            <w:tcBorders>
              <w:top w:val="nil"/>
              <w:left w:val="nil"/>
              <w:bottom w:val="nil"/>
              <w:right w:val="nil"/>
            </w:tcBorders>
            <w:noWrap/>
            <w:vAlign w:val="bottom"/>
            <w:hideMark/>
          </w:tcPr>
          <w:p w14:paraId="3D4AF85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026AA5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661283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3851903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0DE269A"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F54EB2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New England and </w:t>
            </w:r>
            <w:proofErr w:type="gramStart"/>
            <w:r w:rsidRPr="00CE66BC">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07CEE03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67B45D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232152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661614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DAE210C"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57BD02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Newcastle and Lake Macquarie</w:t>
            </w:r>
          </w:p>
        </w:tc>
        <w:tc>
          <w:tcPr>
            <w:tcW w:w="2200" w:type="dxa"/>
            <w:tcBorders>
              <w:top w:val="nil"/>
              <w:left w:val="nil"/>
              <w:bottom w:val="nil"/>
              <w:right w:val="nil"/>
            </w:tcBorders>
            <w:noWrap/>
            <w:vAlign w:val="bottom"/>
            <w:hideMark/>
          </w:tcPr>
          <w:p w14:paraId="29EDBC8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2065E51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012E56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FF824F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1F4687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3C36956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Richmond - Tweed</w:t>
            </w:r>
          </w:p>
        </w:tc>
        <w:tc>
          <w:tcPr>
            <w:tcW w:w="2200" w:type="dxa"/>
            <w:tcBorders>
              <w:top w:val="nil"/>
              <w:left w:val="nil"/>
              <w:bottom w:val="nil"/>
              <w:right w:val="nil"/>
            </w:tcBorders>
            <w:noWrap/>
            <w:vAlign w:val="bottom"/>
            <w:hideMark/>
          </w:tcPr>
          <w:p w14:paraId="150EC50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2A83B0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3AED9E4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48DE447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1C5FA3C"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68574BC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Riverina</w:t>
            </w:r>
          </w:p>
        </w:tc>
        <w:tc>
          <w:tcPr>
            <w:tcW w:w="2200" w:type="dxa"/>
            <w:tcBorders>
              <w:top w:val="nil"/>
              <w:left w:val="nil"/>
              <w:bottom w:val="nil"/>
              <w:right w:val="nil"/>
            </w:tcBorders>
            <w:noWrap/>
            <w:vAlign w:val="bottom"/>
            <w:hideMark/>
          </w:tcPr>
          <w:p w14:paraId="780403B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D1044B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0428552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1A588A7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3BFD773" w14:textId="77777777" w:rsidTr="00CE66BC">
        <w:trPr>
          <w:trHeight w:val="283"/>
        </w:trPr>
        <w:tc>
          <w:tcPr>
            <w:tcW w:w="3320" w:type="dxa"/>
            <w:tcBorders>
              <w:top w:val="nil"/>
              <w:left w:val="single" w:sz="4" w:space="0" w:color="auto"/>
              <w:bottom w:val="single" w:sz="4" w:space="0" w:color="auto"/>
              <w:right w:val="single" w:sz="4" w:space="0" w:color="auto"/>
            </w:tcBorders>
            <w:noWrap/>
            <w:vAlign w:val="bottom"/>
            <w:hideMark/>
          </w:tcPr>
          <w:p w14:paraId="331DB04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Southern Highlands and Shoalhaven</w:t>
            </w:r>
          </w:p>
        </w:tc>
        <w:tc>
          <w:tcPr>
            <w:tcW w:w="2200" w:type="dxa"/>
            <w:tcBorders>
              <w:top w:val="nil"/>
              <w:left w:val="nil"/>
              <w:bottom w:val="single" w:sz="4" w:space="0" w:color="auto"/>
              <w:right w:val="nil"/>
            </w:tcBorders>
            <w:noWrap/>
            <w:vAlign w:val="bottom"/>
            <w:hideMark/>
          </w:tcPr>
          <w:p w14:paraId="1501786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7473E51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1D29C5D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669741B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39F6F8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1B940C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Melbourne - Inner</w:t>
            </w:r>
          </w:p>
        </w:tc>
        <w:tc>
          <w:tcPr>
            <w:tcW w:w="2200" w:type="dxa"/>
            <w:tcBorders>
              <w:top w:val="nil"/>
              <w:left w:val="nil"/>
              <w:bottom w:val="nil"/>
              <w:right w:val="nil"/>
            </w:tcBorders>
            <w:noWrap/>
            <w:vAlign w:val="bottom"/>
            <w:hideMark/>
          </w:tcPr>
          <w:p w14:paraId="3AF7D32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06BB75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F64617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8FCC1B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F06E4A6"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685774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Melbourne - Inner East</w:t>
            </w:r>
          </w:p>
        </w:tc>
        <w:tc>
          <w:tcPr>
            <w:tcW w:w="2200" w:type="dxa"/>
            <w:tcBorders>
              <w:top w:val="nil"/>
              <w:left w:val="nil"/>
              <w:bottom w:val="nil"/>
              <w:right w:val="nil"/>
            </w:tcBorders>
            <w:noWrap/>
            <w:vAlign w:val="bottom"/>
            <w:hideMark/>
          </w:tcPr>
          <w:p w14:paraId="093E1A0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E79C86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109D7E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1ADAE5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C25C744"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67E9D5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Melbourne - Inner South</w:t>
            </w:r>
          </w:p>
        </w:tc>
        <w:tc>
          <w:tcPr>
            <w:tcW w:w="2200" w:type="dxa"/>
            <w:tcBorders>
              <w:top w:val="nil"/>
              <w:left w:val="nil"/>
              <w:bottom w:val="nil"/>
              <w:right w:val="nil"/>
            </w:tcBorders>
            <w:noWrap/>
            <w:vAlign w:val="bottom"/>
            <w:hideMark/>
          </w:tcPr>
          <w:p w14:paraId="426778D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69470B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57B5837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98205C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F68F3E2"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105A593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Melbourne - </w:t>
            </w:r>
            <w:proofErr w:type="gramStart"/>
            <w:r w:rsidRPr="00CE66BC">
              <w:rPr>
                <w:rFonts w:eastAsia="Times New Roman" w:cs="Arial"/>
                <w:color w:val="000000"/>
                <w:sz w:val="16"/>
                <w:szCs w:val="16"/>
                <w:lang w:eastAsia="en-AU"/>
              </w:rPr>
              <w:t>North East</w:t>
            </w:r>
            <w:proofErr w:type="gramEnd"/>
          </w:p>
        </w:tc>
        <w:tc>
          <w:tcPr>
            <w:tcW w:w="2200" w:type="dxa"/>
            <w:tcBorders>
              <w:top w:val="nil"/>
              <w:left w:val="nil"/>
              <w:bottom w:val="nil"/>
              <w:right w:val="nil"/>
            </w:tcBorders>
            <w:noWrap/>
            <w:vAlign w:val="bottom"/>
            <w:hideMark/>
          </w:tcPr>
          <w:p w14:paraId="751D60D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3189AA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1F1D96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162E0B0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3220492"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861331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Melbourne - </w:t>
            </w:r>
            <w:proofErr w:type="gramStart"/>
            <w:r w:rsidRPr="00CE66BC">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43F1DB4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07668F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9A4D53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single" w:sz="4" w:space="0" w:color="auto"/>
              <w:bottom w:val="nil"/>
              <w:right w:val="single" w:sz="4" w:space="0" w:color="auto"/>
            </w:tcBorders>
            <w:shd w:val="clear" w:color="000000" w:fill="B91C1C"/>
            <w:noWrap/>
            <w:vAlign w:val="bottom"/>
            <w:hideMark/>
          </w:tcPr>
          <w:p w14:paraId="5393AB5E"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Declined</w:t>
            </w:r>
          </w:p>
        </w:tc>
      </w:tr>
      <w:tr w:rsidR="00CE66BC" w:rsidRPr="00CE66BC" w14:paraId="1780B97C"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B16438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Melbourne - Outer East</w:t>
            </w:r>
          </w:p>
        </w:tc>
        <w:tc>
          <w:tcPr>
            <w:tcW w:w="2200" w:type="dxa"/>
            <w:tcBorders>
              <w:top w:val="nil"/>
              <w:left w:val="nil"/>
              <w:bottom w:val="nil"/>
              <w:right w:val="nil"/>
            </w:tcBorders>
            <w:noWrap/>
            <w:vAlign w:val="bottom"/>
            <w:hideMark/>
          </w:tcPr>
          <w:p w14:paraId="102A9BB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DA4A25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3FF565F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44554D3B"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Declined</w:t>
            </w:r>
          </w:p>
        </w:tc>
      </w:tr>
      <w:tr w:rsidR="00CE66BC" w:rsidRPr="00CE66BC" w14:paraId="598EE86F"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405896D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Melbourne - </w:t>
            </w:r>
            <w:proofErr w:type="gramStart"/>
            <w:r w:rsidRPr="00CE66BC">
              <w:rPr>
                <w:rFonts w:eastAsia="Times New Roman" w:cs="Arial"/>
                <w:color w:val="000000"/>
                <w:sz w:val="16"/>
                <w:szCs w:val="16"/>
                <w:lang w:eastAsia="en-AU"/>
              </w:rPr>
              <w:t>South East</w:t>
            </w:r>
            <w:proofErr w:type="gramEnd"/>
          </w:p>
        </w:tc>
        <w:tc>
          <w:tcPr>
            <w:tcW w:w="2200" w:type="dxa"/>
            <w:tcBorders>
              <w:top w:val="nil"/>
              <w:left w:val="nil"/>
              <w:bottom w:val="nil"/>
              <w:right w:val="nil"/>
            </w:tcBorders>
            <w:noWrap/>
            <w:vAlign w:val="bottom"/>
            <w:hideMark/>
          </w:tcPr>
          <w:p w14:paraId="219FE3A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DECD82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22C43C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07300DD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D7366F5"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5A77DE8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Melbourne - West</w:t>
            </w:r>
          </w:p>
        </w:tc>
        <w:tc>
          <w:tcPr>
            <w:tcW w:w="2200" w:type="dxa"/>
            <w:tcBorders>
              <w:top w:val="nil"/>
              <w:left w:val="nil"/>
              <w:bottom w:val="nil"/>
              <w:right w:val="nil"/>
            </w:tcBorders>
            <w:noWrap/>
            <w:vAlign w:val="bottom"/>
            <w:hideMark/>
          </w:tcPr>
          <w:p w14:paraId="43A1236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7D82D5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B5127C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53707CD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BF27B19"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6F4186B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Mornington Peninsula</w:t>
            </w:r>
          </w:p>
        </w:tc>
        <w:tc>
          <w:tcPr>
            <w:tcW w:w="2200" w:type="dxa"/>
            <w:tcBorders>
              <w:top w:val="nil"/>
              <w:left w:val="nil"/>
              <w:bottom w:val="nil"/>
              <w:right w:val="nil"/>
            </w:tcBorders>
            <w:noWrap/>
            <w:vAlign w:val="bottom"/>
            <w:hideMark/>
          </w:tcPr>
          <w:p w14:paraId="3FD9FFC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9368BA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C99348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C81003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C5293E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3069599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Ballarat</w:t>
            </w:r>
          </w:p>
        </w:tc>
        <w:tc>
          <w:tcPr>
            <w:tcW w:w="2200" w:type="dxa"/>
            <w:tcBorders>
              <w:top w:val="nil"/>
              <w:left w:val="nil"/>
              <w:bottom w:val="nil"/>
              <w:right w:val="nil"/>
            </w:tcBorders>
            <w:noWrap/>
            <w:vAlign w:val="bottom"/>
            <w:hideMark/>
          </w:tcPr>
          <w:p w14:paraId="549F5BE2"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094DF5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A49F30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31FE857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04ACB1D"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56FFBEF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Bendigo</w:t>
            </w:r>
          </w:p>
        </w:tc>
        <w:tc>
          <w:tcPr>
            <w:tcW w:w="2200" w:type="dxa"/>
            <w:tcBorders>
              <w:top w:val="nil"/>
              <w:left w:val="nil"/>
              <w:bottom w:val="nil"/>
              <w:right w:val="nil"/>
            </w:tcBorders>
            <w:noWrap/>
            <w:vAlign w:val="bottom"/>
            <w:hideMark/>
          </w:tcPr>
          <w:p w14:paraId="2C4D9AE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83BE72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6D1FCA9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77AAD8C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5B9FD5A"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005F17B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Geelong</w:t>
            </w:r>
          </w:p>
        </w:tc>
        <w:tc>
          <w:tcPr>
            <w:tcW w:w="2200" w:type="dxa"/>
            <w:tcBorders>
              <w:top w:val="nil"/>
              <w:left w:val="nil"/>
              <w:bottom w:val="nil"/>
              <w:right w:val="nil"/>
            </w:tcBorders>
            <w:noWrap/>
            <w:vAlign w:val="bottom"/>
            <w:hideMark/>
          </w:tcPr>
          <w:p w14:paraId="5B1E7F6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3C0A992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DA1D29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417F25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6CA2ADB"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B39538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Hume</w:t>
            </w:r>
          </w:p>
        </w:tc>
        <w:tc>
          <w:tcPr>
            <w:tcW w:w="2200" w:type="dxa"/>
            <w:tcBorders>
              <w:top w:val="nil"/>
              <w:left w:val="nil"/>
              <w:bottom w:val="nil"/>
              <w:right w:val="nil"/>
            </w:tcBorders>
            <w:noWrap/>
            <w:vAlign w:val="bottom"/>
            <w:hideMark/>
          </w:tcPr>
          <w:p w14:paraId="5146B9E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157054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271276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A01EC1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C248892"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4DAF5D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Latrobe - Gippsland</w:t>
            </w:r>
          </w:p>
        </w:tc>
        <w:tc>
          <w:tcPr>
            <w:tcW w:w="2200" w:type="dxa"/>
            <w:tcBorders>
              <w:top w:val="nil"/>
              <w:left w:val="nil"/>
              <w:bottom w:val="nil"/>
              <w:right w:val="nil"/>
            </w:tcBorders>
            <w:noWrap/>
            <w:vAlign w:val="bottom"/>
            <w:hideMark/>
          </w:tcPr>
          <w:p w14:paraId="0F17051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12BFDA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FAFD56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6799A38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686ACE0"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7097FC2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Victoria - </w:t>
            </w:r>
            <w:proofErr w:type="gramStart"/>
            <w:r w:rsidRPr="00CE66BC">
              <w:rPr>
                <w:rFonts w:eastAsia="Times New Roman" w:cs="Arial"/>
                <w:color w:val="000000"/>
                <w:sz w:val="16"/>
                <w:szCs w:val="16"/>
                <w:lang w:eastAsia="en-AU"/>
              </w:rPr>
              <w:t>North West</w:t>
            </w:r>
            <w:proofErr w:type="gramEnd"/>
          </w:p>
        </w:tc>
        <w:tc>
          <w:tcPr>
            <w:tcW w:w="2200" w:type="dxa"/>
            <w:tcBorders>
              <w:top w:val="nil"/>
              <w:left w:val="nil"/>
              <w:bottom w:val="nil"/>
              <w:right w:val="nil"/>
            </w:tcBorders>
            <w:noWrap/>
            <w:vAlign w:val="bottom"/>
            <w:hideMark/>
          </w:tcPr>
          <w:p w14:paraId="11B0C64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5B3332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06BD990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32A4C783"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Declined</w:t>
            </w:r>
          </w:p>
        </w:tc>
      </w:tr>
      <w:tr w:rsidR="00CE66BC" w:rsidRPr="00CE66BC" w14:paraId="1358ABB1" w14:textId="77777777" w:rsidTr="00CE66BC">
        <w:trPr>
          <w:trHeight w:val="283"/>
        </w:trPr>
        <w:tc>
          <w:tcPr>
            <w:tcW w:w="3320" w:type="dxa"/>
            <w:tcBorders>
              <w:top w:val="nil"/>
              <w:left w:val="single" w:sz="4" w:space="0" w:color="auto"/>
              <w:bottom w:val="nil"/>
              <w:right w:val="single" w:sz="4" w:space="0" w:color="auto"/>
            </w:tcBorders>
            <w:noWrap/>
            <w:vAlign w:val="bottom"/>
            <w:hideMark/>
          </w:tcPr>
          <w:p w14:paraId="27A307B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Shepparton</w:t>
            </w:r>
          </w:p>
        </w:tc>
        <w:tc>
          <w:tcPr>
            <w:tcW w:w="2200" w:type="dxa"/>
            <w:tcBorders>
              <w:top w:val="nil"/>
              <w:left w:val="nil"/>
              <w:bottom w:val="nil"/>
              <w:right w:val="nil"/>
            </w:tcBorders>
            <w:noWrap/>
            <w:vAlign w:val="bottom"/>
            <w:hideMark/>
          </w:tcPr>
          <w:p w14:paraId="346C829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1DB167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CFA199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71B3A1F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033DAE9" w14:textId="77777777" w:rsidTr="00CE66BC">
        <w:trPr>
          <w:trHeight w:val="283"/>
        </w:trPr>
        <w:tc>
          <w:tcPr>
            <w:tcW w:w="3320" w:type="dxa"/>
            <w:tcBorders>
              <w:top w:val="nil"/>
              <w:left w:val="single" w:sz="4" w:space="0" w:color="auto"/>
              <w:bottom w:val="single" w:sz="4" w:space="0" w:color="auto"/>
              <w:right w:val="single" w:sz="4" w:space="0" w:color="auto"/>
            </w:tcBorders>
            <w:noWrap/>
            <w:vAlign w:val="bottom"/>
            <w:hideMark/>
          </w:tcPr>
          <w:p w14:paraId="4BBF52A2"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Warrnambool and </w:t>
            </w:r>
            <w:proofErr w:type="gramStart"/>
            <w:r w:rsidRPr="00CE66BC">
              <w:rPr>
                <w:rFonts w:eastAsia="Times New Roman" w:cs="Arial"/>
                <w:color w:val="000000"/>
                <w:sz w:val="16"/>
                <w:szCs w:val="16"/>
                <w:lang w:eastAsia="en-AU"/>
              </w:rPr>
              <w:t>South West</w:t>
            </w:r>
            <w:proofErr w:type="gramEnd"/>
          </w:p>
        </w:tc>
        <w:tc>
          <w:tcPr>
            <w:tcW w:w="2200" w:type="dxa"/>
            <w:tcBorders>
              <w:top w:val="nil"/>
              <w:left w:val="nil"/>
              <w:bottom w:val="single" w:sz="4" w:space="0" w:color="auto"/>
              <w:right w:val="nil"/>
            </w:tcBorders>
            <w:noWrap/>
            <w:vAlign w:val="bottom"/>
            <w:hideMark/>
          </w:tcPr>
          <w:p w14:paraId="05D1E69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6087411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single" w:sz="4" w:space="0" w:color="auto"/>
              <w:right w:val="single" w:sz="4" w:space="0" w:color="auto"/>
            </w:tcBorders>
            <w:noWrap/>
            <w:vAlign w:val="bottom"/>
            <w:hideMark/>
          </w:tcPr>
          <w:p w14:paraId="3FD8BED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single" w:sz="4" w:space="0" w:color="auto"/>
              <w:right w:val="single" w:sz="4" w:space="0" w:color="auto"/>
            </w:tcBorders>
            <w:noWrap/>
            <w:vAlign w:val="bottom"/>
            <w:hideMark/>
          </w:tcPr>
          <w:p w14:paraId="791EDDE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bl>
    <w:p w14:paraId="5D349BA3" w14:textId="77777777" w:rsidR="00FF2A2C" w:rsidRPr="00BC1B66" w:rsidRDefault="00FF2A2C" w:rsidP="00FF2A2C"/>
    <w:p w14:paraId="19FC918F" w14:textId="77777777" w:rsidR="00BC1B66" w:rsidRDefault="00BC1B66" w:rsidP="00FF2A2C">
      <w:pPr>
        <w:sectPr w:rsidR="00BC1B66" w:rsidSect="00AC0C2F">
          <w:pgSz w:w="11906" w:h="16838"/>
          <w:pgMar w:top="1276" w:right="1440" w:bottom="1134" w:left="1440" w:header="0" w:footer="539" w:gutter="0"/>
          <w:cols w:space="708"/>
          <w:titlePg/>
          <w:docGrid w:linePitch="360"/>
        </w:sectPr>
      </w:pPr>
    </w:p>
    <w:tbl>
      <w:tblPr>
        <w:tblW w:w="9600" w:type="dxa"/>
        <w:tblLook w:val="04A0" w:firstRow="1" w:lastRow="0" w:firstColumn="1" w:lastColumn="0" w:noHBand="0" w:noVBand="1"/>
      </w:tblPr>
      <w:tblGrid>
        <w:gridCol w:w="3347"/>
        <w:gridCol w:w="2173"/>
        <w:gridCol w:w="1460"/>
        <w:gridCol w:w="1460"/>
        <w:gridCol w:w="1160"/>
      </w:tblGrid>
      <w:tr w:rsidR="00CE66BC" w:rsidRPr="00CE66BC" w14:paraId="3D4C9146" w14:textId="77777777" w:rsidTr="00CE66BC">
        <w:trPr>
          <w:trHeight w:val="283"/>
        </w:trPr>
        <w:tc>
          <w:tcPr>
            <w:tcW w:w="3347" w:type="dxa"/>
            <w:tcBorders>
              <w:top w:val="nil"/>
              <w:left w:val="single" w:sz="4" w:space="0" w:color="auto"/>
              <w:bottom w:val="nil"/>
              <w:right w:val="single" w:sz="4" w:space="0" w:color="auto"/>
            </w:tcBorders>
            <w:shd w:val="clear" w:color="000000" w:fill="4B0985"/>
            <w:vAlign w:val="center"/>
            <w:hideMark/>
          </w:tcPr>
          <w:p w14:paraId="1A588C78"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lastRenderedPageBreak/>
              <w:t>Statistical Area Level 4 (SA4)</w:t>
            </w:r>
          </w:p>
        </w:tc>
        <w:tc>
          <w:tcPr>
            <w:tcW w:w="2173" w:type="dxa"/>
            <w:tcBorders>
              <w:top w:val="single" w:sz="4" w:space="0" w:color="auto"/>
              <w:left w:val="nil"/>
              <w:bottom w:val="nil"/>
              <w:right w:val="nil"/>
            </w:tcBorders>
            <w:shd w:val="clear" w:color="000000" w:fill="4B0985"/>
            <w:vAlign w:val="center"/>
            <w:hideMark/>
          </w:tcPr>
          <w:p w14:paraId="52119DBA"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Remoteness</w:t>
            </w:r>
          </w:p>
        </w:tc>
        <w:tc>
          <w:tcPr>
            <w:tcW w:w="1460" w:type="dxa"/>
            <w:tcBorders>
              <w:top w:val="nil"/>
              <w:left w:val="nil"/>
              <w:bottom w:val="single" w:sz="4" w:space="0" w:color="auto"/>
              <w:right w:val="nil"/>
            </w:tcBorders>
            <w:shd w:val="clear" w:color="000000" w:fill="4B0985"/>
            <w:noWrap/>
            <w:vAlign w:val="center"/>
            <w:hideMark/>
          </w:tcPr>
          <w:p w14:paraId="08DCC303"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Sep-24</w:t>
            </w:r>
          </w:p>
        </w:tc>
        <w:tc>
          <w:tcPr>
            <w:tcW w:w="1460" w:type="dxa"/>
            <w:tcBorders>
              <w:top w:val="nil"/>
              <w:left w:val="nil"/>
              <w:bottom w:val="single" w:sz="4" w:space="0" w:color="auto"/>
              <w:right w:val="nil"/>
            </w:tcBorders>
            <w:shd w:val="clear" w:color="000000" w:fill="4B0985"/>
            <w:noWrap/>
            <w:vAlign w:val="center"/>
            <w:hideMark/>
          </w:tcPr>
          <w:p w14:paraId="183206C9"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Sep-25</w:t>
            </w:r>
          </w:p>
        </w:tc>
        <w:tc>
          <w:tcPr>
            <w:tcW w:w="1160" w:type="dxa"/>
            <w:tcBorders>
              <w:top w:val="nil"/>
              <w:left w:val="single" w:sz="4" w:space="0" w:color="auto"/>
              <w:bottom w:val="single" w:sz="4" w:space="0" w:color="auto"/>
              <w:right w:val="single" w:sz="4" w:space="0" w:color="auto"/>
            </w:tcBorders>
            <w:shd w:val="clear" w:color="000000" w:fill="4B0985"/>
            <w:noWrap/>
            <w:vAlign w:val="center"/>
            <w:hideMark/>
          </w:tcPr>
          <w:p w14:paraId="523B0571" w14:textId="77777777" w:rsidR="00CE66BC" w:rsidRPr="00CE66BC" w:rsidRDefault="00CE66BC" w:rsidP="00CE66BC">
            <w:pPr>
              <w:spacing w:after="0" w:line="240" w:lineRule="auto"/>
              <w:jc w:val="center"/>
              <w:rPr>
                <w:rFonts w:eastAsia="Times New Roman" w:cs="Arial"/>
                <w:b/>
                <w:bCs/>
                <w:color w:val="FFFFFF"/>
                <w:sz w:val="18"/>
                <w:szCs w:val="18"/>
                <w:lang w:eastAsia="en-AU"/>
              </w:rPr>
            </w:pPr>
            <w:r w:rsidRPr="00CE66BC">
              <w:rPr>
                <w:rFonts w:eastAsia="Times New Roman" w:cs="Arial"/>
                <w:b/>
                <w:bCs/>
                <w:color w:val="FFFFFF"/>
                <w:sz w:val="18"/>
                <w:szCs w:val="18"/>
                <w:lang w:eastAsia="en-AU"/>
              </w:rPr>
              <w:t>Direction</w:t>
            </w:r>
          </w:p>
        </w:tc>
      </w:tr>
      <w:tr w:rsidR="00CE66BC" w:rsidRPr="00CE66BC" w14:paraId="3E78FDC0"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3D6E005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Brisbane - East</w:t>
            </w:r>
          </w:p>
        </w:tc>
        <w:tc>
          <w:tcPr>
            <w:tcW w:w="2173" w:type="dxa"/>
            <w:tcBorders>
              <w:top w:val="nil"/>
              <w:left w:val="nil"/>
              <w:bottom w:val="nil"/>
              <w:right w:val="nil"/>
            </w:tcBorders>
            <w:noWrap/>
            <w:vAlign w:val="bottom"/>
            <w:hideMark/>
          </w:tcPr>
          <w:p w14:paraId="4011237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C8A55B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207EE6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551CED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366BBE7"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42AB7AF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Brisbane - North</w:t>
            </w:r>
          </w:p>
        </w:tc>
        <w:tc>
          <w:tcPr>
            <w:tcW w:w="2173" w:type="dxa"/>
            <w:tcBorders>
              <w:top w:val="nil"/>
              <w:left w:val="nil"/>
              <w:bottom w:val="nil"/>
              <w:right w:val="nil"/>
            </w:tcBorders>
            <w:noWrap/>
            <w:vAlign w:val="bottom"/>
            <w:hideMark/>
          </w:tcPr>
          <w:p w14:paraId="4798B21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7F3FE5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670D9A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25A75D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D6CC696"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574352C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Brisbane - South</w:t>
            </w:r>
          </w:p>
        </w:tc>
        <w:tc>
          <w:tcPr>
            <w:tcW w:w="2173" w:type="dxa"/>
            <w:tcBorders>
              <w:top w:val="nil"/>
              <w:left w:val="nil"/>
              <w:bottom w:val="nil"/>
              <w:right w:val="nil"/>
            </w:tcBorders>
            <w:noWrap/>
            <w:vAlign w:val="bottom"/>
            <w:hideMark/>
          </w:tcPr>
          <w:p w14:paraId="4CCA74A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DEB046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C14274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C32A18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0E9F05A"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10B480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Brisbane - West</w:t>
            </w:r>
          </w:p>
        </w:tc>
        <w:tc>
          <w:tcPr>
            <w:tcW w:w="2173" w:type="dxa"/>
            <w:tcBorders>
              <w:top w:val="nil"/>
              <w:left w:val="nil"/>
              <w:bottom w:val="nil"/>
              <w:right w:val="nil"/>
            </w:tcBorders>
            <w:noWrap/>
            <w:vAlign w:val="bottom"/>
            <w:hideMark/>
          </w:tcPr>
          <w:p w14:paraId="78D6FEB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AF6D24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9EEBEC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718791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B956B89"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9B6586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Brisbane Inner City</w:t>
            </w:r>
          </w:p>
        </w:tc>
        <w:tc>
          <w:tcPr>
            <w:tcW w:w="2173" w:type="dxa"/>
            <w:tcBorders>
              <w:top w:val="nil"/>
              <w:left w:val="nil"/>
              <w:bottom w:val="nil"/>
              <w:right w:val="nil"/>
            </w:tcBorders>
            <w:noWrap/>
            <w:vAlign w:val="bottom"/>
            <w:hideMark/>
          </w:tcPr>
          <w:p w14:paraId="5369571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B3F924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20DC238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84CF66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9A699F6"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E4B67B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Ipswich</w:t>
            </w:r>
          </w:p>
        </w:tc>
        <w:tc>
          <w:tcPr>
            <w:tcW w:w="2173" w:type="dxa"/>
            <w:tcBorders>
              <w:top w:val="nil"/>
              <w:left w:val="nil"/>
              <w:bottom w:val="nil"/>
              <w:right w:val="nil"/>
            </w:tcBorders>
            <w:noWrap/>
            <w:vAlign w:val="bottom"/>
            <w:hideMark/>
          </w:tcPr>
          <w:p w14:paraId="1DD6EEE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9983E2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4095526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3B8648E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CDEF6B9"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776D2B0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Logan - Beaudesert</w:t>
            </w:r>
          </w:p>
        </w:tc>
        <w:tc>
          <w:tcPr>
            <w:tcW w:w="2173" w:type="dxa"/>
            <w:tcBorders>
              <w:top w:val="nil"/>
              <w:left w:val="nil"/>
              <w:bottom w:val="nil"/>
              <w:right w:val="nil"/>
            </w:tcBorders>
            <w:noWrap/>
            <w:vAlign w:val="bottom"/>
            <w:hideMark/>
          </w:tcPr>
          <w:p w14:paraId="3217F83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C9A45F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57C36A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94A926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D8EF413"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00ABDC5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Moreton Bay - North</w:t>
            </w:r>
          </w:p>
        </w:tc>
        <w:tc>
          <w:tcPr>
            <w:tcW w:w="2173" w:type="dxa"/>
            <w:tcBorders>
              <w:top w:val="nil"/>
              <w:left w:val="nil"/>
              <w:bottom w:val="nil"/>
              <w:right w:val="nil"/>
            </w:tcBorders>
            <w:noWrap/>
            <w:vAlign w:val="bottom"/>
            <w:hideMark/>
          </w:tcPr>
          <w:p w14:paraId="5C31CEB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DD4817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5C77E45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7E7F87F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267B7F9"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703680B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Moreton Bay - South</w:t>
            </w:r>
          </w:p>
        </w:tc>
        <w:tc>
          <w:tcPr>
            <w:tcW w:w="2173" w:type="dxa"/>
            <w:tcBorders>
              <w:top w:val="nil"/>
              <w:left w:val="nil"/>
              <w:bottom w:val="nil"/>
              <w:right w:val="nil"/>
            </w:tcBorders>
            <w:noWrap/>
            <w:vAlign w:val="bottom"/>
            <w:hideMark/>
          </w:tcPr>
          <w:p w14:paraId="75F4405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65570C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06D418B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11C44A6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68F83C2"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5009A1C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Cairns</w:t>
            </w:r>
          </w:p>
        </w:tc>
        <w:tc>
          <w:tcPr>
            <w:tcW w:w="2173" w:type="dxa"/>
            <w:tcBorders>
              <w:top w:val="nil"/>
              <w:left w:val="nil"/>
              <w:bottom w:val="nil"/>
              <w:right w:val="nil"/>
            </w:tcBorders>
            <w:noWrap/>
            <w:vAlign w:val="bottom"/>
            <w:hideMark/>
          </w:tcPr>
          <w:p w14:paraId="1C900C5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5D3700A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22221C8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11AE4B6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7F9ED6C"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ABEA56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Darling Downs - Maranoa</w:t>
            </w:r>
          </w:p>
        </w:tc>
        <w:tc>
          <w:tcPr>
            <w:tcW w:w="2173" w:type="dxa"/>
            <w:tcBorders>
              <w:top w:val="nil"/>
              <w:left w:val="nil"/>
              <w:bottom w:val="nil"/>
              <w:right w:val="nil"/>
            </w:tcBorders>
            <w:noWrap/>
            <w:vAlign w:val="bottom"/>
            <w:hideMark/>
          </w:tcPr>
          <w:p w14:paraId="6EDC714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9F1A8B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66E2A07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1F31E3B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AAD086B"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A16316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Central Queensland</w:t>
            </w:r>
          </w:p>
        </w:tc>
        <w:tc>
          <w:tcPr>
            <w:tcW w:w="2173" w:type="dxa"/>
            <w:tcBorders>
              <w:top w:val="nil"/>
              <w:left w:val="nil"/>
              <w:bottom w:val="nil"/>
              <w:right w:val="nil"/>
            </w:tcBorders>
            <w:noWrap/>
            <w:vAlign w:val="bottom"/>
            <w:hideMark/>
          </w:tcPr>
          <w:p w14:paraId="30734A1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51ED206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0FFF78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46C83BD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77B75722"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B28ABC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Gold Coast</w:t>
            </w:r>
          </w:p>
        </w:tc>
        <w:tc>
          <w:tcPr>
            <w:tcW w:w="2173" w:type="dxa"/>
            <w:tcBorders>
              <w:top w:val="nil"/>
              <w:left w:val="nil"/>
              <w:bottom w:val="nil"/>
              <w:right w:val="nil"/>
            </w:tcBorders>
            <w:noWrap/>
            <w:vAlign w:val="bottom"/>
            <w:hideMark/>
          </w:tcPr>
          <w:p w14:paraId="52524F3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3AB53EE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563BFD6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67593E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BD8D19F"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4F96B43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Mackay - Isaac - Whitsunday</w:t>
            </w:r>
          </w:p>
        </w:tc>
        <w:tc>
          <w:tcPr>
            <w:tcW w:w="2173" w:type="dxa"/>
            <w:tcBorders>
              <w:top w:val="nil"/>
              <w:left w:val="nil"/>
              <w:bottom w:val="nil"/>
              <w:right w:val="nil"/>
            </w:tcBorders>
            <w:noWrap/>
            <w:vAlign w:val="bottom"/>
            <w:hideMark/>
          </w:tcPr>
          <w:p w14:paraId="638CFF1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323166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641E7F3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10299F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6B04442F"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7EEB28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Queensland - Outback</w:t>
            </w:r>
          </w:p>
        </w:tc>
        <w:tc>
          <w:tcPr>
            <w:tcW w:w="2173" w:type="dxa"/>
            <w:tcBorders>
              <w:top w:val="nil"/>
              <w:left w:val="nil"/>
              <w:bottom w:val="nil"/>
              <w:right w:val="nil"/>
            </w:tcBorders>
            <w:noWrap/>
            <w:vAlign w:val="bottom"/>
            <w:hideMark/>
          </w:tcPr>
          <w:p w14:paraId="0B42D9D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1EAB612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FB9CA9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059CCA2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846F700"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DB8AF3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Sunshine Coast</w:t>
            </w:r>
          </w:p>
        </w:tc>
        <w:tc>
          <w:tcPr>
            <w:tcW w:w="2173" w:type="dxa"/>
            <w:tcBorders>
              <w:top w:val="nil"/>
              <w:left w:val="nil"/>
              <w:bottom w:val="nil"/>
              <w:right w:val="nil"/>
            </w:tcBorders>
            <w:noWrap/>
            <w:vAlign w:val="bottom"/>
            <w:hideMark/>
          </w:tcPr>
          <w:p w14:paraId="5127B43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7B3981E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838CE7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6564FF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FD5D9A6"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757E71E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Toowoomba</w:t>
            </w:r>
          </w:p>
        </w:tc>
        <w:tc>
          <w:tcPr>
            <w:tcW w:w="2173" w:type="dxa"/>
            <w:tcBorders>
              <w:top w:val="nil"/>
              <w:left w:val="nil"/>
              <w:bottom w:val="nil"/>
              <w:right w:val="nil"/>
            </w:tcBorders>
            <w:noWrap/>
            <w:vAlign w:val="bottom"/>
            <w:hideMark/>
          </w:tcPr>
          <w:p w14:paraId="0EE54A0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0D5663A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6391D4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1826494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2B05595"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A0B794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Townsville</w:t>
            </w:r>
          </w:p>
        </w:tc>
        <w:tc>
          <w:tcPr>
            <w:tcW w:w="2173" w:type="dxa"/>
            <w:tcBorders>
              <w:top w:val="nil"/>
              <w:left w:val="nil"/>
              <w:bottom w:val="nil"/>
              <w:right w:val="nil"/>
            </w:tcBorders>
            <w:noWrap/>
            <w:vAlign w:val="bottom"/>
            <w:hideMark/>
          </w:tcPr>
          <w:p w14:paraId="4537F5E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0EE079D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4AF741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6A06672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2D1A9BF3"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11CFE5C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Wide Bay</w:t>
            </w:r>
          </w:p>
        </w:tc>
        <w:tc>
          <w:tcPr>
            <w:tcW w:w="2173" w:type="dxa"/>
            <w:tcBorders>
              <w:top w:val="nil"/>
              <w:left w:val="nil"/>
              <w:bottom w:val="single" w:sz="4" w:space="0" w:color="auto"/>
              <w:right w:val="nil"/>
            </w:tcBorders>
            <w:noWrap/>
            <w:vAlign w:val="bottom"/>
            <w:hideMark/>
          </w:tcPr>
          <w:p w14:paraId="6FAE18E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04FDE5B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1B62F70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3EAA7A17"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11350BD"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70DD79B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Adelaide - Central and Hills</w:t>
            </w:r>
          </w:p>
        </w:tc>
        <w:tc>
          <w:tcPr>
            <w:tcW w:w="2173" w:type="dxa"/>
            <w:tcBorders>
              <w:top w:val="nil"/>
              <w:left w:val="nil"/>
              <w:bottom w:val="nil"/>
              <w:right w:val="nil"/>
            </w:tcBorders>
            <w:noWrap/>
            <w:vAlign w:val="bottom"/>
            <w:hideMark/>
          </w:tcPr>
          <w:p w14:paraId="7B93436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B8DFC9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11F366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single" w:sz="4" w:space="0" w:color="auto"/>
              <w:bottom w:val="nil"/>
              <w:right w:val="single" w:sz="4" w:space="0" w:color="auto"/>
            </w:tcBorders>
            <w:shd w:val="clear" w:color="000000" w:fill="047817"/>
            <w:noWrap/>
            <w:vAlign w:val="bottom"/>
            <w:hideMark/>
          </w:tcPr>
          <w:p w14:paraId="557693DC"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Improved</w:t>
            </w:r>
          </w:p>
        </w:tc>
      </w:tr>
      <w:tr w:rsidR="00CE66BC" w:rsidRPr="00CE66BC" w14:paraId="601134B7"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D0D392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Adelaide - North</w:t>
            </w:r>
          </w:p>
        </w:tc>
        <w:tc>
          <w:tcPr>
            <w:tcW w:w="2173" w:type="dxa"/>
            <w:tcBorders>
              <w:top w:val="nil"/>
              <w:left w:val="nil"/>
              <w:bottom w:val="nil"/>
              <w:right w:val="nil"/>
            </w:tcBorders>
            <w:noWrap/>
            <w:vAlign w:val="bottom"/>
            <w:hideMark/>
          </w:tcPr>
          <w:p w14:paraId="1F5571F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C02F04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07C950F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5134579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8278694"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0F2029C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Adelaide - South</w:t>
            </w:r>
          </w:p>
        </w:tc>
        <w:tc>
          <w:tcPr>
            <w:tcW w:w="2173" w:type="dxa"/>
            <w:tcBorders>
              <w:top w:val="nil"/>
              <w:left w:val="nil"/>
              <w:bottom w:val="nil"/>
              <w:right w:val="nil"/>
            </w:tcBorders>
            <w:noWrap/>
            <w:vAlign w:val="bottom"/>
            <w:hideMark/>
          </w:tcPr>
          <w:p w14:paraId="5FF03E5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E956C0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55DEDC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F77F60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E94EE22"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3F62892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Adelaide - West</w:t>
            </w:r>
          </w:p>
        </w:tc>
        <w:tc>
          <w:tcPr>
            <w:tcW w:w="2173" w:type="dxa"/>
            <w:tcBorders>
              <w:top w:val="nil"/>
              <w:left w:val="nil"/>
              <w:bottom w:val="nil"/>
              <w:right w:val="nil"/>
            </w:tcBorders>
            <w:noWrap/>
            <w:vAlign w:val="bottom"/>
            <w:hideMark/>
          </w:tcPr>
          <w:p w14:paraId="423539A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EF2496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7FF7176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45490D6D"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Improved</w:t>
            </w:r>
          </w:p>
        </w:tc>
      </w:tr>
      <w:tr w:rsidR="00CE66BC" w:rsidRPr="00CE66BC" w14:paraId="3191C6EC"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52805888"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Barossa - Yorke - Mid North</w:t>
            </w:r>
          </w:p>
        </w:tc>
        <w:tc>
          <w:tcPr>
            <w:tcW w:w="2173" w:type="dxa"/>
            <w:tcBorders>
              <w:top w:val="nil"/>
              <w:left w:val="nil"/>
              <w:bottom w:val="nil"/>
              <w:right w:val="nil"/>
            </w:tcBorders>
            <w:noWrap/>
            <w:vAlign w:val="bottom"/>
            <w:hideMark/>
          </w:tcPr>
          <w:p w14:paraId="20D12C8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3A5153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3F2B122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72654194"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Improved</w:t>
            </w:r>
          </w:p>
        </w:tc>
      </w:tr>
      <w:tr w:rsidR="00CE66BC" w:rsidRPr="00CE66BC" w14:paraId="5CD7151B"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408924D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South Australia - Outback</w:t>
            </w:r>
          </w:p>
        </w:tc>
        <w:tc>
          <w:tcPr>
            <w:tcW w:w="2173" w:type="dxa"/>
            <w:tcBorders>
              <w:top w:val="nil"/>
              <w:left w:val="nil"/>
              <w:bottom w:val="nil"/>
              <w:right w:val="nil"/>
            </w:tcBorders>
            <w:noWrap/>
            <w:vAlign w:val="bottom"/>
            <w:hideMark/>
          </w:tcPr>
          <w:p w14:paraId="68568B5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5B2D716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7963AD7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0001B70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59CB0EB"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425181E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South Australia - </w:t>
            </w:r>
            <w:proofErr w:type="gramStart"/>
            <w:r w:rsidRPr="00CE66BC">
              <w:rPr>
                <w:rFonts w:eastAsia="Times New Roman" w:cs="Arial"/>
                <w:color w:val="000000"/>
                <w:sz w:val="16"/>
                <w:szCs w:val="16"/>
                <w:lang w:eastAsia="en-AU"/>
              </w:rPr>
              <w:t>South East</w:t>
            </w:r>
            <w:proofErr w:type="gramEnd"/>
          </w:p>
        </w:tc>
        <w:tc>
          <w:tcPr>
            <w:tcW w:w="2173" w:type="dxa"/>
            <w:tcBorders>
              <w:top w:val="nil"/>
              <w:left w:val="nil"/>
              <w:bottom w:val="single" w:sz="4" w:space="0" w:color="auto"/>
              <w:right w:val="nil"/>
            </w:tcBorders>
            <w:noWrap/>
            <w:vAlign w:val="bottom"/>
            <w:hideMark/>
          </w:tcPr>
          <w:p w14:paraId="4BF255F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2AD98C2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76E355D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0A60FB7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1EC8AA6"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73BFE4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Mandurah</w:t>
            </w:r>
          </w:p>
        </w:tc>
        <w:tc>
          <w:tcPr>
            <w:tcW w:w="2173" w:type="dxa"/>
            <w:tcBorders>
              <w:top w:val="nil"/>
              <w:left w:val="nil"/>
              <w:bottom w:val="nil"/>
              <w:right w:val="nil"/>
            </w:tcBorders>
            <w:noWrap/>
            <w:vAlign w:val="bottom"/>
            <w:hideMark/>
          </w:tcPr>
          <w:p w14:paraId="43972B5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9663C8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022D39C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1C0D366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5DE2519"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2A8FD78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Perth - Inner</w:t>
            </w:r>
          </w:p>
        </w:tc>
        <w:tc>
          <w:tcPr>
            <w:tcW w:w="2173" w:type="dxa"/>
            <w:tcBorders>
              <w:top w:val="nil"/>
              <w:left w:val="nil"/>
              <w:bottom w:val="nil"/>
              <w:right w:val="nil"/>
            </w:tcBorders>
            <w:noWrap/>
            <w:vAlign w:val="bottom"/>
            <w:hideMark/>
          </w:tcPr>
          <w:p w14:paraId="6B4B112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9DD11B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0FD03D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588A2E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67153A3"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46421E3A"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Perth - </w:t>
            </w:r>
            <w:proofErr w:type="gramStart"/>
            <w:r w:rsidRPr="00CE66BC">
              <w:rPr>
                <w:rFonts w:eastAsia="Times New Roman" w:cs="Arial"/>
                <w:color w:val="000000"/>
                <w:sz w:val="16"/>
                <w:szCs w:val="16"/>
                <w:lang w:eastAsia="en-AU"/>
              </w:rPr>
              <w:t>North East</w:t>
            </w:r>
            <w:proofErr w:type="gramEnd"/>
          </w:p>
        </w:tc>
        <w:tc>
          <w:tcPr>
            <w:tcW w:w="2173" w:type="dxa"/>
            <w:tcBorders>
              <w:top w:val="nil"/>
              <w:left w:val="nil"/>
              <w:bottom w:val="nil"/>
              <w:right w:val="nil"/>
            </w:tcBorders>
            <w:noWrap/>
            <w:vAlign w:val="bottom"/>
            <w:hideMark/>
          </w:tcPr>
          <w:p w14:paraId="718E715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09FAB8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884B42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600595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AED349B"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34A2665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Perth - </w:t>
            </w:r>
            <w:proofErr w:type="gramStart"/>
            <w:r w:rsidRPr="00CE66BC">
              <w:rPr>
                <w:rFonts w:eastAsia="Times New Roman" w:cs="Arial"/>
                <w:color w:val="000000"/>
                <w:sz w:val="16"/>
                <w:szCs w:val="16"/>
                <w:lang w:eastAsia="en-AU"/>
              </w:rPr>
              <w:t>North West</w:t>
            </w:r>
            <w:proofErr w:type="gramEnd"/>
          </w:p>
        </w:tc>
        <w:tc>
          <w:tcPr>
            <w:tcW w:w="2173" w:type="dxa"/>
            <w:tcBorders>
              <w:top w:val="nil"/>
              <w:left w:val="nil"/>
              <w:bottom w:val="nil"/>
              <w:right w:val="nil"/>
            </w:tcBorders>
            <w:noWrap/>
            <w:vAlign w:val="bottom"/>
            <w:hideMark/>
          </w:tcPr>
          <w:p w14:paraId="553CCE1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8BAB12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D2A0CFD"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6141231F"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Declined</w:t>
            </w:r>
          </w:p>
        </w:tc>
      </w:tr>
      <w:tr w:rsidR="00CE66BC" w:rsidRPr="00CE66BC" w14:paraId="3ED56DB2"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907D7B5"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Perth - </w:t>
            </w:r>
            <w:proofErr w:type="gramStart"/>
            <w:r w:rsidRPr="00CE66BC">
              <w:rPr>
                <w:rFonts w:eastAsia="Times New Roman" w:cs="Arial"/>
                <w:color w:val="000000"/>
                <w:sz w:val="16"/>
                <w:szCs w:val="16"/>
                <w:lang w:eastAsia="en-AU"/>
              </w:rPr>
              <w:t>South East</w:t>
            </w:r>
            <w:proofErr w:type="gramEnd"/>
          </w:p>
        </w:tc>
        <w:tc>
          <w:tcPr>
            <w:tcW w:w="2173" w:type="dxa"/>
            <w:tcBorders>
              <w:top w:val="nil"/>
              <w:left w:val="nil"/>
              <w:bottom w:val="nil"/>
              <w:right w:val="nil"/>
            </w:tcBorders>
            <w:noWrap/>
            <w:vAlign w:val="bottom"/>
            <w:hideMark/>
          </w:tcPr>
          <w:p w14:paraId="5CEAF37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C8B560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8711C8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3660E8F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1335877"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CDE211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Perth - </w:t>
            </w:r>
            <w:proofErr w:type="gramStart"/>
            <w:r w:rsidRPr="00CE66BC">
              <w:rPr>
                <w:rFonts w:eastAsia="Times New Roman" w:cs="Arial"/>
                <w:color w:val="000000"/>
                <w:sz w:val="16"/>
                <w:szCs w:val="16"/>
                <w:lang w:eastAsia="en-AU"/>
              </w:rPr>
              <w:t>South West</w:t>
            </w:r>
            <w:proofErr w:type="gramEnd"/>
          </w:p>
        </w:tc>
        <w:tc>
          <w:tcPr>
            <w:tcW w:w="2173" w:type="dxa"/>
            <w:tcBorders>
              <w:top w:val="nil"/>
              <w:left w:val="nil"/>
              <w:bottom w:val="nil"/>
              <w:right w:val="nil"/>
            </w:tcBorders>
            <w:noWrap/>
            <w:vAlign w:val="bottom"/>
            <w:hideMark/>
          </w:tcPr>
          <w:p w14:paraId="10A7C6D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F8335D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37B6356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42A98C3"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1D2CFA9"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39D5AF16"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Bunbury</w:t>
            </w:r>
          </w:p>
        </w:tc>
        <w:tc>
          <w:tcPr>
            <w:tcW w:w="2173" w:type="dxa"/>
            <w:tcBorders>
              <w:top w:val="nil"/>
              <w:left w:val="nil"/>
              <w:bottom w:val="nil"/>
              <w:right w:val="nil"/>
            </w:tcBorders>
            <w:noWrap/>
            <w:vAlign w:val="bottom"/>
            <w:hideMark/>
          </w:tcPr>
          <w:p w14:paraId="55AAC15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2C94650"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E9B14A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E73F6E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06BD3C1B"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7F75498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Western Australia - Outback (North and South)</w:t>
            </w:r>
          </w:p>
        </w:tc>
        <w:tc>
          <w:tcPr>
            <w:tcW w:w="2173" w:type="dxa"/>
            <w:tcBorders>
              <w:top w:val="nil"/>
              <w:left w:val="nil"/>
              <w:bottom w:val="nil"/>
              <w:right w:val="nil"/>
            </w:tcBorders>
            <w:noWrap/>
            <w:vAlign w:val="bottom"/>
            <w:hideMark/>
          </w:tcPr>
          <w:p w14:paraId="5192B6A7"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0476133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0CAEF3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444784C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6E73D5D"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24B796A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Western Australia - Wheat Belt</w:t>
            </w:r>
          </w:p>
        </w:tc>
        <w:tc>
          <w:tcPr>
            <w:tcW w:w="2173" w:type="dxa"/>
            <w:tcBorders>
              <w:top w:val="nil"/>
              <w:left w:val="nil"/>
              <w:bottom w:val="single" w:sz="4" w:space="0" w:color="auto"/>
              <w:right w:val="nil"/>
            </w:tcBorders>
            <w:noWrap/>
            <w:vAlign w:val="bottom"/>
            <w:hideMark/>
          </w:tcPr>
          <w:p w14:paraId="321C2D89"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7E0BAD91"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460" w:type="dxa"/>
            <w:tcBorders>
              <w:top w:val="nil"/>
              <w:left w:val="nil"/>
              <w:bottom w:val="single" w:sz="4" w:space="0" w:color="auto"/>
              <w:right w:val="single" w:sz="4" w:space="0" w:color="auto"/>
            </w:tcBorders>
            <w:noWrap/>
            <w:vAlign w:val="bottom"/>
            <w:hideMark/>
          </w:tcPr>
          <w:p w14:paraId="210E9AD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nil"/>
              <w:bottom w:val="single" w:sz="4" w:space="0" w:color="auto"/>
              <w:right w:val="single" w:sz="4" w:space="0" w:color="auto"/>
            </w:tcBorders>
            <w:noWrap/>
            <w:vAlign w:val="bottom"/>
            <w:hideMark/>
          </w:tcPr>
          <w:p w14:paraId="4857446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3BC38322"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002A09D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Hobart</w:t>
            </w:r>
          </w:p>
        </w:tc>
        <w:tc>
          <w:tcPr>
            <w:tcW w:w="2173" w:type="dxa"/>
            <w:tcBorders>
              <w:top w:val="nil"/>
              <w:left w:val="nil"/>
              <w:bottom w:val="nil"/>
              <w:right w:val="nil"/>
            </w:tcBorders>
            <w:noWrap/>
            <w:vAlign w:val="bottom"/>
            <w:hideMark/>
          </w:tcPr>
          <w:p w14:paraId="67C8CDB4"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1D88669C"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14D525F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501E76E1" w14:textId="77777777" w:rsidR="00CE66BC" w:rsidRPr="00CE66BC" w:rsidRDefault="00CE66BC" w:rsidP="00CE66BC">
            <w:pPr>
              <w:spacing w:after="0" w:line="240" w:lineRule="auto"/>
              <w:jc w:val="center"/>
              <w:rPr>
                <w:rFonts w:eastAsia="Times New Roman" w:cs="Arial"/>
                <w:color w:val="FFFFFF"/>
                <w:sz w:val="16"/>
                <w:szCs w:val="16"/>
                <w:lang w:eastAsia="en-AU"/>
              </w:rPr>
            </w:pPr>
            <w:r w:rsidRPr="00CE66BC">
              <w:rPr>
                <w:rFonts w:eastAsia="Times New Roman" w:cs="Arial"/>
                <w:color w:val="FFFFFF"/>
                <w:sz w:val="16"/>
                <w:szCs w:val="16"/>
                <w:lang w:eastAsia="en-AU"/>
              </w:rPr>
              <w:t>Improved</w:t>
            </w:r>
          </w:p>
        </w:tc>
      </w:tr>
      <w:tr w:rsidR="00CE66BC" w:rsidRPr="00CE66BC" w14:paraId="309D1617"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568A90A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Launceston and </w:t>
            </w:r>
            <w:proofErr w:type="gramStart"/>
            <w:r w:rsidRPr="00CE66BC">
              <w:rPr>
                <w:rFonts w:eastAsia="Times New Roman" w:cs="Arial"/>
                <w:color w:val="000000"/>
                <w:sz w:val="16"/>
                <w:szCs w:val="16"/>
                <w:lang w:eastAsia="en-AU"/>
              </w:rPr>
              <w:t>North East</w:t>
            </w:r>
            <w:proofErr w:type="gramEnd"/>
          </w:p>
        </w:tc>
        <w:tc>
          <w:tcPr>
            <w:tcW w:w="2173" w:type="dxa"/>
            <w:tcBorders>
              <w:top w:val="nil"/>
              <w:left w:val="nil"/>
              <w:bottom w:val="nil"/>
              <w:right w:val="nil"/>
            </w:tcBorders>
            <w:noWrap/>
            <w:vAlign w:val="bottom"/>
            <w:hideMark/>
          </w:tcPr>
          <w:p w14:paraId="1CDD618B"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3F3CE6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B4285D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7215279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1536014C"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15652D6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Tasmania - </w:t>
            </w:r>
            <w:proofErr w:type="gramStart"/>
            <w:r w:rsidRPr="00CE66BC">
              <w:rPr>
                <w:rFonts w:eastAsia="Times New Roman" w:cs="Arial"/>
                <w:color w:val="000000"/>
                <w:sz w:val="16"/>
                <w:szCs w:val="16"/>
                <w:lang w:eastAsia="en-AU"/>
              </w:rPr>
              <w:t>South East</w:t>
            </w:r>
            <w:proofErr w:type="gramEnd"/>
          </w:p>
        </w:tc>
        <w:tc>
          <w:tcPr>
            <w:tcW w:w="2173" w:type="dxa"/>
            <w:tcBorders>
              <w:top w:val="nil"/>
              <w:left w:val="nil"/>
              <w:bottom w:val="nil"/>
              <w:right w:val="nil"/>
            </w:tcBorders>
            <w:noWrap/>
            <w:vAlign w:val="bottom"/>
            <w:hideMark/>
          </w:tcPr>
          <w:p w14:paraId="658C637F"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55D1E21E"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FDC70B6"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76DCF1D2"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0E22BE2"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53DC8BC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 xml:space="preserve">Tasmania - West and </w:t>
            </w:r>
            <w:proofErr w:type="gramStart"/>
            <w:r w:rsidRPr="00CE66BC">
              <w:rPr>
                <w:rFonts w:eastAsia="Times New Roman" w:cs="Arial"/>
                <w:color w:val="000000"/>
                <w:sz w:val="16"/>
                <w:szCs w:val="16"/>
                <w:lang w:eastAsia="en-AU"/>
              </w:rPr>
              <w:t>North West</w:t>
            </w:r>
            <w:proofErr w:type="gramEnd"/>
          </w:p>
        </w:tc>
        <w:tc>
          <w:tcPr>
            <w:tcW w:w="2173" w:type="dxa"/>
            <w:tcBorders>
              <w:top w:val="nil"/>
              <w:left w:val="nil"/>
              <w:bottom w:val="single" w:sz="4" w:space="0" w:color="auto"/>
              <w:right w:val="nil"/>
            </w:tcBorders>
            <w:noWrap/>
            <w:vAlign w:val="bottom"/>
            <w:hideMark/>
          </w:tcPr>
          <w:p w14:paraId="4EEA98CC"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18F4A599"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7C81B01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164DC74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B93FCF1" w14:textId="77777777" w:rsidTr="00CE66BC">
        <w:trPr>
          <w:trHeight w:val="283"/>
        </w:trPr>
        <w:tc>
          <w:tcPr>
            <w:tcW w:w="3347" w:type="dxa"/>
            <w:tcBorders>
              <w:top w:val="nil"/>
              <w:left w:val="single" w:sz="4" w:space="0" w:color="auto"/>
              <w:bottom w:val="nil"/>
              <w:right w:val="single" w:sz="4" w:space="0" w:color="auto"/>
            </w:tcBorders>
            <w:noWrap/>
            <w:vAlign w:val="bottom"/>
            <w:hideMark/>
          </w:tcPr>
          <w:p w14:paraId="3FBA4F13"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Darwin</w:t>
            </w:r>
          </w:p>
        </w:tc>
        <w:tc>
          <w:tcPr>
            <w:tcW w:w="2173" w:type="dxa"/>
            <w:tcBorders>
              <w:top w:val="nil"/>
              <w:left w:val="nil"/>
              <w:bottom w:val="nil"/>
              <w:right w:val="nil"/>
            </w:tcBorders>
            <w:noWrap/>
            <w:vAlign w:val="bottom"/>
            <w:hideMark/>
          </w:tcPr>
          <w:p w14:paraId="69785ACD"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49404E9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313510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717EAB5"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471F9CDF"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075B8591"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Northern Territory - Outback</w:t>
            </w:r>
          </w:p>
        </w:tc>
        <w:tc>
          <w:tcPr>
            <w:tcW w:w="2173" w:type="dxa"/>
            <w:tcBorders>
              <w:top w:val="nil"/>
              <w:left w:val="nil"/>
              <w:bottom w:val="single" w:sz="4" w:space="0" w:color="auto"/>
              <w:right w:val="nil"/>
            </w:tcBorders>
            <w:noWrap/>
            <w:vAlign w:val="bottom"/>
            <w:hideMark/>
          </w:tcPr>
          <w:p w14:paraId="5D1FC14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2645893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54AE026F"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32A0350A"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r w:rsidR="00CE66BC" w:rsidRPr="00CE66BC" w14:paraId="5AE07301" w14:textId="77777777" w:rsidTr="00CE66BC">
        <w:trPr>
          <w:trHeight w:val="283"/>
        </w:trPr>
        <w:tc>
          <w:tcPr>
            <w:tcW w:w="3347" w:type="dxa"/>
            <w:tcBorders>
              <w:top w:val="nil"/>
              <w:left w:val="single" w:sz="4" w:space="0" w:color="auto"/>
              <w:bottom w:val="single" w:sz="4" w:space="0" w:color="auto"/>
              <w:right w:val="single" w:sz="4" w:space="0" w:color="auto"/>
            </w:tcBorders>
            <w:noWrap/>
            <w:vAlign w:val="bottom"/>
            <w:hideMark/>
          </w:tcPr>
          <w:p w14:paraId="22D1E17E"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Australian Capital Territory</w:t>
            </w:r>
          </w:p>
        </w:tc>
        <w:tc>
          <w:tcPr>
            <w:tcW w:w="2173" w:type="dxa"/>
            <w:tcBorders>
              <w:top w:val="nil"/>
              <w:left w:val="nil"/>
              <w:bottom w:val="single" w:sz="4" w:space="0" w:color="auto"/>
              <w:right w:val="nil"/>
            </w:tcBorders>
            <w:noWrap/>
            <w:vAlign w:val="bottom"/>
            <w:hideMark/>
          </w:tcPr>
          <w:p w14:paraId="68C46760" w14:textId="77777777" w:rsidR="00CE66BC" w:rsidRPr="00CE66BC" w:rsidRDefault="00CE66BC" w:rsidP="00CE66BC">
            <w:pPr>
              <w:spacing w:after="0" w:line="240" w:lineRule="auto"/>
              <w:rPr>
                <w:rFonts w:eastAsia="Times New Roman" w:cs="Arial"/>
                <w:color w:val="000000"/>
                <w:sz w:val="16"/>
                <w:szCs w:val="16"/>
                <w:lang w:eastAsia="en-AU"/>
              </w:rPr>
            </w:pPr>
            <w:r w:rsidRPr="00CE66BC">
              <w:rPr>
                <w:rFonts w:eastAsia="Times New Roman" w:cs="Arial"/>
                <w:color w:val="000000"/>
                <w:sz w:val="16"/>
                <w:szCs w:val="16"/>
                <w:lang w:eastAsia="en-AU"/>
              </w:rPr>
              <w:t>Major City</w:t>
            </w:r>
          </w:p>
        </w:tc>
        <w:tc>
          <w:tcPr>
            <w:tcW w:w="1460" w:type="dxa"/>
            <w:tcBorders>
              <w:top w:val="nil"/>
              <w:left w:val="single" w:sz="4" w:space="0" w:color="auto"/>
              <w:bottom w:val="single" w:sz="4" w:space="0" w:color="auto"/>
              <w:right w:val="single" w:sz="4" w:space="0" w:color="auto"/>
            </w:tcBorders>
            <w:noWrap/>
            <w:vAlign w:val="bottom"/>
            <w:hideMark/>
          </w:tcPr>
          <w:p w14:paraId="51BECE74"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460" w:type="dxa"/>
            <w:tcBorders>
              <w:top w:val="nil"/>
              <w:left w:val="nil"/>
              <w:bottom w:val="single" w:sz="4" w:space="0" w:color="auto"/>
              <w:right w:val="single" w:sz="4" w:space="0" w:color="auto"/>
            </w:tcBorders>
            <w:noWrap/>
            <w:vAlign w:val="bottom"/>
            <w:hideMark/>
          </w:tcPr>
          <w:p w14:paraId="2003064B"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Strong</w:t>
            </w:r>
          </w:p>
        </w:tc>
        <w:tc>
          <w:tcPr>
            <w:tcW w:w="1160" w:type="dxa"/>
            <w:tcBorders>
              <w:top w:val="nil"/>
              <w:left w:val="nil"/>
              <w:bottom w:val="single" w:sz="4" w:space="0" w:color="auto"/>
              <w:right w:val="single" w:sz="4" w:space="0" w:color="auto"/>
            </w:tcBorders>
            <w:noWrap/>
            <w:vAlign w:val="bottom"/>
            <w:hideMark/>
          </w:tcPr>
          <w:p w14:paraId="2F153008" w14:textId="77777777" w:rsidR="00CE66BC" w:rsidRPr="00CE66BC" w:rsidRDefault="00CE66BC" w:rsidP="00CE66BC">
            <w:pPr>
              <w:spacing w:after="0" w:line="240" w:lineRule="auto"/>
              <w:jc w:val="center"/>
              <w:rPr>
                <w:rFonts w:eastAsia="Times New Roman" w:cs="Arial"/>
                <w:color w:val="000000"/>
                <w:sz w:val="16"/>
                <w:szCs w:val="16"/>
                <w:lang w:eastAsia="en-AU"/>
              </w:rPr>
            </w:pPr>
            <w:r w:rsidRPr="00CE66BC">
              <w:rPr>
                <w:rFonts w:eastAsia="Times New Roman" w:cs="Arial"/>
                <w:color w:val="000000"/>
                <w:sz w:val="16"/>
                <w:szCs w:val="16"/>
                <w:lang w:eastAsia="en-AU"/>
              </w:rPr>
              <w:t>Stable</w:t>
            </w:r>
          </w:p>
        </w:tc>
      </w:tr>
    </w:tbl>
    <w:p w14:paraId="07BF7453" w14:textId="1596F993" w:rsidR="00076490" w:rsidRPr="005B548E" w:rsidRDefault="00076490" w:rsidP="005B548E">
      <w:pPr>
        <w:rPr>
          <w:i/>
          <w:iCs/>
          <w:sz w:val="18"/>
          <w:szCs w:val="18"/>
        </w:rPr>
      </w:pPr>
      <w:r w:rsidRPr="005B548E">
        <w:rPr>
          <w:i/>
          <w:iCs/>
          <w:sz w:val="18"/>
          <w:szCs w:val="18"/>
        </w:rPr>
        <w:t xml:space="preserve">Source: JSA, Regional Labour Market Indicator (RLMI), </w:t>
      </w:r>
      <w:r w:rsidR="00CE66BC">
        <w:rPr>
          <w:i/>
          <w:iCs/>
          <w:sz w:val="18"/>
          <w:szCs w:val="18"/>
        </w:rPr>
        <w:t>September</w:t>
      </w:r>
      <w:r w:rsidRPr="005B548E">
        <w:rPr>
          <w:i/>
          <w:iCs/>
          <w:sz w:val="18"/>
          <w:szCs w:val="18"/>
        </w:rPr>
        <w:t xml:space="preserve"> 2025</w:t>
      </w:r>
    </w:p>
    <w:p w14:paraId="0AE77DF3" w14:textId="77777777" w:rsidR="00436200" w:rsidRDefault="00436200" w:rsidP="00FF2A2C"/>
    <w:p w14:paraId="24DE3183" w14:textId="77777777" w:rsidR="007D069F" w:rsidRDefault="007D069F" w:rsidP="00FF2A2C"/>
    <w:p w14:paraId="504C9DFB" w14:textId="77777777" w:rsidR="007D069F" w:rsidRDefault="007D069F" w:rsidP="00FF2A2C"/>
    <w:p w14:paraId="3C08963A" w14:textId="77777777" w:rsidR="007D069F" w:rsidRDefault="007D069F" w:rsidP="00FF2A2C"/>
    <w:p w14:paraId="0850E071" w14:textId="77777777" w:rsidR="007D069F" w:rsidRDefault="007D069F" w:rsidP="00FF2A2C"/>
    <w:p w14:paraId="0573EB2E" w14:textId="65A940CB" w:rsidR="00C14AB0" w:rsidRDefault="00C15510" w:rsidP="003539A0">
      <w:pPr>
        <w:pStyle w:val="Heading2"/>
        <w:keepNext w:val="0"/>
        <w:keepLines w:val="0"/>
      </w:pPr>
      <w:r>
        <w:t>R</w:t>
      </w:r>
      <w:r w:rsidR="00C877C1">
        <w:t xml:space="preserve">LMI </w:t>
      </w:r>
      <w:r w:rsidR="00C14AB0">
        <w:t>Explanatory Notes</w:t>
      </w:r>
    </w:p>
    <w:p w14:paraId="02D2FA36" w14:textId="4EEF30EE" w:rsidR="00C877C1" w:rsidRPr="00A070B7" w:rsidRDefault="004302C6" w:rsidP="00C877C1">
      <w:pPr>
        <w:pStyle w:val="Heading3"/>
      </w:pPr>
      <w:r>
        <w:t>Overview</w:t>
      </w:r>
    </w:p>
    <w:p w14:paraId="0D9D5288" w14:textId="77777777" w:rsidR="005D78A7" w:rsidRDefault="004302C6" w:rsidP="00D56322">
      <w:pPr>
        <w:pStyle w:val="Bodycopy"/>
      </w:pPr>
      <w:r>
        <w:t xml:space="preserve">The </w:t>
      </w:r>
      <w:r w:rsidR="00C877C1" w:rsidRPr="00C877C1">
        <w:t>Regional Labour Market Indicator (RLMI) combines key indicators of spare labour market capacity, from both an employee and employer perspective, into a single, and easy to interpret, summary measure</w:t>
      </w:r>
      <w:r w:rsidR="00A95CBF">
        <w:t xml:space="preserve">. </w:t>
      </w:r>
    </w:p>
    <w:p w14:paraId="65317624" w14:textId="77777777" w:rsidR="005D78A7" w:rsidRDefault="00A95CBF" w:rsidP="00D56322">
      <w:pPr>
        <w:pStyle w:val="Bodycopy"/>
      </w:pPr>
      <w:r>
        <w:t>R</w:t>
      </w:r>
      <w:r w:rsidR="00C877C1" w:rsidRPr="00C877C1">
        <w:t xml:space="preserve">egions </w:t>
      </w:r>
      <w:r>
        <w:t xml:space="preserve">are </w:t>
      </w:r>
      <w:r w:rsidR="00C877C1" w:rsidRPr="00C877C1">
        <w:t>grouped into distinct categories of overall labour market performance, ranging from ‘poor’ to ‘strong’</w:t>
      </w:r>
      <w:r>
        <w:t>,</w:t>
      </w:r>
      <w:r w:rsidR="00C877C1" w:rsidRPr="00C877C1">
        <w:t xml:space="preserve"> which provides an accurate and reliable view of labour market performance</w:t>
      </w:r>
      <w:r w:rsidR="00BE1900">
        <w:t>, relative to the national average</w:t>
      </w:r>
      <w:r w:rsidR="00C877C1" w:rsidRPr="00C877C1">
        <w:t xml:space="preserve">. </w:t>
      </w:r>
    </w:p>
    <w:p w14:paraId="10B94B6C" w14:textId="6773EBFF" w:rsidR="00C877C1" w:rsidRPr="00C877C1" w:rsidRDefault="00C877C1" w:rsidP="00D56322">
      <w:pPr>
        <w:pStyle w:val="Bodycopy"/>
      </w:pPr>
      <w:r w:rsidRPr="00C877C1">
        <w:t>A strong labour market, that is characterised by a high rate of employment, where employment opportunities are extended to all who want them, is central to a strong economy and prosperous and inclusive society.</w:t>
      </w:r>
    </w:p>
    <w:p w14:paraId="65C636F2" w14:textId="4A9153D1" w:rsidR="00C877C1" w:rsidRPr="00C877C1" w:rsidRDefault="00762464" w:rsidP="00C877C1">
      <w:pPr>
        <w:keepNext/>
        <w:keepLines/>
        <w:spacing w:before="120" w:after="120" w:line="23" w:lineRule="atLeast"/>
        <w:outlineLvl w:val="2"/>
        <w:rPr>
          <w:rFonts w:eastAsia="Times New Roman" w:cs="Times New Roman"/>
          <w:b/>
          <w:color w:val="4B0885"/>
          <w:sz w:val="26"/>
          <w:szCs w:val="24"/>
        </w:rPr>
      </w:pPr>
      <w:r>
        <w:rPr>
          <w:rFonts w:eastAsia="Times New Roman" w:cs="Times New Roman"/>
          <w:b/>
          <w:color w:val="4B0885"/>
          <w:sz w:val="26"/>
          <w:szCs w:val="24"/>
        </w:rPr>
        <w:t>Factors used to assess labour market performance</w:t>
      </w:r>
    </w:p>
    <w:p w14:paraId="25CB117E" w14:textId="184F581E" w:rsidR="00C877C1" w:rsidRPr="00C877C1" w:rsidRDefault="00C877C1" w:rsidP="00D56322">
      <w:pPr>
        <w:pStyle w:val="Bodycopy"/>
      </w:pPr>
      <w:r w:rsidRPr="00C877C1">
        <w:t xml:space="preserve">The </w:t>
      </w:r>
      <w:r w:rsidRPr="00C877C1">
        <w:rPr>
          <w:b/>
          <w:bCs/>
        </w:rPr>
        <w:t>working age (15-64 years) employment rate</w:t>
      </w:r>
      <w:r w:rsidR="005863D9" w:rsidRPr="00D02BA0">
        <w:rPr>
          <w:rStyle w:val="FootnoteReference"/>
          <w:rFonts w:asciiTheme="majorHAnsi" w:hAnsiTheme="majorHAnsi" w:cstheme="majorHAnsi"/>
        </w:rPr>
        <w:footnoteReference w:id="7"/>
      </w:r>
      <w:r w:rsidRPr="00C877C1">
        <w:t xml:space="preserve"> is one of the </w:t>
      </w:r>
      <w:proofErr w:type="gramStart"/>
      <w:r w:rsidRPr="00C877C1">
        <w:t>most commonly used</w:t>
      </w:r>
      <w:proofErr w:type="gramEnd"/>
      <w:r w:rsidRPr="00C877C1">
        <w:t xml:space="preserve"> indicators for understanding conditions in the labour market and is a key measure of </w:t>
      </w:r>
      <w:r w:rsidR="00876508">
        <w:t>performance</w:t>
      </w:r>
      <w:r w:rsidRPr="00C877C1">
        <w:t xml:space="preserve">. It provides an insight into the extent to which available labour (some individual’s personal circumstances may prevent them from participating in the labour market) is being used and is unaffected by voluntary changes in labour force participation. </w:t>
      </w:r>
    </w:p>
    <w:p w14:paraId="7A6AD5E1" w14:textId="4A9C2C99" w:rsidR="00C877C1" w:rsidRPr="00C877C1" w:rsidRDefault="00C877C1" w:rsidP="00D56322">
      <w:pPr>
        <w:pStyle w:val="Bodycopy"/>
      </w:pPr>
      <w:r w:rsidRPr="0069561E">
        <w:t xml:space="preserve">Along with the employment rate, the </w:t>
      </w:r>
      <w:r w:rsidRPr="0069561E">
        <w:rPr>
          <w:b/>
          <w:bCs/>
        </w:rPr>
        <w:t>unemployment rate</w:t>
      </w:r>
      <w:r w:rsidRPr="0069561E">
        <w:t xml:space="preserve"> is one of the </w:t>
      </w:r>
      <w:proofErr w:type="gramStart"/>
      <w:r w:rsidRPr="0069561E">
        <w:t>most commonly used</w:t>
      </w:r>
      <w:proofErr w:type="gramEnd"/>
      <w:r w:rsidRPr="0069561E">
        <w:t xml:space="preserve"> indicators for understanding conditions in the labour market and is a key measure of spare capacity. It provides insights into the availability of unused labour that is willing and available for work.</w:t>
      </w:r>
      <w:r w:rsidRPr="00C877C1">
        <w:t xml:space="preserve"> </w:t>
      </w:r>
    </w:p>
    <w:p w14:paraId="6F9C0109" w14:textId="77777777" w:rsidR="00C877C1" w:rsidRPr="00C877C1" w:rsidRDefault="00C877C1" w:rsidP="00D56322">
      <w:pPr>
        <w:pStyle w:val="Bodycopy"/>
      </w:pPr>
      <w:r w:rsidRPr="00C877C1">
        <w:t xml:space="preserve">The </w:t>
      </w:r>
      <w:r w:rsidRPr="00C877C1">
        <w:rPr>
          <w:b/>
          <w:bCs/>
        </w:rPr>
        <w:t>JobSeeker income support rate</w:t>
      </w:r>
      <w:r w:rsidRPr="00C877C1">
        <w:t xml:space="preserve"> is a reliable measure of spare capacity in the labour market and is an important complement to other measures of spare capacity. It is a combination of the JobSeeker payment and Youth Allowance (other) payment, measured as a proportion of the working age population. These payments are designed to provide financial assistance to support those looking for working, including those who may be working part-time. </w:t>
      </w:r>
    </w:p>
    <w:p w14:paraId="4EE0B07A" w14:textId="0FEC7B20" w:rsidR="00C877C1" w:rsidRPr="00C877C1" w:rsidRDefault="00C877C1" w:rsidP="00D56322">
      <w:pPr>
        <w:pStyle w:val="Bodycopy"/>
      </w:pPr>
      <w:r w:rsidRPr="00C877C1">
        <w:t xml:space="preserve">The </w:t>
      </w:r>
      <w:r w:rsidRPr="00C877C1">
        <w:rPr>
          <w:b/>
          <w:bCs/>
        </w:rPr>
        <w:t>underemployment rate</w:t>
      </w:r>
      <w:r w:rsidR="00E238C2" w:rsidRPr="00D02BA0">
        <w:rPr>
          <w:rStyle w:val="FootnoteReference"/>
          <w:rFonts w:asciiTheme="majorHAnsi" w:hAnsiTheme="majorHAnsi" w:cstheme="majorHAnsi"/>
        </w:rPr>
        <w:footnoteReference w:id="8"/>
      </w:r>
      <w:r w:rsidRPr="00C877C1">
        <w:t xml:space="preserve"> takes a broad view of underutilisation by measuring the share of the labour force that is </w:t>
      </w:r>
      <w:proofErr w:type="gramStart"/>
      <w:r w:rsidRPr="00C877C1">
        <w:t>employed, but</w:t>
      </w:r>
      <w:proofErr w:type="gramEnd"/>
      <w:r w:rsidRPr="00C877C1">
        <w:t xml:space="preserve"> not fully utilised in terms of the amount of work people would like. It is an important complement to the unemployment rate in assessing how much spare capacity could be called upon in adapting to labour market strength and weakness. </w:t>
      </w:r>
    </w:p>
    <w:p w14:paraId="1CDF1C0D" w14:textId="0C058676" w:rsidR="00C877C1" w:rsidRPr="00C877C1" w:rsidRDefault="00C877C1" w:rsidP="00D56322">
      <w:pPr>
        <w:pStyle w:val="Bodycopy"/>
      </w:pPr>
      <w:r w:rsidRPr="00C877C1">
        <w:t xml:space="preserve">The </w:t>
      </w:r>
      <w:r w:rsidRPr="00C877C1">
        <w:rPr>
          <w:b/>
          <w:bCs/>
        </w:rPr>
        <w:t>vacancy fill rate</w:t>
      </w:r>
      <w:r w:rsidR="00CE66BC">
        <w:rPr>
          <w:vertAlign w:val="superscript"/>
        </w:rPr>
        <w:t>5</w:t>
      </w:r>
      <w:r w:rsidR="00FA6595">
        <w:rPr>
          <w:b/>
          <w:bCs/>
        </w:rPr>
        <w:t xml:space="preserve"> </w:t>
      </w:r>
      <w:r w:rsidRPr="00C877C1">
        <w:t>is a key measure of unmet demand for labour. A low fill rate indicates that the demand for labour is not matched by the supply of labour from workers. This may be due to a lack of suitable applicants or high search costs that reduce labour market matching efficiency. Poorer-performing regions experience more difficulty filling vacant positions, despite having a higher availability of unused labour willing and available to work.</w:t>
      </w:r>
    </w:p>
    <w:p w14:paraId="0009F843" w14:textId="3E56B6C9" w:rsidR="00E531E7" w:rsidRPr="00A070B7" w:rsidRDefault="00E531E7" w:rsidP="00E531E7">
      <w:pPr>
        <w:pStyle w:val="Heading3"/>
      </w:pPr>
      <w:r>
        <w:lastRenderedPageBreak/>
        <w:t>Methodology</w:t>
      </w:r>
    </w:p>
    <w:p w14:paraId="58B70364" w14:textId="40171269" w:rsidR="00E531E7" w:rsidRPr="00D56322" w:rsidRDefault="00E531E7" w:rsidP="00D56322">
      <w:pPr>
        <w:pStyle w:val="Bodycopy"/>
      </w:pPr>
      <w:r w:rsidRPr="00D56322">
        <w:t xml:space="preserve">Please refer to the </w:t>
      </w:r>
      <w:hyperlink r:id="rId21" w:anchor="methodology" w:history="1">
        <w:r w:rsidRPr="00D56322">
          <w:rPr>
            <w:rStyle w:val="Hyperlink"/>
          </w:rPr>
          <w:t>RLMI Methodology Paper</w:t>
        </w:r>
      </w:hyperlink>
      <w:r w:rsidRPr="00D56322">
        <w:t xml:space="preserve"> for more information on the RLMI, including its purpose and factor selection. </w:t>
      </w:r>
    </w:p>
    <w:p w14:paraId="72662E0D" w14:textId="72C05CDA" w:rsidR="00550453" w:rsidRPr="00A070B7" w:rsidRDefault="00550453" w:rsidP="00550453">
      <w:pPr>
        <w:pStyle w:val="Heading3"/>
      </w:pPr>
      <w:r>
        <w:t>Referencing this report</w:t>
      </w:r>
    </w:p>
    <w:p w14:paraId="3199359A" w14:textId="264F0E93" w:rsidR="00C14AB0" w:rsidRPr="00550453" w:rsidRDefault="00550453" w:rsidP="00D56322">
      <w:pPr>
        <w:pStyle w:val="Bodycopy"/>
        <w:rPr>
          <w:i/>
          <w:iCs/>
        </w:rPr>
      </w:pPr>
      <w:r>
        <w:t xml:space="preserve">Data in this release should be referenced as: </w:t>
      </w:r>
      <w:r w:rsidRPr="00D56322">
        <w:t>Jobs and Skills Australia, RLMI</w:t>
      </w:r>
      <w:r w:rsidR="00160B42" w:rsidRPr="00D56322">
        <w:t>,</w:t>
      </w:r>
      <w:r w:rsidRPr="00D56322">
        <w:t xml:space="preserve"> </w:t>
      </w:r>
      <w:r w:rsidR="00CE66BC">
        <w:t>September</w:t>
      </w:r>
      <w:r w:rsidR="005D78A7">
        <w:t xml:space="preserve"> 2025</w:t>
      </w:r>
    </w:p>
    <w:p w14:paraId="4372BC12" w14:textId="571A943F" w:rsidR="003C484A" w:rsidRPr="00A070B7" w:rsidRDefault="003C484A" w:rsidP="003C484A">
      <w:pPr>
        <w:pStyle w:val="Heading3"/>
      </w:pPr>
      <w:r>
        <w:t>Contact us</w:t>
      </w:r>
    </w:p>
    <w:p w14:paraId="5F62B650" w14:textId="10E04359" w:rsidR="0060697E" w:rsidRPr="004302C6" w:rsidRDefault="003C484A" w:rsidP="00D56322">
      <w:pPr>
        <w:pStyle w:val="Bodycopy"/>
        <w:rPr>
          <w:color w:val="013D74" w:themeColor="hyperlink"/>
          <w:u w:val="single"/>
        </w:rPr>
      </w:pPr>
      <w:r>
        <w:t xml:space="preserve">For additional information, email </w:t>
      </w:r>
      <w:hyperlink r:id="rId22" w:history="1">
        <w:r w:rsidRPr="003C5B58">
          <w:rPr>
            <w:rStyle w:val="Hyperlink"/>
          </w:rPr>
          <w:t>RegionalWorkforceAssessment@jobsandskills.gov.au</w:t>
        </w:r>
      </w:hyperlink>
      <w:bookmarkEnd w:id="1"/>
      <w:bookmarkEnd w:id="2"/>
    </w:p>
    <w:sectPr w:rsidR="0060697E" w:rsidRPr="004302C6" w:rsidSect="00BC1B66">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C91D" w14:textId="77777777" w:rsidR="00B0767A" w:rsidRDefault="00B0767A" w:rsidP="008C0056">
      <w:r>
        <w:separator/>
      </w:r>
    </w:p>
  </w:endnote>
  <w:endnote w:type="continuationSeparator" w:id="0">
    <w:p w14:paraId="6F48B53C" w14:textId="77777777" w:rsidR="00B0767A" w:rsidRDefault="00B0767A" w:rsidP="008C0056">
      <w:r>
        <w:continuationSeparator/>
      </w:r>
    </w:p>
  </w:endnote>
  <w:endnote w:type="continuationNotice" w:id="1">
    <w:p w14:paraId="4CD187A1" w14:textId="77777777" w:rsidR="00B0767A" w:rsidRDefault="00B0767A"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37DB1EBD"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1954A5">
              <w:t>RLMI Results – September 2025</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16189DD5" w:rsidR="00B30EAB" w:rsidRDefault="00B30EAB" w:rsidP="00B30EAB">
        <w:pPr>
          <w:pStyle w:val="Footer"/>
          <w:tabs>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1954A5">
              <w:t>RLMI Results – September 2025</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9A8C" w14:textId="77777777" w:rsidR="00B0767A" w:rsidRDefault="00B0767A" w:rsidP="008C0056">
      <w:r>
        <w:separator/>
      </w:r>
    </w:p>
  </w:footnote>
  <w:footnote w:type="continuationSeparator" w:id="0">
    <w:p w14:paraId="3C726226" w14:textId="77777777" w:rsidR="00B0767A" w:rsidRDefault="00B0767A" w:rsidP="008C0056">
      <w:r>
        <w:continuationSeparator/>
      </w:r>
    </w:p>
  </w:footnote>
  <w:footnote w:type="continuationNotice" w:id="1">
    <w:p w14:paraId="366B0B19" w14:textId="77777777" w:rsidR="00B0767A" w:rsidRDefault="00B0767A" w:rsidP="008C0056"/>
  </w:footnote>
  <w:footnote w:id="2">
    <w:p w14:paraId="6CAB0624" w14:textId="77777777" w:rsidR="007C0C94" w:rsidRPr="00D02BA0" w:rsidRDefault="007C0C94" w:rsidP="007C0C94">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June 2025 (latest available data). </w:t>
      </w:r>
    </w:p>
  </w:footnote>
  <w:footnote w:id="3">
    <w:p w14:paraId="61887520" w14:textId="77777777" w:rsidR="00852D25" w:rsidRPr="00D02BA0" w:rsidRDefault="00852D25" w:rsidP="00852D25">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Pr="009D236A">
        <w:rPr>
          <w:rFonts w:asciiTheme="majorHAnsi" w:hAnsiTheme="majorHAnsi" w:cstheme="majorHAnsi"/>
          <w:sz w:val="18"/>
          <w:szCs w:val="18"/>
        </w:rPr>
        <w:t>Artificial intelligence that creates new content—such as text, images, or code—based on patterns learned from large datasets, enabling tasks that mimic human creativity and reasoning.</w:t>
      </w:r>
    </w:p>
  </w:footnote>
  <w:footnote w:id="4">
    <w:p w14:paraId="52C191D9" w14:textId="77777777" w:rsidR="00852D25" w:rsidRPr="00D02BA0" w:rsidRDefault="00852D25" w:rsidP="00852D25">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Pr="006A1843">
        <w:rPr>
          <w:rFonts w:asciiTheme="majorHAnsi" w:hAnsiTheme="majorHAnsi" w:cstheme="majorHAnsi"/>
          <w:b/>
          <w:bCs/>
          <w:sz w:val="18"/>
          <w:szCs w:val="18"/>
        </w:rPr>
        <w:t>Automation</w:t>
      </w:r>
      <w:r>
        <w:rPr>
          <w:rFonts w:asciiTheme="majorHAnsi" w:hAnsiTheme="majorHAnsi" w:cstheme="majorHAnsi"/>
          <w:sz w:val="18"/>
          <w:szCs w:val="18"/>
        </w:rPr>
        <w:t xml:space="preserve"> occurs w</w:t>
      </w:r>
      <w:r w:rsidRPr="006A1843">
        <w:rPr>
          <w:rFonts w:asciiTheme="majorHAnsi" w:hAnsiTheme="majorHAnsi" w:cstheme="majorHAnsi"/>
          <w:sz w:val="18"/>
          <w:szCs w:val="18"/>
        </w:rPr>
        <w:t>hen artificial intelligence fully takes over a task previously performed by humans, eliminating the need for human involvement. In the context of generative AI, automation risk is relatively low and typically applies to routine, repetitive tasks.</w:t>
      </w:r>
      <w:r>
        <w:rPr>
          <w:rFonts w:asciiTheme="majorHAnsi" w:hAnsiTheme="majorHAnsi" w:cstheme="majorHAnsi"/>
          <w:sz w:val="18"/>
          <w:szCs w:val="18"/>
        </w:rPr>
        <w:t xml:space="preserve"> </w:t>
      </w:r>
    </w:p>
  </w:footnote>
  <w:footnote w:id="5">
    <w:p w14:paraId="1C2032EE" w14:textId="77777777" w:rsidR="00852D25" w:rsidRPr="00D02BA0" w:rsidRDefault="00852D25" w:rsidP="00852D25">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Pr="006A1843">
        <w:rPr>
          <w:rFonts w:asciiTheme="majorHAnsi" w:hAnsiTheme="majorHAnsi" w:cstheme="majorHAnsi"/>
          <w:b/>
          <w:bCs/>
          <w:sz w:val="18"/>
          <w:szCs w:val="18"/>
        </w:rPr>
        <w:t>Augmentation</w:t>
      </w:r>
      <w:r>
        <w:rPr>
          <w:rFonts w:asciiTheme="majorHAnsi" w:hAnsiTheme="majorHAnsi" w:cstheme="majorHAnsi"/>
          <w:sz w:val="18"/>
          <w:szCs w:val="18"/>
        </w:rPr>
        <w:t xml:space="preserve"> occurs w</w:t>
      </w:r>
      <w:r w:rsidRPr="006A1843">
        <w:rPr>
          <w:rFonts w:asciiTheme="majorHAnsi" w:hAnsiTheme="majorHAnsi" w:cstheme="majorHAnsi"/>
          <w:sz w:val="18"/>
          <w:szCs w:val="18"/>
        </w:rPr>
        <w:t>hen artificial intelligence enhances or supports human work rather than replacing it—improving productivity, creativity, and decision-making while keeping humans in the loop. Most jobs are expected to be augmented rather than automated.</w:t>
      </w:r>
    </w:p>
  </w:footnote>
  <w:footnote w:id="6">
    <w:p w14:paraId="6611D265" w14:textId="77777777" w:rsidR="00852D25" w:rsidRPr="00D02BA0" w:rsidRDefault="00852D25" w:rsidP="00852D25">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Pr="008F134F">
        <w:rPr>
          <w:rFonts w:asciiTheme="majorHAnsi" w:hAnsiTheme="majorHAnsi" w:cstheme="majorHAnsi"/>
          <w:sz w:val="18"/>
          <w:szCs w:val="18"/>
        </w:rPr>
        <w:t>See Appendix A for AI Exposure (weighted occupations) by SA4</w:t>
      </w:r>
      <w:r>
        <w:rPr>
          <w:rFonts w:asciiTheme="majorHAnsi" w:hAnsiTheme="majorHAnsi" w:cstheme="majorHAnsi"/>
          <w:sz w:val="18"/>
          <w:szCs w:val="18"/>
        </w:rPr>
        <w:t>.</w:t>
      </w:r>
    </w:p>
  </w:footnote>
  <w:footnote w:id="7">
    <w:p w14:paraId="36F43816" w14:textId="41EEF299" w:rsidR="005863D9" w:rsidRPr="00D02BA0" w:rsidRDefault="005863D9" w:rsidP="005863D9">
      <w:pPr>
        <w:pStyle w:val="FootnoteText"/>
        <w:rPr>
          <w:rFonts w:asciiTheme="majorHAnsi" w:hAnsiTheme="majorHAnsi" w:cstheme="majorHAnsi"/>
          <w:sz w:val="18"/>
          <w:szCs w:val="18"/>
        </w:rPr>
      </w:pPr>
    </w:p>
  </w:footnote>
  <w:footnote w:id="8">
    <w:p w14:paraId="7E3C3A63" w14:textId="4F8E4723" w:rsidR="00E238C2" w:rsidRPr="00D02BA0" w:rsidRDefault="00E238C2" w:rsidP="00E238C2">
      <w:pPr>
        <w:pStyle w:val="FootnoteText"/>
        <w:rPr>
          <w:rFonts w:asciiTheme="majorHAnsi" w:hAnsiTheme="majorHAnsi" w:cstheme="majorHAnsi"/>
          <w:sz w:val="18"/>
          <w:szCs w:val="18"/>
        </w:rPr>
      </w:pPr>
      <w:r w:rsidRPr="00D02BA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00FA6595">
        <w:rPr>
          <w:rFonts w:asciiTheme="majorHAnsi" w:hAnsiTheme="majorHAnsi" w:cstheme="majorHAnsi"/>
          <w:sz w:val="18"/>
          <w:szCs w:val="18"/>
        </w:rPr>
        <w:t>Measured at the Greater Capital City Statistical Area (GCCSA) level</w:t>
      </w:r>
      <w:r w:rsidR="00620535">
        <w:rPr>
          <w:rFonts w:asciiTheme="majorHAnsi" w:hAnsiTheme="majorHAnsi" w:cstheme="majorHAnsi"/>
          <w:sz w:val="18"/>
          <w:szCs w:val="18"/>
        </w:rPr>
        <w:t xml:space="preserve"> due to data quality issues with this factor at the SA4 level</w:t>
      </w:r>
      <w:r w:rsidR="00FA6595">
        <w:rPr>
          <w:rFonts w:asciiTheme="majorHAnsi" w:hAnsiTheme="majorHAnsi" w:cstheme="maj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764AD"/>
    <w:multiLevelType w:val="hybridMultilevel"/>
    <w:tmpl w:val="F922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0B452B"/>
    <w:multiLevelType w:val="hybridMultilevel"/>
    <w:tmpl w:val="6A2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094AC5"/>
    <w:multiLevelType w:val="hybridMultilevel"/>
    <w:tmpl w:val="7BA29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1DF4586B"/>
    <w:multiLevelType w:val="hybridMultilevel"/>
    <w:tmpl w:val="9ADC4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2028CD"/>
    <w:multiLevelType w:val="hybridMultilevel"/>
    <w:tmpl w:val="D276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62DED"/>
    <w:multiLevelType w:val="hybridMultilevel"/>
    <w:tmpl w:val="4CDE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DE2BF5"/>
    <w:multiLevelType w:val="hybridMultilevel"/>
    <w:tmpl w:val="FF6E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C5ED4"/>
    <w:multiLevelType w:val="hybridMultilevel"/>
    <w:tmpl w:val="0530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E737CE"/>
    <w:multiLevelType w:val="hybridMultilevel"/>
    <w:tmpl w:val="2816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812426"/>
    <w:multiLevelType w:val="hybridMultilevel"/>
    <w:tmpl w:val="EF345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5A2F9A"/>
    <w:multiLevelType w:val="hybridMultilevel"/>
    <w:tmpl w:val="A06E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73D01"/>
    <w:multiLevelType w:val="hybridMultilevel"/>
    <w:tmpl w:val="219E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84A8F"/>
    <w:multiLevelType w:val="hybridMultilevel"/>
    <w:tmpl w:val="2D1AB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A45E07"/>
    <w:multiLevelType w:val="hybridMultilevel"/>
    <w:tmpl w:val="115E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C04E14"/>
    <w:multiLevelType w:val="hybridMultilevel"/>
    <w:tmpl w:val="11A8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D418D5"/>
    <w:multiLevelType w:val="hybridMultilevel"/>
    <w:tmpl w:val="5AA86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8E45A6"/>
    <w:multiLevelType w:val="hybridMultilevel"/>
    <w:tmpl w:val="62B42F6A"/>
    <w:lvl w:ilvl="0" w:tplc="5EE286E0">
      <w:start w:val="1"/>
      <w:numFmt w:val="decimal"/>
      <w:lvlText w:val="%1."/>
      <w:lvlJc w:val="left"/>
      <w:pPr>
        <w:ind w:left="1320" w:hanging="360"/>
      </w:pPr>
    </w:lvl>
    <w:lvl w:ilvl="1" w:tplc="D00E418C">
      <w:start w:val="1"/>
      <w:numFmt w:val="decimal"/>
      <w:lvlText w:val="%2."/>
      <w:lvlJc w:val="left"/>
      <w:pPr>
        <w:ind w:left="1320" w:hanging="360"/>
      </w:pPr>
    </w:lvl>
    <w:lvl w:ilvl="2" w:tplc="17A4752C">
      <w:start w:val="1"/>
      <w:numFmt w:val="decimal"/>
      <w:lvlText w:val="%3."/>
      <w:lvlJc w:val="left"/>
      <w:pPr>
        <w:ind w:left="1320" w:hanging="360"/>
      </w:pPr>
    </w:lvl>
    <w:lvl w:ilvl="3" w:tplc="BD92259C">
      <w:start w:val="1"/>
      <w:numFmt w:val="decimal"/>
      <w:lvlText w:val="%4."/>
      <w:lvlJc w:val="left"/>
      <w:pPr>
        <w:ind w:left="1320" w:hanging="360"/>
      </w:pPr>
    </w:lvl>
    <w:lvl w:ilvl="4" w:tplc="32507476">
      <w:start w:val="1"/>
      <w:numFmt w:val="decimal"/>
      <w:lvlText w:val="%5."/>
      <w:lvlJc w:val="left"/>
      <w:pPr>
        <w:ind w:left="1320" w:hanging="360"/>
      </w:pPr>
    </w:lvl>
    <w:lvl w:ilvl="5" w:tplc="5914B214">
      <w:start w:val="1"/>
      <w:numFmt w:val="decimal"/>
      <w:lvlText w:val="%6."/>
      <w:lvlJc w:val="left"/>
      <w:pPr>
        <w:ind w:left="1320" w:hanging="360"/>
      </w:pPr>
    </w:lvl>
    <w:lvl w:ilvl="6" w:tplc="34CA9F50">
      <w:start w:val="1"/>
      <w:numFmt w:val="decimal"/>
      <w:lvlText w:val="%7."/>
      <w:lvlJc w:val="left"/>
      <w:pPr>
        <w:ind w:left="1320" w:hanging="360"/>
      </w:pPr>
    </w:lvl>
    <w:lvl w:ilvl="7" w:tplc="2796EE54">
      <w:start w:val="1"/>
      <w:numFmt w:val="decimal"/>
      <w:lvlText w:val="%8."/>
      <w:lvlJc w:val="left"/>
      <w:pPr>
        <w:ind w:left="1320" w:hanging="360"/>
      </w:pPr>
    </w:lvl>
    <w:lvl w:ilvl="8" w:tplc="CC50BEAA">
      <w:start w:val="1"/>
      <w:numFmt w:val="decimal"/>
      <w:lvlText w:val="%9."/>
      <w:lvlJc w:val="left"/>
      <w:pPr>
        <w:ind w:left="1320" w:hanging="360"/>
      </w:pPr>
    </w:lvl>
  </w:abstractNum>
  <w:abstractNum w:abstractNumId="31" w15:restartNumberingAfterBreak="0">
    <w:nsid w:val="77FF34B9"/>
    <w:multiLevelType w:val="hybridMultilevel"/>
    <w:tmpl w:val="988A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174D01"/>
    <w:multiLevelType w:val="hybridMultilevel"/>
    <w:tmpl w:val="EF5C5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6C59AE"/>
    <w:multiLevelType w:val="hybridMultilevel"/>
    <w:tmpl w:val="86FE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AF16D9"/>
    <w:multiLevelType w:val="hybridMultilevel"/>
    <w:tmpl w:val="599C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34"/>
  </w:num>
  <w:num w:numId="2" w16cid:durableId="1668050683">
    <w:abstractNumId w:val="17"/>
  </w:num>
  <w:num w:numId="3" w16cid:durableId="1683042470">
    <w:abstractNumId w:val="6"/>
  </w:num>
  <w:num w:numId="4" w16cid:durableId="133523604">
    <w:abstractNumId w:val="26"/>
  </w:num>
  <w:num w:numId="5" w16cid:durableId="1994024302">
    <w:abstractNumId w:val="28"/>
  </w:num>
  <w:num w:numId="6" w16cid:durableId="1358852113">
    <w:abstractNumId w:val="16"/>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3"/>
  </w:num>
  <w:num w:numId="15" w16cid:durableId="406730085">
    <w:abstractNumId w:val="9"/>
  </w:num>
  <w:num w:numId="16" w16cid:durableId="1294024271">
    <w:abstractNumId w:val="12"/>
  </w:num>
  <w:num w:numId="17" w16cid:durableId="1171214774">
    <w:abstractNumId w:val="33"/>
  </w:num>
  <w:num w:numId="18" w16cid:durableId="1768621288">
    <w:abstractNumId w:val="24"/>
  </w:num>
  <w:num w:numId="19" w16cid:durableId="328022315">
    <w:abstractNumId w:val="25"/>
  </w:num>
  <w:num w:numId="20" w16cid:durableId="1320310342">
    <w:abstractNumId w:val="31"/>
  </w:num>
  <w:num w:numId="21" w16cid:durableId="197200729">
    <w:abstractNumId w:val="35"/>
  </w:num>
  <w:num w:numId="22" w16cid:durableId="1971665784">
    <w:abstractNumId w:val="14"/>
  </w:num>
  <w:num w:numId="23" w16cid:durableId="1031422524">
    <w:abstractNumId w:val="20"/>
  </w:num>
  <w:num w:numId="24" w16cid:durableId="536358639">
    <w:abstractNumId w:val="19"/>
  </w:num>
  <w:num w:numId="25" w16cid:durableId="121922272">
    <w:abstractNumId w:val="32"/>
  </w:num>
  <w:num w:numId="26" w16cid:durableId="101149934">
    <w:abstractNumId w:val="18"/>
  </w:num>
  <w:num w:numId="27" w16cid:durableId="1570656848">
    <w:abstractNumId w:val="8"/>
  </w:num>
  <w:num w:numId="28" w16cid:durableId="481897671">
    <w:abstractNumId w:val="7"/>
  </w:num>
  <w:num w:numId="29" w16cid:durableId="582878536">
    <w:abstractNumId w:val="21"/>
  </w:num>
  <w:num w:numId="30" w16cid:durableId="303118831">
    <w:abstractNumId w:val="30"/>
  </w:num>
  <w:num w:numId="31" w16cid:durableId="465902375">
    <w:abstractNumId w:val="22"/>
  </w:num>
  <w:num w:numId="32" w16cid:durableId="1962375368">
    <w:abstractNumId w:val="27"/>
  </w:num>
  <w:num w:numId="33" w16cid:durableId="920649946">
    <w:abstractNumId w:val="23"/>
  </w:num>
  <w:num w:numId="34" w16cid:durableId="1693191146">
    <w:abstractNumId w:val="15"/>
  </w:num>
  <w:num w:numId="35" w16cid:durableId="1057826418">
    <w:abstractNumId w:val="10"/>
  </w:num>
  <w:num w:numId="36" w16cid:durableId="16675165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11C7"/>
    <w:rsid w:val="00003363"/>
    <w:rsid w:val="00003E8E"/>
    <w:rsid w:val="000146A9"/>
    <w:rsid w:val="000148D3"/>
    <w:rsid w:val="00025BD0"/>
    <w:rsid w:val="000261A3"/>
    <w:rsid w:val="00027145"/>
    <w:rsid w:val="000316B1"/>
    <w:rsid w:val="00032906"/>
    <w:rsid w:val="0003316F"/>
    <w:rsid w:val="000344A7"/>
    <w:rsid w:val="00034FDC"/>
    <w:rsid w:val="0003506D"/>
    <w:rsid w:val="00036C69"/>
    <w:rsid w:val="00037EB9"/>
    <w:rsid w:val="000404CE"/>
    <w:rsid w:val="0004100D"/>
    <w:rsid w:val="00041073"/>
    <w:rsid w:val="000412B5"/>
    <w:rsid w:val="000422D4"/>
    <w:rsid w:val="00042375"/>
    <w:rsid w:val="00042611"/>
    <w:rsid w:val="00044AC3"/>
    <w:rsid w:val="00045D5F"/>
    <w:rsid w:val="00046750"/>
    <w:rsid w:val="00046F03"/>
    <w:rsid w:val="00051CBE"/>
    <w:rsid w:val="00052436"/>
    <w:rsid w:val="0005327C"/>
    <w:rsid w:val="0005518A"/>
    <w:rsid w:val="0005530D"/>
    <w:rsid w:val="000572BD"/>
    <w:rsid w:val="00057426"/>
    <w:rsid w:val="00066604"/>
    <w:rsid w:val="00066E9C"/>
    <w:rsid w:val="000707FE"/>
    <w:rsid w:val="000726EA"/>
    <w:rsid w:val="00076490"/>
    <w:rsid w:val="0008139B"/>
    <w:rsid w:val="00085C30"/>
    <w:rsid w:val="000860AD"/>
    <w:rsid w:val="0008649A"/>
    <w:rsid w:val="00086E59"/>
    <w:rsid w:val="00090D67"/>
    <w:rsid w:val="00093DA4"/>
    <w:rsid w:val="00093F7D"/>
    <w:rsid w:val="000945B2"/>
    <w:rsid w:val="00095258"/>
    <w:rsid w:val="00095B90"/>
    <w:rsid w:val="00095E11"/>
    <w:rsid w:val="000A145A"/>
    <w:rsid w:val="000A2382"/>
    <w:rsid w:val="000A42C1"/>
    <w:rsid w:val="000A57AC"/>
    <w:rsid w:val="000A7F1E"/>
    <w:rsid w:val="000B006F"/>
    <w:rsid w:val="000B0148"/>
    <w:rsid w:val="000B3BAF"/>
    <w:rsid w:val="000B6324"/>
    <w:rsid w:val="000C0BA2"/>
    <w:rsid w:val="000C2A3D"/>
    <w:rsid w:val="000C2A53"/>
    <w:rsid w:val="000D009F"/>
    <w:rsid w:val="000D07A8"/>
    <w:rsid w:val="000D4B2F"/>
    <w:rsid w:val="000D5BA3"/>
    <w:rsid w:val="000D5FCE"/>
    <w:rsid w:val="000D6745"/>
    <w:rsid w:val="000D6959"/>
    <w:rsid w:val="000E38BA"/>
    <w:rsid w:val="000E7042"/>
    <w:rsid w:val="000E7A03"/>
    <w:rsid w:val="000E7DED"/>
    <w:rsid w:val="000F26FB"/>
    <w:rsid w:val="000F2844"/>
    <w:rsid w:val="000F2EA6"/>
    <w:rsid w:val="000F5437"/>
    <w:rsid w:val="00101FBF"/>
    <w:rsid w:val="00103358"/>
    <w:rsid w:val="00105C9C"/>
    <w:rsid w:val="00110458"/>
    <w:rsid w:val="00111514"/>
    <w:rsid w:val="00111745"/>
    <w:rsid w:val="001128B3"/>
    <w:rsid w:val="001134ED"/>
    <w:rsid w:val="00114174"/>
    <w:rsid w:val="00116E40"/>
    <w:rsid w:val="00123DFA"/>
    <w:rsid w:val="00124D9E"/>
    <w:rsid w:val="00125C36"/>
    <w:rsid w:val="00125FF1"/>
    <w:rsid w:val="001306D6"/>
    <w:rsid w:val="00131E18"/>
    <w:rsid w:val="00131E99"/>
    <w:rsid w:val="001431DB"/>
    <w:rsid w:val="00143208"/>
    <w:rsid w:val="00144A2F"/>
    <w:rsid w:val="00146B61"/>
    <w:rsid w:val="00150AEB"/>
    <w:rsid w:val="001513BD"/>
    <w:rsid w:val="001516BF"/>
    <w:rsid w:val="0015214F"/>
    <w:rsid w:val="0015298C"/>
    <w:rsid w:val="001534EA"/>
    <w:rsid w:val="00160B42"/>
    <w:rsid w:val="001624D8"/>
    <w:rsid w:val="00163475"/>
    <w:rsid w:val="0016406E"/>
    <w:rsid w:val="00164614"/>
    <w:rsid w:val="00165065"/>
    <w:rsid w:val="00170157"/>
    <w:rsid w:val="00172C39"/>
    <w:rsid w:val="0017574A"/>
    <w:rsid w:val="00175998"/>
    <w:rsid w:val="001763D1"/>
    <w:rsid w:val="00183C55"/>
    <w:rsid w:val="00183D17"/>
    <w:rsid w:val="00186DC1"/>
    <w:rsid w:val="00191222"/>
    <w:rsid w:val="001918A6"/>
    <w:rsid w:val="00192485"/>
    <w:rsid w:val="00192BED"/>
    <w:rsid w:val="00194459"/>
    <w:rsid w:val="00194F51"/>
    <w:rsid w:val="001954A5"/>
    <w:rsid w:val="001968EB"/>
    <w:rsid w:val="001A22A8"/>
    <w:rsid w:val="001B274F"/>
    <w:rsid w:val="001B57E5"/>
    <w:rsid w:val="001B5A11"/>
    <w:rsid w:val="001B7035"/>
    <w:rsid w:val="001B7F1C"/>
    <w:rsid w:val="001C058A"/>
    <w:rsid w:val="001C0CB2"/>
    <w:rsid w:val="001C0D18"/>
    <w:rsid w:val="001C381D"/>
    <w:rsid w:val="001C3AAD"/>
    <w:rsid w:val="001C59E2"/>
    <w:rsid w:val="001C68E0"/>
    <w:rsid w:val="001C6BA8"/>
    <w:rsid w:val="001D1BA0"/>
    <w:rsid w:val="001D3663"/>
    <w:rsid w:val="001D42D2"/>
    <w:rsid w:val="001D55A3"/>
    <w:rsid w:val="001D7829"/>
    <w:rsid w:val="001E10E3"/>
    <w:rsid w:val="001E2D03"/>
    <w:rsid w:val="001E4423"/>
    <w:rsid w:val="001E58C4"/>
    <w:rsid w:val="001E6F09"/>
    <w:rsid w:val="001E7EBC"/>
    <w:rsid w:val="001F108B"/>
    <w:rsid w:val="001F36D6"/>
    <w:rsid w:val="001F5927"/>
    <w:rsid w:val="001F59D3"/>
    <w:rsid w:val="00201022"/>
    <w:rsid w:val="0020169F"/>
    <w:rsid w:val="00201984"/>
    <w:rsid w:val="002032B5"/>
    <w:rsid w:val="00203F57"/>
    <w:rsid w:val="00204A57"/>
    <w:rsid w:val="00204C08"/>
    <w:rsid w:val="00206249"/>
    <w:rsid w:val="002078E2"/>
    <w:rsid w:val="00207A2E"/>
    <w:rsid w:val="00210680"/>
    <w:rsid w:val="002109DB"/>
    <w:rsid w:val="00211CE8"/>
    <w:rsid w:val="0021439F"/>
    <w:rsid w:val="00214687"/>
    <w:rsid w:val="00215C7C"/>
    <w:rsid w:val="00216B01"/>
    <w:rsid w:val="00220F11"/>
    <w:rsid w:val="00233A75"/>
    <w:rsid w:val="002406D5"/>
    <w:rsid w:val="0024392D"/>
    <w:rsid w:val="00244550"/>
    <w:rsid w:val="00246A44"/>
    <w:rsid w:val="00247C24"/>
    <w:rsid w:val="00251456"/>
    <w:rsid w:val="00254AD6"/>
    <w:rsid w:val="0025573A"/>
    <w:rsid w:val="00255903"/>
    <w:rsid w:val="002562D9"/>
    <w:rsid w:val="002618DF"/>
    <w:rsid w:val="00261D00"/>
    <w:rsid w:val="00261D71"/>
    <w:rsid w:val="002633D9"/>
    <w:rsid w:val="00263461"/>
    <w:rsid w:val="00263BEE"/>
    <w:rsid w:val="00266C5E"/>
    <w:rsid w:val="00267083"/>
    <w:rsid w:val="00270225"/>
    <w:rsid w:val="00276640"/>
    <w:rsid w:val="00276E27"/>
    <w:rsid w:val="00280AC6"/>
    <w:rsid w:val="00281A5D"/>
    <w:rsid w:val="002824C3"/>
    <w:rsid w:val="002827D8"/>
    <w:rsid w:val="00285FEE"/>
    <w:rsid w:val="0029200E"/>
    <w:rsid w:val="002927DB"/>
    <w:rsid w:val="00293C17"/>
    <w:rsid w:val="002950ED"/>
    <w:rsid w:val="00296166"/>
    <w:rsid w:val="00297C4F"/>
    <w:rsid w:val="002A0607"/>
    <w:rsid w:val="002A1BFF"/>
    <w:rsid w:val="002A23A7"/>
    <w:rsid w:val="002A41E3"/>
    <w:rsid w:val="002A4B17"/>
    <w:rsid w:val="002A6562"/>
    <w:rsid w:val="002B0C34"/>
    <w:rsid w:val="002B1150"/>
    <w:rsid w:val="002B3986"/>
    <w:rsid w:val="002B7C96"/>
    <w:rsid w:val="002C2B39"/>
    <w:rsid w:val="002C30E8"/>
    <w:rsid w:val="002C44EE"/>
    <w:rsid w:val="002D14DB"/>
    <w:rsid w:val="002D1AAA"/>
    <w:rsid w:val="002D39AC"/>
    <w:rsid w:val="002D68E2"/>
    <w:rsid w:val="002E0618"/>
    <w:rsid w:val="002E0E18"/>
    <w:rsid w:val="002E3B50"/>
    <w:rsid w:val="002E487D"/>
    <w:rsid w:val="002E5B03"/>
    <w:rsid w:val="002E6E2F"/>
    <w:rsid w:val="002F0B5B"/>
    <w:rsid w:val="002F1B75"/>
    <w:rsid w:val="002F2F6F"/>
    <w:rsid w:val="002F36BC"/>
    <w:rsid w:val="002F39F7"/>
    <w:rsid w:val="002F3EB5"/>
    <w:rsid w:val="002F5690"/>
    <w:rsid w:val="002F644E"/>
    <w:rsid w:val="002F7532"/>
    <w:rsid w:val="00302B2A"/>
    <w:rsid w:val="00305910"/>
    <w:rsid w:val="003060CC"/>
    <w:rsid w:val="00306575"/>
    <w:rsid w:val="00306C0E"/>
    <w:rsid w:val="003078AB"/>
    <w:rsid w:val="00310CA1"/>
    <w:rsid w:val="003122CC"/>
    <w:rsid w:val="00313B29"/>
    <w:rsid w:val="00314E27"/>
    <w:rsid w:val="00323B9A"/>
    <w:rsid w:val="00324789"/>
    <w:rsid w:val="003251FC"/>
    <w:rsid w:val="00327AB4"/>
    <w:rsid w:val="00330F12"/>
    <w:rsid w:val="0033423B"/>
    <w:rsid w:val="003370CB"/>
    <w:rsid w:val="0033752C"/>
    <w:rsid w:val="00341011"/>
    <w:rsid w:val="00341F78"/>
    <w:rsid w:val="003452D1"/>
    <w:rsid w:val="00347A22"/>
    <w:rsid w:val="00347C20"/>
    <w:rsid w:val="00350849"/>
    <w:rsid w:val="00351157"/>
    <w:rsid w:val="0035131B"/>
    <w:rsid w:val="00352D2B"/>
    <w:rsid w:val="003539A0"/>
    <w:rsid w:val="00354966"/>
    <w:rsid w:val="00354AC0"/>
    <w:rsid w:val="00356368"/>
    <w:rsid w:val="00360F43"/>
    <w:rsid w:val="003661FC"/>
    <w:rsid w:val="00366923"/>
    <w:rsid w:val="00367AFE"/>
    <w:rsid w:val="003708C1"/>
    <w:rsid w:val="0037139A"/>
    <w:rsid w:val="00372A6A"/>
    <w:rsid w:val="00374632"/>
    <w:rsid w:val="00374E1D"/>
    <w:rsid w:val="003768F7"/>
    <w:rsid w:val="00385788"/>
    <w:rsid w:val="00385ABF"/>
    <w:rsid w:val="0039115D"/>
    <w:rsid w:val="003926FD"/>
    <w:rsid w:val="003936D2"/>
    <w:rsid w:val="00394226"/>
    <w:rsid w:val="00394BD6"/>
    <w:rsid w:val="003957CD"/>
    <w:rsid w:val="00396532"/>
    <w:rsid w:val="003A0D69"/>
    <w:rsid w:val="003A0E79"/>
    <w:rsid w:val="003A0F5E"/>
    <w:rsid w:val="003A2337"/>
    <w:rsid w:val="003A2419"/>
    <w:rsid w:val="003A2F22"/>
    <w:rsid w:val="003A4B93"/>
    <w:rsid w:val="003A6210"/>
    <w:rsid w:val="003B38C5"/>
    <w:rsid w:val="003B474F"/>
    <w:rsid w:val="003C1B28"/>
    <w:rsid w:val="003C1E9B"/>
    <w:rsid w:val="003C2BD7"/>
    <w:rsid w:val="003C484A"/>
    <w:rsid w:val="003D0D4D"/>
    <w:rsid w:val="003D1F0A"/>
    <w:rsid w:val="003D42BC"/>
    <w:rsid w:val="003D48E5"/>
    <w:rsid w:val="003D7057"/>
    <w:rsid w:val="003E012E"/>
    <w:rsid w:val="003E0796"/>
    <w:rsid w:val="003E0B70"/>
    <w:rsid w:val="003E3395"/>
    <w:rsid w:val="003E717A"/>
    <w:rsid w:val="003F013C"/>
    <w:rsid w:val="003F1578"/>
    <w:rsid w:val="003F268A"/>
    <w:rsid w:val="003F36DF"/>
    <w:rsid w:val="00400336"/>
    <w:rsid w:val="00402497"/>
    <w:rsid w:val="004118EA"/>
    <w:rsid w:val="00411C28"/>
    <w:rsid w:val="0041316B"/>
    <w:rsid w:val="00414A4A"/>
    <w:rsid w:val="0041571C"/>
    <w:rsid w:val="00417562"/>
    <w:rsid w:val="00420635"/>
    <w:rsid w:val="00421CB2"/>
    <w:rsid w:val="00422AD4"/>
    <w:rsid w:val="004232A5"/>
    <w:rsid w:val="004302C6"/>
    <w:rsid w:val="00431BE4"/>
    <w:rsid w:val="00431BFC"/>
    <w:rsid w:val="0043370D"/>
    <w:rsid w:val="00434796"/>
    <w:rsid w:val="00435045"/>
    <w:rsid w:val="00435A17"/>
    <w:rsid w:val="00436200"/>
    <w:rsid w:val="00437270"/>
    <w:rsid w:val="00437898"/>
    <w:rsid w:val="00437F6C"/>
    <w:rsid w:val="00440C82"/>
    <w:rsid w:val="004418A8"/>
    <w:rsid w:val="0044222F"/>
    <w:rsid w:val="0044373C"/>
    <w:rsid w:val="004440ED"/>
    <w:rsid w:val="00445572"/>
    <w:rsid w:val="00445B15"/>
    <w:rsid w:val="00446164"/>
    <w:rsid w:val="004523AA"/>
    <w:rsid w:val="00453F6D"/>
    <w:rsid w:val="004543E0"/>
    <w:rsid w:val="00457F7C"/>
    <w:rsid w:val="004622A1"/>
    <w:rsid w:val="00465736"/>
    <w:rsid w:val="0047164A"/>
    <w:rsid w:val="00473083"/>
    <w:rsid w:val="00475138"/>
    <w:rsid w:val="00475549"/>
    <w:rsid w:val="004773D3"/>
    <w:rsid w:val="00482379"/>
    <w:rsid w:val="00486863"/>
    <w:rsid w:val="00487296"/>
    <w:rsid w:val="00487B1D"/>
    <w:rsid w:val="00487B65"/>
    <w:rsid w:val="00487D0C"/>
    <w:rsid w:val="004923E9"/>
    <w:rsid w:val="0049306F"/>
    <w:rsid w:val="00493EE9"/>
    <w:rsid w:val="004959E6"/>
    <w:rsid w:val="00496C4D"/>
    <w:rsid w:val="00497E93"/>
    <w:rsid w:val="004A0580"/>
    <w:rsid w:val="004A4353"/>
    <w:rsid w:val="004A452A"/>
    <w:rsid w:val="004A480D"/>
    <w:rsid w:val="004A656F"/>
    <w:rsid w:val="004B25B3"/>
    <w:rsid w:val="004C3806"/>
    <w:rsid w:val="004C542A"/>
    <w:rsid w:val="004C705B"/>
    <w:rsid w:val="004C7C64"/>
    <w:rsid w:val="004D0F14"/>
    <w:rsid w:val="004D2139"/>
    <w:rsid w:val="004D22A5"/>
    <w:rsid w:val="004D2AA6"/>
    <w:rsid w:val="004D2C9E"/>
    <w:rsid w:val="004D3224"/>
    <w:rsid w:val="004D3A08"/>
    <w:rsid w:val="004E0B8B"/>
    <w:rsid w:val="004E52C5"/>
    <w:rsid w:val="004F2369"/>
    <w:rsid w:val="004F3922"/>
    <w:rsid w:val="004F5082"/>
    <w:rsid w:val="004F5749"/>
    <w:rsid w:val="004F6CD8"/>
    <w:rsid w:val="00503128"/>
    <w:rsid w:val="00503DA8"/>
    <w:rsid w:val="00505B43"/>
    <w:rsid w:val="00506152"/>
    <w:rsid w:val="00506B0F"/>
    <w:rsid w:val="00506CD7"/>
    <w:rsid w:val="005073B1"/>
    <w:rsid w:val="005109B7"/>
    <w:rsid w:val="005112BE"/>
    <w:rsid w:val="00511F38"/>
    <w:rsid w:val="00511F8A"/>
    <w:rsid w:val="00513C8F"/>
    <w:rsid w:val="0051507F"/>
    <w:rsid w:val="005159BD"/>
    <w:rsid w:val="0051627E"/>
    <w:rsid w:val="00523A10"/>
    <w:rsid w:val="00523DAA"/>
    <w:rsid w:val="005240E7"/>
    <w:rsid w:val="00532929"/>
    <w:rsid w:val="00534437"/>
    <w:rsid w:val="0053485E"/>
    <w:rsid w:val="005361F9"/>
    <w:rsid w:val="00540ABC"/>
    <w:rsid w:val="005411A8"/>
    <w:rsid w:val="00543D06"/>
    <w:rsid w:val="005446B5"/>
    <w:rsid w:val="00550453"/>
    <w:rsid w:val="005513E7"/>
    <w:rsid w:val="005533B5"/>
    <w:rsid w:val="00553D11"/>
    <w:rsid w:val="00553E52"/>
    <w:rsid w:val="005548B1"/>
    <w:rsid w:val="00555157"/>
    <w:rsid w:val="00561586"/>
    <w:rsid w:val="00564967"/>
    <w:rsid w:val="00567E50"/>
    <w:rsid w:val="00570315"/>
    <w:rsid w:val="00570FC1"/>
    <w:rsid w:val="0057143D"/>
    <w:rsid w:val="00572133"/>
    <w:rsid w:val="00580118"/>
    <w:rsid w:val="00581780"/>
    <w:rsid w:val="005818E7"/>
    <w:rsid w:val="00582B5D"/>
    <w:rsid w:val="00584E9E"/>
    <w:rsid w:val="005863D9"/>
    <w:rsid w:val="0058794E"/>
    <w:rsid w:val="00591208"/>
    <w:rsid w:val="00591B41"/>
    <w:rsid w:val="00592584"/>
    <w:rsid w:val="00595D9B"/>
    <w:rsid w:val="00595F7C"/>
    <w:rsid w:val="005964AC"/>
    <w:rsid w:val="00597EF7"/>
    <w:rsid w:val="005A08BB"/>
    <w:rsid w:val="005A0CD0"/>
    <w:rsid w:val="005A0ECF"/>
    <w:rsid w:val="005A11B9"/>
    <w:rsid w:val="005A2035"/>
    <w:rsid w:val="005A259A"/>
    <w:rsid w:val="005A2862"/>
    <w:rsid w:val="005A3014"/>
    <w:rsid w:val="005A5083"/>
    <w:rsid w:val="005A580A"/>
    <w:rsid w:val="005A5A3F"/>
    <w:rsid w:val="005A63CB"/>
    <w:rsid w:val="005A7E4B"/>
    <w:rsid w:val="005B1096"/>
    <w:rsid w:val="005B2318"/>
    <w:rsid w:val="005B353F"/>
    <w:rsid w:val="005B4F38"/>
    <w:rsid w:val="005B548E"/>
    <w:rsid w:val="005B5A7A"/>
    <w:rsid w:val="005B60AC"/>
    <w:rsid w:val="005C0BD4"/>
    <w:rsid w:val="005C1000"/>
    <w:rsid w:val="005C23B0"/>
    <w:rsid w:val="005C5BF0"/>
    <w:rsid w:val="005C6471"/>
    <w:rsid w:val="005D137B"/>
    <w:rsid w:val="005D2795"/>
    <w:rsid w:val="005D467D"/>
    <w:rsid w:val="005D4AEC"/>
    <w:rsid w:val="005D4F28"/>
    <w:rsid w:val="005D6DFD"/>
    <w:rsid w:val="005D743E"/>
    <w:rsid w:val="005D78A7"/>
    <w:rsid w:val="005E18D8"/>
    <w:rsid w:val="005F0409"/>
    <w:rsid w:val="005F19D7"/>
    <w:rsid w:val="005F1D41"/>
    <w:rsid w:val="005F1E8D"/>
    <w:rsid w:val="005F1E91"/>
    <w:rsid w:val="005F3A9E"/>
    <w:rsid w:val="005F3D87"/>
    <w:rsid w:val="005F5327"/>
    <w:rsid w:val="005F6744"/>
    <w:rsid w:val="005F6F27"/>
    <w:rsid w:val="00600AC2"/>
    <w:rsid w:val="00600B80"/>
    <w:rsid w:val="0060105C"/>
    <w:rsid w:val="006014A5"/>
    <w:rsid w:val="00601A22"/>
    <w:rsid w:val="006029D6"/>
    <w:rsid w:val="00605A80"/>
    <w:rsid w:val="006066C4"/>
    <w:rsid w:val="0060697E"/>
    <w:rsid w:val="006112A4"/>
    <w:rsid w:val="0061234E"/>
    <w:rsid w:val="006141C2"/>
    <w:rsid w:val="00615327"/>
    <w:rsid w:val="00616134"/>
    <w:rsid w:val="0061666E"/>
    <w:rsid w:val="00617112"/>
    <w:rsid w:val="00617C81"/>
    <w:rsid w:val="006204AA"/>
    <w:rsid w:val="00620535"/>
    <w:rsid w:val="00631632"/>
    <w:rsid w:val="00633D4C"/>
    <w:rsid w:val="00634BD1"/>
    <w:rsid w:val="00634EB6"/>
    <w:rsid w:val="00635255"/>
    <w:rsid w:val="0064002D"/>
    <w:rsid w:val="00640E8A"/>
    <w:rsid w:val="00641427"/>
    <w:rsid w:val="00641C05"/>
    <w:rsid w:val="006423C4"/>
    <w:rsid w:val="00642A9A"/>
    <w:rsid w:val="00642F08"/>
    <w:rsid w:val="00644B80"/>
    <w:rsid w:val="00646F14"/>
    <w:rsid w:val="00647290"/>
    <w:rsid w:val="00651480"/>
    <w:rsid w:val="006514E4"/>
    <w:rsid w:val="00653B49"/>
    <w:rsid w:val="00653BDD"/>
    <w:rsid w:val="00655BCA"/>
    <w:rsid w:val="006606E0"/>
    <w:rsid w:val="00663240"/>
    <w:rsid w:val="00665863"/>
    <w:rsid w:val="006670A4"/>
    <w:rsid w:val="00672CAD"/>
    <w:rsid w:val="00674BE1"/>
    <w:rsid w:val="00677034"/>
    <w:rsid w:val="006772C3"/>
    <w:rsid w:val="00677550"/>
    <w:rsid w:val="0068159E"/>
    <w:rsid w:val="0068167E"/>
    <w:rsid w:val="00683728"/>
    <w:rsid w:val="00683EA4"/>
    <w:rsid w:val="00684AE8"/>
    <w:rsid w:val="00685509"/>
    <w:rsid w:val="0068665B"/>
    <w:rsid w:val="006869C5"/>
    <w:rsid w:val="00686FA3"/>
    <w:rsid w:val="00687DEF"/>
    <w:rsid w:val="00691291"/>
    <w:rsid w:val="00693BA4"/>
    <w:rsid w:val="00693E00"/>
    <w:rsid w:val="0069561E"/>
    <w:rsid w:val="006A0C2E"/>
    <w:rsid w:val="006A1843"/>
    <w:rsid w:val="006A3F7B"/>
    <w:rsid w:val="006B1365"/>
    <w:rsid w:val="006B6476"/>
    <w:rsid w:val="006B6C94"/>
    <w:rsid w:val="006C06BF"/>
    <w:rsid w:val="006C282B"/>
    <w:rsid w:val="006C5079"/>
    <w:rsid w:val="006C70AC"/>
    <w:rsid w:val="006C77DE"/>
    <w:rsid w:val="006D2345"/>
    <w:rsid w:val="006D3088"/>
    <w:rsid w:val="006D3281"/>
    <w:rsid w:val="006D5FE6"/>
    <w:rsid w:val="006E0626"/>
    <w:rsid w:val="006E1136"/>
    <w:rsid w:val="006E4BED"/>
    <w:rsid w:val="006E73A2"/>
    <w:rsid w:val="006F1D54"/>
    <w:rsid w:val="006F2EF6"/>
    <w:rsid w:val="006F4A31"/>
    <w:rsid w:val="006F5115"/>
    <w:rsid w:val="006F7520"/>
    <w:rsid w:val="007026E6"/>
    <w:rsid w:val="007026F2"/>
    <w:rsid w:val="00702CB5"/>
    <w:rsid w:val="00703260"/>
    <w:rsid w:val="00703EA6"/>
    <w:rsid w:val="00705179"/>
    <w:rsid w:val="00706431"/>
    <w:rsid w:val="00706AEF"/>
    <w:rsid w:val="00710DAA"/>
    <w:rsid w:val="007117F1"/>
    <w:rsid w:val="007119BB"/>
    <w:rsid w:val="007126F3"/>
    <w:rsid w:val="0071394E"/>
    <w:rsid w:val="00713A74"/>
    <w:rsid w:val="00716A50"/>
    <w:rsid w:val="007175D2"/>
    <w:rsid w:val="00717636"/>
    <w:rsid w:val="007176BE"/>
    <w:rsid w:val="007177A7"/>
    <w:rsid w:val="00717D2F"/>
    <w:rsid w:val="00721BA6"/>
    <w:rsid w:val="007223F1"/>
    <w:rsid w:val="0072616C"/>
    <w:rsid w:val="00727028"/>
    <w:rsid w:val="0073015B"/>
    <w:rsid w:val="00731C3B"/>
    <w:rsid w:val="00733A62"/>
    <w:rsid w:val="0073513A"/>
    <w:rsid w:val="007371B3"/>
    <w:rsid w:val="007374F9"/>
    <w:rsid w:val="007405AF"/>
    <w:rsid w:val="00740E7D"/>
    <w:rsid w:val="00741AB8"/>
    <w:rsid w:val="00741B4D"/>
    <w:rsid w:val="0074217E"/>
    <w:rsid w:val="00742C00"/>
    <w:rsid w:val="00746A43"/>
    <w:rsid w:val="00747569"/>
    <w:rsid w:val="00753271"/>
    <w:rsid w:val="00754AB9"/>
    <w:rsid w:val="00755ADC"/>
    <w:rsid w:val="007576ED"/>
    <w:rsid w:val="00757BF7"/>
    <w:rsid w:val="00760832"/>
    <w:rsid w:val="00762464"/>
    <w:rsid w:val="00764779"/>
    <w:rsid w:val="007648BA"/>
    <w:rsid w:val="00767C3A"/>
    <w:rsid w:val="00767C90"/>
    <w:rsid w:val="00775137"/>
    <w:rsid w:val="0077524B"/>
    <w:rsid w:val="007755A3"/>
    <w:rsid w:val="007766BD"/>
    <w:rsid w:val="00777D95"/>
    <w:rsid w:val="00780734"/>
    <w:rsid w:val="00780AAA"/>
    <w:rsid w:val="00781A2C"/>
    <w:rsid w:val="00782490"/>
    <w:rsid w:val="007832ED"/>
    <w:rsid w:val="00785AD7"/>
    <w:rsid w:val="007866FA"/>
    <w:rsid w:val="00790EA4"/>
    <w:rsid w:val="00791481"/>
    <w:rsid w:val="00793DE3"/>
    <w:rsid w:val="0079464E"/>
    <w:rsid w:val="007A3F61"/>
    <w:rsid w:val="007A4241"/>
    <w:rsid w:val="007A5668"/>
    <w:rsid w:val="007A7572"/>
    <w:rsid w:val="007A7763"/>
    <w:rsid w:val="007B0EC1"/>
    <w:rsid w:val="007B100A"/>
    <w:rsid w:val="007B1D23"/>
    <w:rsid w:val="007B21A5"/>
    <w:rsid w:val="007B2AD6"/>
    <w:rsid w:val="007B3938"/>
    <w:rsid w:val="007C038A"/>
    <w:rsid w:val="007C04C1"/>
    <w:rsid w:val="007C0C94"/>
    <w:rsid w:val="007C3DFC"/>
    <w:rsid w:val="007C4DD0"/>
    <w:rsid w:val="007C57C1"/>
    <w:rsid w:val="007C6AEC"/>
    <w:rsid w:val="007D069F"/>
    <w:rsid w:val="007D0AF4"/>
    <w:rsid w:val="007D1C60"/>
    <w:rsid w:val="007D2B8D"/>
    <w:rsid w:val="007D3239"/>
    <w:rsid w:val="007D45D6"/>
    <w:rsid w:val="007D4ED8"/>
    <w:rsid w:val="007D501F"/>
    <w:rsid w:val="007D799D"/>
    <w:rsid w:val="007E2E53"/>
    <w:rsid w:val="007E5F2E"/>
    <w:rsid w:val="007F23FB"/>
    <w:rsid w:val="007F32B0"/>
    <w:rsid w:val="007F5CCD"/>
    <w:rsid w:val="007F6B0C"/>
    <w:rsid w:val="007F7DBD"/>
    <w:rsid w:val="00800EE1"/>
    <w:rsid w:val="00802F0D"/>
    <w:rsid w:val="00805953"/>
    <w:rsid w:val="008059E3"/>
    <w:rsid w:val="00806934"/>
    <w:rsid w:val="0081136A"/>
    <w:rsid w:val="00811B37"/>
    <w:rsid w:val="00811F26"/>
    <w:rsid w:val="0081305D"/>
    <w:rsid w:val="008139CC"/>
    <w:rsid w:val="00814D30"/>
    <w:rsid w:val="0081792F"/>
    <w:rsid w:val="008215D5"/>
    <w:rsid w:val="00821ABA"/>
    <w:rsid w:val="008225FF"/>
    <w:rsid w:val="0082535B"/>
    <w:rsid w:val="00836DA0"/>
    <w:rsid w:val="00836DA8"/>
    <w:rsid w:val="00837EDC"/>
    <w:rsid w:val="008407F1"/>
    <w:rsid w:val="00840DAA"/>
    <w:rsid w:val="0084197B"/>
    <w:rsid w:val="008428D3"/>
    <w:rsid w:val="008432B5"/>
    <w:rsid w:val="0084591A"/>
    <w:rsid w:val="0084740A"/>
    <w:rsid w:val="00852D25"/>
    <w:rsid w:val="00853701"/>
    <w:rsid w:val="00854580"/>
    <w:rsid w:val="0085597D"/>
    <w:rsid w:val="00855D7A"/>
    <w:rsid w:val="00856281"/>
    <w:rsid w:val="00857878"/>
    <w:rsid w:val="00857E1B"/>
    <w:rsid w:val="00860DDE"/>
    <w:rsid w:val="00861259"/>
    <w:rsid w:val="00861BB2"/>
    <w:rsid w:val="008634C2"/>
    <w:rsid w:val="00864D48"/>
    <w:rsid w:val="00864EEA"/>
    <w:rsid w:val="00865A7B"/>
    <w:rsid w:val="00865E4F"/>
    <w:rsid w:val="00866663"/>
    <w:rsid w:val="00872458"/>
    <w:rsid w:val="008731A1"/>
    <w:rsid w:val="00873BE7"/>
    <w:rsid w:val="00874CB7"/>
    <w:rsid w:val="00875EDF"/>
    <w:rsid w:val="00876508"/>
    <w:rsid w:val="0087706C"/>
    <w:rsid w:val="008822BA"/>
    <w:rsid w:val="00883E2A"/>
    <w:rsid w:val="00884EF3"/>
    <w:rsid w:val="00886A15"/>
    <w:rsid w:val="00887072"/>
    <w:rsid w:val="00891051"/>
    <w:rsid w:val="008938DA"/>
    <w:rsid w:val="00893BEF"/>
    <w:rsid w:val="00893FE4"/>
    <w:rsid w:val="00897E41"/>
    <w:rsid w:val="008A1022"/>
    <w:rsid w:val="008A4703"/>
    <w:rsid w:val="008A5586"/>
    <w:rsid w:val="008A6964"/>
    <w:rsid w:val="008B3E7B"/>
    <w:rsid w:val="008B3E8F"/>
    <w:rsid w:val="008C0056"/>
    <w:rsid w:val="008C21E1"/>
    <w:rsid w:val="008D0DC9"/>
    <w:rsid w:val="008D59B9"/>
    <w:rsid w:val="008D61A9"/>
    <w:rsid w:val="008D7453"/>
    <w:rsid w:val="008D76F6"/>
    <w:rsid w:val="008D7BB6"/>
    <w:rsid w:val="008E0D5E"/>
    <w:rsid w:val="008E69F6"/>
    <w:rsid w:val="008F0093"/>
    <w:rsid w:val="008F134F"/>
    <w:rsid w:val="008F2F17"/>
    <w:rsid w:val="008F2F5C"/>
    <w:rsid w:val="008F3E03"/>
    <w:rsid w:val="008F5797"/>
    <w:rsid w:val="008F5966"/>
    <w:rsid w:val="00902192"/>
    <w:rsid w:val="00904962"/>
    <w:rsid w:val="00904E9B"/>
    <w:rsid w:val="009056A3"/>
    <w:rsid w:val="009062AE"/>
    <w:rsid w:val="00911A4E"/>
    <w:rsid w:val="00911C70"/>
    <w:rsid w:val="00911E3E"/>
    <w:rsid w:val="00913ED6"/>
    <w:rsid w:val="0091557B"/>
    <w:rsid w:val="00915F44"/>
    <w:rsid w:val="00917CE4"/>
    <w:rsid w:val="00923B0D"/>
    <w:rsid w:val="0092478E"/>
    <w:rsid w:val="00924BD5"/>
    <w:rsid w:val="00927604"/>
    <w:rsid w:val="00930B3C"/>
    <w:rsid w:val="00935CB3"/>
    <w:rsid w:val="00937A11"/>
    <w:rsid w:val="00941773"/>
    <w:rsid w:val="009417F7"/>
    <w:rsid w:val="009422C6"/>
    <w:rsid w:val="009426F3"/>
    <w:rsid w:val="00945CAD"/>
    <w:rsid w:val="00950962"/>
    <w:rsid w:val="00952756"/>
    <w:rsid w:val="00952A74"/>
    <w:rsid w:val="00956048"/>
    <w:rsid w:val="00956171"/>
    <w:rsid w:val="009564A5"/>
    <w:rsid w:val="00956AA9"/>
    <w:rsid w:val="009572B4"/>
    <w:rsid w:val="009605CB"/>
    <w:rsid w:val="00963A56"/>
    <w:rsid w:val="00963C9F"/>
    <w:rsid w:val="00963F49"/>
    <w:rsid w:val="00965094"/>
    <w:rsid w:val="0096517C"/>
    <w:rsid w:val="00965712"/>
    <w:rsid w:val="00966099"/>
    <w:rsid w:val="00966619"/>
    <w:rsid w:val="00970214"/>
    <w:rsid w:val="009708AE"/>
    <w:rsid w:val="00972144"/>
    <w:rsid w:val="00973117"/>
    <w:rsid w:val="00973962"/>
    <w:rsid w:val="0097425F"/>
    <w:rsid w:val="00974636"/>
    <w:rsid w:val="00977338"/>
    <w:rsid w:val="00977685"/>
    <w:rsid w:val="009804D2"/>
    <w:rsid w:val="00982480"/>
    <w:rsid w:val="009834D2"/>
    <w:rsid w:val="009858C3"/>
    <w:rsid w:val="00991526"/>
    <w:rsid w:val="00991DED"/>
    <w:rsid w:val="00993BBF"/>
    <w:rsid w:val="00993E80"/>
    <w:rsid w:val="00997F6C"/>
    <w:rsid w:val="009A0032"/>
    <w:rsid w:val="009A0A07"/>
    <w:rsid w:val="009A0A6A"/>
    <w:rsid w:val="009A0E76"/>
    <w:rsid w:val="009A1FF3"/>
    <w:rsid w:val="009A36DF"/>
    <w:rsid w:val="009A4290"/>
    <w:rsid w:val="009A4DC6"/>
    <w:rsid w:val="009A5BC4"/>
    <w:rsid w:val="009A6FE4"/>
    <w:rsid w:val="009A7D43"/>
    <w:rsid w:val="009B0BC5"/>
    <w:rsid w:val="009B2A1F"/>
    <w:rsid w:val="009B34AC"/>
    <w:rsid w:val="009B4A90"/>
    <w:rsid w:val="009B609B"/>
    <w:rsid w:val="009B614B"/>
    <w:rsid w:val="009B7476"/>
    <w:rsid w:val="009C0EFC"/>
    <w:rsid w:val="009C1B2F"/>
    <w:rsid w:val="009C3CB0"/>
    <w:rsid w:val="009C4CA6"/>
    <w:rsid w:val="009C56D1"/>
    <w:rsid w:val="009C74F7"/>
    <w:rsid w:val="009D18C2"/>
    <w:rsid w:val="009D236A"/>
    <w:rsid w:val="009D3B3A"/>
    <w:rsid w:val="009D50E8"/>
    <w:rsid w:val="009D56B0"/>
    <w:rsid w:val="009D5A36"/>
    <w:rsid w:val="009E34D5"/>
    <w:rsid w:val="009E383F"/>
    <w:rsid w:val="009E4054"/>
    <w:rsid w:val="009E718A"/>
    <w:rsid w:val="009F06EB"/>
    <w:rsid w:val="009F4558"/>
    <w:rsid w:val="009F4A74"/>
    <w:rsid w:val="009F4D35"/>
    <w:rsid w:val="009F7A5A"/>
    <w:rsid w:val="00A0293E"/>
    <w:rsid w:val="00A032B7"/>
    <w:rsid w:val="00A03C15"/>
    <w:rsid w:val="00A051F7"/>
    <w:rsid w:val="00A0641E"/>
    <w:rsid w:val="00A070B7"/>
    <w:rsid w:val="00A11E29"/>
    <w:rsid w:val="00A13691"/>
    <w:rsid w:val="00A13A11"/>
    <w:rsid w:val="00A142EA"/>
    <w:rsid w:val="00A14752"/>
    <w:rsid w:val="00A17299"/>
    <w:rsid w:val="00A23F46"/>
    <w:rsid w:val="00A2405F"/>
    <w:rsid w:val="00A275F3"/>
    <w:rsid w:val="00A27F7B"/>
    <w:rsid w:val="00A3043E"/>
    <w:rsid w:val="00A339E5"/>
    <w:rsid w:val="00A35814"/>
    <w:rsid w:val="00A3639C"/>
    <w:rsid w:val="00A36734"/>
    <w:rsid w:val="00A369AC"/>
    <w:rsid w:val="00A3743B"/>
    <w:rsid w:val="00A414BC"/>
    <w:rsid w:val="00A43021"/>
    <w:rsid w:val="00A43163"/>
    <w:rsid w:val="00A435F8"/>
    <w:rsid w:val="00A4461A"/>
    <w:rsid w:val="00A459DE"/>
    <w:rsid w:val="00A50D02"/>
    <w:rsid w:val="00A52D23"/>
    <w:rsid w:val="00A5508E"/>
    <w:rsid w:val="00A55776"/>
    <w:rsid w:val="00A55D47"/>
    <w:rsid w:val="00A57AB2"/>
    <w:rsid w:val="00A60476"/>
    <w:rsid w:val="00A61A9F"/>
    <w:rsid w:val="00A62216"/>
    <w:rsid w:val="00A6491C"/>
    <w:rsid w:val="00A65038"/>
    <w:rsid w:val="00A65913"/>
    <w:rsid w:val="00A70A4D"/>
    <w:rsid w:val="00A71A69"/>
    <w:rsid w:val="00A7229C"/>
    <w:rsid w:val="00A7486F"/>
    <w:rsid w:val="00A74E0F"/>
    <w:rsid w:val="00A7500E"/>
    <w:rsid w:val="00A7699B"/>
    <w:rsid w:val="00A8077F"/>
    <w:rsid w:val="00A80E09"/>
    <w:rsid w:val="00A83BB3"/>
    <w:rsid w:val="00A851E3"/>
    <w:rsid w:val="00A85919"/>
    <w:rsid w:val="00A8731D"/>
    <w:rsid w:val="00A87673"/>
    <w:rsid w:val="00A9012A"/>
    <w:rsid w:val="00A909D5"/>
    <w:rsid w:val="00A93A77"/>
    <w:rsid w:val="00A93DF6"/>
    <w:rsid w:val="00A948FE"/>
    <w:rsid w:val="00A94AB4"/>
    <w:rsid w:val="00A95CBF"/>
    <w:rsid w:val="00A970F2"/>
    <w:rsid w:val="00AA0260"/>
    <w:rsid w:val="00AA2E4F"/>
    <w:rsid w:val="00AA311A"/>
    <w:rsid w:val="00AA3BB9"/>
    <w:rsid w:val="00AA796F"/>
    <w:rsid w:val="00AB05B7"/>
    <w:rsid w:val="00AB074D"/>
    <w:rsid w:val="00AB27A1"/>
    <w:rsid w:val="00AB5FC6"/>
    <w:rsid w:val="00AB790F"/>
    <w:rsid w:val="00AC08D2"/>
    <w:rsid w:val="00AC0C2F"/>
    <w:rsid w:val="00AC1BEE"/>
    <w:rsid w:val="00AC21F8"/>
    <w:rsid w:val="00AC3E56"/>
    <w:rsid w:val="00AC4BDA"/>
    <w:rsid w:val="00AC5934"/>
    <w:rsid w:val="00AC6A5E"/>
    <w:rsid w:val="00AC7DFB"/>
    <w:rsid w:val="00AD0C81"/>
    <w:rsid w:val="00AD584C"/>
    <w:rsid w:val="00AD5DA3"/>
    <w:rsid w:val="00AE1EED"/>
    <w:rsid w:val="00AE220C"/>
    <w:rsid w:val="00AE68CA"/>
    <w:rsid w:val="00AE7072"/>
    <w:rsid w:val="00AF2783"/>
    <w:rsid w:val="00AF2957"/>
    <w:rsid w:val="00AF3C5A"/>
    <w:rsid w:val="00AF57B3"/>
    <w:rsid w:val="00AF7D27"/>
    <w:rsid w:val="00B03DE7"/>
    <w:rsid w:val="00B04E3B"/>
    <w:rsid w:val="00B0698D"/>
    <w:rsid w:val="00B0699C"/>
    <w:rsid w:val="00B0767A"/>
    <w:rsid w:val="00B10FC9"/>
    <w:rsid w:val="00B1131A"/>
    <w:rsid w:val="00B11937"/>
    <w:rsid w:val="00B12498"/>
    <w:rsid w:val="00B131D7"/>
    <w:rsid w:val="00B138A8"/>
    <w:rsid w:val="00B15249"/>
    <w:rsid w:val="00B15618"/>
    <w:rsid w:val="00B15DF5"/>
    <w:rsid w:val="00B1661A"/>
    <w:rsid w:val="00B1672D"/>
    <w:rsid w:val="00B16B74"/>
    <w:rsid w:val="00B16D43"/>
    <w:rsid w:val="00B176FD"/>
    <w:rsid w:val="00B21702"/>
    <w:rsid w:val="00B21E09"/>
    <w:rsid w:val="00B23B38"/>
    <w:rsid w:val="00B2527F"/>
    <w:rsid w:val="00B26558"/>
    <w:rsid w:val="00B26C3D"/>
    <w:rsid w:val="00B275AC"/>
    <w:rsid w:val="00B27734"/>
    <w:rsid w:val="00B30EAB"/>
    <w:rsid w:val="00B31756"/>
    <w:rsid w:val="00B32201"/>
    <w:rsid w:val="00B366DB"/>
    <w:rsid w:val="00B37667"/>
    <w:rsid w:val="00B3774E"/>
    <w:rsid w:val="00B40BF6"/>
    <w:rsid w:val="00B42CEC"/>
    <w:rsid w:val="00B44B46"/>
    <w:rsid w:val="00B44BFF"/>
    <w:rsid w:val="00B5117D"/>
    <w:rsid w:val="00B51B21"/>
    <w:rsid w:val="00B532DB"/>
    <w:rsid w:val="00B545CC"/>
    <w:rsid w:val="00B54794"/>
    <w:rsid w:val="00B55005"/>
    <w:rsid w:val="00B55735"/>
    <w:rsid w:val="00B55B9A"/>
    <w:rsid w:val="00B55EFB"/>
    <w:rsid w:val="00B61F3E"/>
    <w:rsid w:val="00B65661"/>
    <w:rsid w:val="00B72465"/>
    <w:rsid w:val="00B725FB"/>
    <w:rsid w:val="00B72A6C"/>
    <w:rsid w:val="00B72B74"/>
    <w:rsid w:val="00B76CE9"/>
    <w:rsid w:val="00B819FE"/>
    <w:rsid w:val="00B839A2"/>
    <w:rsid w:val="00B83DD1"/>
    <w:rsid w:val="00B850E8"/>
    <w:rsid w:val="00B86033"/>
    <w:rsid w:val="00B86106"/>
    <w:rsid w:val="00B9031B"/>
    <w:rsid w:val="00B927D9"/>
    <w:rsid w:val="00B94111"/>
    <w:rsid w:val="00B94F0A"/>
    <w:rsid w:val="00B95E21"/>
    <w:rsid w:val="00B95FED"/>
    <w:rsid w:val="00B96B2D"/>
    <w:rsid w:val="00BA18F6"/>
    <w:rsid w:val="00BA38A0"/>
    <w:rsid w:val="00BA4854"/>
    <w:rsid w:val="00BB2ACB"/>
    <w:rsid w:val="00BB2F80"/>
    <w:rsid w:val="00BB4CD2"/>
    <w:rsid w:val="00BB5271"/>
    <w:rsid w:val="00BC1378"/>
    <w:rsid w:val="00BC1B66"/>
    <w:rsid w:val="00BC218F"/>
    <w:rsid w:val="00BD174F"/>
    <w:rsid w:val="00BD22DA"/>
    <w:rsid w:val="00BD5583"/>
    <w:rsid w:val="00BD5D69"/>
    <w:rsid w:val="00BD60AB"/>
    <w:rsid w:val="00BE08FE"/>
    <w:rsid w:val="00BE0FFD"/>
    <w:rsid w:val="00BE13B4"/>
    <w:rsid w:val="00BE1646"/>
    <w:rsid w:val="00BE1900"/>
    <w:rsid w:val="00BE2AB7"/>
    <w:rsid w:val="00BE3527"/>
    <w:rsid w:val="00BE4587"/>
    <w:rsid w:val="00BE46FD"/>
    <w:rsid w:val="00BE5400"/>
    <w:rsid w:val="00BE68F3"/>
    <w:rsid w:val="00BE7C9E"/>
    <w:rsid w:val="00BF2EE2"/>
    <w:rsid w:val="00BF3528"/>
    <w:rsid w:val="00BF40A7"/>
    <w:rsid w:val="00BF6AAF"/>
    <w:rsid w:val="00BF759A"/>
    <w:rsid w:val="00C03405"/>
    <w:rsid w:val="00C03955"/>
    <w:rsid w:val="00C04290"/>
    <w:rsid w:val="00C061EA"/>
    <w:rsid w:val="00C074E3"/>
    <w:rsid w:val="00C07BF6"/>
    <w:rsid w:val="00C07D51"/>
    <w:rsid w:val="00C07DFB"/>
    <w:rsid w:val="00C12145"/>
    <w:rsid w:val="00C12E78"/>
    <w:rsid w:val="00C14AB0"/>
    <w:rsid w:val="00C15510"/>
    <w:rsid w:val="00C16644"/>
    <w:rsid w:val="00C179AD"/>
    <w:rsid w:val="00C23E5B"/>
    <w:rsid w:val="00C2734A"/>
    <w:rsid w:val="00C27FFB"/>
    <w:rsid w:val="00C36D16"/>
    <w:rsid w:val="00C404CA"/>
    <w:rsid w:val="00C40E20"/>
    <w:rsid w:val="00C4249F"/>
    <w:rsid w:val="00C42B95"/>
    <w:rsid w:val="00C46D3E"/>
    <w:rsid w:val="00C52ABF"/>
    <w:rsid w:val="00C52FE0"/>
    <w:rsid w:val="00C558F4"/>
    <w:rsid w:val="00C61A5A"/>
    <w:rsid w:val="00C63456"/>
    <w:rsid w:val="00C63D38"/>
    <w:rsid w:val="00C6447C"/>
    <w:rsid w:val="00C64973"/>
    <w:rsid w:val="00C71020"/>
    <w:rsid w:val="00C7420D"/>
    <w:rsid w:val="00C754CC"/>
    <w:rsid w:val="00C75A0D"/>
    <w:rsid w:val="00C83737"/>
    <w:rsid w:val="00C84B60"/>
    <w:rsid w:val="00C877C1"/>
    <w:rsid w:val="00C91F4E"/>
    <w:rsid w:val="00C93749"/>
    <w:rsid w:val="00C93D43"/>
    <w:rsid w:val="00C94C24"/>
    <w:rsid w:val="00C970B1"/>
    <w:rsid w:val="00C97161"/>
    <w:rsid w:val="00CA22AC"/>
    <w:rsid w:val="00CA6AF3"/>
    <w:rsid w:val="00CB2D12"/>
    <w:rsid w:val="00CB41F2"/>
    <w:rsid w:val="00CB5919"/>
    <w:rsid w:val="00CB5F31"/>
    <w:rsid w:val="00CC1B2A"/>
    <w:rsid w:val="00CC32B2"/>
    <w:rsid w:val="00CC576C"/>
    <w:rsid w:val="00CC68E9"/>
    <w:rsid w:val="00CC6A65"/>
    <w:rsid w:val="00CD0493"/>
    <w:rsid w:val="00CD066C"/>
    <w:rsid w:val="00CD06DC"/>
    <w:rsid w:val="00CD130A"/>
    <w:rsid w:val="00CD1F19"/>
    <w:rsid w:val="00CD452F"/>
    <w:rsid w:val="00CD494D"/>
    <w:rsid w:val="00CD5555"/>
    <w:rsid w:val="00CD6C79"/>
    <w:rsid w:val="00CD6F0F"/>
    <w:rsid w:val="00CE03A4"/>
    <w:rsid w:val="00CE1816"/>
    <w:rsid w:val="00CE1F7E"/>
    <w:rsid w:val="00CE5E15"/>
    <w:rsid w:val="00CE66BC"/>
    <w:rsid w:val="00CE6EEC"/>
    <w:rsid w:val="00CE71A4"/>
    <w:rsid w:val="00CF277F"/>
    <w:rsid w:val="00CF30BD"/>
    <w:rsid w:val="00CF3282"/>
    <w:rsid w:val="00CF49DF"/>
    <w:rsid w:val="00CF568D"/>
    <w:rsid w:val="00CF78B0"/>
    <w:rsid w:val="00D027C8"/>
    <w:rsid w:val="00D03812"/>
    <w:rsid w:val="00D045C6"/>
    <w:rsid w:val="00D048F7"/>
    <w:rsid w:val="00D05054"/>
    <w:rsid w:val="00D05305"/>
    <w:rsid w:val="00D057BB"/>
    <w:rsid w:val="00D10911"/>
    <w:rsid w:val="00D10B90"/>
    <w:rsid w:val="00D125F6"/>
    <w:rsid w:val="00D12938"/>
    <w:rsid w:val="00D13318"/>
    <w:rsid w:val="00D138C0"/>
    <w:rsid w:val="00D13FD8"/>
    <w:rsid w:val="00D14F04"/>
    <w:rsid w:val="00D154D9"/>
    <w:rsid w:val="00D16342"/>
    <w:rsid w:val="00D1705C"/>
    <w:rsid w:val="00D177B2"/>
    <w:rsid w:val="00D21F38"/>
    <w:rsid w:val="00D2244E"/>
    <w:rsid w:val="00D238E3"/>
    <w:rsid w:val="00D241DE"/>
    <w:rsid w:val="00D246C9"/>
    <w:rsid w:val="00D2513B"/>
    <w:rsid w:val="00D263D6"/>
    <w:rsid w:val="00D26A23"/>
    <w:rsid w:val="00D31218"/>
    <w:rsid w:val="00D31FDA"/>
    <w:rsid w:val="00D33529"/>
    <w:rsid w:val="00D34692"/>
    <w:rsid w:val="00D36D46"/>
    <w:rsid w:val="00D4055A"/>
    <w:rsid w:val="00D4278A"/>
    <w:rsid w:val="00D4302A"/>
    <w:rsid w:val="00D436E8"/>
    <w:rsid w:val="00D4726C"/>
    <w:rsid w:val="00D500BB"/>
    <w:rsid w:val="00D50333"/>
    <w:rsid w:val="00D509CB"/>
    <w:rsid w:val="00D5420B"/>
    <w:rsid w:val="00D551C5"/>
    <w:rsid w:val="00D56072"/>
    <w:rsid w:val="00D56322"/>
    <w:rsid w:val="00D56B38"/>
    <w:rsid w:val="00D62D35"/>
    <w:rsid w:val="00D64A57"/>
    <w:rsid w:val="00D64B55"/>
    <w:rsid w:val="00D64E99"/>
    <w:rsid w:val="00D658D0"/>
    <w:rsid w:val="00D66B95"/>
    <w:rsid w:val="00D70F5A"/>
    <w:rsid w:val="00D70F8A"/>
    <w:rsid w:val="00D71EFE"/>
    <w:rsid w:val="00D72DC2"/>
    <w:rsid w:val="00D73EA4"/>
    <w:rsid w:val="00D74476"/>
    <w:rsid w:val="00D76E16"/>
    <w:rsid w:val="00D81E78"/>
    <w:rsid w:val="00D82891"/>
    <w:rsid w:val="00D83020"/>
    <w:rsid w:val="00D8323E"/>
    <w:rsid w:val="00D83E2C"/>
    <w:rsid w:val="00D8537C"/>
    <w:rsid w:val="00D8583A"/>
    <w:rsid w:val="00D92118"/>
    <w:rsid w:val="00D92316"/>
    <w:rsid w:val="00D94EBF"/>
    <w:rsid w:val="00D95EC9"/>
    <w:rsid w:val="00D966C8"/>
    <w:rsid w:val="00D96A1E"/>
    <w:rsid w:val="00DA14E3"/>
    <w:rsid w:val="00DA1F48"/>
    <w:rsid w:val="00DA2626"/>
    <w:rsid w:val="00DA62C8"/>
    <w:rsid w:val="00DA7857"/>
    <w:rsid w:val="00DA7E7F"/>
    <w:rsid w:val="00DB0916"/>
    <w:rsid w:val="00DB13D5"/>
    <w:rsid w:val="00DB4EFD"/>
    <w:rsid w:val="00DC0368"/>
    <w:rsid w:val="00DC6534"/>
    <w:rsid w:val="00DC69D9"/>
    <w:rsid w:val="00DC6A05"/>
    <w:rsid w:val="00DC6BC0"/>
    <w:rsid w:val="00DD04CA"/>
    <w:rsid w:val="00DD1CF1"/>
    <w:rsid w:val="00DD22CA"/>
    <w:rsid w:val="00DD3128"/>
    <w:rsid w:val="00DD32CF"/>
    <w:rsid w:val="00DD4396"/>
    <w:rsid w:val="00DD4A34"/>
    <w:rsid w:val="00DD71F3"/>
    <w:rsid w:val="00DE251A"/>
    <w:rsid w:val="00DE3949"/>
    <w:rsid w:val="00DE4414"/>
    <w:rsid w:val="00DE4605"/>
    <w:rsid w:val="00DE4EE7"/>
    <w:rsid w:val="00DE597E"/>
    <w:rsid w:val="00DE5F7B"/>
    <w:rsid w:val="00DE70AA"/>
    <w:rsid w:val="00DF0F64"/>
    <w:rsid w:val="00DF147A"/>
    <w:rsid w:val="00DF1740"/>
    <w:rsid w:val="00DF23E4"/>
    <w:rsid w:val="00DF2852"/>
    <w:rsid w:val="00DF37AA"/>
    <w:rsid w:val="00DF46C2"/>
    <w:rsid w:val="00DF6668"/>
    <w:rsid w:val="00DF77A6"/>
    <w:rsid w:val="00E00203"/>
    <w:rsid w:val="00E03E1B"/>
    <w:rsid w:val="00E05C41"/>
    <w:rsid w:val="00E05C49"/>
    <w:rsid w:val="00E0621D"/>
    <w:rsid w:val="00E06E6B"/>
    <w:rsid w:val="00E12EEB"/>
    <w:rsid w:val="00E148F7"/>
    <w:rsid w:val="00E156A3"/>
    <w:rsid w:val="00E21A5F"/>
    <w:rsid w:val="00E2301C"/>
    <w:rsid w:val="00E238C2"/>
    <w:rsid w:val="00E24293"/>
    <w:rsid w:val="00E254EA"/>
    <w:rsid w:val="00E255B8"/>
    <w:rsid w:val="00E27F17"/>
    <w:rsid w:val="00E3106D"/>
    <w:rsid w:val="00E316A4"/>
    <w:rsid w:val="00E32512"/>
    <w:rsid w:val="00E36EE7"/>
    <w:rsid w:val="00E3795A"/>
    <w:rsid w:val="00E402A3"/>
    <w:rsid w:val="00E419B6"/>
    <w:rsid w:val="00E4494F"/>
    <w:rsid w:val="00E464AC"/>
    <w:rsid w:val="00E46597"/>
    <w:rsid w:val="00E47E48"/>
    <w:rsid w:val="00E52317"/>
    <w:rsid w:val="00E531E7"/>
    <w:rsid w:val="00E53E81"/>
    <w:rsid w:val="00E54ABC"/>
    <w:rsid w:val="00E554F9"/>
    <w:rsid w:val="00E56D6D"/>
    <w:rsid w:val="00E570C0"/>
    <w:rsid w:val="00E57ACE"/>
    <w:rsid w:val="00E60803"/>
    <w:rsid w:val="00E614DC"/>
    <w:rsid w:val="00E61856"/>
    <w:rsid w:val="00E61ADA"/>
    <w:rsid w:val="00E6355A"/>
    <w:rsid w:val="00E63C08"/>
    <w:rsid w:val="00E7418D"/>
    <w:rsid w:val="00E7498E"/>
    <w:rsid w:val="00E75D71"/>
    <w:rsid w:val="00E80980"/>
    <w:rsid w:val="00E82758"/>
    <w:rsid w:val="00E82EEB"/>
    <w:rsid w:val="00E83793"/>
    <w:rsid w:val="00E8392F"/>
    <w:rsid w:val="00E83FAD"/>
    <w:rsid w:val="00E83FB3"/>
    <w:rsid w:val="00E846FC"/>
    <w:rsid w:val="00E85312"/>
    <w:rsid w:val="00E85606"/>
    <w:rsid w:val="00E9032E"/>
    <w:rsid w:val="00E92765"/>
    <w:rsid w:val="00E92E50"/>
    <w:rsid w:val="00E93E9B"/>
    <w:rsid w:val="00E97248"/>
    <w:rsid w:val="00E978F7"/>
    <w:rsid w:val="00E97F1F"/>
    <w:rsid w:val="00EA04CB"/>
    <w:rsid w:val="00EA2309"/>
    <w:rsid w:val="00EA34EE"/>
    <w:rsid w:val="00EA56B1"/>
    <w:rsid w:val="00EA5B57"/>
    <w:rsid w:val="00EA6530"/>
    <w:rsid w:val="00EA7383"/>
    <w:rsid w:val="00EB0248"/>
    <w:rsid w:val="00EB149B"/>
    <w:rsid w:val="00EB318E"/>
    <w:rsid w:val="00EB66A5"/>
    <w:rsid w:val="00EB6B00"/>
    <w:rsid w:val="00EB6B22"/>
    <w:rsid w:val="00EB737F"/>
    <w:rsid w:val="00ED07CD"/>
    <w:rsid w:val="00ED0CF8"/>
    <w:rsid w:val="00ED1D58"/>
    <w:rsid w:val="00ED2051"/>
    <w:rsid w:val="00ED2C5B"/>
    <w:rsid w:val="00ED4F28"/>
    <w:rsid w:val="00ED530B"/>
    <w:rsid w:val="00ED538C"/>
    <w:rsid w:val="00EE202F"/>
    <w:rsid w:val="00EE2CA5"/>
    <w:rsid w:val="00EE36FF"/>
    <w:rsid w:val="00EE39E3"/>
    <w:rsid w:val="00EE46D0"/>
    <w:rsid w:val="00EE49FB"/>
    <w:rsid w:val="00EE716A"/>
    <w:rsid w:val="00EF0E11"/>
    <w:rsid w:val="00EF12D6"/>
    <w:rsid w:val="00EF2CFE"/>
    <w:rsid w:val="00EF3191"/>
    <w:rsid w:val="00EF3EC1"/>
    <w:rsid w:val="00EF503A"/>
    <w:rsid w:val="00EF7566"/>
    <w:rsid w:val="00F00D42"/>
    <w:rsid w:val="00F01D0D"/>
    <w:rsid w:val="00F01D6B"/>
    <w:rsid w:val="00F02372"/>
    <w:rsid w:val="00F04169"/>
    <w:rsid w:val="00F0494E"/>
    <w:rsid w:val="00F04E14"/>
    <w:rsid w:val="00F05BDD"/>
    <w:rsid w:val="00F064E5"/>
    <w:rsid w:val="00F06BC4"/>
    <w:rsid w:val="00F10A19"/>
    <w:rsid w:val="00F11DE4"/>
    <w:rsid w:val="00F1229B"/>
    <w:rsid w:val="00F12D24"/>
    <w:rsid w:val="00F13286"/>
    <w:rsid w:val="00F13C55"/>
    <w:rsid w:val="00F147DF"/>
    <w:rsid w:val="00F154E4"/>
    <w:rsid w:val="00F16142"/>
    <w:rsid w:val="00F21075"/>
    <w:rsid w:val="00F21C92"/>
    <w:rsid w:val="00F2332D"/>
    <w:rsid w:val="00F23AFB"/>
    <w:rsid w:val="00F2586E"/>
    <w:rsid w:val="00F2660D"/>
    <w:rsid w:val="00F31536"/>
    <w:rsid w:val="00F32A73"/>
    <w:rsid w:val="00F32D7A"/>
    <w:rsid w:val="00F33ECC"/>
    <w:rsid w:val="00F3610A"/>
    <w:rsid w:val="00F367BE"/>
    <w:rsid w:val="00F40DA7"/>
    <w:rsid w:val="00F40E3F"/>
    <w:rsid w:val="00F43668"/>
    <w:rsid w:val="00F4374D"/>
    <w:rsid w:val="00F43CEF"/>
    <w:rsid w:val="00F456CB"/>
    <w:rsid w:val="00F50A60"/>
    <w:rsid w:val="00F51837"/>
    <w:rsid w:val="00F55684"/>
    <w:rsid w:val="00F55D3B"/>
    <w:rsid w:val="00F55E28"/>
    <w:rsid w:val="00F57F09"/>
    <w:rsid w:val="00F612A5"/>
    <w:rsid w:val="00F61B23"/>
    <w:rsid w:val="00F6242E"/>
    <w:rsid w:val="00F627D7"/>
    <w:rsid w:val="00F63A24"/>
    <w:rsid w:val="00F64470"/>
    <w:rsid w:val="00F64901"/>
    <w:rsid w:val="00F65A3E"/>
    <w:rsid w:val="00F739F5"/>
    <w:rsid w:val="00F80ABA"/>
    <w:rsid w:val="00F8257B"/>
    <w:rsid w:val="00F83526"/>
    <w:rsid w:val="00F8542C"/>
    <w:rsid w:val="00F918D5"/>
    <w:rsid w:val="00F91BF0"/>
    <w:rsid w:val="00F91C13"/>
    <w:rsid w:val="00F94587"/>
    <w:rsid w:val="00F97459"/>
    <w:rsid w:val="00F97B7E"/>
    <w:rsid w:val="00FA030B"/>
    <w:rsid w:val="00FA0373"/>
    <w:rsid w:val="00FA2284"/>
    <w:rsid w:val="00FA320C"/>
    <w:rsid w:val="00FA44EE"/>
    <w:rsid w:val="00FA6595"/>
    <w:rsid w:val="00FB0CEE"/>
    <w:rsid w:val="00FB23A0"/>
    <w:rsid w:val="00FB24FB"/>
    <w:rsid w:val="00FB2BE4"/>
    <w:rsid w:val="00FB308F"/>
    <w:rsid w:val="00FB3111"/>
    <w:rsid w:val="00FB3A12"/>
    <w:rsid w:val="00FB4A8B"/>
    <w:rsid w:val="00FB5B2B"/>
    <w:rsid w:val="00FB604C"/>
    <w:rsid w:val="00FB78D9"/>
    <w:rsid w:val="00FC246B"/>
    <w:rsid w:val="00FC25C0"/>
    <w:rsid w:val="00FC346F"/>
    <w:rsid w:val="00FC3F9E"/>
    <w:rsid w:val="00FC6710"/>
    <w:rsid w:val="00FC6BED"/>
    <w:rsid w:val="00FC76C5"/>
    <w:rsid w:val="00FD19E2"/>
    <w:rsid w:val="00FD1FBC"/>
    <w:rsid w:val="00FD3191"/>
    <w:rsid w:val="00FD3BD4"/>
    <w:rsid w:val="00FD42FC"/>
    <w:rsid w:val="00FD46FC"/>
    <w:rsid w:val="00FD53D4"/>
    <w:rsid w:val="00FE072D"/>
    <w:rsid w:val="00FE0E5A"/>
    <w:rsid w:val="00FE0EA0"/>
    <w:rsid w:val="00FE1090"/>
    <w:rsid w:val="00FE1978"/>
    <w:rsid w:val="00FE3186"/>
    <w:rsid w:val="00FE39F0"/>
    <w:rsid w:val="00FE3D3D"/>
    <w:rsid w:val="00FE45CE"/>
    <w:rsid w:val="00FE7CF4"/>
    <w:rsid w:val="00FF103C"/>
    <w:rsid w:val="00FF18F9"/>
    <w:rsid w:val="00FF2A2C"/>
    <w:rsid w:val="00FF3A4A"/>
    <w:rsid w:val="00FF42FD"/>
    <w:rsid w:val="00FF53A9"/>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91509D4-17C3-4452-89A5-6EBF85DD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uiPriority w:val="99"/>
    <w:unhideWhenUsed/>
    <w:qFormat/>
    <w:rsid w:val="00855D7A"/>
    <w:pPr>
      <w:spacing w:after="0" w:line="240" w:lineRule="auto"/>
    </w:pPr>
    <w:rPr>
      <w:sz w:val="20"/>
      <w:szCs w:val="20"/>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uiPriority w:val="99"/>
    <w:rsid w:val="00855D7A"/>
    <w:rPr>
      <w:rFonts w:ascii="Arial" w:hAnsi="Arial"/>
      <w:sz w:val="20"/>
      <w:szCs w:val="20"/>
    </w:rPr>
  </w:style>
  <w:style w:type="character" w:styleId="FootnoteReference">
    <w:name w:val="footnote reference"/>
    <w:aliases w:val="FC,(NECG) Footnote Reference,Footnote sign,Footnote sign1,EN Footnote Reference,number,SUPERS"/>
    <w:basedOn w:val="DefaultParagraphFont"/>
    <w:uiPriority w:val="99"/>
    <w:unhideWhenUsed/>
    <w:rsid w:val="00855D7A"/>
    <w:rPr>
      <w:vertAlign w:val="superscript"/>
    </w:rPr>
  </w:style>
  <w:style w:type="paragraph" w:customStyle="1" w:styleId="TableParagraph">
    <w:name w:val="Table Paragraph"/>
    <w:basedOn w:val="Normal"/>
    <w:uiPriority w:val="1"/>
    <w:qFormat/>
    <w:rsid w:val="000D4B2F"/>
    <w:pPr>
      <w:widowControl w:val="0"/>
      <w:autoSpaceDE w:val="0"/>
      <w:autoSpaceDN w:val="0"/>
      <w:spacing w:after="0" w:line="240" w:lineRule="auto"/>
      <w:jc w:val="center"/>
    </w:pPr>
    <w:rPr>
      <w:rFonts w:eastAsia="Arial" w:cs="Arial"/>
      <w:lang w:val="en-US"/>
    </w:rPr>
  </w:style>
  <w:style w:type="paragraph" w:customStyle="1" w:styleId="Bodycopy">
    <w:name w:val="Body copy"/>
    <w:basedOn w:val="Normal"/>
    <w:link w:val="BodycopyChar"/>
    <w:qFormat/>
    <w:rsid w:val="00D50333"/>
    <w:pPr>
      <w:spacing w:after="160" w:line="259" w:lineRule="auto"/>
    </w:pPr>
    <w:rPr>
      <w:color w:val="000000" w:themeColor="text1"/>
    </w:rPr>
  </w:style>
  <w:style w:type="character" w:customStyle="1" w:styleId="BodycopyChar">
    <w:name w:val="Body copy Char"/>
    <w:basedOn w:val="DefaultParagraphFont"/>
    <w:link w:val="Bodycopy"/>
    <w:rsid w:val="00D50333"/>
    <w:rPr>
      <w:rFonts w:ascii="Arial" w:hAnsi="Arial"/>
      <w:color w:val="000000" w:themeColor="text1"/>
    </w:rPr>
  </w:style>
  <w:style w:type="paragraph" w:styleId="Revision">
    <w:name w:val="Revision"/>
    <w:hidden/>
    <w:uiPriority w:val="99"/>
    <w:semiHidden/>
    <w:rsid w:val="00EE202F"/>
    <w:pPr>
      <w:spacing w:after="0" w:line="240" w:lineRule="auto"/>
    </w:pPr>
    <w:rPr>
      <w:rFonts w:ascii="Arial" w:hAnsi="Arial"/>
    </w:rPr>
  </w:style>
  <w:style w:type="paragraph" w:styleId="BodyText">
    <w:name w:val="Body Text"/>
    <w:basedOn w:val="Normal"/>
    <w:link w:val="BodyTextChar"/>
    <w:qFormat/>
    <w:rsid w:val="007E2E53"/>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7E2E53"/>
    <w:rPr>
      <w:rFonts w:ascii="Arial" w:hAnsi="Arial"/>
      <w:szCs w:val="20"/>
    </w:rPr>
  </w:style>
  <w:style w:type="paragraph" w:customStyle="1" w:styleId="BoxHeading">
    <w:name w:val="Box Heading"/>
    <w:basedOn w:val="BodyText"/>
    <w:uiPriority w:val="16"/>
    <w:qFormat/>
    <w:rsid w:val="007E2E53"/>
    <w:pPr>
      <w:keepNext/>
    </w:pPr>
    <w:rPr>
      <w:b/>
      <w:color w:val="2F005F"/>
      <w:sz w:val="23"/>
      <w:lang w:eastAsia="en-GB"/>
    </w:rPr>
  </w:style>
  <w:style w:type="table" w:customStyle="1" w:styleId="CustomTablepulloutbox">
    <w:name w:val="Custom Table (pullout box)"/>
    <w:basedOn w:val="TableNormal"/>
    <w:uiPriority w:val="99"/>
    <w:rsid w:val="007E2E53"/>
    <w:pPr>
      <w:spacing w:after="0" w:line="240" w:lineRule="auto"/>
    </w:pPr>
    <w:rPr>
      <w:sz w:val="20"/>
      <w:szCs w:val="20"/>
      <w:lang w:val="en-US"/>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paragraph" w:styleId="EndnoteText">
    <w:name w:val="endnote text"/>
    <w:basedOn w:val="Normal"/>
    <w:link w:val="EndnoteTextChar"/>
    <w:uiPriority w:val="99"/>
    <w:semiHidden/>
    <w:unhideWhenUsed/>
    <w:rsid w:val="00AC0C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C2F"/>
    <w:rPr>
      <w:rFonts w:ascii="Arial" w:hAnsi="Arial"/>
      <w:sz w:val="20"/>
      <w:szCs w:val="20"/>
    </w:rPr>
  </w:style>
  <w:style w:type="character" w:styleId="EndnoteReference">
    <w:name w:val="endnote reference"/>
    <w:basedOn w:val="DefaultParagraphFont"/>
    <w:uiPriority w:val="99"/>
    <w:semiHidden/>
    <w:unhideWhenUsed/>
    <w:rsid w:val="00AC0C2F"/>
    <w:rPr>
      <w:vertAlign w:val="superscript"/>
    </w:rPr>
  </w:style>
  <w:style w:type="character" w:styleId="FollowedHyperlink">
    <w:name w:val="FollowedHyperlink"/>
    <w:basedOn w:val="DefaultParagraphFont"/>
    <w:uiPriority w:val="99"/>
    <w:semiHidden/>
    <w:unhideWhenUsed/>
    <w:rsid w:val="00941773"/>
    <w:rPr>
      <w:color w:val="4B08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281">
      <w:bodyDiv w:val="1"/>
      <w:marLeft w:val="0"/>
      <w:marRight w:val="0"/>
      <w:marTop w:val="0"/>
      <w:marBottom w:val="0"/>
      <w:divBdr>
        <w:top w:val="none" w:sz="0" w:space="0" w:color="auto"/>
        <w:left w:val="none" w:sz="0" w:space="0" w:color="auto"/>
        <w:bottom w:val="none" w:sz="0" w:space="0" w:color="auto"/>
        <w:right w:val="none" w:sz="0" w:space="0" w:color="auto"/>
      </w:divBdr>
    </w:div>
    <w:div w:id="231083366">
      <w:bodyDiv w:val="1"/>
      <w:marLeft w:val="0"/>
      <w:marRight w:val="0"/>
      <w:marTop w:val="0"/>
      <w:marBottom w:val="0"/>
      <w:divBdr>
        <w:top w:val="none" w:sz="0" w:space="0" w:color="auto"/>
        <w:left w:val="none" w:sz="0" w:space="0" w:color="auto"/>
        <w:bottom w:val="none" w:sz="0" w:space="0" w:color="auto"/>
        <w:right w:val="none" w:sz="0" w:space="0" w:color="auto"/>
      </w:divBdr>
    </w:div>
    <w:div w:id="261377381">
      <w:bodyDiv w:val="1"/>
      <w:marLeft w:val="0"/>
      <w:marRight w:val="0"/>
      <w:marTop w:val="0"/>
      <w:marBottom w:val="0"/>
      <w:divBdr>
        <w:top w:val="none" w:sz="0" w:space="0" w:color="auto"/>
        <w:left w:val="none" w:sz="0" w:space="0" w:color="auto"/>
        <w:bottom w:val="none" w:sz="0" w:space="0" w:color="auto"/>
        <w:right w:val="none" w:sz="0" w:space="0" w:color="auto"/>
      </w:divBdr>
    </w:div>
    <w:div w:id="273027872">
      <w:bodyDiv w:val="1"/>
      <w:marLeft w:val="0"/>
      <w:marRight w:val="0"/>
      <w:marTop w:val="0"/>
      <w:marBottom w:val="0"/>
      <w:divBdr>
        <w:top w:val="none" w:sz="0" w:space="0" w:color="auto"/>
        <w:left w:val="none" w:sz="0" w:space="0" w:color="auto"/>
        <w:bottom w:val="none" w:sz="0" w:space="0" w:color="auto"/>
        <w:right w:val="none" w:sz="0" w:space="0" w:color="auto"/>
      </w:divBdr>
    </w:div>
    <w:div w:id="333610724">
      <w:bodyDiv w:val="1"/>
      <w:marLeft w:val="0"/>
      <w:marRight w:val="0"/>
      <w:marTop w:val="0"/>
      <w:marBottom w:val="0"/>
      <w:divBdr>
        <w:top w:val="none" w:sz="0" w:space="0" w:color="auto"/>
        <w:left w:val="none" w:sz="0" w:space="0" w:color="auto"/>
        <w:bottom w:val="none" w:sz="0" w:space="0" w:color="auto"/>
        <w:right w:val="none" w:sz="0" w:space="0" w:color="auto"/>
      </w:divBdr>
    </w:div>
    <w:div w:id="362832097">
      <w:bodyDiv w:val="1"/>
      <w:marLeft w:val="0"/>
      <w:marRight w:val="0"/>
      <w:marTop w:val="0"/>
      <w:marBottom w:val="0"/>
      <w:divBdr>
        <w:top w:val="none" w:sz="0" w:space="0" w:color="auto"/>
        <w:left w:val="none" w:sz="0" w:space="0" w:color="auto"/>
        <w:bottom w:val="none" w:sz="0" w:space="0" w:color="auto"/>
        <w:right w:val="none" w:sz="0" w:space="0" w:color="auto"/>
      </w:divBdr>
    </w:div>
    <w:div w:id="409733667">
      <w:bodyDiv w:val="1"/>
      <w:marLeft w:val="0"/>
      <w:marRight w:val="0"/>
      <w:marTop w:val="0"/>
      <w:marBottom w:val="0"/>
      <w:divBdr>
        <w:top w:val="none" w:sz="0" w:space="0" w:color="auto"/>
        <w:left w:val="none" w:sz="0" w:space="0" w:color="auto"/>
        <w:bottom w:val="none" w:sz="0" w:space="0" w:color="auto"/>
        <w:right w:val="none" w:sz="0" w:space="0" w:color="auto"/>
      </w:divBdr>
    </w:div>
    <w:div w:id="460071509">
      <w:bodyDiv w:val="1"/>
      <w:marLeft w:val="0"/>
      <w:marRight w:val="0"/>
      <w:marTop w:val="0"/>
      <w:marBottom w:val="0"/>
      <w:divBdr>
        <w:top w:val="none" w:sz="0" w:space="0" w:color="auto"/>
        <w:left w:val="none" w:sz="0" w:space="0" w:color="auto"/>
        <w:bottom w:val="none" w:sz="0" w:space="0" w:color="auto"/>
        <w:right w:val="none" w:sz="0" w:space="0" w:color="auto"/>
      </w:divBdr>
    </w:div>
    <w:div w:id="461391279">
      <w:bodyDiv w:val="1"/>
      <w:marLeft w:val="0"/>
      <w:marRight w:val="0"/>
      <w:marTop w:val="0"/>
      <w:marBottom w:val="0"/>
      <w:divBdr>
        <w:top w:val="none" w:sz="0" w:space="0" w:color="auto"/>
        <w:left w:val="none" w:sz="0" w:space="0" w:color="auto"/>
        <w:bottom w:val="none" w:sz="0" w:space="0" w:color="auto"/>
        <w:right w:val="none" w:sz="0" w:space="0" w:color="auto"/>
      </w:divBdr>
    </w:div>
    <w:div w:id="533885871">
      <w:bodyDiv w:val="1"/>
      <w:marLeft w:val="0"/>
      <w:marRight w:val="0"/>
      <w:marTop w:val="0"/>
      <w:marBottom w:val="0"/>
      <w:divBdr>
        <w:top w:val="none" w:sz="0" w:space="0" w:color="auto"/>
        <w:left w:val="none" w:sz="0" w:space="0" w:color="auto"/>
        <w:bottom w:val="none" w:sz="0" w:space="0" w:color="auto"/>
        <w:right w:val="none" w:sz="0" w:space="0" w:color="auto"/>
      </w:divBdr>
    </w:div>
    <w:div w:id="566377027">
      <w:bodyDiv w:val="1"/>
      <w:marLeft w:val="0"/>
      <w:marRight w:val="0"/>
      <w:marTop w:val="0"/>
      <w:marBottom w:val="0"/>
      <w:divBdr>
        <w:top w:val="none" w:sz="0" w:space="0" w:color="auto"/>
        <w:left w:val="none" w:sz="0" w:space="0" w:color="auto"/>
        <w:bottom w:val="none" w:sz="0" w:space="0" w:color="auto"/>
        <w:right w:val="none" w:sz="0" w:space="0" w:color="auto"/>
      </w:divBdr>
    </w:div>
    <w:div w:id="589627777">
      <w:bodyDiv w:val="1"/>
      <w:marLeft w:val="0"/>
      <w:marRight w:val="0"/>
      <w:marTop w:val="0"/>
      <w:marBottom w:val="0"/>
      <w:divBdr>
        <w:top w:val="none" w:sz="0" w:space="0" w:color="auto"/>
        <w:left w:val="none" w:sz="0" w:space="0" w:color="auto"/>
        <w:bottom w:val="none" w:sz="0" w:space="0" w:color="auto"/>
        <w:right w:val="none" w:sz="0" w:space="0" w:color="auto"/>
      </w:divBdr>
    </w:div>
    <w:div w:id="830288839">
      <w:bodyDiv w:val="1"/>
      <w:marLeft w:val="0"/>
      <w:marRight w:val="0"/>
      <w:marTop w:val="0"/>
      <w:marBottom w:val="0"/>
      <w:divBdr>
        <w:top w:val="none" w:sz="0" w:space="0" w:color="auto"/>
        <w:left w:val="none" w:sz="0" w:space="0" w:color="auto"/>
        <w:bottom w:val="none" w:sz="0" w:space="0" w:color="auto"/>
        <w:right w:val="none" w:sz="0" w:space="0" w:color="auto"/>
      </w:divBdr>
    </w:div>
    <w:div w:id="890656329">
      <w:bodyDiv w:val="1"/>
      <w:marLeft w:val="0"/>
      <w:marRight w:val="0"/>
      <w:marTop w:val="0"/>
      <w:marBottom w:val="0"/>
      <w:divBdr>
        <w:top w:val="none" w:sz="0" w:space="0" w:color="auto"/>
        <w:left w:val="none" w:sz="0" w:space="0" w:color="auto"/>
        <w:bottom w:val="none" w:sz="0" w:space="0" w:color="auto"/>
        <w:right w:val="none" w:sz="0" w:space="0" w:color="auto"/>
      </w:divBdr>
    </w:div>
    <w:div w:id="924844422">
      <w:bodyDiv w:val="1"/>
      <w:marLeft w:val="0"/>
      <w:marRight w:val="0"/>
      <w:marTop w:val="0"/>
      <w:marBottom w:val="0"/>
      <w:divBdr>
        <w:top w:val="none" w:sz="0" w:space="0" w:color="auto"/>
        <w:left w:val="none" w:sz="0" w:space="0" w:color="auto"/>
        <w:bottom w:val="none" w:sz="0" w:space="0" w:color="auto"/>
        <w:right w:val="none" w:sz="0" w:space="0" w:color="auto"/>
      </w:divBdr>
    </w:div>
    <w:div w:id="951129370">
      <w:bodyDiv w:val="1"/>
      <w:marLeft w:val="0"/>
      <w:marRight w:val="0"/>
      <w:marTop w:val="0"/>
      <w:marBottom w:val="0"/>
      <w:divBdr>
        <w:top w:val="none" w:sz="0" w:space="0" w:color="auto"/>
        <w:left w:val="none" w:sz="0" w:space="0" w:color="auto"/>
        <w:bottom w:val="none" w:sz="0" w:space="0" w:color="auto"/>
        <w:right w:val="none" w:sz="0" w:space="0" w:color="auto"/>
      </w:divBdr>
    </w:div>
    <w:div w:id="998657059">
      <w:bodyDiv w:val="1"/>
      <w:marLeft w:val="0"/>
      <w:marRight w:val="0"/>
      <w:marTop w:val="0"/>
      <w:marBottom w:val="0"/>
      <w:divBdr>
        <w:top w:val="none" w:sz="0" w:space="0" w:color="auto"/>
        <w:left w:val="none" w:sz="0" w:space="0" w:color="auto"/>
        <w:bottom w:val="none" w:sz="0" w:space="0" w:color="auto"/>
        <w:right w:val="none" w:sz="0" w:space="0" w:color="auto"/>
      </w:divBdr>
    </w:div>
    <w:div w:id="1009605086">
      <w:bodyDiv w:val="1"/>
      <w:marLeft w:val="0"/>
      <w:marRight w:val="0"/>
      <w:marTop w:val="0"/>
      <w:marBottom w:val="0"/>
      <w:divBdr>
        <w:top w:val="none" w:sz="0" w:space="0" w:color="auto"/>
        <w:left w:val="none" w:sz="0" w:space="0" w:color="auto"/>
        <w:bottom w:val="none" w:sz="0" w:space="0" w:color="auto"/>
        <w:right w:val="none" w:sz="0" w:space="0" w:color="auto"/>
      </w:divBdr>
    </w:div>
    <w:div w:id="1014266461">
      <w:bodyDiv w:val="1"/>
      <w:marLeft w:val="0"/>
      <w:marRight w:val="0"/>
      <w:marTop w:val="0"/>
      <w:marBottom w:val="0"/>
      <w:divBdr>
        <w:top w:val="none" w:sz="0" w:space="0" w:color="auto"/>
        <w:left w:val="none" w:sz="0" w:space="0" w:color="auto"/>
        <w:bottom w:val="none" w:sz="0" w:space="0" w:color="auto"/>
        <w:right w:val="none" w:sz="0" w:space="0" w:color="auto"/>
      </w:divBdr>
    </w:div>
    <w:div w:id="1098452193">
      <w:bodyDiv w:val="1"/>
      <w:marLeft w:val="0"/>
      <w:marRight w:val="0"/>
      <w:marTop w:val="0"/>
      <w:marBottom w:val="0"/>
      <w:divBdr>
        <w:top w:val="none" w:sz="0" w:space="0" w:color="auto"/>
        <w:left w:val="none" w:sz="0" w:space="0" w:color="auto"/>
        <w:bottom w:val="none" w:sz="0" w:space="0" w:color="auto"/>
        <w:right w:val="none" w:sz="0" w:space="0" w:color="auto"/>
      </w:divBdr>
    </w:div>
    <w:div w:id="1101148222">
      <w:bodyDiv w:val="1"/>
      <w:marLeft w:val="0"/>
      <w:marRight w:val="0"/>
      <w:marTop w:val="0"/>
      <w:marBottom w:val="0"/>
      <w:divBdr>
        <w:top w:val="none" w:sz="0" w:space="0" w:color="auto"/>
        <w:left w:val="none" w:sz="0" w:space="0" w:color="auto"/>
        <w:bottom w:val="none" w:sz="0" w:space="0" w:color="auto"/>
        <w:right w:val="none" w:sz="0" w:space="0" w:color="auto"/>
      </w:divBdr>
    </w:div>
    <w:div w:id="1151600167">
      <w:bodyDiv w:val="1"/>
      <w:marLeft w:val="0"/>
      <w:marRight w:val="0"/>
      <w:marTop w:val="0"/>
      <w:marBottom w:val="0"/>
      <w:divBdr>
        <w:top w:val="none" w:sz="0" w:space="0" w:color="auto"/>
        <w:left w:val="none" w:sz="0" w:space="0" w:color="auto"/>
        <w:bottom w:val="none" w:sz="0" w:space="0" w:color="auto"/>
        <w:right w:val="none" w:sz="0" w:space="0" w:color="auto"/>
      </w:divBdr>
    </w:div>
    <w:div w:id="1171137928">
      <w:bodyDiv w:val="1"/>
      <w:marLeft w:val="0"/>
      <w:marRight w:val="0"/>
      <w:marTop w:val="0"/>
      <w:marBottom w:val="0"/>
      <w:divBdr>
        <w:top w:val="none" w:sz="0" w:space="0" w:color="auto"/>
        <w:left w:val="none" w:sz="0" w:space="0" w:color="auto"/>
        <w:bottom w:val="none" w:sz="0" w:space="0" w:color="auto"/>
        <w:right w:val="none" w:sz="0" w:space="0" w:color="auto"/>
      </w:divBdr>
    </w:div>
    <w:div w:id="1237130358">
      <w:bodyDiv w:val="1"/>
      <w:marLeft w:val="0"/>
      <w:marRight w:val="0"/>
      <w:marTop w:val="0"/>
      <w:marBottom w:val="0"/>
      <w:divBdr>
        <w:top w:val="none" w:sz="0" w:space="0" w:color="auto"/>
        <w:left w:val="none" w:sz="0" w:space="0" w:color="auto"/>
        <w:bottom w:val="none" w:sz="0" w:space="0" w:color="auto"/>
        <w:right w:val="none" w:sz="0" w:space="0" w:color="auto"/>
      </w:divBdr>
    </w:div>
    <w:div w:id="1351877707">
      <w:bodyDiv w:val="1"/>
      <w:marLeft w:val="0"/>
      <w:marRight w:val="0"/>
      <w:marTop w:val="0"/>
      <w:marBottom w:val="0"/>
      <w:divBdr>
        <w:top w:val="none" w:sz="0" w:space="0" w:color="auto"/>
        <w:left w:val="none" w:sz="0" w:space="0" w:color="auto"/>
        <w:bottom w:val="none" w:sz="0" w:space="0" w:color="auto"/>
        <w:right w:val="none" w:sz="0" w:space="0" w:color="auto"/>
      </w:divBdr>
    </w:div>
    <w:div w:id="1361786597">
      <w:bodyDiv w:val="1"/>
      <w:marLeft w:val="0"/>
      <w:marRight w:val="0"/>
      <w:marTop w:val="0"/>
      <w:marBottom w:val="0"/>
      <w:divBdr>
        <w:top w:val="none" w:sz="0" w:space="0" w:color="auto"/>
        <w:left w:val="none" w:sz="0" w:space="0" w:color="auto"/>
        <w:bottom w:val="none" w:sz="0" w:space="0" w:color="auto"/>
        <w:right w:val="none" w:sz="0" w:space="0" w:color="auto"/>
      </w:divBdr>
    </w:div>
    <w:div w:id="1469740561">
      <w:bodyDiv w:val="1"/>
      <w:marLeft w:val="0"/>
      <w:marRight w:val="0"/>
      <w:marTop w:val="0"/>
      <w:marBottom w:val="0"/>
      <w:divBdr>
        <w:top w:val="none" w:sz="0" w:space="0" w:color="auto"/>
        <w:left w:val="none" w:sz="0" w:space="0" w:color="auto"/>
        <w:bottom w:val="none" w:sz="0" w:space="0" w:color="auto"/>
        <w:right w:val="none" w:sz="0" w:space="0" w:color="auto"/>
      </w:divBdr>
    </w:div>
    <w:div w:id="1515195226">
      <w:bodyDiv w:val="1"/>
      <w:marLeft w:val="0"/>
      <w:marRight w:val="0"/>
      <w:marTop w:val="0"/>
      <w:marBottom w:val="0"/>
      <w:divBdr>
        <w:top w:val="none" w:sz="0" w:space="0" w:color="auto"/>
        <w:left w:val="none" w:sz="0" w:space="0" w:color="auto"/>
        <w:bottom w:val="none" w:sz="0" w:space="0" w:color="auto"/>
        <w:right w:val="none" w:sz="0" w:space="0" w:color="auto"/>
      </w:divBdr>
    </w:div>
    <w:div w:id="1515995972">
      <w:bodyDiv w:val="1"/>
      <w:marLeft w:val="0"/>
      <w:marRight w:val="0"/>
      <w:marTop w:val="0"/>
      <w:marBottom w:val="0"/>
      <w:divBdr>
        <w:top w:val="none" w:sz="0" w:space="0" w:color="auto"/>
        <w:left w:val="none" w:sz="0" w:space="0" w:color="auto"/>
        <w:bottom w:val="none" w:sz="0" w:space="0" w:color="auto"/>
        <w:right w:val="none" w:sz="0" w:space="0" w:color="auto"/>
      </w:divBdr>
    </w:div>
    <w:div w:id="1562593666">
      <w:bodyDiv w:val="1"/>
      <w:marLeft w:val="0"/>
      <w:marRight w:val="0"/>
      <w:marTop w:val="0"/>
      <w:marBottom w:val="0"/>
      <w:divBdr>
        <w:top w:val="none" w:sz="0" w:space="0" w:color="auto"/>
        <w:left w:val="none" w:sz="0" w:space="0" w:color="auto"/>
        <w:bottom w:val="none" w:sz="0" w:space="0" w:color="auto"/>
        <w:right w:val="none" w:sz="0" w:space="0" w:color="auto"/>
      </w:divBdr>
      <w:divsChild>
        <w:div w:id="361787752">
          <w:marLeft w:val="446"/>
          <w:marRight w:val="0"/>
          <w:marTop w:val="60"/>
          <w:marBottom w:val="60"/>
          <w:divBdr>
            <w:top w:val="none" w:sz="0" w:space="0" w:color="auto"/>
            <w:left w:val="none" w:sz="0" w:space="0" w:color="auto"/>
            <w:bottom w:val="none" w:sz="0" w:space="0" w:color="auto"/>
            <w:right w:val="none" w:sz="0" w:space="0" w:color="auto"/>
          </w:divBdr>
        </w:div>
      </w:divsChild>
    </w:div>
    <w:div w:id="1572689916">
      <w:bodyDiv w:val="1"/>
      <w:marLeft w:val="0"/>
      <w:marRight w:val="0"/>
      <w:marTop w:val="0"/>
      <w:marBottom w:val="0"/>
      <w:divBdr>
        <w:top w:val="none" w:sz="0" w:space="0" w:color="auto"/>
        <w:left w:val="none" w:sz="0" w:space="0" w:color="auto"/>
        <w:bottom w:val="none" w:sz="0" w:space="0" w:color="auto"/>
        <w:right w:val="none" w:sz="0" w:space="0" w:color="auto"/>
      </w:divBdr>
    </w:div>
    <w:div w:id="1642423717">
      <w:bodyDiv w:val="1"/>
      <w:marLeft w:val="0"/>
      <w:marRight w:val="0"/>
      <w:marTop w:val="0"/>
      <w:marBottom w:val="0"/>
      <w:divBdr>
        <w:top w:val="none" w:sz="0" w:space="0" w:color="auto"/>
        <w:left w:val="none" w:sz="0" w:space="0" w:color="auto"/>
        <w:bottom w:val="none" w:sz="0" w:space="0" w:color="auto"/>
        <w:right w:val="none" w:sz="0" w:space="0" w:color="auto"/>
      </w:divBdr>
    </w:div>
    <w:div w:id="1724137362">
      <w:bodyDiv w:val="1"/>
      <w:marLeft w:val="0"/>
      <w:marRight w:val="0"/>
      <w:marTop w:val="0"/>
      <w:marBottom w:val="0"/>
      <w:divBdr>
        <w:top w:val="none" w:sz="0" w:space="0" w:color="auto"/>
        <w:left w:val="none" w:sz="0" w:space="0" w:color="auto"/>
        <w:bottom w:val="none" w:sz="0" w:space="0" w:color="auto"/>
        <w:right w:val="none" w:sz="0" w:space="0" w:color="auto"/>
      </w:divBdr>
    </w:div>
    <w:div w:id="1740055263">
      <w:bodyDiv w:val="1"/>
      <w:marLeft w:val="0"/>
      <w:marRight w:val="0"/>
      <w:marTop w:val="0"/>
      <w:marBottom w:val="0"/>
      <w:divBdr>
        <w:top w:val="none" w:sz="0" w:space="0" w:color="auto"/>
        <w:left w:val="none" w:sz="0" w:space="0" w:color="auto"/>
        <w:bottom w:val="none" w:sz="0" w:space="0" w:color="auto"/>
        <w:right w:val="none" w:sz="0" w:space="0" w:color="auto"/>
      </w:divBdr>
    </w:div>
    <w:div w:id="1797869502">
      <w:bodyDiv w:val="1"/>
      <w:marLeft w:val="0"/>
      <w:marRight w:val="0"/>
      <w:marTop w:val="0"/>
      <w:marBottom w:val="0"/>
      <w:divBdr>
        <w:top w:val="none" w:sz="0" w:space="0" w:color="auto"/>
        <w:left w:val="none" w:sz="0" w:space="0" w:color="auto"/>
        <w:bottom w:val="none" w:sz="0" w:space="0" w:color="auto"/>
        <w:right w:val="none" w:sz="0" w:space="0" w:color="auto"/>
      </w:divBdr>
    </w:div>
    <w:div w:id="1817141928">
      <w:bodyDiv w:val="1"/>
      <w:marLeft w:val="0"/>
      <w:marRight w:val="0"/>
      <w:marTop w:val="0"/>
      <w:marBottom w:val="0"/>
      <w:divBdr>
        <w:top w:val="none" w:sz="0" w:space="0" w:color="auto"/>
        <w:left w:val="none" w:sz="0" w:space="0" w:color="auto"/>
        <w:bottom w:val="none" w:sz="0" w:space="0" w:color="auto"/>
        <w:right w:val="none" w:sz="0" w:space="0" w:color="auto"/>
      </w:divBdr>
    </w:div>
    <w:div w:id="1971399321">
      <w:bodyDiv w:val="1"/>
      <w:marLeft w:val="0"/>
      <w:marRight w:val="0"/>
      <w:marTop w:val="0"/>
      <w:marBottom w:val="0"/>
      <w:divBdr>
        <w:top w:val="none" w:sz="0" w:space="0" w:color="auto"/>
        <w:left w:val="none" w:sz="0" w:space="0" w:color="auto"/>
        <w:bottom w:val="none" w:sz="0" w:space="0" w:color="auto"/>
        <w:right w:val="none" w:sz="0" w:space="0" w:color="auto"/>
      </w:divBdr>
    </w:div>
    <w:div w:id="2099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andskills.gov.au/studies/generative-artificial-intelligence-capacity-stud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ndskills.gov.au/data/regional-labour-market-indicato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jobsandskills.gov.au/studies/generative-artificial-intelligence-capacity-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RegionalWorkforceAssessment@jobsandskills.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46F03"/>
    <w:rsid w:val="00052436"/>
    <w:rsid w:val="000707FE"/>
    <w:rsid w:val="00087EA6"/>
    <w:rsid w:val="00090D67"/>
    <w:rsid w:val="000914F8"/>
    <w:rsid w:val="000A2382"/>
    <w:rsid w:val="000B77BD"/>
    <w:rsid w:val="0012162E"/>
    <w:rsid w:val="00183D17"/>
    <w:rsid w:val="00194459"/>
    <w:rsid w:val="00195C1B"/>
    <w:rsid w:val="001B274F"/>
    <w:rsid w:val="002032B5"/>
    <w:rsid w:val="002078E2"/>
    <w:rsid w:val="00297FB4"/>
    <w:rsid w:val="002D1AAA"/>
    <w:rsid w:val="002E428C"/>
    <w:rsid w:val="00333799"/>
    <w:rsid w:val="003A6210"/>
    <w:rsid w:val="004543E0"/>
    <w:rsid w:val="00461E16"/>
    <w:rsid w:val="00473083"/>
    <w:rsid w:val="00475DED"/>
    <w:rsid w:val="00482379"/>
    <w:rsid w:val="00487B1D"/>
    <w:rsid w:val="004D5816"/>
    <w:rsid w:val="004F5749"/>
    <w:rsid w:val="00511F38"/>
    <w:rsid w:val="00533420"/>
    <w:rsid w:val="00570FC1"/>
    <w:rsid w:val="00576CBE"/>
    <w:rsid w:val="00591B41"/>
    <w:rsid w:val="005A0B81"/>
    <w:rsid w:val="005B7DB3"/>
    <w:rsid w:val="005F5327"/>
    <w:rsid w:val="00616134"/>
    <w:rsid w:val="0061666E"/>
    <w:rsid w:val="00647290"/>
    <w:rsid w:val="00657D92"/>
    <w:rsid w:val="0066452D"/>
    <w:rsid w:val="006869C5"/>
    <w:rsid w:val="006B1365"/>
    <w:rsid w:val="006F7463"/>
    <w:rsid w:val="0071394E"/>
    <w:rsid w:val="007405AF"/>
    <w:rsid w:val="00747569"/>
    <w:rsid w:val="00781A2C"/>
    <w:rsid w:val="007C57C1"/>
    <w:rsid w:val="007D501F"/>
    <w:rsid w:val="007F6B0C"/>
    <w:rsid w:val="008215D5"/>
    <w:rsid w:val="00875EDF"/>
    <w:rsid w:val="00887072"/>
    <w:rsid w:val="0089009F"/>
    <w:rsid w:val="009808F4"/>
    <w:rsid w:val="009A1FF3"/>
    <w:rsid w:val="009A7D43"/>
    <w:rsid w:val="00A428F8"/>
    <w:rsid w:val="00AA5C14"/>
    <w:rsid w:val="00B1131A"/>
    <w:rsid w:val="00B42CEC"/>
    <w:rsid w:val="00BA4AB5"/>
    <w:rsid w:val="00BE46FD"/>
    <w:rsid w:val="00BF1239"/>
    <w:rsid w:val="00C337DD"/>
    <w:rsid w:val="00C650E8"/>
    <w:rsid w:val="00CB1E49"/>
    <w:rsid w:val="00CB5F31"/>
    <w:rsid w:val="00CD066C"/>
    <w:rsid w:val="00D74476"/>
    <w:rsid w:val="00DF4CD1"/>
    <w:rsid w:val="00DF4E0E"/>
    <w:rsid w:val="00E16680"/>
    <w:rsid w:val="00E24293"/>
    <w:rsid w:val="00E27F17"/>
    <w:rsid w:val="00E30DA3"/>
    <w:rsid w:val="00E554F9"/>
    <w:rsid w:val="00E56DA3"/>
    <w:rsid w:val="00E962D2"/>
    <w:rsid w:val="00EA637B"/>
    <w:rsid w:val="00EC6E4F"/>
    <w:rsid w:val="00EE2CA5"/>
    <w:rsid w:val="00EF3EC1"/>
    <w:rsid w:val="00EF6149"/>
    <w:rsid w:val="00F612A5"/>
    <w:rsid w:val="00F753F2"/>
    <w:rsid w:val="00FA2284"/>
    <w:rsid w:val="00FB78D9"/>
    <w:rsid w:val="00FC246B"/>
    <w:rsid w:val="00FD5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C14"/>
    <w:rPr>
      <w:color w:val="808080"/>
    </w:rPr>
  </w:style>
  <w:style w:type="paragraph" w:customStyle="1" w:styleId="2D2D024BDF304EF58EB26857CD7A9952">
    <w:name w:val="2D2D024BDF304EF58EB26857CD7A9952"/>
    <w:rsid w:val="00AA5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2dc7d0-ebe8-463d-9526-0b9a67aad5dc" xsi:nil="true"/>
    <lcf76f155ced4ddcb4097134ff3c332f xmlns="ab20247e-6a0c-49af-8cbd-2b7571a2ff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B81D2A8C074844941223011A4426D8" ma:contentTypeVersion="13" ma:contentTypeDescription="Create a new document." ma:contentTypeScope="" ma:versionID="d7e6fe269d6378d4566c0a6473a3d46e">
  <xsd:schema xmlns:xsd="http://www.w3.org/2001/XMLSchema" xmlns:xs="http://www.w3.org/2001/XMLSchema" xmlns:p="http://schemas.microsoft.com/office/2006/metadata/properties" xmlns:ns2="ab20247e-6a0c-49af-8cbd-2b7571a2fff6" xmlns:ns3="e52dc7d0-ebe8-463d-9526-0b9a67aad5dc" targetNamespace="http://schemas.microsoft.com/office/2006/metadata/properties" ma:root="true" ma:fieldsID="d316d9277698d8c3008f0a876ebc3e34" ns2:_="" ns3:_="">
    <xsd:import namespace="ab20247e-6a0c-49af-8cbd-2b7571a2fff6"/>
    <xsd:import namespace="e52dc7d0-ebe8-463d-9526-0b9a67aad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247e-6a0c-49af-8cbd-2b7571a2f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dc7d0-ebe8-463d-9526-0b9a67aad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4b38d1b-7891-4943-9719-c8494824accb}" ma:internalName="TaxCatchAll" ma:showField="CatchAllData" ma:web="e52dc7d0-ebe8-463d-9526-0b9a67aad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44083749-92F8-4312-917A-7ED321D5BB6C}">
  <ds:schemaRefs>
    <ds:schemaRef ds:uri="ab20247e-6a0c-49af-8cbd-2b7571a2fff6"/>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52dc7d0-ebe8-463d-9526-0b9a67aad5dc"/>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360D1AA2-DD4A-4BD9-BEF0-29AE345AB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0247e-6a0c-49af-8cbd-2b7571a2fff6"/>
    <ds:schemaRef ds:uri="e52dc7d0-ebe8-463d-9526-0b9a67aa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3011</Words>
  <Characters>16410</Characters>
  <Application>Microsoft Office Word</Application>
  <DocSecurity>0</DocSecurity>
  <Lines>1094</Lines>
  <Paragraphs>1078</Paragraphs>
  <ScaleCrop>false</ScaleCrop>
  <HeadingPairs>
    <vt:vector size="2" baseType="variant">
      <vt:variant>
        <vt:lpstr>Title</vt:lpstr>
      </vt:variant>
      <vt:variant>
        <vt:i4>1</vt:i4>
      </vt:variant>
    </vt:vector>
  </HeadingPairs>
  <TitlesOfParts>
    <vt:vector size="1" baseType="lpstr">
      <vt:lpstr>RLMI Results – September 2025</vt:lpstr>
    </vt:vector>
  </TitlesOfParts>
  <Company>JSA</Company>
  <LinksUpToDate>false</LinksUpToDate>
  <CharactersWithSpaces>18343</CharactersWithSpaces>
  <SharedDoc>false</SharedDoc>
  <HLinks>
    <vt:vector size="6" baseType="variant">
      <vt:variant>
        <vt:i4>7340037</vt:i4>
      </vt:variant>
      <vt:variant>
        <vt:i4>0</vt:i4>
      </vt:variant>
      <vt:variant>
        <vt:i4>0</vt:i4>
      </vt:variant>
      <vt:variant>
        <vt:i4>5</vt:i4>
      </vt:variant>
      <vt:variant>
        <vt:lpwstr>mailto:RegionalWorkforceAssessment@jobsandskills.gov.au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RLMI Results – September 2025</dc:title>
  <dc:subject>Report</dc:subject>
  <dc:creator>JSA</dc:creator>
  <cp:keywords>JSA report template</cp:keywords>
  <dc:description>Use this template to create a JSA report</dc:description>
  <cp:lastModifiedBy>SANDERSON,Jack</cp:lastModifiedBy>
  <cp:revision>2</cp:revision>
  <cp:lastPrinted>2025-08-12T07:05:00Z</cp:lastPrinted>
  <dcterms:created xsi:type="dcterms:W3CDTF">2025-11-11T02:56:00Z</dcterms:created>
  <dcterms:modified xsi:type="dcterms:W3CDTF">2025-11-11T02:56:00Z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0x01010002B81D2A8C074844941223011A4426D8</vt:lpwstr>
  </property>
  <property fmtid="{D5CDD505-2E9C-101B-9397-08002B2CF9AE}" pid="10" name="MediaServiceImageTags">
    <vt:lpwstr/>
  </property>
</Properties>
</file>