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662"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50E48C69" wp14:editId="6AEB7667">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662A3A96" wp14:editId="7D167F5B">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14D5D3C7" w14:textId="77777777" w:rsidR="00AA5442" w:rsidRDefault="00AA5442" w:rsidP="00AA5442">
      <w:pPr>
        <w:pStyle w:val="BodyText"/>
      </w:pPr>
    </w:p>
    <w:sdt>
      <w:sdtPr>
        <w:alias w:val="&lt; Title &gt;"/>
        <w:tag w:val=""/>
        <w:id w:val="162979263"/>
        <w:placeholder>
          <w:docPart w:val="0C7345D318274A09BDC317AA1BFADF3D"/>
        </w:placeholder>
        <w:dataBinding w:prefixMappings="xmlns:ns0='http://purl.org/dc/elements/1.1/' xmlns:ns1='http://schemas.openxmlformats.org/package/2006/metadata/core-properties' " w:xpath="/ns1:coreProperties[1]/ns0:title[1]" w:storeItemID="{6C3C8BC8-F283-45AE-878A-BAB7291924A1}"/>
        <w:text/>
      </w:sdtPr>
      <w:sdtContent>
        <w:p w14:paraId="6A2A3948" w14:textId="648156B0" w:rsidR="00AA5442" w:rsidRPr="00E60832" w:rsidRDefault="00C56168" w:rsidP="00AA5442">
          <w:pPr>
            <w:pStyle w:val="Title"/>
          </w:pPr>
          <w:r w:rsidRPr="00C56168">
            <w:t>2025 Occupation Shortage List – Stakeholder Survey Snapshot</w:t>
          </w:r>
        </w:p>
      </w:sdtContent>
    </w:sdt>
    <w:p w14:paraId="70E45DA3" w14:textId="42C78D84" w:rsidR="00AA5442" w:rsidRDefault="00AA5442" w:rsidP="00AA5442">
      <w:pPr>
        <w:pStyle w:val="Subtitle"/>
      </w:pPr>
    </w:p>
    <w:p w14:paraId="03E9384B" w14:textId="7736B2C4" w:rsidR="00AA5442" w:rsidRPr="00934D95" w:rsidRDefault="00C56168" w:rsidP="00AA5442">
      <w:pPr>
        <w:pStyle w:val="DocumentDetails"/>
      </w:pPr>
      <w:r>
        <w:t>October 2025</w:t>
      </w:r>
    </w:p>
    <w:p w14:paraId="25215550"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0AD29D28" w14:textId="77777777" w:rsidR="00452A9D" w:rsidRDefault="00452A9D" w:rsidP="00104750">
      <w:pPr>
        <w:pStyle w:val="TOCHeading"/>
      </w:pPr>
      <w:r>
        <w:lastRenderedPageBreak/>
        <w:t>Contents</w:t>
      </w:r>
    </w:p>
    <w:p w14:paraId="42408B96" w14:textId="02665AC2" w:rsidR="00CF5D25"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11347066" w:history="1">
        <w:r w:rsidR="00CF5D25" w:rsidRPr="009508CC">
          <w:rPr>
            <w:rStyle w:val="Hyperlink"/>
            <w:noProof/>
          </w:rPr>
          <w:t>Introduction</w:t>
        </w:r>
        <w:r w:rsidR="00CF5D25">
          <w:rPr>
            <w:noProof/>
            <w:webHidden/>
          </w:rPr>
          <w:tab/>
        </w:r>
        <w:r w:rsidR="00CF5D25">
          <w:rPr>
            <w:noProof/>
            <w:webHidden/>
          </w:rPr>
          <w:fldChar w:fldCharType="begin"/>
        </w:r>
        <w:r w:rsidR="00CF5D25">
          <w:rPr>
            <w:noProof/>
            <w:webHidden/>
          </w:rPr>
          <w:instrText xml:space="preserve"> PAGEREF _Toc211347066 \h </w:instrText>
        </w:r>
        <w:r w:rsidR="00CF5D25">
          <w:rPr>
            <w:noProof/>
            <w:webHidden/>
          </w:rPr>
        </w:r>
        <w:r w:rsidR="00CF5D25">
          <w:rPr>
            <w:noProof/>
            <w:webHidden/>
          </w:rPr>
          <w:fldChar w:fldCharType="separate"/>
        </w:r>
        <w:r w:rsidR="003D56F4">
          <w:rPr>
            <w:noProof/>
            <w:webHidden/>
          </w:rPr>
          <w:t>3</w:t>
        </w:r>
        <w:r w:rsidR="00CF5D25">
          <w:rPr>
            <w:noProof/>
            <w:webHidden/>
          </w:rPr>
          <w:fldChar w:fldCharType="end"/>
        </w:r>
      </w:hyperlink>
    </w:p>
    <w:p w14:paraId="4137D6C7" w14:textId="020F9177"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67" w:history="1">
        <w:r w:rsidRPr="009508CC">
          <w:rPr>
            <w:rStyle w:val="Hyperlink"/>
            <w:noProof/>
          </w:rPr>
          <w:t>Who responded to the survey?</w:t>
        </w:r>
        <w:r>
          <w:rPr>
            <w:noProof/>
            <w:webHidden/>
          </w:rPr>
          <w:tab/>
        </w:r>
        <w:r>
          <w:rPr>
            <w:noProof/>
            <w:webHidden/>
          </w:rPr>
          <w:fldChar w:fldCharType="begin"/>
        </w:r>
        <w:r>
          <w:rPr>
            <w:noProof/>
            <w:webHidden/>
          </w:rPr>
          <w:instrText xml:space="preserve"> PAGEREF _Toc211347067 \h </w:instrText>
        </w:r>
        <w:r>
          <w:rPr>
            <w:noProof/>
            <w:webHidden/>
          </w:rPr>
        </w:r>
        <w:r>
          <w:rPr>
            <w:noProof/>
            <w:webHidden/>
          </w:rPr>
          <w:fldChar w:fldCharType="separate"/>
        </w:r>
        <w:r w:rsidR="003D56F4">
          <w:rPr>
            <w:noProof/>
            <w:webHidden/>
          </w:rPr>
          <w:t>4</w:t>
        </w:r>
        <w:r>
          <w:rPr>
            <w:noProof/>
            <w:webHidden/>
          </w:rPr>
          <w:fldChar w:fldCharType="end"/>
        </w:r>
      </w:hyperlink>
    </w:p>
    <w:p w14:paraId="16376F9B" w14:textId="467937A9"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68" w:history="1">
        <w:r w:rsidRPr="009508CC">
          <w:rPr>
            <w:rStyle w:val="Hyperlink"/>
            <w:noProof/>
          </w:rPr>
          <w:t>From invitations to occupations covered</w:t>
        </w:r>
        <w:r>
          <w:rPr>
            <w:noProof/>
            <w:webHidden/>
          </w:rPr>
          <w:tab/>
        </w:r>
        <w:r>
          <w:rPr>
            <w:noProof/>
            <w:webHidden/>
          </w:rPr>
          <w:fldChar w:fldCharType="begin"/>
        </w:r>
        <w:r>
          <w:rPr>
            <w:noProof/>
            <w:webHidden/>
          </w:rPr>
          <w:instrText xml:space="preserve"> PAGEREF _Toc211347068 \h </w:instrText>
        </w:r>
        <w:r>
          <w:rPr>
            <w:noProof/>
            <w:webHidden/>
          </w:rPr>
        </w:r>
        <w:r>
          <w:rPr>
            <w:noProof/>
            <w:webHidden/>
          </w:rPr>
          <w:fldChar w:fldCharType="separate"/>
        </w:r>
        <w:r w:rsidR="003D56F4">
          <w:rPr>
            <w:noProof/>
            <w:webHidden/>
          </w:rPr>
          <w:t>4</w:t>
        </w:r>
        <w:r>
          <w:rPr>
            <w:noProof/>
            <w:webHidden/>
          </w:rPr>
          <w:fldChar w:fldCharType="end"/>
        </w:r>
      </w:hyperlink>
    </w:p>
    <w:p w14:paraId="67C14295" w14:textId="7F425DBD"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69" w:history="1">
        <w:r w:rsidRPr="009508CC">
          <w:rPr>
            <w:rStyle w:val="Hyperlink"/>
            <w:noProof/>
          </w:rPr>
          <w:t>Organisation type</w:t>
        </w:r>
        <w:r>
          <w:rPr>
            <w:noProof/>
            <w:webHidden/>
          </w:rPr>
          <w:tab/>
        </w:r>
        <w:r>
          <w:rPr>
            <w:noProof/>
            <w:webHidden/>
          </w:rPr>
          <w:fldChar w:fldCharType="begin"/>
        </w:r>
        <w:r>
          <w:rPr>
            <w:noProof/>
            <w:webHidden/>
          </w:rPr>
          <w:instrText xml:space="preserve"> PAGEREF _Toc211347069 \h </w:instrText>
        </w:r>
        <w:r>
          <w:rPr>
            <w:noProof/>
            <w:webHidden/>
          </w:rPr>
        </w:r>
        <w:r>
          <w:rPr>
            <w:noProof/>
            <w:webHidden/>
          </w:rPr>
          <w:fldChar w:fldCharType="separate"/>
        </w:r>
        <w:r w:rsidR="003D56F4">
          <w:rPr>
            <w:noProof/>
            <w:webHidden/>
          </w:rPr>
          <w:t>4</w:t>
        </w:r>
        <w:r>
          <w:rPr>
            <w:noProof/>
            <w:webHidden/>
          </w:rPr>
          <w:fldChar w:fldCharType="end"/>
        </w:r>
      </w:hyperlink>
    </w:p>
    <w:p w14:paraId="7C242D96" w14:textId="67F2C119"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0" w:history="1">
        <w:r w:rsidRPr="009508CC">
          <w:rPr>
            <w:rStyle w:val="Hyperlink"/>
            <w:noProof/>
          </w:rPr>
          <w:t>Industry representation</w:t>
        </w:r>
        <w:r>
          <w:rPr>
            <w:noProof/>
            <w:webHidden/>
          </w:rPr>
          <w:tab/>
        </w:r>
        <w:r>
          <w:rPr>
            <w:noProof/>
            <w:webHidden/>
          </w:rPr>
          <w:fldChar w:fldCharType="begin"/>
        </w:r>
        <w:r>
          <w:rPr>
            <w:noProof/>
            <w:webHidden/>
          </w:rPr>
          <w:instrText xml:space="preserve"> PAGEREF _Toc211347070 \h </w:instrText>
        </w:r>
        <w:r>
          <w:rPr>
            <w:noProof/>
            <w:webHidden/>
          </w:rPr>
        </w:r>
        <w:r>
          <w:rPr>
            <w:noProof/>
            <w:webHidden/>
          </w:rPr>
          <w:fldChar w:fldCharType="separate"/>
        </w:r>
        <w:r w:rsidR="003D56F4">
          <w:rPr>
            <w:noProof/>
            <w:webHidden/>
          </w:rPr>
          <w:t>5</w:t>
        </w:r>
        <w:r>
          <w:rPr>
            <w:noProof/>
            <w:webHidden/>
          </w:rPr>
          <w:fldChar w:fldCharType="end"/>
        </w:r>
      </w:hyperlink>
    </w:p>
    <w:p w14:paraId="12F5BD12" w14:textId="40F9D590"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1" w:history="1">
        <w:r w:rsidRPr="009508CC">
          <w:rPr>
            <w:rStyle w:val="Hyperlink"/>
            <w:noProof/>
          </w:rPr>
          <w:t>Geography of responses</w:t>
        </w:r>
        <w:r>
          <w:rPr>
            <w:noProof/>
            <w:webHidden/>
          </w:rPr>
          <w:tab/>
        </w:r>
        <w:r>
          <w:rPr>
            <w:noProof/>
            <w:webHidden/>
          </w:rPr>
          <w:fldChar w:fldCharType="begin"/>
        </w:r>
        <w:r>
          <w:rPr>
            <w:noProof/>
            <w:webHidden/>
          </w:rPr>
          <w:instrText xml:space="preserve"> PAGEREF _Toc211347071 \h </w:instrText>
        </w:r>
        <w:r>
          <w:rPr>
            <w:noProof/>
            <w:webHidden/>
          </w:rPr>
        </w:r>
        <w:r>
          <w:rPr>
            <w:noProof/>
            <w:webHidden/>
          </w:rPr>
          <w:fldChar w:fldCharType="separate"/>
        </w:r>
        <w:r w:rsidR="003D56F4">
          <w:rPr>
            <w:noProof/>
            <w:webHidden/>
          </w:rPr>
          <w:t>6</w:t>
        </w:r>
        <w:r>
          <w:rPr>
            <w:noProof/>
            <w:webHidden/>
          </w:rPr>
          <w:fldChar w:fldCharType="end"/>
        </w:r>
      </w:hyperlink>
    </w:p>
    <w:p w14:paraId="78630C77" w14:textId="74F5B577" w:rsidR="00CF5D25" w:rsidRDefault="00CF5D25">
      <w:pPr>
        <w:pStyle w:val="TOC3"/>
        <w:rPr>
          <w:rFonts w:asciiTheme="minorHAnsi" w:eastAsiaTheme="minorEastAsia" w:hAnsiTheme="minorHAnsi"/>
          <w:noProof/>
          <w:kern w:val="2"/>
          <w:sz w:val="24"/>
          <w:szCs w:val="24"/>
          <w:lang w:eastAsia="en-AU"/>
          <w14:ligatures w14:val="standardContextual"/>
        </w:rPr>
      </w:pPr>
      <w:hyperlink w:anchor="_Toc211347072" w:history="1">
        <w:r w:rsidRPr="009508CC">
          <w:rPr>
            <w:rStyle w:val="Hyperlink"/>
            <w:noProof/>
          </w:rPr>
          <w:t>Locality of responses</w:t>
        </w:r>
        <w:r>
          <w:rPr>
            <w:noProof/>
            <w:webHidden/>
          </w:rPr>
          <w:tab/>
        </w:r>
        <w:r>
          <w:rPr>
            <w:noProof/>
            <w:webHidden/>
          </w:rPr>
          <w:fldChar w:fldCharType="begin"/>
        </w:r>
        <w:r>
          <w:rPr>
            <w:noProof/>
            <w:webHidden/>
          </w:rPr>
          <w:instrText xml:space="preserve"> PAGEREF _Toc211347072 \h </w:instrText>
        </w:r>
        <w:r>
          <w:rPr>
            <w:noProof/>
            <w:webHidden/>
          </w:rPr>
        </w:r>
        <w:r>
          <w:rPr>
            <w:noProof/>
            <w:webHidden/>
          </w:rPr>
          <w:fldChar w:fldCharType="separate"/>
        </w:r>
        <w:r w:rsidR="003D56F4">
          <w:rPr>
            <w:noProof/>
            <w:webHidden/>
          </w:rPr>
          <w:t>7</w:t>
        </w:r>
        <w:r>
          <w:rPr>
            <w:noProof/>
            <w:webHidden/>
          </w:rPr>
          <w:fldChar w:fldCharType="end"/>
        </w:r>
      </w:hyperlink>
    </w:p>
    <w:p w14:paraId="0AE22287" w14:textId="4EB49B12"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3" w:history="1">
        <w:r w:rsidRPr="009508CC">
          <w:rPr>
            <w:rStyle w:val="Hyperlink"/>
            <w:noProof/>
          </w:rPr>
          <w:t>Most represented occupations</w:t>
        </w:r>
        <w:r>
          <w:rPr>
            <w:noProof/>
            <w:webHidden/>
          </w:rPr>
          <w:tab/>
        </w:r>
        <w:r>
          <w:rPr>
            <w:noProof/>
            <w:webHidden/>
          </w:rPr>
          <w:fldChar w:fldCharType="begin"/>
        </w:r>
        <w:r>
          <w:rPr>
            <w:noProof/>
            <w:webHidden/>
          </w:rPr>
          <w:instrText xml:space="preserve"> PAGEREF _Toc211347073 \h </w:instrText>
        </w:r>
        <w:r>
          <w:rPr>
            <w:noProof/>
            <w:webHidden/>
          </w:rPr>
        </w:r>
        <w:r>
          <w:rPr>
            <w:noProof/>
            <w:webHidden/>
          </w:rPr>
          <w:fldChar w:fldCharType="separate"/>
        </w:r>
        <w:r w:rsidR="003D56F4">
          <w:rPr>
            <w:noProof/>
            <w:webHidden/>
          </w:rPr>
          <w:t>7</w:t>
        </w:r>
        <w:r>
          <w:rPr>
            <w:noProof/>
            <w:webHidden/>
          </w:rPr>
          <w:fldChar w:fldCharType="end"/>
        </w:r>
      </w:hyperlink>
    </w:p>
    <w:p w14:paraId="20533ABC" w14:textId="046A1990"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74" w:history="1">
        <w:r w:rsidRPr="009508CC">
          <w:rPr>
            <w:rStyle w:val="Hyperlink"/>
            <w:noProof/>
          </w:rPr>
          <w:t>What respondents said about filling their vacancies</w:t>
        </w:r>
        <w:r>
          <w:rPr>
            <w:noProof/>
            <w:webHidden/>
          </w:rPr>
          <w:tab/>
        </w:r>
        <w:r>
          <w:rPr>
            <w:noProof/>
            <w:webHidden/>
          </w:rPr>
          <w:fldChar w:fldCharType="begin"/>
        </w:r>
        <w:r>
          <w:rPr>
            <w:noProof/>
            <w:webHidden/>
          </w:rPr>
          <w:instrText xml:space="preserve"> PAGEREF _Toc211347074 \h </w:instrText>
        </w:r>
        <w:r>
          <w:rPr>
            <w:noProof/>
            <w:webHidden/>
          </w:rPr>
        </w:r>
        <w:r>
          <w:rPr>
            <w:noProof/>
            <w:webHidden/>
          </w:rPr>
          <w:fldChar w:fldCharType="separate"/>
        </w:r>
        <w:r w:rsidR="003D56F4">
          <w:rPr>
            <w:noProof/>
            <w:webHidden/>
          </w:rPr>
          <w:t>9</w:t>
        </w:r>
        <w:r>
          <w:rPr>
            <w:noProof/>
            <w:webHidden/>
          </w:rPr>
          <w:fldChar w:fldCharType="end"/>
        </w:r>
      </w:hyperlink>
    </w:p>
    <w:p w14:paraId="3400FFC9" w14:textId="7FD77AF3"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5" w:history="1">
        <w:r w:rsidRPr="009508CC">
          <w:rPr>
            <w:rStyle w:val="Hyperlink"/>
            <w:noProof/>
          </w:rPr>
          <w:t>The big picture of vacancies filled</w:t>
        </w:r>
        <w:r>
          <w:rPr>
            <w:noProof/>
            <w:webHidden/>
          </w:rPr>
          <w:tab/>
        </w:r>
        <w:r>
          <w:rPr>
            <w:noProof/>
            <w:webHidden/>
          </w:rPr>
          <w:fldChar w:fldCharType="begin"/>
        </w:r>
        <w:r>
          <w:rPr>
            <w:noProof/>
            <w:webHidden/>
          </w:rPr>
          <w:instrText xml:space="preserve"> PAGEREF _Toc211347075 \h </w:instrText>
        </w:r>
        <w:r>
          <w:rPr>
            <w:noProof/>
            <w:webHidden/>
          </w:rPr>
        </w:r>
        <w:r>
          <w:rPr>
            <w:noProof/>
            <w:webHidden/>
          </w:rPr>
          <w:fldChar w:fldCharType="separate"/>
        </w:r>
        <w:r w:rsidR="003D56F4">
          <w:rPr>
            <w:noProof/>
            <w:webHidden/>
          </w:rPr>
          <w:t>9</w:t>
        </w:r>
        <w:r>
          <w:rPr>
            <w:noProof/>
            <w:webHidden/>
          </w:rPr>
          <w:fldChar w:fldCharType="end"/>
        </w:r>
      </w:hyperlink>
    </w:p>
    <w:p w14:paraId="2561926B" w14:textId="4DB08530"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6" w:history="1">
        <w:r w:rsidRPr="009508CC">
          <w:rPr>
            <w:rStyle w:val="Hyperlink"/>
            <w:noProof/>
          </w:rPr>
          <w:t>Proportion of vacancies filled by major group</w:t>
        </w:r>
        <w:r>
          <w:rPr>
            <w:noProof/>
            <w:webHidden/>
          </w:rPr>
          <w:tab/>
        </w:r>
        <w:r>
          <w:rPr>
            <w:noProof/>
            <w:webHidden/>
          </w:rPr>
          <w:fldChar w:fldCharType="begin"/>
        </w:r>
        <w:r>
          <w:rPr>
            <w:noProof/>
            <w:webHidden/>
          </w:rPr>
          <w:instrText xml:space="preserve"> PAGEREF _Toc211347076 \h </w:instrText>
        </w:r>
        <w:r>
          <w:rPr>
            <w:noProof/>
            <w:webHidden/>
          </w:rPr>
        </w:r>
        <w:r>
          <w:rPr>
            <w:noProof/>
            <w:webHidden/>
          </w:rPr>
          <w:fldChar w:fldCharType="separate"/>
        </w:r>
        <w:r w:rsidR="003D56F4">
          <w:rPr>
            <w:noProof/>
            <w:webHidden/>
          </w:rPr>
          <w:t>9</w:t>
        </w:r>
        <w:r>
          <w:rPr>
            <w:noProof/>
            <w:webHidden/>
          </w:rPr>
          <w:fldChar w:fldCharType="end"/>
        </w:r>
      </w:hyperlink>
    </w:p>
    <w:p w14:paraId="2B3AE8E4" w14:textId="78ADF73F"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7" w:history="1">
        <w:r w:rsidRPr="009508CC">
          <w:rPr>
            <w:rStyle w:val="Hyperlink"/>
            <w:noProof/>
          </w:rPr>
          <w:t>Vacancy fill rates by major group</w:t>
        </w:r>
        <w:r>
          <w:rPr>
            <w:noProof/>
            <w:webHidden/>
          </w:rPr>
          <w:tab/>
        </w:r>
        <w:r>
          <w:rPr>
            <w:noProof/>
            <w:webHidden/>
          </w:rPr>
          <w:fldChar w:fldCharType="begin"/>
        </w:r>
        <w:r>
          <w:rPr>
            <w:noProof/>
            <w:webHidden/>
          </w:rPr>
          <w:instrText xml:space="preserve"> PAGEREF _Toc211347077 \h </w:instrText>
        </w:r>
        <w:r>
          <w:rPr>
            <w:noProof/>
            <w:webHidden/>
          </w:rPr>
        </w:r>
        <w:r>
          <w:rPr>
            <w:noProof/>
            <w:webHidden/>
          </w:rPr>
          <w:fldChar w:fldCharType="separate"/>
        </w:r>
        <w:r w:rsidR="003D56F4">
          <w:rPr>
            <w:noProof/>
            <w:webHidden/>
          </w:rPr>
          <w:t>10</w:t>
        </w:r>
        <w:r>
          <w:rPr>
            <w:noProof/>
            <w:webHidden/>
          </w:rPr>
          <w:fldChar w:fldCharType="end"/>
        </w:r>
      </w:hyperlink>
    </w:p>
    <w:p w14:paraId="0E053A63" w14:textId="3D124102"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8" w:history="1">
        <w:r w:rsidRPr="009508CC">
          <w:rPr>
            <w:rStyle w:val="Hyperlink"/>
            <w:noProof/>
          </w:rPr>
          <w:t>Vacancies filled by jurisdiction</w:t>
        </w:r>
        <w:r>
          <w:rPr>
            <w:noProof/>
            <w:webHidden/>
          </w:rPr>
          <w:tab/>
        </w:r>
        <w:r>
          <w:rPr>
            <w:noProof/>
            <w:webHidden/>
          </w:rPr>
          <w:fldChar w:fldCharType="begin"/>
        </w:r>
        <w:r>
          <w:rPr>
            <w:noProof/>
            <w:webHidden/>
          </w:rPr>
          <w:instrText xml:space="preserve"> PAGEREF _Toc211347078 \h </w:instrText>
        </w:r>
        <w:r>
          <w:rPr>
            <w:noProof/>
            <w:webHidden/>
          </w:rPr>
        </w:r>
        <w:r>
          <w:rPr>
            <w:noProof/>
            <w:webHidden/>
          </w:rPr>
          <w:fldChar w:fldCharType="separate"/>
        </w:r>
        <w:r w:rsidR="003D56F4">
          <w:rPr>
            <w:noProof/>
            <w:webHidden/>
          </w:rPr>
          <w:t>11</w:t>
        </w:r>
        <w:r>
          <w:rPr>
            <w:noProof/>
            <w:webHidden/>
          </w:rPr>
          <w:fldChar w:fldCharType="end"/>
        </w:r>
      </w:hyperlink>
    </w:p>
    <w:p w14:paraId="799DAD58" w14:textId="4B502C58" w:rsidR="00CF5D25" w:rsidRDefault="00CF5D25">
      <w:pPr>
        <w:pStyle w:val="TOC2"/>
        <w:rPr>
          <w:rFonts w:asciiTheme="minorHAnsi" w:eastAsiaTheme="minorEastAsia" w:hAnsiTheme="minorHAnsi"/>
          <w:b w:val="0"/>
          <w:noProof/>
          <w:kern w:val="2"/>
          <w:sz w:val="24"/>
          <w:szCs w:val="24"/>
          <w:lang w:eastAsia="en-AU"/>
          <w14:ligatures w14:val="standardContextual"/>
        </w:rPr>
      </w:pPr>
      <w:hyperlink w:anchor="_Toc211347079" w:history="1">
        <w:r w:rsidRPr="009508CC">
          <w:rPr>
            <w:rStyle w:val="Hyperlink"/>
            <w:noProof/>
          </w:rPr>
          <w:t>Vacancies filled by locality</w:t>
        </w:r>
        <w:r>
          <w:rPr>
            <w:noProof/>
            <w:webHidden/>
          </w:rPr>
          <w:tab/>
        </w:r>
        <w:r>
          <w:rPr>
            <w:noProof/>
            <w:webHidden/>
          </w:rPr>
          <w:fldChar w:fldCharType="begin"/>
        </w:r>
        <w:r>
          <w:rPr>
            <w:noProof/>
            <w:webHidden/>
          </w:rPr>
          <w:instrText xml:space="preserve"> PAGEREF _Toc211347079 \h </w:instrText>
        </w:r>
        <w:r>
          <w:rPr>
            <w:noProof/>
            <w:webHidden/>
          </w:rPr>
        </w:r>
        <w:r>
          <w:rPr>
            <w:noProof/>
            <w:webHidden/>
          </w:rPr>
          <w:fldChar w:fldCharType="separate"/>
        </w:r>
        <w:r w:rsidR="003D56F4">
          <w:rPr>
            <w:noProof/>
            <w:webHidden/>
          </w:rPr>
          <w:t>12</w:t>
        </w:r>
        <w:r>
          <w:rPr>
            <w:noProof/>
            <w:webHidden/>
          </w:rPr>
          <w:fldChar w:fldCharType="end"/>
        </w:r>
      </w:hyperlink>
    </w:p>
    <w:p w14:paraId="311010D1" w14:textId="77A2138A"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80" w:history="1">
        <w:r w:rsidRPr="009508CC">
          <w:rPr>
            <w:rStyle w:val="Hyperlink"/>
            <w:noProof/>
          </w:rPr>
          <w:t>Supply of suitable workers</w:t>
        </w:r>
        <w:r>
          <w:rPr>
            <w:noProof/>
            <w:webHidden/>
          </w:rPr>
          <w:tab/>
        </w:r>
        <w:r>
          <w:rPr>
            <w:noProof/>
            <w:webHidden/>
          </w:rPr>
          <w:fldChar w:fldCharType="begin"/>
        </w:r>
        <w:r>
          <w:rPr>
            <w:noProof/>
            <w:webHidden/>
          </w:rPr>
          <w:instrText xml:space="preserve"> PAGEREF _Toc211347080 \h </w:instrText>
        </w:r>
        <w:r>
          <w:rPr>
            <w:noProof/>
            <w:webHidden/>
          </w:rPr>
        </w:r>
        <w:r>
          <w:rPr>
            <w:noProof/>
            <w:webHidden/>
          </w:rPr>
          <w:fldChar w:fldCharType="separate"/>
        </w:r>
        <w:r w:rsidR="003D56F4">
          <w:rPr>
            <w:noProof/>
            <w:webHidden/>
          </w:rPr>
          <w:t>13</w:t>
        </w:r>
        <w:r>
          <w:rPr>
            <w:noProof/>
            <w:webHidden/>
          </w:rPr>
          <w:fldChar w:fldCharType="end"/>
        </w:r>
      </w:hyperlink>
    </w:p>
    <w:p w14:paraId="5061E18A" w14:textId="3730100F"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81" w:history="1">
        <w:r w:rsidRPr="009508CC">
          <w:rPr>
            <w:rStyle w:val="Hyperlink"/>
            <w:noProof/>
          </w:rPr>
          <w:t>Demand for skilled labour</w:t>
        </w:r>
        <w:r>
          <w:rPr>
            <w:noProof/>
            <w:webHidden/>
          </w:rPr>
          <w:tab/>
        </w:r>
        <w:r>
          <w:rPr>
            <w:noProof/>
            <w:webHidden/>
          </w:rPr>
          <w:fldChar w:fldCharType="begin"/>
        </w:r>
        <w:r>
          <w:rPr>
            <w:noProof/>
            <w:webHidden/>
          </w:rPr>
          <w:instrText xml:space="preserve"> PAGEREF _Toc211347081 \h </w:instrText>
        </w:r>
        <w:r>
          <w:rPr>
            <w:noProof/>
            <w:webHidden/>
          </w:rPr>
        </w:r>
        <w:r>
          <w:rPr>
            <w:noProof/>
            <w:webHidden/>
          </w:rPr>
          <w:fldChar w:fldCharType="separate"/>
        </w:r>
        <w:r w:rsidR="003D56F4">
          <w:rPr>
            <w:noProof/>
            <w:webHidden/>
          </w:rPr>
          <w:t>14</w:t>
        </w:r>
        <w:r>
          <w:rPr>
            <w:noProof/>
            <w:webHidden/>
          </w:rPr>
          <w:fldChar w:fldCharType="end"/>
        </w:r>
      </w:hyperlink>
    </w:p>
    <w:p w14:paraId="56164D23" w14:textId="6D83314D"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82" w:history="1">
        <w:r w:rsidRPr="009508CC">
          <w:rPr>
            <w:rStyle w:val="Hyperlink"/>
            <w:noProof/>
          </w:rPr>
          <w:t>Reasons vacancies were not filled</w:t>
        </w:r>
        <w:r>
          <w:rPr>
            <w:noProof/>
            <w:webHidden/>
          </w:rPr>
          <w:tab/>
        </w:r>
        <w:r>
          <w:rPr>
            <w:noProof/>
            <w:webHidden/>
          </w:rPr>
          <w:fldChar w:fldCharType="begin"/>
        </w:r>
        <w:r>
          <w:rPr>
            <w:noProof/>
            <w:webHidden/>
          </w:rPr>
          <w:instrText xml:space="preserve"> PAGEREF _Toc211347082 \h </w:instrText>
        </w:r>
        <w:r>
          <w:rPr>
            <w:noProof/>
            <w:webHidden/>
          </w:rPr>
        </w:r>
        <w:r>
          <w:rPr>
            <w:noProof/>
            <w:webHidden/>
          </w:rPr>
          <w:fldChar w:fldCharType="separate"/>
        </w:r>
        <w:r w:rsidR="003D56F4">
          <w:rPr>
            <w:noProof/>
            <w:webHidden/>
          </w:rPr>
          <w:t>15</w:t>
        </w:r>
        <w:r>
          <w:rPr>
            <w:noProof/>
            <w:webHidden/>
          </w:rPr>
          <w:fldChar w:fldCharType="end"/>
        </w:r>
      </w:hyperlink>
    </w:p>
    <w:p w14:paraId="309A2809" w14:textId="7E408429" w:rsidR="00CF5D25" w:rsidRDefault="00CF5D25">
      <w:pPr>
        <w:pStyle w:val="TOC1"/>
        <w:rPr>
          <w:rFonts w:asciiTheme="minorHAnsi" w:eastAsiaTheme="minorEastAsia" w:hAnsiTheme="minorHAnsi"/>
          <w:b w:val="0"/>
          <w:noProof/>
          <w:color w:val="auto"/>
          <w:kern w:val="2"/>
          <w:sz w:val="24"/>
          <w:szCs w:val="24"/>
          <w:lang w:eastAsia="en-AU"/>
          <w14:ligatures w14:val="standardContextual"/>
        </w:rPr>
      </w:pPr>
      <w:hyperlink w:anchor="_Toc211347083" w:history="1">
        <w:r w:rsidRPr="009508CC">
          <w:rPr>
            <w:rStyle w:val="Hyperlink"/>
            <w:noProof/>
          </w:rPr>
          <w:t>Information Sources</w:t>
        </w:r>
        <w:r>
          <w:rPr>
            <w:noProof/>
            <w:webHidden/>
          </w:rPr>
          <w:tab/>
        </w:r>
        <w:r>
          <w:rPr>
            <w:noProof/>
            <w:webHidden/>
          </w:rPr>
          <w:fldChar w:fldCharType="begin"/>
        </w:r>
        <w:r>
          <w:rPr>
            <w:noProof/>
            <w:webHidden/>
          </w:rPr>
          <w:instrText xml:space="preserve"> PAGEREF _Toc211347083 \h </w:instrText>
        </w:r>
        <w:r>
          <w:rPr>
            <w:noProof/>
            <w:webHidden/>
          </w:rPr>
        </w:r>
        <w:r>
          <w:rPr>
            <w:noProof/>
            <w:webHidden/>
          </w:rPr>
          <w:fldChar w:fldCharType="separate"/>
        </w:r>
        <w:r w:rsidR="003D56F4">
          <w:rPr>
            <w:noProof/>
            <w:webHidden/>
          </w:rPr>
          <w:t>16</w:t>
        </w:r>
        <w:r>
          <w:rPr>
            <w:noProof/>
            <w:webHidden/>
          </w:rPr>
          <w:fldChar w:fldCharType="end"/>
        </w:r>
      </w:hyperlink>
    </w:p>
    <w:p w14:paraId="04640B25" w14:textId="24FE9F76" w:rsidR="00C56168" w:rsidRDefault="00452A9D" w:rsidP="00C56168">
      <w:pPr>
        <w:pStyle w:val="BodyText"/>
      </w:pPr>
      <w:r>
        <w:fldChar w:fldCharType="end"/>
      </w:r>
    </w:p>
    <w:p w14:paraId="1D439985" w14:textId="2267D506" w:rsidR="00C56168" w:rsidRDefault="00C56168" w:rsidP="00C56168">
      <w:pPr>
        <w:pStyle w:val="TOCHeading"/>
      </w:pPr>
      <w:r>
        <w:t>Tables</w:t>
      </w:r>
    </w:p>
    <w:p w14:paraId="6F673011" w14:textId="7ED07327" w:rsidR="00CF5D25" w:rsidRDefault="00C56168">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fldChar w:fldCharType="begin"/>
      </w:r>
      <w:r w:rsidRPr="00C56168">
        <w:instrText xml:space="preserve"> TOC \h \z \c "Table" </w:instrText>
      </w:r>
      <w:r>
        <w:fldChar w:fldCharType="separate"/>
      </w:r>
      <w:hyperlink w:anchor="_Toc211347084" w:history="1">
        <w:r w:rsidR="00CF5D25" w:rsidRPr="00D91565">
          <w:rPr>
            <w:rStyle w:val="Hyperlink"/>
            <w:noProof/>
          </w:rPr>
          <w:t>Table 1: Organisation types</w:t>
        </w:r>
        <w:r w:rsidR="00CF5D25">
          <w:rPr>
            <w:noProof/>
            <w:webHidden/>
          </w:rPr>
          <w:tab/>
        </w:r>
        <w:r w:rsidR="00CF5D25">
          <w:rPr>
            <w:noProof/>
            <w:webHidden/>
          </w:rPr>
          <w:fldChar w:fldCharType="begin"/>
        </w:r>
        <w:r w:rsidR="00CF5D25">
          <w:rPr>
            <w:noProof/>
            <w:webHidden/>
          </w:rPr>
          <w:instrText xml:space="preserve"> PAGEREF _Toc211347084 \h </w:instrText>
        </w:r>
        <w:r w:rsidR="00CF5D25">
          <w:rPr>
            <w:noProof/>
            <w:webHidden/>
          </w:rPr>
        </w:r>
        <w:r w:rsidR="00CF5D25">
          <w:rPr>
            <w:noProof/>
            <w:webHidden/>
          </w:rPr>
          <w:fldChar w:fldCharType="separate"/>
        </w:r>
        <w:r w:rsidR="003D56F4">
          <w:rPr>
            <w:noProof/>
            <w:webHidden/>
          </w:rPr>
          <w:t>5</w:t>
        </w:r>
        <w:r w:rsidR="00CF5D25">
          <w:rPr>
            <w:noProof/>
            <w:webHidden/>
          </w:rPr>
          <w:fldChar w:fldCharType="end"/>
        </w:r>
      </w:hyperlink>
    </w:p>
    <w:p w14:paraId="64ABF4BC" w14:textId="7D75B535"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85" w:history="1">
        <w:r w:rsidRPr="00D91565">
          <w:rPr>
            <w:rStyle w:val="Hyperlink"/>
            <w:noProof/>
          </w:rPr>
          <w:t>Table 2: ANZSIC industries by number and percentage of survey participants</w:t>
        </w:r>
        <w:r>
          <w:rPr>
            <w:noProof/>
            <w:webHidden/>
          </w:rPr>
          <w:tab/>
        </w:r>
        <w:r>
          <w:rPr>
            <w:noProof/>
            <w:webHidden/>
          </w:rPr>
          <w:fldChar w:fldCharType="begin"/>
        </w:r>
        <w:r>
          <w:rPr>
            <w:noProof/>
            <w:webHidden/>
          </w:rPr>
          <w:instrText xml:space="preserve"> PAGEREF _Toc211347085 \h </w:instrText>
        </w:r>
        <w:r>
          <w:rPr>
            <w:noProof/>
            <w:webHidden/>
          </w:rPr>
        </w:r>
        <w:r>
          <w:rPr>
            <w:noProof/>
            <w:webHidden/>
          </w:rPr>
          <w:fldChar w:fldCharType="separate"/>
        </w:r>
        <w:r w:rsidR="003D56F4">
          <w:rPr>
            <w:noProof/>
            <w:webHidden/>
          </w:rPr>
          <w:t>6</w:t>
        </w:r>
        <w:r>
          <w:rPr>
            <w:noProof/>
            <w:webHidden/>
          </w:rPr>
          <w:fldChar w:fldCharType="end"/>
        </w:r>
      </w:hyperlink>
    </w:p>
    <w:p w14:paraId="33D8B42D" w14:textId="00BCE1FB"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86" w:history="1">
        <w:r w:rsidRPr="00D91565">
          <w:rPr>
            <w:rStyle w:val="Hyperlink"/>
            <w:noProof/>
          </w:rPr>
          <w:t>Table 3: Occupations most reported on by survey participants</w:t>
        </w:r>
        <w:r>
          <w:rPr>
            <w:noProof/>
            <w:webHidden/>
          </w:rPr>
          <w:tab/>
        </w:r>
        <w:r>
          <w:rPr>
            <w:noProof/>
            <w:webHidden/>
          </w:rPr>
          <w:fldChar w:fldCharType="begin"/>
        </w:r>
        <w:r>
          <w:rPr>
            <w:noProof/>
            <w:webHidden/>
          </w:rPr>
          <w:instrText xml:space="preserve"> PAGEREF _Toc211347086 \h </w:instrText>
        </w:r>
        <w:r>
          <w:rPr>
            <w:noProof/>
            <w:webHidden/>
          </w:rPr>
        </w:r>
        <w:r>
          <w:rPr>
            <w:noProof/>
            <w:webHidden/>
          </w:rPr>
          <w:fldChar w:fldCharType="separate"/>
        </w:r>
        <w:r w:rsidR="003D56F4">
          <w:rPr>
            <w:noProof/>
            <w:webHidden/>
          </w:rPr>
          <w:t>8</w:t>
        </w:r>
        <w:r>
          <w:rPr>
            <w:noProof/>
            <w:webHidden/>
          </w:rPr>
          <w:fldChar w:fldCharType="end"/>
        </w:r>
      </w:hyperlink>
    </w:p>
    <w:p w14:paraId="3238493A" w14:textId="1B85010F" w:rsidR="00C56168" w:rsidRDefault="00C56168" w:rsidP="00C56168">
      <w:r>
        <w:fldChar w:fldCharType="end"/>
      </w:r>
    </w:p>
    <w:p w14:paraId="070DB058" w14:textId="77777777" w:rsidR="00C56168" w:rsidRDefault="00C56168">
      <w:pPr>
        <w:spacing w:before="0" w:after="200" w:line="276" w:lineRule="auto"/>
        <w:rPr>
          <w:rFonts w:eastAsiaTheme="majorEastAsia" w:cstheme="majorBidi"/>
          <w:b/>
          <w:bCs/>
          <w:color w:val="4B0985"/>
          <w:sz w:val="48"/>
          <w:szCs w:val="28"/>
        </w:rPr>
      </w:pPr>
      <w:r>
        <w:br w:type="page"/>
      </w:r>
    </w:p>
    <w:p w14:paraId="345E0EC9" w14:textId="6B4D1439" w:rsidR="00C56168" w:rsidRDefault="00C56168" w:rsidP="00C56168">
      <w:pPr>
        <w:pStyle w:val="TOCHeading"/>
      </w:pPr>
      <w:r>
        <w:lastRenderedPageBreak/>
        <w:t>Figures</w:t>
      </w:r>
    </w:p>
    <w:p w14:paraId="7D28E6FE" w14:textId="5AA57355" w:rsidR="00CF5D25" w:rsidRDefault="00C56168">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C56168">
        <w:rPr>
          <w:rStyle w:val="Hyperlink"/>
        </w:rPr>
        <w:fldChar w:fldCharType="begin"/>
      </w:r>
      <w:r w:rsidRPr="00C56168">
        <w:rPr>
          <w:rStyle w:val="Hyperlink"/>
        </w:rPr>
        <w:instrText xml:space="preserve"> TOC \h \z \c "Figure" </w:instrText>
      </w:r>
      <w:r w:rsidRPr="00C56168">
        <w:rPr>
          <w:rStyle w:val="Hyperlink"/>
        </w:rPr>
        <w:fldChar w:fldCharType="separate"/>
      </w:r>
      <w:hyperlink w:anchor="_Toc211347087" w:history="1">
        <w:r w:rsidR="00CF5D25" w:rsidRPr="00DF7886">
          <w:rPr>
            <w:rStyle w:val="Hyperlink"/>
            <w:noProof/>
          </w:rPr>
          <w:t>Figure 1: Survey completion funnel</w:t>
        </w:r>
        <w:r w:rsidR="00CF5D25">
          <w:rPr>
            <w:noProof/>
            <w:webHidden/>
          </w:rPr>
          <w:tab/>
        </w:r>
        <w:r w:rsidR="00CF5D25">
          <w:rPr>
            <w:noProof/>
            <w:webHidden/>
          </w:rPr>
          <w:fldChar w:fldCharType="begin"/>
        </w:r>
        <w:r w:rsidR="00CF5D25">
          <w:rPr>
            <w:noProof/>
            <w:webHidden/>
          </w:rPr>
          <w:instrText xml:space="preserve"> PAGEREF _Toc211347087 \h </w:instrText>
        </w:r>
        <w:r w:rsidR="00CF5D25">
          <w:rPr>
            <w:noProof/>
            <w:webHidden/>
          </w:rPr>
        </w:r>
        <w:r w:rsidR="00CF5D25">
          <w:rPr>
            <w:noProof/>
            <w:webHidden/>
          </w:rPr>
          <w:fldChar w:fldCharType="separate"/>
        </w:r>
        <w:r w:rsidR="003D56F4">
          <w:rPr>
            <w:noProof/>
            <w:webHidden/>
          </w:rPr>
          <w:t>4</w:t>
        </w:r>
        <w:r w:rsidR="00CF5D25">
          <w:rPr>
            <w:noProof/>
            <w:webHidden/>
          </w:rPr>
          <w:fldChar w:fldCharType="end"/>
        </w:r>
      </w:hyperlink>
    </w:p>
    <w:p w14:paraId="2532884D" w14:textId="60A854F1"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88" w:history="1">
        <w:r w:rsidRPr="00DF7886">
          <w:rPr>
            <w:rStyle w:val="Hyperlink"/>
            <w:noProof/>
          </w:rPr>
          <w:t>Figure 2: Locality of survey responses</w:t>
        </w:r>
        <w:r>
          <w:rPr>
            <w:noProof/>
            <w:webHidden/>
          </w:rPr>
          <w:tab/>
        </w:r>
        <w:r>
          <w:rPr>
            <w:noProof/>
            <w:webHidden/>
          </w:rPr>
          <w:fldChar w:fldCharType="begin"/>
        </w:r>
        <w:r>
          <w:rPr>
            <w:noProof/>
            <w:webHidden/>
          </w:rPr>
          <w:instrText xml:space="preserve"> PAGEREF _Toc211347088 \h </w:instrText>
        </w:r>
        <w:r>
          <w:rPr>
            <w:noProof/>
            <w:webHidden/>
          </w:rPr>
        </w:r>
        <w:r>
          <w:rPr>
            <w:noProof/>
            <w:webHidden/>
          </w:rPr>
          <w:fldChar w:fldCharType="separate"/>
        </w:r>
        <w:r w:rsidR="003D56F4">
          <w:rPr>
            <w:noProof/>
            <w:webHidden/>
          </w:rPr>
          <w:t>7</w:t>
        </w:r>
        <w:r>
          <w:rPr>
            <w:noProof/>
            <w:webHidden/>
          </w:rPr>
          <w:fldChar w:fldCharType="end"/>
        </w:r>
      </w:hyperlink>
    </w:p>
    <w:p w14:paraId="1EA3A65A" w14:textId="1A1056B9"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89" w:history="1">
        <w:r w:rsidRPr="00DF7886">
          <w:rPr>
            <w:rStyle w:val="Hyperlink"/>
            <w:noProof/>
          </w:rPr>
          <w:t>Figure 3: Responses indicating proportion of vacancies filled (%), by major group</w:t>
        </w:r>
        <w:r>
          <w:rPr>
            <w:noProof/>
            <w:webHidden/>
          </w:rPr>
          <w:tab/>
        </w:r>
        <w:r>
          <w:rPr>
            <w:noProof/>
            <w:webHidden/>
          </w:rPr>
          <w:fldChar w:fldCharType="begin"/>
        </w:r>
        <w:r>
          <w:rPr>
            <w:noProof/>
            <w:webHidden/>
          </w:rPr>
          <w:instrText xml:space="preserve"> PAGEREF _Toc211347089 \h </w:instrText>
        </w:r>
        <w:r>
          <w:rPr>
            <w:noProof/>
            <w:webHidden/>
          </w:rPr>
        </w:r>
        <w:r>
          <w:rPr>
            <w:noProof/>
            <w:webHidden/>
          </w:rPr>
          <w:fldChar w:fldCharType="separate"/>
        </w:r>
        <w:r w:rsidR="003D56F4">
          <w:rPr>
            <w:noProof/>
            <w:webHidden/>
          </w:rPr>
          <w:t>10</w:t>
        </w:r>
        <w:r>
          <w:rPr>
            <w:noProof/>
            <w:webHidden/>
          </w:rPr>
          <w:fldChar w:fldCharType="end"/>
        </w:r>
      </w:hyperlink>
    </w:p>
    <w:p w14:paraId="07317CE7" w14:textId="2A498093"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0" w:history="1">
        <w:r w:rsidRPr="00DF7886">
          <w:rPr>
            <w:rStyle w:val="Hyperlink"/>
            <w:noProof/>
          </w:rPr>
          <w:t>Figure 4: Number of responses indicating fill rates either above or below 67%, by major group</w:t>
        </w:r>
        <w:r>
          <w:rPr>
            <w:noProof/>
            <w:webHidden/>
          </w:rPr>
          <w:tab/>
        </w:r>
        <w:r>
          <w:rPr>
            <w:noProof/>
            <w:webHidden/>
          </w:rPr>
          <w:fldChar w:fldCharType="begin"/>
        </w:r>
        <w:r>
          <w:rPr>
            <w:noProof/>
            <w:webHidden/>
          </w:rPr>
          <w:instrText xml:space="preserve"> PAGEREF _Toc211347090 \h </w:instrText>
        </w:r>
        <w:r>
          <w:rPr>
            <w:noProof/>
            <w:webHidden/>
          </w:rPr>
        </w:r>
        <w:r>
          <w:rPr>
            <w:noProof/>
            <w:webHidden/>
          </w:rPr>
          <w:fldChar w:fldCharType="separate"/>
        </w:r>
        <w:r w:rsidR="003D56F4">
          <w:rPr>
            <w:noProof/>
            <w:webHidden/>
          </w:rPr>
          <w:t>11</w:t>
        </w:r>
        <w:r>
          <w:rPr>
            <w:noProof/>
            <w:webHidden/>
          </w:rPr>
          <w:fldChar w:fldCharType="end"/>
        </w:r>
      </w:hyperlink>
    </w:p>
    <w:p w14:paraId="109151DC" w14:textId="1843FCE4"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1" w:history="1">
        <w:r w:rsidRPr="00DF7886">
          <w:rPr>
            <w:rStyle w:val="Hyperlink"/>
            <w:noProof/>
          </w:rPr>
          <w:t>Figure 5: Responses reporting proportion of vacancies filled (%), by states and territories</w:t>
        </w:r>
        <w:r>
          <w:rPr>
            <w:noProof/>
            <w:webHidden/>
          </w:rPr>
          <w:tab/>
        </w:r>
        <w:r>
          <w:rPr>
            <w:noProof/>
            <w:webHidden/>
          </w:rPr>
          <w:fldChar w:fldCharType="begin"/>
        </w:r>
        <w:r>
          <w:rPr>
            <w:noProof/>
            <w:webHidden/>
          </w:rPr>
          <w:instrText xml:space="preserve"> PAGEREF _Toc211347091 \h </w:instrText>
        </w:r>
        <w:r>
          <w:rPr>
            <w:noProof/>
            <w:webHidden/>
          </w:rPr>
        </w:r>
        <w:r>
          <w:rPr>
            <w:noProof/>
            <w:webHidden/>
          </w:rPr>
          <w:fldChar w:fldCharType="separate"/>
        </w:r>
        <w:r w:rsidR="003D56F4">
          <w:rPr>
            <w:noProof/>
            <w:webHidden/>
          </w:rPr>
          <w:t>12</w:t>
        </w:r>
        <w:r>
          <w:rPr>
            <w:noProof/>
            <w:webHidden/>
          </w:rPr>
          <w:fldChar w:fldCharType="end"/>
        </w:r>
      </w:hyperlink>
    </w:p>
    <w:p w14:paraId="31FE1148" w14:textId="362919D9"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2" w:history="1">
        <w:r w:rsidRPr="00DF7886">
          <w:rPr>
            <w:rStyle w:val="Hyperlink"/>
            <w:noProof/>
          </w:rPr>
          <w:t>Figure 6: Proportion of vacancies filled (%), by locality</w:t>
        </w:r>
        <w:r>
          <w:rPr>
            <w:noProof/>
            <w:webHidden/>
          </w:rPr>
          <w:tab/>
        </w:r>
        <w:r>
          <w:rPr>
            <w:noProof/>
            <w:webHidden/>
          </w:rPr>
          <w:fldChar w:fldCharType="begin"/>
        </w:r>
        <w:r>
          <w:rPr>
            <w:noProof/>
            <w:webHidden/>
          </w:rPr>
          <w:instrText xml:space="preserve"> PAGEREF _Toc211347092 \h </w:instrText>
        </w:r>
        <w:r>
          <w:rPr>
            <w:noProof/>
            <w:webHidden/>
          </w:rPr>
        </w:r>
        <w:r>
          <w:rPr>
            <w:noProof/>
            <w:webHidden/>
          </w:rPr>
          <w:fldChar w:fldCharType="separate"/>
        </w:r>
        <w:r w:rsidR="003D56F4">
          <w:rPr>
            <w:noProof/>
            <w:webHidden/>
          </w:rPr>
          <w:t>12</w:t>
        </w:r>
        <w:r>
          <w:rPr>
            <w:noProof/>
            <w:webHidden/>
          </w:rPr>
          <w:fldChar w:fldCharType="end"/>
        </w:r>
      </w:hyperlink>
    </w:p>
    <w:p w14:paraId="7AE9BF02" w14:textId="3B21783B"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3" w:history="1">
        <w:r w:rsidRPr="00DF7886">
          <w:rPr>
            <w:rStyle w:val="Hyperlink"/>
            <w:noProof/>
          </w:rPr>
          <w:t>Figure 7: Reported supply of skills (%), by major group</w:t>
        </w:r>
        <w:r w:rsidRPr="00DF7886">
          <w:rPr>
            <w:rStyle w:val="Hyperlink"/>
            <w:noProof/>
            <w:vertAlign w:val="superscript"/>
          </w:rPr>
          <w:t xml:space="preserve">, </w:t>
        </w:r>
        <w:r>
          <w:rPr>
            <w:noProof/>
            <w:webHidden/>
          </w:rPr>
          <w:tab/>
        </w:r>
        <w:r>
          <w:rPr>
            <w:noProof/>
            <w:webHidden/>
          </w:rPr>
          <w:fldChar w:fldCharType="begin"/>
        </w:r>
        <w:r>
          <w:rPr>
            <w:noProof/>
            <w:webHidden/>
          </w:rPr>
          <w:instrText xml:space="preserve"> PAGEREF _Toc211347093 \h </w:instrText>
        </w:r>
        <w:r>
          <w:rPr>
            <w:noProof/>
            <w:webHidden/>
          </w:rPr>
        </w:r>
        <w:r>
          <w:rPr>
            <w:noProof/>
            <w:webHidden/>
          </w:rPr>
          <w:fldChar w:fldCharType="separate"/>
        </w:r>
        <w:r w:rsidR="003D56F4">
          <w:rPr>
            <w:noProof/>
            <w:webHidden/>
          </w:rPr>
          <w:t>13</w:t>
        </w:r>
        <w:r>
          <w:rPr>
            <w:noProof/>
            <w:webHidden/>
          </w:rPr>
          <w:fldChar w:fldCharType="end"/>
        </w:r>
      </w:hyperlink>
    </w:p>
    <w:p w14:paraId="7451B758" w14:textId="5212D726"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4" w:history="1">
        <w:r w:rsidRPr="00DF7886">
          <w:rPr>
            <w:rStyle w:val="Hyperlink"/>
            <w:noProof/>
          </w:rPr>
          <w:t>Figure 8: Reported change of demand of skills (%), by major group</w:t>
        </w:r>
        <w:r>
          <w:rPr>
            <w:noProof/>
            <w:webHidden/>
          </w:rPr>
          <w:tab/>
        </w:r>
        <w:r>
          <w:rPr>
            <w:noProof/>
            <w:webHidden/>
          </w:rPr>
          <w:fldChar w:fldCharType="begin"/>
        </w:r>
        <w:r>
          <w:rPr>
            <w:noProof/>
            <w:webHidden/>
          </w:rPr>
          <w:instrText xml:space="preserve"> PAGEREF _Toc211347094 \h </w:instrText>
        </w:r>
        <w:r>
          <w:rPr>
            <w:noProof/>
            <w:webHidden/>
          </w:rPr>
        </w:r>
        <w:r>
          <w:rPr>
            <w:noProof/>
            <w:webHidden/>
          </w:rPr>
          <w:fldChar w:fldCharType="separate"/>
        </w:r>
        <w:r w:rsidR="003D56F4">
          <w:rPr>
            <w:noProof/>
            <w:webHidden/>
          </w:rPr>
          <w:t>14</w:t>
        </w:r>
        <w:r>
          <w:rPr>
            <w:noProof/>
            <w:webHidden/>
          </w:rPr>
          <w:fldChar w:fldCharType="end"/>
        </w:r>
      </w:hyperlink>
    </w:p>
    <w:p w14:paraId="7DF3A27A" w14:textId="749C7304"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5" w:history="1">
        <w:r w:rsidRPr="00DF7886">
          <w:rPr>
            <w:rStyle w:val="Hyperlink"/>
            <w:noProof/>
          </w:rPr>
          <w:t>Figure 9: Percentage of responses indicating the main reason vacancies were not filled (%)</w:t>
        </w:r>
        <w:r>
          <w:rPr>
            <w:noProof/>
            <w:webHidden/>
          </w:rPr>
          <w:tab/>
        </w:r>
        <w:r>
          <w:rPr>
            <w:noProof/>
            <w:webHidden/>
          </w:rPr>
          <w:fldChar w:fldCharType="begin"/>
        </w:r>
        <w:r>
          <w:rPr>
            <w:noProof/>
            <w:webHidden/>
          </w:rPr>
          <w:instrText xml:space="preserve"> PAGEREF _Toc211347095 \h </w:instrText>
        </w:r>
        <w:r>
          <w:rPr>
            <w:noProof/>
            <w:webHidden/>
          </w:rPr>
        </w:r>
        <w:r>
          <w:rPr>
            <w:noProof/>
            <w:webHidden/>
          </w:rPr>
          <w:fldChar w:fldCharType="separate"/>
        </w:r>
        <w:r w:rsidR="003D56F4">
          <w:rPr>
            <w:noProof/>
            <w:webHidden/>
          </w:rPr>
          <w:t>15</w:t>
        </w:r>
        <w:r>
          <w:rPr>
            <w:noProof/>
            <w:webHidden/>
          </w:rPr>
          <w:fldChar w:fldCharType="end"/>
        </w:r>
      </w:hyperlink>
    </w:p>
    <w:p w14:paraId="06AD17BD" w14:textId="4DB85F2A" w:rsidR="00CF5D25" w:rsidRDefault="00CF5D25">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7096" w:history="1">
        <w:r w:rsidRPr="00DF7886">
          <w:rPr>
            <w:rStyle w:val="Hyperlink"/>
            <w:noProof/>
          </w:rPr>
          <w:t>Figure 10: Frequency of information sources used to provide survey responses</w:t>
        </w:r>
        <w:r>
          <w:rPr>
            <w:noProof/>
            <w:webHidden/>
          </w:rPr>
          <w:tab/>
        </w:r>
        <w:r>
          <w:rPr>
            <w:noProof/>
            <w:webHidden/>
          </w:rPr>
          <w:fldChar w:fldCharType="begin"/>
        </w:r>
        <w:r>
          <w:rPr>
            <w:noProof/>
            <w:webHidden/>
          </w:rPr>
          <w:instrText xml:space="preserve"> PAGEREF _Toc211347096 \h </w:instrText>
        </w:r>
        <w:r>
          <w:rPr>
            <w:noProof/>
            <w:webHidden/>
          </w:rPr>
        </w:r>
        <w:r>
          <w:rPr>
            <w:noProof/>
            <w:webHidden/>
          </w:rPr>
          <w:fldChar w:fldCharType="separate"/>
        </w:r>
        <w:r w:rsidR="003D56F4">
          <w:rPr>
            <w:noProof/>
            <w:webHidden/>
          </w:rPr>
          <w:t>16</w:t>
        </w:r>
        <w:r>
          <w:rPr>
            <w:noProof/>
            <w:webHidden/>
          </w:rPr>
          <w:fldChar w:fldCharType="end"/>
        </w:r>
      </w:hyperlink>
    </w:p>
    <w:p w14:paraId="0C2540AD" w14:textId="3974530D" w:rsidR="00C56168" w:rsidRPr="00C56168" w:rsidRDefault="00C56168" w:rsidP="00C56168">
      <w:r w:rsidRPr="00C56168">
        <w:rPr>
          <w:rStyle w:val="Hyperlink"/>
        </w:rPr>
        <w:fldChar w:fldCharType="end"/>
      </w:r>
      <w:r w:rsidRPr="00CF5A63">
        <w:fldChar w:fldCharType="begin"/>
      </w:r>
      <w:r w:rsidRPr="00CF5A63">
        <w:instrText xml:space="preserve"> TOC \h \z \c "Figure C" </w:instrText>
      </w:r>
      <w:r w:rsidRPr="00CF5A63">
        <w:fldChar w:fldCharType="separate"/>
      </w:r>
    </w:p>
    <w:p w14:paraId="5733D147" w14:textId="38995FB3" w:rsidR="00AE0185" w:rsidRDefault="00C56168" w:rsidP="00C56168">
      <w:pPr>
        <w:sectPr w:rsidR="00AE0185"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rsidRPr="00CF5A63">
        <w:fldChar w:fldCharType="end"/>
      </w:r>
    </w:p>
    <w:p w14:paraId="79F072B9" w14:textId="73D5E02F" w:rsidR="00732448" w:rsidRDefault="00C56168" w:rsidP="00F55EA1">
      <w:pPr>
        <w:pStyle w:val="Heading1"/>
      </w:pPr>
      <w:bookmarkStart w:id="0" w:name="_Toc211347066"/>
      <w:r>
        <w:lastRenderedPageBreak/>
        <w:t>Introduction</w:t>
      </w:r>
      <w:bookmarkEnd w:id="0"/>
    </w:p>
    <w:p w14:paraId="03EFC888" w14:textId="77777777" w:rsidR="002B35F0" w:rsidRPr="00AE370A" w:rsidRDefault="002D2B0C" w:rsidP="00AE370A">
      <w:pPr>
        <w:pStyle w:val="BodyText"/>
      </w:pPr>
      <w:r w:rsidRPr="00DA6156">
        <w:t>T</w:t>
      </w:r>
      <w:r w:rsidRPr="00AE370A">
        <w:t xml:space="preserve">his report was produced by Jobs and Skills Australia </w:t>
      </w:r>
      <w:r w:rsidR="007067BC" w:rsidRPr="00AE370A">
        <w:t xml:space="preserve">to assist </w:t>
      </w:r>
      <w:r w:rsidR="00C05B75" w:rsidRPr="00AE370A">
        <w:t xml:space="preserve">governments, Jobs and Skills Councils, industry bodies, researchers and others </w:t>
      </w:r>
      <w:r w:rsidR="007B44E0" w:rsidRPr="00AE370A">
        <w:t xml:space="preserve">involved </w:t>
      </w:r>
      <w:r w:rsidR="007067BC" w:rsidRPr="00AE370A">
        <w:t xml:space="preserve">in workforce planning, policy development, and labour market analysis. </w:t>
      </w:r>
    </w:p>
    <w:p w14:paraId="5B8AB81D" w14:textId="6A2ABF33" w:rsidR="007067BC" w:rsidRDefault="007067BC" w:rsidP="00AE370A">
      <w:pPr>
        <w:pStyle w:val="BodyText"/>
      </w:pPr>
      <w:r w:rsidRPr="00AE370A">
        <w:t xml:space="preserve">The report presents </w:t>
      </w:r>
      <w:r w:rsidR="002B35F0" w:rsidRPr="00AE370A">
        <w:t xml:space="preserve">a </w:t>
      </w:r>
      <w:proofErr w:type="gramStart"/>
      <w:r w:rsidR="002B35F0" w:rsidRPr="00AE370A">
        <w:t>high level</w:t>
      </w:r>
      <w:proofErr w:type="gramEnd"/>
      <w:r w:rsidR="002B35F0" w:rsidRPr="00AE370A">
        <w:t xml:space="preserve"> summary of </w:t>
      </w:r>
      <w:r w:rsidR="00490251">
        <w:t xml:space="preserve">responses </w:t>
      </w:r>
      <w:r w:rsidRPr="00AE370A">
        <w:t xml:space="preserve">from the 2025 </w:t>
      </w:r>
      <w:r w:rsidR="00AE370A" w:rsidRPr="00AE370A">
        <w:t xml:space="preserve">Occupation Shortage List (OSL) </w:t>
      </w:r>
      <w:r w:rsidRPr="00AE370A">
        <w:t>Stakeholder Survey conducted by Jobs and Skills Australia</w:t>
      </w:r>
      <w:r w:rsidR="00490251">
        <w:t xml:space="preserve">. The survey </w:t>
      </w:r>
      <w:r w:rsidRPr="00AE370A">
        <w:t>gathered perspectives from a wide range of organisations</w:t>
      </w:r>
      <w:r w:rsidR="00490251">
        <w:t xml:space="preserve">, </w:t>
      </w:r>
      <w:r w:rsidR="00016624">
        <w:t>representing employers, employees, regions</w:t>
      </w:r>
      <w:r w:rsidR="008F0338">
        <w:t xml:space="preserve">, </w:t>
      </w:r>
      <w:r w:rsidRPr="00AE370A">
        <w:t xml:space="preserve">education </w:t>
      </w:r>
      <w:r w:rsidR="008F0338">
        <w:t xml:space="preserve">and training </w:t>
      </w:r>
      <w:r w:rsidRPr="00AE370A">
        <w:t xml:space="preserve">providers, </w:t>
      </w:r>
      <w:r w:rsidR="008F0338">
        <w:t xml:space="preserve">and </w:t>
      </w:r>
      <w:r w:rsidRPr="00AE370A">
        <w:t>government</w:t>
      </w:r>
      <w:r w:rsidR="00744578">
        <w:t>.</w:t>
      </w:r>
      <w:r w:rsidR="008F0338">
        <w:rPr>
          <w:rStyle w:val="FootnoteReference"/>
        </w:rPr>
        <w:footnoteReference w:id="1"/>
      </w:r>
      <w:r w:rsidR="00744578">
        <w:t xml:space="preserve"> </w:t>
      </w:r>
    </w:p>
    <w:p w14:paraId="530B9D18" w14:textId="00CE1AAA" w:rsidR="001758D3" w:rsidRDefault="00744578" w:rsidP="00744578">
      <w:pPr>
        <w:pStyle w:val="BodyText"/>
      </w:pPr>
      <w:r w:rsidRPr="00744578">
        <w:t xml:space="preserve">The purpose of </w:t>
      </w:r>
      <w:r w:rsidR="009108AE">
        <w:t xml:space="preserve">presenting the </w:t>
      </w:r>
      <w:r w:rsidR="00FC3D02">
        <w:t xml:space="preserve">survey </w:t>
      </w:r>
      <w:r w:rsidR="009108AE">
        <w:t xml:space="preserve">results is </w:t>
      </w:r>
      <w:r w:rsidRPr="00744578">
        <w:t xml:space="preserve">to provide transparency </w:t>
      </w:r>
      <w:r w:rsidR="009108AE">
        <w:t xml:space="preserve">on </w:t>
      </w:r>
      <w:r w:rsidRPr="00744578">
        <w:t xml:space="preserve">the insights </w:t>
      </w:r>
      <w:r w:rsidR="009F4371">
        <w:t xml:space="preserve">shared by </w:t>
      </w:r>
      <w:r w:rsidRPr="00744578">
        <w:t>stakeholder</w:t>
      </w:r>
      <w:r w:rsidR="009F4371">
        <w:t>s</w:t>
      </w:r>
      <w:r w:rsidRPr="00744578">
        <w:t xml:space="preserve"> on recruitment challenges, and supply and demand </w:t>
      </w:r>
      <w:r w:rsidR="00C06D5E">
        <w:t xml:space="preserve">for workers </w:t>
      </w:r>
      <w:r w:rsidRPr="00744578">
        <w:t xml:space="preserve">across occupations. </w:t>
      </w:r>
    </w:p>
    <w:p w14:paraId="379D5060" w14:textId="1E6B3EF2" w:rsidR="00DF610F" w:rsidRPr="00DF610F" w:rsidRDefault="00DF610F" w:rsidP="00DF610F">
      <w:pPr>
        <w:pStyle w:val="BodyText"/>
      </w:pPr>
      <w:r w:rsidRPr="00DF610F">
        <w:t>Readers should expect to gain:</w:t>
      </w:r>
    </w:p>
    <w:p w14:paraId="29213E1B" w14:textId="54241B77" w:rsidR="00DF610F" w:rsidRPr="00DF610F" w:rsidRDefault="008E368A" w:rsidP="004C34E4">
      <w:pPr>
        <w:pStyle w:val="ListBullet"/>
      </w:pPr>
      <w:r>
        <w:t xml:space="preserve">a </w:t>
      </w:r>
      <w:r w:rsidR="00DF610F" w:rsidRPr="00DF610F">
        <w:t>broad overview of which organisation types responded</w:t>
      </w:r>
    </w:p>
    <w:p w14:paraId="7B58535E" w14:textId="6BAA4227" w:rsidR="00DF610F" w:rsidRPr="00DF610F" w:rsidRDefault="008E368A" w:rsidP="004C34E4">
      <w:pPr>
        <w:pStyle w:val="ListBullet"/>
      </w:pPr>
      <w:r>
        <w:t>a</w:t>
      </w:r>
      <w:r w:rsidR="00DF610F" w:rsidRPr="00DF610F">
        <w:t xml:space="preserve"> sense of how recruitment challenges vary by region, industry, and occupation type</w:t>
      </w:r>
    </w:p>
    <w:p w14:paraId="06833AE2" w14:textId="1DE6A212" w:rsidR="00DF610F" w:rsidRPr="00DF610F" w:rsidRDefault="00E1512C" w:rsidP="004C34E4">
      <w:pPr>
        <w:pStyle w:val="ListBullet"/>
      </w:pPr>
      <w:r>
        <w:t>i</w:t>
      </w:r>
      <w:r w:rsidR="00DF610F" w:rsidRPr="00DF610F">
        <w:t xml:space="preserve">nsights into the reasons vacancies </w:t>
      </w:r>
      <w:r w:rsidR="00B1748B">
        <w:t xml:space="preserve">were </w:t>
      </w:r>
      <w:r w:rsidR="00DF610F" w:rsidRPr="00DF610F">
        <w:t>not filled</w:t>
      </w:r>
    </w:p>
    <w:p w14:paraId="73769BC8" w14:textId="532548D5" w:rsidR="00DF610F" w:rsidRPr="00DF610F" w:rsidRDefault="00B1748B" w:rsidP="004C34E4">
      <w:pPr>
        <w:pStyle w:val="ListBullet"/>
      </w:pPr>
      <w:r>
        <w:t>a</w:t>
      </w:r>
      <w:r w:rsidR="00DF610F" w:rsidRPr="00DF610F">
        <w:t xml:space="preserve">ggregated stakeholder views on the availability of skilled workers and changing demand for </w:t>
      </w:r>
      <w:r w:rsidR="00350705">
        <w:t>them</w:t>
      </w:r>
      <w:r w:rsidR="00DF610F" w:rsidRPr="00DF610F">
        <w:t>.</w:t>
      </w:r>
    </w:p>
    <w:p w14:paraId="4E817173" w14:textId="62FE76D3" w:rsidR="00C42263" w:rsidRPr="00C42263" w:rsidRDefault="00B11351" w:rsidP="00C42263">
      <w:pPr>
        <w:pStyle w:val="BodyText"/>
      </w:pPr>
      <w:r w:rsidRPr="00B11351">
        <w:t>The stakeholder survey can be completed online between November each year and March the following year.</w:t>
      </w:r>
      <w:r w:rsidR="00C42263" w:rsidRPr="00C42263">
        <w:t xml:space="preserve"> Information is collected at the occupation level, defined by the 2022 version of the Australian and New Zealand Standard Classification of Occupations.</w:t>
      </w:r>
      <w:r w:rsidR="00C42263" w:rsidRPr="00C42263">
        <w:rPr>
          <w:rStyle w:val="FootnoteReference"/>
        </w:rPr>
        <w:footnoteReference w:id="2"/>
      </w:r>
    </w:p>
    <w:p w14:paraId="4E090BAA" w14:textId="34D2C58E" w:rsidR="00C56168" w:rsidRPr="002A26AF" w:rsidRDefault="00C56168" w:rsidP="004C34E4">
      <w:pPr>
        <w:pStyle w:val="BodyText"/>
      </w:pPr>
      <w:r w:rsidRPr="002A26AF">
        <w:t>Th</w:t>
      </w:r>
      <w:r>
        <w:t>is s</w:t>
      </w:r>
      <w:r w:rsidRPr="002A26AF">
        <w:t xml:space="preserve">urvey is different to </w:t>
      </w:r>
      <w:r>
        <w:t xml:space="preserve">Jobs and Skills Australia’s </w:t>
      </w:r>
      <w:r w:rsidRPr="002A26AF">
        <w:t>Survey of Employers who have Recently Advertised (SERA)</w:t>
      </w:r>
      <w:r>
        <w:t xml:space="preserve"> and Recruiting Employer Outlook Survey (REOS).</w:t>
      </w:r>
      <w:r w:rsidRPr="002A26AF">
        <w:t xml:space="preserve"> </w:t>
      </w:r>
      <w:r>
        <w:t>SERA and REOS are monthly telephone interview surveys of employers and collect detailed information on employer’s recruitment experience</w:t>
      </w:r>
      <w:r w:rsidR="00B11351">
        <w:t xml:space="preserve">. The data from SERA and REOS </w:t>
      </w:r>
      <w:r w:rsidR="00FC4A08">
        <w:t>are used in modelling to inform the OSL</w:t>
      </w:r>
      <w:r w:rsidR="00BD1E4B">
        <w:t>.</w:t>
      </w:r>
      <w:r w:rsidR="00B11351">
        <w:t xml:space="preserve"> </w:t>
      </w:r>
    </w:p>
    <w:p w14:paraId="52F25487" w14:textId="3FBED7D1" w:rsidR="00C56168" w:rsidRDefault="00E02003" w:rsidP="004C34E4">
      <w:pPr>
        <w:pStyle w:val="BodyText"/>
        <w:rPr>
          <w:rFonts w:eastAsia="Times New Roman" w:cs="Arial"/>
          <w:b/>
          <w:bCs/>
          <w:color w:val="4B0985"/>
          <w:sz w:val="48"/>
          <w:szCs w:val="32"/>
          <w:lang w:eastAsia="en-AU"/>
        </w:rPr>
      </w:pPr>
      <w:r>
        <w:t>Results i</w:t>
      </w:r>
      <w:r w:rsidR="00557278">
        <w:t>n</w:t>
      </w:r>
      <w:r>
        <w:t xml:space="preserve"> the report</w:t>
      </w:r>
      <w:r w:rsidRPr="00E02003">
        <w:t xml:space="preserve"> </w:t>
      </w:r>
      <w:r>
        <w:t xml:space="preserve">should not be viewed </w:t>
      </w:r>
      <w:r w:rsidR="001C5B1D">
        <w:t xml:space="preserve">as a </w:t>
      </w:r>
      <w:r w:rsidRPr="00E02003">
        <w:t>definitive measure of labour market conditions</w:t>
      </w:r>
      <w:r w:rsidR="006801AE" w:rsidRPr="006801AE">
        <w:t xml:space="preserve"> and </w:t>
      </w:r>
      <w:r w:rsidR="00F15217">
        <w:t>are</w:t>
      </w:r>
      <w:r w:rsidR="006801AE" w:rsidRPr="006801AE">
        <w:t xml:space="preserve"> best understood as a descriptive summary of stakeholder experiences and perceptions.</w:t>
      </w:r>
      <w:r w:rsidR="00B2277D">
        <w:rPr>
          <w:rStyle w:val="FootnoteReference"/>
        </w:rPr>
        <w:footnoteReference w:id="3"/>
      </w:r>
      <w:r w:rsidR="001C5B1D">
        <w:t xml:space="preserve"> </w:t>
      </w:r>
      <w:r w:rsidRPr="00E02003">
        <w:t xml:space="preserve">It </w:t>
      </w:r>
      <w:r w:rsidR="00593E65">
        <w:t xml:space="preserve">is used, along with other </w:t>
      </w:r>
      <w:r w:rsidR="00BD1E4B">
        <w:t>information</w:t>
      </w:r>
      <w:r w:rsidR="00403DAE">
        <w:t>,</w:t>
      </w:r>
      <w:r w:rsidR="00BD1E4B">
        <w:t xml:space="preserve"> </w:t>
      </w:r>
      <w:r w:rsidR="00593E65" w:rsidRPr="00593E65">
        <w:t>to support the review of the draft OSL ratings</w:t>
      </w:r>
      <w:r w:rsidR="006801AE">
        <w:t xml:space="preserve">. </w:t>
      </w:r>
      <w:r w:rsidR="00C56168">
        <w:br w:type="page"/>
      </w:r>
    </w:p>
    <w:p w14:paraId="14A2F811" w14:textId="552DA3D0" w:rsidR="00C56168" w:rsidRPr="002A26AF" w:rsidRDefault="00C56168" w:rsidP="00C56168">
      <w:pPr>
        <w:pStyle w:val="Heading1"/>
      </w:pPr>
      <w:bookmarkStart w:id="1" w:name="_Toc211347067"/>
      <w:r w:rsidRPr="002A26AF">
        <w:lastRenderedPageBreak/>
        <w:t>Who responded to the survey?</w:t>
      </w:r>
      <w:bookmarkEnd w:id="1"/>
    </w:p>
    <w:p w14:paraId="4B136237" w14:textId="77777777" w:rsidR="00C56168" w:rsidRPr="002A26AF" w:rsidRDefault="00C56168" w:rsidP="00C56168">
      <w:pPr>
        <w:pStyle w:val="Heading2"/>
      </w:pPr>
      <w:bookmarkStart w:id="2" w:name="_Toc211347068"/>
      <w:r w:rsidRPr="002A26AF">
        <w:t>From invitations to occupations covered</w:t>
      </w:r>
      <w:bookmarkEnd w:id="2"/>
    </w:p>
    <w:p w14:paraId="41ABC11B" w14:textId="77777777" w:rsidR="00C56168" w:rsidRDefault="00C56168" w:rsidP="00C56168">
      <w:pPr>
        <w:pStyle w:val="BodyText"/>
      </w:pPr>
      <w:r w:rsidRPr="002A26AF">
        <w:t xml:space="preserve">The </w:t>
      </w:r>
      <w:r>
        <w:t>stakeholder s</w:t>
      </w:r>
      <w:r w:rsidRPr="002A26AF">
        <w:t xml:space="preserve">urvey was promoted through Jobs and Skills </w:t>
      </w:r>
      <w:r>
        <w:t>Australia w</w:t>
      </w:r>
      <w:r w:rsidRPr="002A26AF">
        <w:t>ebsite, mailing lists and social media</w:t>
      </w:r>
      <w:r>
        <w:t>. The survey was also promoted through Jobs and Skills Councils and select Commonwealth Government and state and territory government agencies</w:t>
      </w:r>
      <w:r w:rsidRPr="002A26AF">
        <w:t xml:space="preserve">. </w:t>
      </w:r>
    </w:p>
    <w:p w14:paraId="751BFC93" w14:textId="2360073E" w:rsidR="00C56168" w:rsidRDefault="00C56168" w:rsidP="00C56168">
      <w:pPr>
        <w:pStyle w:val="BodyText"/>
      </w:pPr>
      <w:r w:rsidRPr="002A26AF">
        <w:t xml:space="preserve">There were 2,781 clicks on the </w:t>
      </w:r>
      <w:r>
        <w:t>s</w:t>
      </w:r>
      <w:r w:rsidRPr="002A26AF">
        <w:t>urvey invitation and 1,704 completed survey registrations</w:t>
      </w:r>
      <w:r>
        <w:t xml:space="preserve"> (</w:t>
      </w:r>
      <w:r w:rsidRPr="002A26AF">
        <w:fldChar w:fldCharType="begin"/>
      </w:r>
      <w:r w:rsidRPr="002A26AF">
        <w:instrText xml:space="preserve"> REF _Ref204816178 \h </w:instrText>
      </w:r>
      <w:r>
        <w:instrText xml:space="preserve"> \* MERGEFORMAT </w:instrText>
      </w:r>
      <w:r w:rsidRPr="002A26AF">
        <w:fldChar w:fldCharType="separate"/>
      </w:r>
      <w:r w:rsidR="003D56F4" w:rsidRPr="002A26AF">
        <w:t xml:space="preserve">Figure </w:t>
      </w:r>
      <w:r w:rsidR="003D56F4">
        <w:t>1</w:t>
      </w:r>
      <w:r w:rsidRPr="002A26AF">
        <w:fldChar w:fldCharType="end"/>
      </w:r>
      <w:r>
        <w:t>)</w:t>
      </w:r>
      <w:r w:rsidRPr="002A26AF">
        <w:t xml:space="preserve">. However, many were </w:t>
      </w:r>
      <w:r>
        <w:t>not usable and left 1,025 submissions with usable data.</w:t>
      </w:r>
      <w:r>
        <w:rPr>
          <w:rStyle w:val="FootnoteReference"/>
        </w:rPr>
        <w:footnoteReference w:id="4"/>
      </w:r>
      <w:r w:rsidRPr="00B70DD5">
        <w:t xml:space="preserve"> </w:t>
      </w:r>
      <w:r>
        <w:t>Depending on how a participant responded, for some questions there were up to 2,212 responses.</w:t>
      </w:r>
      <w:r>
        <w:rPr>
          <w:rStyle w:val="FootnoteReference"/>
        </w:rPr>
        <w:footnoteReference w:id="5"/>
      </w:r>
      <w:r>
        <w:t xml:space="preserve"> </w:t>
      </w:r>
    </w:p>
    <w:p w14:paraId="4DB59674" w14:textId="77777777" w:rsidR="00C56168" w:rsidRPr="002A26AF" w:rsidRDefault="00C56168" w:rsidP="00C56168">
      <w:pPr>
        <w:pStyle w:val="BodyText"/>
      </w:pPr>
      <w:r>
        <w:t>T</w:t>
      </w:r>
      <w:r w:rsidRPr="002A26AF">
        <w:t xml:space="preserve">his report is based on </w:t>
      </w:r>
      <w:r>
        <w:t xml:space="preserve">the usable submissions </w:t>
      </w:r>
      <w:r w:rsidRPr="0034560C">
        <w:t>from 866 organisations</w:t>
      </w:r>
      <w:r w:rsidRPr="002A26AF">
        <w:t xml:space="preserve">, covering 540 occupations. </w:t>
      </w:r>
      <w:r>
        <w:t xml:space="preserve">This was a significant increase in the volume of responses from 2024, where </w:t>
      </w:r>
      <w:r w:rsidRPr="002A26AF">
        <w:t xml:space="preserve">231 organisations </w:t>
      </w:r>
      <w:r>
        <w:t xml:space="preserve">provided 254 usable submissions, covering </w:t>
      </w:r>
      <w:r w:rsidRPr="002A26AF">
        <w:t>480 occupations.</w:t>
      </w:r>
      <w:r>
        <w:t xml:space="preserve"> </w:t>
      </w:r>
    </w:p>
    <w:p w14:paraId="4A59AE24" w14:textId="3A89475C" w:rsidR="00C56168" w:rsidRPr="002A26AF" w:rsidRDefault="00C56168" w:rsidP="00C56168">
      <w:pPr>
        <w:pStyle w:val="Caption"/>
      </w:pPr>
      <w:bookmarkStart w:id="3" w:name="_Ref204816178"/>
      <w:bookmarkStart w:id="4" w:name="_Toc211347087"/>
      <w:r w:rsidRPr="002A26AF">
        <w:t xml:space="preserve">Figure </w:t>
      </w:r>
      <w:r w:rsidRPr="002A26AF">
        <w:fldChar w:fldCharType="begin"/>
      </w:r>
      <w:r w:rsidRPr="002A26AF">
        <w:instrText xml:space="preserve"> SEQ Figure \* ARABIC </w:instrText>
      </w:r>
      <w:r w:rsidRPr="002A26AF">
        <w:fldChar w:fldCharType="separate"/>
      </w:r>
      <w:r w:rsidR="003D56F4">
        <w:rPr>
          <w:noProof/>
        </w:rPr>
        <w:t>1</w:t>
      </w:r>
      <w:r w:rsidRPr="002A26AF">
        <w:fldChar w:fldCharType="end"/>
      </w:r>
      <w:bookmarkEnd w:id="3"/>
      <w:r w:rsidRPr="002A26AF">
        <w:t>: Survey completion funnel</w:t>
      </w:r>
      <w:bookmarkEnd w:id="4"/>
    </w:p>
    <w:p w14:paraId="6D7A7849" w14:textId="77777777" w:rsidR="00C56168" w:rsidRPr="002A26AF" w:rsidRDefault="00C56168" w:rsidP="00C56168">
      <w:pPr>
        <w:pStyle w:val="Source"/>
      </w:pPr>
      <w:r w:rsidRPr="00C56168">
        <w:rPr>
          <w:noProof/>
        </w:rPr>
        <mc:AlternateContent>
          <mc:Choice Requires="cx2">
            <w:drawing>
              <wp:inline distT="0" distB="0" distL="0" distR="0" wp14:anchorId="04384026" wp14:editId="578C02C9">
                <wp:extent cx="5731200" cy="2808000"/>
                <wp:effectExtent l="0" t="0" r="3175" b="11430"/>
                <wp:docPr id="356716257" name="Chart 1" descr="This chart visualises the surrounding text. It depicts a funnel going from 2,781 clicks on survey invitation down to 540 occupations covered.">
                  <a:extLst xmlns:a="http://schemas.openxmlformats.org/drawingml/2006/main">
                    <a:ext uri="{FF2B5EF4-FFF2-40B4-BE49-F238E27FC236}">
                      <a16:creationId xmlns:a16="http://schemas.microsoft.com/office/drawing/2014/main" id="{EB13970D-03D5-7EC7-657A-FBB17354E62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w:drawing>
              <wp:inline distT="0" distB="0" distL="0" distR="0" wp14:anchorId="04384026" wp14:editId="578C02C9">
                <wp:extent cx="5731200" cy="2808000"/>
                <wp:effectExtent l="0" t="0" r="3175" b="11430"/>
                <wp:docPr id="356716257" name="Chart 1" descr="This chart visualises the surrounding text. It depicts a funnel going from 2,781 clicks on survey invitation down to 540 occupations covered.">
                  <a:extLst xmlns:a="http://schemas.openxmlformats.org/drawingml/2006/main">
                    <a:ext uri="{FF2B5EF4-FFF2-40B4-BE49-F238E27FC236}">
                      <a16:creationId xmlns:a16="http://schemas.microsoft.com/office/drawing/2014/main" id="{EB13970D-03D5-7EC7-657A-FBB17354E6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56716257" name="Chart 1" descr="This chart visualises the surrounding text. It depicts a funnel going from 2,781 clicks on survey invitation down to 540 occupations covered.">
                          <a:extLst>
                            <a:ext uri="{FF2B5EF4-FFF2-40B4-BE49-F238E27FC236}">
                              <a16:creationId xmlns:a16="http://schemas.microsoft.com/office/drawing/2014/main" id="{EB13970D-03D5-7EC7-657A-FBB17354E627}"/>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5730875" cy="2807970"/>
                        </a:xfrm>
                        <a:prstGeom prst="rect">
                          <a:avLst/>
                        </a:prstGeom>
                      </pic:spPr>
                    </pic:pic>
                  </a:graphicData>
                </a:graphic>
              </wp:inline>
            </w:drawing>
          </mc:Fallback>
        </mc:AlternateContent>
      </w:r>
      <w:r>
        <w:br/>
      </w:r>
      <w:r w:rsidRPr="002A26AF">
        <w:t>Source: Jobs and Skills Australia, 2025 Occupation Shortage List Stakeholder</w:t>
      </w:r>
      <w:r>
        <w:t>.</w:t>
      </w:r>
    </w:p>
    <w:p w14:paraId="0E65873A" w14:textId="77777777" w:rsidR="00C56168" w:rsidRPr="002A26AF" w:rsidRDefault="00C56168" w:rsidP="00C56168">
      <w:pPr>
        <w:pStyle w:val="Heading2"/>
      </w:pPr>
      <w:bookmarkStart w:id="5" w:name="_Toc211347069"/>
      <w:r w:rsidRPr="002A26AF">
        <w:t>Organisation type</w:t>
      </w:r>
      <w:bookmarkEnd w:id="5"/>
    </w:p>
    <w:p w14:paraId="6801758A" w14:textId="77777777" w:rsidR="00C56168" w:rsidRPr="002A26AF" w:rsidRDefault="00C56168" w:rsidP="00C56168">
      <w:pPr>
        <w:pStyle w:val="BodyText"/>
      </w:pPr>
      <w:r>
        <w:t>W</w:t>
      </w:r>
      <w:r w:rsidRPr="002A26AF">
        <w:t xml:space="preserve">hen </w:t>
      </w:r>
      <w:r>
        <w:t xml:space="preserve">asked about their organisation </w:t>
      </w:r>
      <w:r w:rsidRPr="002A26AF">
        <w:t>type</w:t>
      </w:r>
      <w:r>
        <w:t>, participants</w:t>
      </w:r>
      <w:r w:rsidRPr="002A26AF">
        <w:t xml:space="preserve"> </w:t>
      </w:r>
      <w:r>
        <w:t>could</w:t>
      </w:r>
      <w:r w:rsidRPr="002A26AF">
        <w:t xml:space="preserve"> select more than one option</w:t>
      </w:r>
      <w:r>
        <w:t>.</w:t>
      </w:r>
      <w:r w:rsidRPr="002A26AF">
        <w:rPr>
          <w:rStyle w:val="FootnoteReference"/>
        </w:rPr>
        <w:footnoteReference w:id="6"/>
      </w:r>
      <w:r>
        <w:t xml:space="preserve"> This led to</w:t>
      </w:r>
      <w:r w:rsidRPr="002A26AF">
        <w:t xml:space="preserve"> a total </w:t>
      </w:r>
      <w:r w:rsidRPr="00C56168">
        <w:t>of</w:t>
      </w:r>
      <w:r w:rsidRPr="002A26AF">
        <w:t xml:space="preserve"> </w:t>
      </w:r>
      <w:r w:rsidRPr="00C56168">
        <w:t xml:space="preserve">1,283 </w:t>
      </w:r>
      <w:r w:rsidRPr="002A26AF">
        <w:t>responses to this question</w:t>
      </w:r>
      <w:r>
        <w:t xml:space="preserve"> from the 1,025 usable submissions</w:t>
      </w:r>
      <w:r w:rsidRPr="002A26AF">
        <w:t>.</w:t>
      </w:r>
    </w:p>
    <w:p w14:paraId="13212E52" w14:textId="50F3B630" w:rsidR="00896D49" w:rsidRDefault="00C56168" w:rsidP="00896D49">
      <w:pPr>
        <w:pStyle w:val="BodyText"/>
      </w:pPr>
      <w:r>
        <w:t>T</w:t>
      </w:r>
      <w:r w:rsidRPr="002A26AF">
        <w:t xml:space="preserve">he number of responses </w:t>
      </w:r>
      <w:r>
        <w:t xml:space="preserve">in </w:t>
      </w:r>
      <w:r w:rsidRPr="002A26AF">
        <w:t>2025 increased fivefold compared to 2024</w:t>
      </w:r>
      <w:r>
        <w:t xml:space="preserve"> (</w:t>
      </w:r>
      <w:r w:rsidR="00200415">
        <w:fldChar w:fldCharType="begin"/>
      </w:r>
      <w:r w:rsidR="00200415">
        <w:instrText xml:space="preserve"> REF _Ref211346754 \h </w:instrText>
      </w:r>
      <w:r w:rsidR="00200415">
        <w:fldChar w:fldCharType="separate"/>
      </w:r>
      <w:r w:rsidR="003D56F4" w:rsidRPr="002A26AF">
        <w:t xml:space="preserve">Table </w:t>
      </w:r>
      <w:r w:rsidR="003D56F4">
        <w:rPr>
          <w:noProof/>
        </w:rPr>
        <w:t>1</w:t>
      </w:r>
      <w:r w:rsidR="00200415">
        <w:fldChar w:fldCharType="end"/>
      </w:r>
      <w:r>
        <w:t>)</w:t>
      </w:r>
      <w:r w:rsidR="00674ADA">
        <w:t>.</w:t>
      </w:r>
      <w:r w:rsidRPr="002A26AF">
        <w:t xml:space="preserve"> </w:t>
      </w:r>
      <w:r>
        <w:t xml:space="preserve">In 2025, </w:t>
      </w:r>
      <w:r w:rsidRPr="002A26AF">
        <w:t xml:space="preserve">employers </w:t>
      </w:r>
      <w:r>
        <w:t>(</w:t>
      </w:r>
      <w:r w:rsidRPr="002A26AF">
        <w:t>36%</w:t>
      </w:r>
      <w:r>
        <w:t>)</w:t>
      </w:r>
      <w:r w:rsidRPr="002A26AF">
        <w:t xml:space="preserve">, education and training providers </w:t>
      </w:r>
      <w:r>
        <w:t>(</w:t>
      </w:r>
      <w:r w:rsidRPr="002A26AF">
        <w:t>13%</w:t>
      </w:r>
      <w:r>
        <w:t>)</w:t>
      </w:r>
      <w:r w:rsidRPr="002A26AF">
        <w:t xml:space="preserve"> and industry </w:t>
      </w:r>
      <w:r>
        <w:t>bodies (</w:t>
      </w:r>
      <w:r w:rsidRPr="002A26AF">
        <w:t>11%</w:t>
      </w:r>
      <w:r>
        <w:t>) made up most of the responses</w:t>
      </w:r>
      <w:r w:rsidRPr="002A26AF">
        <w:t xml:space="preserve">. </w:t>
      </w:r>
      <w:r w:rsidR="00896D49">
        <w:br w:type="page"/>
      </w:r>
    </w:p>
    <w:p w14:paraId="1B071530" w14:textId="3189EBA0" w:rsidR="00C56168" w:rsidRPr="00C56168" w:rsidRDefault="00C56168" w:rsidP="00C56168">
      <w:pPr>
        <w:pStyle w:val="BodyText"/>
      </w:pPr>
      <w:r>
        <w:lastRenderedPageBreak/>
        <w:t xml:space="preserve">However, </w:t>
      </w:r>
      <w:r w:rsidRPr="002A26AF">
        <w:t xml:space="preserve">the overall composition </w:t>
      </w:r>
      <w:r>
        <w:t xml:space="preserve">of organisation type </w:t>
      </w:r>
      <w:r w:rsidRPr="002A26AF">
        <w:t>shifted</w:t>
      </w:r>
      <w:r>
        <w:t xml:space="preserve"> from 2024</w:t>
      </w:r>
      <w:r w:rsidRPr="002A26AF">
        <w:t xml:space="preserve">. </w:t>
      </w:r>
      <w:r>
        <w:t xml:space="preserve">Compared to 2024, the share of responses from </w:t>
      </w:r>
      <w:r w:rsidRPr="002A26AF">
        <w:t xml:space="preserve">Professional associations and government agencies </w:t>
      </w:r>
      <w:r>
        <w:t xml:space="preserve">increased, while it remained the same for </w:t>
      </w:r>
      <w:r w:rsidRPr="002A26AF">
        <w:t xml:space="preserve">peak bodies and unions. </w:t>
      </w:r>
      <w:bookmarkStart w:id="6" w:name="_Ref204961416"/>
      <w:bookmarkStart w:id="7" w:name="_Ref204961381"/>
    </w:p>
    <w:p w14:paraId="79C4950C" w14:textId="17FBA0A2" w:rsidR="00C56168" w:rsidRPr="002A26AF" w:rsidRDefault="00C56168" w:rsidP="00C56168">
      <w:pPr>
        <w:pStyle w:val="Caption"/>
      </w:pPr>
      <w:bookmarkStart w:id="8" w:name="_Ref211346754"/>
      <w:bookmarkStart w:id="9" w:name="_Toc211347084"/>
      <w:r w:rsidRPr="002A26AF">
        <w:t xml:space="preserve">Table </w:t>
      </w:r>
      <w:r w:rsidRPr="002A26AF">
        <w:fldChar w:fldCharType="begin"/>
      </w:r>
      <w:r w:rsidRPr="002A26AF">
        <w:instrText xml:space="preserve"> SEQ Table \* ARABIC </w:instrText>
      </w:r>
      <w:r w:rsidRPr="002A26AF">
        <w:fldChar w:fldCharType="separate"/>
      </w:r>
      <w:r w:rsidR="003D56F4">
        <w:rPr>
          <w:noProof/>
        </w:rPr>
        <w:t>1</w:t>
      </w:r>
      <w:r w:rsidRPr="002A26AF">
        <w:fldChar w:fldCharType="end"/>
      </w:r>
      <w:bookmarkEnd w:id="6"/>
      <w:bookmarkEnd w:id="8"/>
      <w:r w:rsidRPr="002A26AF">
        <w:t>: Organisation types</w:t>
      </w:r>
      <w:bookmarkEnd w:id="7"/>
      <w:bookmarkEnd w:id="9"/>
    </w:p>
    <w:tbl>
      <w:tblPr>
        <w:tblStyle w:val="CustomTablebasic"/>
        <w:tblW w:w="9342" w:type="dxa"/>
        <w:tblLayout w:type="fixed"/>
        <w:tblLook w:val="04A0" w:firstRow="1" w:lastRow="0" w:firstColumn="1" w:lastColumn="0" w:noHBand="0" w:noVBand="1"/>
      </w:tblPr>
      <w:tblGrid>
        <w:gridCol w:w="3544"/>
        <w:gridCol w:w="1449"/>
        <w:gridCol w:w="1450"/>
        <w:gridCol w:w="1449"/>
        <w:gridCol w:w="1450"/>
      </w:tblGrid>
      <w:tr w:rsidR="00C56168" w:rsidRPr="002A26AF" w14:paraId="65C3DB4C" w14:textId="77777777">
        <w:trPr>
          <w:cnfStyle w:val="100000000000" w:firstRow="1" w:lastRow="0" w:firstColumn="0" w:lastColumn="0" w:oddVBand="0" w:evenVBand="0" w:oddHBand="0" w:evenHBand="0" w:firstRowFirstColumn="0" w:firstRowLastColumn="0" w:lastRowFirstColumn="0" w:lastRowLastColumn="0"/>
          <w:trHeight w:val="900"/>
        </w:trPr>
        <w:tc>
          <w:tcPr>
            <w:tcW w:w="3544" w:type="dxa"/>
            <w:hideMark/>
          </w:tcPr>
          <w:p w14:paraId="0596D98F" w14:textId="77777777" w:rsidR="00C56168" w:rsidRPr="00C56168" w:rsidRDefault="00C56168" w:rsidP="00C56168">
            <w:pPr>
              <w:pStyle w:val="TableHeading1"/>
            </w:pPr>
            <w:r w:rsidRPr="002A26AF">
              <w:t>Organisation Type</w:t>
            </w:r>
          </w:p>
        </w:tc>
        <w:tc>
          <w:tcPr>
            <w:tcW w:w="1449" w:type="dxa"/>
            <w:hideMark/>
          </w:tcPr>
          <w:p w14:paraId="07250185" w14:textId="77777777" w:rsidR="00C56168" w:rsidRPr="00C56168" w:rsidRDefault="00C56168" w:rsidP="00C56168">
            <w:pPr>
              <w:pStyle w:val="TableHeading1right"/>
            </w:pPr>
            <w:r w:rsidRPr="002A26AF">
              <w:t>Respon</w:t>
            </w:r>
            <w:r w:rsidRPr="00C56168">
              <w:t xml:space="preserve">ses 2024 (no.) </w:t>
            </w:r>
          </w:p>
        </w:tc>
        <w:tc>
          <w:tcPr>
            <w:tcW w:w="1450" w:type="dxa"/>
            <w:hideMark/>
          </w:tcPr>
          <w:p w14:paraId="31B7F221" w14:textId="77777777" w:rsidR="00C56168" w:rsidRPr="00C56168" w:rsidRDefault="00C56168" w:rsidP="00C56168">
            <w:pPr>
              <w:pStyle w:val="TableHeading1right"/>
            </w:pPr>
            <w:r w:rsidRPr="002A26AF">
              <w:t>Respon</w:t>
            </w:r>
            <w:r w:rsidRPr="00C56168">
              <w:t>ses 2024 (%)</w:t>
            </w:r>
          </w:p>
        </w:tc>
        <w:tc>
          <w:tcPr>
            <w:tcW w:w="1449" w:type="dxa"/>
            <w:hideMark/>
          </w:tcPr>
          <w:p w14:paraId="78D0B945" w14:textId="77777777" w:rsidR="00C56168" w:rsidRPr="00C56168" w:rsidRDefault="00C56168" w:rsidP="00C56168">
            <w:pPr>
              <w:pStyle w:val="TableHeading1right"/>
            </w:pPr>
            <w:r w:rsidRPr="002A26AF">
              <w:t>Respon</w:t>
            </w:r>
            <w:r w:rsidRPr="00C56168">
              <w:t xml:space="preserve">ses 2025 (no.) </w:t>
            </w:r>
          </w:p>
        </w:tc>
        <w:tc>
          <w:tcPr>
            <w:tcW w:w="1450" w:type="dxa"/>
            <w:hideMark/>
          </w:tcPr>
          <w:p w14:paraId="7A6091BC" w14:textId="77777777" w:rsidR="00C56168" w:rsidRPr="00C56168" w:rsidRDefault="00C56168" w:rsidP="00C56168">
            <w:pPr>
              <w:pStyle w:val="TableHeading1right"/>
            </w:pPr>
            <w:r w:rsidRPr="002A26AF">
              <w:t>Respon</w:t>
            </w:r>
            <w:r w:rsidRPr="00C56168">
              <w:t>ses 2025 (%)</w:t>
            </w:r>
          </w:p>
        </w:tc>
      </w:tr>
      <w:tr w:rsidR="00C56168" w:rsidRPr="002A26AF" w14:paraId="7CC9F63F" w14:textId="77777777">
        <w:trPr>
          <w:trHeight w:val="300"/>
        </w:trPr>
        <w:tc>
          <w:tcPr>
            <w:tcW w:w="3544" w:type="dxa"/>
          </w:tcPr>
          <w:p w14:paraId="25C0D225" w14:textId="77777777" w:rsidR="00C56168" w:rsidRPr="00C56168" w:rsidRDefault="00C56168" w:rsidP="00C56168">
            <w:pPr>
              <w:pStyle w:val="TableBodyText"/>
            </w:pPr>
            <w:r w:rsidRPr="002A26AF">
              <w:t>Employer</w:t>
            </w:r>
          </w:p>
        </w:tc>
        <w:tc>
          <w:tcPr>
            <w:tcW w:w="1449" w:type="dxa"/>
          </w:tcPr>
          <w:p w14:paraId="714A9F9E" w14:textId="77777777" w:rsidR="00C56168" w:rsidRPr="00C56168" w:rsidRDefault="00C56168" w:rsidP="00C71160">
            <w:pPr>
              <w:pStyle w:val="TableBodyTextright"/>
            </w:pPr>
            <w:r w:rsidRPr="002A26AF">
              <w:t>96</w:t>
            </w:r>
          </w:p>
        </w:tc>
        <w:tc>
          <w:tcPr>
            <w:tcW w:w="1450" w:type="dxa"/>
          </w:tcPr>
          <w:p w14:paraId="56DA69DB" w14:textId="77777777" w:rsidR="00C56168" w:rsidRPr="00C56168" w:rsidRDefault="00C56168" w:rsidP="00C71160">
            <w:pPr>
              <w:pStyle w:val="TableBodyTextright"/>
            </w:pPr>
            <w:r w:rsidRPr="002A26AF">
              <w:t>41%</w:t>
            </w:r>
          </w:p>
        </w:tc>
        <w:tc>
          <w:tcPr>
            <w:tcW w:w="1449" w:type="dxa"/>
          </w:tcPr>
          <w:p w14:paraId="141BE156" w14:textId="77777777" w:rsidR="00C56168" w:rsidRPr="00C56168" w:rsidRDefault="00C56168" w:rsidP="00C71160">
            <w:pPr>
              <w:pStyle w:val="TableBodyTextright"/>
            </w:pPr>
            <w:r w:rsidRPr="002A26AF">
              <w:t>457</w:t>
            </w:r>
          </w:p>
        </w:tc>
        <w:tc>
          <w:tcPr>
            <w:tcW w:w="1450" w:type="dxa"/>
          </w:tcPr>
          <w:p w14:paraId="0CA04D81" w14:textId="77777777" w:rsidR="00C56168" w:rsidRPr="00C56168" w:rsidRDefault="00C56168" w:rsidP="00C71160">
            <w:pPr>
              <w:pStyle w:val="TableBodyTextright"/>
            </w:pPr>
            <w:r w:rsidRPr="002A26AF">
              <w:t>36%</w:t>
            </w:r>
          </w:p>
        </w:tc>
      </w:tr>
      <w:tr w:rsidR="00C56168" w:rsidRPr="002A26AF" w14:paraId="6B65C1D2" w14:textId="77777777">
        <w:trPr>
          <w:cnfStyle w:val="000000010000" w:firstRow="0" w:lastRow="0" w:firstColumn="0" w:lastColumn="0" w:oddVBand="0" w:evenVBand="0" w:oddHBand="0" w:evenHBand="1" w:firstRowFirstColumn="0" w:firstRowLastColumn="0" w:lastRowFirstColumn="0" w:lastRowLastColumn="0"/>
          <w:trHeight w:val="300"/>
        </w:trPr>
        <w:tc>
          <w:tcPr>
            <w:tcW w:w="3544" w:type="dxa"/>
          </w:tcPr>
          <w:p w14:paraId="6AF8CB6A" w14:textId="77777777" w:rsidR="00C56168" w:rsidRPr="00C56168" w:rsidRDefault="00C56168" w:rsidP="00C56168">
            <w:pPr>
              <w:pStyle w:val="TableBodyText"/>
            </w:pPr>
            <w:r w:rsidRPr="002A26AF">
              <w:t>Education and training provider</w:t>
            </w:r>
          </w:p>
        </w:tc>
        <w:tc>
          <w:tcPr>
            <w:tcW w:w="1449" w:type="dxa"/>
          </w:tcPr>
          <w:p w14:paraId="65A09D83" w14:textId="77777777" w:rsidR="00C56168" w:rsidRPr="00C56168" w:rsidRDefault="00C56168" w:rsidP="00C71160">
            <w:pPr>
              <w:pStyle w:val="TableBodyTextright"/>
            </w:pPr>
            <w:r w:rsidRPr="002A26AF">
              <w:t>42</w:t>
            </w:r>
          </w:p>
        </w:tc>
        <w:tc>
          <w:tcPr>
            <w:tcW w:w="1450" w:type="dxa"/>
          </w:tcPr>
          <w:p w14:paraId="5DC79C1B" w14:textId="77777777" w:rsidR="00C56168" w:rsidRPr="00C56168" w:rsidRDefault="00C56168" w:rsidP="00C71160">
            <w:pPr>
              <w:pStyle w:val="TableBodyTextright"/>
            </w:pPr>
            <w:r w:rsidRPr="002A26AF">
              <w:t>18%</w:t>
            </w:r>
          </w:p>
        </w:tc>
        <w:tc>
          <w:tcPr>
            <w:tcW w:w="1449" w:type="dxa"/>
          </w:tcPr>
          <w:p w14:paraId="4DBC98C4" w14:textId="77777777" w:rsidR="00C56168" w:rsidRPr="00C56168" w:rsidRDefault="00C56168" w:rsidP="00C71160">
            <w:pPr>
              <w:pStyle w:val="TableBodyTextright"/>
            </w:pPr>
            <w:r w:rsidRPr="002A26AF">
              <w:t>171</w:t>
            </w:r>
          </w:p>
        </w:tc>
        <w:tc>
          <w:tcPr>
            <w:tcW w:w="1450" w:type="dxa"/>
          </w:tcPr>
          <w:p w14:paraId="573D72B1" w14:textId="77777777" w:rsidR="00C56168" w:rsidRPr="00C56168" w:rsidRDefault="00C56168" w:rsidP="00C71160">
            <w:pPr>
              <w:pStyle w:val="TableBodyTextright"/>
            </w:pPr>
            <w:r w:rsidRPr="002A26AF">
              <w:t>13%</w:t>
            </w:r>
          </w:p>
        </w:tc>
      </w:tr>
      <w:tr w:rsidR="00C56168" w:rsidRPr="002A26AF" w14:paraId="3DC90448" w14:textId="77777777">
        <w:trPr>
          <w:trHeight w:val="300"/>
        </w:trPr>
        <w:tc>
          <w:tcPr>
            <w:tcW w:w="3544" w:type="dxa"/>
          </w:tcPr>
          <w:p w14:paraId="39C9871B" w14:textId="77777777" w:rsidR="00C56168" w:rsidRPr="00C56168" w:rsidRDefault="00C56168" w:rsidP="00C56168">
            <w:pPr>
              <w:pStyle w:val="TableBodyText"/>
            </w:pPr>
            <w:r w:rsidRPr="002A26AF">
              <w:t>Industry group</w:t>
            </w:r>
          </w:p>
        </w:tc>
        <w:tc>
          <w:tcPr>
            <w:tcW w:w="1449" w:type="dxa"/>
          </w:tcPr>
          <w:p w14:paraId="0350ED5B" w14:textId="77777777" w:rsidR="00C56168" w:rsidRPr="00C56168" w:rsidRDefault="00C56168" w:rsidP="00C71160">
            <w:pPr>
              <w:pStyle w:val="TableBodyTextright"/>
            </w:pPr>
            <w:r w:rsidRPr="002A26AF">
              <w:t>33</w:t>
            </w:r>
          </w:p>
        </w:tc>
        <w:tc>
          <w:tcPr>
            <w:tcW w:w="1450" w:type="dxa"/>
          </w:tcPr>
          <w:p w14:paraId="52AE67AB" w14:textId="77777777" w:rsidR="00C56168" w:rsidRPr="00C56168" w:rsidRDefault="00C56168" w:rsidP="00C71160">
            <w:pPr>
              <w:pStyle w:val="TableBodyTextright"/>
            </w:pPr>
            <w:r w:rsidRPr="002A26AF">
              <w:t>14%</w:t>
            </w:r>
          </w:p>
        </w:tc>
        <w:tc>
          <w:tcPr>
            <w:tcW w:w="1449" w:type="dxa"/>
          </w:tcPr>
          <w:p w14:paraId="07CBDA07" w14:textId="77777777" w:rsidR="00C56168" w:rsidRPr="00C56168" w:rsidRDefault="00C56168" w:rsidP="00C71160">
            <w:pPr>
              <w:pStyle w:val="TableBodyTextright"/>
            </w:pPr>
            <w:r w:rsidRPr="002A26AF">
              <w:t>144</w:t>
            </w:r>
          </w:p>
        </w:tc>
        <w:tc>
          <w:tcPr>
            <w:tcW w:w="1450" w:type="dxa"/>
          </w:tcPr>
          <w:p w14:paraId="3277ECED" w14:textId="77777777" w:rsidR="00C56168" w:rsidRPr="00C56168" w:rsidRDefault="00C56168" w:rsidP="00C71160">
            <w:pPr>
              <w:pStyle w:val="TableBodyTextright"/>
            </w:pPr>
            <w:r w:rsidRPr="002A26AF">
              <w:t>11%</w:t>
            </w:r>
          </w:p>
        </w:tc>
      </w:tr>
      <w:tr w:rsidR="00C56168" w:rsidRPr="002A26AF" w14:paraId="60CCA40B" w14:textId="77777777">
        <w:trPr>
          <w:cnfStyle w:val="000000010000" w:firstRow="0" w:lastRow="0" w:firstColumn="0" w:lastColumn="0" w:oddVBand="0" w:evenVBand="0" w:oddHBand="0" w:evenHBand="1" w:firstRowFirstColumn="0" w:firstRowLastColumn="0" w:lastRowFirstColumn="0" w:lastRowLastColumn="0"/>
          <w:trHeight w:val="300"/>
        </w:trPr>
        <w:tc>
          <w:tcPr>
            <w:tcW w:w="3544" w:type="dxa"/>
          </w:tcPr>
          <w:p w14:paraId="63B6233C" w14:textId="77777777" w:rsidR="00C56168" w:rsidRPr="00C56168" w:rsidRDefault="00C56168" w:rsidP="00C56168">
            <w:pPr>
              <w:pStyle w:val="TableBodyText"/>
            </w:pPr>
            <w:r w:rsidRPr="002A26AF">
              <w:t>Professional Association</w:t>
            </w:r>
          </w:p>
        </w:tc>
        <w:tc>
          <w:tcPr>
            <w:tcW w:w="1449" w:type="dxa"/>
          </w:tcPr>
          <w:p w14:paraId="5D728FE9" w14:textId="77777777" w:rsidR="00C56168" w:rsidRPr="00C56168" w:rsidRDefault="00C56168" w:rsidP="00C71160">
            <w:pPr>
              <w:pStyle w:val="TableBodyTextright"/>
            </w:pPr>
            <w:r w:rsidRPr="002A26AF">
              <w:t>12</w:t>
            </w:r>
          </w:p>
        </w:tc>
        <w:tc>
          <w:tcPr>
            <w:tcW w:w="1450" w:type="dxa"/>
          </w:tcPr>
          <w:p w14:paraId="0F07B2B1" w14:textId="77777777" w:rsidR="00C56168" w:rsidRPr="00C56168" w:rsidRDefault="00C56168" w:rsidP="00C71160">
            <w:pPr>
              <w:pStyle w:val="TableBodyTextright"/>
            </w:pPr>
            <w:r w:rsidRPr="002A26AF">
              <w:t>5%</w:t>
            </w:r>
          </w:p>
        </w:tc>
        <w:tc>
          <w:tcPr>
            <w:tcW w:w="1449" w:type="dxa"/>
          </w:tcPr>
          <w:p w14:paraId="355EE9FF" w14:textId="77777777" w:rsidR="00C56168" w:rsidRPr="00C56168" w:rsidRDefault="00C56168" w:rsidP="00C71160">
            <w:pPr>
              <w:pStyle w:val="TableBodyTextright"/>
            </w:pPr>
            <w:r w:rsidRPr="002A26AF">
              <w:t>114</w:t>
            </w:r>
          </w:p>
        </w:tc>
        <w:tc>
          <w:tcPr>
            <w:tcW w:w="1450" w:type="dxa"/>
          </w:tcPr>
          <w:p w14:paraId="1543B03C" w14:textId="77777777" w:rsidR="00C56168" w:rsidRPr="00C56168" w:rsidRDefault="00C56168" w:rsidP="00C71160">
            <w:pPr>
              <w:pStyle w:val="TableBodyTextright"/>
            </w:pPr>
            <w:r w:rsidRPr="002A26AF">
              <w:t>9%</w:t>
            </w:r>
          </w:p>
        </w:tc>
      </w:tr>
      <w:tr w:rsidR="00C56168" w:rsidRPr="002A26AF" w14:paraId="3E356DCC" w14:textId="77777777">
        <w:trPr>
          <w:trHeight w:val="300"/>
        </w:trPr>
        <w:tc>
          <w:tcPr>
            <w:tcW w:w="3544" w:type="dxa"/>
          </w:tcPr>
          <w:p w14:paraId="25BE2752" w14:textId="77777777" w:rsidR="00C56168" w:rsidRPr="00C56168" w:rsidRDefault="00C56168" w:rsidP="00C56168">
            <w:pPr>
              <w:pStyle w:val="TableBodyText"/>
            </w:pPr>
            <w:r w:rsidRPr="002A26AF">
              <w:t>Government agency/department</w:t>
            </w:r>
          </w:p>
        </w:tc>
        <w:tc>
          <w:tcPr>
            <w:tcW w:w="1449" w:type="dxa"/>
          </w:tcPr>
          <w:p w14:paraId="0AF728CB" w14:textId="77777777" w:rsidR="00C56168" w:rsidRPr="00C56168" w:rsidRDefault="00C56168" w:rsidP="00C71160">
            <w:pPr>
              <w:pStyle w:val="TableBodyTextright"/>
            </w:pPr>
            <w:r w:rsidRPr="002A26AF">
              <w:t>10</w:t>
            </w:r>
          </w:p>
        </w:tc>
        <w:tc>
          <w:tcPr>
            <w:tcW w:w="1450" w:type="dxa"/>
          </w:tcPr>
          <w:p w14:paraId="46E4A978" w14:textId="77777777" w:rsidR="00C56168" w:rsidRPr="00C56168" w:rsidRDefault="00C56168" w:rsidP="00C71160">
            <w:pPr>
              <w:pStyle w:val="TableBodyTextright"/>
            </w:pPr>
            <w:r w:rsidRPr="002A26AF">
              <w:t>4%</w:t>
            </w:r>
          </w:p>
        </w:tc>
        <w:tc>
          <w:tcPr>
            <w:tcW w:w="1449" w:type="dxa"/>
          </w:tcPr>
          <w:p w14:paraId="4D464380" w14:textId="77777777" w:rsidR="00C56168" w:rsidRPr="00C56168" w:rsidRDefault="00C56168" w:rsidP="00C71160">
            <w:pPr>
              <w:pStyle w:val="TableBodyTextright"/>
            </w:pPr>
            <w:r w:rsidRPr="002A26AF">
              <w:t>114</w:t>
            </w:r>
          </w:p>
        </w:tc>
        <w:tc>
          <w:tcPr>
            <w:tcW w:w="1450" w:type="dxa"/>
          </w:tcPr>
          <w:p w14:paraId="1B98565A" w14:textId="77777777" w:rsidR="00C56168" w:rsidRPr="00C56168" w:rsidRDefault="00C56168" w:rsidP="00C71160">
            <w:pPr>
              <w:pStyle w:val="TableBodyTextright"/>
            </w:pPr>
            <w:r w:rsidRPr="002A26AF">
              <w:t>9%</w:t>
            </w:r>
          </w:p>
        </w:tc>
      </w:tr>
      <w:tr w:rsidR="00C56168" w:rsidRPr="002A26AF" w14:paraId="0E02C9C6" w14:textId="77777777">
        <w:trPr>
          <w:cnfStyle w:val="000000010000" w:firstRow="0" w:lastRow="0" w:firstColumn="0" w:lastColumn="0" w:oddVBand="0" w:evenVBand="0" w:oddHBand="0" w:evenHBand="1" w:firstRowFirstColumn="0" w:firstRowLastColumn="0" w:lastRowFirstColumn="0" w:lastRowLastColumn="0"/>
          <w:trHeight w:val="300"/>
        </w:trPr>
        <w:tc>
          <w:tcPr>
            <w:tcW w:w="3544" w:type="dxa"/>
          </w:tcPr>
          <w:p w14:paraId="22C2004E" w14:textId="77777777" w:rsidR="00C56168" w:rsidRPr="00C56168" w:rsidRDefault="00C56168" w:rsidP="00C56168">
            <w:pPr>
              <w:pStyle w:val="TableBodyText"/>
            </w:pPr>
            <w:r w:rsidRPr="002A26AF">
              <w:t xml:space="preserve">Peak </w:t>
            </w:r>
            <w:r w:rsidRPr="00C56168">
              <w:t>body</w:t>
            </w:r>
          </w:p>
        </w:tc>
        <w:tc>
          <w:tcPr>
            <w:tcW w:w="1449" w:type="dxa"/>
          </w:tcPr>
          <w:p w14:paraId="079277F9" w14:textId="77777777" w:rsidR="00C56168" w:rsidRPr="00C56168" w:rsidRDefault="00C56168" w:rsidP="00C71160">
            <w:pPr>
              <w:pStyle w:val="TableBodyTextright"/>
            </w:pPr>
            <w:r w:rsidRPr="002A26AF">
              <w:t>14</w:t>
            </w:r>
          </w:p>
        </w:tc>
        <w:tc>
          <w:tcPr>
            <w:tcW w:w="1450" w:type="dxa"/>
          </w:tcPr>
          <w:p w14:paraId="19113173" w14:textId="77777777" w:rsidR="00C56168" w:rsidRPr="00C56168" w:rsidRDefault="00C56168" w:rsidP="00C71160">
            <w:pPr>
              <w:pStyle w:val="TableBodyTextright"/>
            </w:pPr>
            <w:r w:rsidRPr="002A26AF">
              <w:t>6%</w:t>
            </w:r>
          </w:p>
        </w:tc>
        <w:tc>
          <w:tcPr>
            <w:tcW w:w="1449" w:type="dxa"/>
          </w:tcPr>
          <w:p w14:paraId="43A2BFC6" w14:textId="77777777" w:rsidR="00C56168" w:rsidRPr="00C56168" w:rsidRDefault="00C56168" w:rsidP="00C71160">
            <w:pPr>
              <w:pStyle w:val="TableBodyTextright"/>
            </w:pPr>
            <w:r w:rsidRPr="002A26AF">
              <w:t>73</w:t>
            </w:r>
          </w:p>
        </w:tc>
        <w:tc>
          <w:tcPr>
            <w:tcW w:w="1450" w:type="dxa"/>
          </w:tcPr>
          <w:p w14:paraId="55A3F535" w14:textId="77777777" w:rsidR="00C56168" w:rsidRPr="00C56168" w:rsidRDefault="00C56168" w:rsidP="00C71160">
            <w:pPr>
              <w:pStyle w:val="TableBodyTextright"/>
            </w:pPr>
            <w:r w:rsidRPr="002A26AF">
              <w:t>6%</w:t>
            </w:r>
          </w:p>
        </w:tc>
      </w:tr>
      <w:tr w:rsidR="00C56168" w:rsidRPr="002A26AF" w14:paraId="10E131CE" w14:textId="77777777">
        <w:trPr>
          <w:trHeight w:val="300"/>
        </w:trPr>
        <w:tc>
          <w:tcPr>
            <w:tcW w:w="3544" w:type="dxa"/>
          </w:tcPr>
          <w:p w14:paraId="1C036A67" w14:textId="77777777" w:rsidR="00C56168" w:rsidRPr="00C56168" w:rsidRDefault="00C56168" w:rsidP="00C56168">
            <w:pPr>
              <w:pStyle w:val="TableBodyText"/>
            </w:pPr>
            <w:r w:rsidRPr="002A26AF">
              <w:t>Other</w:t>
            </w:r>
          </w:p>
        </w:tc>
        <w:tc>
          <w:tcPr>
            <w:tcW w:w="1449" w:type="dxa"/>
          </w:tcPr>
          <w:p w14:paraId="4A15B11B" w14:textId="77777777" w:rsidR="00C56168" w:rsidRPr="00C56168" w:rsidRDefault="00C56168" w:rsidP="00C71160">
            <w:pPr>
              <w:pStyle w:val="TableBodyTextright"/>
            </w:pPr>
            <w:r w:rsidRPr="002A26AF">
              <w:t>18</w:t>
            </w:r>
          </w:p>
        </w:tc>
        <w:tc>
          <w:tcPr>
            <w:tcW w:w="1450" w:type="dxa"/>
          </w:tcPr>
          <w:p w14:paraId="3D3841C9" w14:textId="77777777" w:rsidR="00C56168" w:rsidRPr="00C56168" w:rsidRDefault="00C56168" w:rsidP="00C71160">
            <w:pPr>
              <w:pStyle w:val="TableBodyTextright"/>
            </w:pPr>
            <w:r w:rsidRPr="002A26AF">
              <w:t>8%</w:t>
            </w:r>
          </w:p>
        </w:tc>
        <w:tc>
          <w:tcPr>
            <w:tcW w:w="1449" w:type="dxa"/>
          </w:tcPr>
          <w:p w14:paraId="324081DB" w14:textId="77777777" w:rsidR="00C56168" w:rsidRPr="00C56168" w:rsidRDefault="00C56168" w:rsidP="00C71160">
            <w:pPr>
              <w:pStyle w:val="TableBodyTextright"/>
            </w:pPr>
            <w:r w:rsidRPr="002A26AF">
              <w:t>70</w:t>
            </w:r>
          </w:p>
        </w:tc>
        <w:tc>
          <w:tcPr>
            <w:tcW w:w="1450" w:type="dxa"/>
          </w:tcPr>
          <w:p w14:paraId="6FC26D1F" w14:textId="77777777" w:rsidR="00C56168" w:rsidRPr="00C56168" w:rsidRDefault="00C56168" w:rsidP="00C71160">
            <w:pPr>
              <w:pStyle w:val="TableBodyTextright"/>
            </w:pPr>
            <w:r w:rsidRPr="002A26AF">
              <w:t>5%</w:t>
            </w:r>
          </w:p>
        </w:tc>
      </w:tr>
      <w:tr w:rsidR="00C56168" w:rsidRPr="002A26AF" w14:paraId="6FF1F5DF" w14:textId="77777777">
        <w:trPr>
          <w:cnfStyle w:val="000000010000" w:firstRow="0" w:lastRow="0" w:firstColumn="0" w:lastColumn="0" w:oddVBand="0" w:evenVBand="0" w:oddHBand="0" w:evenHBand="1" w:firstRowFirstColumn="0" w:firstRowLastColumn="0" w:lastRowFirstColumn="0" w:lastRowLastColumn="0"/>
          <w:trHeight w:val="300"/>
        </w:trPr>
        <w:tc>
          <w:tcPr>
            <w:tcW w:w="3544" w:type="dxa"/>
          </w:tcPr>
          <w:p w14:paraId="2A4062E9" w14:textId="77777777" w:rsidR="00C56168" w:rsidRPr="00C56168" w:rsidRDefault="00C56168" w:rsidP="00C56168">
            <w:pPr>
              <w:pStyle w:val="TableBodyText"/>
            </w:pPr>
            <w:r w:rsidRPr="002A26AF">
              <w:t>Sole trader</w:t>
            </w:r>
          </w:p>
        </w:tc>
        <w:tc>
          <w:tcPr>
            <w:tcW w:w="1449" w:type="dxa"/>
          </w:tcPr>
          <w:p w14:paraId="031F4B88" w14:textId="77777777" w:rsidR="00C56168" w:rsidRPr="00C56168" w:rsidRDefault="00C56168" w:rsidP="00C71160">
            <w:pPr>
              <w:pStyle w:val="TableBodyTextright"/>
            </w:pPr>
            <w:r w:rsidRPr="002A26AF">
              <w:t>NA</w:t>
            </w:r>
          </w:p>
        </w:tc>
        <w:tc>
          <w:tcPr>
            <w:tcW w:w="1450" w:type="dxa"/>
          </w:tcPr>
          <w:p w14:paraId="62A14D70" w14:textId="77777777" w:rsidR="00C56168" w:rsidRPr="00C56168" w:rsidRDefault="00C56168" w:rsidP="00C71160">
            <w:pPr>
              <w:pStyle w:val="TableBodyTextright"/>
            </w:pPr>
            <w:r w:rsidRPr="002A26AF">
              <w:t>NA</w:t>
            </w:r>
          </w:p>
        </w:tc>
        <w:tc>
          <w:tcPr>
            <w:tcW w:w="1449" w:type="dxa"/>
          </w:tcPr>
          <w:p w14:paraId="6124A1E5" w14:textId="77777777" w:rsidR="00C56168" w:rsidRPr="00C56168" w:rsidRDefault="00C56168" w:rsidP="00C71160">
            <w:pPr>
              <w:pStyle w:val="TableBodyTextright"/>
            </w:pPr>
            <w:r w:rsidRPr="002A26AF">
              <w:t>69</w:t>
            </w:r>
          </w:p>
        </w:tc>
        <w:tc>
          <w:tcPr>
            <w:tcW w:w="1450" w:type="dxa"/>
          </w:tcPr>
          <w:p w14:paraId="5563C7B9" w14:textId="77777777" w:rsidR="00C56168" w:rsidRPr="00C56168" w:rsidRDefault="00C56168" w:rsidP="00C71160">
            <w:pPr>
              <w:pStyle w:val="TableBodyTextright"/>
            </w:pPr>
            <w:r w:rsidRPr="002A26AF">
              <w:t>5%</w:t>
            </w:r>
          </w:p>
        </w:tc>
      </w:tr>
      <w:tr w:rsidR="00C56168" w:rsidRPr="002A26AF" w14:paraId="6EDE2888" w14:textId="77777777">
        <w:trPr>
          <w:trHeight w:val="300"/>
        </w:trPr>
        <w:tc>
          <w:tcPr>
            <w:tcW w:w="0" w:type="dxa"/>
          </w:tcPr>
          <w:p w14:paraId="30725AE8" w14:textId="77777777" w:rsidR="00C56168" w:rsidRPr="00C56168" w:rsidRDefault="00C56168" w:rsidP="00C56168">
            <w:pPr>
              <w:pStyle w:val="TableBodyText"/>
            </w:pPr>
            <w:r w:rsidRPr="002A26AF">
              <w:t>Education and training advisory body</w:t>
            </w:r>
          </w:p>
        </w:tc>
        <w:tc>
          <w:tcPr>
            <w:tcW w:w="1449" w:type="dxa"/>
          </w:tcPr>
          <w:p w14:paraId="2E164987" w14:textId="77777777" w:rsidR="00C56168" w:rsidRPr="00C56168" w:rsidRDefault="00C56168" w:rsidP="00C71160">
            <w:pPr>
              <w:pStyle w:val="TableBodyTextright"/>
            </w:pPr>
            <w:r w:rsidRPr="002A26AF">
              <w:t>5</w:t>
            </w:r>
          </w:p>
        </w:tc>
        <w:tc>
          <w:tcPr>
            <w:tcW w:w="1450" w:type="dxa"/>
          </w:tcPr>
          <w:p w14:paraId="280F9251" w14:textId="77777777" w:rsidR="00C56168" w:rsidRPr="00C56168" w:rsidRDefault="00C56168" w:rsidP="00C71160">
            <w:pPr>
              <w:pStyle w:val="TableBodyTextright"/>
            </w:pPr>
            <w:r w:rsidRPr="002A26AF">
              <w:t>2%</w:t>
            </w:r>
          </w:p>
        </w:tc>
        <w:tc>
          <w:tcPr>
            <w:tcW w:w="1449" w:type="dxa"/>
          </w:tcPr>
          <w:p w14:paraId="786CF1D5" w14:textId="77777777" w:rsidR="00C56168" w:rsidRPr="00C56168" w:rsidRDefault="00C56168" w:rsidP="00C71160">
            <w:pPr>
              <w:pStyle w:val="TableBodyTextright"/>
            </w:pPr>
            <w:r w:rsidRPr="002A26AF">
              <w:t>32</w:t>
            </w:r>
          </w:p>
        </w:tc>
        <w:tc>
          <w:tcPr>
            <w:tcW w:w="1450" w:type="dxa"/>
          </w:tcPr>
          <w:p w14:paraId="0686725E" w14:textId="77777777" w:rsidR="00C56168" w:rsidRPr="00C56168" w:rsidRDefault="00C56168" w:rsidP="00C71160">
            <w:pPr>
              <w:pStyle w:val="TableBodyTextright"/>
            </w:pPr>
            <w:r w:rsidRPr="002A26AF">
              <w:t>2%</w:t>
            </w:r>
          </w:p>
        </w:tc>
      </w:tr>
      <w:tr w:rsidR="00C56168" w:rsidRPr="002A26AF" w14:paraId="40DAAAC0" w14:textId="77777777">
        <w:trPr>
          <w:cnfStyle w:val="000000010000" w:firstRow="0" w:lastRow="0" w:firstColumn="0" w:lastColumn="0" w:oddVBand="0" w:evenVBand="0" w:oddHBand="0" w:evenHBand="1" w:firstRowFirstColumn="0" w:firstRowLastColumn="0" w:lastRowFirstColumn="0" w:lastRowLastColumn="0"/>
          <w:trHeight w:val="300"/>
        </w:trPr>
        <w:tc>
          <w:tcPr>
            <w:tcW w:w="3544" w:type="dxa"/>
          </w:tcPr>
          <w:p w14:paraId="5BC5E5F0" w14:textId="77777777" w:rsidR="00C56168" w:rsidRPr="00C56168" w:rsidRDefault="00C56168" w:rsidP="00C56168">
            <w:pPr>
              <w:pStyle w:val="TableBodyText"/>
            </w:pPr>
            <w:r w:rsidRPr="002A26AF">
              <w:t>Regional body</w:t>
            </w:r>
          </w:p>
        </w:tc>
        <w:tc>
          <w:tcPr>
            <w:tcW w:w="1449" w:type="dxa"/>
          </w:tcPr>
          <w:p w14:paraId="5212FDD4" w14:textId="77777777" w:rsidR="00C56168" w:rsidRPr="00C56168" w:rsidRDefault="00C56168" w:rsidP="00C71160">
            <w:pPr>
              <w:pStyle w:val="TableBodyTextright"/>
            </w:pPr>
            <w:r w:rsidRPr="002A26AF">
              <w:t>4</w:t>
            </w:r>
          </w:p>
        </w:tc>
        <w:tc>
          <w:tcPr>
            <w:tcW w:w="1450" w:type="dxa"/>
          </w:tcPr>
          <w:p w14:paraId="3DA09F75" w14:textId="77777777" w:rsidR="00C56168" w:rsidRPr="00C56168" w:rsidRDefault="00C56168" w:rsidP="00C71160">
            <w:pPr>
              <w:pStyle w:val="TableBodyTextright"/>
            </w:pPr>
            <w:r w:rsidRPr="002A26AF">
              <w:t>2%</w:t>
            </w:r>
          </w:p>
        </w:tc>
        <w:tc>
          <w:tcPr>
            <w:tcW w:w="1449" w:type="dxa"/>
          </w:tcPr>
          <w:p w14:paraId="5612257E" w14:textId="77777777" w:rsidR="00C56168" w:rsidRPr="00C56168" w:rsidRDefault="00C56168" w:rsidP="00C71160">
            <w:pPr>
              <w:pStyle w:val="TableBodyTextright"/>
            </w:pPr>
            <w:r w:rsidRPr="002A26AF">
              <w:t>15</w:t>
            </w:r>
          </w:p>
        </w:tc>
        <w:tc>
          <w:tcPr>
            <w:tcW w:w="1450" w:type="dxa"/>
          </w:tcPr>
          <w:p w14:paraId="11353263" w14:textId="77777777" w:rsidR="00C56168" w:rsidRPr="00C56168" w:rsidRDefault="00C56168" w:rsidP="00C71160">
            <w:pPr>
              <w:pStyle w:val="TableBodyTextright"/>
            </w:pPr>
            <w:r w:rsidRPr="002A26AF">
              <w:t>1%</w:t>
            </w:r>
          </w:p>
        </w:tc>
      </w:tr>
      <w:tr w:rsidR="00C56168" w:rsidRPr="002A26AF" w14:paraId="33484C5D" w14:textId="77777777">
        <w:trPr>
          <w:trHeight w:val="300"/>
        </w:trPr>
        <w:tc>
          <w:tcPr>
            <w:tcW w:w="3544" w:type="dxa"/>
          </w:tcPr>
          <w:p w14:paraId="1FD556BA" w14:textId="77777777" w:rsidR="00C56168" w:rsidRPr="00C56168" w:rsidRDefault="00C56168" w:rsidP="00C56168">
            <w:pPr>
              <w:pStyle w:val="TableBodyText"/>
            </w:pPr>
            <w:r w:rsidRPr="002A26AF">
              <w:t>Union</w:t>
            </w:r>
          </w:p>
        </w:tc>
        <w:tc>
          <w:tcPr>
            <w:tcW w:w="1449" w:type="dxa"/>
          </w:tcPr>
          <w:p w14:paraId="566CE247" w14:textId="77777777" w:rsidR="00C56168" w:rsidRPr="00C56168" w:rsidRDefault="00C56168" w:rsidP="00C71160">
            <w:pPr>
              <w:pStyle w:val="TableBodyTextright"/>
            </w:pPr>
            <w:r w:rsidRPr="002A26AF">
              <w:t>2</w:t>
            </w:r>
          </w:p>
        </w:tc>
        <w:tc>
          <w:tcPr>
            <w:tcW w:w="1450" w:type="dxa"/>
          </w:tcPr>
          <w:p w14:paraId="2A31AD4A" w14:textId="77777777" w:rsidR="00C56168" w:rsidRPr="00C56168" w:rsidRDefault="00C56168" w:rsidP="00C71160">
            <w:pPr>
              <w:pStyle w:val="TableBodyTextright"/>
            </w:pPr>
            <w:r w:rsidRPr="002A26AF">
              <w:t>1%</w:t>
            </w:r>
          </w:p>
        </w:tc>
        <w:tc>
          <w:tcPr>
            <w:tcW w:w="1449" w:type="dxa"/>
          </w:tcPr>
          <w:p w14:paraId="4ED1AE26" w14:textId="77777777" w:rsidR="00C56168" w:rsidRPr="00C56168" w:rsidRDefault="00C56168" w:rsidP="00C71160">
            <w:pPr>
              <w:pStyle w:val="TableBodyTextright"/>
            </w:pPr>
            <w:r w:rsidRPr="002A26AF">
              <w:t>12</w:t>
            </w:r>
          </w:p>
        </w:tc>
        <w:tc>
          <w:tcPr>
            <w:tcW w:w="1450" w:type="dxa"/>
          </w:tcPr>
          <w:p w14:paraId="5D12BF78" w14:textId="77777777" w:rsidR="00C56168" w:rsidRPr="00C56168" w:rsidRDefault="00C56168" w:rsidP="00C71160">
            <w:pPr>
              <w:pStyle w:val="TableBodyTextright"/>
            </w:pPr>
            <w:r w:rsidRPr="002A26AF">
              <w:t>1%</w:t>
            </w:r>
          </w:p>
        </w:tc>
      </w:tr>
      <w:tr w:rsidR="00C56168" w:rsidRPr="002A26AF" w14:paraId="0841B461" w14:textId="77777777">
        <w:trPr>
          <w:cnfStyle w:val="000000010000" w:firstRow="0" w:lastRow="0" w:firstColumn="0" w:lastColumn="0" w:oddVBand="0" w:evenVBand="0" w:oddHBand="0" w:evenHBand="1" w:firstRowFirstColumn="0" w:firstRowLastColumn="0" w:lastRowFirstColumn="0" w:lastRowLastColumn="0"/>
          <w:trHeight w:val="315"/>
        </w:trPr>
        <w:tc>
          <w:tcPr>
            <w:tcW w:w="3544" w:type="dxa"/>
          </w:tcPr>
          <w:p w14:paraId="77A66998" w14:textId="77777777" w:rsidR="00C56168" w:rsidRPr="00C56168" w:rsidRDefault="00C56168" w:rsidP="00C56168">
            <w:pPr>
              <w:pStyle w:val="TableBodyText"/>
            </w:pPr>
            <w:r w:rsidRPr="002A26AF">
              <w:t>Recruitment agency/labour hire firm</w:t>
            </w:r>
          </w:p>
        </w:tc>
        <w:tc>
          <w:tcPr>
            <w:tcW w:w="1449" w:type="dxa"/>
          </w:tcPr>
          <w:p w14:paraId="462DD5F1" w14:textId="77777777" w:rsidR="00C56168" w:rsidRPr="00C56168" w:rsidRDefault="00C56168" w:rsidP="00C71160">
            <w:pPr>
              <w:pStyle w:val="TableBodyTextright"/>
            </w:pPr>
            <w:r w:rsidRPr="002A26AF">
              <w:t>NA</w:t>
            </w:r>
          </w:p>
        </w:tc>
        <w:tc>
          <w:tcPr>
            <w:tcW w:w="1450" w:type="dxa"/>
          </w:tcPr>
          <w:p w14:paraId="677563C7" w14:textId="77777777" w:rsidR="00C56168" w:rsidRPr="00C56168" w:rsidRDefault="00C56168" w:rsidP="00C71160">
            <w:pPr>
              <w:pStyle w:val="TableBodyTextright"/>
            </w:pPr>
            <w:r w:rsidRPr="002A26AF">
              <w:t>NA</w:t>
            </w:r>
          </w:p>
        </w:tc>
        <w:tc>
          <w:tcPr>
            <w:tcW w:w="1449" w:type="dxa"/>
          </w:tcPr>
          <w:p w14:paraId="1D81B258" w14:textId="77777777" w:rsidR="00C56168" w:rsidRPr="00C56168" w:rsidRDefault="00C56168" w:rsidP="00C71160">
            <w:pPr>
              <w:pStyle w:val="TableBodyTextright"/>
            </w:pPr>
            <w:r w:rsidRPr="002A26AF">
              <w:t>12</w:t>
            </w:r>
          </w:p>
        </w:tc>
        <w:tc>
          <w:tcPr>
            <w:tcW w:w="1450" w:type="dxa"/>
          </w:tcPr>
          <w:p w14:paraId="13A3A6C6" w14:textId="77777777" w:rsidR="00C56168" w:rsidRPr="00C56168" w:rsidRDefault="00C56168" w:rsidP="00C71160">
            <w:pPr>
              <w:pStyle w:val="TableBodyTextright"/>
            </w:pPr>
            <w:r w:rsidRPr="002A26AF">
              <w:t>1%</w:t>
            </w:r>
          </w:p>
        </w:tc>
      </w:tr>
      <w:tr w:rsidR="00C56168" w:rsidRPr="002A26AF" w14:paraId="04B345C5" w14:textId="77777777">
        <w:trPr>
          <w:trHeight w:val="330"/>
        </w:trPr>
        <w:tc>
          <w:tcPr>
            <w:tcW w:w="3544" w:type="dxa"/>
          </w:tcPr>
          <w:p w14:paraId="5BB1946D" w14:textId="77777777" w:rsidR="00C56168" w:rsidRPr="00C56168" w:rsidRDefault="00C56168" w:rsidP="00C56168">
            <w:pPr>
              <w:pStyle w:val="TableBodyText"/>
              <w:rPr>
                <w:rStyle w:val="Characterbold"/>
              </w:rPr>
            </w:pPr>
            <w:r w:rsidRPr="00C56168">
              <w:t>Total</w:t>
            </w:r>
          </w:p>
        </w:tc>
        <w:tc>
          <w:tcPr>
            <w:tcW w:w="1449" w:type="dxa"/>
          </w:tcPr>
          <w:p w14:paraId="4697F35D" w14:textId="77777777" w:rsidR="00C56168" w:rsidRPr="00C56168" w:rsidRDefault="00C56168" w:rsidP="00C71160">
            <w:pPr>
              <w:pStyle w:val="TableBodyTextright"/>
              <w:rPr>
                <w:rStyle w:val="Characterbold"/>
              </w:rPr>
            </w:pPr>
            <w:r w:rsidRPr="00C56168">
              <w:t>236</w:t>
            </w:r>
          </w:p>
        </w:tc>
        <w:tc>
          <w:tcPr>
            <w:tcW w:w="1450" w:type="dxa"/>
          </w:tcPr>
          <w:p w14:paraId="4E60017D" w14:textId="77777777" w:rsidR="00C56168" w:rsidRPr="00C56168" w:rsidRDefault="00C56168" w:rsidP="00C71160">
            <w:pPr>
              <w:pStyle w:val="TableBodyTextright"/>
              <w:rPr>
                <w:rStyle w:val="Characterbold"/>
              </w:rPr>
            </w:pPr>
            <w:r w:rsidRPr="00C56168">
              <w:t>100%</w:t>
            </w:r>
          </w:p>
        </w:tc>
        <w:tc>
          <w:tcPr>
            <w:tcW w:w="1449" w:type="dxa"/>
          </w:tcPr>
          <w:p w14:paraId="5425F5EB" w14:textId="77777777" w:rsidR="00C56168" w:rsidRPr="00C56168" w:rsidRDefault="00C56168" w:rsidP="00C71160">
            <w:pPr>
              <w:pStyle w:val="TableBodyTextright"/>
              <w:rPr>
                <w:rStyle w:val="Characterbold"/>
              </w:rPr>
            </w:pPr>
            <w:r w:rsidRPr="00C56168">
              <w:t>1,283</w:t>
            </w:r>
          </w:p>
        </w:tc>
        <w:tc>
          <w:tcPr>
            <w:tcW w:w="1450" w:type="dxa"/>
          </w:tcPr>
          <w:p w14:paraId="4F582C96" w14:textId="77777777" w:rsidR="00C56168" w:rsidRPr="00C56168" w:rsidRDefault="00C56168" w:rsidP="00C71160">
            <w:pPr>
              <w:pStyle w:val="TableBodyTextright"/>
              <w:rPr>
                <w:rStyle w:val="Characterbold"/>
              </w:rPr>
            </w:pPr>
            <w:r w:rsidRPr="00C56168">
              <w:t>100%</w:t>
            </w:r>
          </w:p>
        </w:tc>
      </w:tr>
    </w:tbl>
    <w:p w14:paraId="6C8850C9" w14:textId="77777777" w:rsidR="00C56168" w:rsidRPr="002A26AF" w:rsidRDefault="00C56168" w:rsidP="00C56168">
      <w:pPr>
        <w:pStyle w:val="Source"/>
      </w:pPr>
      <w:r w:rsidRPr="002A26AF">
        <w:t>Source: Jobs and Skills Australia, 2025 Occupation Shortage List Stakeholder Survey.</w:t>
      </w:r>
      <w:r>
        <w:br/>
      </w:r>
      <w:r w:rsidRPr="002A26AF">
        <w:t xml:space="preserve">Note: Participants were able to select more than one organisation type, as a result the total responses is higher than the number of </w:t>
      </w:r>
      <w:r>
        <w:t xml:space="preserve">unique </w:t>
      </w:r>
      <w:r w:rsidRPr="002A26AF">
        <w:t xml:space="preserve">respondents. </w:t>
      </w:r>
      <w:r>
        <w:t>‘</w:t>
      </w:r>
      <w:r w:rsidRPr="002A26AF">
        <w:t xml:space="preserve">Sole Trader’ and ‘Recruitment agency/labour hire firm’ were newly added to the 2025 </w:t>
      </w:r>
      <w:r>
        <w:t>s</w:t>
      </w:r>
      <w:r w:rsidRPr="002A26AF">
        <w:t>urvey.</w:t>
      </w:r>
      <w:r>
        <w:t xml:space="preserve"> Although, Sole Traders </w:t>
      </w:r>
      <w:r w:rsidRPr="006114F1">
        <w:t>operate as a single individual, they can hire employees to assist with their business operations</w:t>
      </w:r>
      <w:r>
        <w:t xml:space="preserve"> and have the </w:t>
      </w:r>
      <w:r w:rsidRPr="0023663A">
        <w:t>same employer obligations as any other business structure, such as paying wages, meeting tax requirements, and adhering to workplace health and safety regulations</w:t>
      </w:r>
      <w:r>
        <w:t>.</w:t>
      </w:r>
      <w:r w:rsidRPr="006114F1">
        <w:t xml:space="preserve"> </w:t>
      </w:r>
      <w:r>
        <w:t>As a result, they may have important insights on the labour market and recruitment conditions.</w:t>
      </w:r>
    </w:p>
    <w:p w14:paraId="44900E07" w14:textId="77777777" w:rsidR="00C56168" w:rsidRPr="002A26AF" w:rsidRDefault="00C56168" w:rsidP="00C56168">
      <w:pPr>
        <w:pStyle w:val="Heading2"/>
      </w:pPr>
      <w:bookmarkStart w:id="10" w:name="_Toc211347070"/>
      <w:r w:rsidRPr="002A26AF">
        <w:t>Industry representation</w:t>
      </w:r>
      <w:bookmarkEnd w:id="10"/>
    </w:p>
    <w:p w14:paraId="657708AB" w14:textId="77777777" w:rsidR="00C56168" w:rsidRPr="00C56168" w:rsidRDefault="00C56168" w:rsidP="00C56168">
      <w:pPr>
        <w:pStyle w:val="BodyText"/>
      </w:pPr>
      <w:r w:rsidRPr="00C56168">
        <w:t xml:space="preserve">Responses were received for all 19 industries defined in the Australian and New Zealand Standard Industrial Classification (ANZSIC). </w:t>
      </w:r>
    </w:p>
    <w:p w14:paraId="22947811" w14:textId="09FC2038" w:rsidR="00C56168" w:rsidRPr="00B36EA7" w:rsidRDefault="00C56168" w:rsidP="00B36EA7">
      <w:pPr>
        <w:pStyle w:val="BodyText"/>
      </w:pPr>
      <w:r w:rsidRPr="00B36EA7">
        <w:t>The largest number of responses were from Health Care and Social Assistance (15%), Arts and Recreation Services (14%), Education and Training (10%), and Agriculture, Forestry and Fishing (</w:t>
      </w:r>
      <w:r w:rsidR="00D33F7A">
        <w:fldChar w:fldCharType="begin"/>
      </w:r>
      <w:r w:rsidR="00D33F7A">
        <w:instrText xml:space="preserve"> REF _Ref211346158 \h </w:instrText>
      </w:r>
      <w:r w:rsidR="00D33F7A">
        <w:fldChar w:fldCharType="separate"/>
      </w:r>
      <w:r w:rsidR="003D56F4" w:rsidRPr="00B36EA7">
        <w:t xml:space="preserve">Table </w:t>
      </w:r>
      <w:r w:rsidR="003D56F4">
        <w:rPr>
          <w:noProof/>
        </w:rPr>
        <w:t>2</w:t>
      </w:r>
      <w:r w:rsidR="00D33F7A">
        <w:fldChar w:fldCharType="end"/>
      </w:r>
      <w:r w:rsidRPr="00B36EA7">
        <w:t>).</w:t>
      </w:r>
    </w:p>
    <w:p w14:paraId="34CEE5E4" w14:textId="77777777" w:rsidR="00C56168" w:rsidRPr="00C56168" w:rsidRDefault="00C56168" w:rsidP="00C56168">
      <w:pPr>
        <w:rPr>
          <w:rStyle w:val="Characterbold"/>
        </w:rPr>
      </w:pPr>
      <w:bookmarkStart w:id="11" w:name="_Ref169264944"/>
      <w:bookmarkStart w:id="12" w:name="_Ref170476263"/>
      <w:bookmarkStart w:id="13" w:name="_Ref169814311"/>
      <w:r w:rsidRPr="00C56168">
        <w:rPr>
          <w:rStyle w:val="Characterbold"/>
        </w:rPr>
        <w:br w:type="page"/>
      </w:r>
    </w:p>
    <w:p w14:paraId="00561AC6" w14:textId="6251AB57" w:rsidR="00C56168" w:rsidRPr="00B36EA7" w:rsidRDefault="00C56168" w:rsidP="00B36EA7">
      <w:pPr>
        <w:pStyle w:val="Caption"/>
      </w:pPr>
      <w:bookmarkStart w:id="14" w:name="_Ref211346158"/>
      <w:bookmarkStart w:id="15" w:name="_Toc211347085"/>
      <w:r w:rsidRPr="00B36EA7">
        <w:lastRenderedPageBreak/>
        <w:t xml:space="preserve">Table </w:t>
      </w:r>
      <w:r w:rsidRPr="00B36EA7">
        <w:fldChar w:fldCharType="begin"/>
      </w:r>
      <w:r w:rsidRPr="00B36EA7">
        <w:instrText>SEQ Table \* ARABIC</w:instrText>
      </w:r>
      <w:r w:rsidRPr="00B36EA7">
        <w:fldChar w:fldCharType="separate"/>
      </w:r>
      <w:r w:rsidR="003D56F4">
        <w:rPr>
          <w:noProof/>
        </w:rPr>
        <w:t>2</w:t>
      </w:r>
      <w:r w:rsidRPr="00B36EA7">
        <w:fldChar w:fldCharType="end"/>
      </w:r>
      <w:bookmarkEnd w:id="11"/>
      <w:bookmarkEnd w:id="12"/>
      <w:bookmarkEnd w:id="14"/>
      <w:r w:rsidRPr="00B36EA7">
        <w:t>: ANZSIC industries by number and percentage of survey participants</w:t>
      </w:r>
      <w:bookmarkEnd w:id="15"/>
    </w:p>
    <w:tbl>
      <w:tblPr>
        <w:tblStyle w:val="CustomTablebasic"/>
        <w:tblW w:w="5000" w:type="pct"/>
        <w:tblLook w:val="04A0" w:firstRow="1" w:lastRow="0" w:firstColumn="1" w:lastColumn="0" w:noHBand="0" w:noVBand="1"/>
      </w:tblPr>
      <w:tblGrid>
        <w:gridCol w:w="5172"/>
        <w:gridCol w:w="1988"/>
        <w:gridCol w:w="1867"/>
      </w:tblGrid>
      <w:tr w:rsidR="00C56168" w:rsidRPr="002A26AF" w14:paraId="5FC75B23" w14:textId="77777777">
        <w:trPr>
          <w:cnfStyle w:val="100000000000" w:firstRow="1" w:lastRow="0" w:firstColumn="0" w:lastColumn="0" w:oddVBand="0" w:evenVBand="0" w:oddHBand="0" w:evenHBand="0" w:firstRowFirstColumn="0" w:firstRowLastColumn="0" w:lastRowFirstColumn="0" w:lastRowLastColumn="0"/>
          <w:trHeight w:val="589"/>
        </w:trPr>
        <w:tc>
          <w:tcPr>
            <w:tcW w:w="2865" w:type="pct"/>
            <w:noWrap/>
            <w:hideMark/>
          </w:tcPr>
          <w:bookmarkEnd w:id="13"/>
          <w:p w14:paraId="024DC13A" w14:textId="77777777" w:rsidR="00C56168" w:rsidRPr="00C56168" w:rsidRDefault="00C56168" w:rsidP="00C56168">
            <w:pPr>
              <w:pStyle w:val="TableHeading1"/>
            </w:pPr>
            <w:r w:rsidRPr="002A26AF">
              <w:t>Industry</w:t>
            </w:r>
          </w:p>
        </w:tc>
        <w:tc>
          <w:tcPr>
            <w:tcW w:w="1101" w:type="pct"/>
            <w:noWrap/>
            <w:hideMark/>
          </w:tcPr>
          <w:p w14:paraId="7BFA7063" w14:textId="77777777" w:rsidR="00C56168" w:rsidRPr="00C56168" w:rsidRDefault="00C56168" w:rsidP="00C56168">
            <w:pPr>
              <w:pStyle w:val="TableHeading1right"/>
            </w:pPr>
            <w:r w:rsidRPr="002A26AF">
              <w:t>Responses (no.)</w:t>
            </w:r>
          </w:p>
        </w:tc>
        <w:tc>
          <w:tcPr>
            <w:tcW w:w="1034" w:type="pct"/>
            <w:noWrap/>
            <w:hideMark/>
          </w:tcPr>
          <w:p w14:paraId="51B67585" w14:textId="77777777" w:rsidR="00C56168" w:rsidRPr="00C56168" w:rsidRDefault="00C56168" w:rsidP="00C56168">
            <w:pPr>
              <w:pStyle w:val="TableHeading1right"/>
            </w:pPr>
            <w:r w:rsidRPr="002A26AF">
              <w:t>Responses (%)</w:t>
            </w:r>
          </w:p>
        </w:tc>
      </w:tr>
      <w:tr w:rsidR="00C56168" w:rsidRPr="002A26AF" w14:paraId="3042E8C9" w14:textId="77777777">
        <w:trPr>
          <w:trHeight w:val="300"/>
        </w:trPr>
        <w:tc>
          <w:tcPr>
            <w:tcW w:w="2865" w:type="pct"/>
            <w:noWrap/>
            <w:hideMark/>
          </w:tcPr>
          <w:p w14:paraId="7E003629" w14:textId="77777777" w:rsidR="00C56168" w:rsidRPr="00C56168" w:rsidRDefault="00C56168" w:rsidP="00C56168">
            <w:pPr>
              <w:pStyle w:val="TableBodyText"/>
            </w:pPr>
            <w:r w:rsidRPr="002A26AF">
              <w:t>Health Care and Social Assistance</w:t>
            </w:r>
          </w:p>
        </w:tc>
        <w:tc>
          <w:tcPr>
            <w:tcW w:w="1101" w:type="pct"/>
            <w:noWrap/>
            <w:hideMark/>
          </w:tcPr>
          <w:p w14:paraId="692ACB09" w14:textId="77777777" w:rsidR="00C56168" w:rsidRPr="00C56168" w:rsidRDefault="00C56168" w:rsidP="00B36EA7">
            <w:pPr>
              <w:pStyle w:val="TableBodyTextright"/>
            </w:pPr>
            <w:r w:rsidRPr="002A26AF">
              <w:t>182</w:t>
            </w:r>
          </w:p>
        </w:tc>
        <w:tc>
          <w:tcPr>
            <w:tcW w:w="1034" w:type="pct"/>
            <w:noWrap/>
            <w:hideMark/>
          </w:tcPr>
          <w:p w14:paraId="29BC1A1F" w14:textId="77777777" w:rsidR="00C56168" w:rsidRPr="00C56168" w:rsidRDefault="00C56168" w:rsidP="00B36EA7">
            <w:pPr>
              <w:pStyle w:val="TableBodyTextright"/>
            </w:pPr>
            <w:r w:rsidRPr="002A26AF">
              <w:t>15%</w:t>
            </w:r>
          </w:p>
        </w:tc>
      </w:tr>
      <w:tr w:rsidR="00C56168" w:rsidRPr="002A26AF" w14:paraId="367F38F7"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11E9327A" w14:textId="77777777" w:rsidR="00C56168" w:rsidRPr="00C56168" w:rsidRDefault="00C56168" w:rsidP="00C56168">
            <w:pPr>
              <w:pStyle w:val="TableBodyText"/>
            </w:pPr>
            <w:r w:rsidRPr="002A26AF">
              <w:t xml:space="preserve">Arts </w:t>
            </w:r>
            <w:r w:rsidRPr="00C56168">
              <w:t>and Recreation Services</w:t>
            </w:r>
          </w:p>
        </w:tc>
        <w:tc>
          <w:tcPr>
            <w:tcW w:w="1101" w:type="pct"/>
            <w:noWrap/>
            <w:hideMark/>
          </w:tcPr>
          <w:p w14:paraId="3A42226D" w14:textId="77777777" w:rsidR="00C56168" w:rsidRPr="00C56168" w:rsidRDefault="00C56168" w:rsidP="00B36EA7">
            <w:pPr>
              <w:pStyle w:val="TableBodyTextright"/>
            </w:pPr>
            <w:r w:rsidRPr="002A26AF">
              <w:t>170</w:t>
            </w:r>
          </w:p>
        </w:tc>
        <w:tc>
          <w:tcPr>
            <w:tcW w:w="1034" w:type="pct"/>
            <w:noWrap/>
            <w:hideMark/>
          </w:tcPr>
          <w:p w14:paraId="162F7A9B" w14:textId="77777777" w:rsidR="00C56168" w:rsidRPr="00C56168" w:rsidRDefault="00C56168" w:rsidP="00B36EA7">
            <w:pPr>
              <w:pStyle w:val="TableBodyTextright"/>
            </w:pPr>
            <w:r w:rsidRPr="002A26AF">
              <w:t>14%</w:t>
            </w:r>
          </w:p>
        </w:tc>
      </w:tr>
      <w:tr w:rsidR="00C56168" w:rsidRPr="002A26AF" w14:paraId="2B54B238" w14:textId="77777777">
        <w:trPr>
          <w:trHeight w:val="300"/>
        </w:trPr>
        <w:tc>
          <w:tcPr>
            <w:tcW w:w="2865" w:type="pct"/>
            <w:noWrap/>
            <w:hideMark/>
          </w:tcPr>
          <w:p w14:paraId="49B93F76" w14:textId="77777777" w:rsidR="00C56168" w:rsidRPr="00C56168" w:rsidRDefault="00C56168" w:rsidP="00C56168">
            <w:pPr>
              <w:pStyle w:val="TableBodyText"/>
            </w:pPr>
            <w:r w:rsidRPr="002A26AF">
              <w:t>Education and Training</w:t>
            </w:r>
          </w:p>
        </w:tc>
        <w:tc>
          <w:tcPr>
            <w:tcW w:w="1101" w:type="pct"/>
            <w:noWrap/>
            <w:hideMark/>
          </w:tcPr>
          <w:p w14:paraId="62C462A3" w14:textId="77777777" w:rsidR="00C56168" w:rsidRPr="00C56168" w:rsidRDefault="00C56168" w:rsidP="00B36EA7">
            <w:pPr>
              <w:pStyle w:val="TableBodyTextright"/>
            </w:pPr>
            <w:r w:rsidRPr="002A26AF">
              <w:t>125</w:t>
            </w:r>
          </w:p>
        </w:tc>
        <w:tc>
          <w:tcPr>
            <w:tcW w:w="1034" w:type="pct"/>
            <w:noWrap/>
            <w:hideMark/>
          </w:tcPr>
          <w:p w14:paraId="23090014" w14:textId="77777777" w:rsidR="00C56168" w:rsidRPr="00C56168" w:rsidRDefault="00C56168" w:rsidP="00B36EA7">
            <w:pPr>
              <w:pStyle w:val="TableBodyTextright"/>
            </w:pPr>
            <w:r w:rsidRPr="002A26AF">
              <w:t>10%</w:t>
            </w:r>
          </w:p>
        </w:tc>
      </w:tr>
      <w:tr w:rsidR="00C56168" w:rsidRPr="002A26AF" w14:paraId="6CC48A0C"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6B45D599" w14:textId="77777777" w:rsidR="00C56168" w:rsidRPr="00C56168" w:rsidRDefault="00C56168" w:rsidP="00C56168">
            <w:pPr>
              <w:pStyle w:val="TableBodyText"/>
            </w:pPr>
            <w:r w:rsidRPr="002A26AF">
              <w:t>Agriculture, Forestry and Fishing</w:t>
            </w:r>
          </w:p>
        </w:tc>
        <w:tc>
          <w:tcPr>
            <w:tcW w:w="1101" w:type="pct"/>
            <w:noWrap/>
            <w:hideMark/>
          </w:tcPr>
          <w:p w14:paraId="712044D1" w14:textId="77777777" w:rsidR="00C56168" w:rsidRPr="00C56168" w:rsidRDefault="00C56168" w:rsidP="00B36EA7">
            <w:pPr>
              <w:pStyle w:val="TableBodyTextright"/>
            </w:pPr>
            <w:r w:rsidRPr="002A26AF">
              <w:t>117</w:t>
            </w:r>
          </w:p>
        </w:tc>
        <w:tc>
          <w:tcPr>
            <w:tcW w:w="1034" w:type="pct"/>
            <w:noWrap/>
            <w:hideMark/>
          </w:tcPr>
          <w:p w14:paraId="7DFCF80A" w14:textId="77777777" w:rsidR="00C56168" w:rsidRPr="00C56168" w:rsidRDefault="00C56168" w:rsidP="00B36EA7">
            <w:pPr>
              <w:pStyle w:val="TableBodyTextright"/>
            </w:pPr>
            <w:r w:rsidRPr="002A26AF">
              <w:t>10%</w:t>
            </w:r>
          </w:p>
        </w:tc>
      </w:tr>
      <w:tr w:rsidR="00C56168" w:rsidRPr="002A26AF" w14:paraId="29A34C9C" w14:textId="77777777">
        <w:trPr>
          <w:trHeight w:val="300"/>
        </w:trPr>
        <w:tc>
          <w:tcPr>
            <w:tcW w:w="2865" w:type="pct"/>
            <w:noWrap/>
            <w:hideMark/>
          </w:tcPr>
          <w:p w14:paraId="4AF0D649" w14:textId="77777777" w:rsidR="00C56168" w:rsidRPr="00C56168" w:rsidRDefault="00C56168" w:rsidP="00C56168">
            <w:pPr>
              <w:pStyle w:val="TableBodyText"/>
            </w:pPr>
            <w:r w:rsidRPr="002A26AF">
              <w:t>Professional, Scientific and Technical Services</w:t>
            </w:r>
          </w:p>
        </w:tc>
        <w:tc>
          <w:tcPr>
            <w:tcW w:w="1101" w:type="pct"/>
            <w:noWrap/>
            <w:hideMark/>
          </w:tcPr>
          <w:p w14:paraId="145985F7" w14:textId="77777777" w:rsidR="00C56168" w:rsidRPr="00C56168" w:rsidRDefault="00C56168" w:rsidP="00B36EA7">
            <w:pPr>
              <w:pStyle w:val="TableBodyTextright"/>
            </w:pPr>
            <w:r w:rsidRPr="002A26AF">
              <w:t>93</w:t>
            </w:r>
          </w:p>
        </w:tc>
        <w:tc>
          <w:tcPr>
            <w:tcW w:w="1034" w:type="pct"/>
            <w:noWrap/>
            <w:hideMark/>
          </w:tcPr>
          <w:p w14:paraId="4975073B" w14:textId="77777777" w:rsidR="00C56168" w:rsidRPr="00C56168" w:rsidRDefault="00C56168" w:rsidP="00B36EA7">
            <w:pPr>
              <w:pStyle w:val="TableBodyTextright"/>
            </w:pPr>
            <w:r w:rsidRPr="002A26AF">
              <w:t>8%</w:t>
            </w:r>
          </w:p>
        </w:tc>
      </w:tr>
      <w:tr w:rsidR="00C56168" w:rsidRPr="002A26AF" w14:paraId="2C92F429"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78BEBEE8" w14:textId="77777777" w:rsidR="00C56168" w:rsidRPr="00C56168" w:rsidRDefault="00C56168" w:rsidP="00C56168">
            <w:pPr>
              <w:pStyle w:val="TableBodyText"/>
            </w:pPr>
            <w:r w:rsidRPr="002A26AF">
              <w:t>Manufacturing</w:t>
            </w:r>
          </w:p>
        </w:tc>
        <w:tc>
          <w:tcPr>
            <w:tcW w:w="1101" w:type="pct"/>
            <w:noWrap/>
            <w:hideMark/>
          </w:tcPr>
          <w:p w14:paraId="48AEBA00" w14:textId="77777777" w:rsidR="00C56168" w:rsidRPr="00C56168" w:rsidRDefault="00C56168" w:rsidP="00B36EA7">
            <w:pPr>
              <w:pStyle w:val="TableBodyTextright"/>
            </w:pPr>
            <w:r w:rsidRPr="002A26AF">
              <w:t>88</w:t>
            </w:r>
          </w:p>
        </w:tc>
        <w:tc>
          <w:tcPr>
            <w:tcW w:w="1034" w:type="pct"/>
            <w:noWrap/>
            <w:hideMark/>
          </w:tcPr>
          <w:p w14:paraId="7222653E" w14:textId="77777777" w:rsidR="00C56168" w:rsidRPr="00C56168" w:rsidRDefault="00C56168" w:rsidP="00B36EA7">
            <w:pPr>
              <w:pStyle w:val="TableBodyTextright"/>
            </w:pPr>
            <w:r w:rsidRPr="002A26AF">
              <w:t>7%</w:t>
            </w:r>
          </w:p>
        </w:tc>
      </w:tr>
      <w:tr w:rsidR="00C56168" w:rsidRPr="002A26AF" w14:paraId="54FF4FAF" w14:textId="77777777">
        <w:trPr>
          <w:trHeight w:val="300"/>
        </w:trPr>
        <w:tc>
          <w:tcPr>
            <w:tcW w:w="2865" w:type="pct"/>
            <w:noWrap/>
            <w:hideMark/>
          </w:tcPr>
          <w:p w14:paraId="1CAD8D75" w14:textId="77777777" w:rsidR="00C56168" w:rsidRPr="00C56168" w:rsidRDefault="00C56168" w:rsidP="00C56168">
            <w:pPr>
              <w:pStyle w:val="TableBodyText"/>
            </w:pPr>
            <w:r w:rsidRPr="002A26AF">
              <w:t>Accommodation and Food Services</w:t>
            </w:r>
          </w:p>
        </w:tc>
        <w:tc>
          <w:tcPr>
            <w:tcW w:w="1101" w:type="pct"/>
            <w:noWrap/>
            <w:hideMark/>
          </w:tcPr>
          <w:p w14:paraId="49187CB2" w14:textId="77777777" w:rsidR="00C56168" w:rsidRPr="00C56168" w:rsidRDefault="00C56168" w:rsidP="00B36EA7">
            <w:pPr>
              <w:pStyle w:val="TableBodyTextright"/>
            </w:pPr>
            <w:r w:rsidRPr="002A26AF">
              <w:t>71</w:t>
            </w:r>
          </w:p>
        </w:tc>
        <w:tc>
          <w:tcPr>
            <w:tcW w:w="1034" w:type="pct"/>
            <w:noWrap/>
            <w:hideMark/>
          </w:tcPr>
          <w:p w14:paraId="4B74A589" w14:textId="77777777" w:rsidR="00C56168" w:rsidRPr="00C56168" w:rsidRDefault="00C56168" w:rsidP="00B36EA7">
            <w:pPr>
              <w:pStyle w:val="TableBodyTextright"/>
            </w:pPr>
            <w:r w:rsidRPr="002A26AF">
              <w:t>6%</w:t>
            </w:r>
          </w:p>
        </w:tc>
      </w:tr>
      <w:tr w:rsidR="00C56168" w:rsidRPr="002A26AF" w14:paraId="7E02B4BD"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61A0E163" w14:textId="77777777" w:rsidR="00C56168" w:rsidRPr="00C56168" w:rsidRDefault="00C56168" w:rsidP="00C56168">
            <w:pPr>
              <w:pStyle w:val="TableBodyText"/>
            </w:pPr>
            <w:r w:rsidRPr="002A26AF">
              <w:t xml:space="preserve">Transport, Postal and </w:t>
            </w:r>
            <w:r w:rsidRPr="00C56168">
              <w:t>Warehousing</w:t>
            </w:r>
          </w:p>
        </w:tc>
        <w:tc>
          <w:tcPr>
            <w:tcW w:w="1101" w:type="pct"/>
            <w:noWrap/>
            <w:hideMark/>
          </w:tcPr>
          <w:p w14:paraId="73F3739F" w14:textId="77777777" w:rsidR="00C56168" w:rsidRPr="00C56168" w:rsidRDefault="00C56168" w:rsidP="00B36EA7">
            <w:pPr>
              <w:pStyle w:val="TableBodyTextright"/>
            </w:pPr>
            <w:r w:rsidRPr="002A26AF">
              <w:t>60</w:t>
            </w:r>
          </w:p>
        </w:tc>
        <w:tc>
          <w:tcPr>
            <w:tcW w:w="1034" w:type="pct"/>
            <w:noWrap/>
            <w:hideMark/>
          </w:tcPr>
          <w:p w14:paraId="5DA780BD" w14:textId="77777777" w:rsidR="00C56168" w:rsidRPr="00C56168" w:rsidRDefault="00C56168" w:rsidP="00B36EA7">
            <w:pPr>
              <w:pStyle w:val="TableBodyTextright"/>
            </w:pPr>
            <w:r w:rsidRPr="002A26AF">
              <w:t>5%</w:t>
            </w:r>
          </w:p>
        </w:tc>
      </w:tr>
      <w:tr w:rsidR="00C56168" w:rsidRPr="002A26AF" w14:paraId="3D072DCA" w14:textId="77777777">
        <w:trPr>
          <w:trHeight w:val="300"/>
        </w:trPr>
        <w:tc>
          <w:tcPr>
            <w:tcW w:w="2865" w:type="pct"/>
            <w:noWrap/>
            <w:hideMark/>
          </w:tcPr>
          <w:p w14:paraId="48DCADF2" w14:textId="77777777" w:rsidR="00C56168" w:rsidRPr="00C56168" w:rsidRDefault="00C56168" w:rsidP="00C56168">
            <w:pPr>
              <w:pStyle w:val="TableBodyText"/>
            </w:pPr>
            <w:r w:rsidRPr="002A26AF">
              <w:t>Construction</w:t>
            </w:r>
          </w:p>
        </w:tc>
        <w:tc>
          <w:tcPr>
            <w:tcW w:w="1101" w:type="pct"/>
            <w:noWrap/>
            <w:hideMark/>
          </w:tcPr>
          <w:p w14:paraId="5509FD59" w14:textId="77777777" w:rsidR="00C56168" w:rsidRPr="00C56168" w:rsidRDefault="00C56168" w:rsidP="00B36EA7">
            <w:pPr>
              <w:pStyle w:val="TableBodyTextright"/>
            </w:pPr>
            <w:r w:rsidRPr="002A26AF">
              <w:t>56</w:t>
            </w:r>
          </w:p>
        </w:tc>
        <w:tc>
          <w:tcPr>
            <w:tcW w:w="1034" w:type="pct"/>
            <w:noWrap/>
            <w:hideMark/>
          </w:tcPr>
          <w:p w14:paraId="7B491067" w14:textId="77777777" w:rsidR="00C56168" w:rsidRPr="00C56168" w:rsidRDefault="00C56168" w:rsidP="00B36EA7">
            <w:pPr>
              <w:pStyle w:val="TableBodyTextright"/>
            </w:pPr>
            <w:r w:rsidRPr="002A26AF">
              <w:t>5%</w:t>
            </w:r>
          </w:p>
        </w:tc>
      </w:tr>
      <w:tr w:rsidR="00C56168" w:rsidRPr="002A26AF" w14:paraId="62FC4EE3" w14:textId="77777777">
        <w:trPr>
          <w:cnfStyle w:val="000000010000" w:firstRow="0" w:lastRow="0" w:firstColumn="0" w:lastColumn="0" w:oddVBand="0" w:evenVBand="0" w:oddHBand="0" w:evenHBand="1" w:firstRowFirstColumn="0" w:firstRowLastColumn="0" w:lastRowFirstColumn="0" w:lastRowLastColumn="0"/>
          <w:trHeight w:val="315"/>
        </w:trPr>
        <w:tc>
          <w:tcPr>
            <w:tcW w:w="2865" w:type="pct"/>
            <w:noWrap/>
            <w:hideMark/>
          </w:tcPr>
          <w:p w14:paraId="57746749" w14:textId="77777777" w:rsidR="00C56168" w:rsidRPr="00C56168" w:rsidRDefault="00C56168" w:rsidP="00C56168">
            <w:pPr>
              <w:pStyle w:val="TableBodyText"/>
            </w:pPr>
            <w:r w:rsidRPr="002A26AF">
              <w:t>Other Services</w:t>
            </w:r>
          </w:p>
        </w:tc>
        <w:tc>
          <w:tcPr>
            <w:tcW w:w="1101" w:type="pct"/>
            <w:noWrap/>
            <w:hideMark/>
          </w:tcPr>
          <w:p w14:paraId="27AB519C" w14:textId="77777777" w:rsidR="00C56168" w:rsidRPr="00C56168" w:rsidRDefault="00C56168" w:rsidP="00B36EA7">
            <w:pPr>
              <w:pStyle w:val="TableBodyTextright"/>
            </w:pPr>
            <w:r w:rsidRPr="002A26AF">
              <w:t>48</w:t>
            </w:r>
          </w:p>
        </w:tc>
        <w:tc>
          <w:tcPr>
            <w:tcW w:w="1034" w:type="pct"/>
            <w:noWrap/>
            <w:hideMark/>
          </w:tcPr>
          <w:p w14:paraId="72668B56" w14:textId="77777777" w:rsidR="00C56168" w:rsidRPr="00C56168" w:rsidRDefault="00C56168" w:rsidP="00B36EA7">
            <w:pPr>
              <w:pStyle w:val="TableBodyTextright"/>
            </w:pPr>
            <w:r w:rsidRPr="002A26AF">
              <w:t>4%</w:t>
            </w:r>
          </w:p>
        </w:tc>
      </w:tr>
      <w:tr w:rsidR="00C56168" w:rsidRPr="002A26AF" w14:paraId="77D998DD" w14:textId="77777777">
        <w:trPr>
          <w:trHeight w:val="300"/>
        </w:trPr>
        <w:tc>
          <w:tcPr>
            <w:tcW w:w="2865" w:type="pct"/>
            <w:noWrap/>
            <w:hideMark/>
          </w:tcPr>
          <w:p w14:paraId="046B42FE" w14:textId="77777777" w:rsidR="00C56168" w:rsidRPr="00C56168" w:rsidRDefault="00C56168" w:rsidP="00C56168">
            <w:pPr>
              <w:pStyle w:val="TableBodyText"/>
            </w:pPr>
            <w:r w:rsidRPr="002A26AF">
              <w:t>Retail Trade</w:t>
            </w:r>
          </w:p>
        </w:tc>
        <w:tc>
          <w:tcPr>
            <w:tcW w:w="1101" w:type="pct"/>
            <w:noWrap/>
            <w:hideMark/>
          </w:tcPr>
          <w:p w14:paraId="21F5CCA9" w14:textId="77777777" w:rsidR="00C56168" w:rsidRPr="00C56168" w:rsidRDefault="00C56168" w:rsidP="00B36EA7">
            <w:pPr>
              <w:pStyle w:val="TableBodyTextright"/>
            </w:pPr>
            <w:r w:rsidRPr="002A26AF">
              <w:t>46</w:t>
            </w:r>
          </w:p>
        </w:tc>
        <w:tc>
          <w:tcPr>
            <w:tcW w:w="1034" w:type="pct"/>
            <w:noWrap/>
            <w:hideMark/>
          </w:tcPr>
          <w:p w14:paraId="6DB946AF" w14:textId="77777777" w:rsidR="00C56168" w:rsidRPr="00C56168" w:rsidRDefault="00C56168" w:rsidP="00B36EA7">
            <w:pPr>
              <w:pStyle w:val="TableBodyTextright"/>
            </w:pPr>
            <w:r w:rsidRPr="002A26AF">
              <w:t>4%</w:t>
            </w:r>
          </w:p>
        </w:tc>
      </w:tr>
      <w:tr w:rsidR="00C56168" w:rsidRPr="002A26AF" w14:paraId="57293891"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71CA48B3" w14:textId="77777777" w:rsidR="00C56168" w:rsidRPr="00C56168" w:rsidRDefault="00C56168" w:rsidP="00C56168">
            <w:pPr>
              <w:pStyle w:val="TableBodyText"/>
            </w:pPr>
            <w:r w:rsidRPr="002A26AF">
              <w:t>Public Administration and Safety</w:t>
            </w:r>
          </w:p>
        </w:tc>
        <w:tc>
          <w:tcPr>
            <w:tcW w:w="1101" w:type="pct"/>
            <w:noWrap/>
            <w:hideMark/>
          </w:tcPr>
          <w:p w14:paraId="7853E2F3" w14:textId="77777777" w:rsidR="00C56168" w:rsidRPr="00C56168" w:rsidRDefault="00C56168" w:rsidP="00B36EA7">
            <w:pPr>
              <w:pStyle w:val="TableBodyTextright"/>
            </w:pPr>
            <w:r w:rsidRPr="002A26AF">
              <w:t>35</w:t>
            </w:r>
          </w:p>
        </w:tc>
        <w:tc>
          <w:tcPr>
            <w:tcW w:w="1034" w:type="pct"/>
            <w:noWrap/>
            <w:hideMark/>
          </w:tcPr>
          <w:p w14:paraId="45368215" w14:textId="77777777" w:rsidR="00C56168" w:rsidRPr="00C56168" w:rsidRDefault="00C56168" w:rsidP="00B36EA7">
            <w:pPr>
              <w:pStyle w:val="TableBodyTextright"/>
            </w:pPr>
            <w:r w:rsidRPr="002A26AF">
              <w:t>3%</w:t>
            </w:r>
          </w:p>
        </w:tc>
      </w:tr>
      <w:tr w:rsidR="00C56168" w:rsidRPr="002A26AF" w14:paraId="3A91693D" w14:textId="77777777">
        <w:trPr>
          <w:trHeight w:val="300"/>
        </w:trPr>
        <w:tc>
          <w:tcPr>
            <w:tcW w:w="2865" w:type="pct"/>
            <w:noWrap/>
            <w:hideMark/>
          </w:tcPr>
          <w:p w14:paraId="636C03D1" w14:textId="77777777" w:rsidR="00C56168" w:rsidRPr="00C56168" w:rsidRDefault="00C56168" w:rsidP="00C56168">
            <w:pPr>
              <w:pStyle w:val="TableBodyText"/>
            </w:pPr>
            <w:r w:rsidRPr="002A26AF">
              <w:t>Administrative and Support Services</w:t>
            </w:r>
          </w:p>
        </w:tc>
        <w:tc>
          <w:tcPr>
            <w:tcW w:w="1101" w:type="pct"/>
            <w:noWrap/>
            <w:hideMark/>
          </w:tcPr>
          <w:p w14:paraId="41DB4D68" w14:textId="77777777" w:rsidR="00C56168" w:rsidRPr="00C56168" w:rsidRDefault="00C56168" w:rsidP="00B36EA7">
            <w:pPr>
              <w:pStyle w:val="TableBodyTextright"/>
            </w:pPr>
            <w:r w:rsidRPr="002A26AF">
              <w:t>33</w:t>
            </w:r>
          </w:p>
        </w:tc>
        <w:tc>
          <w:tcPr>
            <w:tcW w:w="1034" w:type="pct"/>
            <w:noWrap/>
            <w:hideMark/>
          </w:tcPr>
          <w:p w14:paraId="15355883" w14:textId="77777777" w:rsidR="00C56168" w:rsidRPr="00C56168" w:rsidRDefault="00C56168" w:rsidP="00B36EA7">
            <w:pPr>
              <w:pStyle w:val="TableBodyTextright"/>
            </w:pPr>
            <w:r w:rsidRPr="002A26AF">
              <w:t>3%</w:t>
            </w:r>
          </w:p>
        </w:tc>
      </w:tr>
      <w:tr w:rsidR="00C56168" w:rsidRPr="002A26AF" w14:paraId="65D54330"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777F2638" w14:textId="77777777" w:rsidR="00C56168" w:rsidRPr="00C56168" w:rsidRDefault="00C56168" w:rsidP="00C56168">
            <w:pPr>
              <w:pStyle w:val="TableBodyText"/>
            </w:pPr>
            <w:r w:rsidRPr="002A26AF">
              <w:t>Wholesale Trade</w:t>
            </w:r>
          </w:p>
        </w:tc>
        <w:tc>
          <w:tcPr>
            <w:tcW w:w="1101" w:type="pct"/>
            <w:noWrap/>
            <w:hideMark/>
          </w:tcPr>
          <w:p w14:paraId="63EA231C" w14:textId="77777777" w:rsidR="00C56168" w:rsidRPr="00C56168" w:rsidRDefault="00C56168" w:rsidP="00B36EA7">
            <w:pPr>
              <w:pStyle w:val="TableBodyTextright"/>
            </w:pPr>
            <w:r w:rsidRPr="002A26AF">
              <w:t>23</w:t>
            </w:r>
          </w:p>
        </w:tc>
        <w:tc>
          <w:tcPr>
            <w:tcW w:w="1034" w:type="pct"/>
            <w:noWrap/>
            <w:hideMark/>
          </w:tcPr>
          <w:p w14:paraId="2851D140" w14:textId="77777777" w:rsidR="00C56168" w:rsidRPr="00C56168" w:rsidRDefault="00C56168" w:rsidP="00B36EA7">
            <w:pPr>
              <w:pStyle w:val="TableBodyTextright"/>
            </w:pPr>
            <w:r w:rsidRPr="002A26AF">
              <w:t>2%</w:t>
            </w:r>
          </w:p>
        </w:tc>
      </w:tr>
      <w:tr w:rsidR="00C56168" w:rsidRPr="002A26AF" w14:paraId="47335B01" w14:textId="77777777">
        <w:trPr>
          <w:trHeight w:val="300"/>
        </w:trPr>
        <w:tc>
          <w:tcPr>
            <w:tcW w:w="2865" w:type="pct"/>
            <w:noWrap/>
            <w:hideMark/>
          </w:tcPr>
          <w:p w14:paraId="417F7875" w14:textId="77777777" w:rsidR="00C56168" w:rsidRPr="00C56168" w:rsidRDefault="00C56168" w:rsidP="00C56168">
            <w:pPr>
              <w:pStyle w:val="TableBodyText"/>
            </w:pPr>
            <w:r w:rsidRPr="002A26AF">
              <w:t>Information Media and Telecommunications</w:t>
            </w:r>
          </w:p>
        </w:tc>
        <w:tc>
          <w:tcPr>
            <w:tcW w:w="1101" w:type="pct"/>
            <w:noWrap/>
            <w:hideMark/>
          </w:tcPr>
          <w:p w14:paraId="523CE92F" w14:textId="77777777" w:rsidR="00C56168" w:rsidRPr="00C56168" w:rsidRDefault="00C56168" w:rsidP="00B36EA7">
            <w:pPr>
              <w:pStyle w:val="TableBodyTextright"/>
            </w:pPr>
            <w:r w:rsidRPr="002A26AF">
              <w:t>18</w:t>
            </w:r>
          </w:p>
        </w:tc>
        <w:tc>
          <w:tcPr>
            <w:tcW w:w="1034" w:type="pct"/>
            <w:noWrap/>
            <w:hideMark/>
          </w:tcPr>
          <w:p w14:paraId="05CA9143" w14:textId="77777777" w:rsidR="00C56168" w:rsidRPr="00C56168" w:rsidRDefault="00C56168" w:rsidP="00B36EA7">
            <w:pPr>
              <w:pStyle w:val="TableBodyTextright"/>
            </w:pPr>
            <w:r w:rsidRPr="002A26AF">
              <w:t>1%</w:t>
            </w:r>
          </w:p>
        </w:tc>
      </w:tr>
      <w:tr w:rsidR="00C56168" w:rsidRPr="002A26AF" w14:paraId="55571778"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183720E3" w14:textId="77777777" w:rsidR="00C56168" w:rsidRPr="00C56168" w:rsidRDefault="00C56168" w:rsidP="00C56168">
            <w:pPr>
              <w:pStyle w:val="TableBodyText"/>
            </w:pPr>
            <w:r w:rsidRPr="002A26AF">
              <w:t xml:space="preserve">Rental, Hiring and </w:t>
            </w:r>
            <w:r w:rsidRPr="00C56168">
              <w:t>Real Estate Services</w:t>
            </w:r>
          </w:p>
        </w:tc>
        <w:tc>
          <w:tcPr>
            <w:tcW w:w="1101" w:type="pct"/>
            <w:noWrap/>
            <w:hideMark/>
          </w:tcPr>
          <w:p w14:paraId="15F5710B" w14:textId="77777777" w:rsidR="00C56168" w:rsidRPr="00C56168" w:rsidRDefault="00C56168" w:rsidP="00B36EA7">
            <w:pPr>
              <w:pStyle w:val="TableBodyTextright"/>
            </w:pPr>
            <w:r w:rsidRPr="002A26AF">
              <w:t>16</w:t>
            </w:r>
          </w:p>
        </w:tc>
        <w:tc>
          <w:tcPr>
            <w:tcW w:w="1034" w:type="pct"/>
            <w:noWrap/>
            <w:hideMark/>
          </w:tcPr>
          <w:p w14:paraId="03FE7EE7" w14:textId="77777777" w:rsidR="00C56168" w:rsidRPr="00C56168" w:rsidRDefault="00C56168" w:rsidP="00B36EA7">
            <w:pPr>
              <w:pStyle w:val="TableBodyTextright"/>
            </w:pPr>
            <w:r w:rsidRPr="002A26AF">
              <w:t>1%</w:t>
            </w:r>
          </w:p>
        </w:tc>
      </w:tr>
      <w:tr w:rsidR="00C56168" w:rsidRPr="002A26AF" w14:paraId="7498E299" w14:textId="77777777">
        <w:trPr>
          <w:trHeight w:val="300"/>
        </w:trPr>
        <w:tc>
          <w:tcPr>
            <w:tcW w:w="2865" w:type="pct"/>
            <w:noWrap/>
            <w:hideMark/>
          </w:tcPr>
          <w:p w14:paraId="092C2F3D" w14:textId="77777777" w:rsidR="00C56168" w:rsidRPr="00C56168" w:rsidRDefault="00C56168" w:rsidP="00C56168">
            <w:pPr>
              <w:pStyle w:val="TableBodyText"/>
            </w:pPr>
            <w:r w:rsidRPr="002A26AF">
              <w:t>Electricity, Gas, Water and Waste Services</w:t>
            </w:r>
          </w:p>
        </w:tc>
        <w:tc>
          <w:tcPr>
            <w:tcW w:w="1101" w:type="pct"/>
            <w:noWrap/>
            <w:hideMark/>
          </w:tcPr>
          <w:p w14:paraId="7F1CE610" w14:textId="77777777" w:rsidR="00C56168" w:rsidRPr="00C56168" w:rsidRDefault="00C56168" w:rsidP="00B36EA7">
            <w:pPr>
              <w:pStyle w:val="TableBodyTextright"/>
            </w:pPr>
            <w:r w:rsidRPr="002A26AF">
              <w:t>11</w:t>
            </w:r>
          </w:p>
        </w:tc>
        <w:tc>
          <w:tcPr>
            <w:tcW w:w="1034" w:type="pct"/>
            <w:noWrap/>
            <w:hideMark/>
          </w:tcPr>
          <w:p w14:paraId="12B2E8C7" w14:textId="77777777" w:rsidR="00C56168" w:rsidRPr="00C56168" w:rsidRDefault="00C56168" w:rsidP="00B36EA7">
            <w:pPr>
              <w:pStyle w:val="TableBodyTextright"/>
            </w:pPr>
            <w:r w:rsidRPr="002A26AF">
              <w:t>1%</w:t>
            </w:r>
          </w:p>
        </w:tc>
      </w:tr>
      <w:tr w:rsidR="00C56168" w:rsidRPr="002A26AF" w14:paraId="11A8701D"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2839EC4A" w14:textId="77777777" w:rsidR="00C56168" w:rsidRPr="00C56168" w:rsidRDefault="00C56168" w:rsidP="00C56168">
            <w:pPr>
              <w:pStyle w:val="TableBodyText"/>
            </w:pPr>
            <w:r w:rsidRPr="002A26AF">
              <w:t>Mining</w:t>
            </w:r>
          </w:p>
        </w:tc>
        <w:tc>
          <w:tcPr>
            <w:tcW w:w="1101" w:type="pct"/>
            <w:noWrap/>
            <w:hideMark/>
          </w:tcPr>
          <w:p w14:paraId="512A8B27" w14:textId="77777777" w:rsidR="00C56168" w:rsidRPr="00C56168" w:rsidRDefault="00C56168" w:rsidP="00B36EA7">
            <w:pPr>
              <w:pStyle w:val="TableBodyTextright"/>
            </w:pPr>
            <w:r w:rsidRPr="002A26AF">
              <w:t>7</w:t>
            </w:r>
          </w:p>
        </w:tc>
        <w:tc>
          <w:tcPr>
            <w:tcW w:w="1034" w:type="pct"/>
            <w:noWrap/>
            <w:hideMark/>
          </w:tcPr>
          <w:p w14:paraId="682940D1" w14:textId="77777777" w:rsidR="00C56168" w:rsidRPr="00C56168" w:rsidRDefault="00C56168" w:rsidP="00B36EA7">
            <w:pPr>
              <w:pStyle w:val="TableBodyTextright"/>
            </w:pPr>
            <w:r w:rsidRPr="002A26AF">
              <w:t>1%</w:t>
            </w:r>
          </w:p>
        </w:tc>
      </w:tr>
      <w:tr w:rsidR="00C56168" w:rsidRPr="002A26AF" w14:paraId="0920F11E" w14:textId="77777777">
        <w:trPr>
          <w:trHeight w:val="300"/>
        </w:trPr>
        <w:tc>
          <w:tcPr>
            <w:tcW w:w="2865" w:type="pct"/>
            <w:noWrap/>
            <w:hideMark/>
          </w:tcPr>
          <w:p w14:paraId="05E1C861" w14:textId="77777777" w:rsidR="00C56168" w:rsidRPr="00C56168" w:rsidRDefault="00C56168" w:rsidP="00C56168">
            <w:pPr>
              <w:pStyle w:val="TableBodyText"/>
            </w:pPr>
            <w:r w:rsidRPr="002A26AF">
              <w:t>Financial and Insurance Services</w:t>
            </w:r>
          </w:p>
        </w:tc>
        <w:tc>
          <w:tcPr>
            <w:tcW w:w="1101" w:type="pct"/>
            <w:noWrap/>
            <w:hideMark/>
          </w:tcPr>
          <w:p w14:paraId="41D0DB6C" w14:textId="77777777" w:rsidR="00C56168" w:rsidRPr="00C56168" w:rsidRDefault="00C56168" w:rsidP="00B36EA7">
            <w:pPr>
              <w:pStyle w:val="TableBodyTextright"/>
            </w:pPr>
            <w:r w:rsidRPr="002A26AF">
              <w:t>5</w:t>
            </w:r>
          </w:p>
        </w:tc>
        <w:tc>
          <w:tcPr>
            <w:tcW w:w="1034" w:type="pct"/>
            <w:noWrap/>
            <w:hideMark/>
          </w:tcPr>
          <w:p w14:paraId="047EA231" w14:textId="77777777" w:rsidR="00C56168" w:rsidRPr="00C56168" w:rsidRDefault="00C56168" w:rsidP="00B36EA7">
            <w:pPr>
              <w:pStyle w:val="TableBodyTextright"/>
            </w:pPr>
            <w:r w:rsidRPr="002A26AF">
              <w:t>0%</w:t>
            </w:r>
          </w:p>
        </w:tc>
      </w:tr>
      <w:tr w:rsidR="00C56168" w:rsidRPr="002A26AF" w14:paraId="5C13FAF6" w14:textId="77777777">
        <w:trPr>
          <w:cnfStyle w:val="000000010000" w:firstRow="0" w:lastRow="0" w:firstColumn="0" w:lastColumn="0" w:oddVBand="0" w:evenVBand="0" w:oddHBand="0" w:evenHBand="1" w:firstRowFirstColumn="0" w:firstRowLastColumn="0" w:lastRowFirstColumn="0" w:lastRowLastColumn="0"/>
          <w:trHeight w:val="300"/>
        </w:trPr>
        <w:tc>
          <w:tcPr>
            <w:tcW w:w="2865" w:type="pct"/>
            <w:noWrap/>
            <w:hideMark/>
          </w:tcPr>
          <w:p w14:paraId="4FCED208" w14:textId="77777777" w:rsidR="00C56168" w:rsidRPr="00C56168" w:rsidRDefault="00C56168" w:rsidP="00C56168">
            <w:pPr>
              <w:pStyle w:val="TableBodyText"/>
            </w:pPr>
            <w:r w:rsidRPr="002A26AF">
              <w:t>Whole Economy (All Industries)</w:t>
            </w:r>
          </w:p>
        </w:tc>
        <w:tc>
          <w:tcPr>
            <w:tcW w:w="1101" w:type="pct"/>
            <w:noWrap/>
            <w:hideMark/>
          </w:tcPr>
          <w:p w14:paraId="4C5C5758" w14:textId="77777777" w:rsidR="00C56168" w:rsidRPr="00C56168" w:rsidRDefault="00C56168" w:rsidP="00B36EA7">
            <w:pPr>
              <w:pStyle w:val="TableBodyTextright"/>
            </w:pPr>
            <w:r w:rsidRPr="002A26AF">
              <w:t>12</w:t>
            </w:r>
          </w:p>
        </w:tc>
        <w:tc>
          <w:tcPr>
            <w:tcW w:w="1034" w:type="pct"/>
            <w:noWrap/>
            <w:hideMark/>
          </w:tcPr>
          <w:p w14:paraId="0D8FAE07" w14:textId="77777777" w:rsidR="00C56168" w:rsidRPr="00C56168" w:rsidRDefault="00C56168" w:rsidP="00B36EA7">
            <w:pPr>
              <w:pStyle w:val="TableBodyTextright"/>
            </w:pPr>
            <w:r w:rsidRPr="002A26AF">
              <w:t>1%</w:t>
            </w:r>
          </w:p>
        </w:tc>
      </w:tr>
      <w:tr w:rsidR="00C56168" w:rsidRPr="002A26AF" w14:paraId="4533B249" w14:textId="77777777">
        <w:trPr>
          <w:trHeight w:val="300"/>
        </w:trPr>
        <w:tc>
          <w:tcPr>
            <w:tcW w:w="2865" w:type="pct"/>
            <w:noWrap/>
            <w:hideMark/>
          </w:tcPr>
          <w:p w14:paraId="058FA6F5" w14:textId="77777777" w:rsidR="00C56168" w:rsidRPr="00C56168" w:rsidRDefault="00C56168" w:rsidP="00C56168">
            <w:pPr>
              <w:pStyle w:val="TableBodyText"/>
            </w:pPr>
            <w:r w:rsidRPr="002A26AF">
              <w:t>Other - Industry not recognised by ANZ</w:t>
            </w:r>
            <w:r w:rsidRPr="00C56168">
              <w:t>SIC</w:t>
            </w:r>
          </w:p>
        </w:tc>
        <w:tc>
          <w:tcPr>
            <w:tcW w:w="1101" w:type="pct"/>
            <w:noWrap/>
            <w:hideMark/>
          </w:tcPr>
          <w:p w14:paraId="7304B495" w14:textId="77777777" w:rsidR="00C56168" w:rsidRPr="00C56168" w:rsidRDefault="00C56168" w:rsidP="00B36EA7">
            <w:pPr>
              <w:pStyle w:val="TableBodyTextright"/>
            </w:pPr>
            <w:r w:rsidRPr="002A26AF">
              <w:t>1</w:t>
            </w:r>
          </w:p>
        </w:tc>
        <w:tc>
          <w:tcPr>
            <w:tcW w:w="1034" w:type="pct"/>
            <w:noWrap/>
            <w:hideMark/>
          </w:tcPr>
          <w:p w14:paraId="16909F15" w14:textId="77777777" w:rsidR="00C56168" w:rsidRPr="00C56168" w:rsidRDefault="00C56168" w:rsidP="00B36EA7">
            <w:pPr>
              <w:pStyle w:val="TableBodyTextright"/>
            </w:pPr>
            <w:r w:rsidRPr="002A26AF">
              <w:t>0%</w:t>
            </w:r>
          </w:p>
        </w:tc>
      </w:tr>
      <w:tr w:rsidR="00C56168" w:rsidRPr="002A26AF" w14:paraId="262182D6" w14:textId="77777777">
        <w:trPr>
          <w:cnfStyle w:val="000000010000" w:firstRow="0" w:lastRow="0" w:firstColumn="0" w:lastColumn="0" w:oddVBand="0" w:evenVBand="0" w:oddHBand="0" w:evenHBand="1" w:firstRowFirstColumn="0" w:firstRowLastColumn="0" w:lastRowFirstColumn="0" w:lastRowLastColumn="0"/>
          <w:trHeight w:val="315"/>
        </w:trPr>
        <w:tc>
          <w:tcPr>
            <w:tcW w:w="2865" w:type="pct"/>
            <w:noWrap/>
            <w:hideMark/>
          </w:tcPr>
          <w:p w14:paraId="6B4B6333" w14:textId="77777777" w:rsidR="00C56168" w:rsidRPr="00C56168" w:rsidRDefault="00C56168" w:rsidP="00C56168">
            <w:pPr>
              <w:pStyle w:val="TableBodyText"/>
              <w:rPr>
                <w:rStyle w:val="Characterbold"/>
              </w:rPr>
            </w:pPr>
            <w:r w:rsidRPr="00C56168">
              <w:rPr>
                <w:rStyle w:val="Characterbold"/>
              </w:rPr>
              <w:t>Total</w:t>
            </w:r>
          </w:p>
        </w:tc>
        <w:tc>
          <w:tcPr>
            <w:tcW w:w="1101" w:type="pct"/>
            <w:noWrap/>
            <w:hideMark/>
          </w:tcPr>
          <w:p w14:paraId="46297CB6" w14:textId="77777777" w:rsidR="00C56168" w:rsidRPr="00C56168" w:rsidRDefault="00C56168" w:rsidP="00B36EA7">
            <w:pPr>
              <w:pStyle w:val="TableBodyTextright"/>
              <w:rPr>
                <w:rStyle w:val="Characterbold"/>
              </w:rPr>
            </w:pPr>
            <w:r w:rsidRPr="002A26AF">
              <w:rPr>
                <w:rStyle w:val="Characterbold"/>
              </w:rPr>
              <w:t>1</w:t>
            </w:r>
            <w:r w:rsidRPr="00C56168">
              <w:rPr>
                <w:rStyle w:val="Characterbold"/>
              </w:rPr>
              <w:t>,217</w:t>
            </w:r>
          </w:p>
        </w:tc>
        <w:tc>
          <w:tcPr>
            <w:tcW w:w="1034" w:type="pct"/>
            <w:noWrap/>
            <w:hideMark/>
          </w:tcPr>
          <w:p w14:paraId="40A21C39" w14:textId="77777777" w:rsidR="00C56168" w:rsidRPr="00C56168" w:rsidRDefault="00C56168" w:rsidP="00B36EA7">
            <w:pPr>
              <w:pStyle w:val="TableBodyTextright"/>
              <w:rPr>
                <w:rStyle w:val="Characterbold"/>
              </w:rPr>
            </w:pPr>
            <w:r w:rsidRPr="002A26AF">
              <w:rPr>
                <w:rStyle w:val="Characterbold"/>
              </w:rPr>
              <w:t>100%</w:t>
            </w:r>
          </w:p>
        </w:tc>
      </w:tr>
    </w:tbl>
    <w:p w14:paraId="6EA51432" w14:textId="77777777" w:rsidR="00C56168" w:rsidRPr="002A26AF" w:rsidRDefault="00C56168" w:rsidP="00C56168">
      <w:pPr>
        <w:pStyle w:val="Source"/>
      </w:pPr>
      <w:r w:rsidRPr="002A26AF">
        <w:t xml:space="preserve">Source: Jobs and Skills Australia, </w:t>
      </w:r>
      <w:r w:rsidRPr="002A26AF" w:rsidDel="00444DC4">
        <w:t>202</w:t>
      </w:r>
      <w:r w:rsidRPr="002A26AF">
        <w:t>5</w:t>
      </w:r>
      <w:r w:rsidRPr="002A26AF" w:rsidDel="00444DC4">
        <w:t xml:space="preserve"> </w:t>
      </w:r>
      <w:r w:rsidRPr="002A26AF">
        <w:t>Occupation Shortage List Stakeholder Survey.</w:t>
      </w:r>
      <w:r>
        <w:br/>
      </w:r>
      <w:r w:rsidRPr="002A26AF">
        <w:t xml:space="preserve">Note: Participants were able to select more than one industry, therefore the </w:t>
      </w:r>
      <w:r>
        <w:t xml:space="preserve">total </w:t>
      </w:r>
      <w:r w:rsidRPr="002A26AF">
        <w:t xml:space="preserve">in this table </w:t>
      </w:r>
      <w:r>
        <w:t xml:space="preserve">is </w:t>
      </w:r>
      <w:r w:rsidRPr="002A26AF">
        <w:t xml:space="preserve">more than </w:t>
      </w:r>
      <w:r w:rsidRPr="00C56168">
        <w:t>the</w:t>
      </w:r>
      <w:r w:rsidRPr="002A26AF">
        <w:t xml:space="preserve"> </w:t>
      </w:r>
      <w:r w:rsidRPr="00C56168">
        <w:t>1,025</w:t>
      </w:r>
      <w:r w:rsidRPr="002A26AF">
        <w:t xml:space="preserve"> </w:t>
      </w:r>
      <w:r>
        <w:t xml:space="preserve">usable </w:t>
      </w:r>
      <w:r w:rsidRPr="002A26AF">
        <w:t>submissions. The Financial and Insurance Services industry share of 0.4% was rounded to the nearest whole figure, which was zero. The ‘Whole Economy (All Industries)’ and the ‘Other – Industry not recognised by ANZSIC’ categories are not from ANZSIC but were included in the survey for respondents.</w:t>
      </w:r>
    </w:p>
    <w:p w14:paraId="4E04B4CE" w14:textId="77777777" w:rsidR="00C56168" w:rsidRPr="002A26AF" w:rsidRDefault="00C56168" w:rsidP="00C56168">
      <w:pPr>
        <w:pStyle w:val="Heading2"/>
      </w:pPr>
      <w:bookmarkStart w:id="16" w:name="_Ref205823353"/>
      <w:bookmarkStart w:id="17" w:name="_Toc211347071"/>
      <w:r>
        <w:t>Geography</w:t>
      </w:r>
      <w:r w:rsidRPr="002A26AF">
        <w:t xml:space="preserve"> of responses</w:t>
      </w:r>
      <w:bookmarkEnd w:id="16"/>
      <w:bookmarkEnd w:id="17"/>
    </w:p>
    <w:p w14:paraId="25991961" w14:textId="77777777" w:rsidR="00C56168" w:rsidRDefault="00C56168" w:rsidP="00273A0C">
      <w:pPr>
        <w:pStyle w:val="BodyText"/>
      </w:pPr>
      <w:r>
        <w:t>Survey participants that operated in multiple areas in Australia (e.g. multiple states or territories and/or in both metropolitan and regional areas) were able to provide data for:</w:t>
      </w:r>
    </w:p>
    <w:p w14:paraId="7D6F7035" w14:textId="77777777" w:rsidR="00C56168" w:rsidRPr="002A26AF" w:rsidRDefault="00C56168" w:rsidP="00C56168">
      <w:pPr>
        <w:pStyle w:val="ListBullet"/>
        <w:numPr>
          <w:ilvl w:val="0"/>
          <w:numId w:val="4"/>
        </w:numPr>
      </w:pPr>
      <w:r w:rsidRPr="00C56168">
        <w:t>each</w:t>
      </w:r>
      <w:r w:rsidRPr="002A26AF">
        <w:t xml:space="preserve"> state/territory they operated in or for </w:t>
      </w:r>
      <w:r w:rsidRPr="00C56168">
        <w:t>all</w:t>
      </w:r>
      <w:r w:rsidRPr="002A26AF">
        <w:t xml:space="preserve"> the states/territories they operated in</w:t>
      </w:r>
      <w:r>
        <w:t xml:space="preserve"> as a single response</w:t>
      </w:r>
    </w:p>
    <w:p w14:paraId="37309684" w14:textId="77777777" w:rsidR="00C56168" w:rsidRPr="002A26AF" w:rsidRDefault="00C56168" w:rsidP="00C56168">
      <w:pPr>
        <w:pStyle w:val="ListBullet"/>
        <w:numPr>
          <w:ilvl w:val="0"/>
          <w:numId w:val="4"/>
        </w:numPr>
      </w:pPr>
      <w:r w:rsidRPr="00C56168">
        <w:t>each</w:t>
      </w:r>
      <w:r w:rsidRPr="002A26AF">
        <w:t xml:space="preserve"> locality they operated in </w:t>
      </w:r>
      <w:r>
        <w:t xml:space="preserve">(metropolitan and regional) </w:t>
      </w:r>
      <w:r w:rsidRPr="002A26AF">
        <w:t xml:space="preserve">or for </w:t>
      </w:r>
      <w:r w:rsidRPr="00C56168">
        <w:t>both</w:t>
      </w:r>
      <w:r w:rsidRPr="002A26AF">
        <w:t xml:space="preserve"> metropolitan and regional areas</w:t>
      </w:r>
      <w:r>
        <w:t xml:space="preserve"> as a single response</w:t>
      </w:r>
      <w:r w:rsidRPr="002A26AF">
        <w:t xml:space="preserve">. </w:t>
      </w:r>
    </w:p>
    <w:p w14:paraId="5E0B2A21" w14:textId="77777777" w:rsidR="00C56168" w:rsidRDefault="00C56168" w:rsidP="00C56168">
      <w:pPr>
        <w:pStyle w:val="BodyText"/>
      </w:pPr>
      <w:r>
        <w:lastRenderedPageBreak/>
        <w:t xml:space="preserve">These geography dimensions were applied to questions on the </w:t>
      </w:r>
      <w:r w:rsidRPr="00DB44ED">
        <w:t>proportion of vacancies filled</w:t>
      </w:r>
      <w:r>
        <w:t xml:space="preserve">, </w:t>
      </w:r>
      <w:r w:rsidRPr="00DB44ED">
        <w:t xml:space="preserve">labour supply and </w:t>
      </w:r>
      <w:r>
        <w:t xml:space="preserve">labour </w:t>
      </w:r>
      <w:r w:rsidRPr="00DB44ED">
        <w:t>demand</w:t>
      </w:r>
      <w:r>
        <w:t>.</w:t>
      </w:r>
      <w:r>
        <w:rPr>
          <w:rStyle w:val="FootnoteReference"/>
        </w:rPr>
        <w:footnoteReference w:id="7"/>
      </w:r>
    </w:p>
    <w:p w14:paraId="6D5C2E92" w14:textId="77777777" w:rsidR="00C56168" w:rsidRDefault="00C56168" w:rsidP="00C56168">
      <w:pPr>
        <w:pStyle w:val="Heading3"/>
      </w:pPr>
      <w:bookmarkStart w:id="18" w:name="_Toc211347072"/>
      <w:r>
        <w:t>Locality of responses</w:t>
      </w:r>
      <w:bookmarkEnd w:id="18"/>
    </w:p>
    <w:p w14:paraId="0473772D" w14:textId="5361E798" w:rsidR="00C56168" w:rsidRDefault="00EB5606" w:rsidP="00C56168">
      <w:pPr>
        <w:pStyle w:val="BodyText"/>
      </w:pPr>
      <w:r>
        <w:fldChar w:fldCharType="begin"/>
      </w:r>
      <w:r>
        <w:instrText xml:space="preserve"> REF _Ref211346271 \h </w:instrText>
      </w:r>
      <w:r>
        <w:fldChar w:fldCharType="separate"/>
      </w:r>
      <w:r w:rsidR="003D56F4" w:rsidRPr="002A26AF">
        <w:t xml:space="preserve">Figure </w:t>
      </w:r>
      <w:r w:rsidR="003D56F4">
        <w:rPr>
          <w:noProof/>
        </w:rPr>
        <w:t>2</w:t>
      </w:r>
      <w:r>
        <w:fldChar w:fldCharType="end"/>
      </w:r>
      <w:r>
        <w:t xml:space="preserve"> </w:t>
      </w:r>
      <w:r w:rsidR="00C56168">
        <w:t xml:space="preserve">shows the percentage of responses where participants responded for metropolitan and/or regional localities separately or both localities combined: </w:t>
      </w:r>
    </w:p>
    <w:p w14:paraId="5CAFAE9F" w14:textId="77777777" w:rsidR="00C56168" w:rsidRDefault="00C56168" w:rsidP="00C56168">
      <w:pPr>
        <w:pStyle w:val="ListBullet"/>
        <w:numPr>
          <w:ilvl w:val="0"/>
          <w:numId w:val="4"/>
        </w:numPr>
      </w:pPr>
      <w:r>
        <w:t xml:space="preserve">Almost 60% of </w:t>
      </w:r>
      <w:r w:rsidRPr="002A26AF">
        <w:t xml:space="preserve">responses applied to both metropolitan and regional </w:t>
      </w:r>
      <w:r>
        <w:t>localities</w:t>
      </w:r>
      <w:r w:rsidRPr="002A26AF">
        <w:t>.</w:t>
      </w:r>
    </w:p>
    <w:p w14:paraId="5ACAE938" w14:textId="77777777" w:rsidR="00C56168" w:rsidRPr="00C56168" w:rsidRDefault="00C56168" w:rsidP="00C56168">
      <w:pPr>
        <w:pStyle w:val="ListBullet"/>
        <w:numPr>
          <w:ilvl w:val="0"/>
          <w:numId w:val="4"/>
        </w:numPr>
      </w:pPr>
      <w:r>
        <w:t>Just over 20% of responses, each, applied to metropolitan and regional localities</w:t>
      </w:r>
      <w:r w:rsidRPr="002A26AF">
        <w:t>.</w:t>
      </w:r>
      <w:bookmarkStart w:id="19" w:name="_Ref205214601"/>
    </w:p>
    <w:p w14:paraId="3561F2EB" w14:textId="097661E8" w:rsidR="00C56168" w:rsidRPr="00C56168" w:rsidRDefault="00C56168" w:rsidP="00C56168">
      <w:pPr>
        <w:pStyle w:val="Caption"/>
      </w:pPr>
      <w:bookmarkStart w:id="20" w:name="_Ref211346271"/>
      <w:bookmarkStart w:id="21" w:name="_Toc211347088"/>
      <w:r w:rsidRPr="002A26AF">
        <w:t xml:space="preserve">Figure </w:t>
      </w:r>
      <w:r w:rsidRPr="00C56168">
        <w:fldChar w:fldCharType="begin"/>
      </w:r>
      <w:r w:rsidRPr="00C56168">
        <w:instrText xml:space="preserve"> SEQ Figure \* ARABIC </w:instrText>
      </w:r>
      <w:r w:rsidRPr="00C56168">
        <w:fldChar w:fldCharType="separate"/>
      </w:r>
      <w:r w:rsidR="003D56F4">
        <w:rPr>
          <w:noProof/>
        </w:rPr>
        <w:t>2</w:t>
      </w:r>
      <w:r w:rsidRPr="00C56168">
        <w:fldChar w:fldCharType="end"/>
      </w:r>
      <w:bookmarkEnd w:id="19"/>
      <w:bookmarkEnd w:id="20"/>
      <w:r w:rsidRPr="00C56168">
        <w:t>: Locality of survey responses</w:t>
      </w:r>
      <w:r w:rsidRPr="00C56168">
        <w:rPr>
          <w:rStyle w:val="FootnoteReference"/>
        </w:rPr>
        <w:footnoteReference w:id="8"/>
      </w:r>
      <w:bookmarkEnd w:id="21"/>
    </w:p>
    <w:p w14:paraId="09B0F897" w14:textId="77777777" w:rsidR="00C56168" w:rsidRPr="00C56168" w:rsidRDefault="00C56168" w:rsidP="00C56168">
      <w:pPr>
        <w:pStyle w:val="Source"/>
      </w:pPr>
      <w:r w:rsidRPr="00C56168">
        <w:rPr>
          <w:noProof/>
        </w:rPr>
        <w:drawing>
          <wp:inline distT="0" distB="0" distL="0" distR="0" wp14:anchorId="4442806A" wp14:editId="572B98A8">
            <wp:extent cx="5731200" cy="2483485"/>
            <wp:effectExtent l="0" t="0" r="3175" b="0"/>
            <wp:docPr id="900624255" name="Chart 1" descr="This pie chart visualises the surrounding text. It shows the breakdown of the locality of responses, showing 57% of responses were for both metropolitan and regional localities.">
              <a:extLst xmlns:a="http://schemas.openxmlformats.org/drawingml/2006/main">
                <a:ext uri="{FF2B5EF4-FFF2-40B4-BE49-F238E27FC236}">
                  <a16:creationId xmlns:a16="http://schemas.microsoft.com/office/drawing/2014/main" id="{C8892F68-EA6C-48BF-B539-7ECA676927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56168">
        <w:br/>
      </w:r>
      <w:r w:rsidRPr="002A26AF">
        <w:t>Source: Jobs and Skills Australia, 2025 Occupation Shortage List Stakeholder</w:t>
      </w:r>
      <w:r>
        <w:t>.</w:t>
      </w:r>
    </w:p>
    <w:p w14:paraId="653D7CD0" w14:textId="77777777" w:rsidR="00C56168" w:rsidRPr="002A26AF" w:rsidRDefault="00C56168" w:rsidP="00E1026F">
      <w:pPr>
        <w:pStyle w:val="Heading2"/>
      </w:pPr>
      <w:bookmarkStart w:id="22" w:name="_Toc211347073"/>
      <w:r w:rsidRPr="002A26AF">
        <w:t>Most represented occupations</w:t>
      </w:r>
      <w:bookmarkEnd w:id="22"/>
    </w:p>
    <w:p w14:paraId="02EA2E1A" w14:textId="4D2262CD" w:rsidR="00C56168" w:rsidRPr="00C56168" w:rsidRDefault="00C56168" w:rsidP="00C56168">
      <w:pPr>
        <w:pStyle w:val="BodyText"/>
      </w:pPr>
      <w:bookmarkStart w:id="23" w:name="_Hlk174544397"/>
      <w:r w:rsidRPr="00C56168">
        <w:t>The top 5 occupations with the most responses were Sports Turf Manager, Optometrist, Sports Turf Trades Worker, Outdoor Adventure Instructor and Glazier (</w:t>
      </w:r>
      <w:r>
        <w:fldChar w:fldCharType="begin"/>
      </w:r>
      <w:r>
        <w:instrText xml:space="preserve"> REF _Ref169264995 \h  \* MERGEFORMAT </w:instrText>
      </w:r>
      <w:r>
        <w:fldChar w:fldCharType="separate"/>
      </w:r>
      <w:r w:rsidR="003D56F4" w:rsidRPr="002A26AF">
        <w:t xml:space="preserve">Table </w:t>
      </w:r>
      <w:r w:rsidR="003D56F4">
        <w:t>3</w:t>
      </w:r>
      <w:r>
        <w:fldChar w:fldCharType="end"/>
      </w:r>
      <w:r w:rsidRPr="00C56168">
        <w:t>). By major group, most responses were for Technicians and Trades and Workers (29%), Professionals (29%), and Community and Personal Service Workers (19%).</w:t>
      </w:r>
    </w:p>
    <w:p w14:paraId="6CF75C8E" w14:textId="77777777" w:rsidR="00C56168" w:rsidRPr="002A26AF" w:rsidRDefault="00C56168" w:rsidP="00C56168">
      <w:pPr>
        <w:pStyle w:val="BodyText"/>
      </w:pPr>
      <w:r w:rsidRPr="002A26AF">
        <w:t xml:space="preserve">Within the top 10 most reported </w:t>
      </w:r>
      <w:r>
        <w:t xml:space="preserve">on </w:t>
      </w:r>
      <w:r w:rsidRPr="002A26AF">
        <w:t>occupations, Chef had the biggest employment size</w:t>
      </w:r>
      <w:r>
        <w:t xml:space="preserve">, followed by </w:t>
      </w:r>
      <w:r w:rsidRPr="002A26AF">
        <w:t>Cafe or Restaurant Manager</w:t>
      </w:r>
      <w:r>
        <w:t xml:space="preserve"> and Bus Driver</w:t>
      </w:r>
      <w:r w:rsidRPr="002A26AF">
        <w:t>.</w:t>
      </w:r>
    </w:p>
    <w:p w14:paraId="68A6ADDE" w14:textId="77777777" w:rsidR="00C56168" w:rsidRPr="00C56168" w:rsidRDefault="00C56168" w:rsidP="00C56168">
      <w:pPr>
        <w:pStyle w:val="BodyText"/>
      </w:pPr>
      <w:r w:rsidRPr="002A26AF">
        <w:t xml:space="preserve">Skill level </w:t>
      </w:r>
      <w:r>
        <w:t>2</w:t>
      </w:r>
      <w:r w:rsidRPr="002A26AF">
        <w:t xml:space="preserve"> </w:t>
      </w:r>
      <w:r>
        <w:t xml:space="preserve">to 4 </w:t>
      </w:r>
      <w:r w:rsidRPr="002A26AF">
        <w:t xml:space="preserve">occupations, </w:t>
      </w:r>
      <w:r>
        <w:t>where Vocational Education and Training qualifications are the main pathway into the labour market</w:t>
      </w:r>
      <w:r w:rsidRPr="002A26AF">
        <w:t xml:space="preserve">, made up </w:t>
      </w:r>
      <w:r>
        <w:t>9</w:t>
      </w:r>
      <w:r w:rsidRPr="002A26AF">
        <w:t xml:space="preserve"> of the top 10 occupations. </w:t>
      </w:r>
      <w:bookmarkEnd w:id="23"/>
    </w:p>
    <w:p w14:paraId="5D691F59" w14:textId="77777777" w:rsidR="00C56168" w:rsidRPr="00C56168" w:rsidRDefault="00C56168" w:rsidP="00C56168">
      <w:pPr>
        <w:pStyle w:val="BodyText"/>
        <w:sectPr w:rsidR="00C56168" w:rsidRPr="00C56168" w:rsidSect="00C56168">
          <w:footerReference w:type="default" r:id="rId22"/>
          <w:headerReference w:type="first" r:id="rId23"/>
          <w:footerReference w:type="first" r:id="rId24"/>
          <w:pgSz w:w="11907" w:h="16839" w:code="9"/>
          <w:pgMar w:top="1270" w:right="1440" w:bottom="1270" w:left="1440" w:header="720" w:footer="720" w:gutter="0"/>
          <w:cols w:space="720"/>
          <w:titlePg/>
          <w:docGrid w:linePitch="360"/>
        </w:sectPr>
      </w:pPr>
    </w:p>
    <w:p w14:paraId="24E48348" w14:textId="5F9F7C5A" w:rsidR="00C56168" w:rsidRPr="002A26AF" w:rsidRDefault="00C56168" w:rsidP="00C56168">
      <w:pPr>
        <w:pStyle w:val="Caption"/>
      </w:pPr>
      <w:bookmarkStart w:id="24" w:name="_Ref169264995"/>
      <w:bookmarkStart w:id="25" w:name="_Toc211347086"/>
      <w:r w:rsidRPr="002A26AF">
        <w:lastRenderedPageBreak/>
        <w:t xml:space="preserve">Table </w:t>
      </w:r>
      <w:r w:rsidRPr="002A26AF">
        <w:fldChar w:fldCharType="begin"/>
      </w:r>
      <w:r w:rsidRPr="002A26AF">
        <w:instrText>SEQ Table \* ARABIC</w:instrText>
      </w:r>
      <w:r w:rsidRPr="002A26AF">
        <w:fldChar w:fldCharType="separate"/>
      </w:r>
      <w:r w:rsidR="003D56F4">
        <w:rPr>
          <w:noProof/>
        </w:rPr>
        <w:t>3</w:t>
      </w:r>
      <w:r w:rsidRPr="002A26AF">
        <w:fldChar w:fldCharType="end"/>
      </w:r>
      <w:bookmarkEnd w:id="24"/>
      <w:r w:rsidRPr="002A26AF">
        <w:t>: Occupations most reported on by survey participants</w:t>
      </w:r>
      <w:bookmarkEnd w:id="25"/>
    </w:p>
    <w:tbl>
      <w:tblPr>
        <w:tblW w:w="14280" w:type="dxa"/>
        <w:tblLook w:val="04A0" w:firstRow="1" w:lastRow="0" w:firstColumn="1" w:lastColumn="0" w:noHBand="0" w:noVBand="1"/>
      </w:tblPr>
      <w:tblGrid>
        <w:gridCol w:w="1428"/>
        <w:gridCol w:w="4249"/>
        <w:gridCol w:w="3081"/>
        <w:gridCol w:w="1879"/>
        <w:gridCol w:w="1999"/>
        <w:gridCol w:w="1644"/>
      </w:tblGrid>
      <w:tr w:rsidR="00C56168" w:rsidRPr="002A26AF" w14:paraId="0C626E7C" w14:textId="77777777">
        <w:trPr>
          <w:trHeight w:val="1091"/>
        </w:trPr>
        <w:tc>
          <w:tcPr>
            <w:tcW w:w="1428" w:type="dxa"/>
            <w:tcBorders>
              <w:top w:val="nil"/>
              <w:left w:val="nil"/>
              <w:bottom w:val="nil"/>
              <w:right w:val="nil"/>
            </w:tcBorders>
            <w:shd w:val="clear" w:color="000000" w:fill="2F005F"/>
          </w:tcPr>
          <w:p w14:paraId="6D8D34D9" w14:textId="77777777" w:rsidR="00C56168" w:rsidRPr="00C56168" w:rsidRDefault="00C56168" w:rsidP="00C56168">
            <w:pPr>
              <w:pStyle w:val="TableHeading1"/>
            </w:pPr>
            <w:r w:rsidRPr="002A26AF">
              <w:t>ANZSCO</w:t>
            </w:r>
          </w:p>
        </w:tc>
        <w:tc>
          <w:tcPr>
            <w:tcW w:w="4249" w:type="dxa"/>
            <w:tcBorders>
              <w:top w:val="nil"/>
              <w:left w:val="nil"/>
              <w:bottom w:val="nil"/>
              <w:right w:val="nil"/>
            </w:tcBorders>
            <w:shd w:val="clear" w:color="000000" w:fill="2F005F"/>
          </w:tcPr>
          <w:p w14:paraId="5D3164E9" w14:textId="77777777" w:rsidR="00C56168" w:rsidRPr="00C56168" w:rsidRDefault="00C56168" w:rsidP="00C56168">
            <w:pPr>
              <w:pStyle w:val="TableHeading1"/>
            </w:pPr>
            <w:r w:rsidRPr="002A26AF">
              <w:t>Major Group</w:t>
            </w:r>
          </w:p>
        </w:tc>
        <w:tc>
          <w:tcPr>
            <w:tcW w:w="3081" w:type="dxa"/>
            <w:tcBorders>
              <w:top w:val="nil"/>
              <w:left w:val="nil"/>
              <w:bottom w:val="nil"/>
              <w:right w:val="nil"/>
            </w:tcBorders>
            <w:shd w:val="clear" w:color="000000" w:fill="2F005F"/>
          </w:tcPr>
          <w:p w14:paraId="4AF9370E" w14:textId="77777777" w:rsidR="00C56168" w:rsidRPr="00C56168" w:rsidRDefault="00C56168" w:rsidP="00C56168">
            <w:pPr>
              <w:pStyle w:val="TableHeading1"/>
            </w:pPr>
            <w:r w:rsidRPr="002A26AF">
              <w:t>Occupation title</w:t>
            </w:r>
          </w:p>
        </w:tc>
        <w:tc>
          <w:tcPr>
            <w:tcW w:w="1879" w:type="dxa"/>
            <w:tcBorders>
              <w:top w:val="nil"/>
              <w:left w:val="nil"/>
              <w:right w:val="nil"/>
            </w:tcBorders>
            <w:shd w:val="clear" w:color="000000" w:fill="2F005F"/>
          </w:tcPr>
          <w:p w14:paraId="55C1E9F4" w14:textId="77777777" w:rsidR="00C56168" w:rsidRPr="00C56168" w:rsidRDefault="00C56168" w:rsidP="00C56168">
            <w:pPr>
              <w:pStyle w:val="TableHeading1right"/>
            </w:pPr>
            <w:r>
              <w:t>Participant</w:t>
            </w:r>
            <w:r w:rsidRPr="00C56168">
              <w:t>s (no.)</w:t>
            </w:r>
          </w:p>
        </w:tc>
        <w:tc>
          <w:tcPr>
            <w:tcW w:w="1999" w:type="dxa"/>
            <w:tcBorders>
              <w:top w:val="nil"/>
              <w:left w:val="nil"/>
              <w:right w:val="nil"/>
            </w:tcBorders>
            <w:shd w:val="clear" w:color="000000" w:fill="2F005F"/>
          </w:tcPr>
          <w:p w14:paraId="0B3915A1" w14:textId="77777777" w:rsidR="00C56168" w:rsidRPr="00C56168" w:rsidRDefault="00C56168" w:rsidP="00C56168">
            <w:pPr>
              <w:pStyle w:val="TableHeading1right"/>
            </w:pPr>
            <w:r w:rsidRPr="00C56168">
              <w:t>Employment size (2021 census)</w:t>
            </w:r>
          </w:p>
        </w:tc>
        <w:tc>
          <w:tcPr>
            <w:tcW w:w="1644" w:type="dxa"/>
            <w:tcBorders>
              <w:top w:val="nil"/>
              <w:left w:val="nil"/>
              <w:bottom w:val="nil"/>
              <w:right w:val="nil"/>
            </w:tcBorders>
            <w:shd w:val="clear" w:color="000000" w:fill="2F005F"/>
          </w:tcPr>
          <w:p w14:paraId="27FF68C1" w14:textId="77777777" w:rsidR="00C56168" w:rsidRPr="00C56168" w:rsidRDefault="00C56168" w:rsidP="00C56168">
            <w:pPr>
              <w:pStyle w:val="TableHeading1right"/>
            </w:pPr>
            <w:r w:rsidRPr="002A26AF">
              <w:t xml:space="preserve">Skill </w:t>
            </w:r>
            <w:r w:rsidRPr="00C56168">
              <w:t>Level</w:t>
            </w:r>
          </w:p>
        </w:tc>
      </w:tr>
      <w:tr w:rsidR="00C56168" w:rsidRPr="002A26AF" w14:paraId="301C6AB8" w14:textId="77777777">
        <w:trPr>
          <w:trHeight w:val="300"/>
        </w:trPr>
        <w:tc>
          <w:tcPr>
            <w:tcW w:w="1428" w:type="dxa"/>
            <w:tcBorders>
              <w:top w:val="nil"/>
              <w:left w:val="nil"/>
              <w:bottom w:val="nil"/>
              <w:right w:val="nil"/>
            </w:tcBorders>
            <w:noWrap/>
          </w:tcPr>
          <w:p w14:paraId="373551A1" w14:textId="77777777" w:rsidR="00C56168" w:rsidRPr="00C56168" w:rsidRDefault="00C56168" w:rsidP="00C56168">
            <w:pPr>
              <w:pStyle w:val="TableBodyText"/>
            </w:pPr>
            <w:r w:rsidRPr="002A26AF">
              <w:t>362312</w:t>
            </w:r>
          </w:p>
        </w:tc>
        <w:tc>
          <w:tcPr>
            <w:tcW w:w="4249" w:type="dxa"/>
            <w:tcBorders>
              <w:top w:val="nil"/>
              <w:left w:val="nil"/>
              <w:bottom w:val="nil"/>
              <w:right w:val="nil"/>
            </w:tcBorders>
            <w:noWrap/>
          </w:tcPr>
          <w:p w14:paraId="13896B60" w14:textId="77777777" w:rsidR="00C56168" w:rsidRPr="00C56168" w:rsidRDefault="00C56168" w:rsidP="00C56168">
            <w:pPr>
              <w:pStyle w:val="TableBodyText"/>
            </w:pPr>
            <w:r w:rsidRPr="002A26AF">
              <w:t>Technicians and Trades Workers</w:t>
            </w:r>
          </w:p>
        </w:tc>
        <w:tc>
          <w:tcPr>
            <w:tcW w:w="3081" w:type="dxa"/>
            <w:tcBorders>
              <w:top w:val="nil"/>
              <w:left w:val="nil"/>
              <w:bottom w:val="nil"/>
              <w:right w:val="nil"/>
            </w:tcBorders>
            <w:noWrap/>
          </w:tcPr>
          <w:p w14:paraId="19E90C35" w14:textId="77777777" w:rsidR="00C56168" w:rsidRPr="00C56168" w:rsidRDefault="00C56168" w:rsidP="00C56168">
            <w:pPr>
              <w:pStyle w:val="TableBodyText"/>
            </w:pPr>
            <w:r w:rsidRPr="002A26AF">
              <w:t>Sports Turf Manager</w:t>
            </w:r>
          </w:p>
        </w:tc>
        <w:tc>
          <w:tcPr>
            <w:tcW w:w="1879" w:type="dxa"/>
            <w:tcBorders>
              <w:top w:val="nil"/>
              <w:left w:val="nil"/>
              <w:bottom w:val="nil"/>
              <w:right w:val="nil"/>
            </w:tcBorders>
            <w:noWrap/>
          </w:tcPr>
          <w:p w14:paraId="1C8607ED" w14:textId="77777777" w:rsidR="00C56168" w:rsidRPr="00C56168" w:rsidRDefault="00C56168" w:rsidP="00C56168">
            <w:pPr>
              <w:pStyle w:val="TableBodyTextright"/>
            </w:pPr>
            <w:r w:rsidRPr="002A26AF">
              <w:t>75</w:t>
            </w:r>
          </w:p>
        </w:tc>
        <w:tc>
          <w:tcPr>
            <w:tcW w:w="1999" w:type="dxa"/>
            <w:tcBorders>
              <w:top w:val="nil"/>
              <w:left w:val="nil"/>
              <w:bottom w:val="nil"/>
              <w:right w:val="nil"/>
            </w:tcBorders>
            <w:noWrap/>
          </w:tcPr>
          <w:p w14:paraId="5CEACB30" w14:textId="77777777" w:rsidR="00C56168" w:rsidRPr="00C56168" w:rsidRDefault="00C56168" w:rsidP="00C56168">
            <w:pPr>
              <w:pStyle w:val="TableBodyTextright"/>
            </w:pPr>
            <w:r w:rsidRPr="002A26AF">
              <w:t>1,044</w:t>
            </w:r>
          </w:p>
        </w:tc>
        <w:tc>
          <w:tcPr>
            <w:tcW w:w="1644" w:type="dxa"/>
            <w:tcBorders>
              <w:top w:val="nil"/>
              <w:left w:val="nil"/>
              <w:bottom w:val="nil"/>
              <w:right w:val="nil"/>
            </w:tcBorders>
            <w:noWrap/>
          </w:tcPr>
          <w:p w14:paraId="3681E434" w14:textId="77777777" w:rsidR="00C56168" w:rsidRPr="00C56168" w:rsidRDefault="00C56168" w:rsidP="00C56168">
            <w:pPr>
              <w:pStyle w:val="TableBodyTextright"/>
            </w:pPr>
            <w:r w:rsidRPr="002A26AF">
              <w:t>2</w:t>
            </w:r>
          </w:p>
        </w:tc>
      </w:tr>
      <w:tr w:rsidR="00C56168" w:rsidRPr="002A26AF" w14:paraId="119484AB" w14:textId="77777777">
        <w:trPr>
          <w:trHeight w:val="300"/>
        </w:trPr>
        <w:tc>
          <w:tcPr>
            <w:tcW w:w="1428" w:type="dxa"/>
            <w:tcBorders>
              <w:top w:val="nil"/>
              <w:left w:val="nil"/>
              <w:bottom w:val="nil"/>
              <w:right w:val="nil"/>
            </w:tcBorders>
            <w:shd w:val="clear" w:color="000000" w:fill="E6E6E6"/>
            <w:noWrap/>
          </w:tcPr>
          <w:p w14:paraId="4D36E7CA" w14:textId="77777777" w:rsidR="00C56168" w:rsidRPr="00C56168" w:rsidRDefault="00C56168" w:rsidP="00C56168">
            <w:pPr>
              <w:pStyle w:val="TableBodyText"/>
            </w:pPr>
            <w:r w:rsidRPr="002A26AF">
              <w:t>251411</w:t>
            </w:r>
          </w:p>
        </w:tc>
        <w:tc>
          <w:tcPr>
            <w:tcW w:w="4249" w:type="dxa"/>
            <w:tcBorders>
              <w:top w:val="nil"/>
              <w:left w:val="nil"/>
              <w:bottom w:val="nil"/>
              <w:right w:val="nil"/>
            </w:tcBorders>
            <w:shd w:val="clear" w:color="000000" w:fill="E6E6E6"/>
            <w:noWrap/>
          </w:tcPr>
          <w:p w14:paraId="4E670D25" w14:textId="77777777" w:rsidR="00C56168" w:rsidRPr="00C56168" w:rsidRDefault="00C56168" w:rsidP="00C56168">
            <w:pPr>
              <w:pStyle w:val="TableBodyText"/>
            </w:pPr>
            <w:r w:rsidRPr="002A26AF">
              <w:t>Professionals</w:t>
            </w:r>
          </w:p>
        </w:tc>
        <w:tc>
          <w:tcPr>
            <w:tcW w:w="3081" w:type="dxa"/>
            <w:tcBorders>
              <w:top w:val="nil"/>
              <w:left w:val="nil"/>
              <w:bottom w:val="nil"/>
              <w:right w:val="nil"/>
            </w:tcBorders>
            <w:shd w:val="clear" w:color="000000" w:fill="E6E6E6"/>
            <w:noWrap/>
          </w:tcPr>
          <w:p w14:paraId="62701955" w14:textId="77777777" w:rsidR="00C56168" w:rsidRPr="00C56168" w:rsidRDefault="00C56168" w:rsidP="00C56168">
            <w:pPr>
              <w:pStyle w:val="TableBodyText"/>
            </w:pPr>
            <w:r w:rsidRPr="002A26AF">
              <w:t>Optometrist</w:t>
            </w:r>
          </w:p>
        </w:tc>
        <w:tc>
          <w:tcPr>
            <w:tcW w:w="1879" w:type="dxa"/>
            <w:tcBorders>
              <w:top w:val="nil"/>
              <w:left w:val="nil"/>
              <w:bottom w:val="nil"/>
              <w:right w:val="nil"/>
            </w:tcBorders>
            <w:shd w:val="clear" w:color="000000" w:fill="E6E6E6"/>
            <w:noWrap/>
          </w:tcPr>
          <w:p w14:paraId="0188CA5E" w14:textId="77777777" w:rsidR="00C56168" w:rsidRPr="00C56168" w:rsidRDefault="00C56168" w:rsidP="00C56168">
            <w:pPr>
              <w:pStyle w:val="TableBodyTextright"/>
            </w:pPr>
            <w:r w:rsidRPr="002A26AF">
              <w:t>74</w:t>
            </w:r>
          </w:p>
        </w:tc>
        <w:tc>
          <w:tcPr>
            <w:tcW w:w="1999" w:type="dxa"/>
            <w:tcBorders>
              <w:top w:val="nil"/>
              <w:left w:val="nil"/>
              <w:bottom w:val="nil"/>
              <w:right w:val="nil"/>
            </w:tcBorders>
            <w:shd w:val="clear" w:color="000000" w:fill="E6E6E6"/>
            <w:noWrap/>
          </w:tcPr>
          <w:p w14:paraId="77C82E9E" w14:textId="77777777" w:rsidR="00C56168" w:rsidRPr="00C56168" w:rsidRDefault="00C56168" w:rsidP="00C56168">
            <w:pPr>
              <w:pStyle w:val="TableBodyTextright"/>
            </w:pPr>
            <w:r w:rsidRPr="002A26AF">
              <w:t>5</w:t>
            </w:r>
            <w:r w:rsidRPr="00C56168">
              <w:t>,217</w:t>
            </w:r>
          </w:p>
        </w:tc>
        <w:tc>
          <w:tcPr>
            <w:tcW w:w="1644" w:type="dxa"/>
            <w:tcBorders>
              <w:top w:val="nil"/>
              <w:left w:val="nil"/>
              <w:bottom w:val="nil"/>
              <w:right w:val="nil"/>
            </w:tcBorders>
            <w:shd w:val="clear" w:color="000000" w:fill="E6E6E6"/>
            <w:noWrap/>
          </w:tcPr>
          <w:p w14:paraId="55B165A0" w14:textId="77777777" w:rsidR="00C56168" w:rsidRPr="00C56168" w:rsidRDefault="00C56168" w:rsidP="00C56168">
            <w:pPr>
              <w:pStyle w:val="TableBodyTextright"/>
            </w:pPr>
            <w:r w:rsidRPr="002A26AF">
              <w:t>1</w:t>
            </w:r>
          </w:p>
        </w:tc>
      </w:tr>
      <w:tr w:rsidR="00C56168" w:rsidRPr="002A26AF" w14:paraId="7E689AF9" w14:textId="77777777">
        <w:trPr>
          <w:trHeight w:val="300"/>
        </w:trPr>
        <w:tc>
          <w:tcPr>
            <w:tcW w:w="1428" w:type="dxa"/>
            <w:tcBorders>
              <w:top w:val="nil"/>
              <w:left w:val="nil"/>
              <w:bottom w:val="nil"/>
              <w:right w:val="nil"/>
            </w:tcBorders>
            <w:noWrap/>
          </w:tcPr>
          <w:p w14:paraId="09B249EC" w14:textId="77777777" w:rsidR="00C56168" w:rsidRPr="00C56168" w:rsidRDefault="00C56168" w:rsidP="00C56168">
            <w:pPr>
              <w:pStyle w:val="TableBodyText"/>
            </w:pPr>
            <w:r w:rsidRPr="002A26AF">
              <w:t>362313</w:t>
            </w:r>
          </w:p>
        </w:tc>
        <w:tc>
          <w:tcPr>
            <w:tcW w:w="4249" w:type="dxa"/>
            <w:tcBorders>
              <w:top w:val="nil"/>
              <w:left w:val="nil"/>
              <w:bottom w:val="nil"/>
              <w:right w:val="nil"/>
            </w:tcBorders>
            <w:noWrap/>
          </w:tcPr>
          <w:p w14:paraId="17CAA63F" w14:textId="77777777" w:rsidR="00C56168" w:rsidRPr="00C56168" w:rsidRDefault="00C56168" w:rsidP="00C56168">
            <w:pPr>
              <w:pStyle w:val="TableBodyText"/>
            </w:pPr>
            <w:r w:rsidRPr="002A26AF">
              <w:t>Technicians and Trades Workers</w:t>
            </w:r>
          </w:p>
        </w:tc>
        <w:tc>
          <w:tcPr>
            <w:tcW w:w="3081" w:type="dxa"/>
            <w:tcBorders>
              <w:top w:val="nil"/>
              <w:left w:val="nil"/>
              <w:bottom w:val="nil"/>
              <w:right w:val="nil"/>
            </w:tcBorders>
            <w:noWrap/>
          </w:tcPr>
          <w:p w14:paraId="54588B9D" w14:textId="77777777" w:rsidR="00C56168" w:rsidRPr="00C56168" w:rsidRDefault="00C56168" w:rsidP="00C56168">
            <w:pPr>
              <w:pStyle w:val="TableBodyText"/>
            </w:pPr>
            <w:r w:rsidRPr="002A26AF">
              <w:t>Sports Turf Trades Worker</w:t>
            </w:r>
          </w:p>
        </w:tc>
        <w:tc>
          <w:tcPr>
            <w:tcW w:w="1879" w:type="dxa"/>
            <w:tcBorders>
              <w:top w:val="nil"/>
              <w:left w:val="nil"/>
              <w:bottom w:val="nil"/>
              <w:right w:val="nil"/>
            </w:tcBorders>
            <w:noWrap/>
          </w:tcPr>
          <w:p w14:paraId="63F0DFDF" w14:textId="77777777" w:rsidR="00C56168" w:rsidRPr="00C56168" w:rsidRDefault="00C56168" w:rsidP="00C56168">
            <w:pPr>
              <w:pStyle w:val="TableBodyTextright"/>
            </w:pPr>
            <w:r w:rsidRPr="002A26AF">
              <w:t>60</w:t>
            </w:r>
          </w:p>
        </w:tc>
        <w:tc>
          <w:tcPr>
            <w:tcW w:w="1999" w:type="dxa"/>
            <w:tcBorders>
              <w:top w:val="nil"/>
              <w:left w:val="nil"/>
              <w:bottom w:val="nil"/>
              <w:right w:val="nil"/>
            </w:tcBorders>
            <w:noWrap/>
          </w:tcPr>
          <w:p w14:paraId="2AC9660C" w14:textId="77777777" w:rsidR="00C56168" w:rsidRPr="00C56168" w:rsidRDefault="00C56168" w:rsidP="00C56168">
            <w:pPr>
              <w:pStyle w:val="TableBodyTextright"/>
            </w:pPr>
            <w:r w:rsidRPr="002A26AF">
              <w:t>5,387</w:t>
            </w:r>
          </w:p>
        </w:tc>
        <w:tc>
          <w:tcPr>
            <w:tcW w:w="1644" w:type="dxa"/>
            <w:tcBorders>
              <w:top w:val="nil"/>
              <w:left w:val="nil"/>
              <w:bottom w:val="nil"/>
              <w:right w:val="nil"/>
            </w:tcBorders>
            <w:noWrap/>
          </w:tcPr>
          <w:p w14:paraId="0B5CB3C1" w14:textId="77777777" w:rsidR="00C56168" w:rsidRPr="00C56168" w:rsidRDefault="00C56168" w:rsidP="00C56168">
            <w:pPr>
              <w:pStyle w:val="TableBodyTextright"/>
            </w:pPr>
            <w:r w:rsidRPr="002A26AF">
              <w:t>3</w:t>
            </w:r>
          </w:p>
        </w:tc>
      </w:tr>
      <w:tr w:rsidR="00C56168" w:rsidRPr="002A26AF" w14:paraId="429D6A82" w14:textId="77777777">
        <w:trPr>
          <w:trHeight w:val="300"/>
        </w:trPr>
        <w:tc>
          <w:tcPr>
            <w:tcW w:w="1428" w:type="dxa"/>
            <w:tcBorders>
              <w:top w:val="nil"/>
              <w:left w:val="nil"/>
              <w:bottom w:val="nil"/>
              <w:right w:val="nil"/>
            </w:tcBorders>
            <w:shd w:val="clear" w:color="000000" w:fill="E6E6E6"/>
            <w:noWrap/>
          </w:tcPr>
          <w:p w14:paraId="0E0E3494" w14:textId="77777777" w:rsidR="00C56168" w:rsidRPr="00C56168" w:rsidRDefault="00C56168" w:rsidP="00C56168">
            <w:pPr>
              <w:pStyle w:val="TableBodyText"/>
            </w:pPr>
            <w:r w:rsidRPr="002A26AF">
              <w:t>452215</w:t>
            </w:r>
          </w:p>
        </w:tc>
        <w:tc>
          <w:tcPr>
            <w:tcW w:w="4249" w:type="dxa"/>
            <w:tcBorders>
              <w:top w:val="nil"/>
              <w:left w:val="nil"/>
              <w:bottom w:val="nil"/>
              <w:right w:val="nil"/>
            </w:tcBorders>
            <w:shd w:val="clear" w:color="000000" w:fill="E6E6E6"/>
            <w:noWrap/>
          </w:tcPr>
          <w:p w14:paraId="5203B774" w14:textId="77777777" w:rsidR="00C56168" w:rsidRPr="00C56168" w:rsidRDefault="00C56168" w:rsidP="00C56168">
            <w:pPr>
              <w:pStyle w:val="TableBodyText"/>
            </w:pPr>
            <w:r w:rsidRPr="002A26AF">
              <w:t>Community and Personal Service Workers</w:t>
            </w:r>
          </w:p>
        </w:tc>
        <w:tc>
          <w:tcPr>
            <w:tcW w:w="3081" w:type="dxa"/>
            <w:tcBorders>
              <w:top w:val="nil"/>
              <w:left w:val="nil"/>
              <w:bottom w:val="nil"/>
              <w:right w:val="nil"/>
            </w:tcBorders>
            <w:shd w:val="clear" w:color="000000" w:fill="E6E6E6"/>
            <w:noWrap/>
          </w:tcPr>
          <w:p w14:paraId="73A1C4FD" w14:textId="77777777" w:rsidR="00C56168" w:rsidRPr="00C56168" w:rsidRDefault="00C56168" w:rsidP="00C56168">
            <w:pPr>
              <w:pStyle w:val="TableBodyText"/>
            </w:pPr>
            <w:r w:rsidRPr="002A26AF">
              <w:t>Outdoor Adventure Instructor</w:t>
            </w:r>
          </w:p>
        </w:tc>
        <w:tc>
          <w:tcPr>
            <w:tcW w:w="1879" w:type="dxa"/>
            <w:tcBorders>
              <w:top w:val="nil"/>
              <w:left w:val="nil"/>
              <w:bottom w:val="nil"/>
              <w:right w:val="nil"/>
            </w:tcBorders>
            <w:shd w:val="clear" w:color="000000" w:fill="E6E6E6"/>
            <w:noWrap/>
          </w:tcPr>
          <w:p w14:paraId="200F14AC" w14:textId="77777777" w:rsidR="00C56168" w:rsidRPr="00C56168" w:rsidRDefault="00C56168" w:rsidP="00C56168">
            <w:pPr>
              <w:pStyle w:val="TableBodyTextright"/>
            </w:pPr>
            <w:r w:rsidRPr="002A26AF">
              <w:t>48</w:t>
            </w:r>
          </w:p>
        </w:tc>
        <w:tc>
          <w:tcPr>
            <w:tcW w:w="1999" w:type="dxa"/>
            <w:tcBorders>
              <w:top w:val="nil"/>
              <w:left w:val="nil"/>
              <w:bottom w:val="nil"/>
              <w:right w:val="nil"/>
            </w:tcBorders>
            <w:shd w:val="clear" w:color="000000" w:fill="E6E6E6"/>
            <w:noWrap/>
          </w:tcPr>
          <w:p w14:paraId="7D98E093" w14:textId="77777777" w:rsidR="00C56168" w:rsidRPr="00C56168" w:rsidRDefault="00C56168" w:rsidP="00C56168">
            <w:pPr>
              <w:pStyle w:val="TableBodyTextright"/>
            </w:pPr>
            <w:r w:rsidRPr="002A26AF">
              <w:t>1,708</w:t>
            </w:r>
          </w:p>
        </w:tc>
        <w:tc>
          <w:tcPr>
            <w:tcW w:w="1644" w:type="dxa"/>
            <w:tcBorders>
              <w:top w:val="nil"/>
              <w:left w:val="nil"/>
              <w:bottom w:val="nil"/>
              <w:right w:val="nil"/>
            </w:tcBorders>
            <w:shd w:val="clear" w:color="000000" w:fill="E6E6E6"/>
            <w:noWrap/>
          </w:tcPr>
          <w:p w14:paraId="6CEC5C4A" w14:textId="77777777" w:rsidR="00C56168" w:rsidRPr="00C56168" w:rsidRDefault="00C56168" w:rsidP="00C56168">
            <w:pPr>
              <w:pStyle w:val="TableBodyTextright"/>
            </w:pPr>
            <w:r w:rsidRPr="002A26AF">
              <w:t>3</w:t>
            </w:r>
          </w:p>
        </w:tc>
      </w:tr>
      <w:tr w:rsidR="00C56168" w:rsidRPr="002A26AF" w14:paraId="4C4EE996" w14:textId="77777777">
        <w:trPr>
          <w:trHeight w:val="300"/>
        </w:trPr>
        <w:tc>
          <w:tcPr>
            <w:tcW w:w="1428" w:type="dxa"/>
            <w:tcBorders>
              <w:top w:val="nil"/>
              <w:left w:val="nil"/>
              <w:bottom w:val="nil"/>
              <w:right w:val="nil"/>
            </w:tcBorders>
            <w:noWrap/>
          </w:tcPr>
          <w:p w14:paraId="2C0BDF29" w14:textId="77777777" w:rsidR="00C56168" w:rsidRPr="00C56168" w:rsidRDefault="00C56168" w:rsidP="00C56168">
            <w:pPr>
              <w:pStyle w:val="TableBodyText"/>
            </w:pPr>
            <w:r w:rsidRPr="002A26AF">
              <w:t>333111</w:t>
            </w:r>
          </w:p>
        </w:tc>
        <w:tc>
          <w:tcPr>
            <w:tcW w:w="4249" w:type="dxa"/>
            <w:tcBorders>
              <w:top w:val="nil"/>
              <w:left w:val="nil"/>
              <w:bottom w:val="nil"/>
              <w:right w:val="nil"/>
            </w:tcBorders>
            <w:noWrap/>
          </w:tcPr>
          <w:p w14:paraId="5E7CEAE1" w14:textId="77777777" w:rsidR="00C56168" w:rsidRPr="00C56168" w:rsidRDefault="00C56168" w:rsidP="00C56168">
            <w:pPr>
              <w:pStyle w:val="TableBodyText"/>
            </w:pPr>
            <w:r w:rsidRPr="002A26AF">
              <w:t>Technicians and Trades Workers</w:t>
            </w:r>
          </w:p>
        </w:tc>
        <w:tc>
          <w:tcPr>
            <w:tcW w:w="3081" w:type="dxa"/>
            <w:tcBorders>
              <w:top w:val="nil"/>
              <w:left w:val="nil"/>
              <w:bottom w:val="nil"/>
              <w:right w:val="nil"/>
            </w:tcBorders>
            <w:noWrap/>
          </w:tcPr>
          <w:p w14:paraId="794BA269" w14:textId="77777777" w:rsidR="00C56168" w:rsidRPr="00C56168" w:rsidRDefault="00C56168" w:rsidP="00C56168">
            <w:pPr>
              <w:pStyle w:val="TableBodyText"/>
            </w:pPr>
            <w:r w:rsidRPr="002A26AF">
              <w:t>Glazier</w:t>
            </w:r>
          </w:p>
        </w:tc>
        <w:tc>
          <w:tcPr>
            <w:tcW w:w="1879" w:type="dxa"/>
            <w:tcBorders>
              <w:top w:val="nil"/>
              <w:left w:val="nil"/>
              <w:bottom w:val="nil"/>
              <w:right w:val="nil"/>
            </w:tcBorders>
            <w:noWrap/>
          </w:tcPr>
          <w:p w14:paraId="65A28CD4" w14:textId="77777777" w:rsidR="00C56168" w:rsidRPr="00C56168" w:rsidRDefault="00C56168" w:rsidP="00C56168">
            <w:pPr>
              <w:pStyle w:val="TableBodyTextright"/>
            </w:pPr>
            <w:r w:rsidRPr="002A26AF">
              <w:t>40</w:t>
            </w:r>
          </w:p>
        </w:tc>
        <w:tc>
          <w:tcPr>
            <w:tcW w:w="1999" w:type="dxa"/>
            <w:tcBorders>
              <w:top w:val="nil"/>
              <w:left w:val="nil"/>
              <w:bottom w:val="nil"/>
              <w:right w:val="nil"/>
            </w:tcBorders>
            <w:noWrap/>
          </w:tcPr>
          <w:p w14:paraId="2801966E" w14:textId="77777777" w:rsidR="00C56168" w:rsidRPr="00C56168" w:rsidRDefault="00C56168" w:rsidP="00C56168">
            <w:pPr>
              <w:pStyle w:val="TableBodyTextright"/>
            </w:pPr>
            <w:r w:rsidRPr="002A26AF">
              <w:t>8,587</w:t>
            </w:r>
          </w:p>
        </w:tc>
        <w:tc>
          <w:tcPr>
            <w:tcW w:w="1644" w:type="dxa"/>
            <w:tcBorders>
              <w:top w:val="nil"/>
              <w:left w:val="nil"/>
              <w:bottom w:val="nil"/>
              <w:right w:val="nil"/>
            </w:tcBorders>
            <w:noWrap/>
          </w:tcPr>
          <w:p w14:paraId="5FF4C5A3" w14:textId="77777777" w:rsidR="00C56168" w:rsidRPr="00C56168" w:rsidRDefault="00C56168" w:rsidP="00C56168">
            <w:pPr>
              <w:pStyle w:val="TableBodyTextright"/>
            </w:pPr>
            <w:r w:rsidRPr="002A26AF">
              <w:t>3</w:t>
            </w:r>
          </w:p>
        </w:tc>
      </w:tr>
      <w:tr w:rsidR="00C56168" w:rsidRPr="002A26AF" w14:paraId="526848A2" w14:textId="77777777">
        <w:trPr>
          <w:trHeight w:val="300"/>
        </w:trPr>
        <w:tc>
          <w:tcPr>
            <w:tcW w:w="1428" w:type="dxa"/>
            <w:tcBorders>
              <w:top w:val="nil"/>
              <w:left w:val="nil"/>
              <w:bottom w:val="nil"/>
              <w:right w:val="nil"/>
            </w:tcBorders>
            <w:shd w:val="clear" w:color="000000" w:fill="E6E6E6"/>
            <w:noWrap/>
          </w:tcPr>
          <w:p w14:paraId="0A640480" w14:textId="77777777" w:rsidR="00C56168" w:rsidRPr="00C56168" w:rsidRDefault="00C56168" w:rsidP="00C56168">
            <w:pPr>
              <w:pStyle w:val="TableBodyText"/>
            </w:pPr>
            <w:r w:rsidRPr="002A26AF">
              <w:t>452312</w:t>
            </w:r>
          </w:p>
        </w:tc>
        <w:tc>
          <w:tcPr>
            <w:tcW w:w="4249" w:type="dxa"/>
            <w:tcBorders>
              <w:top w:val="nil"/>
              <w:left w:val="nil"/>
              <w:bottom w:val="nil"/>
              <w:right w:val="nil"/>
            </w:tcBorders>
            <w:shd w:val="clear" w:color="000000" w:fill="E6E6E6"/>
            <w:noWrap/>
          </w:tcPr>
          <w:p w14:paraId="3A0D5048" w14:textId="77777777" w:rsidR="00C56168" w:rsidRPr="00C56168" w:rsidRDefault="00C56168" w:rsidP="00C56168">
            <w:pPr>
              <w:pStyle w:val="TableBodyText"/>
            </w:pPr>
            <w:r w:rsidRPr="002A26AF">
              <w:t>Community and Personal Service Workers</w:t>
            </w:r>
          </w:p>
        </w:tc>
        <w:tc>
          <w:tcPr>
            <w:tcW w:w="3081" w:type="dxa"/>
            <w:tcBorders>
              <w:top w:val="nil"/>
              <w:left w:val="nil"/>
              <w:bottom w:val="nil"/>
              <w:right w:val="nil"/>
            </w:tcBorders>
            <w:shd w:val="clear" w:color="000000" w:fill="E6E6E6"/>
            <w:noWrap/>
          </w:tcPr>
          <w:p w14:paraId="2BCDB353" w14:textId="77777777" w:rsidR="00C56168" w:rsidRPr="00C56168" w:rsidRDefault="00C56168" w:rsidP="00C56168">
            <w:pPr>
              <w:pStyle w:val="TableBodyText"/>
            </w:pPr>
            <w:r w:rsidRPr="002A26AF">
              <w:t>Gymnastics Coach or Instructor</w:t>
            </w:r>
          </w:p>
        </w:tc>
        <w:tc>
          <w:tcPr>
            <w:tcW w:w="1879" w:type="dxa"/>
            <w:tcBorders>
              <w:top w:val="nil"/>
              <w:left w:val="nil"/>
              <w:bottom w:val="nil"/>
              <w:right w:val="nil"/>
            </w:tcBorders>
            <w:shd w:val="clear" w:color="000000" w:fill="E6E6E6"/>
            <w:noWrap/>
          </w:tcPr>
          <w:p w14:paraId="0D65307A" w14:textId="77777777" w:rsidR="00C56168" w:rsidRPr="00C56168" w:rsidRDefault="00C56168" w:rsidP="00C56168">
            <w:pPr>
              <w:pStyle w:val="TableBodyTextright"/>
            </w:pPr>
            <w:r w:rsidRPr="002A26AF">
              <w:t>35</w:t>
            </w:r>
          </w:p>
        </w:tc>
        <w:tc>
          <w:tcPr>
            <w:tcW w:w="1999" w:type="dxa"/>
            <w:tcBorders>
              <w:top w:val="nil"/>
              <w:left w:val="nil"/>
              <w:bottom w:val="nil"/>
              <w:right w:val="nil"/>
            </w:tcBorders>
            <w:shd w:val="clear" w:color="000000" w:fill="E6E6E6"/>
            <w:noWrap/>
          </w:tcPr>
          <w:p w14:paraId="7E016A12" w14:textId="77777777" w:rsidR="00C56168" w:rsidRPr="00C56168" w:rsidRDefault="00C56168" w:rsidP="00C56168">
            <w:pPr>
              <w:pStyle w:val="TableBodyTextright"/>
            </w:pPr>
            <w:r w:rsidRPr="002A26AF">
              <w:t>4,232</w:t>
            </w:r>
          </w:p>
        </w:tc>
        <w:tc>
          <w:tcPr>
            <w:tcW w:w="1644" w:type="dxa"/>
            <w:tcBorders>
              <w:top w:val="nil"/>
              <w:left w:val="nil"/>
              <w:bottom w:val="nil"/>
              <w:right w:val="nil"/>
            </w:tcBorders>
            <w:shd w:val="clear" w:color="000000" w:fill="E6E6E6"/>
            <w:noWrap/>
          </w:tcPr>
          <w:p w14:paraId="174F25C2" w14:textId="77777777" w:rsidR="00C56168" w:rsidRPr="00C56168" w:rsidRDefault="00C56168" w:rsidP="00C56168">
            <w:pPr>
              <w:pStyle w:val="TableBodyTextright"/>
            </w:pPr>
            <w:r w:rsidRPr="002A26AF">
              <w:t>4</w:t>
            </w:r>
          </w:p>
        </w:tc>
      </w:tr>
      <w:tr w:rsidR="00C56168" w:rsidRPr="002A26AF" w14:paraId="05E56547" w14:textId="77777777">
        <w:trPr>
          <w:trHeight w:val="300"/>
        </w:trPr>
        <w:tc>
          <w:tcPr>
            <w:tcW w:w="1428" w:type="dxa"/>
            <w:tcBorders>
              <w:top w:val="nil"/>
              <w:left w:val="nil"/>
              <w:bottom w:val="nil"/>
              <w:right w:val="nil"/>
            </w:tcBorders>
            <w:noWrap/>
          </w:tcPr>
          <w:p w14:paraId="05B761CC" w14:textId="77777777" w:rsidR="00C56168" w:rsidRPr="00C56168" w:rsidRDefault="00C56168" w:rsidP="00C56168">
            <w:pPr>
              <w:pStyle w:val="TableBodyText"/>
            </w:pPr>
            <w:r w:rsidRPr="002A26AF">
              <w:t>452299</w:t>
            </w:r>
          </w:p>
        </w:tc>
        <w:tc>
          <w:tcPr>
            <w:tcW w:w="4249" w:type="dxa"/>
            <w:tcBorders>
              <w:top w:val="nil"/>
              <w:left w:val="nil"/>
              <w:bottom w:val="nil"/>
              <w:right w:val="nil"/>
            </w:tcBorders>
            <w:noWrap/>
          </w:tcPr>
          <w:p w14:paraId="672F74A5" w14:textId="77777777" w:rsidR="00C56168" w:rsidRPr="00C56168" w:rsidRDefault="00C56168" w:rsidP="00C56168">
            <w:pPr>
              <w:pStyle w:val="TableBodyText"/>
            </w:pPr>
            <w:r w:rsidRPr="002A26AF">
              <w:t>Community and Personal Service Workers</w:t>
            </w:r>
          </w:p>
        </w:tc>
        <w:tc>
          <w:tcPr>
            <w:tcW w:w="3081" w:type="dxa"/>
            <w:tcBorders>
              <w:top w:val="nil"/>
              <w:left w:val="nil"/>
              <w:bottom w:val="nil"/>
              <w:right w:val="nil"/>
            </w:tcBorders>
            <w:noWrap/>
          </w:tcPr>
          <w:p w14:paraId="229ADE39" w14:textId="77777777" w:rsidR="00C56168" w:rsidRPr="00C56168" w:rsidRDefault="00C56168" w:rsidP="00C56168">
            <w:pPr>
              <w:pStyle w:val="TableBodyText"/>
            </w:pPr>
            <w:r w:rsidRPr="002A26AF">
              <w:t xml:space="preserve">Outdoor </w:t>
            </w:r>
            <w:r w:rsidRPr="00C56168">
              <w:t>Adventure Guides nec</w:t>
            </w:r>
          </w:p>
        </w:tc>
        <w:tc>
          <w:tcPr>
            <w:tcW w:w="1879" w:type="dxa"/>
            <w:tcBorders>
              <w:top w:val="nil"/>
              <w:left w:val="nil"/>
              <w:bottom w:val="nil"/>
              <w:right w:val="nil"/>
            </w:tcBorders>
            <w:noWrap/>
          </w:tcPr>
          <w:p w14:paraId="2A4BE2FC" w14:textId="77777777" w:rsidR="00C56168" w:rsidRPr="00C56168" w:rsidRDefault="00C56168" w:rsidP="00C56168">
            <w:pPr>
              <w:pStyle w:val="TableBodyTextright"/>
            </w:pPr>
            <w:r w:rsidRPr="002A26AF">
              <w:t>29</w:t>
            </w:r>
          </w:p>
        </w:tc>
        <w:tc>
          <w:tcPr>
            <w:tcW w:w="1999" w:type="dxa"/>
            <w:tcBorders>
              <w:top w:val="nil"/>
              <w:left w:val="nil"/>
              <w:bottom w:val="nil"/>
              <w:right w:val="nil"/>
            </w:tcBorders>
            <w:noWrap/>
          </w:tcPr>
          <w:p w14:paraId="3C4FB2D1" w14:textId="77777777" w:rsidR="00C56168" w:rsidRPr="00C56168" w:rsidRDefault="00C56168" w:rsidP="00C56168">
            <w:pPr>
              <w:pStyle w:val="TableBodyTextright"/>
            </w:pPr>
            <w:r w:rsidRPr="002A26AF">
              <w:t>344</w:t>
            </w:r>
          </w:p>
        </w:tc>
        <w:tc>
          <w:tcPr>
            <w:tcW w:w="1644" w:type="dxa"/>
            <w:tcBorders>
              <w:top w:val="nil"/>
              <w:left w:val="nil"/>
              <w:bottom w:val="nil"/>
              <w:right w:val="nil"/>
            </w:tcBorders>
            <w:noWrap/>
          </w:tcPr>
          <w:p w14:paraId="588BCA86" w14:textId="77777777" w:rsidR="00C56168" w:rsidRPr="00C56168" w:rsidRDefault="00C56168" w:rsidP="00C56168">
            <w:pPr>
              <w:pStyle w:val="TableBodyTextright"/>
            </w:pPr>
            <w:r w:rsidRPr="002A26AF">
              <w:t>3</w:t>
            </w:r>
          </w:p>
        </w:tc>
      </w:tr>
      <w:tr w:rsidR="00C56168" w:rsidRPr="002A26AF" w14:paraId="610EEF04" w14:textId="77777777">
        <w:trPr>
          <w:trHeight w:val="300"/>
        </w:trPr>
        <w:tc>
          <w:tcPr>
            <w:tcW w:w="1428" w:type="dxa"/>
            <w:tcBorders>
              <w:top w:val="nil"/>
              <w:left w:val="nil"/>
              <w:bottom w:val="nil"/>
              <w:right w:val="nil"/>
            </w:tcBorders>
            <w:shd w:val="clear" w:color="000000" w:fill="E6E6E6"/>
            <w:noWrap/>
          </w:tcPr>
          <w:p w14:paraId="4C6B0C2A" w14:textId="77777777" w:rsidR="00C56168" w:rsidRPr="00C56168" w:rsidRDefault="00C56168" w:rsidP="00C56168">
            <w:pPr>
              <w:pStyle w:val="TableBodyText"/>
            </w:pPr>
            <w:r w:rsidRPr="002A26AF">
              <w:t>351311</w:t>
            </w:r>
          </w:p>
        </w:tc>
        <w:tc>
          <w:tcPr>
            <w:tcW w:w="4249" w:type="dxa"/>
            <w:tcBorders>
              <w:top w:val="nil"/>
              <w:left w:val="nil"/>
              <w:bottom w:val="nil"/>
              <w:right w:val="nil"/>
            </w:tcBorders>
            <w:shd w:val="clear" w:color="000000" w:fill="E6E6E6"/>
            <w:noWrap/>
          </w:tcPr>
          <w:p w14:paraId="41BE8A03" w14:textId="77777777" w:rsidR="00C56168" w:rsidRPr="00C56168" w:rsidRDefault="00C56168" w:rsidP="00C56168">
            <w:pPr>
              <w:pStyle w:val="TableBodyText"/>
            </w:pPr>
            <w:r w:rsidRPr="002A26AF">
              <w:t>Technicians and Trades Workers</w:t>
            </w:r>
          </w:p>
        </w:tc>
        <w:tc>
          <w:tcPr>
            <w:tcW w:w="3081" w:type="dxa"/>
            <w:tcBorders>
              <w:top w:val="nil"/>
              <w:left w:val="nil"/>
              <w:bottom w:val="nil"/>
              <w:right w:val="nil"/>
            </w:tcBorders>
            <w:shd w:val="clear" w:color="000000" w:fill="E6E6E6"/>
            <w:noWrap/>
          </w:tcPr>
          <w:p w14:paraId="45C17E5D" w14:textId="77777777" w:rsidR="00C56168" w:rsidRPr="00C56168" w:rsidRDefault="00C56168" w:rsidP="00C56168">
            <w:pPr>
              <w:pStyle w:val="TableBodyText"/>
            </w:pPr>
            <w:r w:rsidRPr="002A26AF">
              <w:t>Chef</w:t>
            </w:r>
          </w:p>
        </w:tc>
        <w:tc>
          <w:tcPr>
            <w:tcW w:w="1879" w:type="dxa"/>
            <w:tcBorders>
              <w:top w:val="nil"/>
              <w:left w:val="nil"/>
              <w:bottom w:val="nil"/>
              <w:right w:val="nil"/>
            </w:tcBorders>
            <w:shd w:val="clear" w:color="000000" w:fill="E6E6E6"/>
            <w:noWrap/>
          </w:tcPr>
          <w:p w14:paraId="2B19977E" w14:textId="77777777" w:rsidR="00C56168" w:rsidRPr="00C56168" w:rsidRDefault="00C56168" w:rsidP="00C56168">
            <w:pPr>
              <w:pStyle w:val="TableBodyTextright"/>
            </w:pPr>
            <w:r w:rsidRPr="002A26AF">
              <w:t>25</w:t>
            </w:r>
          </w:p>
        </w:tc>
        <w:tc>
          <w:tcPr>
            <w:tcW w:w="1999" w:type="dxa"/>
            <w:tcBorders>
              <w:top w:val="nil"/>
              <w:left w:val="nil"/>
              <w:bottom w:val="nil"/>
              <w:right w:val="nil"/>
            </w:tcBorders>
            <w:shd w:val="clear" w:color="000000" w:fill="E6E6E6"/>
            <w:noWrap/>
          </w:tcPr>
          <w:p w14:paraId="0FD59139" w14:textId="77777777" w:rsidR="00C56168" w:rsidRPr="00C56168" w:rsidRDefault="00C56168" w:rsidP="00C56168">
            <w:pPr>
              <w:pStyle w:val="TableBodyTextright"/>
            </w:pPr>
            <w:r w:rsidRPr="002A26AF">
              <w:t>90,458</w:t>
            </w:r>
          </w:p>
        </w:tc>
        <w:tc>
          <w:tcPr>
            <w:tcW w:w="1644" w:type="dxa"/>
            <w:tcBorders>
              <w:top w:val="nil"/>
              <w:left w:val="nil"/>
              <w:bottom w:val="nil"/>
              <w:right w:val="nil"/>
            </w:tcBorders>
            <w:shd w:val="clear" w:color="000000" w:fill="E6E6E6"/>
            <w:noWrap/>
          </w:tcPr>
          <w:p w14:paraId="0F30E006" w14:textId="77777777" w:rsidR="00C56168" w:rsidRPr="00C56168" w:rsidRDefault="00C56168" w:rsidP="00C56168">
            <w:pPr>
              <w:pStyle w:val="TableBodyTextright"/>
            </w:pPr>
            <w:r w:rsidRPr="002A26AF">
              <w:t>2</w:t>
            </w:r>
          </w:p>
        </w:tc>
      </w:tr>
      <w:tr w:rsidR="00C56168" w:rsidRPr="002A26AF" w14:paraId="0F21F542" w14:textId="77777777">
        <w:trPr>
          <w:trHeight w:val="300"/>
        </w:trPr>
        <w:tc>
          <w:tcPr>
            <w:tcW w:w="1428" w:type="dxa"/>
            <w:tcBorders>
              <w:top w:val="nil"/>
              <w:left w:val="nil"/>
              <w:bottom w:val="nil"/>
              <w:right w:val="nil"/>
            </w:tcBorders>
            <w:noWrap/>
          </w:tcPr>
          <w:p w14:paraId="14F44612" w14:textId="77777777" w:rsidR="00C56168" w:rsidRPr="00C56168" w:rsidRDefault="00C56168" w:rsidP="00C56168">
            <w:pPr>
              <w:pStyle w:val="TableBodyText"/>
            </w:pPr>
            <w:r w:rsidRPr="002A26AF">
              <w:t>141111</w:t>
            </w:r>
          </w:p>
        </w:tc>
        <w:tc>
          <w:tcPr>
            <w:tcW w:w="4249" w:type="dxa"/>
            <w:tcBorders>
              <w:top w:val="nil"/>
              <w:left w:val="nil"/>
              <w:bottom w:val="nil"/>
              <w:right w:val="nil"/>
            </w:tcBorders>
            <w:noWrap/>
          </w:tcPr>
          <w:p w14:paraId="7A30DD4D" w14:textId="77777777" w:rsidR="00C56168" w:rsidRPr="00C56168" w:rsidRDefault="00C56168" w:rsidP="00C56168">
            <w:pPr>
              <w:pStyle w:val="TableBodyText"/>
            </w:pPr>
            <w:r w:rsidRPr="002A26AF">
              <w:t>Managers</w:t>
            </w:r>
          </w:p>
        </w:tc>
        <w:tc>
          <w:tcPr>
            <w:tcW w:w="3081" w:type="dxa"/>
            <w:tcBorders>
              <w:top w:val="nil"/>
              <w:left w:val="nil"/>
              <w:bottom w:val="nil"/>
              <w:right w:val="nil"/>
            </w:tcBorders>
            <w:noWrap/>
          </w:tcPr>
          <w:p w14:paraId="3FA6DF17" w14:textId="77777777" w:rsidR="00C56168" w:rsidRPr="00C56168" w:rsidRDefault="00C56168" w:rsidP="00C56168">
            <w:pPr>
              <w:pStyle w:val="TableBodyText"/>
            </w:pPr>
            <w:r w:rsidRPr="002A26AF">
              <w:t>Cafe or Restaurant Manager</w:t>
            </w:r>
          </w:p>
        </w:tc>
        <w:tc>
          <w:tcPr>
            <w:tcW w:w="1879" w:type="dxa"/>
            <w:tcBorders>
              <w:top w:val="nil"/>
              <w:left w:val="nil"/>
              <w:bottom w:val="nil"/>
              <w:right w:val="nil"/>
            </w:tcBorders>
            <w:noWrap/>
          </w:tcPr>
          <w:p w14:paraId="7FC9429A" w14:textId="77777777" w:rsidR="00C56168" w:rsidRPr="00C56168" w:rsidRDefault="00C56168" w:rsidP="00C56168">
            <w:pPr>
              <w:pStyle w:val="TableBodyTextright"/>
            </w:pPr>
            <w:r w:rsidRPr="002A26AF">
              <w:t>21</w:t>
            </w:r>
          </w:p>
        </w:tc>
        <w:tc>
          <w:tcPr>
            <w:tcW w:w="1999" w:type="dxa"/>
            <w:tcBorders>
              <w:top w:val="nil"/>
              <w:left w:val="nil"/>
              <w:bottom w:val="nil"/>
              <w:right w:val="nil"/>
            </w:tcBorders>
            <w:noWrap/>
          </w:tcPr>
          <w:p w14:paraId="670D1890" w14:textId="77777777" w:rsidR="00C56168" w:rsidRPr="00C56168" w:rsidRDefault="00C56168" w:rsidP="00C56168">
            <w:pPr>
              <w:pStyle w:val="TableBodyTextright"/>
            </w:pPr>
            <w:r w:rsidRPr="002A26AF">
              <w:t>55,770</w:t>
            </w:r>
          </w:p>
        </w:tc>
        <w:tc>
          <w:tcPr>
            <w:tcW w:w="1644" w:type="dxa"/>
            <w:tcBorders>
              <w:top w:val="nil"/>
              <w:left w:val="nil"/>
              <w:bottom w:val="nil"/>
              <w:right w:val="nil"/>
            </w:tcBorders>
            <w:noWrap/>
          </w:tcPr>
          <w:p w14:paraId="7C7427A6" w14:textId="77777777" w:rsidR="00C56168" w:rsidRPr="00C56168" w:rsidRDefault="00C56168" w:rsidP="00C56168">
            <w:pPr>
              <w:pStyle w:val="TableBodyTextright"/>
            </w:pPr>
            <w:r w:rsidRPr="002A26AF">
              <w:t>2</w:t>
            </w:r>
          </w:p>
        </w:tc>
      </w:tr>
      <w:tr w:rsidR="00C56168" w:rsidRPr="002A26AF" w14:paraId="0D421F38" w14:textId="77777777">
        <w:trPr>
          <w:trHeight w:val="315"/>
        </w:trPr>
        <w:tc>
          <w:tcPr>
            <w:tcW w:w="1428" w:type="dxa"/>
            <w:tcBorders>
              <w:top w:val="nil"/>
              <w:left w:val="nil"/>
              <w:bottom w:val="single" w:sz="8" w:space="0" w:color="4B0885"/>
              <w:right w:val="nil"/>
            </w:tcBorders>
            <w:shd w:val="clear" w:color="000000" w:fill="E6E6E6"/>
            <w:noWrap/>
          </w:tcPr>
          <w:p w14:paraId="24CA9276" w14:textId="77777777" w:rsidR="00C56168" w:rsidRPr="00C56168" w:rsidRDefault="00C56168" w:rsidP="00C56168">
            <w:pPr>
              <w:pStyle w:val="TableBodyText"/>
            </w:pPr>
            <w:r w:rsidRPr="002A26AF">
              <w:t>731211</w:t>
            </w:r>
          </w:p>
        </w:tc>
        <w:tc>
          <w:tcPr>
            <w:tcW w:w="4249" w:type="dxa"/>
            <w:tcBorders>
              <w:top w:val="nil"/>
              <w:left w:val="nil"/>
              <w:bottom w:val="single" w:sz="8" w:space="0" w:color="4B0885"/>
              <w:right w:val="nil"/>
            </w:tcBorders>
            <w:shd w:val="clear" w:color="000000" w:fill="E6E6E6"/>
            <w:noWrap/>
          </w:tcPr>
          <w:p w14:paraId="0A61762A" w14:textId="77777777" w:rsidR="00C56168" w:rsidRPr="00C56168" w:rsidRDefault="00C56168" w:rsidP="00C56168">
            <w:pPr>
              <w:pStyle w:val="TableBodyText"/>
            </w:pPr>
            <w:r w:rsidRPr="002A26AF">
              <w:t>Machinery Operators and Drivers</w:t>
            </w:r>
          </w:p>
        </w:tc>
        <w:tc>
          <w:tcPr>
            <w:tcW w:w="3081" w:type="dxa"/>
            <w:tcBorders>
              <w:top w:val="nil"/>
              <w:left w:val="nil"/>
              <w:bottom w:val="single" w:sz="8" w:space="0" w:color="4B0885"/>
              <w:right w:val="nil"/>
            </w:tcBorders>
            <w:shd w:val="clear" w:color="000000" w:fill="E6E6E6"/>
            <w:noWrap/>
          </w:tcPr>
          <w:p w14:paraId="57FECCB3" w14:textId="77777777" w:rsidR="00C56168" w:rsidRPr="00C56168" w:rsidRDefault="00C56168" w:rsidP="00C56168">
            <w:pPr>
              <w:pStyle w:val="TableBodyText"/>
            </w:pPr>
            <w:r w:rsidRPr="002A26AF">
              <w:t>Bus Driver</w:t>
            </w:r>
          </w:p>
        </w:tc>
        <w:tc>
          <w:tcPr>
            <w:tcW w:w="1879" w:type="dxa"/>
            <w:tcBorders>
              <w:top w:val="nil"/>
              <w:left w:val="nil"/>
              <w:bottom w:val="single" w:sz="8" w:space="0" w:color="4B0885"/>
              <w:right w:val="nil"/>
            </w:tcBorders>
            <w:shd w:val="clear" w:color="000000" w:fill="E6E6E6"/>
            <w:noWrap/>
          </w:tcPr>
          <w:p w14:paraId="64FFC5A4" w14:textId="77777777" w:rsidR="00C56168" w:rsidRPr="00C56168" w:rsidRDefault="00C56168" w:rsidP="00C56168">
            <w:pPr>
              <w:pStyle w:val="TableBodyTextright"/>
            </w:pPr>
            <w:r w:rsidRPr="002A26AF">
              <w:t>21</w:t>
            </w:r>
          </w:p>
        </w:tc>
        <w:tc>
          <w:tcPr>
            <w:tcW w:w="1999" w:type="dxa"/>
            <w:tcBorders>
              <w:top w:val="nil"/>
              <w:left w:val="nil"/>
              <w:bottom w:val="single" w:sz="8" w:space="0" w:color="4B0885"/>
              <w:right w:val="nil"/>
            </w:tcBorders>
            <w:shd w:val="clear" w:color="000000" w:fill="E6E6E6"/>
            <w:noWrap/>
          </w:tcPr>
          <w:p w14:paraId="434E23E2" w14:textId="77777777" w:rsidR="00C56168" w:rsidRPr="00C56168" w:rsidRDefault="00C56168" w:rsidP="00C56168">
            <w:pPr>
              <w:pStyle w:val="TableBodyTextright"/>
            </w:pPr>
            <w:r w:rsidRPr="002A26AF">
              <w:t>34,239</w:t>
            </w:r>
          </w:p>
        </w:tc>
        <w:tc>
          <w:tcPr>
            <w:tcW w:w="1644" w:type="dxa"/>
            <w:tcBorders>
              <w:top w:val="nil"/>
              <w:left w:val="nil"/>
              <w:bottom w:val="single" w:sz="8" w:space="0" w:color="4B0885"/>
              <w:right w:val="nil"/>
            </w:tcBorders>
            <w:shd w:val="clear" w:color="000000" w:fill="E6E6E6"/>
            <w:noWrap/>
          </w:tcPr>
          <w:p w14:paraId="27C35FE2" w14:textId="77777777" w:rsidR="00C56168" w:rsidRPr="00C56168" w:rsidRDefault="00C56168" w:rsidP="00C56168">
            <w:pPr>
              <w:pStyle w:val="TableBodyTextright"/>
            </w:pPr>
            <w:r w:rsidRPr="002A26AF">
              <w:t>4</w:t>
            </w:r>
          </w:p>
        </w:tc>
      </w:tr>
    </w:tbl>
    <w:p w14:paraId="3CB47113" w14:textId="77777777" w:rsidR="00C56168" w:rsidRPr="002A26AF" w:rsidRDefault="00C56168" w:rsidP="00C56168">
      <w:pPr>
        <w:pStyle w:val="Source"/>
      </w:pPr>
      <w:r w:rsidRPr="002A26AF">
        <w:t>Source: Jobs and Skills Australia, 2025 Occupation Shortage List Stakeholder Survey; Australian Bureau of Statistics, 2021 Census of Population and Housing.</w:t>
      </w:r>
    </w:p>
    <w:p w14:paraId="7162B58C" w14:textId="77777777" w:rsidR="00C56168" w:rsidRPr="002A26AF" w:rsidRDefault="00C56168" w:rsidP="00C56168">
      <w:pPr>
        <w:pStyle w:val="BodyText"/>
      </w:pPr>
    </w:p>
    <w:p w14:paraId="72DBBF48" w14:textId="77777777" w:rsidR="00C56168" w:rsidRPr="002A26AF" w:rsidRDefault="00C56168" w:rsidP="00C56168">
      <w:pPr>
        <w:pStyle w:val="BodyText"/>
        <w:sectPr w:rsidR="00C56168" w:rsidRPr="002A26AF" w:rsidSect="00C56168">
          <w:headerReference w:type="first" r:id="rId25"/>
          <w:pgSz w:w="16839" w:h="11907" w:orient="landscape" w:code="9"/>
          <w:pgMar w:top="1440" w:right="1270" w:bottom="1440" w:left="1270" w:header="720" w:footer="720" w:gutter="0"/>
          <w:cols w:space="720"/>
          <w:titlePg/>
          <w:docGrid w:linePitch="360"/>
        </w:sectPr>
      </w:pPr>
    </w:p>
    <w:p w14:paraId="73461E12" w14:textId="77777777" w:rsidR="00C56168" w:rsidRPr="00226BB1" w:rsidRDefault="00C56168" w:rsidP="00C56168">
      <w:pPr>
        <w:pStyle w:val="Heading1"/>
      </w:pPr>
      <w:bookmarkStart w:id="26" w:name="_Toc211347074"/>
      <w:r w:rsidRPr="002A26AF">
        <w:lastRenderedPageBreak/>
        <w:t xml:space="preserve">What </w:t>
      </w:r>
      <w:r w:rsidRPr="00226BB1">
        <w:t>respondents said about filling their vacancies</w:t>
      </w:r>
      <w:bookmarkEnd w:id="26"/>
    </w:p>
    <w:p w14:paraId="63FC8E8D" w14:textId="77777777" w:rsidR="00C56168" w:rsidRPr="00226BB1" w:rsidRDefault="00C56168" w:rsidP="00C56168">
      <w:pPr>
        <w:pStyle w:val="Heading2"/>
      </w:pPr>
      <w:bookmarkStart w:id="27" w:name="_Toc211347075"/>
      <w:r w:rsidRPr="00226BB1">
        <w:t>The big picture of vacancies filled</w:t>
      </w:r>
      <w:bookmarkEnd w:id="27"/>
    </w:p>
    <w:p w14:paraId="6AF5945B" w14:textId="77777777" w:rsidR="00C56168" w:rsidRPr="00226BB1" w:rsidRDefault="00C56168" w:rsidP="00C56168">
      <w:pPr>
        <w:pStyle w:val="BodyText"/>
      </w:pPr>
      <w:bookmarkStart w:id="28" w:name="_Ref174973065"/>
      <w:r w:rsidRPr="00226BB1">
        <w:t>Low proportions of vacancies filled</w:t>
      </w:r>
      <w:r>
        <w:t>, potentially,</w:t>
      </w:r>
      <w:r w:rsidRPr="00226BB1">
        <w:t xml:space="preserve"> imply higher levels of recruitment challenges and a higher likelihood of occupation shortages.</w:t>
      </w:r>
      <w:r w:rsidRPr="00C56168">
        <w:rPr>
          <w:rStyle w:val="FootnoteReference"/>
        </w:rPr>
        <w:footnoteReference w:id="9"/>
      </w:r>
    </w:p>
    <w:p w14:paraId="6A495ECB" w14:textId="77777777" w:rsidR="00C56168" w:rsidRPr="00226BB1" w:rsidRDefault="00C56168" w:rsidP="00C56168">
      <w:pPr>
        <w:pStyle w:val="BodyText"/>
      </w:pPr>
      <w:r w:rsidRPr="00226BB1">
        <w:t>Out of the 1,874 responses on the proportion of vacancies filled</w:t>
      </w:r>
      <w:r>
        <w:t>,</w:t>
      </w:r>
      <w:r w:rsidRPr="00226BB1">
        <w:t xml:space="preserve"> almost </w:t>
      </w:r>
      <w:r>
        <w:t>40</w:t>
      </w:r>
      <w:r w:rsidRPr="00226BB1">
        <w:t>%</w:t>
      </w:r>
      <w:r>
        <w:t xml:space="preserve"> </w:t>
      </w:r>
      <w:r w:rsidRPr="00226BB1">
        <w:t xml:space="preserve">reported that ‘a </w:t>
      </w:r>
      <w:r w:rsidRPr="00C56168">
        <w:t>very low</w:t>
      </w:r>
      <w:r w:rsidRPr="00226BB1">
        <w:t xml:space="preserve"> proportion of their vacancies were filled.</w:t>
      </w:r>
      <w:r w:rsidRPr="00226BB1">
        <w:rPr>
          <w:rStyle w:val="FootnoteReference"/>
        </w:rPr>
        <w:footnoteReference w:id="10"/>
      </w:r>
      <w:r w:rsidRPr="00C56168">
        <w:t>,</w:t>
      </w:r>
      <w:r w:rsidRPr="00226BB1">
        <w:rPr>
          <w:rStyle w:val="FootnoteReference"/>
        </w:rPr>
        <w:footnoteReference w:id="11"/>
      </w:r>
      <w:r w:rsidRPr="00226BB1">
        <w:t xml:space="preserve"> For </w:t>
      </w:r>
      <w:r>
        <w:t xml:space="preserve">the </w:t>
      </w:r>
      <w:r w:rsidRPr="00226BB1">
        <w:t xml:space="preserve">‘a </w:t>
      </w:r>
      <w:r w:rsidRPr="00C56168">
        <w:t>low</w:t>
      </w:r>
      <w:r w:rsidRPr="00226BB1">
        <w:t xml:space="preserve"> proportion’, ‘a </w:t>
      </w:r>
      <w:r w:rsidRPr="00C56168">
        <w:t>moderate</w:t>
      </w:r>
      <w:r w:rsidRPr="00226BB1">
        <w:t xml:space="preserve"> proportion’ and ‘a </w:t>
      </w:r>
      <w:r w:rsidRPr="00C56168">
        <w:t>high</w:t>
      </w:r>
      <w:r w:rsidRPr="00226BB1">
        <w:t xml:space="preserve"> proportion of vacancies were filled’</w:t>
      </w:r>
      <w:r>
        <w:t xml:space="preserve"> categories</w:t>
      </w:r>
      <w:r w:rsidRPr="00226BB1">
        <w:t>, each accounted for around 20% of the responses.</w:t>
      </w:r>
    </w:p>
    <w:p w14:paraId="1BC675C7" w14:textId="77777777" w:rsidR="00C56168" w:rsidRPr="00226BB1" w:rsidRDefault="00C56168" w:rsidP="00C56168">
      <w:pPr>
        <w:pStyle w:val="Heading2"/>
      </w:pPr>
      <w:bookmarkStart w:id="29" w:name="_Toc211347076"/>
      <w:r w:rsidRPr="00226BB1">
        <w:t>Proportion of vacancies filled by major group</w:t>
      </w:r>
      <w:bookmarkEnd w:id="29"/>
    </w:p>
    <w:p w14:paraId="27A11994" w14:textId="40EA7B0C" w:rsidR="00C56168" w:rsidRPr="00226BB1" w:rsidRDefault="00C56168" w:rsidP="00C56168">
      <w:pPr>
        <w:pStyle w:val="BodyText"/>
      </w:pPr>
      <w:r w:rsidRPr="00226BB1">
        <w:t>Based on responses from within major groups (</w:t>
      </w:r>
      <w:r w:rsidRPr="00226BB1">
        <w:fldChar w:fldCharType="begin"/>
      </w:r>
      <w:r w:rsidRPr="00226BB1">
        <w:instrText xml:space="preserve"> REF _Ref205160511 \h  \* MERGEFORMAT </w:instrText>
      </w:r>
      <w:r w:rsidRPr="00226BB1">
        <w:fldChar w:fldCharType="separate"/>
      </w:r>
      <w:r w:rsidR="003D56F4" w:rsidRPr="002A26AF">
        <w:t xml:space="preserve">Figure </w:t>
      </w:r>
      <w:r w:rsidR="003D56F4">
        <w:t>3</w:t>
      </w:r>
      <w:r w:rsidRPr="00226BB1">
        <w:fldChar w:fldCharType="end"/>
      </w:r>
      <w:r w:rsidRPr="00226BB1">
        <w:t>):</w:t>
      </w:r>
    </w:p>
    <w:p w14:paraId="6A5F04C6" w14:textId="77777777" w:rsidR="00C56168" w:rsidRPr="00226BB1" w:rsidRDefault="00C56168" w:rsidP="00C56168">
      <w:pPr>
        <w:pStyle w:val="ListBullet"/>
        <w:numPr>
          <w:ilvl w:val="0"/>
          <w:numId w:val="4"/>
        </w:numPr>
      </w:pPr>
      <w:r w:rsidRPr="00226BB1">
        <w:t>Labourers (55%), Machinery Operators and Drivers (48%) and Technicians and Trades Workers (47%) had the highest percentage of responses indicating a ‘</w:t>
      </w:r>
      <w:r w:rsidRPr="00C56168">
        <w:t>very low</w:t>
      </w:r>
      <w:r w:rsidRPr="00226BB1">
        <w:t xml:space="preserve"> proportion of vacancies filled’. </w:t>
      </w:r>
    </w:p>
    <w:p w14:paraId="5A47211B" w14:textId="77777777" w:rsidR="00C56168" w:rsidRPr="00226BB1" w:rsidRDefault="00C56168" w:rsidP="00C56168">
      <w:pPr>
        <w:pStyle w:val="ListBullet"/>
        <w:numPr>
          <w:ilvl w:val="0"/>
          <w:numId w:val="4"/>
        </w:numPr>
      </w:pPr>
      <w:r w:rsidRPr="00226BB1">
        <w:t>Clerical and Administrative Workers major group had the largest percentage (34%) of responses reporting a ‘</w:t>
      </w:r>
      <w:r w:rsidRPr="00C56168">
        <w:t>high</w:t>
      </w:r>
      <w:r w:rsidRPr="00226BB1">
        <w:t xml:space="preserve"> proportion of their vacancies were filled’, followed by Professionals (32%).</w:t>
      </w:r>
    </w:p>
    <w:p w14:paraId="75CDE857" w14:textId="77777777" w:rsidR="00C56168" w:rsidRPr="00226BB1" w:rsidRDefault="00C56168" w:rsidP="00C56168">
      <w:pPr>
        <w:pStyle w:val="ListBullet"/>
        <w:numPr>
          <w:ilvl w:val="0"/>
          <w:numId w:val="4"/>
        </w:numPr>
      </w:pPr>
      <w:r w:rsidRPr="00226BB1">
        <w:t xml:space="preserve">Clerical and Administrative Workers and Sales Workers had the </w:t>
      </w:r>
      <w:r>
        <w:t xml:space="preserve">highest share </w:t>
      </w:r>
      <w:r w:rsidRPr="00226BB1">
        <w:t>of responses reporting ‘</w:t>
      </w:r>
      <w:r w:rsidRPr="00C56168">
        <w:t>moderate</w:t>
      </w:r>
      <w:r w:rsidRPr="00226BB1">
        <w:t xml:space="preserve"> proportion of vacancies filled</w:t>
      </w:r>
      <w:r>
        <w:t>’</w:t>
      </w:r>
      <w:r w:rsidRPr="00226BB1">
        <w:t xml:space="preserve"> (just over 30% for each).</w:t>
      </w:r>
    </w:p>
    <w:p w14:paraId="77574225" w14:textId="77777777" w:rsidR="00C56168" w:rsidRPr="00C56168" w:rsidRDefault="00C56168" w:rsidP="00C56168">
      <w:pPr>
        <w:pStyle w:val="ListBullet"/>
      </w:pPr>
      <w:r w:rsidRPr="002A26AF">
        <w:br w:type="page"/>
      </w:r>
    </w:p>
    <w:p w14:paraId="69917F0C" w14:textId="11DAF9A7" w:rsidR="00C56168" w:rsidRPr="002A26AF" w:rsidRDefault="00C56168" w:rsidP="00C56168">
      <w:pPr>
        <w:pStyle w:val="Caption"/>
      </w:pPr>
      <w:bookmarkStart w:id="30" w:name="_Ref205160511"/>
      <w:bookmarkStart w:id="31" w:name="_Toc211347089"/>
      <w:r w:rsidRPr="002A26AF">
        <w:lastRenderedPageBreak/>
        <w:t xml:space="preserve">Figure </w:t>
      </w:r>
      <w:r w:rsidRPr="002A26AF">
        <w:fldChar w:fldCharType="begin"/>
      </w:r>
      <w:r w:rsidRPr="002A26AF">
        <w:instrText xml:space="preserve"> SEQ Figure \* ARABIC </w:instrText>
      </w:r>
      <w:r w:rsidRPr="002A26AF">
        <w:fldChar w:fldCharType="separate"/>
      </w:r>
      <w:r w:rsidR="003D56F4">
        <w:rPr>
          <w:noProof/>
        </w:rPr>
        <w:t>3</w:t>
      </w:r>
      <w:r w:rsidRPr="002A26AF">
        <w:fldChar w:fldCharType="end"/>
      </w:r>
      <w:bookmarkEnd w:id="30"/>
      <w:r w:rsidRPr="002A26AF">
        <w:t>: Responses indicating proportion of vacancies filled (%), by major group</w:t>
      </w:r>
      <w:r w:rsidRPr="002A26AF">
        <w:rPr>
          <w:rStyle w:val="FootnoteReference"/>
        </w:rPr>
        <w:footnoteReference w:id="12"/>
      </w:r>
      <w:bookmarkEnd w:id="31"/>
    </w:p>
    <w:bookmarkEnd w:id="28"/>
    <w:p w14:paraId="0DC3E812" w14:textId="77777777" w:rsidR="00C56168" w:rsidRPr="002A26AF" w:rsidRDefault="00C56168" w:rsidP="00C56168">
      <w:pPr>
        <w:pStyle w:val="Source"/>
      </w:pPr>
      <w:r w:rsidRPr="00C56168">
        <w:rPr>
          <w:noProof/>
        </w:rPr>
        <w:drawing>
          <wp:inline distT="0" distB="0" distL="0" distR="0" wp14:anchorId="67518936" wp14:editId="2C523738">
            <wp:extent cx="5732145" cy="2808000"/>
            <wp:effectExtent l="0" t="0" r="1905" b="0"/>
            <wp:docPr id="376497426" name="Chart 1" descr="This stacked bar chart visualises the surrounding text. It shows major groups (and total) on the y axis and percentage on the x axis. It shows the distribution of responses by the proportion of vacancies filled: very low, low, moderate, or high.">
              <a:extLst xmlns:a="http://schemas.openxmlformats.org/drawingml/2006/main">
                <a:ext uri="{FF2B5EF4-FFF2-40B4-BE49-F238E27FC236}">
                  <a16:creationId xmlns:a16="http://schemas.microsoft.com/office/drawing/2014/main" id="{92BFD0CA-5A7A-4C7D-A140-817817215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C56168" w:rsidDel="00416FC3">
        <w:t xml:space="preserve"> </w:t>
      </w:r>
      <w:r w:rsidRPr="002A26AF">
        <w:t>Source: Jobs and Skills Australia, 2025 Occupation Shortage List Stakeholder</w:t>
      </w:r>
      <w:r>
        <w:t>.</w:t>
      </w:r>
    </w:p>
    <w:p w14:paraId="2FAAC5EB" w14:textId="77777777" w:rsidR="00C56168" w:rsidRPr="002A26AF" w:rsidRDefault="00C56168" w:rsidP="00C56168">
      <w:pPr>
        <w:pStyle w:val="Heading2"/>
      </w:pPr>
      <w:bookmarkStart w:id="32" w:name="_Toc211347077"/>
      <w:r>
        <w:t xml:space="preserve">Vacancy </w:t>
      </w:r>
      <w:proofErr w:type="gramStart"/>
      <w:r>
        <w:t>fill</w:t>
      </w:r>
      <w:proofErr w:type="gramEnd"/>
      <w:r>
        <w:t xml:space="preserve"> rates </w:t>
      </w:r>
      <w:r w:rsidRPr="002A26AF">
        <w:t>by major group</w:t>
      </w:r>
      <w:bookmarkEnd w:id="32"/>
    </w:p>
    <w:p w14:paraId="457797DF" w14:textId="77777777" w:rsidR="00C56168" w:rsidRDefault="00C56168" w:rsidP="00C56168">
      <w:pPr>
        <w:pStyle w:val="BodyText"/>
      </w:pPr>
      <w:r w:rsidRPr="002A26AF">
        <w:t xml:space="preserve">In the </w:t>
      </w:r>
      <w:r>
        <w:t>s</w:t>
      </w:r>
      <w:r w:rsidRPr="002A26AF">
        <w:t xml:space="preserve">urvey, </w:t>
      </w:r>
      <w:r>
        <w:t>72</w:t>
      </w:r>
      <w:r w:rsidRPr="002A26AF">
        <w:t>%</w:t>
      </w:r>
      <w:r>
        <w:t xml:space="preserve"> of responses</w:t>
      </w:r>
      <w:r w:rsidRPr="002A26AF">
        <w:t xml:space="preserve"> reported </w:t>
      </w:r>
      <w:r>
        <w:t xml:space="preserve">occupations had </w:t>
      </w:r>
      <w:r w:rsidRPr="002A26AF">
        <w:t xml:space="preserve">vacancy fill rates </w:t>
      </w:r>
      <w:r w:rsidRPr="00C56168">
        <w:t>below</w:t>
      </w:r>
      <w:r w:rsidRPr="002A26AF">
        <w:t xml:space="preserve"> 67%.</w:t>
      </w:r>
      <w:r w:rsidRPr="002A26AF">
        <w:rPr>
          <w:rStyle w:val="FootnoteReference"/>
        </w:rPr>
        <w:footnoteReference w:id="13"/>
      </w:r>
    </w:p>
    <w:p w14:paraId="180A1524" w14:textId="0B248CF3" w:rsidR="00C56168" w:rsidRPr="002A26AF" w:rsidRDefault="00C56168" w:rsidP="00C56168">
      <w:pPr>
        <w:pStyle w:val="ListBullet"/>
        <w:numPr>
          <w:ilvl w:val="0"/>
          <w:numId w:val="4"/>
        </w:numPr>
      </w:pPr>
      <w:r>
        <w:t xml:space="preserve">Most major groups had a greater share of responses which indicated fill rates were </w:t>
      </w:r>
      <w:r w:rsidRPr="00C56168">
        <w:t>below</w:t>
      </w:r>
      <w:r>
        <w:t xml:space="preserve"> 67% </w:t>
      </w:r>
      <w:r w:rsidRPr="002A26AF">
        <w:t>(</w:t>
      </w:r>
      <w:r w:rsidRPr="002A26AF">
        <w:fldChar w:fldCharType="begin"/>
      </w:r>
      <w:r w:rsidRPr="002A26AF">
        <w:instrText xml:space="preserve"> REF _Ref205204654 \h </w:instrText>
      </w:r>
      <w:r>
        <w:instrText xml:space="preserve"> \* MERGEFORMAT </w:instrText>
      </w:r>
      <w:r w:rsidRPr="002A26AF">
        <w:fldChar w:fldCharType="separate"/>
      </w:r>
      <w:r w:rsidR="003D56F4" w:rsidRPr="002A26AF">
        <w:t xml:space="preserve">Figure </w:t>
      </w:r>
      <w:r w:rsidR="003D56F4">
        <w:t>4</w:t>
      </w:r>
      <w:r w:rsidRPr="002A26AF">
        <w:fldChar w:fldCharType="end"/>
      </w:r>
      <w:r w:rsidRPr="002A26AF">
        <w:t xml:space="preserve">). </w:t>
      </w:r>
    </w:p>
    <w:p w14:paraId="55D9B25C" w14:textId="77777777" w:rsidR="00C56168" w:rsidRPr="002A26AF" w:rsidRDefault="00C56168" w:rsidP="00C56168">
      <w:pPr>
        <w:pStyle w:val="ListBullet"/>
        <w:numPr>
          <w:ilvl w:val="0"/>
          <w:numId w:val="4"/>
        </w:numPr>
      </w:pPr>
      <w:r w:rsidRPr="002A26AF">
        <w:t>Technicians and Trades Workers</w:t>
      </w:r>
      <w:r>
        <w:t>,</w:t>
      </w:r>
      <w:r w:rsidRPr="002A26AF">
        <w:t xml:space="preserve"> </w:t>
      </w:r>
      <w:r>
        <w:t xml:space="preserve">and </w:t>
      </w:r>
      <w:r w:rsidRPr="002A26AF">
        <w:t xml:space="preserve">Community and Personal Service Workers </w:t>
      </w:r>
      <w:r>
        <w:t xml:space="preserve">each had </w:t>
      </w:r>
      <w:proofErr w:type="gramStart"/>
      <w:r>
        <w:t>a large number of</w:t>
      </w:r>
      <w:proofErr w:type="gramEnd"/>
      <w:r>
        <w:t xml:space="preserve"> responses (around 80%) reporting </w:t>
      </w:r>
      <w:r w:rsidRPr="002A26AF">
        <w:t>fill rates</w:t>
      </w:r>
      <w:r>
        <w:t xml:space="preserve"> </w:t>
      </w:r>
      <w:r w:rsidRPr="00C56168">
        <w:t>below</w:t>
      </w:r>
      <w:r>
        <w:t xml:space="preserve"> 67%.</w:t>
      </w:r>
    </w:p>
    <w:p w14:paraId="1B9C5AAD" w14:textId="77777777" w:rsidR="00C56168" w:rsidRDefault="00C56168" w:rsidP="00C56168">
      <w:pPr>
        <w:pStyle w:val="ListBullet"/>
        <w:numPr>
          <w:ilvl w:val="0"/>
          <w:numId w:val="4"/>
        </w:numPr>
      </w:pPr>
      <w:r w:rsidRPr="003B6B77">
        <w:t>Clerical and Administrative Workers</w:t>
      </w:r>
      <w:r>
        <w:t xml:space="preserve"> had</w:t>
      </w:r>
      <w:r w:rsidRPr="003B6B77">
        <w:t xml:space="preserve"> more responses </w:t>
      </w:r>
      <w:r>
        <w:t xml:space="preserve">(55%) that </w:t>
      </w:r>
      <w:r w:rsidRPr="003B6B77">
        <w:t>indicate</w:t>
      </w:r>
      <w:r>
        <w:t>d</w:t>
      </w:r>
      <w:r w:rsidRPr="003B6B77">
        <w:t xml:space="preserve"> fill rates were </w:t>
      </w:r>
      <w:r w:rsidRPr="00C56168">
        <w:t>above</w:t>
      </w:r>
      <w:r>
        <w:t> </w:t>
      </w:r>
      <w:r w:rsidRPr="003B6B77">
        <w:t>67%</w:t>
      </w:r>
      <w:r>
        <w:t xml:space="preserve">. Professionals also had a high share of responses with fill rates </w:t>
      </w:r>
      <w:r w:rsidRPr="00C56168">
        <w:t>above</w:t>
      </w:r>
      <w:r>
        <w:t> </w:t>
      </w:r>
      <w:r w:rsidRPr="003B6B77">
        <w:t>67%</w:t>
      </w:r>
      <w:r>
        <w:t xml:space="preserve"> (44%). </w:t>
      </w:r>
    </w:p>
    <w:p w14:paraId="584F5DDC" w14:textId="02694598" w:rsidR="00C56168" w:rsidRDefault="00C56168" w:rsidP="00C56168">
      <w:pPr>
        <w:pStyle w:val="BodyText"/>
      </w:pPr>
      <w:r>
        <w:t xml:space="preserve">The results in </w:t>
      </w:r>
      <w:r w:rsidRPr="002A26AF">
        <w:fldChar w:fldCharType="begin"/>
      </w:r>
      <w:r w:rsidRPr="002A26AF">
        <w:instrText xml:space="preserve"> REF _Ref205204654 \h </w:instrText>
      </w:r>
      <w:r>
        <w:instrText xml:space="preserve"> \* MERGEFORMAT </w:instrText>
      </w:r>
      <w:r w:rsidRPr="002A26AF">
        <w:fldChar w:fldCharType="separate"/>
      </w:r>
      <w:r w:rsidR="003D56F4" w:rsidRPr="002A26AF">
        <w:t xml:space="preserve">Figure </w:t>
      </w:r>
      <w:r w:rsidR="003D56F4">
        <w:t>4</w:t>
      </w:r>
      <w:r w:rsidRPr="002A26AF">
        <w:fldChar w:fldCharType="end"/>
      </w:r>
      <w:r>
        <w:t xml:space="preserve"> should be interpreted with caution. These counts do not distinguish between geographic granularity of responses. For example, a response for regional Western Australia was considered equivalent to a single response for </w:t>
      </w:r>
      <w:proofErr w:type="gramStart"/>
      <w:r>
        <w:t>all of</w:t>
      </w:r>
      <w:proofErr w:type="gramEnd"/>
      <w:r>
        <w:t xml:space="preserve"> South Australia, Tasmania and Northern Territory combined. Aggregation of responses in this manner was undertaken to overcome data paucity, where for many occupations, there were only 1 or 2 responses.</w:t>
      </w:r>
      <w:r>
        <w:rPr>
          <w:rStyle w:val="CommentReference"/>
        </w:rPr>
        <w:t xml:space="preserve"> </w:t>
      </w:r>
    </w:p>
    <w:p w14:paraId="77D0B7E8" w14:textId="77777777" w:rsidR="00C56168" w:rsidRPr="008E30DA" w:rsidRDefault="00C56168" w:rsidP="00C56168">
      <w:pPr>
        <w:pStyle w:val="ListBullet"/>
        <w:numPr>
          <w:ilvl w:val="0"/>
          <w:numId w:val="4"/>
        </w:numPr>
      </w:pPr>
      <w:r w:rsidRPr="002A26AF">
        <w:br w:type="page"/>
      </w:r>
    </w:p>
    <w:p w14:paraId="1D2C2A35" w14:textId="0E7322BC" w:rsidR="00C56168" w:rsidRPr="002A26AF" w:rsidRDefault="00C56168" w:rsidP="00C56168">
      <w:pPr>
        <w:pStyle w:val="Caption"/>
      </w:pPr>
      <w:bookmarkStart w:id="33" w:name="_Ref205204654"/>
      <w:bookmarkStart w:id="34" w:name="_Toc211347090"/>
      <w:r w:rsidRPr="002A26AF">
        <w:lastRenderedPageBreak/>
        <w:t xml:space="preserve">Figure </w:t>
      </w:r>
      <w:r w:rsidRPr="002A26AF">
        <w:fldChar w:fldCharType="begin"/>
      </w:r>
      <w:r w:rsidRPr="002A26AF">
        <w:instrText xml:space="preserve"> SEQ Figure \* ARABIC </w:instrText>
      </w:r>
      <w:r w:rsidRPr="002A26AF">
        <w:fldChar w:fldCharType="separate"/>
      </w:r>
      <w:r w:rsidR="003D56F4">
        <w:rPr>
          <w:noProof/>
        </w:rPr>
        <w:t>4</w:t>
      </w:r>
      <w:r w:rsidRPr="002A26AF">
        <w:fldChar w:fldCharType="end"/>
      </w:r>
      <w:bookmarkEnd w:id="33"/>
      <w:r w:rsidRPr="002A26AF">
        <w:t>: Number of responses indicating fill rates either above or below 67%, by major group</w:t>
      </w:r>
      <w:bookmarkEnd w:id="34"/>
    </w:p>
    <w:p w14:paraId="425BEE86" w14:textId="77777777" w:rsidR="00C56168" w:rsidRPr="002A26AF" w:rsidRDefault="00C56168" w:rsidP="00C56168">
      <w:pPr>
        <w:pStyle w:val="Source"/>
      </w:pPr>
      <w:r w:rsidRPr="00C56168">
        <w:rPr>
          <w:noProof/>
        </w:rPr>
        <w:drawing>
          <wp:inline distT="0" distB="0" distL="0" distR="0" wp14:anchorId="19249016" wp14:editId="2D148457">
            <wp:extent cx="5732145" cy="2836545"/>
            <wp:effectExtent l="0" t="0" r="1905" b="1905"/>
            <wp:docPr id="548902267" name="Chart 1" descr="This bar chart visualises the surrounding text. It has the number of responses for each major group indicating vacancy fill rates are either above or below 67%. &#10;&#10;All major groups have a higher number of responses indicating low fill rates except for Clerical and Administrative Workers major group.">
              <a:extLst xmlns:a="http://schemas.openxmlformats.org/drawingml/2006/main">
                <a:ext uri="{FF2B5EF4-FFF2-40B4-BE49-F238E27FC236}">
                  <a16:creationId xmlns:a16="http://schemas.microsoft.com/office/drawing/2014/main" id="{C215F716-9222-4995-89D0-A303B8F33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C56168" w:rsidDel="00D74E9D">
        <w:t xml:space="preserve"> </w:t>
      </w:r>
      <w:r>
        <w:br/>
      </w:r>
      <w:r w:rsidRPr="002A26AF">
        <w:t>Source: Jobs and Skills Australia, 2025 Occupation Shortage List Stakeholder Survey.</w:t>
      </w:r>
    </w:p>
    <w:p w14:paraId="5BDA5827" w14:textId="6BDA9906" w:rsidR="00C56168" w:rsidRPr="002A26AF" w:rsidRDefault="00C56168" w:rsidP="00C56168">
      <w:pPr>
        <w:pStyle w:val="Heading2"/>
      </w:pPr>
      <w:bookmarkStart w:id="35" w:name="_Toc211347078"/>
      <w:r w:rsidRPr="002A26AF">
        <w:t>Vacancies filled by jurisdiction</w:t>
      </w:r>
      <w:bookmarkEnd w:id="35"/>
    </w:p>
    <w:p w14:paraId="6274C953" w14:textId="0E6D919C" w:rsidR="00C56168" w:rsidRPr="00E1026F" w:rsidRDefault="00C56168" w:rsidP="00E1026F">
      <w:pPr>
        <w:pStyle w:val="BodyText"/>
      </w:pPr>
      <w:r w:rsidRPr="00E1026F">
        <w:t>Based on states and territories that participants responded for (</w:t>
      </w:r>
      <w:r w:rsidR="00A224A9">
        <w:fldChar w:fldCharType="begin"/>
      </w:r>
      <w:r w:rsidR="00A224A9">
        <w:instrText xml:space="preserve"> REF _Ref211346323 \h </w:instrText>
      </w:r>
      <w:r w:rsidR="00A224A9">
        <w:fldChar w:fldCharType="separate"/>
      </w:r>
      <w:r w:rsidR="003D56F4" w:rsidRPr="002A26AF">
        <w:t xml:space="preserve">Figure </w:t>
      </w:r>
      <w:r w:rsidR="003D56F4">
        <w:rPr>
          <w:noProof/>
        </w:rPr>
        <w:t>5</w:t>
      </w:r>
      <w:r w:rsidR="00A224A9">
        <w:fldChar w:fldCharType="end"/>
      </w:r>
      <w:r w:rsidRPr="00E1026F">
        <w:t>):</w:t>
      </w:r>
    </w:p>
    <w:p w14:paraId="355C6A57" w14:textId="77777777" w:rsidR="00C56168" w:rsidRPr="002A26AF" w:rsidRDefault="00C56168" w:rsidP="00C56168">
      <w:pPr>
        <w:pStyle w:val="ListBullet"/>
        <w:numPr>
          <w:ilvl w:val="0"/>
          <w:numId w:val="4"/>
        </w:numPr>
      </w:pPr>
      <w:r w:rsidRPr="002A26AF">
        <w:t xml:space="preserve">Queensland </w:t>
      </w:r>
      <w:r>
        <w:t>had</w:t>
      </w:r>
      <w:r w:rsidRPr="002A26AF">
        <w:t xml:space="preserve"> the highest </w:t>
      </w:r>
      <w:r>
        <w:t xml:space="preserve">percentage </w:t>
      </w:r>
      <w:r w:rsidRPr="002A26AF">
        <w:t xml:space="preserve">of responses </w:t>
      </w:r>
      <w:r>
        <w:t>for</w:t>
      </w:r>
      <w:r w:rsidRPr="002A26AF">
        <w:t xml:space="preserve"> </w:t>
      </w:r>
      <w:r w:rsidRPr="00C56168">
        <w:t>'Very low</w:t>
      </w:r>
      <w:r>
        <w:t xml:space="preserve"> proportion of vacancies filled</w:t>
      </w:r>
      <w:r w:rsidRPr="002A26AF">
        <w:t>' (34%), followed by South Australia and New South Wales (both at 32%).</w:t>
      </w:r>
    </w:p>
    <w:p w14:paraId="356868BE" w14:textId="77777777" w:rsidR="00C56168" w:rsidRPr="002A26AF" w:rsidRDefault="00C56168" w:rsidP="00C56168">
      <w:pPr>
        <w:pStyle w:val="ListBullet"/>
        <w:numPr>
          <w:ilvl w:val="0"/>
          <w:numId w:val="4"/>
        </w:numPr>
      </w:pPr>
      <w:r w:rsidRPr="002A26AF">
        <w:t xml:space="preserve">Australian Capital Territory, Northern Territory and Tasmania had </w:t>
      </w:r>
      <w:r>
        <w:t xml:space="preserve">the lowest </w:t>
      </w:r>
      <w:r w:rsidRPr="002A26AF">
        <w:t>p</w:t>
      </w:r>
      <w:r>
        <w:t xml:space="preserve">ercentages of responses </w:t>
      </w:r>
      <w:r w:rsidRPr="002A26AF">
        <w:t xml:space="preserve">in </w:t>
      </w:r>
      <w:r>
        <w:t>the ‘</w:t>
      </w:r>
      <w:r w:rsidRPr="00C56168">
        <w:t>Very low</w:t>
      </w:r>
      <w:r>
        <w:t xml:space="preserve">’ </w:t>
      </w:r>
      <w:r w:rsidRPr="002A26AF">
        <w:t xml:space="preserve">category, ranging from 24% to 27%. </w:t>
      </w:r>
    </w:p>
    <w:p w14:paraId="01871266" w14:textId="77777777" w:rsidR="00C56168" w:rsidRPr="00C56168" w:rsidRDefault="00C56168" w:rsidP="00C56168">
      <w:pPr>
        <w:pStyle w:val="ListBullet"/>
      </w:pPr>
      <w:r>
        <w:t>T</w:t>
      </w:r>
      <w:r w:rsidRPr="00C56168">
        <w:t xml:space="preserve">here was less variation in the percentage of responses for the ‘Low’ and ‘Moderate’ categories. For each said category, only 6 percentage points separated the jurisdiction with the lowest percentage and that with the highest. The percent of responses in the ‘High’ category was around 20% for all jurisdictions. </w:t>
      </w:r>
    </w:p>
    <w:p w14:paraId="35D99092" w14:textId="77777777" w:rsidR="00C56168" w:rsidRPr="00C56168" w:rsidRDefault="00C56168" w:rsidP="00C56168">
      <w:pPr>
        <w:pStyle w:val="ListBullet"/>
      </w:pPr>
      <w:r>
        <w:t>Except for</w:t>
      </w:r>
      <w:r w:rsidRPr="00C56168">
        <w:t xml:space="preserve"> ‘Very low’ responses, the results suggest that recruitment experiences may be similar across the states and territories. </w:t>
      </w:r>
    </w:p>
    <w:p w14:paraId="768C0FBF" w14:textId="77777777" w:rsidR="00C56168" w:rsidRPr="00C56168" w:rsidRDefault="00C56168" w:rsidP="00C56168">
      <w:bookmarkStart w:id="36" w:name="_Ref205215007"/>
      <w:r>
        <w:br w:type="page"/>
      </w:r>
    </w:p>
    <w:p w14:paraId="76450E77" w14:textId="4C3E1BA5" w:rsidR="00C56168" w:rsidRPr="00C56168" w:rsidRDefault="00C56168" w:rsidP="00C56168">
      <w:pPr>
        <w:pStyle w:val="Caption"/>
      </w:pPr>
      <w:bookmarkStart w:id="37" w:name="_Ref211346323"/>
      <w:bookmarkStart w:id="38" w:name="_Toc211347091"/>
      <w:r w:rsidRPr="002A26AF">
        <w:lastRenderedPageBreak/>
        <w:t xml:space="preserve">Figure </w:t>
      </w:r>
      <w:r w:rsidRPr="00C56168">
        <w:fldChar w:fldCharType="begin"/>
      </w:r>
      <w:r w:rsidRPr="00C56168">
        <w:instrText xml:space="preserve"> SEQ Figure \* ARABIC </w:instrText>
      </w:r>
      <w:r w:rsidRPr="00C56168">
        <w:fldChar w:fldCharType="separate"/>
      </w:r>
      <w:r w:rsidR="003D56F4">
        <w:rPr>
          <w:noProof/>
        </w:rPr>
        <w:t>5</w:t>
      </w:r>
      <w:r w:rsidRPr="00C56168">
        <w:fldChar w:fldCharType="end"/>
      </w:r>
      <w:bookmarkEnd w:id="36"/>
      <w:bookmarkEnd w:id="37"/>
      <w:r w:rsidRPr="00C56168">
        <w:t>: Responses reporting proportion of vacancies filled (%), by states and territories</w:t>
      </w:r>
      <w:r w:rsidR="00465255">
        <w:rPr>
          <w:rStyle w:val="FootnoteReference"/>
        </w:rPr>
        <w:footnoteReference w:id="14"/>
      </w:r>
      <w:bookmarkEnd w:id="38"/>
    </w:p>
    <w:p w14:paraId="5248E3A4" w14:textId="77777777" w:rsidR="00C56168" w:rsidRPr="002A26AF" w:rsidRDefault="00C56168" w:rsidP="00C56168">
      <w:pPr>
        <w:pStyle w:val="Source"/>
      </w:pPr>
      <w:r w:rsidRPr="00C56168">
        <w:rPr>
          <w:noProof/>
        </w:rPr>
        <w:drawing>
          <wp:inline distT="0" distB="0" distL="0" distR="0" wp14:anchorId="7FC152BD" wp14:editId="0222B9BD">
            <wp:extent cx="5732145" cy="2808000"/>
            <wp:effectExtent l="0" t="0" r="1905" b="0"/>
            <wp:docPr id="1873721763" name="Chart 1" descr="This stacked bar chart visualises the surrounding text. It has jurisdictions (and total) on the y axis and percentage on the x axis. It shows the distribution of responses by the proportion of vacancies filled: very low, low, moderate, or high.">
              <a:extLst xmlns:a="http://schemas.openxmlformats.org/drawingml/2006/main">
                <a:ext uri="{FF2B5EF4-FFF2-40B4-BE49-F238E27FC236}">
                  <a16:creationId xmlns:a16="http://schemas.microsoft.com/office/drawing/2014/main" id="{43DD3403-7162-9044-60C8-9F08FAED4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br/>
      </w:r>
      <w:r w:rsidRPr="002A26AF">
        <w:t>Source: Jobs and Skills Australia, 2025 Occupation Shortage List Stakeholder Survey.</w:t>
      </w:r>
    </w:p>
    <w:p w14:paraId="5151E085" w14:textId="4E9DA0B1" w:rsidR="00C56168" w:rsidRPr="002A26AF" w:rsidRDefault="00C56168" w:rsidP="00C56168">
      <w:pPr>
        <w:pStyle w:val="Heading2"/>
      </w:pPr>
      <w:bookmarkStart w:id="39" w:name="_Toc211347079"/>
      <w:r w:rsidRPr="002A26AF">
        <w:t>Vacancies filled by locality</w:t>
      </w:r>
      <w:bookmarkEnd w:id="39"/>
    </w:p>
    <w:p w14:paraId="4D1F3544" w14:textId="27B72D98" w:rsidR="00C56168" w:rsidRPr="002A26AF" w:rsidRDefault="00C56168" w:rsidP="00C56168">
      <w:pPr>
        <w:pStyle w:val="BodyText"/>
      </w:pPr>
      <w:r>
        <w:t xml:space="preserve">Though similar, </w:t>
      </w:r>
      <w:r w:rsidRPr="00BA040E">
        <w:t>r</w:t>
      </w:r>
      <w:r>
        <w:t xml:space="preserve">esponses indicated that combined </w:t>
      </w:r>
      <w:r w:rsidRPr="00C56168">
        <w:t xml:space="preserve">very low </w:t>
      </w:r>
      <w:r w:rsidRPr="00493BC9">
        <w:t>and</w:t>
      </w:r>
      <w:r w:rsidRPr="00C56168">
        <w:t xml:space="preserve"> low </w:t>
      </w:r>
      <w:r w:rsidRPr="00493BC9">
        <w:t>propo</w:t>
      </w:r>
      <w:r>
        <w:t>r</w:t>
      </w:r>
      <w:r w:rsidRPr="00493BC9">
        <w:t>tion</w:t>
      </w:r>
      <w:r>
        <w:t>s</w:t>
      </w:r>
      <w:r w:rsidRPr="00493BC9">
        <w:t xml:space="preserve"> of vacancies filled</w:t>
      </w:r>
      <w:r w:rsidRPr="00C56168">
        <w:t xml:space="preserve"> </w:t>
      </w:r>
      <w:r>
        <w:t xml:space="preserve">were slightly higher in regional areas (62%) compared with metropolitan areas (60%) </w:t>
      </w:r>
      <w:r w:rsidRPr="002A26AF">
        <w:t>(</w:t>
      </w:r>
      <w:r w:rsidRPr="002A26AF">
        <w:fldChar w:fldCharType="begin"/>
      </w:r>
      <w:r w:rsidRPr="002A26AF">
        <w:instrText xml:space="preserve"> REF _Ref205215154 \h </w:instrText>
      </w:r>
      <w:r>
        <w:instrText xml:space="preserve"> \* MERGEFORMAT </w:instrText>
      </w:r>
      <w:r w:rsidRPr="002A26AF">
        <w:fldChar w:fldCharType="separate"/>
      </w:r>
      <w:r w:rsidR="003D56F4" w:rsidRPr="002A26AF">
        <w:t xml:space="preserve">Figure </w:t>
      </w:r>
      <w:r w:rsidR="003D56F4">
        <w:t>6</w:t>
      </w:r>
      <w:r w:rsidRPr="002A26AF">
        <w:fldChar w:fldCharType="end"/>
      </w:r>
      <w:r w:rsidRPr="002A26AF">
        <w:t>)</w:t>
      </w:r>
      <w:r>
        <w:t xml:space="preserve">. </w:t>
      </w:r>
      <w:r w:rsidRPr="002A26AF">
        <w:t>Th</w:t>
      </w:r>
      <w:r>
        <w:t>is</w:t>
      </w:r>
      <w:r w:rsidRPr="002A26AF">
        <w:t xml:space="preserve"> result </w:t>
      </w:r>
      <w:r>
        <w:t xml:space="preserve">is </w:t>
      </w:r>
      <w:r w:rsidRPr="002A26AF">
        <w:t>consistent with other Jobs and Skills Australia analys</w:t>
      </w:r>
      <w:r>
        <w:t>e</w:t>
      </w:r>
      <w:r w:rsidRPr="002A26AF">
        <w:t xml:space="preserve">s </w:t>
      </w:r>
      <w:r>
        <w:t>which</w:t>
      </w:r>
      <w:r w:rsidRPr="002A26AF">
        <w:t xml:space="preserve"> show that recruitment challenges are more pronounced in regional areas.</w:t>
      </w:r>
    </w:p>
    <w:p w14:paraId="414B6192" w14:textId="210BCF02" w:rsidR="00C56168" w:rsidRPr="00C56168" w:rsidRDefault="00C56168" w:rsidP="00C56168">
      <w:pPr>
        <w:pStyle w:val="Caption"/>
      </w:pPr>
      <w:bookmarkStart w:id="40" w:name="_Ref205215154"/>
      <w:bookmarkStart w:id="41" w:name="_Toc211347092"/>
      <w:r w:rsidRPr="002A26AF">
        <w:t xml:space="preserve">Figure </w:t>
      </w:r>
      <w:r w:rsidRPr="00C56168">
        <w:fldChar w:fldCharType="begin"/>
      </w:r>
      <w:r w:rsidRPr="00C56168">
        <w:instrText xml:space="preserve"> SEQ Figure \* ARABIC </w:instrText>
      </w:r>
      <w:r w:rsidRPr="00C56168">
        <w:fldChar w:fldCharType="separate"/>
      </w:r>
      <w:r w:rsidR="003D56F4">
        <w:rPr>
          <w:noProof/>
        </w:rPr>
        <w:t>6</w:t>
      </w:r>
      <w:r w:rsidRPr="00C56168">
        <w:fldChar w:fldCharType="end"/>
      </w:r>
      <w:bookmarkEnd w:id="40"/>
      <w:r w:rsidRPr="00C56168">
        <w:t>: Proportion of vacancies filled (%), by locality</w:t>
      </w:r>
      <w:r w:rsidR="00FE6A42">
        <w:rPr>
          <w:rStyle w:val="FootnoteReference"/>
        </w:rPr>
        <w:footnoteReference w:id="15"/>
      </w:r>
      <w:bookmarkEnd w:id="41"/>
    </w:p>
    <w:p w14:paraId="03EAFF26" w14:textId="77777777" w:rsidR="00C56168" w:rsidRPr="002A26AF" w:rsidRDefault="00C56168" w:rsidP="00C56168">
      <w:pPr>
        <w:pStyle w:val="Source"/>
      </w:pPr>
      <w:r w:rsidRPr="00C56168">
        <w:rPr>
          <w:noProof/>
        </w:rPr>
        <w:drawing>
          <wp:inline distT="0" distB="0" distL="0" distR="0" wp14:anchorId="52B2D064" wp14:editId="1BE27759">
            <wp:extent cx="5731200" cy="2808000"/>
            <wp:effectExtent l="0" t="0" r="3175" b="0"/>
            <wp:docPr id="646506099" name="Chart 1" descr="This stacked bar chart visualises the surrounding text. It has localities (metropolitan, regional and both) on the y axis and percentage on the x axis. It shows the distribution of responses by the proportion of vacancies filled: very low, low, moderate, or high.">
              <a:extLst xmlns:a="http://schemas.openxmlformats.org/drawingml/2006/main">
                <a:ext uri="{FF2B5EF4-FFF2-40B4-BE49-F238E27FC236}">
                  <a16:creationId xmlns:a16="http://schemas.microsoft.com/office/drawing/2014/main" id="{1D691618-362D-4CD1-BF45-648E5821C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br/>
      </w:r>
      <w:r w:rsidRPr="002A26AF">
        <w:t>Source: Jobs and Skills Australia, 2024 Occupation Shortage List Stakeholder Survey.</w:t>
      </w:r>
    </w:p>
    <w:p w14:paraId="694B17DD" w14:textId="77777777" w:rsidR="00C56168" w:rsidRPr="00C56168" w:rsidRDefault="00C56168" w:rsidP="00C56168">
      <w:r>
        <w:br w:type="page"/>
      </w:r>
    </w:p>
    <w:p w14:paraId="00DF68EF" w14:textId="476C9554" w:rsidR="00C56168" w:rsidRPr="002A26AF" w:rsidRDefault="00C56168" w:rsidP="00C56168">
      <w:pPr>
        <w:pStyle w:val="Heading1"/>
      </w:pPr>
      <w:bookmarkStart w:id="42" w:name="_Toc211347080"/>
      <w:r w:rsidRPr="002A26AF">
        <w:lastRenderedPageBreak/>
        <w:t xml:space="preserve">Supply of suitable </w:t>
      </w:r>
      <w:r>
        <w:t>workers</w:t>
      </w:r>
      <w:bookmarkEnd w:id="42"/>
      <w:r>
        <w:t xml:space="preserve"> </w:t>
      </w:r>
    </w:p>
    <w:p w14:paraId="15C93EAA" w14:textId="4F0B981A" w:rsidR="00C56168" w:rsidRPr="00C56168" w:rsidRDefault="00C56168" w:rsidP="00C56168">
      <w:pPr>
        <w:pStyle w:val="BodyText"/>
      </w:pPr>
      <w:r w:rsidRPr="002A26AF">
        <w:t xml:space="preserve">The </w:t>
      </w:r>
      <w:r>
        <w:t>s</w:t>
      </w:r>
      <w:r w:rsidRPr="002A26AF">
        <w:t xml:space="preserve">urvey </w:t>
      </w:r>
      <w:r>
        <w:t xml:space="preserve">included </w:t>
      </w:r>
      <w:r w:rsidRPr="002A26AF">
        <w:t xml:space="preserve">questions on the supply of </w:t>
      </w:r>
      <w:r>
        <w:t xml:space="preserve">suitably skilled workers </w:t>
      </w:r>
      <w:r w:rsidRPr="002A26AF">
        <w:t>(</w:t>
      </w:r>
      <w:r w:rsidRPr="002A26AF">
        <w:fldChar w:fldCharType="begin"/>
      </w:r>
      <w:r w:rsidRPr="002A26AF">
        <w:instrText xml:space="preserve"> REF _Ref205215474 \h </w:instrText>
      </w:r>
      <w:r>
        <w:instrText xml:space="preserve"> \* MERGEFORMAT </w:instrText>
      </w:r>
      <w:r w:rsidRPr="002A26AF">
        <w:fldChar w:fldCharType="separate"/>
      </w:r>
      <w:r w:rsidR="003D56F4" w:rsidRPr="008B760D">
        <w:t xml:space="preserve">Figure </w:t>
      </w:r>
      <w:r w:rsidR="003D56F4">
        <w:t>7</w:t>
      </w:r>
      <w:r w:rsidRPr="002A26AF">
        <w:fldChar w:fldCharType="end"/>
      </w:r>
      <w:r w:rsidRPr="002A26AF">
        <w:t>).</w:t>
      </w:r>
    </w:p>
    <w:p w14:paraId="6475CF2E" w14:textId="77777777" w:rsidR="00C56168" w:rsidRPr="002A26AF" w:rsidRDefault="00C56168" w:rsidP="00C56168">
      <w:pPr>
        <w:pStyle w:val="ListBullet"/>
        <w:numPr>
          <w:ilvl w:val="0"/>
          <w:numId w:val="4"/>
        </w:numPr>
      </w:pPr>
      <w:r w:rsidRPr="002A26AF">
        <w:t>Most responses</w:t>
      </w:r>
      <w:r>
        <w:t xml:space="preserve"> (84%)</w:t>
      </w:r>
      <w:r w:rsidRPr="002A26AF">
        <w:t xml:space="preserve"> reported a </w:t>
      </w:r>
      <w:r w:rsidRPr="00C56168">
        <w:t>severe undersupply</w:t>
      </w:r>
      <w:r w:rsidRPr="002A26AF">
        <w:t xml:space="preserve"> or </w:t>
      </w:r>
      <w:r w:rsidRPr="00C56168">
        <w:t>undersupply</w:t>
      </w:r>
      <w:r w:rsidRPr="002A26AF">
        <w:t xml:space="preserve"> of ‘suitably skilled workers’ across all major groups. </w:t>
      </w:r>
    </w:p>
    <w:p w14:paraId="169A11BC" w14:textId="77777777" w:rsidR="00C56168" w:rsidRPr="002A26AF" w:rsidRDefault="00C56168" w:rsidP="00C56168">
      <w:pPr>
        <w:pStyle w:val="ListBullet"/>
        <w:numPr>
          <w:ilvl w:val="0"/>
          <w:numId w:val="4"/>
        </w:numPr>
      </w:pPr>
      <w:r w:rsidRPr="00C56168">
        <w:t>Severe undersupply</w:t>
      </w:r>
      <w:r w:rsidRPr="002A26AF">
        <w:t xml:space="preserve"> was particularly evident in the Labourers (72%) </w:t>
      </w:r>
      <w:r>
        <w:t xml:space="preserve">and </w:t>
      </w:r>
      <w:r w:rsidRPr="002A26AF">
        <w:t>Technicians and Trades Workers (62%) major groups.</w:t>
      </w:r>
    </w:p>
    <w:p w14:paraId="2FA71863" w14:textId="77777777" w:rsidR="00C56168" w:rsidRPr="002A26AF" w:rsidRDefault="00C56168" w:rsidP="00C56168">
      <w:pPr>
        <w:pStyle w:val="ListBullet"/>
        <w:numPr>
          <w:ilvl w:val="0"/>
          <w:numId w:val="4"/>
        </w:numPr>
      </w:pPr>
      <w:r w:rsidRPr="002A26AF">
        <w:t xml:space="preserve">The Professionals major group recorded the lowest </w:t>
      </w:r>
      <w:r>
        <w:t xml:space="preserve">percentage </w:t>
      </w:r>
      <w:r w:rsidRPr="002A26AF">
        <w:t xml:space="preserve">of responses </w:t>
      </w:r>
      <w:r>
        <w:t xml:space="preserve">with </w:t>
      </w:r>
      <w:r w:rsidRPr="00C56168">
        <w:t>severe undersupply</w:t>
      </w:r>
      <w:r w:rsidRPr="002A26AF">
        <w:t xml:space="preserve"> (34%), </w:t>
      </w:r>
      <w:r>
        <w:t xml:space="preserve">well </w:t>
      </w:r>
      <w:r w:rsidRPr="002A26AF">
        <w:t xml:space="preserve">below the overall </w:t>
      </w:r>
      <w:r>
        <w:t>figure</w:t>
      </w:r>
      <w:r w:rsidRPr="002A26AF">
        <w:t xml:space="preserve"> of 49%</w:t>
      </w:r>
      <w:r>
        <w:t xml:space="preserve">. It also had the highest percentage of responses indicating there was an </w:t>
      </w:r>
      <w:r w:rsidRPr="00C56168">
        <w:t>oversupply</w:t>
      </w:r>
      <w:r>
        <w:t xml:space="preserve"> (17%). </w:t>
      </w:r>
    </w:p>
    <w:p w14:paraId="385F658F" w14:textId="77777777" w:rsidR="00C56168" w:rsidRPr="002A26AF" w:rsidRDefault="00C56168" w:rsidP="00C56168">
      <w:pPr>
        <w:pStyle w:val="ListBullet"/>
        <w:numPr>
          <w:ilvl w:val="0"/>
          <w:numId w:val="4"/>
        </w:numPr>
      </w:pPr>
      <w:r>
        <w:t xml:space="preserve">All other major groups had few responses indicating </w:t>
      </w:r>
      <w:r w:rsidRPr="00C56168">
        <w:t>oversupply</w:t>
      </w:r>
      <w:r>
        <w:t xml:space="preserve">, especially those with a high concentration of skill level 3 or 4 occupations. </w:t>
      </w:r>
      <w:r w:rsidRPr="002A26AF">
        <w:t xml:space="preserve">This contrast in levels of supply may reflect </w:t>
      </w:r>
      <w:r>
        <w:t xml:space="preserve">that </w:t>
      </w:r>
      <w:r w:rsidRPr="002A26AF">
        <w:t xml:space="preserve">certain high-skill sectors </w:t>
      </w:r>
      <w:r>
        <w:t xml:space="preserve">of the labour market </w:t>
      </w:r>
      <w:r w:rsidRPr="002A26AF">
        <w:t xml:space="preserve">may be experiencing saturation compared to </w:t>
      </w:r>
      <w:r>
        <w:t xml:space="preserve">sectors with high shares of </w:t>
      </w:r>
      <w:r w:rsidRPr="002A26AF">
        <w:t xml:space="preserve">skill </w:t>
      </w:r>
      <w:r>
        <w:t>level 3 or 4 occupations.</w:t>
      </w:r>
    </w:p>
    <w:p w14:paraId="3EC7DF63" w14:textId="1D89531B" w:rsidR="00C56168" w:rsidRPr="008B760D" w:rsidRDefault="00C56168" w:rsidP="008B760D">
      <w:pPr>
        <w:pStyle w:val="Caption"/>
      </w:pPr>
      <w:bookmarkStart w:id="43" w:name="_Ref205215474"/>
      <w:bookmarkStart w:id="44" w:name="_Toc211347093"/>
      <w:r w:rsidRPr="008B760D">
        <w:t xml:space="preserve">Figure </w:t>
      </w:r>
      <w:r w:rsidRPr="008B760D">
        <w:fldChar w:fldCharType="begin"/>
      </w:r>
      <w:r w:rsidRPr="008B760D">
        <w:instrText xml:space="preserve"> SEQ Figure \* ARABIC </w:instrText>
      </w:r>
      <w:r w:rsidRPr="008B760D">
        <w:fldChar w:fldCharType="separate"/>
      </w:r>
      <w:r w:rsidR="003D56F4">
        <w:rPr>
          <w:noProof/>
        </w:rPr>
        <w:t>7</w:t>
      </w:r>
      <w:r w:rsidRPr="008B760D">
        <w:fldChar w:fldCharType="end"/>
      </w:r>
      <w:bookmarkEnd w:id="43"/>
      <w:r w:rsidRPr="008B760D">
        <w:t>: Reported supply of skills (%), by major group</w:t>
      </w:r>
      <w:r w:rsidR="009467B2" w:rsidRPr="002A26AF">
        <w:rPr>
          <w:rStyle w:val="FootnoteReference"/>
        </w:rPr>
        <w:footnoteReference w:id="16"/>
      </w:r>
      <w:r w:rsidR="009467B2" w:rsidRPr="009467B2">
        <w:rPr>
          <w:rStyle w:val="Charactersuperscript"/>
        </w:rPr>
        <w:t>,</w:t>
      </w:r>
      <w:r w:rsidR="009467B2">
        <w:rPr>
          <w:rStyle w:val="Charactersuperscript"/>
        </w:rPr>
        <w:t xml:space="preserve"> </w:t>
      </w:r>
      <w:r w:rsidRPr="008B760D">
        <w:rPr>
          <w:rStyle w:val="Charactersuperscript"/>
        </w:rPr>
        <w:footnoteReference w:id="17"/>
      </w:r>
      <w:bookmarkEnd w:id="44"/>
      <w:r w:rsidR="00CC6563">
        <w:t xml:space="preserve"> </w:t>
      </w:r>
    </w:p>
    <w:p w14:paraId="14D1BAE6" w14:textId="77777777" w:rsidR="00C56168" w:rsidRPr="002A26AF" w:rsidRDefault="00C56168" w:rsidP="00C56168">
      <w:pPr>
        <w:pStyle w:val="Source"/>
      </w:pPr>
      <w:r w:rsidRPr="00C56168">
        <w:rPr>
          <w:noProof/>
        </w:rPr>
        <w:drawing>
          <wp:inline distT="0" distB="0" distL="0" distR="0" wp14:anchorId="3ACC100F" wp14:editId="0E8DB37C">
            <wp:extent cx="5732145" cy="2808000"/>
            <wp:effectExtent l="0" t="0" r="1905" b="0"/>
            <wp:docPr id="1447807286" name="Chart 1" descr="This stacked bar chart visualises the surrounding text. It has major groups (and total) on the y axis and percentage on the x axis. It shows the distribution of responses by the supply of workers: severe undersupply, undersupply, about right, oversupply.">
              <a:extLst xmlns:a="http://schemas.openxmlformats.org/drawingml/2006/main">
                <a:ext uri="{FF2B5EF4-FFF2-40B4-BE49-F238E27FC236}">
                  <a16:creationId xmlns:a16="http://schemas.microsoft.com/office/drawing/2014/main" id="{A43A729C-BBBC-95E6-A3B3-B9EC1C1946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br/>
      </w:r>
      <w:r w:rsidRPr="002A26AF">
        <w:t>Source: Jobs and Skills Australia, 2025 Occupation Shortage List Stakeholder Survey.</w:t>
      </w:r>
      <w:r>
        <w:br/>
      </w:r>
      <w:r w:rsidRPr="002A26AF">
        <w:t xml:space="preserve">Note: No responses indicated that there was an oversupply of skills for occupations within the </w:t>
      </w:r>
      <w:r>
        <w:t xml:space="preserve">Machinery Operators and Drivers, </w:t>
      </w:r>
      <w:r w:rsidRPr="002A26AF">
        <w:t>Sales Workers, and Labourers major groups.</w:t>
      </w:r>
    </w:p>
    <w:p w14:paraId="46B60F3D" w14:textId="77777777" w:rsidR="00C56168" w:rsidRDefault="00C56168">
      <w:pPr>
        <w:spacing w:before="0" w:after="200" w:line="276" w:lineRule="auto"/>
        <w:rPr>
          <w:rFonts w:eastAsia="Times New Roman" w:cs="Arial"/>
          <w:b/>
          <w:bCs/>
          <w:color w:val="4B0985"/>
          <w:sz w:val="48"/>
          <w:szCs w:val="32"/>
          <w:lang w:eastAsia="en-AU"/>
        </w:rPr>
      </w:pPr>
      <w:r>
        <w:br w:type="page"/>
      </w:r>
    </w:p>
    <w:p w14:paraId="4CFBCC8A" w14:textId="77CDA053" w:rsidR="00C56168" w:rsidRPr="002A26AF" w:rsidRDefault="00C56168" w:rsidP="00C56168">
      <w:pPr>
        <w:pStyle w:val="Heading1"/>
      </w:pPr>
      <w:bookmarkStart w:id="45" w:name="_Toc211347081"/>
      <w:r>
        <w:lastRenderedPageBreak/>
        <w:t>D</w:t>
      </w:r>
      <w:r w:rsidRPr="002A26AF">
        <w:t xml:space="preserve">emand for </w:t>
      </w:r>
      <w:r>
        <w:t>skilled labour</w:t>
      </w:r>
      <w:bookmarkEnd w:id="45"/>
    </w:p>
    <w:p w14:paraId="72E2B2CE" w14:textId="767E208A" w:rsidR="00C56168" w:rsidRPr="002A26AF" w:rsidRDefault="00C56168" w:rsidP="00C56168">
      <w:pPr>
        <w:pStyle w:val="BodyText"/>
      </w:pPr>
      <w:r w:rsidRPr="002A26AF">
        <w:t xml:space="preserve">The </w:t>
      </w:r>
      <w:r>
        <w:t>s</w:t>
      </w:r>
      <w:r w:rsidRPr="002A26AF">
        <w:t xml:space="preserve">urvey results show </w:t>
      </w:r>
      <w:r w:rsidRPr="00C56168">
        <w:t xml:space="preserve">varying levels of skill demand across the major groups </w:t>
      </w:r>
      <w:r w:rsidRPr="002A26AF">
        <w:t>(</w:t>
      </w:r>
      <w:r w:rsidRPr="002A26AF">
        <w:fldChar w:fldCharType="begin"/>
      </w:r>
      <w:r w:rsidRPr="002A26AF">
        <w:instrText xml:space="preserve"> REF _Ref205215643 \h </w:instrText>
      </w:r>
      <w:r>
        <w:instrText xml:space="preserve"> \* MERGEFORMAT </w:instrText>
      </w:r>
      <w:r w:rsidRPr="002A26AF">
        <w:fldChar w:fldCharType="separate"/>
      </w:r>
      <w:r w:rsidR="003D56F4" w:rsidRPr="002A26AF">
        <w:t xml:space="preserve">Figure </w:t>
      </w:r>
      <w:r w:rsidR="003D56F4">
        <w:t>8</w:t>
      </w:r>
      <w:r w:rsidRPr="002A26AF">
        <w:fldChar w:fldCharType="end"/>
      </w:r>
      <w:r>
        <w:t>)</w:t>
      </w:r>
      <w:r w:rsidRPr="00C56168">
        <w:t>.</w:t>
      </w:r>
    </w:p>
    <w:p w14:paraId="7DF27F85" w14:textId="77777777" w:rsidR="00C56168" w:rsidRPr="002A26AF" w:rsidRDefault="00C56168" w:rsidP="00C56168">
      <w:pPr>
        <w:pStyle w:val="ListBullet"/>
        <w:numPr>
          <w:ilvl w:val="0"/>
          <w:numId w:val="4"/>
        </w:numPr>
      </w:pPr>
      <w:r w:rsidRPr="002A26AF">
        <w:t>Many responses indicated a ‘</w:t>
      </w:r>
      <w:r w:rsidRPr="00C56168">
        <w:t>much higher</w:t>
      </w:r>
      <w:r w:rsidRPr="002A26AF">
        <w:t xml:space="preserve"> demand’ for occupations (compared to the previous year) within each major group</w:t>
      </w:r>
      <w:r>
        <w:t xml:space="preserve">. </w:t>
      </w:r>
      <w:r w:rsidRPr="002A26AF">
        <w:t>Community and Personal Service Workers</w:t>
      </w:r>
      <w:r>
        <w:t xml:space="preserve"> (23%), </w:t>
      </w:r>
      <w:r w:rsidRPr="002A26AF">
        <w:t>Clerical and Administrative Workers (22%)</w:t>
      </w:r>
      <w:r>
        <w:t>, and Technicians</w:t>
      </w:r>
      <w:r w:rsidRPr="002A26AF">
        <w:t xml:space="preserve"> and Trades Workers (2</w:t>
      </w:r>
      <w:r>
        <w:t>0</w:t>
      </w:r>
      <w:r w:rsidRPr="002A26AF">
        <w:t xml:space="preserve">%) </w:t>
      </w:r>
      <w:r>
        <w:t>had the highest share of responses for this category</w:t>
      </w:r>
      <w:r w:rsidRPr="002A26AF">
        <w:t>.</w:t>
      </w:r>
    </w:p>
    <w:p w14:paraId="5B1306BA" w14:textId="77777777" w:rsidR="00C56168" w:rsidRPr="002A26AF" w:rsidRDefault="00C56168" w:rsidP="00C56168">
      <w:pPr>
        <w:pStyle w:val="ListBullet"/>
        <w:numPr>
          <w:ilvl w:val="0"/>
          <w:numId w:val="4"/>
        </w:numPr>
      </w:pPr>
      <w:r w:rsidRPr="002A26AF">
        <w:t xml:space="preserve">Community and Personal Service </w:t>
      </w:r>
      <w:r>
        <w:t>W</w:t>
      </w:r>
      <w:r w:rsidRPr="002A26AF">
        <w:t>orkers report the highest combined percentage for ‘</w:t>
      </w:r>
      <w:r w:rsidRPr="00C56168">
        <w:t>much higher</w:t>
      </w:r>
      <w:r w:rsidRPr="002A26AF">
        <w:t xml:space="preserve"> demand’ and ‘</w:t>
      </w:r>
      <w:r w:rsidRPr="00C56168">
        <w:t>higher</w:t>
      </w:r>
      <w:r w:rsidRPr="002A26AF">
        <w:t xml:space="preserve"> demand’ (68%). Technicians and Trades Workers </w:t>
      </w:r>
      <w:r>
        <w:t xml:space="preserve">also </w:t>
      </w:r>
      <w:r w:rsidRPr="002A26AF">
        <w:t>reported a combined 61% indicating '</w:t>
      </w:r>
      <w:r w:rsidRPr="00C56168">
        <w:t>much higher</w:t>
      </w:r>
      <w:r w:rsidRPr="002A26AF">
        <w:t>' or '</w:t>
      </w:r>
      <w:r w:rsidRPr="00C56168">
        <w:t>higher</w:t>
      </w:r>
      <w:r w:rsidRPr="002A26AF">
        <w:t xml:space="preserve">' demand for skills. </w:t>
      </w:r>
    </w:p>
    <w:p w14:paraId="03F5FFB1" w14:textId="77777777" w:rsidR="00C56168" w:rsidRDefault="00C56168" w:rsidP="00C56168">
      <w:pPr>
        <w:pStyle w:val="ListBullet"/>
        <w:numPr>
          <w:ilvl w:val="0"/>
          <w:numId w:val="4"/>
        </w:numPr>
      </w:pPr>
      <w:r>
        <w:t xml:space="preserve">For </w:t>
      </w:r>
      <w:r w:rsidRPr="002A26AF">
        <w:t>Sales Workers</w:t>
      </w:r>
      <w:r>
        <w:t>,</w:t>
      </w:r>
      <w:r w:rsidRPr="002A26AF">
        <w:t xml:space="preserve"> </w:t>
      </w:r>
      <w:r>
        <w:t>m</w:t>
      </w:r>
      <w:r w:rsidRPr="002A26AF">
        <w:t xml:space="preserve">ost responses indicated that skill demand remained </w:t>
      </w:r>
      <w:r w:rsidRPr="00C56168">
        <w:t>'about the same</w:t>
      </w:r>
      <w:r w:rsidRPr="002A26AF">
        <w:t>' (71%). This may suggest a minimal perceived change in skill needs.</w:t>
      </w:r>
    </w:p>
    <w:p w14:paraId="0F5ECEEB" w14:textId="77777777" w:rsidR="00C56168" w:rsidRPr="002A26AF" w:rsidRDefault="00C56168" w:rsidP="00C56168">
      <w:pPr>
        <w:pStyle w:val="ListBullet"/>
        <w:numPr>
          <w:ilvl w:val="0"/>
          <w:numId w:val="4"/>
        </w:numPr>
      </w:pPr>
      <w:r>
        <w:t>Professionals had the largest percentage of responses reporting ‘</w:t>
      </w:r>
      <w:r w:rsidRPr="00C56168">
        <w:t>lower demand</w:t>
      </w:r>
      <w:r>
        <w:t>’ (16%), distinctly above the other major groups.</w:t>
      </w:r>
    </w:p>
    <w:p w14:paraId="4334C7E4" w14:textId="17B04BF0" w:rsidR="00C56168" w:rsidRPr="00C56168" w:rsidRDefault="00C56168" w:rsidP="00C56168">
      <w:pPr>
        <w:pStyle w:val="Caption"/>
      </w:pPr>
      <w:bookmarkStart w:id="46" w:name="_Ref205215643"/>
      <w:bookmarkStart w:id="47" w:name="_Toc211347094"/>
      <w:r w:rsidRPr="002A26AF">
        <w:t xml:space="preserve">Figure </w:t>
      </w:r>
      <w:r w:rsidRPr="00C56168">
        <w:fldChar w:fldCharType="begin"/>
      </w:r>
      <w:r w:rsidRPr="00C56168">
        <w:instrText xml:space="preserve"> SEQ Figure \* ARABIC </w:instrText>
      </w:r>
      <w:r w:rsidRPr="00C56168">
        <w:fldChar w:fldCharType="separate"/>
      </w:r>
      <w:r w:rsidR="003D56F4">
        <w:rPr>
          <w:noProof/>
        </w:rPr>
        <w:t>8</w:t>
      </w:r>
      <w:r w:rsidRPr="00C56168">
        <w:fldChar w:fldCharType="end"/>
      </w:r>
      <w:bookmarkEnd w:id="46"/>
      <w:r w:rsidRPr="00C56168">
        <w:t>: Reported change of demand of skills (%), by major group</w:t>
      </w:r>
      <w:r w:rsidR="00FD6D8E" w:rsidRPr="002A26AF">
        <w:rPr>
          <w:rStyle w:val="FootnoteReference"/>
        </w:rPr>
        <w:footnoteReference w:id="18"/>
      </w:r>
      <w:bookmarkEnd w:id="47"/>
    </w:p>
    <w:p w14:paraId="5AE54A59" w14:textId="77777777" w:rsidR="00C56168" w:rsidRDefault="00C56168" w:rsidP="00C56168">
      <w:pPr>
        <w:pStyle w:val="Source"/>
      </w:pPr>
      <w:r w:rsidRPr="00C56168">
        <w:rPr>
          <w:noProof/>
        </w:rPr>
        <w:drawing>
          <wp:inline distT="0" distB="0" distL="0" distR="0" wp14:anchorId="6BC3568C" wp14:editId="2632534D">
            <wp:extent cx="5732145" cy="2808000"/>
            <wp:effectExtent l="0" t="0" r="1905" b="0"/>
            <wp:docPr id="1026011775" name="Chart 1" descr="This stacked bar chart visualises the surrounding text. It has major groups (and total) on the y axis and percentage on the x axis. It shows the distribution of responses by the relative demand for skills: much higher demand, higher demand, about the same, lower demand.">
              <a:extLst xmlns:a="http://schemas.openxmlformats.org/drawingml/2006/main">
                <a:ext uri="{FF2B5EF4-FFF2-40B4-BE49-F238E27FC236}">
                  <a16:creationId xmlns:a16="http://schemas.microsoft.com/office/drawing/2014/main" id="{DC8A3666-9F21-466A-A76C-47F4E7B41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br/>
      </w:r>
      <w:r w:rsidRPr="002A26AF">
        <w:t>Source: Jobs and Skills Australia, 2025 Occupation Shortage List Stakeholder Survey.</w:t>
      </w:r>
      <w:r>
        <w:br/>
      </w:r>
      <w:r w:rsidRPr="002A26AF">
        <w:t>Note: No responses indicated that there was a ‘much higher demand’ of skills for occupations within the Sales Workers major groups.</w:t>
      </w:r>
    </w:p>
    <w:p w14:paraId="3A181D73" w14:textId="77777777" w:rsidR="00C56168" w:rsidRDefault="00C56168">
      <w:pPr>
        <w:spacing w:before="0" w:after="200" w:line="276" w:lineRule="auto"/>
        <w:rPr>
          <w:rFonts w:eastAsia="Times New Roman" w:cs="Arial"/>
          <w:b/>
          <w:bCs/>
          <w:color w:val="4B0985"/>
          <w:sz w:val="48"/>
          <w:szCs w:val="32"/>
          <w:lang w:eastAsia="en-AU"/>
        </w:rPr>
      </w:pPr>
      <w:r>
        <w:br w:type="page"/>
      </w:r>
    </w:p>
    <w:p w14:paraId="29620DFA" w14:textId="13338A49" w:rsidR="00C56168" w:rsidRPr="002A26AF" w:rsidRDefault="00C56168" w:rsidP="00C56168">
      <w:pPr>
        <w:pStyle w:val="Heading1"/>
      </w:pPr>
      <w:bookmarkStart w:id="48" w:name="_Toc211347082"/>
      <w:r w:rsidRPr="002A26AF">
        <w:lastRenderedPageBreak/>
        <w:t>Reasons vacancies were not filled</w:t>
      </w:r>
      <w:bookmarkEnd w:id="48"/>
    </w:p>
    <w:p w14:paraId="31BEFAE6" w14:textId="6BD9502A" w:rsidR="00C56168" w:rsidRDefault="00C56168" w:rsidP="00C56168">
      <w:pPr>
        <w:pStyle w:val="BodyText"/>
      </w:pPr>
      <w:r w:rsidRPr="00507639">
        <w:t xml:space="preserve">The </w:t>
      </w:r>
      <w:r>
        <w:t>s</w:t>
      </w:r>
      <w:r w:rsidRPr="00507639">
        <w:t>urvey collected information on the main and secondary reasons that advertised vacancies were not filled (</w:t>
      </w:r>
      <w:r w:rsidRPr="00507639">
        <w:fldChar w:fldCharType="begin"/>
      </w:r>
      <w:r w:rsidRPr="00507639">
        <w:instrText xml:space="preserve"> REF _Ref205215755 \h  \* MERGEFORMAT </w:instrText>
      </w:r>
      <w:r w:rsidRPr="00507639">
        <w:fldChar w:fldCharType="separate"/>
      </w:r>
      <w:r w:rsidR="003D56F4" w:rsidRPr="002A26AF">
        <w:t xml:space="preserve">Figure </w:t>
      </w:r>
      <w:r w:rsidR="003D56F4">
        <w:t>9</w:t>
      </w:r>
      <w:r w:rsidRPr="00507639">
        <w:fldChar w:fldCharType="end"/>
      </w:r>
      <w:r w:rsidRPr="00507639">
        <w:t>).</w:t>
      </w:r>
      <w:r w:rsidR="006A2173" w:rsidRPr="002A26AF">
        <w:rPr>
          <w:rStyle w:val="FootnoteReference"/>
        </w:rPr>
        <w:footnoteReference w:id="19"/>
      </w:r>
      <w:r>
        <w:t xml:space="preserve"> </w:t>
      </w:r>
      <w:r w:rsidRPr="00C56168">
        <w:t>That is, participants were able to select more than one reason vacancies were not filled and indicate which was the primary.</w:t>
      </w:r>
    </w:p>
    <w:p w14:paraId="06AC238C" w14:textId="77777777" w:rsidR="00C56168" w:rsidRDefault="00C56168" w:rsidP="00C56168">
      <w:pPr>
        <w:pStyle w:val="ListBullet"/>
        <w:numPr>
          <w:ilvl w:val="0"/>
          <w:numId w:val="4"/>
        </w:numPr>
      </w:pPr>
      <w:r w:rsidRPr="002A26AF">
        <w:t xml:space="preserve">The most </w:t>
      </w:r>
      <w:r>
        <w:t xml:space="preserve">common primary reasons were the lack of technical skills, qualifications, or experience (24%, 17% and 15% respectively). These were also the most common secondary reasons (between 12% and 13%) along with applicants from overseas. </w:t>
      </w:r>
    </w:p>
    <w:p w14:paraId="14DC6B1C" w14:textId="77777777" w:rsidR="00C56168" w:rsidRPr="002A26AF" w:rsidRDefault="00C56168" w:rsidP="00C56168">
      <w:pPr>
        <w:pStyle w:val="ListBullet"/>
        <w:numPr>
          <w:ilvl w:val="0"/>
          <w:numId w:val="4"/>
        </w:numPr>
      </w:pPr>
      <w:r>
        <w:t xml:space="preserve">Remuneration and location of applicants had relatively large shares of responses as secondary reasons (about 10% each). Regarding the location response, the result may suggest that the geographic location of jobs was a barrier to filling vacancies. </w:t>
      </w:r>
    </w:p>
    <w:p w14:paraId="6705BBF4" w14:textId="77777777" w:rsidR="00C56168" w:rsidRDefault="00C56168" w:rsidP="00C56168">
      <w:pPr>
        <w:pStyle w:val="ListBullet"/>
        <w:numPr>
          <w:ilvl w:val="0"/>
          <w:numId w:val="4"/>
        </w:numPr>
      </w:pPr>
      <w:r>
        <w:t xml:space="preserve">In the </w:t>
      </w:r>
      <w:r w:rsidRPr="002A26AF">
        <w:t xml:space="preserve">‘Other’ </w:t>
      </w:r>
      <w:r>
        <w:t xml:space="preserve">category, there were </w:t>
      </w:r>
      <w:r w:rsidRPr="002A26AF">
        <w:t xml:space="preserve">224 responses. Of these, </w:t>
      </w:r>
      <w:r>
        <w:t xml:space="preserve">many (45%) </w:t>
      </w:r>
      <w:r w:rsidRPr="002A26AF">
        <w:t>reported a lack of applications for an advertised role.</w:t>
      </w:r>
      <w:r>
        <w:t xml:space="preserve"> </w:t>
      </w:r>
      <w:r w:rsidRPr="002A26AF">
        <w:t xml:space="preserve">Oversupply of labour accounted for 7% of responses. This </w:t>
      </w:r>
      <w:r>
        <w:t xml:space="preserve">may suggest </w:t>
      </w:r>
      <w:r w:rsidRPr="002A26AF">
        <w:t xml:space="preserve">that too many applicants were competing for limited positions, leading to delays or even withdrawal from recruitment. Some </w:t>
      </w:r>
      <w:r>
        <w:t>participants</w:t>
      </w:r>
      <w:r w:rsidRPr="002A26AF">
        <w:t xml:space="preserve"> noted that, due to the lack of suitable openings, individuals moved into roles for which they were less qualified. </w:t>
      </w:r>
    </w:p>
    <w:p w14:paraId="620874FA" w14:textId="6A771998" w:rsidR="00C56168" w:rsidRPr="002A26AF" w:rsidRDefault="00C56168" w:rsidP="00C56168">
      <w:pPr>
        <w:pStyle w:val="Caption"/>
      </w:pPr>
      <w:bookmarkStart w:id="49" w:name="_Ref205215755"/>
      <w:bookmarkStart w:id="50" w:name="_Toc211347095"/>
      <w:r w:rsidRPr="002A26AF">
        <w:t xml:space="preserve">Figure </w:t>
      </w:r>
      <w:r w:rsidRPr="002A26AF">
        <w:fldChar w:fldCharType="begin"/>
      </w:r>
      <w:r w:rsidRPr="002A26AF">
        <w:instrText xml:space="preserve"> SEQ Figure \* ARABIC </w:instrText>
      </w:r>
      <w:r w:rsidRPr="002A26AF">
        <w:fldChar w:fldCharType="separate"/>
      </w:r>
      <w:r w:rsidR="003D56F4">
        <w:rPr>
          <w:noProof/>
        </w:rPr>
        <w:t>9</w:t>
      </w:r>
      <w:r w:rsidRPr="002A26AF">
        <w:fldChar w:fldCharType="end"/>
      </w:r>
      <w:bookmarkEnd w:id="49"/>
      <w:r w:rsidRPr="002A26AF">
        <w:t>: Percentage of responses indicating the main reason vacancies were not filled (%)</w:t>
      </w:r>
      <w:bookmarkEnd w:id="50"/>
    </w:p>
    <w:p w14:paraId="797C85E4" w14:textId="77777777" w:rsidR="00C56168" w:rsidRPr="002A26AF" w:rsidRDefault="00C56168" w:rsidP="00C56168">
      <w:pPr>
        <w:pStyle w:val="Source"/>
      </w:pPr>
      <w:r w:rsidRPr="00C56168">
        <w:rPr>
          <w:noProof/>
        </w:rPr>
        <w:drawing>
          <wp:inline distT="0" distB="0" distL="0" distR="0" wp14:anchorId="7EC249C4" wp14:editId="5BDC1126">
            <wp:extent cx="5732145" cy="2808000"/>
            <wp:effectExtent l="0" t="0" r="1905" b="0"/>
            <wp:docPr id="545951218" name="Chart 1" descr="This stacked bar chart visualises the surrounding text. It has main and secondary reasons why vacancies were not filled on the y axis and percentage  of responses on the x axis. A bar chart with main and secondary reasons why vacancies were not filled on the y axis and percentage  of responses on the x axis. ">
              <a:extLst xmlns:a="http://schemas.openxmlformats.org/drawingml/2006/main">
                <a:ext uri="{FF2B5EF4-FFF2-40B4-BE49-F238E27FC236}">
                  <a16:creationId xmlns:a16="http://schemas.microsoft.com/office/drawing/2014/main" id="{3CFF96B5-8854-5667-B83F-DFD0A8BFD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br/>
      </w:r>
      <w:r w:rsidRPr="002A26AF">
        <w:t>Source: Jobs and Skills Australia, 2025 Occupation Shortage List Stakeholder Survey.</w:t>
      </w:r>
    </w:p>
    <w:p w14:paraId="327DBB9A" w14:textId="77777777" w:rsidR="00D11AC9" w:rsidRDefault="00D11AC9">
      <w:pPr>
        <w:spacing w:before="0" w:after="200" w:line="276" w:lineRule="auto"/>
        <w:rPr>
          <w:rFonts w:eastAsia="Times New Roman" w:cs="Arial"/>
          <w:b/>
          <w:iCs/>
          <w:color w:val="2F005F"/>
          <w:sz w:val="32"/>
          <w:szCs w:val="28"/>
          <w:lang w:eastAsia="en-AU"/>
        </w:rPr>
      </w:pPr>
      <w:r>
        <w:br w:type="page"/>
      </w:r>
    </w:p>
    <w:p w14:paraId="39296B52" w14:textId="4C60A3EE" w:rsidR="00C56168" w:rsidRPr="002A26AF" w:rsidRDefault="00C56168" w:rsidP="00F51B9E">
      <w:pPr>
        <w:pStyle w:val="Heading1"/>
      </w:pPr>
      <w:bookmarkStart w:id="51" w:name="_Toc211347083"/>
      <w:r w:rsidRPr="002A26AF">
        <w:lastRenderedPageBreak/>
        <w:t>Information Sources</w:t>
      </w:r>
      <w:bookmarkEnd w:id="51"/>
    </w:p>
    <w:p w14:paraId="05070D6C" w14:textId="77777777" w:rsidR="00C56168" w:rsidRPr="002A26AF" w:rsidRDefault="00C56168" w:rsidP="00C56168">
      <w:pPr>
        <w:pStyle w:val="BodyText"/>
      </w:pPr>
      <w:r w:rsidRPr="002A26AF">
        <w:t xml:space="preserve">Figure 10 shows that </w:t>
      </w:r>
      <w:r>
        <w:t xml:space="preserve">participants drew from </w:t>
      </w:r>
      <w:r w:rsidRPr="002A26AF">
        <w:t xml:space="preserve">a wide </w:t>
      </w:r>
      <w:r>
        <w:t xml:space="preserve">range </w:t>
      </w:r>
      <w:r w:rsidRPr="002A26AF">
        <w:t>of information sources: both direct organisational experience and broader labour market insights.</w:t>
      </w:r>
    </w:p>
    <w:p w14:paraId="7A9A9989" w14:textId="77777777" w:rsidR="00C56168" w:rsidRPr="00C56168" w:rsidRDefault="00C56168" w:rsidP="00C56168">
      <w:pPr>
        <w:pStyle w:val="BodyText"/>
      </w:pPr>
      <w:r w:rsidRPr="002A26AF">
        <w:t>The most common was from their knowledge of retention issues and recruitment experiences. Another key source of information for respondents was through their conversations with stakeholders, employees, and their members. Their own data collection also informed their perspectives.</w:t>
      </w:r>
    </w:p>
    <w:p w14:paraId="18010A8B" w14:textId="619F842B" w:rsidR="00C56168" w:rsidRPr="002A26AF" w:rsidRDefault="00CF5D25" w:rsidP="00C56168">
      <w:pPr>
        <w:pStyle w:val="Caption"/>
      </w:pPr>
      <w:bookmarkStart w:id="52" w:name="_Toc211347096"/>
      <w:r w:rsidRPr="002A26AF">
        <w:t xml:space="preserve">Figure </w:t>
      </w:r>
      <w:r w:rsidRPr="002A26AF">
        <w:fldChar w:fldCharType="begin"/>
      </w:r>
      <w:r w:rsidRPr="002A26AF">
        <w:instrText xml:space="preserve"> SEQ Figure \* ARABIC </w:instrText>
      </w:r>
      <w:r w:rsidRPr="002A26AF">
        <w:fldChar w:fldCharType="separate"/>
      </w:r>
      <w:r w:rsidR="003D56F4">
        <w:rPr>
          <w:noProof/>
        </w:rPr>
        <w:t>10</w:t>
      </w:r>
      <w:r w:rsidRPr="002A26AF">
        <w:fldChar w:fldCharType="end"/>
      </w:r>
      <w:r w:rsidRPr="002A26AF">
        <w:t xml:space="preserve">: </w:t>
      </w:r>
      <w:r w:rsidR="00C56168" w:rsidRPr="002A26AF">
        <w:t>Frequency of info</w:t>
      </w:r>
      <w:r w:rsidR="00C56168">
        <w:t>rmation</w:t>
      </w:r>
      <w:r w:rsidR="00C56168" w:rsidRPr="002A26AF">
        <w:t xml:space="preserve"> source</w:t>
      </w:r>
      <w:r w:rsidR="00C56168">
        <w:t>s</w:t>
      </w:r>
      <w:r w:rsidR="00C56168" w:rsidRPr="002A26AF">
        <w:t xml:space="preserve"> </w:t>
      </w:r>
      <w:r w:rsidR="00C56168">
        <w:t xml:space="preserve">used to provide </w:t>
      </w:r>
      <w:r w:rsidR="00C56168" w:rsidRPr="002A26AF">
        <w:t>survey responses</w:t>
      </w:r>
      <w:bookmarkEnd w:id="52"/>
    </w:p>
    <w:p w14:paraId="7AFE2E04" w14:textId="77777777" w:rsidR="00C56168" w:rsidRPr="00495926" w:rsidRDefault="00C56168" w:rsidP="00495926">
      <w:pPr>
        <w:pStyle w:val="Source"/>
      </w:pPr>
      <w:r w:rsidRPr="00C56168">
        <w:rPr>
          <w:noProof/>
        </w:rPr>
        <w:drawing>
          <wp:inline distT="0" distB="0" distL="0" distR="0" wp14:anchorId="2F816D52" wp14:editId="6204052D">
            <wp:extent cx="5732145" cy="3096000"/>
            <wp:effectExtent l="0" t="0" r="1905" b="0"/>
            <wp:docPr id="375272085" name="Chart 1" descr="This column chart visualises the surrounding text. It has information sources used by participants on the x axis and the count of responses on the y axis.">
              <a:extLst xmlns:a="http://schemas.openxmlformats.org/drawingml/2006/main">
                <a:ext uri="{FF2B5EF4-FFF2-40B4-BE49-F238E27FC236}">
                  <a16:creationId xmlns:a16="http://schemas.microsoft.com/office/drawing/2014/main" id="{B55E1618-7AB8-7BA7-43A2-92EFD92D1A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br/>
      </w:r>
      <w:r w:rsidRPr="00495926">
        <w:t>Source: Jobs and Skills Australia, 2025 Occupation Shortage List Stakeholder Survey.</w:t>
      </w:r>
    </w:p>
    <w:p w14:paraId="186E0C8F" w14:textId="6698139F" w:rsidR="00B96396" w:rsidRPr="00FE2E1A" w:rsidRDefault="00B96396" w:rsidP="008D7069">
      <w:pPr>
        <w:pStyle w:val="BodyText"/>
      </w:pPr>
    </w:p>
    <w:sectPr w:rsidR="00B96396" w:rsidRPr="00FE2E1A" w:rsidSect="000F5CD2">
      <w:footerReference w:type="first" r:id="rId34"/>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CCBA" w14:textId="77777777" w:rsidR="00446CB8" w:rsidRDefault="00446CB8" w:rsidP="00E12845">
      <w:pPr>
        <w:spacing w:before="0" w:after="0"/>
      </w:pPr>
      <w:r>
        <w:separator/>
      </w:r>
    </w:p>
  </w:endnote>
  <w:endnote w:type="continuationSeparator" w:id="0">
    <w:p w14:paraId="49DC79DE" w14:textId="77777777" w:rsidR="00446CB8" w:rsidRDefault="00446CB8"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1B378E87" w14:textId="3696637D" w:rsidR="00BA4D1C" w:rsidRDefault="00BA4D1C">
        <w:pPr>
          <w:pStyle w:val="Footer"/>
        </w:pPr>
        <w:r w:rsidRPr="00835A0D">
          <w:t>Jobs and Skills Australia –</w:t>
        </w:r>
        <w:r>
          <w:t xml:space="preserve"> </w:t>
        </w:r>
        <w:fldSimple w:instr=" STYLEREF  Title  \* MERGEFORMAT ">
          <w:r w:rsidR="003D56F4">
            <w:rPr>
              <w:noProof/>
            </w:rPr>
            <w:t>2025 Occupation Shortage List – Stakeholder Survey Snapshot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2F978034" w14:textId="5049FAF8" w:rsidR="000F5CD2" w:rsidRDefault="000F5CD2">
        <w:pPr>
          <w:pStyle w:val="Footer"/>
        </w:pPr>
        <w:r w:rsidRPr="00835A0D">
          <w:t>Jobs and Skills Australia –</w:t>
        </w:r>
        <w:r>
          <w:t xml:space="preserve"> </w:t>
        </w:r>
        <w:fldSimple w:instr=" STYLEREF  Title  \* MERGEFORMAT ">
          <w:r w:rsidR="003D56F4">
            <w:rPr>
              <w:noProof/>
            </w:rPr>
            <w:t>2025 Occupation Shortage List – Stakeholder Survey Snapshot</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3E33AB23" w14:textId="13A75C7F" w:rsidR="00A67B12" w:rsidRPr="00576BAF" w:rsidRDefault="00A67B12" w:rsidP="00576BAF">
        <w:pPr>
          <w:pStyle w:val="Footer"/>
        </w:pPr>
        <w:r w:rsidRPr="00835A0D">
          <w:t>Jobs and Skills Australia –</w:t>
        </w:r>
        <w:r>
          <w:t xml:space="preserve"> </w:t>
        </w:r>
        <w:fldSimple w:instr=" STYLEREF  Title  \* MERGEFORMAT ">
          <w:r w:rsidR="003D56F4">
            <w:rPr>
              <w:noProof/>
            </w:rPr>
            <w:t>2025 Occupation Shortage List – Stakeholder Survey Snapshot</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5413" w14:textId="44C7D45B" w:rsidR="00C56168" w:rsidRDefault="00C56168">
    <w:pPr>
      <w:pStyle w:val="Footer"/>
    </w:pPr>
    <w:r w:rsidRPr="00835A0D">
      <w:t>Jobs and Skills Australia –</w:t>
    </w:r>
    <w:r>
      <w:t xml:space="preserve"> </w:t>
    </w:r>
    <w:fldSimple w:instr="STYLEREF  Title  \* MERGEFORMAT">
      <w:r w:rsidR="003D56F4">
        <w:rPr>
          <w:noProof/>
        </w:rPr>
        <w:t>2025 Occupation Shortage List – Stakeholder Survey Snapshot</w:t>
      </w:r>
    </w:fldSimple>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45D0" w14:textId="0AAA4826" w:rsidR="00C56168" w:rsidRDefault="00C56168" w:rsidP="00FC728C">
    <w:pPr>
      <w:pStyle w:val="Footer"/>
    </w:pPr>
    <w:r w:rsidRPr="00835A0D">
      <w:t>Jobs and Skills Australia –</w:t>
    </w:r>
    <w:r>
      <w:t xml:space="preserve"> </w:t>
    </w:r>
    <w:fldSimple w:instr="STYLEREF  Title  \* MERGEFORMAT">
      <w:r w:rsidR="003D56F4">
        <w:rPr>
          <w:noProof/>
        </w:rPr>
        <w:t>2025 Occupation Shortage List – Stakeholder Survey Snapshot</w:t>
      </w:r>
    </w:fldSimple>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1654"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9645" w14:textId="77777777" w:rsidR="00446CB8" w:rsidRDefault="00446CB8" w:rsidP="00E12845">
      <w:pPr>
        <w:spacing w:before="0" w:after="0"/>
      </w:pPr>
      <w:r>
        <w:separator/>
      </w:r>
    </w:p>
  </w:footnote>
  <w:footnote w:type="continuationSeparator" w:id="0">
    <w:p w14:paraId="2CCA5BFE" w14:textId="77777777" w:rsidR="00446CB8" w:rsidRDefault="00446CB8" w:rsidP="00E12845">
      <w:pPr>
        <w:spacing w:before="0" w:after="0"/>
      </w:pPr>
      <w:r>
        <w:continuationSeparator/>
      </w:r>
    </w:p>
  </w:footnote>
  <w:footnote w:id="1">
    <w:p w14:paraId="11A22A84" w14:textId="07208E79" w:rsidR="008F0338" w:rsidRDefault="008F0338">
      <w:pPr>
        <w:pStyle w:val="FootnoteText"/>
      </w:pPr>
      <w:r>
        <w:rPr>
          <w:rStyle w:val="FootnoteReference"/>
        </w:rPr>
        <w:footnoteRef/>
      </w:r>
      <w:r>
        <w:t xml:space="preserve"> </w:t>
      </w:r>
      <w:r w:rsidR="00804556">
        <w:t>Specifically, t</w:t>
      </w:r>
      <w:r w:rsidRPr="008F0338">
        <w:t>he stakeholder survey targets peak bodies, professional associations, unions, regional representative bodies, and education and training advisory bodies. Responses are also received from government agencies, recruitment agencies/labour hire firms, employers and Jobs and Skills Councils.</w:t>
      </w:r>
    </w:p>
  </w:footnote>
  <w:footnote w:id="2">
    <w:p w14:paraId="6E58E36A" w14:textId="690A87E8" w:rsidR="00C42263" w:rsidRPr="002A26AF" w:rsidRDefault="00C42263" w:rsidP="00C42263">
      <w:pPr>
        <w:pStyle w:val="FootnoteText"/>
      </w:pPr>
      <w:r w:rsidRPr="002A26AF">
        <w:rPr>
          <w:rStyle w:val="FootnoteReference"/>
        </w:rPr>
        <w:footnoteRef/>
      </w:r>
      <w:r w:rsidRPr="002A26AF">
        <w:t xml:space="preserve"> </w:t>
      </w:r>
      <w:r w:rsidR="00D02E48" w:rsidRPr="00D02E48">
        <w:t xml:space="preserve">Australian and New Zealand Standard Classification of Occupations </w:t>
      </w:r>
      <w:r w:rsidR="00D02E48">
        <w:t>(</w:t>
      </w:r>
      <w:r w:rsidRPr="002A26AF">
        <w:t>ANZSCO</w:t>
      </w:r>
      <w:r w:rsidR="00D02E48">
        <w:t>)</w:t>
      </w:r>
      <w:r w:rsidRPr="002A26AF">
        <w:t xml:space="preserve"> is a skill-based classification used to classify all occupations and jobs in the Australian and New Zealand labour markets. It is organised into a </w:t>
      </w:r>
      <w:proofErr w:type="gramStart"/>
      <w:r w:rsidRPr="002A26AF">
        <w:t>5</w:t>
      </w:r>
      <w:r>
        <w:t xml:space="preserve"> </w:t>
      </w:r>
      <w:r w:rsidRPr="002A26AF">
        <w:t>level</w:t>
      </w:r>
      <w:proofErr w:type="gramEnd"/>
      <w:r w:rsidRPr="002A26AF">
        <w:t xml:space="preserve"> hierarchy: major groups, sub-major groups, minor groups, unit groups and occupations. Occupation refers to the most granular </w:t>
      </w:r>
      <w:proofErr w:type="gramStart"/>
      <w:r w:rsidRPr="002A26AF">
        <w:t>6 digit</w:t>
      </w:r>
      <w:proofErr w:type="gramEnd"/>
      <w:r w:rsidRPr="002A26AF">
        <w:t xml:space="preserve"> ANZSCO and is the level that this report refers to. For more details on ANZSCO refer to the </w:t>
      </w:r>
      <w:hyperlink r:id="rId1" w:history="1">
        <w:r w:rsidRPr="002A26AF">
          <w:rPr>
            <w:rStyle w:val="Hyperlink"/>
          </w:rPr>
          <w:t>Australian Bureau of Statistics website</w:t>
        </w:r>
      </w:hyperlink>
      <w:r w:rsidRPr="002A26AF">
        <w:t>.</w:t>
      </w:r>
    </w:p>
  </w:footnote>
  <w:footnote w:id="3">
    <w:p w14:paraId="7F68C009" w14:textId="1A91074E" w:rsidR="00B2277D" w:rsidRDefault="00B2277D">
      <w:pPr>
        <w:pStyle w:val="FootnoteText"/>
      </w:pPr>
      <w:r>
        <w:rPr>
          <w:rStyle w:val="FootnoteReference"/>
        </w:rPr>
        <w:footnoteRef/>
      </w:r>
      <w:r>
        <w:t xml:space="preserve"> </w:t>
      </w:r>
      <w:r w:rsidRPr="00B2277D">
        <w:t xml:space="preserve">The results from this stakeholder survey should be interpreted </w:t>
      </w:r>
      <w:r w:rsidR="00C014E7">
        <w:t xml:space="preserve">with caution. </w:t>
      </w:r>
      <w:r w:rsidRPr="00B2277D">
        <w:t xml:space="preserve">It is limited because generally </w:t>
      </w:r>
      <w:r w:rsidR="00EF6C90">
        <w:t xml:space="preserve">responses received </w:t>
      </w:r>
      <w:r w:rsidRPr="00B2277D">
        <w:t>for each occupation are small, while skill levels 3 and 4 are overrepresented and there may be self-selection bias, as employers who are not experiencing workforce challenges may be less inclined to participate in this survey.</w:t>
      </w:r>
    </w:p>
  </w:footnote>
  <w:footnote w:id="4">
    <w:p w14:paraId="49946859" w14:textId="77777777" w:rsidR="00C56168" w:rsidRDefault="00C56168" w:rsidP="00C56168">
      <w:pPr>
        <w:pStyle w:val="FootnoteText"/>
      </w:pPr>
      <w:r>
        <w:rPr>
          <w:rStyle w:val="FootnoteReference"/>
        </w:rPr>
        <w:footnoteRef/>
      </w:r>
      <w:r>
        <w:t xml:space="preserve"> There were many initial registrations where participants were </w:t>
      </w:r>
      <w:r w:rsidRPr="002912A3">
        <w:t xml:space="preserve">simply exploring, looking for work from outside of Australia or did not complete the </w:t>
      </w:r>
      <w:r>
        <w:t>s</w:t>
      </w:r>
      <w:r w:rsidRPr="002912A3">
        <w:t>urvey. These were removed from scope</w:t>
      </w:r>
      <w:r>
        <w:t>.</w:t>
      </w:r>
    </w:p>
  </w:footnote>
  <w:footnote w:id="5">
    <w:p w14:paraId="5D73FA0B" w14:textId="77777777" w:rsidR="00C56168" w:rsidRDefault="00C56168" w:rsidP="00C56168">
      <w:pPr>
        <w:pStyle w:val="FootnoteText"/>
      </w:pPr>
      <w:r>
        <w:rPr>
          <w:rStyle w:val="FootnoteReference"/>
        </w:rPr>
        <w:footnoteRef/>
      </w:r>
      <w:r>
        <w:t xml:space="preserve"> Where a participant operated in multiple states/territories and/or localities – they were given the choice whether to respond for each occupation/state or territory/locality combination or as an aggregate for the occupation.</w:t>
      </w:r>
    </w:p>
  </w:footnote>
  <w:footnote w:id="6">
    <w:p w14:paraId="454C5E6C" w14:textId="77777777" w:rsidR="00C56168" w:rsidRPr="002A26AF" w:rsidRDefault="00C56168" w:rsidP="00C56168">
      <w:r w:rsidRPr="002A26AF">
        <w:rPr>
          <w:rStyle w:val="FootnoteReference"/>
        </w:rPr>
        <w:footnoteRef/>
      </w:r>
      <w:r w:rsidRPr="002A26AF">
        <w:t xml:space="preserve"> </w:t>
      </w:r>
      <w:r w:rsidRPr="002A26AF">
        <w:rPr>
          <w:sz w:val="18"/>
        </w:rPr>
        <w:t>For example, a school responding to the survey might identify as both an education and training provider</w:t>
      </w:r>
      <w:r>
        <w:rPr>
          <w:sz w:val="18"/>
        </w:rPr>
        <w:t xml:space="preserve"> </w:t>
      </w:r>
      <w:r w:rsidRPr="002A26AF">
        <w:rPr>
          <w:sz w:val="18"/>
        </w:rPr>
        <w:t>because it educates students</w:t>
      </w:r>
      <w:r>
        <w:rPr>
          <w:sz w:val="18"/>
        </w:rPr>
        <w:t xml:space="preserve">, </w:t>
      </w:r>
      <w:r w:rsidRPr="002A26AF">
        <w:rPr>
          <w:sz w:val="18"/>
        </w:rPr>
        <w:t>and as an employer because it employs teachers.</w:t>
      </w:r>
    </w:p>
  </w:footnote>
  <w:footnote w:id="7">
    <w:p w14:paraId="1DCF3AB1" w14:textId="77777777" w:rsidR="00C56168" w:rsidRDefault="00C56168" w:rsidP="00C56168">
      <w:pPr>
        <w:pStyle w:val="FootnoteText"/>
      </w:pPr>
      <w:r>
        <w:rPr>
          <w:rStyle w:val="FootnoteReference"/>
        </w:rPr>
        <w:footnoteRef/>
      </w:r>
      <w:r>
        <w:t xml:space="preserve"> For example, suppose a participant operated in New South Wales, Victoria, and Queensland and in both the metropolitan and regional localities of each of those states. For each occupation they were responding for, they could provide:</w:t>
      </w:r>
    </w:p>
    <w:p w14:paraId="320B4988" w14:textId="77777777" w:rsidR="00C56168" w:rsidRDefault="00C56168" w:rsidP="00C56168">
      <w:pPr>
        <w:pStyle w:val="FootnoteText"/>
        <w:numPr>
          <w:ilvl w:val="0"/>
          <w:numId w:val="48"/>
        </w:numPr>
      </w:pPr>
      <w:r>
        <w:t xml:space="preserve">one response for all 3 states and both localities; or </w:t>
      </w:r>
    </w:p>
    <w:p w14:paraId="7610A6D7" w14:textId="77777777" w:rsidR="00C56168" w:rsidRDefault="00C56168" w:rsidP="00C56168">
      <w:pPr>
        <w:pStyle w:val="FootnoteText"/>
        <w:numPr>
          <w:ilvl w:val="0"/>
          <w:numId w:val="48"/>
        </w:numPr>
      </w:pPr>
      <w:r>
        <w:t>two responses for (metropolitan) Sydney, Melbourne, and Brisbane (combined) and regional New South Wales, regional Victoria, and regional Queensland (combined); or</w:t>
      </w:r>
    </w:p>
    <w:p w14:paraId="77DD8E66" w14:textId="77777777" w:rsidR="00C56168" w:rsidRDefault="00C56168" w:rsidP="00C56168">
      <w:pPr>
        <w:pStyle w:val="FootnoteText"/>
        <w:numPr>
          <w:ilvl w:val="0"/>
          <w:numId w:val="48"/>
        </w:numPr>
      </w:pPr>
      <w:r>
        <w:t>three responses for whole of New South Wales, whole of Victoria and whole of Queensland; or</w:t>
      </w:r>
    </w:p>
    <w:p w14:paraId="09ACC87C" w14:textId="77777777" w:rsidR="00C56168" w:rsidRDefault="00C56168" w:rsidP="00C56168">
      <w:pPr>
        <w:pStyle w:val="FootnoteText"/>
        <w:numPr>
          <w:ilvl w:val="0"/>
          <w:numId w:val="48"/>
        </w:numPr>
      </w:pPr>
      <w:r>
        <w:t>six responses for Sydney, regional New South Wales, Melbourne, regional Victoria, Brisbane, and regional Queensland.</w:t>
      </w:r>
    </w:p>
  </w:footnote>
  <w:footnote w:id="8">
    <w:p w14:paraId="4493E00A" w14:textId="77777777" w:rsidR="00C56168" w:rsidRPr="002A26AF" w:rsidRDefault="00C56168" w:rsidP="00C56168">
      <w:pPr>
        <w:pStyle w:val="FootnoteText"/>
      </w:pPr>
      <w:r w:rsidRPr="002A26AF">
        <w:rPr>
          <w:rStyle w:val="FootnoteReference"/>
        </w:rPr>
        <w:footnoteRef/>
      </w:r>
      <w:r w:rsidRPr="002A26AF">
        <w:t xml:space="preserve"> Calculated on responses to the proportion of vacancies filled questions. </w:t>
      </w:r>
    </w:p>
  </w:footnote>
  <w:footnote w:id="9">
    <w:p w14:paraId="7806B2CD" w14:textId="77777777" w:rsidR="00C56168" w:rsidRPr="002A26AF" w:rsidRDefault="00C56168" w:rsidP="00C56168">
      <w:pPr>
        <w:pStyle w:val="FootnoteText"/>
        <w:rPr>
          <w:szCs w:val="16"/>
        </w:rPr>
      </w:pPr>
      <w:r w:rsidRPr="002A26AF">
        <w:rPr>
          <w:rStyle w:val="FootnoteReference"/>
          <w:szCs w:val="16"/>
        </w:rPr>
        <w:footnoteRef/>
      </w:r>
      <w:r w:rsidRPr="002A26AF">
        <w:rPr>
          <w:szCs w:val="16"/>
        </w:rPr>
        <w:t xml:space="preserve"> </w:t>
      </w:r>
      <w:r>
        <w:rPr>
          <w:szCs w:val="16"/>
        </w:rPr>
        <w:t>In the OSL, o</w:t>
      </w:r>
      <w:r w:rsidRPr="002A26AF">
        <w:rPr>
          <w:szCs w:val="16"/>
        </w:rPr>
        <w:t xml:space="preserve">ccupations </w:t>
      </w:r>
      <w:r>
        <w:rPr>
          <w:szCs w:val="16"/>
        </w:rPr>
        <w:t xml:space="preserve">are </w:t>
      </w:r>
      <w:r w:rsidRPr="002A26AF">
        <w:rPr>
          <w:szCs w:val="16"/>
        </w:rPr>
        <w:t xml:space="preserve">rated as </w:t>
      </w:r>
      <w:r>
        <w:rPr>
          <w:szCs w:val="16"/>
        </w:rPr>
        <w:t>S</w:t>
      </w:r>
      <w:r w:rsidRPr="002A26AF">
        <w:rPr>
          <w:szCs w:val="16"/>
        </w:rPr>
        <w:t xml:space="preserve">hortage </w:t>
      </w:r>
      <w:r>
        <w:rPr>
          <w:szCs w:val="16"/>
        </w:rPr>
        <w:t xml:space="preserve">or No Shortage based on the collective body of evidence – not just from a single, particular source. The evidence base includes SERA, REOS, </w:t>
      </w:r>
      <w:r w:rsidRPr="002A26AF">
        <w:rPr>
          <w:szCs w:val="16"/>
        </w:rPr>
        <w:t xml:space="preserve">modelling, </w:t>
      </w:r>
      <w:r>
        <w:rPr>
          <w:szCs w:val="16"/>
        </w:rPr>
        <w:t xml:space="preserve">additional </w:t>
      </w:r>
      <w:r w:rsidRPr="002A26AF">
        <w:rPr>
          <w:szCs w:val="16"/>
        </w:rPr>
        <w:t>data analysis</w:t>
      </w:r>
      <w:r>
        <w:rPr>
          <w:szCs w:val="16"/>
        </w:rPr>
        <w:t xml:space="preserve">, </w:t>
      </w:r>
      <w:r w:rsidRPr="002A26AF">
        <w:rPr>
          <w:szCs w:val="16"/>
        </w:rPr>
        <w:t xml:space="preserve">research, results from the </w:t>
      </w:r>
      <w:r>
        <w:rPr>
          <w:szCs w:val="16"/>
        </w:rPr>
        <w:t>stakeholder s</w:t>
      </w:r>
      <w:r w:rsidRPr="002A26AF">
        <w:rPr>
          <w:szCs w:val="16"/>
        </w:rPr>
        <w:t xml:space="preserve">urvey and </w:t>
      </w:r>
      <w:r>
        <w:rPr>
          <w:szCs w:val="16"/>
        </w:rPr>
        <w:t xml:space="preserve">feedback from Commonwealth Government, state and territory governments and Jobs and Skills Councils. </w:t>
      </w:r>
    </w:p>
  </w:footnote>
  <w:footnote w:id="10">
    <w:p w14:paraId="34065424" w14:textId="6C588FF9" w:rsidR="00C56168" w:rsidRDefault="00C56168" w:rsidP="00C56168">
      <w:pPr>
        <w:pStyle w:val="FootnoteText"/>
      </w:pPr>
      <w:r>
        <w:rPr>
          <w:rStyle w:val="FootnoteReference"/>
        </w:rPr>
        <w:footnoteRef/>
      </w:r>
      <w:r>
        <w:t xml:space="preserve"> The 1,874 responses is a count of unique participant/occupation/geography responses to the questions on vacancies filled. Where a participant responded for multiple geographies and/or occupations, this has been counted as multiple responses. For more detail, see the </w:t>
      </w:r>
      <w:r w:rsidRPr="00493BC9">
        <w:rPr>
          <w:rStyle w:val="Hyperlink"/>
          <w:szCs w:val="16"/>
        </w:rPr>
        <w:fldChar w:fldCharType="begin"/>
      </w:r>
      <w:r w:rsidRPr="00493BC9">
        <w:rPr>
          <w:rStyle w:val="Hyperlink"/>
          <w:szCs w:val="16"/>
        </w:rPr>
        <w:instrText xml:space="preserve"> REF _Ref205823353 \h </w:instrText>
      </w:r>
      <w:r w:rsidRPr="00887628">
        <w:rPr>
          <w:rStyle w:val="Hyperlink"/>
          <w:szCs w:val="16"/>
        </w:rPr>
        <w:instrText xml:space="preserve"> \* MERGEFORMAT </w:instrText>
      </w:r>
      <w:r w:rsidRPr="00493BC9">
        <w:rPr>
          <w:rStyle w:val="Hyperlink"/>
          <w:szCs w:val="16"/>
        </w:rPr>
      </w:r>
      <w:r w:rsidRPr="00493BC9">
        <w:rPr>
          <w:rStyle w:val="Hyperlink"/>
          <w:szCs w:val="16"/>
        </w:rPr>
        <w:fldChar w:fldCharType="separate"/>
      </w:r>
      <w:r w:rsidR="003D56F4" w:rsidRPr="003D56F4">
        <w:rPr>
          <w:rStyle w:val="Hyperlink"/>
          <w:szCs w:val="16"/>
        </w:rPr>
        <w:t>Geography of responses</w:t>
      </w:r>
      <w:r w:rsidRPr="00493BC9">
        <w:rPr>
          <w:rStyle w:val="Hyperlink"/>
          <w:szCs w:val="16"/>
        </w:rPr>
        <w:fldChar w:fldCharType="end"/>
      </w:r>
      <w:r>
        <w:t xml:space="preserve"> section.</w:t>
      </w:r>
    </w:p>
  </w:footnote>
  <w:footnote w:id="11">
    <w:p w14:paraId="71D6B1AE" w14:textId="77777777" w:rsidR="00C56168" w:rsidRPr="002A26AF" w:rsidRDefault="00C56168" w:rsidP="00C56168">
      <w:pPr>
        <w:pStyle w:val="FootnoteText"/>
      </w:pPr>
      <w:r w:rsidRPr="002A26AF">
        <w:rPr>
          <w:rStyle w:val="FootnoteReference"/>
          <w:szCs w:val="16"/>
        </w:rPr>
        <w:footnoteRef/>
      </w:r>
      <w:r w:rsidRPr="002A26AF">
        <w:rPr>
          <w:szCs w:val="16"/>
        </w:rPr>
        <w:t xml:space="preserve"> </w:t>
      </w:r>
      <w:r>
        <w:rPr>
          <w:szCs w:val="16"/>
        </w:rPr>
        <w:t xml:space="preserve">Participants </w:t>
      </w:r>
      <w:r w:rsidRPr="002A26AF">
        <w:rPr>
          <w:szCs w:val="16"/>
        </w:rPr>
        <w:t>were first prompted with a question, ‘For the occupation [you</w:t>
      </w:r>
      <w:r>
        <w:rPr>
          <w:szCs w:val="16"/>
        </w:rPr>
        <w:t xml:space="preserve"> a</w:t>
      </w:r>
      <w:r w:rsidRPr="002A26AF">
        <w:rPr>
          <w:szCs w:val="16"/>
        </w:rPr>
        <w:t>re reporting on] between January – December 2024, how many vacancies were advertised; and how many of the vacancies were filled?’. If they were unable to answer a secondary question was presented, ‘For all the members and organisations you represent (including your own organisation), which proportion of vacancies were filled in the period January – December 2024?’.</w:t>
      </w:r>
    </w:p>
  </w:footnote>
  <w:footnote w:id="12">
    <w:p w14:paraId="546B60C9" w14:textId="509671DD" w:rsidR="00C56168" w:rsidRPr="002A26AF" w:rsidRDefault="00C56168" w:rsidP="00C56168">
      <w:pPr>
        <w:pStyle w:val="FootnoteText"/>
      </w:pPr>
      <w:r w:rsidRPr="002A26AF">
        <w:rPr>
          <w:rStyle w:val="FootnoteReference"/>
        </w:rPr>
        <w:footnoteRef/>
      </w:r>
      <w:r w:rsidRPr="002A26AF">
        <w:t xml:space="preserve"> For ease of </w:t>
      </w:r>
      <w:r>
        <w:t>reading</w:t>
      </w:r>
      <w:r w:rsidRPr="002A26AF">
        <w:t xml:space="preserve">, ANZSCO major groups in </w:t>
      </w:r>
      <w:r w:rsidRPr="002A26AF">
        <w:fldChar w:fldCharType="begin"/>
      </w:r>
      <w:r w:rsidRPr="002A26AF">
        <w:instrText xml:space="preserve"> REF _Ref205160511 \h </w:instrText>
      </w:r>
      <w:r>
        <w:instrText xml:space="preserve"> \* MERGEFORMAT </w:instrText>
      </w:r>
      <w:r w:rsidRPr="002A26AF">
        <w:fldChar w:fldCharType="separate"/>
      </w:r>
      <w:r w:rsidR="003D56F4" w:rsidRPr="002A26AF">
        <w:t xml:space="preserve">Figure </w:t>
      </w:r>
      <w:r w:rsidR="003D56F4">
        <w:rPr>
          <w:noProof/>
        </w:rPr>
        <w:t>3</w:t>
      </w:r>
      <w:r w:rsidRPr="002A26AF">
        <w:fldChar w:fldCharType="end"/>
      </w:r>
      <w:r w:rsidRPr="002A26AF">
        <w:t xml:space="preserve"> have been ordered from lowest-to-highest percentage of responses for the category, </w:t>
      </w:r>
      <w:r>
        <w:t>‘</w:t>
      </w:r>
      <w:r w:rsidRPr="00493BC9">
        <w:rPr>
          <w:b/>
          <w:bCs/>
        </w:rPr>
        <w:t>very</w:t>
      </w:r>
      <w:r>
        <w:t xml:space="preserve"> </w:t>
      </w:r>
      <w:r w:rsidRPr="00493BC9">
        <w:rPr>
          <w:b/>
          <w:bCs/>
        </w:rPr>
        <w:t>low</w:t>
      </w:r>
      <w:r w:rsidRPr="002A26AF">
        <w:t xml:space="preserve"> proportion of vacancies filled</w:t>
      </w:r>
      <w:r>
        <w:t>’</w:t>
      </w:r>
      <w:r w:rsidRPr="002A26AF">
        <w:t xml:space="preserve"> (rather than by ANZSCO number).</w:t>
      </w:r>
    </w:p>
  </w:footnote>
  <w:footnote w:id="13">
    <w:p w14:paraId="366CF389" w14:textId="77777777" w:rsidR="00C56168" w:rsidRPr="002A26AF" w:rsidRDefault="00C56168" w:rsidP="00C56168">
      <w:pPr>
        <w:pStyle w:val="FootnoteText"/>
      </w:pPr>
      <w:r w:rsidRPr="002A26AF">
        <w:rPr>
          <w:rStyle w:val="FootnoteReference"/>
        </w:rPr>
        <w:footnoteRef/>
      </w:r>
      <w:r w:rsidRPr="002A26AF">
        <w:t xml:space="preserve"> </w:t>
      </w:r>
      <w:r>
        <w:t xml:space="preserve">Jobs and Skills Australia uses a fill rate threshold of 67% to determine the likelihood of an occupation shortage, with fill rates below 67% implying a higher likelihood of an occupation in shortage. However, to ensure assessments of occupations are comprehensive, the </w:t>
      </w:r>
      <w:r w:rsidRPr="00493BC9">
        <w:t>OSL methodology</w:t>
      </w:r>
      <w:r>
        <w:t xml:space="preserve"> considers a broader set of evidence beyond fill rates. Consequently, not all occupations with a fill rate below 67% are assessed as being in shortage and not all occupations with fill rates above 67% are automatically assessed as not in shortage. </w:t>
      </w:r>
    </w:p>
  </w:footnote>
  <w:footnote w:id="14">
    <w:p w14:paraId="28F5702A" w14:textId="77777777" w:rsidR="00465255" w:rsidRDefault="00465255" w:rsidP="00465255">
      <w:pPr>
        <w:pStyle w:val="FootnoteText"/>
      </w:pPr>
      <w:r>
        <w:rPr>
          <w:rStyle w:val="FootnoteReference"/>
        </w:rPr>
        <w:footnoteRef/>
      </w:r>
      <w:r>
        <w:t xml:space="preserve"> These calculations were based on 4,768 data items derived from the 1,874 responses. Where a single response was for multiple jurisdictions combined, these jurisdictions were counted separately.</w:t>
      </w:r>
    </w:p>
  </w:footnote>
  <w:footnote w:id="15">
    <w:p w14:paraId="5AB3E078" w14:textId="77777777" w:rsidR="00FE6A42" w:rsidRDefault="00FE6A42" w:rsidP="00FE6A42">
      <w:pPr>
        <w:pStyle w:val="FootnoteText"/>
      </w:pPr>
      <w:r>
        <w:rPr>
          <w:rStyle w:val="FootnoteReference"/>
        </w:rPr>
        <w:footnoteRef/>
      </w:r>
      <w:r>
        <w:t xml:space="preserve"> These calculations were based on 1,874 responses. The category ‘both’ is a separate category and not a total.</w:t>
      </w:r>
    </w:p>
  </w:footnote>
  <w:footnote w:id="16">
    <w:p w14:paraId="17F45F54" w14:textId="77777777" w:rsidR="009467B2" w:rsidRPr="002A26AF" w:rsidRDefault="009467B2" w:rsidP="009467B2">
      <w:pPr>
        <w:pStyle w:val="FootnoteText"/>
      </w:pPr>
      <w:r w:rsidRPr="002A26AF">
        <w:rPr>
          <w:rStyle w:val="FootnoteReference"/>
        </w:rPr>
        <w:footnoteRef/>
      </w:r>
      <w:r w:rsidRPr="002A26AF">
        <w:t xml:space="preserve"> There were 2,21</w:t>
      </w:r>
      <w:r>
        <w:t>1</w:t>
      </w:r>
      <w:r w:rsidRPr="002A26AF">
        <w:t xml:space="preserve"> responses analysed for the question,</w:t>
      </w:r>
      <w:r>
        <w:t xml:space="preserve"> </w:t>
      </w:r>
      <w:r w:rsidRPr="00493BC9">
        <w:rPr>
          <w:i/>
          <w:iCs/>
        </w:rPr>
        <w:t>‘Between January – December 2024, how much demand was there for [occupation] compared to 2023?’</w:t>
      </w:r>
    </w:p>
  </w:footnote>
  <w:footnote w:id="17">
    <w:p w14:paraId="3B9D5DAC" w14:textId="64F7EA86" w:rsidR="00C56168" w:rsidRPr="002A26AF" w:rsidRDefault="00C56168" w:rsidP="00C56168">
      <w:pPr>
        <w:pStyle w:val="FootnoteText"/>
      </w:pPr>
      <w:r w:rsidRPr="002A26AF">
        <w:rPr>
          <w:rStyle w:val="FootnoteReference"/>
        </w:rPr>
        <w:footnoteRef/>
      </w:r>
      <w:r w:rsidRPr="002A26AF">
        <w:t xml:space="preserve"> For ease of reporting and visualising, the major groups in </w:t>
      </w:r>
      <w:r w:rsidR="00D758A7">
        <w:fldChar w:fldCharType="begin"/>
      </w:r>
      <w:r w:rsidR="00D758A7">
        <w:instrText xml:space="preserve"> REF _Ref205215474 \h </w:instrText>
      </w:r>
      <w:r w:rsidR="00D758A7">
        <w:fldChar w:fldCharType="separate"/>
      </w:r>
      <w:r w:rsidR="003D56F4" w:rsidRPr="008B760D">
        <w:t xml:space="preserve">Figure </w:t>
      </w:r>
      <w:r w:rsidR="003D56F4">
        <w:rPr>
          <w:noProof/>
        </w:rPr>
        <w:t>7</w:t>
      </w:r>
      <w:r w:rsidR="00D758A7">
        <w:fldChar w:fldCharType="end"/>
      </w:r>
      <w:r w:rsidR="00D758A7">
        <w:t xml:space="preserve"> </w:t>
      </w:r>
      <w:r w:rsidRPr="002A26AF">
        <w:t>have been ordered from lowest-to-highest percentage of responses for the category, undersupply of skills (rather than ANZSCO number).</w:t>
      </w:r>
    </w:p>
  </w:footnote>
  <w:footnote w:id="18">
    <w:p w14:paraId="35DC0040" w14:textId="77777777" w:rsidR="00FD6D8E" w:rsidRPr="002A26AF" w:rsidRDefault="00FD6D8E" w:rsidP="00FD6D8E">
      <w:pPr>
        <w:pStyle w:val="FootnoteText"/>
      </w:pPr>
      <w:r w:rsidRPr="002A26AF">
        <w:rPr>
          <w:rStyle w:val="FootnoteReference"/>
        </w:rPr>
        <w:footnoteRef/>
      </w:r>
      <w:r w:rsidRPr="002A26AF">
        <w:t xml:space="preserve"> There were 2,212 responses analysed for the question, ‘</w:t>
      </w:r>
      <w:r w:rsidRPr="002A26AF">
        <w:rPr>
          <w:i/>
          <w:iCs/>
        </w:rPr>
        <w:t>Between</w:t>
      </w:r>
      <w:r w:rsidRPr="002A26AF">
        <w:t xml:space="preserve"> </w:t>
      </w:r>
      <w:r w:rsidRPr="002A26AF">
        <w:rPr>
          <w:i/>
        </w:rPr>
        <w:t>January – December 2024, what was the supply of suitably skilled workers who applied for vacancies?</w:t>
      </w:r>
      <w:r w:rsidRPr="002A26AF">
        <w:t>’.</w:t>
      </w:r>
    </w:p>
  </w:footnote>
  <w:footnote w:id="19">
    <w:p w14:paraId="12C8385F" w14:textId="77777777" w:rsidR="006A2173" w:rsidRPr="00D51F85" w:rsidRDefault="006A2173" w:rsidP="006A2173">
      <w:pPr>
        <w:pStyle w:val="FootnoteText"/>
      </w:pPr>
      <w:r w:rsidRPr="002A26AF">
        <w:rPr>
          <w:rStyle w:val="FootnoteReference"/>
        </w:rPr>
        <w:footnoteRef/>
      </w:r>
      <w:r w:rsidRPr="002A26AF">
        <w:t xml:space="preserve"> </w:t>
      </w:r>
      <w:r>
        <w:t xml:space="preserve">The analysis in this section is based on </w:t>
      </w:r>
      <w:r w:rsidRPr="002A26AF">
        <w:t>2,</w:t>
      </w:r>
      <w:r>
        <w:t>386</w:t>
      </w:r>
      <w:r w:rsidRPr="002A26AF">
        <w:t xml:space="preserve"> responses to the question, </w:t>
      </w:r>
      <w:r w:rsidRPr="00493BC9">
        <w:rPr>
          <w:i/>
          <w:iCs/>
        </w:rPr>
        <w:t xml:space="preserve">‘For the occupation [occupation name], between January – December 2024, which was the </w:t>
      </w:r>
      <w:r w:rsidRPr="00493BC9">
        <w:rPr>
          <w:b/>
          <w:bCs/>
          <w:i/>
          <w:iCs/>
        </w:rPr>
        <w:t>main challenge</w:t>
      </w:r>
      <w:r w:rsidRPr="00493BC9">
        <w:rPr>
          <w:i/>
          <w:iCs/>
        </w:rPr>
        <w:t xml:space="preserve"> you found with job applicants?’</w:t>
      </w:r>
      <w:r>
        <w:t xml:space="preserve">. This question was a follow on from, </w:t>
      </w:r>
      <w:r w:rsidRPr="00493BC9">
        <w:rPr>
          <w:i/>
          <w:iCs/>
        </w:rPr>
        <w:t xml:space="preserve">‘For the occupation [occupation name], between January – December 2024, </w:t>
      </w:r>
      <w:r>
        <w:rPr>
          <w:i/>
          <w:iCs/>
        </w:rPr>
        <w:t xml:space="preserve">what </w:t>
      </w:r>
      <w:r w:rsidRPr="00493BC9">
        <w:rPr>
          <w:b/>
          <w:bCs/>
          <w:i/>
          <w:iCs/>
        </w:rPr>
        <w:t>were the challenges</w:t>
      </w:r>
      <w:r w:rsidRPr="00493BC9">
        <w:rPr>
          <w:i/>
          <w:iCs/>
        </w:rPr>
        <w:t xml:space="preserve"> you found with job applicants?’</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939" w14:textId="77777777" w:rsidR="00A67B12" w:rsidRPr="0030592C" w:rsidRDefault="00A67B12" w:rsidP="00A67B12">
    <w:pPr>
      <w:pStyle w:val="Header"/>
    </w:pPr>
  </w:p>
  <w:p w14:paraId="0A25B9BD"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E0DD" w14:textId="77777777" w:rsidR="00A67B12" w:rsidRPr="00A67B12" w:rsidRDefault="00A67B12" w:rsidP="00A67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316B" w14:textId="14531E91" w:rsidR="00C56168" w:rsidRDefault="00C56168">
    <w:pPr>
      <w:pStyle w:val="Header"/>
    </w:pPr>
  </w:p>
  <w:p w14:paraId="0B2BB722" w14:textId="77777777" w:rsidR="00C56168" w:rsidRDefault="00C561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6050" w14:textId="77777777" w:rsidR="00C56168" w:rsidRDefault="00C56168">
    <w:pPr>
      <w:pStyle w:val="Header"/>
    </w:pPr>
  </w:p>
  <w:p w14:paraId="47CEA0B9" w14:textId="77777777" w:rsidR="00C56168" w:rsidRDefault="00C56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34586124"/>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6365D31"/>
    <w:multiLevelType w:val="multilevel"/>
    <w:tmpl w:val="CAB28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D4A54D4"/>
    <w:multiLevelType w:val="hybridMultilevel"/>
    <w:tmpl w:val="46F0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304D0"/>
    <w:multiLevelType w:val="multilevel"/>
    <w:tmpl w:val="56043EA4"/>
    <w:numStyleLink w:val="TableListBulletmaster"/>
  </w:abstractNum>
  <w:abstractNum w:abstractNumId="12" w15:restartNumberingAfterBreak="0">
    <w:nsid w:val="1EAB44D9"/>
    <w:multiLevelType w:val="hybridMultilevel"/>
    <w:tmpl w:val="1CCC3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695D78"/>
    <w:multiLevelType w:val="multilevel"/>
    <w:tmpl w:val="EAA2F742"/>
    <w:numStyleLink w:val="TableListNumbermaster"/>
  </w:abstractNum>
  <w:abstractNum w:abstractNumId="15" w15:restartNumberingAfterBreak="0">
    <w:nsid w:val="242839DB"/>
    <w:multiLevelType w:val="multilevel"/>
    <w:tmpl w:val="6ABC4660"/>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B600C2"/>
    <w:multiLevelType w:val="hybridMultilevel"/>
    <w:tmpl w:val="89E24F20"/>
    <w:lvl w:ilvl="0" w:tplc="D952DD7C">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7" w15:restartNumberingAfterBreak="0">
    <w:nsid w:val="2C0E4DE9"/>
    <w:multiLevelType w:val="multilevel"/>
    <w:tmpl w:val="56043EA4"/>
    <w:numStyleLink w:val="TableListBulletmaster"/>
  </w:abstractNum>
  <w:abstractNum w:abstractNumId="18"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C415FF"/>
    <w:multiLevelType w:val="multilevel"/>
    <w:tmpl w:val="113457F2"/>
    <w:numStyleLink w:val="Headingsmaster"/>
  </w:abstractNum>
  <w:abstractNum w:abstractNumId="20" w15:restartNumberingAfterBreak="0">
    <w:nsid w:val="311066B6"/>
    <w:multiLevelType w:val="multilevel"/>
    <w:tmpl w:val="113457F2"/>
    <w:numStyleLink w:val="Headingsmaster"/>
  </w:abstractNum>
  <w:abstractNum w:abstractNumId="21" w15:restartNumberingAfterBreak="0">
    <w:nsid w:val="34666B61"/>
    <w:multiLevelType w:val="multilevel"/>
    <w:tmpl w:val="113457F2"/>
    <w:numStyleLink w:val="Headingsmaster"/>
  </w:abstractNum>
  <w:abstractNum w:abstractNumId="22" w15:restartNumberingAfterBreak="0">
    <w:nsid w:val="36B75813"/>
    <w:multiLevelType w:val="multilevel"/>
    <w:tmpl w:val="0D96AACA"/>
    <w:numStyleLink w:val="AppendixHeadingmaster"/>
  </w:abstractNum>
  <w:abstractNum w:abstractNumId="23" w15:restartNumberingAfterBreak="0">
    <w:nsid w:val="3C9723CF"/>
    <w:multiLevelType w:val="multilevel"/>
    <w:tmpl w:val="56043EA4"/>
    <w:numStyleLink w:val="TableListBulletmaster"/>
  </w:abstractNum>
  <w:abstractNum w:abstractNumId="24" w15:restartNumberingAfterBreak="0">
    <w:nsid w:val="3C9F68FB"/>
    <w:multiLevelType w:val="multilevel"/>
    <w:tmpl w:val="113457F2"/>
    <w:numStyleLink w:val="Headingsmaster"/>
  </w:abstractNum>
  <w:abstractNum w:abstractNumId="25" w15:restartNumberingAfterBreak="0">
    <w:nsid w:val="44844ACE"/>
    <w:multiLevelType w:val="hybridMultilevel"/>
    <w:tmpl w:val="313AE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84D764C"/>
    <w:multiLevelType w:val="multilevel"/>
    <w:tmpl w:val="EAA2F742"/>
    <w:numStyleLink w:val="TableListNumbermaster"/>
  </w:abstractNum>
  <w:abstractNum w:abstractNumId="28" w15:restartNumberingAfterBreak="0">
    <w:nsid w:val="51910100"/>
    <w:multiLevelType w:val="multilevel"/>
    <w:tmpl w:val="113457F2"/>
    <w:numStyleLink w:val="Headingsmaster"/>
  </w:abstractNum>
  <w:abstractNum w:abstractNumId="29"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331A48"/>
    <w:multiLevelType w:val="hybridMultilevel"/>
    <w:tmpl w:val="C18A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32D74CC"/>
    <w:multiLevelType w:val="multilevel"/>
    <w:tmpl w:val="0D96AACA"/>
    <w:numStyleLink w:val="AppendixHeadingmaster"/>
  </w:abstractNum>
  <w:abstractNum w:abstractNumId="34" w15:restartNumberingAfterBreak="0">
    <w:nsid w:val="648E6CBA"/>
    <w:multiLevelType w:val="multilevel"/>
    <w:tmpl w:val="34586124"/>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E659CA"/>
    <w:multiLevelType w:val="multilevel"/>
    <w:tmpl w:val="34586124"/>
    <w:numStyleLink w:val="ListBulletmaster"/>
  </w:abstractNum>
  <w:abstractNum w:abstractNumId="36" w15:restartNumberingAfterBreak="0">
    <w:nsid w:val="6B4C12B8"/>
    <w:multiLevelType w:val="multilevel"/>
    <w:tmpl w:val="113457F2"/>
    <w:numStyleLink w:val="Headingsmaster"/>
  </w:abstractNum>
  <w:abstractNum w:abstractNumId="37" w15:restartNumberingAfterBreak="0">
    <w:nsid w:val="6C3F031A"/>
    <w:multiLevelType w:val="multilevel"/>
    <w:tmpl w:val="6ABC4660"/>
    <w:numStyleLink w:val="ListLegalmaster"/>
  </w:abstractNum>
  <w:abstractNum w:abstractNumId="38" w15:restartNumberingAfterBreak="0">
    <w:nsid w:val="71077532"/>
    <w:multiLevelType w:val="hybridMultilevel"/>
    <w:tmpl w:val="9224D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183F44"/>
    <w:multiLevelType w:val="hybridMultilevel"/>
    <w:tmpl w:val="9A1E1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9741B46"/>
    <w:multiLevelType w:val="hybridMultilevel"/>
    <w:tmpl w:val="78200794"/>
    <w:lvl w:ilvl="0" w:tplc="FBB847D8">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F8707D"/>
    <w:multiLevelType w:val="multilevel"/>
    <w:tmpl w:val="6ABC4660"/>
    <w:numStyleLink w:val="ListLegalmaster"/>
  </w:abstractNum>
  <w:abstractNum w:abstractNumId="42" w15:restartNumberingAfterBreak="0">
    <w:nsid w:val="7D6D1012"/>
    <w:multiLevelType w:val="multilevel"/>
    <w:tmpl w:val="EAA2F742"/>
    <w:numStyleLink w:val="TableListNumbermaster"/>
  </w:abstractNum>
  <w:abstractNum w:abstractNumId="43" w15:restartNumberingAfterBreak="0">
    <w:nsid w:val="7D881735"/>
    <w:multiLevelType w:val="multilevel"/>
    <w:tmpl w:val="113457F2"/>
    <w:numStyleLink w:val="Headingsmaster"/>
  </w:abstractNum>
  <w:abstractNum w:abstractNumId="44" w15:restartNumberingAfterBreak="0">
    <w:nsid w:val="7F150B28"/>
    <w:multiLevelType w:val="hybridMultilevel"/>
    <w:tmpl w:val="7440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8336156">
    <w:abstractNumId w:val="3"/>
  </w:num>
  <w:num w:numId="2" w16cid:durableId="1950045772">
    <w:abstractNumId w:val="32"/>
  </w:num>
  <w:num w:numId="3" w16cid:durableId="290287643">
    <w:abstractNumId w:val="8"/>
  </w:num>
  <w:num w:numId="4" w16cid:durableId="1869679674">
    <w:abstractNumId w:val="34"/>
  </w:num>
  <w:num w:numId="5" w16cid:durableId="2032871560">
    <w:abstractNumId w:val="18"/>
  </w:num>
  <w:num w:numId="6" w16cid:durableId="310910324">
    <w:abstractNumId w:val="30"/>
  </w:num>
  <w:num w:numId="7" w16cid:durableId="753476416">
    <w:abstractNumId w:val="13"/>
  </w:num>
  <w:num w:numId="8" w16cid:durableId="1722048815">
    <w:abstractNumId w:val="2"/>
  </w:num>
  <w:num w:numId="9" w16cid:durableId="1790736337">
    <w:abstractNumId w:val="26"/>
  </w:num>
  <w:num w:numId="10" w16cid:durableId="1926304350">
    <w:abstractNumId w:val="5"/>
  </w:num>
  <w:num w:numId="11" w16cid:durableId="874537139">
    <w:abstractNumId w:val="35"/>
  </w:num>
  <w:num w:numId="12" w16cid:durableId="759377971">
    <w:abstractNumId w:val="9"/>
  </w:num>
  <w:num w:numId="13" w16cid:durableId="107823657">
    <w:abstractNumId w:val="15"/>
  </w:num>
  <w:num w:numId="14" w16cid:durableId="1930505832">
    <w:abstractNumId w:val="41"/>
  </w:num>
  <w:num w:numId="15" w16cid:durableId="1858039008">
    <w:abstractNumId w:val="36"/>
  </w:num>
  <w:num w:numId="16" w16cid:durableId="1409770210">
    <w:abstractNumId w:val="33"/>
  </w:num>
  <w:num w:numId="17" w16cid:durableId="95685893">
    <w:abstractNumId w:val="37"/>
  </w:num>
  <w:num w:numId="18" w16cid:durableId="770515265">
    <w:abstractNumId w:val="15"/>
  </w:num>
  <w:num w:numId="19" w16cid:durableId="713041904">
    <w:abstractNumId w:val="37"/>
  </w:num>
  <w:num w:numId="20" w16cid:durableId="2057582421">
    <w:abstractNumId w:val="37"/>
  </w:num>
  <w:num w:numId="21" w16cid:durableId="2062821214">
    <w:abstractNumId w:val="28"/>
  </w:num>
  <w:num w:numId="22" w16cid:durableId="618410884">
    <w:abstractNumId w:val="43"/>
  </w:num>
  <w:num w:numId="23" w16cid:durableId="1320232845">
    <w:abstractNumId w:val="1"/>
  </w:num>
  <w:num w:numId="24" w16cid:durableId="1249077048">
    <w:abstractNumId w:val="11"/>
  </w:num>
  <w:num w:numId="25" w16cid:durableId="1552837590">
    <w:abstractNumId w:val="23"/>
  </w:num>
  <w:num w:numId="26" w16cid:durableId="734856478">
    <w:abstractNumId w:val="42"/>
  </w:num>
  <w:num w:numId="27" w16cid:durableId="1136530311">
    <w:abstractNumId w:val="27"/>
  </w:num>
  <w:num w:numId="28" w16cid:durableId="1221482542">
    <w:abstractNumId w:val="17"/>
  </w:num>
  <w:num w:numId="29" w16cid:durableId="2087678997">
    <w:abstractNumId w:val="14"/>
  </w:num>
  <w:num w:numId="30" w16cid:durableId="963854149">
    <w:abstractNumId w:val="0"/>
  </w:num>
  <w:num w:numId="31" w16cid:durableId="2035225280">
    <w:abstractNumId w:val="4"/>
  </w:num>
  <w:num w:numId="32" w16cid:durableId="1742405919">
    <w:abstractNumId w:val="22"/>
    <w:lvlOverride w:ilvl="0">
      <w:lvl w:ilvl="0">
        <w:start w:val="1"/>
        <w:numFmt w:val="upperLetter"/>
        <w:pStyle w:val="AppendixHeading1"/>
        <w:lvlText w:val="Appendix %1"/>
        <w:lvlJc w:val="left"/>
        <w:pPr>
          <w:ind w:left="2268" w:hanging="2268"/>
        </w:pPr>
      </w:lvl>
    </w:lvlOverride>
  </w:num>
  <w:num w:numId="33" w16cid:durableId="411391810">
    <w:abstractNumId w:val="24"/>
  </w:num>
  <w:num w:numId="34" w16cid:durableId="1442914095">
    <w:abstractNumId w:val="7"/>
  </w:num>
  <w:num w:numId="35" w16cid:durableId="691956747">
    <w:abstractNumId w:val="21"/>
  </w:num>
  <w:num w:numId="36" w16cid:durableId="1156337329">
    <w:abstractNumId w:val="19"/>
  </w:num>
  <w:num w:numId="37" w16cid:durableId="1349261214">
    <w:abstractNumId w:val="20"/>
  </w:num>
  <w:num w:numId="38" w16cid:durableId="634800952">
    <w:abstractNumId w:val="1"/>
  </w:num>
  <w:num w:numId="39" w16cid:durableId="1079055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9363470">
    <w:abstractNumId w:val="10"/>
  </w:num>
  <w:num w:numId="41" w16cid:durableId="1241715500">
    <w:abstractNumId w:val="25"/>
  </w:num>
  <w:num w:numId="42" w16cid:durableId="1552033512">
    <w:abstractNumId w:val="31"/>
  </w:num>
  <w:num w:numId="43" w16cid:durableId="1247570878">
    <w:abstractNumId w:val="12"/>
  </w:num>
  <w:num w:numId="44" w16cid:durableId="1722287359">
    <w:abstractNumId w:val="16"/>
  </w:num>
  <w:num w:numId="45" w16cid:durableId="1915041441">
    <w:abstractNumId w:val="39"/>
  </w:num>
  <w:num w:numId="46" w16cid:durableId="858272677">
    <w:abstractNumId w:val="38"/>
  </w:num>
  <w:num w:numId="47" w16cid:durableId="33165082">
    <w:abstractNumId w:val="44"/>
  </w:num>
  <w:num w:numId="48" w16cid:durableId="1178732140">
    <w:abstractNumId w:val="40"/>
  </w:num>
  <w:num w:numId="49" w16cid:durableId="172713991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C56168"/>
    <w:rsid w:val="00004687"/>
    <w:rsid w:val="00005ECE"/>
    <w:rsid w:val="00007A73"/>
    <w:rsid w:val="00010BC1"/>
    <w:rsid w:val="00011665"/>
    <w:rsid w:val="0001365E"/>
    <w:rsid w:val="00016624"/>
    <w:rsid w:val="000246A1"/>
    <w:rsid w:val="0002738A"/>
    <w:rsid w:val="000362A7"/>
    <w:rsid w:val="0004039B"/>
    <w:rsid w:val="000419F4"/>
    <w:rsid w:val="00041B44"/>
    <w:rsid w:val="0004497B"/>
    <w:rsid w:val="00051941"/>
    <w:rsid w:val="00051FB1"/>
    <w:rsid w:val="00055DD6"/>
    <w:rsid w:val="00063B52"/>
    <w:rsid w:val="00066B58"/>
    <w:rsid w:val="000758B0"/>
    <w:rsid w:val="000803B6"/>
    <w:rsid w:val="0008202E"/>
    <w:rsid w:val="000828E6"/>
    <w:rsid w:val="00093021"/>
    <w:rsid w:val="0009644B"/>
    <w:rsid w:val="000A1DAA"/>
    <w:rsid w:val="000A4D2F"/>
    <w:rsid w:val="000A53F7"/>
    <w:rsid w:val="000B4AFA"/>
    <w:rsid w:val="000C3E1F"/>
    <w:rsid w:val="000C629D"/>
    <w:rsid w:val="000D02FA"/>
    <w:rsid w:val="000D481C"/>
    <w:rsid w:val="000F1940"/>
    <w:rsid w:val="000F5CD2"/>
    <w:rsid w:val="000F6A4E"/>
    <w:rsid w:val="00104750"/>
    <w:rsid w:val="001057A3"/>
    <w:rsid w:val="00106E26"/>
    <w:rsid w:val="001134AC"/>
    <w:rsid w:val="00114589"/>
    <w:rsid w:val="00121950"/>
    <w:rsid w:val="00127F9F"/>
    <w:rsid w:val="00131C8E"/>
    <w:rsid w:val="001336B4"/>
    <w:rsid w:val="001346AE"/>
    <w:rsid w:val="00137E20"/>
    <w:rsid w:val="001444B2"/>
    <w:rsid w:val="001646CD"/>
    <w:rsid w:val="00172538"/>
    <w:rsid w:val="001758D3"/>
    <w:rsid w:val="00186429"/>
    <w:rsid w:val="001873F9"/>
    <w:rsid w:val="00192B20"/>
    <w:rsid w:val="001A7E36"/>
    <w:rsid w:val="001C1CF7"/>
    <w:rsid w:val="001C4183"/>
    <w:rsid w:val="001C570B"/>
    <w:rsid w:val="001C5B1D"/>
    <w:rsid w:val="001D1E20"/>
    <w:rsid w:val="001D450D"/>
    <w:rsid w:val="001D519D"/>
    <w:rsid w:val="001E0B94"/>
    <w:rsid w:val="001E6449"/>
    <w:rsid w:val="001F00AA"/>
    <w:rsid w:val="001F60C9"/>
    <w:rsid w:val="001F6ACD"/>
    <w:rsid w:val="00200415"/>
    <w:rsid w:val="00200E7E"/>
    <w:rsid w:val="0020139C"/>
    <w:rsid w:val="00203BC1"/>
    <w:rsid w:val="002148F8"/>
    <w:rsid w:val="0023754A"/>
    <w:rsid w:val="00241524"/>
    <w:rsid w:val="00255C68"/>
    <w:rsid w:val="00264343"/>
    <w:rsid w:val="002739A1"/>
    <w:rsid w:val="00273A0C"/>
    <w:rsid w:val="00281D65"/>
    <w:rsid w:val="00282929"/>
    <w:rsid w:val="0028539D"/>
    <w:rsid w:val="0029121E"/>
    <w:rsid w:val="00291313"/>
    <w:rsid w:val="002A13A9"/>
    <w:rsid w:val="002A1456"/>
    <w:rsid w:val="002A50F4"/>
    <w:rsid w:val="002A51E7"/>
    <w:rsid w:val="002B35F0"/>
    <w:rsid w:val="002B3BCD"/>
    <w:rsid w:val="002D2B0C"/>
    <w:rsid w:val="002E16B6"/>
    <w:rsid w:val="002E3943"/>
    <w:rsid w:val="002E5BAA"/>
    <w:rsid w:val="002F48F5"/>
    <w:rsid w:val="002F70AA"/>
    <w:rsid w:val="0030050F"/>
    <w:rsid w:val="00300713"/>
    <w:rsid w:val="0030592C"/>
    <w:rsid w:val="00307477"/>
    <w:rsid w:val="0030776B"/>
    <w:rsid w:val="00323771"/>
    <w:rsid w:val="003254F1"/>
    <w:rsid w:val="0034147B"/>
    <w:rsid w:val="00343F22"/>
    <w:rsid w:val="00350705"/>
    <w:rsid w:val="003531B8"/>
    <w:rsid w:val="00355334"/>
    <w:rsid w:val="00357970"/>
    <w:rsid w:val="00372AA9"/>
    <w:rsid w:val="00376759"/>
    <w:rsid w:val="00384297"/>
    <w:rsid w:val="00384DA2"/>
    <w:rsid w:val="00390184"/>
    <w:rsid w:val="003918A1"/>
    <w:rsid w:val="00396898"/>
    <w:rsid w:val="003A78C0"/>
    <w:rsid w:val="003A7FC3"/>
    <w:rsid w:val="003B4E58"/>
    <w:rsid w:val="003C655D"/>
    <w:rsid w:val="003C7246"/>
    <w:rsid w:val="003D153D"/>
    <w:rsid w:val="003D2B56"/>
    <w:rsid w:val="003D2E4E"/>
    <w:rsid w:val="003D3450"/>
    <w:rsid w:val="003D56F4"/>
    <w:rsid w:val="003D5739"/>
    <w:rsid w:val="003D6336"/>
    <w:rsid w:val="003D6B5E"/>
    <w:rsid w:val="003D6D56"/>
    <w:rsid w:val="003D75B9"/>
    <w:rsid w:val="003E6856"/>
    <w:rsid w:val="003F0B9B"/>
    <w:rsid w:val="003F212D"/>
    <w:rsid w:val="003F3496"/>
    <w:rsid w:val="003F56F4"/>
    <w:rsid w:val="00402E7E"/>
    <w:rsid w:val="00403DAE"/>
    <w:rsid w:val="00417A45"/>
    <w:rsid w:val="00423298"/>
    <w:rsid w:val="00434ACE"/>
    <w:rsid w:val="00444B69"/>
    <w:rsid w:val="00446CB8"/>
    <w:rsid w:val="00447FC7"/>
    <w:rsid w:val="00452A9D"/>
    <w:rsid w:val="00454B02"/>
    <w:rsid w:val="00465255"/>
    <w:rsid w:val="00470C78"/>
    <w:rsid w:val="004714FB"/>
    <w:rsid w:val="00475689"/>
    <w:rsid w:val="004819B0"/>
    <w:rsid w:val="00485902"/>
    <w:rsid w:val="00486277"/>
    <w:rsid w:val="00490251"/>
    <w:rsid w:val="0049342C"/>
    <w:rsid w:val="00495926"/>
    <w:rsid w:val="004A37CA"/>
    <w:rsid w:val="004A3E75"/>
    <w:rsid w:val="004A5C0C"/>
    <w:rsid w:val="004A69CF"/>
    <w:rsid w:val="004B2435"/>
    <w:rsid w:val="004C2D7F"/>
    <w:rsid w:val="004C34E4"/>
    <w:rsid w:val="004C7276"/>
    <w:rsid w:val="004D3CB9"/>
    <w:rsid w:val="004E0D0F"/>
    <w:rsid w:val="004E15F8"/>
    <w:rsid w:val="004E5A05"/>
    <w:rsid w:val="004F2A8D"/>
    <w:rsid w:val="005002B4"/>
    <w:rsid w:val="005012B2"/>
    <w:rsid w:val="00506B40"/>
    <w:rsid w:val="00517725"/>
    <w:rsid w:val="00517B67"/>
    <w:rsid w:val="0052276C"/>
    <w:rsid w:val="00530F5C"/>
    <w:rsid w:val="00531BFC"/>
    <w:rsid w:val="00537361"/>
    <w:rsid w:val="0054188B"/>
    <w:rsid w:val="0054454E"/>
    <w:rsid w:val="00544654"/>
    <w:rsid w:val="00544EC5"/>
    <w:rsid w:val="00547911"/>
    <w:rsid w:val="00550E2A"/>
    <w:rsid w:val="00553049"/>
    <w:rsid w:val="00557278"/>
    <w:rsid w:val="00561238"/>
    <w:rsid w:val="00565188"/>
    <w:rsid w:val="005705D3"/>
    <w:rsid w:val="00575DC6"/>
    <w:rsid w:val="00576BAF"/>
    <w:rsid w:val="00592C0C"/>
    <w:rsid w:val="00593E65"/>
    <w:rsid w:val="005A6EB7"/>
    <w:rsid w:val="005B058C"/>
    <w:rsid w:val="005B6A04"/>
    <w:rsid w:val="005C23ED"/>
    <w:rsid w:val="005C5A54"/>
    <w:rsid w:val="005D2B32"/>
    <w:rsid w:val="005D70A0"/>
    <w:rsid w:val="005E26EF"/>
    <w:rsid w:val="005E643E"/>
    <w:rsid w:val="00600004"/>
    <w:rsid w:val="006116A9"/>
    <w:rsid w:val="00631A6E"/>
    <w:rsid w:val="006328AE"/>
    <w:rsid w:val="00640F8F"/>
    <w:rsid w:val="00666CDC"/>
    <w:rsid w:val="00670134"/>
    <w:rsid w:val="006722C0"/>
    <w:rsid w:val="00674ADA"/>
    <w:rsid w:val="006801AE"/>
    <w:rsid w:val="006819D3"/>
    <w:rsid w:val="00686262"/>
    <w:rsid w:val="0069066D"/>
    <w:rsid w:val="00690867"/>
    <w:rsid w:val="00690B2A"/>
    <w:rsid w:val="00693222"/>
    <w:rsid w:val="006A2173"/>
    <w:rsid w:val="006A338E"/>
    <w:rsid w:val="006C554D"/>
    <w:rsid w:val="006D26D8"/>
    <w:rsid w:val="006D2DCB"/>
    <w:rsid w:val="006D2EB5"/>
    <w:rsid w:val="006D4D79"/>
    <w:rsid w:val="006E4F12"/>
    <w:rsid w:val="006F7EA7"/>
    <w:rsid w:val="007067BC"/>
    <w:rsid w:val="00706A82"/>
    <w:rsid w:val="00706D2D"/>
    <w:rsid w:val="00713506"/>
    <w:rsid w:val="007247AF"/>
    <w:rsid w:val="00732448"/>
    <w:rsid w:val="00735B41"/>
    <w:rsid w:val="007410A8"/>
    <w:rsid w:val="00741FFC"/>
    <w:rsid w:val="007433EF"/>
    <w:rsid w:val="00744578"/>
    <w:rsid w:val="00750F61"/>
    <w:rsid w:val="0075216C"/>
    <w:rsid w:val="0076068C"/>
    <w:rsid w:val="00763A8D"/>
    <w:rsid w:val="007665C8"/>
    <w:rsid w:val="007742C1"/>
    <w:rsid w:val="00783BA9"/>
    <w:rsid w:val="0078435A"/>
    <w:rsid w:val="00785AB3"/>
    <w:rsid w:val="007860EA"/>
    <w:rsid w:val="007921B4"/>
    <w:rsid w:val="007961E3"/>
    <w:rsid w:val="007A11E9"/>
    <w:rsid w:val="007A171C"/>
    <w:rsid w:val="007A3E93"/>
    <w:rsid w:val="007B44E0"/>
    <w:rsid w:val="007C1A44"/>
    <w:rsid w:val="007C41BA"/>
    <w:rsid w:val="007C61FB"/>
    <w:rsid w:val="007C7033"/>
    <w:rsid w:val="007C7814"/>
    <w:rsid w:val="007D31D3"/>
    <w:rsid w:val="007E24AE"/>
    <w:rsid w:val="007F2B51"/>
    <w:rsid w:val="00801470"/>
    <w:rsid w:val="00804556"/>
    <w:rsid w:val="008053EC"/>
    <w:rsid w:val="00813600"/>
    <w:rsid w:val="0082152E"/>
    <w:rsid w:val="008331A3"/>
    <w:rsid w:val="00835A0D"/>
    <w:rsid w:val="008364A9"/>
    <w:rsid w:val="008639BF"/>
    <w:rsid w:val="0087069D"/>
    <w:rsid w:val="0087112D"/>
    <w:rsid w:val="00891E50"/>
    <w:rsid w:val="00896D49"/>
    <w:rsid w:val="008A19E4"/>
    <w:rsid w:val="008A22BF"/>
    <w:rsid w:val="008B3D48"/>
    <w:rsid w:val="008B7288"/>
    <w:rsid w:val="008B760D"/>
    <w:rsid w:val="008D078D"/>
    <w:rsid w:val="008D51D3"/>
    <w:rsid w:val="008D7069"/>
    <w:rsid w:val="008E138E"/>
    <w:rsid w:val="008E275C"/>
    <w:rsid w:val="008E368A"/>
    <w:rsid w:val="008E67C3"/>
    <w:rsid w:val="008E73AE"/>
    <w:rsid w:val="008F0338"/>
    <w:rsid w:val="008F39AB"/>
    <w:rsid w:val="009017A6"/>
    <w:rsid w:val="00902D27"/>
    <w:rsid w:val="009076EA"/>
    <w:rsid w:val="009108AE"/>
    <w:rsid w:val="009144E2"/>
    <w:rsid w:val="00924A82"/>
    <w:rsid w:val="00925D48"/>
    <w:rsid w:val="009279DF"/>
    <w:rsid w:val="00933166"/>
    <w:rsid w:val="00936AE6"/>
    <w:rsid w:val="00943508"/>
    <w:rsid w:val="009467B2"/>
    <w:rsid w:val="009508E1"/>
    <w:rsid w:val="009574A1"/>
    <w:rsid w:val="0096427B"/>
    <w:rsid w:val="00970D7D"/>
    <w:rsid w:val="0098508D"/>
    <w:rsid w:val="00986ED4"/>
    <w:rsid w:val="00990A6E"/>
    <w:rsid w:val="0099297A"/>
    <w:rsid w:val="009A2DF7"/>
    <w:rsid w:val="009A4CDD"/>
    <w:rsid w:val="009A755C"/>
    <w:rsid w:val="009B1307"/>
    <w:rsid w:val="009B28E9"/>
    <w:rsid w:val="009B3208"/>
    <w:rsid w:val="009B5588"/>
    <w:rsid w:val="009C3CE4"/>
    <w:rsid w:val="009C487A"/>
    <w:rsid w:val="009D0209"/>
    <w:rsid w:val="009D7CB5"/>
    <w:rsid w:val="009E61A1"/>
    <w:rsid w:val="009F0467"/>
    <w:rsid w:val="009F4371"/>
    <w:rsid w:val="009F53CE"/>
    <w:rsid w:val="009F6BB7"/>
    <w:rsid w:val="009F6F10"/>
    <w:rsid w:val="00A1478F"/>
    <w:rsid w:val="00A224A9"/>
    <w:rsid w:val="00A27C27"/>
    <w:rsid w:val="00A50DD0"/>
    <w:rsid w:val="00A540C3"/>
    <w:rsid w:val="00A5748B"/>
    <w:rsid w:val="00A62250"/>
    <w:rsid w:val="00A67B12"/>
    <w:rsid w:val="00A70B32"/>
    <w:rsid w:val="00A729B1"/>
    <w:rsid w:val="00A82296"/>
    <w:rsid w:val="00A947D2"/>
    <w:rsid w:val="00AA53FD"/>
    <w:rsid w:val="00AA5442"/>
    <w:rsid w:val="00AA620F"/>
    <w:rsid w:val="00AA6CDE"/>
    <w:rsid w:val="00AB2AE4"/>
    <w:rsid w:val="00AC0C77"/>
    <w:rsid w:val="00AC33C3"/>
    <w:rsid w:val="00AD7068"/>
    <w:rsid w:val="00AD78FD"/>
    <w:rsid w:val="00AE0185"/>
    <w:rsid w:val="00AE370A"/>
    <w:rsid w:val="00AE375D"/>
    <w:rsid w:val="00AE79AF"/>
    <w:rsid w:val="00B011E1"/>
    <w:rsid w:val="00B11351"/>
    <w:rsid w:val="00B11DB6"/>
    <w:rsid w:val="00B151F9"/>
    <w:rsid w:val="00B1748B"/>
    <w:rsid w:val="00B214CA"/>
    <w:rsid w:val="00B2277D"/>
    <w:rsid w:val="00B23167"/>
    <w:rsid w:val="00B25644"/>
    <w:rsid w:val="00B276F6"/>
    <w:rsid w:val="00B320F0"/>
    <w:rsid w:val="00B36EA7"/>
    <w:rsid w:val="00B42B34"/>
    <w:rsid w:val="00B4491F"/>
    <w:rsid w:val="00B50821"/>
    <w:rsid w:val="00B53908"/>
    <w:rsid w:val="00B708B8"/>
    <w:rsid w:val="00B74938"/>
    <w:rsid w:val="00B76792"/>
    <w:rsid w:val="00B85E05"/>
    <w:rsid w:val="00B96396"/>
    <w:rsid w:val="00BA4D1C"/>
    <w:rsid w:val="00BA65E5"/>
    <w:rsid w:val="00BB23E1"/>
    <w:rsid w:val="00BB3A57"/>
    <w:rsid w:val="00BB71FF"/>
    <w:rsid w:val="00BC1110"/>
    <w:rsid w:val="00BC1B34"/>
    <w:rsid w:val="00BC2D2C"/>
    <w:rsid w:val="00BC4166"/>
    <w:rsid w:val="00BD1E4B"/>
    <w:rsid w:val="00BE3AAD"/>
    <w:rsid w:val="00BF0E94"/>
    <w:rsid w:val="00BF0FCE"/>
    <w:rsid w:val="00BF2858"/>
    <w:rsid w:val="00C014E7"/>
    <w:rsid w:val="00C04227"/>
    <w:rsid w:val="00C05B75"/>
    <w:rsid w:val="00C06D5E"/>
    <w:rsid w:val="00C06FD8"/>
    <w:rsid w:val="00C0785E"/>
    <w:rsid w:val="00C10933"/>
    <w:rsid w:val="00C13883"/>
    <w:rsid w:val="00C15D5E"/>
    <w:rsid w:val="00C33AD2"/>
    <w:rsid w:val="00C41409"/>
    <w:rsid w:val="00C41FAD"/>
    <w:rsid w:val="00C42263"/>
    <w:rsid w:val="00C4441F"/>
    <w:rsid w:val="00C56168"/>
    <w:rsid w:val="00C57B63"/>
    <w:rsid w:val="00C61CCE"/>
    <w:rsid w:val="00C637AE"/>
    <w:rsid w:val="00C6436B"/>
    <w:rsid w:val="00C701F0"/>
    <w:rsid w:val="00C71160"/>
    <w:rsid w:val="00C7129E"/>
    <w:rsid w:val="00C76581"/>
    <w:rsid w:val="00C93617"/>
    <w:rsid w:val="00C948E5"/>
    <w:rsid w:val="00C9553A"/>
    <w:rsid w:val="00CA2EAA"/>
    <w:rsid w:val="00CA539A"/>
    <w:rsid w:val="00CA65C4"/>
    <w:rsid w:val="00CA7879"/>
    <w:rsid w:val="00CB1682"/>
    <w:rsid w:val="00CB577E"/>
    <w:rsid w:val="00CB764A"/>
    <w:rsid w:val="00CC5000"/>
    <w:rsid w:val="00CC559C"/>
    <w:rsid w:val="00CC6102"/>
    <w:rsid w:val="00CC6563"/>
    <w:rsid w:val="00CC6CBC"/>
    <w:rsid w:val="00CC7C02"/>
    <w:rsid w:val="00CE49B6"/>
    <w:rsid w:val="00CF07AC"/>
    <w:rsid w:val="00CF1A90"/>
    <w:rsid w:val="00CF2438"/>
    <w:rsid w:val="00CF5D25"/>
    <w:rsid w:val="00CF6974"/>
    <w:rsid w:val="00CF7AFE"/>
    <w:rsid w:val="00D01FC0"/>
    <w:rsid w:val="00D02E48"/>
    <w:rsid w:val="00D061BF"/>
    <w:rsid w:val="00D064E2"/>
    <w:rsid w:val="00D079E7"/>
    <w:rsid w:val="00D11AC9"/>
    <w:rsid w:val="00D12D0B"/>
    <w:rsid w:val="00D220D1"/>
    <w:rsid w:val="00D270D7"/>
    <w:rsid w:val="00D27C0C"/>
    <w:rsid w:val="00D30491"/>
    <w:rsid w:val="00D32F3C"/>
    <w:rsid w:val="00D33BDF"/>
    <w:rsid w:val="00D33F7A"/>
    <w:rsid w:val="00D362DD"/>
    <w:rsid w:val="00D37869"/>
    <w:rsid w:val="00D45E2F"/>
    <w:rsid w:val="00D5174A"/>
    <w:rsid w:val="00D523CD"/>
    <w:rsid w:val="00D63BF7"/>
    <w:rsid w:val="00D758A7"/>
    <w:rsid w:val="00D819BE"/>
    <w:rsid w:val="00D9037A"/>
    <w:rsid w:val="00D92686"/>
    <w:rsid w:val="00D967D0"/>
    <w:rsid w:val="00D9787C"/>
    <w:rsid w:val="00DA41AA"/>
    <w:rsid w:val="00DB587F"/>
    <w:rsid w:val="00DC4E82"/>
    <w:rsid w:val="00DC6D89"/>
    <w:rsid w:val="00DD0378"/>
    <w:rsid w:val="00DD34CE"/>
    <w:rsid w:val="00DD35E1"/>
    <w:rsid w:val="00DE1694"/>
    <w:rsid w:val="00DF0D08"/>
    <w:rsid w:val="00DF1D80"/>
    <w:rsid w:val="00DF465E"/>
    <w:rsid w:val="00DF610F"/>
    <w:rsid w:val="00E02003"/>
    <w:rsid w:val="00E03B0F"/>
    <w:rsid w:val="00E1026F"/>
    <w:rsid w:val="00E12845"/>
    <w:rsid w:val="00E1428C"/>
    <w:rsid w:val="00E1512C"/>
    <w:rsid w:val="00E16C87"/>
    <w:rsid w:val="00E236EE"/>
    <w:rsid w:val="00E23C2C"/>
    <w:rsid w:val="00E24AC0"/>
    <w:rsid w:val="00E2606C"/>
    <w:rsid w:val="00E26406"/>
    <w:rsid w:val="00E357CE"/>
    <w:rsid w:val="00E41E09"/>
    <w:rsid w:val="00E443F7"/>
    <w:rsid w:val="00E45514"/>
    <w:rsid w:val="00E57245"/>
    <w:rsid w:val="00E60832"/>
    <w:rsid w:val="00E60C9B"/>
    <w:rsid w:val="00E65BED"/>
    <w:rsid w:val="00E71367"/>
    <w:rsid w:val="00E74956"/>
    <w:rsid w:val="00E77B5D"/>
    <w:rsid w:val="00E80AFF"/>
    <w:rsid w:val="00E8176A"/>
    <w:rsid w:val="00E83196"/>
    <w:rsid w:val="00E85CF8"/>
    <w:rsid w:val="00E964CA"/>
    <w:rsid w:val="00EB2373"/>
    <w:rsid w:val="00EB5606"/>
    <w:rsid w:val="00ED2C01"/>
    <w:rsid w:val="00EE0363"/>
    <w:rsid w:val="00EE2558"/>
    <w:rsid w:val="00EF6C90"/>
    <w:rsid w:val="00F15017"/>
    <w:rsid w:val="00F15217"/>
    <w:rsid w:val="00F23E37"/>
    <w:rsid w:val="00F2539E"/>
    <w:rsid w:val="00F2689D"/>
    <w:rsid w:val="00F32810"/>
    <w:rsid w:val="00F331B8"/>
    <w:rsid w:val="00F4121F"/>
    <w:rsid w:val="00F467BA"/>
    <w:rsid w:val="00F51436"/>
    <w:rsid w:val="00F51B9E"/>
    <w:rsid w:val="00F53107"/>
    <w:rsid w:val="00F55EA1"/>
    <w:rsid w:val="00F93306"/>
    <w:rsid w:val="00FA1DEB"/>
    <w:rsid w:val="00FB015F"/>
    <w:rsid w:val="00FB30F4"/>
    <w:rsid w:val="00FB4E9E"/>
    <w:rsid w:val="00FB6136"/>
    <w:rsid w:val="00FC3D02"/>
    <w:rsid w:val="00FC4611"/>
    <w:rsid w:val="00FC4A08"/>
    <w:rsid w:val="00FC4E57"/>
    <w:rsid w:val="00FC556D"/>
    <w:rsid w:val="00FC57A7"/>
    <w:rsid w:val="00FC728C"/>
    <w:rsid w:val="00FD38FF"/>
    <w:rsid w:val="00FD3EE1"/>
    <w:rsid w:val="00FD4B00"/>
    <w:rsid w:val="00FD6818"/>
    <w:rsid w:val="00FD6D8E"/>
    <w:rsid w:val="00FE11A4"/>
    <w:rsid w:val="00FE2E1A"/>
    <w:rsid w:val="00FE6A42"/>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D64A"/>
  <w15:docId w15:val="{30F46855-C58C-46BA-9EEE-B6FEEE13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0" w:unhideWhenUsed="1" w:qFormat="1"/>
    <w:lsdException w:name="List Bullet 3" w:locked="0" w:semiHidden="1" w:uiPriority="0" w:unhideWhenUsed="1" w:qFormat="1"/>
    <w:lsdException w:name="List Bullet 4" w:locked="0" w:semiHidden="1" w:uiPriority="0"/>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38"/>
      </w:numPr>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qFormat/>
    <w:rsid w:val="005002B4"/>
    <w:pPr>
      <w:numPr>
        <w:ilvl w:val="1"/>
        <w:numId w:val="38"/>
      </w:numPr>
      <w:spacing w:before="120" w:after="120" w:line="276" w:lineRule="auto"/>
    </w:pPr>
    <w:rPr>
      <w:rFonts w:eastAsia="Times New Roman" w:cs="Times New Roman"/>
      <w:szCs w:val="24"/>
      <w:lang w:eastAsia="en-GB"/>
    </w:rPr>
  </w:style>
  <w:style w:type="paragraph" w:styleId="ListBullet3">
    <w:name w:val="List Bullet 3"/>
    <w:basedOn w:val="Normal"/>
    <w:qFormat/>
    <w:rsid w:val="005002B4"/>
    <w:pPr>
      <w:numPr>
        <w:ilvl w:val="2"/>
        <w:numId w:val="38"/>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pPr>
    <w:rPr>
      <w:rFonts w:eastAsia="Times New Roman" w:cs="Times New Roman"/>
      <w:szCs w:val="24"/>
      <w:lang w:eastAsia="en-GB"/>
    </w:rPr>
  </w:style>
  <w:style w:type="paragraph" w:styleId="NoSpacing">
    <w:name w:val="No Spacing"/>
    <w:link w:val="NoSpacingChar"/>
    <w:uiPriority w:val="1"/>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8"/>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18"/>
      </w:numPr>
      <w:tabs>
        <w:tab w:val="left" w:pos="1077"/>
      </w:tabs>
    </w:pPr>
  </w:style>
  <w:style w:type="paragraph" w:customStyle="1" w:styleId="ListLegal3">
    <w:name w:val="List Legal 3"/>
    <w:basedOn w:val="ListLegal2"/>
    <w:uiPriority w:val="8"/>
    <w:semiHidden/>
    <w:qFormat/>
    <w:rsid w:val="00291313"/>
    <w:pPr>
      <w:numPr>
        <w:ilvl w:val="2"/>
        <w:numId w:val="20"/>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paragraph" w:styleId="Revision">
    <w:name w:val="Revision"/>
    <w:hidden/>
    <w:uiPriority w:val="99"/>
    <w:semiHidden/>
    <w:rsid w:val="00C56168"/>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C56168"/>
    <w:rPr>
      <w:sz w:val="16"/>
      <w:szCs w:val="16"/>
    </w:rPr>
  </w:style>
  <w:style w:type="paragraph" w:styleId="CommentText">
    <w:name w:val="annotation text"/>
    <w:basedOn w:val="Normal"/>
    <w:link w:val="CommentTextChar"/>
    <w:uiPriority w:val="99"/>
    <w:semiHidden/>
    <w:rsid w:val="00C56168"/>
    <w:rPr>
      <w:sz w:val="20"/>
    </w:rPr>
  </w:style>
  <w:style w:type="character" w:customStyle="1" w:styleId="CommentTextChar">
    <w:name w:val="Comment Text Char"/>
    <w:basedOn w:val="DefaultParagraphFont"/>
    <w:link w:val="CommentText"/>
    <w:uiPriority w:val="99"/>
    <w:semiHidden/>
    <w:rsid w:val="00C56168"/>
    <w:rPr>
      <w:rFonts w:ascii="Arial" w:hAnsi="Arial"/>
      <w:lang w:val="en-AU"/>
    </w:rPr>
  </w:style>
  <w:style w:type="paragraph" w:styleId="CommentSubject">
    <w:name w:val="annotation subject"/>
    <w:basedOn w:val="CommentText"/>
    <w:next w:val="CommentText"/>
    <w:link w:val="CommentSubjectChar"/>
    <w:uiPriority w:val="99"/>
    <w:semiHidden/>
    <w:rsid w:val="00C56168"/>
    <w:rPr>
      <w:b/>
      <w:bCs/>
    </w:rPr>
  </w:style>
  <w:style w:type="character" w:customStyle="1" w:styleId="CommentSubjectChar">
    <w:name w:val="Comment Subject Char"/>
    <w:basedOn w:val="CommentTextChar"/>
    <w:link w:val="CommentSubject"/>
    <w:uiPriority w:val="99"/>
    <w:semiHidden/>
    <w:rsid w:val="00C56168"/>
    <w:rPr>
      <w:rFonts w:ascii="Arial" w:hAnsi="Arial"/>
      <w:b/>
      <w:bCs/>
      <w:lang w:val="en-AU"/>
    </w:rPr>
  </w:style>
  <w:style w:type="paragraph" w:styleId="ListBullet4">
    <w:name w:val="List Bullet 4"/>
    <w:basedOn w:val="ListBullet3"/>
    <w:semiHidden/>
    <w:rsid w:val="00C56168"/>
    <w:pPr>
      <w:numPr>
        <w:ilvl w:val="0"/>
        <w:numId w:val="0"/>
      </w:numPr>
      <w:spacing w:before="0" w:after="100" w:line="240" w:lineRule="atLeast"/>
      <w:ind w:left="1360" w:hanging="340"/>
    </w:pPr>
    <w:rPr>
      <w:rFonts w:eastAsia="SimSun"/>
      <w:spacing w:val="-1"/>
      <w:szCs w:val="20"/>
      <w:lang w:val="en-GB"/>
    </w:rPr>
  </w:style>
  <w:style w:type="character" w:styleId="Mention">
    <w:name w:val="Mention"/>
    <w:basedOn w:val="DefaultParagraphFont"/>
    <w:uiPriority w:val="99"/>
    <w:semiHidden/>
    <w:rsid w:val="00C56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5559">
      <w:bodyDiv w:val="1"/>
      <w:marLeft w:val="0"/>
      <w:marRight w:val="0"/>
      <w:marTop w:val="0"/>
      <w:marBottom w:val="0"/>
      <w:divBdr>
        <w:top w:val="none" w:sz="0" w:space="0" w:color="auto"/>
        <w:left w:val="none" w:sz="0" w:space="0" w:color="auto"/>
        <w:bottom w:val="none" w:sz="0" w:space="0" w:color="auto"/>
        <w:right w:val="none" w:sz="0" w:space="0" w:color="auto"/>
      </w:divBdr>
    </w:div>
    <w:div w:id="35617888">
      <w:bodyDiv w:val="1"/>
      <w:marLeft w:val="0"/>
      <w:marRight w:val="0"/>
      <w:marTop w:val="0"/>
      <w:marBottom w:val="0"/>
      <w:divBdr>
        <w:top w:val="none" w:sz="0" w:space="0" w:color="auto"/>
        <w:left w:val="none" w:sz="0" w:space="0" w:color="auto"/>
        <w:bottom w:val="none" w:sz="0" w:space="0" w:color="auto"/>
        <w:right w:val="none" w:sz="0" w:space="0" w:color="auto"/>
      </w:divBdr>
    </w:div>
    <w:div w:id="417211049">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27909593">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82723714">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63886472">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21" Type="http://schemas.openxmlformats.org/officeDocument/2006/relationships/chart" Target="charts/chart1.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chart" Target="charts/chart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glossaryDocument" Target="glossary/document.xml"/><Relationship Id="rId10" Type="http://schemas.openxmlformats.org/officeDocument/2006/relationships/endnotes" Target="endnotes.xml"/><Relationship Id="rId19" Type="http://schemas.microsoft.com/office/2014/relationships/chartEx" Target="charts/chartEx1.xml"/><Relationship Id="rId31"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classifications/anzsco-australian-and-new-zealand-standard-classification-occupations/latest-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JSA-Intranet/Files/Resource%20Library/JSA%20Templates/JSA%20Regular%20Report%20Template.dotx?OR=81dd2b71-fb82-4b33-ac71-fed46bf0f87a&amp;CID=1d39c4a1-c095-5000-ed8a-18e6cbe63b05&amp;CT=175807880517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7.%20Staff%20workings%20folder\Claudine's%20folder\2025\json\one_time_export_SV_7TJJ37nLaXsoMJM.json\Stakeholder%20Snapshot%20Report\Stakeholder%20Snapshot%20Fig%202,3,4%20ONLY%20Workbook%20v1.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1.%20Stakeholder%20survey/Stakeholder%20Snapshot%20Workbook%20v3.xlsx"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haredservicescentre.sharepoint.com/sites/DESE-Workforce-Analysis-TEAM/Shared%20Documents/General/04.%20OSL%20(SPL)%20documents/03.%202025/01.%20Stakeholder%20survey/Stakeholder%20Snapshot%20Workbook%20v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7.%20Staff%20workings%20folder\Claudine's%20folder\2025\json\one_time_export_SV_7TJJ37nLaXsoMJM.json\Stakeholder%20Snapshot%20Report\Stakeholder%20Snapshot%20Fig%202,3,4%20ONLY%20Workbook%20v1.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1.%20Stakeholder%20survey/Stakeholder%20Snapshot%20Fig%202,3,4%20ONLY%20Workbook%20v1%20for%20QA.xlsx"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sharedservicescentre.sharepoint.com/sites/DESE-Workforce-Analysis-TEAM/Shared%20Documents/General/04.%20OSL%20(SPL)%20documents/03.%202025/01.%20Stakeholder%20survey/Stakeholder%20Snapshot%20Workbook%20v3.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sharedservicescentre.sharepoint.com/sites/DESE-Workforce-Analysis-TEAM/Shared%20Documents/General/04.%20OSL%20(SPL)%20documents/03.%202025/01.%20Stakeholder%20survey/Stakeholder%20Snapshot%20Workbook%20v3.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7.%20Staff%20workings%20folder\Claudine's%20folder\2025\json\one_time_export_SV_7TJJ37nLaXsoMJM.json\Stakeholder%20Snapshot%20Report\Stakeholder%20Snapshot%20Workbook%20Reason%20no%20Fill%20v1.xlsx" TargetMode="External"/><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7.%20Staff%20workings%20folder\Claudine's%20folder\2025\json\one_time_export_SV_7TJJ37nLaXsoMJM.json\Stakeholder%20Snapshot%20Report\SSY%20charts%20workbook.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MP.application.enet\50038325\LMAA%20Branch\Workforce%20Analysis\07.%20Staff%20workings%20folder\Claudine's%20folder\2025\json\one_time_export_SV_7TJJ37nLaXsoMJM.json\Stakeholder%20Snapshot%20Report\SSY%20charts%20workb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'Fig3 Regionality of responses'!$AF$25</c:f>
              <c:strCache>
                <c:ptCount val="1"/>
                <c:pt idx="0">
                  <c:v>Percentage of responses</c:v>
                </c:pt>
              </c:strCache>
            </c:strRef>
          </c:tx>
          <c:spPr>
            <a:solidFill>
              <a:schemeClr val="accent2"/>
            </a:solidFill>
          </c:spPr>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AB-4D75-A65D-FA4F960572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AB-4D75-A65D-FA4F960572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AB-4D75-A65D-FA4F960572B7}"/>
              </c:ext>
            </c:extLst>
          </c:dPt>
          <c:dLbls>
            <c:dLbl>
              <c:idx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43AB-4D75-A65D-FA4F960572B7}"/>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'Fig3 Regionality of responses'!$AE$26:$AE$28</c:f>
              <c:strCache>
                <c:ptCount val="3"/>
                <c:pt idx="0">
                  <c:v>Both</c:v>
                </c:pt>
                <c:pt idx="1">
                  <c:v>Metropolitan</c:v>
                </c:pt>
                <c:pt idx="2">
                  <c:v>Regional</c:v>
                </c:pt>
              </c:strCache>
            </c:strRef>
          </c:cat>
          <c:val>
            <c:numRef>
              <c:f>'Fig3 Regionality of responses'!$AF$26:$AF$28</c:f>
              <c:numCache>
                <c:formatCode>0%</c:formatCode>
                <c:ptCount val="3"/>
                <c:pt idx="0">
                  <c:v>0.56951596292481976</c:v>
                </c:pt>
                <c:pt idx="1">
                  <c:v>0.22485410230003433</c:v>
                </c:pt>
                <c:pt idx="2">
                  <c:v>0.20562993477514591</c:v>
                </c:pt>
              </c:numCache>
            </c:numRef>
          </c:val>
          <c:extLst>
            <c:ext xmlns:c16="http://schemas.microsoft.com/office/drawing/2014/chart" uri="{C3380CC4-5D6E-409C-BE32-E72D297353CC}">
              <c16:uniqueId val="{00000006-43AB-4D75-A65D-FA4F960572B7}"/>
            </c:ext>
          </c:extLst>
        </c:ser>
        <c:dLbls>
          <c:dLblPos val="ctr"/>
          <c:showLegendKey val="0"/>
          <c:showVal val="1"/>
          <c:showCatName val="0"/>
          <c:showSerName val="0"/>
          <c:showPercent val="0"/>
          <c:showBubbleSize val="0"/>
          <c:showLeaderLines val="1"/>
        </c:dLbls>
        <c:firstSliceAng val="155"/>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Nova" panose="020B05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4"/>
          <c:order val="0"/>
          <c:tx>
            <c:strRef>
              <c:f>'Fig1 Fill Rate by 1-Digit'!$BA$30</c:f>
              <c:strCache>
                <c:ptCount val="1"/>
                <c:pt idx="0">
                  <c:v>Very Low</c:v>
                </c:pt>
              </c:strCache>
            </c:strRef>
          </c:tx>
          <c:spPr>
            <a:solidFill>
              <a:srgbClr val="012749"/>
            </a:solidFill>
            <a:ln>
              <a:noFill/>
            </a:ln>
            <a:effectLst/>
          </c:spPr>
          <c:invertIfNegative val="0"/>
          <c:cat>
            <c:strRef>
              <c:f>'Fig1 Fill Rate by 1-Digit'!$AZ$31:$AZ$39</c:f>
              <c:strCache>
                <c:ptCount val="9"/>
                <c:pt idx="0">
                  <c:v>Total</c:v>
                </c:pt>
                <c:pt idx="1">
                  <c:v>Labourers</c:v>
                </c:pt>
                <c:pt idx="2">
                  <c:v>Machinery Operators and Drivers</c:v>
                </c:pt>
                <c:pt idx="3">
                  <c:v>Technicians and Trades Workers</c:v>
                </c:pt>
                <c:pt idx="4">
                  <c:v>Managers</c:v>
                </c:pt>
                <c:pt idx="5">
                  <c:v>Community and Personal Service Workers</c:v>
                </c:pt>
                <c:pt idx="6">
                  <c:v>Sales Workers</c:v>
                </c:pt>
                <c:pt idx="7">
                  <c:v>Clerical and Administrative Workers</c:v>
                </c:pt>
                <c:pt idx="8">
                  <c:v>Professionals</c:v>
                </c:pt>
              </c:strCache>
            </c:strRef>
          </c:cat>
          <c:val>
            <c:numRef>
              <c:f>'Fig1 Fill Rate by 1-Digit'!$BA$31:$BA$39</c:f>
              <c:numCache>
                <c:formatCode>0%</c:formatCode>
                <c:ptCount val="9"/>
                <c:pt idx="0">
                  <c:v>0.37640149492792313</c:v>
                </c:pt>
                <c:pt idx="1">
                  <c:v>0.55238095238095242</c:v>
                </c:pt>
                <c:pt idx="2">
                  <c:v>0.48226950354609927</c:v>
                </c:pt>
                <c:pt idx="3">
                  <c:v>0.46728971962616822</c:v>
                </c:pt>
                <c:pt idx="4">
                  <c:v>0.3439153439153439</c:v>
                </c:pt>
                <c:pt idx="5">
                  <c:v>0.33617021276595743</c:v>
                </c:pt>
                <c:pt idx="6">
                  <c:v>0.29629629629629628</c:v>
                </c:pt>
                <c:pt idx="7" formatCode="0.0%">
                  <c:v>0.27586206896551724</c:v>
                </c:pt>
                <c:pt idx="8" formatCode="0.0%">
                  <c:v>0.27517985611510792</c:v>
                </c:pt>
              </c:numCache>
            </c:numRef>
          </c:val>
          <c:extLst>
            <c:ext xmlns:c16="http://schemas.microsoft.com/office/drawing/2014/chart" uri="{C3380CC4-5D6E-409C-BE32-E72D297353CC}">
              <c16:uniqueId val="{00000000-31A4-49C8-AE7D-D9D51B296FCB}"/>
            </c:ext>
          </c:extLst>
        </c:ser>
        <c:ser>
          <c:idx val="0"/>
          <c:order val="1"/>
          <c:tx>
            <c:strRef>
              <c:f>'Fig1 Fill Rate by 1-Digit'!$BB$30</c:f>
              <c:strCache>
                <c:ptCount val="1"/>
                <c:pt idx="0">
                  <c:v>Low</c:v>
                </c:pt>
              </c:strCache>
            </c:strRef>
          </c:tx>
          <c:spPr>
            <a:solidFill>
              <a:srgbClr val="009D9A"/>
            </a:solidFill>
            <a:ln>
              <a:noFill/>
            </a:ln>
            <a:effectLst/>
          </c:spPr>
          <c:invertIfNegative val="0"/>
          <c:cat>
            <c:strRef>
              <c:f>'Fig1 Fill Rate by 1-Digit'!$AZ$31:$AZ$39</c:f>
              <c:strCache>
                <c:ptCount val="9"/>
                <c:pt idx="0">
                  <c:v>Total</c:v>
                </c:pt>
                <c:pt idx="1">
                  <c:v>Labourers</c:v>
                </c:pt>
                <c:pt idx="2">
                  <c:v>Machinery Operators and Drivers</c:v>
                </c:pt>
                <c:pt idx="3">
                  <c:v>Technicians and Trades Workers</c:v>
                </c:pt>
                <c:pt idx="4">
                  <c:v>Managers</c:v>
                </c:pt>
                <c:pt idx="5">
                  <c:v>Community and Personal Service Workers</c:v>
                </c:pt>
                <c:pt idx="6">
                  <c:v>Sales Workers</c:v>
                </c:pt>
                <c:pt idx="7">
                  <c:v>Clerical and Administrative Workers</c:v>
                </c:pt>
                <c:pt idx="8">
                  <c:v>Professionals</c:v>
                </c:pt>
              </c:strCache>
            </c:strRef>
          </c:cat>
          <c:val>
            <c:numRef>
              <c:f>'Fig1 Fill Rate by 1-Digit'!$BB$31:$BB$39</c:f>
              <c:numCache>
                <c:formatCode>0%</c:formatCode>
                <c:ptCount val="9"/>
                <c:pt idx="0">
                  <c:v>0.22530699412706887</c:v>
                </c:pt>
                <c:pt idx="1">
                  <c:v>0.18095238095238095</c:v>
                </c:pt>
                <c:pt idx="2">
                  <c:v>0.13475177304964539</c:v>
                </c:pt>
                <c:pt idx="3">
                  <c:v>0.26728971962616821</c:v>
                </c:pt>
                <c:pt idx="4">
                  <c:v>0.24867724867724866</c:v>
                </c:pt>
                <c:pt idx="5">
                  <c:v>0.32340425531914896</c:v>
                </c:pt>
                <c:pt idx="6">
                  <c:v>0.12962962962962962</c:v>
                </c:pt>
                <c:pt idx="7">
                  <c:v>5.1724137931034482E-2</c:v>
                </c:pt>
                <c:pt idx="8">
                  <c:v>0.19424460431654678</c:v>
                </c:pt>
              </c:numCache>
            </c:numRef>
          </c:val>
          <c:extLst>
            <c:ext xmlns:c16="http://schemas.microsoft.com/office/drawing/2014/chart" uri="{C3380CC4-5D6E-409C-BE32-E72D297353CC}">
              <c16:uniqueId val="{00000001-31A4-49C8-AE7D-D9D51B296FCB}"/>
            </c:ext>
          </c:extLst>
        </c:ser>
        <c:ser>
          <c:idx val="1"/>
          <c:order val="2"/>
          <c:tx>
            <c:strRef>
              <c:f>'Fig1 Fill Rate by 1-Digit'!$BC$30</c:f>
              <c:strCache>
                <c:ptCount val="1"/>
                <c:pt idx="0">
                  <c:v>Moderate</c:v>
                </c:pt>
              </c:strCache>
            </c:strRef>
          </c:tx>
          <c:spPr>
            <a:solidFill>
              <a:srgbClr val="6929C4"/>
            </a:solidFill>
            <a:ln>
              <a:noFill/>
            </a:ln>
            <a:effectLst/>
          </c:spPr>
          <c:invertIfNegative val="0"/>
          <c:cat>
            <c:strRef>
              <c:f>'Fig1 Fill Rate by 1-Digit'!$AZ$31:$AZ$39</c:f>
              <c:strCache>
                <c:ptCount val="9"/>
                <c:pt idx="0">
                  <c:v>Total</c:v>
                </c:pt>
                <c:pt idx="1">
                  <c:v>Labourers</c:v>
                </c:pt>
                <c:pt idx="2">
                  <c:v>Machinery Operators and Drivers</c:v>
                </c:pt>
                <c:pt idx="3">
                  <c:v>Technicians and Trades Workers</c:v>
                </c:pt>
                <c:pt idx="4">
                  <c:v>Managers</c:v>
                </c:pt>
                <c:pt idx="5">
                  <c:v>Community and Personal Service Workers</c:v>
                </c:pt>
                <c:pt idx="6">
                  <c:v>Sales Workers</c:v>
                </c:pt>
                <c:pt idx="7">
                  <c:v>Clerical and Administrative Workers</c:v>
                </c:pt>
                <c:pt idx="8">
                  <c:v>Professionals</c:v>
                </c:pt>
              </c:strCache>
            </c:strRef>
          </c:cat>
          <c:val>
            <c:numRef>
              <c:f>'Fig1 Fill Rate by 1-Digit'!$BC$31:$BC$39</c:f>
              <c:numCache>
                <c:formatCode>0%</c:formatCode>
                <c:ptCount val="9"/>
                <c:pt idx="0">
                  <c:v>0.17992525360384409</c:v>
                </c:pt>
                <c:pt idx="1">
                  <c:v>7.6190476190476197E-2</c:v>
                </c:pt>
                <c:pt idx="2">
                  <c:v>0.19858156028368795</c:v>
                </c:pt>
                <c:pt idx="3">
                  <c:v>0.12897196261682242</c:v>
                </c:pt>
                <c:pt idx="4">
                  <c:v>0.19576719576719576</c:v>
                </c:pt>
                <c:pt idx="5">
                  <c:v>0.18723404255319148</c:v>
                </c:pt>
                <c:pt idx="6">
                  <c:v>0.31481481481481483</c:v>
                </c:pt>
                <c:pt idx="7">
                  <c:v>0.32758620689655171</c:v>
                </c:pt>
                <c:pt idx="8">
                  <c:v>0.20683453237410071</c:v>
                </c:pt>
              </c:numCache>
            </c:numRef>
          </c:val>
          <c:extLst>
            <c:ext xmlns:c16="http://schemas.microsoft.com/office/drawing/2014/chart" uri="{C3380CC4-5D6E-409C-BE32-E72D297353CC}">
              <c16:uniqueId val="{00000002-31A4-49C8-AE7D-D9D51B296FCB}"/>
            </c:ext>
          </c:extLst>
        </c:ser>
        <c:ser>
          <c:idx val="2"/>
          <c:order val="3"/>
          <c:tx>
            <c:strRef>
              <c:f>'Fig1 Fill Rate by 1-Digit'!$BD$30</c:f>
              <c:strCache>
                <c:ptCount val="1"/>
                <c:pt idx="0">
                  <c:v>High</c:v>
                </c:pt>
              </c:strCache>
            </c:strRef>
          </c:tx>
          <c:spPr>
            <a:solidFill>
              <a:srgbClr val="1192E8"/>
            </a:solidFill>
            <a:ln>
              <a:noFill/>
            </a:ln>
            <a:effectLst/>
          </c:spPr>
          <c:invertIfNegative val="0"/>
          <c:cat>
            <c:strRef>
              <c:f>'Fig1 Fill Rate by 1-Digit'!$AZ$31:$AZ$39</c:f>
              <c:strCache>
                <c:ptCount val="9"/>
                <c:pt idx="0">
                  <c:v>Total</c:v>
                </c:pt>
                <c:pt idx="1">
                  <c:v>Labourers</c:v>
                </c:pt>
                <c:pt idx="2">
                  <c:v>Machinery Operators and Drivers</c:v>
                </c:pt>
                <c:pt idx="3">
                  <c:v>Technicians and Trades Workers</c:v>
                </c:pt>
                <c:pt idx="4">
                  <c:v>Managers</c:v>
                </c:pt>
                <c:pt idx="5">
                  <c:v>Community and Personal Service Workers</c:v>
                </c:pt>
                <c:pt idx="6">
                  <c:v>Sales Workers</c:v>
                </c:pt>
                <c:pt idx="7">
                  <c:v>Clerical and Administrative Workers</c:v>
                </c:pt>
                <c:pt idx="8">
                  <c:v>Professionals</c:v>
                </c:pt>
              </c:strCache>
            </c:strRef>
          </c:cat>
          <c:val>
            <c:numRef>
              <c:f>'Fig1 Fill Rate by 1-Digit'!$BD$31:$BD$39</c:f>
              <c:numCache>
                <c:formatCode>0%</c:formatCode>
                <c:ptCount val="9"/>
                <c:pt idx="0">
                  <c:v>0.21836625734116391</c:v>
                </c:pt>
                <c:pt idx="1">
                  <c:v>0.19047619047619047</c:v>
                </c:pt>
                <c:pt idx="2">
                  <c:v>0.18439716312056736</c:v>
                </c:pt>
                <c:pt idx="3">
                  <c:v>0.13644859813084112</c:v>
                </c:pt>
                <c:pt idx="4">
                  <c:v>0.21164021164021163</c:v>
                </c:pt>
                <c:pt idx="5">
                  <c:v>0.15319148936170213</c:v>
                </c:pt>
                <c:pt idx="6">
                  <c:v>0.25925925925925924</c:v>
                </c:pt>
                <c:pt idx="7">
                  <c:v>0.34482758620689657</c:v>
                </c:pt>
                <c:pt idx="8">
                  <c:v>0.32374100719424459</c:v>
                </c:pt>
              </c:numCache>
            </c:numRef>
          </c:val>
          <c:extLst>
            <c:ext xmlns:c16="http://schemas.microsoft.com/office/drawing/2014/chart" uri="{C3380CC4-5D6E-409C-BE32-E72D297353CC}">
              <c16:uniqueId val="{00000003-31A4-49C8-AE7D-D9D51B296FCB}"/>
            </c:ext>
          </c:extLst>
        </c:ser>
        <c:dLbls>
          <c:showLegendKey val="0"/>
          <c:showVal val="0"/>
          <c:showCatName val="0"/>
          <c:showSerName val="0"/>
          <c:showPercent val="0"/>
          <c:showBubbleSize val="0"/>
        </c:dLbls>
        <c:gapWidth val="150"/>
        <c:overlap val="100"/>
        <c:axId val="1346929232"/>
        <c:axId val="498798720"/>
      </c:barChart>
      <c:catAx>
        <c:axId val="134692923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8798720"/>
        <c:crosses val="autoZero"/>
        <c:auto val="1"/>
        <c:lblAlgn val="ctr"/>
        <c:lblOffset val="100"/>
        <c:noMultiLvlLbl val="0"/>
      </c:catAx>
      <c:valAx>
        <c:axId val="498798720"/>
        <c:scaling>
          <c:orientation val="minMax"/>
        </c:scaling>
        <c:delete val="0"/>
        <c:axPos val="b"/>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692923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'Fig 7- No. in S by 1-Digit'!$AL$4</c:f>
              <c:strCache>
                <c:ptCount val="1"/>
                <c:pt idx="0">
                  <c:v>Fill Rates ≥ 67%</c:v>
                </c:pt>
              </c:strCache>
            </c:strRef>
          </c:tx>
          <c:spPr>
            <a:solidFill>
              <a:srgbClr val="009D9A"/>
            </a:solidFill>
            <a:ln>
              <a:noFill/>
            </a:ln>
            <a:effectLst/>
          </c:spPr>
          <c:invertIfNegative val="0"/>
          <c:cat>
            <c:strRef>
              <c:f>'Fig 7- No. in S by 1-Digit'!$AK$5:$AK$12</c:f>
              <c:strCache>
                <c:ptCount val="8"/>
                <c:pt idx="0">
                  <c:v>Clerical and Administrative Workers</c:v>
                </c:pt>
                <c:pt idx="1">
                  <c:v>Sales Workers</c:v>
                </c:pt>
                <c:pt idx="2">
                  <c:v>Labourers</c:v>
                </c:pt>
                <c:pt idx="3">
                  <c:v>Machinery Operators and Drivers</c:v>
                </c:pt>
                <c:pt idx="4">
                  <c:v>Managers</c:v>
                </c:pt>
                <c:pt idx="5">
                  <c:v>Community and Personal Service Workers</c:v>
                </c:pt>
                <c:pt idx="6">
                  <c:v>Professionals</c:v>
                </c:pt>
                <c:pt idx="7">
                  <c:v>Technicians and Trades Workers</c:v>
                </c:pt>
              </c:strCache>
            </c:strRef>
          </c:cat>
          <c:val>
            <c:numRef>
              <c:f>'Fig 7- No. in S by 1-Digit'!$AL$5:$AL$12</c:f>
              <c:numCache>
                <c:formatCode>General</c:formatCode>
                <c:ptCount val="8"/>
                <c:pt idx="0">
                  <c:v>32</c:v>
                </c:pt>
                <c:pt idx="1">
                  <c:v>14</c:v>
                </c:pt>
                <c:pt idx="2">
                  <c:v>22</c:v>
                </c:pt>
                <c:pt idx="3">
                  <c:v>35</c:v>
                </c:pt>
                <c:pt idx="4">
                  <c:v>51</c:v>
                </c:pt>
                <c:pt idx="5">
                  <c:v>45</c:v>
                </c:pt>
                <c:pt idx="6">
                  <c:v>244</c:v>
                </c:pt>
                <c:pt idx="7">
                  <c:v>85</c:v>
                </c:pt>
              </c:numCache>
            </c:numRef>
          </c:val>
          <c:extLst>
            <c:ext xmlns:c16="http://schemas.microsoft.com/office/drawing/2014/chart" uri="{C3380CC4-5D6E-409C-BE32-E72D297353CC}">
              <c16:uniqueId val="{00000000-A10D-4FE3-A706-FCB8E447AE27}"/>
            </c:ext>
          </c:extLst>
        </c:ser>
        <c:ser>
          <c:idx val="2"/>
          <c:order val="1"/>
          <c:tx>
            <c:strRef>
              <c:f>'Fig 7- No. in S by 1-Digit'!$AM$4</c:f>
              <c:strCache>
                <c:ptCount val="1"/>
                <c:pt idx="0">
                  <c:v>Fill rates &lt; 67%</c:v>
                </c:pt>
              </c:strCache>
            </c:strRef>
          </c:tx>
          <c:spPr>
            <a:solidFill>
              <a:srgbClr val="6929C4"/>
            </a:solidFill>
            <a:ln>
              <a:noFill/>
            </a:ln>
            <a:effectLst/>
          </c:spPr>
          <c:invertIfNegative val="0"/>
          <c:cat>
            <c:strRef>
              <c:f>'Fig 7- No. in S by 1-Digit'!$AK$5:$AK$12</c:f>
              <c:strCache>
                <c:ptCount val="8"/>
                <c:pt idx="0">
                  <c:v>Clerical and Administrative Workers</c:v>
                </c:pt>
                <c:pt idx="1">
                  <c:v>Sales Workers</c:v>
                </c:pt>
                <c:pt idx="2">
                  <c:v>Labourers</c:v>
                </c:pt>
                <c:pt idx="3">
                  <c:v>Machinery Operators and Drivers</c:v>
                </c:pt>
                <c:pt idx="4">
                  <c:v>Managers</c:v>
                </c:pt>
                <c:pt idx="5">
                  <c:v>Community and Personal Service Workers</c:v>
                </c:pt>
                <c:pt idx="6">
                  <c:v>Professionals</c:v>
                </c:pt>
                <c:pt idx="7">
                  <c:v>Technicians and Trades Workers</c:v>
                </c:pt>
              </c:strCache>
            </c:strRef>
          </c:cat>
          <c:val>
            <c:numRef>
              <c:f>'Fig 7- No. in S by 1-Digit'!$AM$5:$AM$12</c:f>
              <c:numCache>
                <c:formatCode>General</c:formatCode>
                <c:ptCount val="8"/>
                <c:pt idx="0">
                  <c:v>26</c:v>
                </c:pt>
                <c:pt idx="1">
                  <c:v>40</c:v>
                </c:pt>
                <c:pt idx="2">
                  <c:v>83</c:v>
                </c:pt>
                <c:pt idx="3">
                  <c:v>106</c:v>
                </c:pt>
                <c:pt idx="4">
                  <c:v>138</c:v>
                </c:pt>
                <c:pt idx="5">
                  <c:v>191</c:v>
                </c:pt>
                <c:pt idx="6">
                  <c:v>312</c:v>
                </c:pt>
                <c:pt idx="7">
                  <c:v>450</c:v>
                </c:pt>
              </c:numCache>
            </c:numRef>
          </c:val>
          <c:extLst>
            <c:ext xmlns:c16="http://schemas.microsoft.com/office/drawing/2014/chart" uri="{C3380CC4-5D6E-409C-BE32-E72D297353CC}">
              <c16:uniqueId val="{00000001-A10D-4FE3-A706-FCB8E447AE27}"/>
            </c:ext>
          </c:extLst>
        </c:ser>
        <c:dLbls>
          <c:showLegendKey val="0"/>
          <c:showVal val="0"/>
          <c:showCatName val="0"/>
          <c:showSerName val="0"/>
          <c:showPercent val="0"/>
          <c:showBubbleSize val="0"/>
        </c:dLbls>
        <c:gapWidth val="182"/>
        <c:axId val="450954927"/>
        <c:axId val="167690527"/>
      </c:barChart>
      <c:catAx>
        <c:axId val="450954927"/>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7690527"/>
        <c:crosses val="autoZero"/>
        <c:auto val="1"/>
        <c:lblAlgn val="ctr"/>
        <c:lblOffset val="100"/>
        <c:noMultiLvlLbl val="0"/>
      </c:catAx>
      <c:valAx>
        <c:axId val="167690527"/>
        <c:scaling>
          <c:orientation val="minMax"/>
          <c:max val="450"/>
        </c:scaling>
        <c:delete val="0"/>
        <c:axPos val="t"/>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095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'Fig2 Fill rate by state'!$BC$4</c:f>
              <c:strCache>
                <c:ptCount val="1"/>
                <c:pt idx="0">
                  <c:v>Very Low</c:v>
                </c:pt>
              </c:strCache>
            </c:strRef>
          </c:tx>
          <c:spPr>
            <a:solidFill>
              <a:srgbClr val="012749"/>
            </a:solidFill>
            <a:ln>
              <a:noFill/>
            </a:ln>
            <a:effectLst/>
          </c:spPr>
          <c:invertIfNegative val="0"/>
          <c:cat>
            <c:strRef>
              <c:f>'Fig2 Fill rate by state'!$BB$5:$BB$13</c:f>
              <c:strCache>
                <c:ptCount val="9"/>
                <c:pt idx="0">
                  <c:v>Australian Capital Territory</c:v>
                </c:pt>
                <c:pt idx="1">
                  <c:v>Northern Territory</c:v>
                </c:pt>
                <c:pt idx="2">
                  <c:v>Tasmania</c:v>
                </c:pt>
                <c:pt idx="3">
                  <c:v>Western Australia</c:v>
                </c:pt>
                <c:pt idx="4">
                  <c:v>Victoria</c:v>
                </c:pt>
                <c:pt idx="5">
                  <c:v>New South Wales</c:v>
                </c:pt>
                <c:pt idx="6">
                  <c:v>South Australia</c:v>
                </c:pt>
                <c:pt idx="7">
                  <c:v>Queensland</c:v>
                </c:pt>
                <c:pt idx="8">
                  <c:v>Total</c:v>
                </c:pt>
              </c:strCache>
            </c:strRef>
          </c:cat>
          <c:val>
            <c:numRef>
              <c:f>'Fig2 Fill rate by state'!$BC$5:$BC$13</c:f>
              <c:numCache>
                <c:formatCode>0%</c:formatCode>
                <c:ptCount val="9"/>
                <c:pt idx="0">
                  <c:v>0.24168514412416853</c:v>
                </c:pt>
                <c:pt idx="1">
                  <c:v>0.25295508274231676</c:v>
                </c:pt>
                <c:pt idx="2">
                  <c:v>0.26520681265206814</c:v>
                </c:pt>
                <c:pt idx="3">
                  <c:v>0.2953216374269006</c:v>
                </c:pt>
                <c:pt idx="4">
                  <c:v>0.2975871313672922</c:v>
                </c:pt>
                <c:pt idx="5">
                  <c:v>0.31503267973856208</c:v>
                </c:pt>
                <c:pt idx="6">
                  <c:v>0.31873905429071803</c:v>
                </c:pt>
                <c:pt idx="7">
                  <c:v>0.34170153417015342</c:v>
                </c:pt>
                <c:pt idx="8">
                  <c:v>0.29718959731543626</c:v>
                </c:pt>
              </c:numCache>
            </c:numRef>
          </c:val>
          <c:extLst>
            <c:ext xmlns:c16="http://schemas.microsoft.com/office/drawing/2014/chart" uri="{C3380CC4-5D6E-409C-BE32-E72D297353CC}">
              <c16:uniqueId val="{00000000-C216-4243-B981-4A30A2821261}"/>
            </c:ext>
          </c:extLst>
        </c:ser>
        <c:ser>
          <c:idx val="1"/>
          <c:order val="1"/>
          <c:tx>
            <c:strRef>
              <c:f>'Fig2 Fill rate by state'!$BD$4</c:f>
              <c:strCache>
                <c:ptCount val="1"/>
                <c:pt idx="0">
                  <c:v>Low</c:v>
                </c:pt>
              </c:strCache>
            </c:strRef>
          </c:tx>
          <c:spPr>
            <a:solidFill>
              <a:srgbClr val="009D9A"/>
            </a:solidFill>
            <a:ln>
              <a:noFill/>
            </a:ln>
            <a:effectLst/>
          </c:spPr>
          <c:invertIfNegative val="0"/>
          <c:cat>
            <c:strRef>
              <c:f>'Fig2 Fill rate by state'!$BB$5:$BB$13</c:f>
              <c:strCache>
                <c:ptCount val="9"/>
                <c:pt idx="0">
                  <c:v>Australian Capital Territory</c:v>
                </c:pt>
                <c:pt idx="1">
                  <c:v>Northern Territory</c:v>
                </c:pt>
                <c:pt idx="2">
                  <c:v>Tasmania</c:v>
                </c:pt>
                <c:pt idx="3">
                  <c:v>Western Australia</c:v>
                </c:pt>
                <c:pt idx="4">
                  <c:v>Victoria</c:v>
                </c:pt>
                <c:pt idx="5">
                  <c:v>New South Wales</c:v>
                </c:pt>
                <c:pt idx="6">
                  <c:v>South Australia</c:v>
                </c:pt>
                <c:pt idx="7">
                  <c:v>Queensland</c:v>
                </c:pt>
                <c:pt idx="8">
                  <c:v>Total</c:v>
                </c:pt>
              </c:strCache>
            </c:strRef>
          </c:cat>
          <c:val>
            <c:numRef>
              <c:f>'Fig2 Fill rate by state'!$BD$5:$BD$13</c:f>
              <c:numCache>
                <c:formatCode>0%</c:formatCode>
                <c:ptCount val="9"/>
                <c:pt idx="0">
                  <c:v>0.31929046563192903</c:v>
                </c:pt>
                <c:pt idx="1">
                  <c:v>0.30732860520094563</c:v>
                </c:pt>
                <c:pt idx="2">
                  <c:v>0.31143552311435524</c:v>
                </c:pt>
                <c:pt idx="3">
                  <c:v>0.27923976608187134</c:v>
                </c:pt>
                <c:pt idx="4">
                  <c:v>0.28418230563002683</c:v>
                </c:pt>
                <c:pt idx="5">
                  <c:v>0.28104575163398693</c:v>
                </c:pt>
                <c:pt idx="6">
                  <c:v>0.28546409807355516</c:v>
                </c:pt>
                <c:pt idx="7">
                  <c:v>0.2594142259414226</c:v>
                </c:pt>
                <c:pt idx="8">
                  <c:v>0.28712248322147649</c:v>
                </c:pt>
              </c:numCache>
            </c:numRef>
          </c:val>
          <c:extLst>
            <c:ext xmlns:c16="http://schemas.microsoft.com/office/drawing/2014/chart" uri="{C3380CC4-5D6E-409C-BE32-E72D297353CC}">
              <c16:uniqueId val="{00000001-C216-4243-B981-4A30A2821261}"/>
            </c:ext>
          </c:extLst>
        </c:ser>
        <c:ser>
          <c:idx val="2"/>
          <c:order val="2"/>
          <c:tx>
            <c:strRef>
              <c:f>'Fig2 Fill rate by state'!$BE$4</c:f>
              <c:strCache>
                <c:ptCount val="1"/>
                <c:pt idx="0">
                  <c:v>Moderate</c:v>
                </c:pt>
              </c:strCache>
            </c:strRef>
          </c:tx>
          <c:spPr>
            <a:solidFill>
              <a:srgbClr val="6929C4"/>
            </a:solidFill>
            <a:ln>
              <a:noFill/>
            </a:ln>
            <a:effectLst/>
          </c:spPr>
          <c:invertIfNegative val="0"/>
          <c:cat>
            <c:strRef>
              <c:f>'Fig2 Fill rate by state'!$BB$5:$BB$13</c:f>
              <c:strCache>
                <c:ptCount val="9"/>
                <c:pt idx="0">
                  <c:v>Australian Capital Territory</c:v>
                </c:pt>
                <c:pt idx="1">
                  <c:v>Northern Territory</c:v>
                </c:pt>
                <c:pt idx="2">
                  <c:v>Tasmania</c:v>
                </c:pt>
                <c:pt idx="3">
                  <c:v>Western Australia</c:v>
                </c:pt>
                <c:pt idx="4">
                  <c:v>Victoria</c:v>
                </c:pt>
                <c:pt idx="5">
                  <c:v>New South Wales</c:v>
                </c:pt>
                <c:pt idx="6">
                  <c:v>South Australia</c:v>
                </c:pt>
                <c:pt idx="7">
                  <c:v>Queensland</c:v>
                </c:pt>
                <c:pt idx="8">
                  <c:v>Total</c:v>
                </c:pt>
              </c:strCache>
            </c:strRef>
          </c:cat>
          <c:val>
            <c:numRef>
              <c:f>'Fig2 Fill rate by state'!$BE$5:$BE$13</c:f>
              <c:numCache>
                <c:formatCode>0%</c:formatCode>
                <c:ptCount val="9"/>
                <c:pt idx="0">
                  <c:v>0.2328159645232816</c:v>
                </c:pt>
                <c:pt idx="1">
                  <c:v>0.25295508274231676</c:v>
                </c:pt>
                <c:pt idx="2">
                  <c:v>0.23844282238442821</c:v>
                </c:pt>
                <c:pt idx="3">
                  <c:v>0.19736842105263158</c:v>
                </c:pt>
                <c:pt idx="4">
                  <c:v>0.21849865951742628</c:v>
                </c:pt>
                <c:pt idx="5">
                  <c:v>0.20522875816993463</c:v>
                </c:pt>
                <c:pt idx="6">
                  <c:v>0.2136602451838879</c:v>
                </c:pt>
                <c:pt idx="7">
                  <c:v>0.18967921896792189</c:v>
                </c:pt>
                <c:pt idx="8">
                  <c:v>0.21455536912751677</c:v>
                </c:pt>
              </c:numCache>
            </c:numRef>
          </c:val>
          <c:extLst>
            <c:ext xmlns:c16="http://schemas.microsoft.com/office/drawing/2014/chart" uri="{C3380CC4-5D6E-409C-BE32-E72D297353CC}">
              <c16:uniqueId val="{00000002-C216-4243-B981-4A30A2821261}"/>
            </c:ext>
          </c:extLst>
        </c:ser>
        <c:ser>
          <c:idx val="3"/>
          <c:order val="3"/>
          <c:tx>
            <c:strRef>
              <c:f>'Fig2 Fill rate by state'!$BF$4</c:f>
              <c:strCache>
                <c:ptCount val="1"/>
                <c:pt idx="0">
                  <c:v>High</c:v>
                </c:pt>
              </c:strCache>
            </c:strRef>
          </c:tx>
          <c:spPr>
            <a:solidFill>
              <a:srgbClr val="1192E8"/>
            </a:solidFill>
            <a:ln>
              <a:noFill/>
            </a:ln>
            <a:effectLst/>
          </c:spPr>
          <c:invertIfNegative val="0"/>
          <c:cat>
            <c:strRef>
              <c:f>'Fig2 Fill rate by state'!$BB$5:$BB$13</c:f>
              <c:strCache>
                <c:ptCount val="9"/>
                <c:pt idx="0">
                  <c:v>Australian Capital Territory</c:v>
                </c:pt>
                <c:pt idx="1">
                  <c:v>Northern Territory</c:v>
                </c:pt>
                <c:pt idx="2">
                  <c:v>Tasmania</c:v>
                </c:pt>
                <c:pt idx="3">
                  <c:v>Western Australia</c:v>
                </c:pt>
                <c:pt idx="4">
                  <c:v>Victoria</c:v>
                </c:pt>
                <c:pt idx="5">
                  <c:v>New South Wales</c:v>
                </c:pt>
                <c:pt idx="6">
                  <c:v>South Australia</c:v>
                </c:pt>
                <c:pt idx="7">
                  <c:v>Queensland</c:v>
                </c:pt>
                <c:pt idx="8">
                  <c:v>Total</c:v>
                </c:pt>
              </c:strCache>
            </c:strRef>
          </c:cat>
          <c:val>
            <c:numRef>
              <c:f>'Fig2 Fill rate by state'!$BF$5:$BF$13</c:f>
              <c:numCache>
                <c:formatCode>0%</c:formatCode>
                <c:ptCount val="9"/>
                <c:pt idx="0">
                  <c:v>0.20620842572062084</c:v>
                </c:pt>
                <c:pt idx="1">
                  <c:v>0.1867612293144208</c:v>
                </c:pt>
                <c:pt idx="2">
                  <c:v>0.18491484184914841</c:v>
                </c:pt>
                <c:pt idx="3">
                  <c:v>0.22807017543859648</c:v>
                </c:pt>
                <c:pt idx="4">
                  <c:v>0.19973190348525469</c:v>
                </c:pt>
                <c:pt idx="5">
                  <c:v>0.19869281045751633</c:v>
                </c:pt>
                <c:pt idx="6">
                  <c:v>0.18213660245183888</c:v>
                </c:pt>
                <c:pt idx="7">
                  <c:v>0.20920502092050208</c:v>
                </c:pt>
                <c:pt idx="8">
                  <c:v>0.20113255033557048</c:v>
                </c:pt>
              </c:numCache>
            </c:numRef>
          </c:val>
          <c:extLst>
            <c:ext xmlns:c16="http://schemas.microsoft.com/office/drawing/2014/chart" uri="{C3380CC4-5D6E-409C-BE32-E72D297353CC}">
              <c16:uniqueId val="{00000003-C216-4243-B981-4A30A2821261}"/>
            </c:ext>
          </c:extLst>
        </c:ser>
        <c:dLbls>
          <c:showLegendKey val="0"/>
          <c:showVal val="0"/>
          <c:showCatName val="0"/>
          <c:showSerName val="0"/>
          <c:showPercent val="0"/>
          <c:showBubbleSize val="0"/>
        </c:dLbls>
        <c:gapWidth val="150"/>
        <c:overlap val="100"/>
        <c:axId val="616838767"/>
        <c:axId val="616839247"/>
      </c:barChart>
      <c:catAx>
        <c:axId val="616838767"/>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6839247"/>
        <c:crosses val="autoZero"/>
        <c:auto val="1"/>
        <c:lblAlgn val="ctr"/>
        <c:lblOffset val="100"/>
        <c:noMultiLvlLbl val="0"/>
      </c:catAx>
      <c:valAx>
        <c:axId val="616839247"/>
        <c:scaling>
          <c:orientation val="minMax"/>
          <c:max val="1"/>
        </c:scaling>
        <c:delete val="0"/>
        <c:axPos val="t"/>
        <c:majorGridlines>
          <c:spPr>
            <a:ln w="9525" cap="flat" cmpd="sng" algn="ctr">
              <a:no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683876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'Fig4 Prop filled by regionality'!$BC$4</c:f>
              <c:strCache>
                <c:ptCount val="1"/>
                <c:pt idx="0">
                  <c:v>Very Low</c:v>
                </c:pt>
              </c:strCache>
            </c:strRef>
          </c:tx>
          <c:spPr>
            <a:solidFill>
              <a:srgbClr val="012749"/>
            </a:solidFill>
            <a:ln>
              <a:noFill/>
            </a:ln>
            <a:effectLst/>
          </c:spPr>
          <c:invertIfNegative val="0"/>
          <c:cat>
            <c:strRef>
              <c:f>'Fig4 Prop filled by regionality'!$BB$5:$BB$7</c:f>
              <c:strCache>
                <c:ptCount val="3"/>
                <c:pt idx="0">
                  <c:v>Metropolitan</c:v>
                </c:pt>
                <c:pt idx="1">
                  <c:v>Regional</c:v>
                </c:pt>
                <c:pt idx="2">
                  <c:v>Both</c:v>
                </c:pt>
              </c:strCache>
            </c:strRef>
          </c:cat>
          <c:val>
            <c:numRef>
              <c:f>'Fig4 Prop filled by regionality'!$BC$5:$BC$7</c:f>
              <c:numCache>
                <c:formatCode>0%</c:formatCode>
                <c:ptCount val="3"/>
                <c:pt idx="0">
                  <c:v>0.37710437710437711</c:v>
                </c:pt>
                <c:pt idx="1">
                  <c:v>0.38961038961038963</c:v>
                </c:pt>
                <c:pt idx="2">
                  <c:v>0.36770833333333336</c:v>
                </c:pt>
              </c:numCache>
            </c:numRef>
          </c:val>
          <c:extLst>
            <c:ext xmlns:c16="http://schemas.microsoft.com/office/drawing/2014/chart" uri="{C3380CC4-5D6E-409C-BE32-E72D297353CC}">
              <c16:uniqueId val="{00000000-98B6-4291-87C6-7AFDFDC597FB}"/>
            </c:ext>
          </c:extLst>
        </c:ser>
        <c:ser>
          <c:idx val="1"/>
          <c:order val="1"/>
          <c:tx>
            <c:strRef>
              <c:f>'Fig4 Prop filled by regionality'!$BD$4</c:f>
              <c:strCache>
                <c:ptCount val="1"/>
                <c:pt idx="0">
                  <c:v>Low</c:v>
                </c:pt>
              </c:strCache>
            </c:strRef>
          </c:tx>
          <c:spPr>
            <a:solidFill>
              <a:srgbClr val="009D9A"/>
            </a:solidFill>
            <a:ln>
              <a:noFill/>
            </a:ln>
            <a:effectLst/>
          </c:spPr>
          <c:invertIfNegative val="0"/>
          <c:cat>
            <c:strRef>
              <c:f>'Fig4 Prop filled by regionality'!$BB$5:$BB$7</c:f>
              <c:strCache>
                <c:ptCount val="3"/>
                <c:pt idx="0">
                  <c:v>Metropolitan</c:v>
                </c:pt>
                <c:pt idx="1">
                  <c:v>Regional</c:v>
                </c:pt>
                <c:pt idx="2">
                  <c:v>Both</c:v>
                </c:pt>
              </c:strCache>
            </c:strRef>
          </c:cat>
          <c:val>
            <c:numRef>
              <c:f>'Fig4 Prop filled by regionality'!$BD$5:$BD$7</c:f>
              <c:numCache>
                <c:formatCode>0%</c:formatCode>
                <c:ptCount val="3"/>
                <c:pt idx="0">
                  <c:v>0.22222222222222221</c:v>
                </c:pt>
                <c:pt idx="1">
                  <c:v>0.22727272727272727</c:v>
                </c:pt>
                <c:pt idx="2">
                  <c:v>0.22500000000000001</c:v>
                </c:pt>
              </c:numCache>
            </c:numRef>
          </c:val>
          <c:extLst>
            <c:ext xmlns:c16="http://schemas.microsoft.com/office/drawing/2014/chart" uri="{C3380CC4-5D6E-409C-BE32-E72D297353CC}">
              <c16:uniqueId val="{00000001-98B6-4291-87C6-7AFDFDC597FB}"/>
            </c:ext>
          </c:extLst>
        </c:ser>
        <c:ser>
          <c:idx val="2"/>
          <c:order val="2"/>
          <c:tx>
            <c:strRef>
              <c:f>'Fig4 Prop filled by regionality'!$BE$4</c:f>
              <c:strCache>
                <c:ptCount val="1"/>
                <c:pt idx="0">
                  <c:v>Moderate</c:v>
                </c:pt>
              </c:strCache>
            </c:strRef>
          </c:tx>
          <c:spPr>
            <a:solidFill>
              <a:srgbClr val="6929C4"/>
            </a:solidFill>
            <a:ln>
              <a:noFill/>
            </a:ln>
            <a:effectLst/>
          </c:spPr>
          <c:invertIfNegative val="0"/>
          <c:cat>
            <c:strRef>
              <c:f>'Fig4 Prop filled by regionality'!$BB$5:$BB$7</c:f>
              <c:strCache>
                <c:ptCount val="3"/>
                <c:pt idx="0">
                  <c:v>Metropolitan</c:v>
                </c:pt>
                <c:pt idx="1">
                  <c:v>Regional</c:v>
                </c:pt>
                <c:pt idx="2">
                  <c:v>Both</c:v>
                </c:pt>
              </c:strCache>
            </c:strRef>
          </c:cat>
          <c:val>
            <c:numRef>
              <c:f>'Fig4 Prop filled by regionality'!$BE$5:$BE$7</c:f>
              <c:numCache>
                <c:formatCode>0%</c:formatCode>
                <c:ptCount val="3"/>
                <c:pt idx="0">
                  <c:v>0.23232323232323232</c:v>
                </c:pt>
                <c:pt idx="1">
                  <c:v>0.17207792207792208</c:v>
                </c:pt>
                <c:pt idx="2">
                  <c:v>0.16875000000000001</c:v>
                </c:pt>
              </c:numCache>
            </c:numRef>
          </c:val>
          <c:extLst>
            <c:ext xmlns:c16="http://schemas.microsoft.com/office/drawing/2014/chart" uri="{C3380CC4-5D6E-409C-BE32-E72D297353CC}">
              <c16:uniqueId val="{00000002-98B6-4291-87C6-7AFDFDC597FB}"/>
            </c:ext>
          </c:extLst>
        </c:ser>
        <c:ser>
          <c:idx val="3"/>
          <c:order val="3"/>
          <c:tx>
            <c:strRef>
              <c:f>'Fig4 Prop filled by regionality'!$BF$4</c:f>
              <c:strCache>
                <c:ptCount val="1"/>
                <c:pt idx="0">
                  <c:v>High</c:v>
                </c:pt>
              </c:strCache>
            </c:strRef>
          </c:tx>
          <c:spPr>
            <a:solidFill>
              <a:srgbClr val="1192E8"/>
            </a:solidFill>
            <a:ln>
              <a:noFill/>
            </a:ln>
            <a:effectLst/>
          </c:spPr>
          <c:invertIfNegative val="0"/>
          <c:cat>
            <c:strRef>
              <c:f>'Fig4 Prop filled by regionality'!$BB$5:$BB$7</c:f>
              <c:strCache>
                <c:ptCount val="3"/>
                <c:pt idx="0">
                  <c:v>Metropolitan</c:v>
                </c:pt>
                <c:pt idx="1">
                  <c:v>Regional</c:v>
                </c:pt>
                <c:pt idx="2">
                  <c:v>Both</c:v>
                </c:pt>
              </c:strCache>
            </c:strRef>
          </c:cat>
          <c:val>
            <c:numRef>
              <c:f>'Fig4 Prop filled by regionality'!$BF$5:$BF$7</c:f>
              <c:numCache>
                <c:formatCode>0%</c:formatCode>
                <c:ptCount val="3"/>
                <c:pt idx="0">
                  <c:v>0.16835016835016836</c:v>
                </c:pt>
                <c:pt idx="1">
                  <c:v>0.21103896103896103</c:v>
                </c:pt>
                <c:pt idx="2">
                  <c:v>0.23854166666666668</c:v>
                </c:pt>
              </c:numCache>
            </c:numRef>
          </c:val>
          <c:extLst>
            <c:ext xmlns:c16="http://schemas.microsoft.com/office/drawing/2014/chart" uri="{C3380CC4-5D6E-409C-BE32-E72D297353CC}">
              <c16:uniqueId val="{00000003-98B6-4291-87C6-7AFDFDC597FB}"/>
            </c:ext>
          </c:extLst>
        </c:ser>
        <c:dLbls>
          <c:showLegendKey val="0"/>
          <c:showVal val="0"/>
          <c:showCatName val="0"/>
          <c:showSerName val="0"/>
          <c:showPercent val="0"/>
          <c:showBubbleSize val="0"/>
        </c:dLbls>
        <c:gapWidth val="150"/>
        <c:overlap val="100"/>
        <c:axId val="616838767"/>
        <c:axId val="616839247"/>
      </c:barChart>
      <c:catAx>
        <c:axId val="616838767"/>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6839247"/>
        <c:crosses val="autoZero"/>
        <c:auto val="1"/>
        <c:lblAlgn val="ctr"/>
        <c:lblOffset val="100"/>
        <c:noMultiLvlLbl val="0"/>
      </c:catAx>
      <c:valAx>
        <c:axId val="616839247"/>
        <c:scaling>
          <c:orientation val="minMax"/>
          <c:max val="1"/>
        </c:scaling>
        <c:delete val="0"/>
        <c:axPos val="t"/>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683876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97915876168518"/>
          <c:y val="8.6223609614607719E-2"/>
          <c:w val="0.45242173741243463"/>
          <c:h val="0.64084246349940199"/>
        </c:manualLayout>
      </c:layout>
      <c:barChart>
        <c:barDir val="bar"/>
        <c:grouping val="percentStacked"/>
        <c:varyColors val="0"/>
        <c:ser>
          <c:idx val="0"/>
          <c:order val="0"/>
          <c:tx>
            <c:strRef>
              <c:f>'Fig5 Undersupply by Major Group'!$Q$30</c:f>
              <c:strCache>
                <c:ptCount val="1"/>
                <c:pt idx="0">
                  <c:v>Severe undersupply</c:v>
                </c:pt>
              </c:strCache>
            </c:strRef>
          </c:tx>
          <c:spPr>
            <a:solidFill>
              <a:srgbClr val="012749"/>
            </a:solidFill>
            <a:ln>
              <a:noFill/>
            </a:ln>
            <a:effectLst/>
          </c:spPr>
          <c:invertIfNegative val="0"/>
          <c:dLbls>
            <c:delete val="1"/>
          </c:dLbls>
          <c:cat>
            <c:strRef>
              <c:f>'Fig5 Undersupply by Major Group'!$P$31:$P$39</c:f>
              <c:strCache>
                <c:ptCount val="9"/>
                <c:pt idx="0">
                  <c:v>Professionals</c:v>
                </c:pt>
                <c:pt idx="1">
                  <c:v>Clerical and Administrative Workers</c:v>
                </c:pt>
                <c:pt idx="2">
                  <c:v>Managers</c:v>
                </c:pt>
                <c:pt idx="3">
                  <c:v>Machinery Operators and Drivers</c:v>
                </c:pt>
                <c:pt idx="4">
                  <c:v>Community and Personal Service Workers</c:v>
                </c:pt>
                <c:pt idx="5">
                  <c:v>Sales Workers</c:v>
                </c:pt>
                <c:pt idx="6">
                  <c:v>Technicians and Trades Workers</c:v>
                </c:pt>
                <c:pt idx="7">
                  <c:v>Labourers</c:v>
                </c:pt>
                <c:pt idx="8">
                  <c:v>Total</c:v>
                </c:pt>
              </c:strCache>
            </c:strRef>
          </c:cat>
          <c:val>
            <c:numRef>
              <c:f>'Fig5 Undersupply by Major Group'!$Q$31:$Q$39</c:f>
              <c:numCache>
                <c:formatCode>0%</c:formatCode>
                <c:ptCount val="9"/>
                <c:pt idx="0">
                  <c:v>0.34319526627218933</c:v>
                </c:pt>
                <c:pt idx="1">
                  <c:v>0.44594594594594594</c:v>
                </c:pt>
                <c:pt idx="2">
                  <c:v>0.44888888888888889</c:v>
                </c:pt>
                <c:pt idx="3">
                  <c:v>0.46405228758169936</c:v>
                </c:pt>
                <c:pt idx="4">
                  <c:v>0.46691176470588236</c:v>
                </c:pt>
                <c:pt idx="5">
                  <c:v>0.55555555555555558</c:v>
                </c:pt>
                <c:pt idx="6">
                  <c:v>0.61778471138845559</c:v>
                </c:pt>
                <c:pt idx="7">
                  <c:v>0.71794871794871795</c:v>
                </c:pt>
                <c:pt idx="8">
                  <c:v>0.48553345388788427</c:v>
                </c:pt>
              </c:numCache>
            </c:numRef>
          </c:val>
          <c:extLst>
            <c:ext xmlns:c16="http://schemas.microsoft.com/office/drawing/2014/chart" uri="{C3380CC4-5D6E-409C-BE32-E72D297353CC}">
              <c16:uniqueId val="{00000000-B173-4D23-91E5-9507F491AEB8}"/>
            </c:ext>
          </c:extLst>
        </c:ser>
        <c:ser>
          <c:idx val="1"/>
          <c:order val="1"/>
          <c:tx>
            <c:strRef>
              <c:f>'Fig5 Undersupply by Major Group'!$R$30</c:f>
              <c:strCache>
                <c:ptCount val="1"/>
                <c:pt idx="0">
                  <c:v>Undersupply</c:v>
                </c:pt>
              </c:strCache>
            </c:strRef>
          </c:tx>
          <c:spPr>
            <a:solidFill>
              <a:srgbClr val="009D9A"/>
            </a:solidFill>
            <a:ln>
              <a:noFill/>
            </a:ln>
            <a:effectLst/>
          </c:spPr>
          <c:invertIfNegative val="0"/>
          <c:dLbls>
            <c:delete val="1"/>
          </c:dLbls>
          <c:cat>
            <c:strRef>
              <c:f>'Fig5 Undersupply by Major Group'!$P$31:$P$39</c:f>
              <c:strCache>
                <c:ptCount val="9"/>
                <c:pt idx="0">
                  <c:v>Professionals</c:v>
                </c:pt>
                <c:pt idx="1">
                  <c:v>Clerical and Administrative Workers</c:v>
                </c:pt>
                <c:pt idx="2">
                  <c:v>Managers</c:v>
                </c:pt>
                <c:pt idx="3">
                  <c:v>Machinery Operators and Drivers</c:v>
                </c:pt>
                <c:pt idx="4">
                  <c:v>Community and Personal Service Workers</c:v>
                </c:pt>
                <c:pt idx="5">
                  <c:v>Sales Workers</c:v>
                </c:pt>
                <c:pt idx="6">
                  <c:v>Technicians and Trades Workers</c:v>
                </c:pt>
                <c:pt idx="7">
                  <c:v>Labourers</c:v>
                </c:pt>
                <c:pt idx="8">
                  <c:v>Total</c:v>
                </c:pt>
              </c:strCache>
            </c:strRef>
          </c:cat>
          <c:val>
            <c:numRef>
              <c:f>'Fig5 Undersupply by Major Group'!$R$31:$R$39</c:f>
              <c:numCache>
                <c:formatCode>0%</c:formatCode>
                <c:ptCount val="9"/>
                <c:pt idx="0">
                  <c:v>0.31656804733727811</c:v>
                </c:pt>
                <c:pt idx="1">
                  <c:v>0.28378378378378377</c:v>
                </c:pt>
                <c:pt idx="2">
                  <c:v>0.4</c:v>
                </c:pt>
                <c:pt idx="3">
                  <c:v>0.40522875816993464</c:v>
                </c:pt>
                <c:pt idx="4">
                  <c:v>0.46323529411764708</c:v>
                </c:pt>
                <c:pt idx="5">
                  <c:v>0.35185185185185186</c:v>
                </c:pt>
                <c:pt idx="6">
                  <c:v>0.33229329173166927</c:v>
                </c:pt>
                <c:pt idx="7">
                  <c:v>0.22222222222222221</c:v>
                </c:pt>
                <c:pt idx="8">
                  <c:v>0.3485533453887884</c:v>
                </c:pt>
              </c:numCache>
            </c:numRef>
          </c:val>
          <c:extLst>
            <c:ext xmlns:c16="http://schemas.microsoft.com/office/drawing/2014/chart" uri="{C3380CC4-5D6E-409C-BE32-E72D297353CC}">
              <c16:uniqueId val="{00000001-B173-4D23-91E5-9507F491AEB8}"/>
            </c:ext>
          </c:extLst>
        </c:ser>
        <c:ser>
          <c:idx val="2"/>
          <c:order val="2"/>
          <c:tx>
            <c:strRef>
              <c:f>'Fig5 Undersupply by Major Group'!$S$30</c:f>
              <c:strCache>
                <c:ptCount val="1"/>
                <c:pt idx="0">
                  <c:v>About right</c:v>
                </c:pt>
              </c:strCache>
            </c:strRef>
          </c:tx>
          <c:spPr>
            <a:solidFill>
              <a:srgbClr val="6929C4"/>
            </a:solidFill>
            <a:ln>
              <a:noFill/>
            </a:ln>
            <a:effectLst/>
          </c:spPr>
          <c:invertIfNegative val="0"/>
          <c:dLbls>
            <c:delete val="1"/>
          </c:dLbls>
          <c:cat>
            <c:strRef>
              <c:f>'Fig5 Undersupply by Major Group'!$P$31:$P$39</c:f>
              <c:strCache>
                <c:ptCount val="9"/>
                <c:pt idx="0">
                  <c:v>Professionals</c:v>
                </c:pt>
                <c:pt idx="1">
                  <c:v>Clerical and Administrative Workers</c:v>
                </c:pt>
                <c:pt idx="2">
                  <c:v>Managers</c:v>
                </c:pt>
                <c:pt idx="3">
                  <c:v>Machinery Operators and Drivers</c:v>
                </c:pt>
                <c:pt idx="4">
                  <c:v>Community and Personal Service Workers</c:v>
                </c:pt>
                <c:pt idx="5">
                  <c:v>Sales Workers</c:v>
                </c:pt>
                <c:pt idx="6">
                  <c:v>Technicians and Trades Workers</c:v>
                </c:pt>
                <c:pt idx="7">
                  <c:v>Labourers</c:v>
                </c:pt>
                <c:pt idx="8">
                  <c:v>Total</c:v>
                </c:pt>
              </c:strCache>
            </c:strRef>
          </c:cat>
          <c:val>
            <c:numRef>
              <c:f>'Fig5 Undersupply by Major Group'!$S$31:$S$39</c:f>
              <c:numCache>
                <c:formatCode>0%</c:formatCode>
                <c:ptCount val="9"/>
                <c:pt idx="0">
                  <c:v>0.17011834319526628</c:v>
                </c:pt>
                <c:pt idx="1">
                  <c:v>0.22972972972972974</c:v>
                </c:pt>
                <c:pt idx="2">
                  <c:v>0.13333333333333333</c:v>
                </c:pt>
                <c:pt idx="3">
                  <c:v>0.13071895424836602</c:v>
                </c:pt>
                <c:pt idx="4">
                  <c:v>6.6176470588235295E-2</c:v>
                </c:pt>
                <c:pt idx="5">
                  <c:v>9.2592592592592587E-2</c:v>
                </c:pt>
                <c:pt idx="6">
                  <c:v>4.8361934477379097E-2</c:v>
                </c:pt>
                <c:pt idx="7">
                  <c:v>5.9829059829059832E-2</c:v>
                </c:pt>
                <c:pt idx="8">
                  <c:v>0.10985533453887884</c:v>
                </c:pt>
              </c:numCache>
            </c:numRef>
          </c:val>
          <c:extLst>
            <c:ext xmlns:c16="http://schemas.microsoft.com/office/drawing/2014/chart" uri="{C3380CC4-5D6E-409C-BE32-E72D297353CC}">
              <c16:uniqueId val="{00000002-B173-4D23-91E5-9507F491AEB8}"/>
            </c:ext>
          </c:extLst>
        </c:ser>
        <c:ser>
          <c:idx val="3"/>
          <c:order val="3"/>
          <c:tx>
            <c:strRef>
              <c:f>'Fig5 Undersupply by Major Group'!$T$30</c:f>
              <c:strCache>
                <c:ptCount val="1"/>
                <c:pt idx="0">
                  <c:v>Oversupply</c:v>
                </c:pt>
              </c:strCache>
            </c:strRef>
          </c:tx>
          <c:spPr>
            <a:solidFill>
              <a:srgbClr val="1192E8"/>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173-4D23-91E5-9507F491AEB8}"/>
                </c:ext>
              </c:extLst>
            </c:dLbl>
            <c:dLbl>
              <c:idx val="1"/>
              <c:delete val="1"/>
              <c:extLst>
                <c:ext xmlns:c15="http://schemas.microsoft.com/office/drawing/2012/chart" uri="{CE6537A1-D6FC-4f65-9D91-7224C49458BB}"/>
                <c:ext xmlns:c16="http://schemas.microsoft.com/office/drawing/2014/chart" uri="{C3380CC4-5D6E-409C-BE32-E72D297353CC}">
                  <c16:uniqueId val="{00000004-B173-4D23-91E5-9507F491AEB8}"/>
                </c:ext>
              </c:extLst>
            </c:dLbl>
            <c:dLbl>
              <c:idx val="2"/>
              <c:delete val="1"/>
              <c:extLst>
                <c:ext xmlns:c15="http://schemas.microsoft.com/office/drawing/2012/chart" uri="{CE6537A1-D6FC-4f65-9D91-7224C49458BB}"/>
                <c:ext xmlns:c16="http://schemas.microsoft.com/office/drawing/2014/chart" uri="{C3380CC4-5D6E-409C-BE32-E72D297353CC}">
                  <c16:uniqueId val="{00000005-B173-4D23-91E5-9507F491AEB8}"/>
                </c:ext>
              </c:extLst>
            </c:dLbl>
            <c:dLbl>
              <c:idx val="3"/>
              <c:delete val="1"/>
              <c:extLst>
                <c:ext xmlns:c15="http://schemas.microsoft.com/office/drawing/2012/chart" uri="{CE6537A1-D6FC-4f65-9D91-7224C49458BB}"/>
                <c:ext xmlns:c16="http://schemas.microsoft.com/office/drawing/2014/chart" uri="{C3380CC4-5D6E-409C-BE32-E72D297353CC}">
                  <c16:uniqueId val="{00000006-B173-4D23-91E5-9507F491AEB8}"/>
                </c:ext>
              </c:extLst>
            </c:dLbl>
            <c:dLbl>
              <c:idx val="4"/>
              <c:layout>
                <c:manualLayout>
                  <c:x val="9.4805173281554994E-2"/>
                  <c:y val="-7.3120439320932913E-3"/>
                </c:manualLayout>
              </c:layout>
              <c:dLblPos val="ctr"/>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B173-4D23-91E5-9507F491AEB8}"/>
                </c:ext>
              </c:extLst>
            </c:dLbl>
            <c:dLbl>
              <c:idx val="5"/>
              <c:delete val="1"/>
              <c:extLst>
                <c:ext xmlns:c15="http://schemas.microsoft.com/office/drawing/2012/chart" uri="{CE6537A1-D6FC-4f65-9D91-7224C49458BB}"/>
                <c:ext xmlns:c16="http://schemas.microsoft.com/office/drawing/2014/chart" uri="{C3380CC4-5D6E-409C-BE32-E72D297353CC}">
                  <c16:uniqueId val="{00000008-B173-4D23-91E5-9507F491AEB8}"/>
                </c:ext>
              </c:extLst>
            </c:dLbl>
            <c:dLbl>
              <c:idx val="6"/>
              <c:layout>
                <c:manualLayout>
                  <c:x val="8.4658709784906E-2"/>
                  <c:y val="3.657090353529418E-3"/>
                </c:manualLayout>
              </c:layout>
              <c:dLblPos val="ctr"/>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B173-4D23-91E5-9507F491AEB8}"/>
                </c:ext>
              </c:extLst>
            </c:dLbl>
            <c:dLbl>
              <c:idx val="7"/>
              <c:delete val="1"/>
              <c:extLst>
                <c:ext xmlns:c15="http://schemas.microsoft.com/office/drawing/2012/chart" uri="{CE6537A1-D6FC-4f65-9D91-7224C49458BB}"/>
                <c:ext xmlns:c16="http://schemas.microsoft.com/office/drawing/2014/chart" uri="{C3380CC4-5D6E-409C-BE32-E72D297353CC}">
                  <c16:uniqueId val="{0000000A-B173-4D23-91E5-9507F491AEB8}"/>
                </c:ext>
              </c:extLst>
            </c:dLbl>
            <c:dLbl>
              <c:idx val="8"/>
              <c:delete val="1"/>
              <c:extLst>
                <c:ext xmlns:c15="http://schemas.microsoft.com/office/drawing/2012/chart" uri="{CE6537A1-D6FC-4f65-9D91-7224C49458BB}"/>
                <c:ext xmlns:c16="http://schemas.microsoft.com/office/drawing/2014/chart" uri="{C3380CC4-5D6E-409C-BE32-E72D297353CC}">
                  <c16:uniqueId val="{0000000B-B173-4D23-91E5-9507F491AEB8}"/>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'Fig5 Undersupply by Major Group'!$P$31:$P$39</c:f>
              <c:strCache>
                <c:ptCount val="9"/>
                <c:pt idx="0">
                  <c:v>Professionals</c:v>
                </c:pt>
                <c:pt idx="1">
                  <c:v>Clerical and Administrative Workers</c:v>
                </c:pt>
                <c:pt idx="2">
                  <c:v>Managers</c:v>
                </c:pt>
                <c:pt idx="3">
                  <c:v>Machinery Operators and Drivers</c:v>
                </c:pt>
                <c:pt idx="4">
                  <c:v>Community and Personal Service Workers</c:v>
                </c:pt>
                <c:pt idx="5">
                  <c:v>Sales Workers</c:v>
                </c:pt>
                <c:pt idx="6">
                  <c:v>Technicians and Trades Workers</c:v>
                </c:pt>
                <c:pt idx="7">
                  <c:v>Labourers</c:v>
                </c:pt>
                <c:pt idx="8">
                  <c:v>Total</c:v>
                </c:pt>
              </c:strCache>
            </c:strRef>
          </c:cat>
          <c:val>
            <c:numRef>
              <c:f>'Fig5 Undersupply by Major Group'!$T$31:$T$39</c:f>
              <c:numCache>
                <c:formatCode>0%</c:formatCode>
                <c:ptCount val="9"/>
                <c:pt idx="0">
                  <c:v>0.17011834319526628</c:v>
                </c:pt>
                <c:pt idx="1">
                  <c:v>4.0540540540540543E-2</c:v>
                </c:pt>
                <c:pt idx="2">
                  <c:v>1.7777777777777778E-2</c:v>
                </c:pt>
                <c:pt idx="3">
                  <c:v>0</c:v>
                </c:pt>
                <c:pt idx="4" formatCode="0.0%">
                  <c:v>3.6764705882352941E-3</c:v>
                </c:pt>
                <c:pt idx="5">
                  <c:v>0</c:v>
                </c:pt>
                <c:pt idx="6" formatCode="0.0%">
                  <c:v>1.5600624024960999E-3</c:v>
                </c:pt>
                <c:pt idx="7">
                  <c:v>0</c:v>
                </c:pt>
                <c:pt idx="8">
                  <c:v>5.6057866184448461E-2</c:v>
                </c:pt>
              </c:numCache>
            </c:numRef>
          </c:val>
          <c:extLst>
            <c:ext xmlns:c16="http://schemas.microsoft.com/office/drawing/2014/chart" uri="{C3380CC4-5D6E-409C-BE32-E72D297353CC}">
              <c16:uniqueId val="{0000000C-B173-4D23-91E5-9507F491AEB8}"/>
            </c:ext>
          </c:extLst>
        </c:ser>
        <c:dLbls>
          <c:dLblPos val="inBase"/>
          <c:showLegendKey val="0"/>
          <c:showVal val="1"/>
          <c:showCatName val="0"/>
          <c:showSerName val="0"/>
          <c:showPercent val="0"/>
          <c:showBubbleSize val="0"/>
        </c:dLbls>
        <c:gapWidth val="150"/>
        <c:overlap val="100"/>
        <c:axId val="1063023584"/>
        <c:axId val="1063010624"/>
      </c:barChart>
      <c:catAx>
        <c:axId val="106302358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010624"/>
        <c:crosses val="autoZero"/>
        <c:auto val="1"/>
        <c:lblAlgn val="ctr"/>
        <c:lblOffset val="100"/>
        <c:noMultiLvlLbl val="0"/>
      </c:catAx>
      <c:valAx>
        <c:axId val="1063010624"/>
        <c:scaling>
          <c:orientation val="minMax"/>
        </c:scaling>
        <c:delete val="0"/>
        <c:axPos val="t"/>
        <c:majorGridlines>
          <c:spPr>
            <a:ln w="9525" cap="flat" cmpd="sng" algn="ctr">
              <a:no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023584"/>
        <c:crosses val="autoZero"/>
        <c:crossBetween val="between"/>
        <c:majorUnit val="0.2"/>
      </c:valAx>
      <c:spPr>
        <a:noFill/>
        <a:ln>
          <a:noFill/>
        </a:ln>
        <a:effectLst/>
      </c:spPr>
    </c:plotArea>
    <c:legend>
      <c:legendPos val="b"/>
      <c:layout>
        <c:manualLayout>
          <c:xMode val="edge"/>
          <c:yMode val="edge"/>
          <c:x val="0.21712639858203167"/>
          <c:y val="0.85590551181102359"/>
          <c:w val="0.60604607873666838"/>
          <c:h val="5.73053363622621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'Fig 6 Demand by Major G'!$J$57</c:f>
              <c:strCache>
                <c:ptCount val="1"/>
                <c:pt idx="0">
                  <c:v>Much Higher Demand</c:v>
                </c:pt>
              </c:strCache>
            </c:strRef>
          </c:tx>
          <c:spPr>
            <a:solidFill>
              <a:srgbClr val="012749"/>
            </a:solidFill>
            <a:ln>
              <a:noFill/>
            </a:ln>
            <a:effectLst/>
          </c:spPr>
          <c:invertIfNegative val="0"/>
          <c:cat>
            <c:strRef>
              <c:f>'Fig 6 Demand by Major G'!$I$58:$I$66</c:f>
              <c:strCache>
                <c:ptCount val="9"/>
                <c:pt idx="0">
                  <c:v>Sales Workers</c:v>
                </c:pt>
                <c:pt idx="1">
                  <c:v>Labourers</c:v>
                </c:pt>
                <c:pt idx="2">
                  <c:v>Machinery Operators and Drivers</c:v>
                </c:pt>
                <c:pt idx="3">
                  <c:v>Professionals</c:v>
                </c:pt>
                <c:pt idx="4">
                  <c:v>Managers</c:v>
                </c:pt>
                <c:pt idx="5">
                  <c:v>Technicians and Trades Workers</c:v>
                </c:pt>
                <c:pt idx="6">
                  <c:v>Clerical and Administrative Workers</c:v>
                </c:pt>
                <c:pt idx="7">
                  <c:v>Community and Personal Service Workers</c:v>
                </c:pt>
                <c:pt idx="8">
                  <c:v>Total</c:v>
                </c:pt>
              </c:strCache>
            </c:strRef>
          </c:cat>
          <c:val>
            <c:numRef>
              <c:f>'Fig 6 Demand by Major G'!$J$58:$J$66</c:f>
              <c:numCache>
                <c:formatCode>0%</c:formatCode>
                <c:ptCount val="9"/>
                <c:pt idx="0">
                  <c:v>0</c:v>
                </c:pt>
                <c:pt idx="1">
                  <c:v>0.14035087719298245</c:v>
                </c:pt>
                <c:pt idx="2">
                  <c:v>0.15333333333333332</c:v>
                </c:pt>
                <c:pt idx="3">
                  <c:v>0.15889212827988339</c:v>
                </c:pt>
                <c:pt idx="4">
                  <c:v>0.1703056768558952</c:v>
                </c:pt>
                <c:pt idx="5">
                  <c:v>0.1984251968503937</c:v>
                </c:pt>
                <c:pt idx="6">
                  <c:v>0.21917808219178081</c:v>
                </c:pt>
                <c:pt idx="7">
                  <c:v>0.23076923076923078</c:v>
                </c:pt>
                <c:pt idx="8" formatCode="General">
                  <c:v>7.7730090605627092E-2</c:v>
                </c:pt>
              </c:numCache>
            </c:numRef>
          </c:val>
          <c:extLst>
            <c:ext xmlns:c16="http://schemas.microsoft.com/office/drawing/2014/chart" uri="{C3380CC4-5D6E-409C-BE32-E72D297353CC}">
              <c16:uniqueId val="{00000000-013A-40A2-BB27-128C47495899}"/>
            </c:ext>
          </c:extLst>
        </c:ser>
        <c:ser>
          <c:idx val="1"/>
          <c:order val="1"/>
          <c:tx>
            <c:strRef>
              <c:f>'Fig 6 Demand by Major G'!$K$57</c:f>
              <c:strCache>
                <c:ptCount val="1"/>
                <c:pt idx="0">
                  <c:v>Higher Demand</c:v>
                </c:pt>
              </c:strCache>
            </c:strRef>
          </c:tx>
          <c:spPr>
            <a:solidFill>
              <a:srgbClr val="009D9A"/>
            </a:solidFill>
            <a:ln>
              <a:noFill/>
            </a:ln>
            <a:effectLst/>
          </c:spPr>
          <c:invertIfNegative val="0"/>
          <c:cat>
            <c:strRef>
              <c:f>'Fig 6 Demand by Major G'!$I$58:$I$66</c:f>
              <c:strCache>
                <c:ptCount val="9"/>
                <c:pt idx="0">
                  <c:v>Sales Workers</c:v>
                </c:pt>
                <c:pt idx="1">
                  <c:v>Labourers</c:v>
                </c:pt>
                <c:pt idx="2">
                  <c:v>Machinery Operators and Drivers</c:v>
                </c:pt>
                <c:pt idx="3">
                  <c:v>Professionals</c:v>
                </c:pt>
                <c:pt idx="4">
                  <c:v>Managers</c:v>
                </c:pt>
                <c:pt idx="5">
                  <c:v>Technicians and Trades Workers</c:v>
                </c:pt>
                <c:pt idx="6">
                  <c:v>Clerical and Administrative Workers</c:v>
                </c:pt>
                <c:pt idx="7">
                  <c:v>Community and Personal Service Workers</c:v>
                </c:pt>
                <c:pt idx="8">
                  <c:v>Total</c:v>
                </c:pt>
              </c:strCache>
            </c:strRef>
          </c:cat>
          <c:val>
            <c:numRef>
              <c:f>'Fig 6 Demand by Major G'!$K$58:$K$66</c:f>
              <c:numCache>
                <c:formatCode>0%</c:formatCode>
                <c:ptCount val="9"/>
                <c:pt idx="0">
                  <c:v>0.27450980392156865</c:v>
                </c:pt>
                <c:pt idx="1">
                  <c:v>0.35087719298245612</c:v>
                </c:pt>
                <c:pt idx="2">
                  <c:v>0.36</c:v>
                </c:pt>
                <c:pt idx="3">
                  <c:v>0.34548104956268222</c:v>
                </c:pt>
                <c:pt idx="4">
                  <c:v>0.34061135371179041</c:v>
                </c:pt>
                <c:pt idx="5">
                  <c:v>0.40944881889763779</c:v>
                </c:pt>
                <c:pt idx="6">
                  <c:v>0.23287671232876711</c:v>
                </c:pt>
                <c:pt idx="7">
                  <c:v>0.44688644688644691</c:v>
                </c:pt>
                <c:pt idx="8" formatCode="General">
                  <c:v>0.37005245588936575</c:v>
                </c:pt>
              </c:numCache>
            </c:numRef>
          </c:val>
          <c:extLst>
            <c:ext xmlns:c16="http://schemas.microsoft.com/office/drawing/2014/chart" uri="{C3380CC4-5D6E-409C-BE32-E72D297353CC}">
              <c16:uniqueId val="{00000001-013A-40A2-BB27-128C47495899}"/>
            </c:ext>
          </c:extLst>
        </c:ser>
        <c:ser>
          <c:idx val="2"/>
          <c:order val="2"/>
          <c:tx>
            <c:strRef>
              <c:f>'Fig 6 Demand by Major G'!$L$57</c:f>
              <c:strCache>
                <c:ptCount val="1"/>
                <c:pt idx="0">
                  <c:v>About the Same </c:v>
                </c:pt>
              </c:strCache>
            </c:strRef>
          </c:tx>
          <c:spPr>
            <a:solidFill>
              <a:srgbClr val="6929C4"/>
            </a:solidFill>
            <a:ln>
              <a:noFill/>
            </a:ln>
            <a:effectLst/>
          </c:spPr>
          <c:invertIfNegative val="0"/>
          <c:cat>
            <c:strRef>
              <c:f>'Fig 6 Demand by Major G'!$I$58:$I$66</c:f>
              <c:strCache>
                <c:ptCount val="9"/>
                <c:pt idx="0">
                  <c:v>Sales Workers</c:v>
                </c:pt>
                <c:pt idx="1">
                  <c:v>Labourers</c:v>
                </c:pt>
                <c:pt idx="2">
                  <c:v>Machinery Operators and Drivers</c:v>
                </c:pt>
                <c:pt idx="3">
                  <c:v>Professionals</c:v>
                </c:pt>
                <c:pt idx="4">
                  <c:v>Managers</c:v>
                </c:pt>
                <c:pt idx="5">
                  <c:v>Technicians and Trades Workers</c:v>
                </c:pt>
                <c:pt idx="6">
                  <c:v>Clerical and Administrative Workers</c:v>
                </c:pt>
                <c:pt idx="7">
                  <c:v>Community and Personal Service Workers</c:v>
                </c:pt>
                <c:pt idx="8">
                  <c:v>Total</c:v>
                </c:pt>
              </c:strCache>
            </c:strRef>
          </c:cat>
          <c:val>
            <c:numRef>
              <c:f>'Fig 6 Demand by Major G'!$L$58:$L$66</c:f>
              <c:numCache>
                <c:formatCode>0%</c:formatCode>
                <c:ptCount val="9"/>
                <c:pt idx="0">
                  <c:v>0.70588235294117652</c:v>
                </c:pt>
                <c:pt idx="1">
                  <c:v>0.5</c:v>
                </c:pt>
                <c:pt idx="2">
                  <c:v>0.44666666666666666</c:v>
                </c:pt>
                <c:pt idx="3">
                  <c:v>0.33090379008746357</c:v>
                </c:pt>
                <c:pt idx="4">
                  <c:v>0.4366812227074236</c:v>
                </c:pt>
                <c:pt idx="5">
                  <c:v>0.35905511811023622</c:v>
                </c:pt>
                <c:pt idx="6">
                  <c:v>0.49315068493150682</c:v>
                </c:pt>
                <c:pt idx="7">
                  <c:v>0.30036630036630035</c:v>
                </c:pt>
                <c:pt idx="8" formatCode="General">
                  <c:v>0.37291368621840726</c:v>
                </c:pt>
              </c:numCache>
            </c:numRef>
          </c:val>
          <c:extLst>
            <c:ext xmlns:c16="http://schemas.microsoft.com/office/drawing/2014/chart" uri="{C3380CC4-5D6E-409C-BE32-E72D297353CC}">
              <c16:uniqueId val="{00000002-013A-40A2-BB27-128C47495899}"/>
            </c:ext>
          </c:extLst>
        </c:ser>
        <c:ser>
          <c:idx val="3"/>
          <c:order val="3"/>
          <c:tx>
            <c:strRef>
              <c:f>'Fig 6 Demand by Major G'!$M$57</c:f>
              <c:strCache>
                <c:ptCount val="1"/>
                <c:pt idx="0">
                  <c:v>Lower Demand</c:v>
                </c:pt>
              </c:strCache>
            </c:strRef>
          </c:tx>
          <c:spPr>
            <a:solidFill>
              <a:srgbClr val="1192E8"/>
            </a:solidFill>
            <a:ln>
              <a:noFill/>
            </a:ln>
            <a:effectLst/>
          </c:spPr>
          <c:invertIfNegative val="0"/>
          <c:cat>
            <c:strRef>
              <c:f>'Fig 6 Demand by Major G'!$I$58:$I$66</c:f>
              <c:strCache>
                <c:ptCount val="9"/>
                <c:pt idx="0">
                  <c:v>Sales Workers</c:v>
                </c:pt>
                <c:pt idx="1">
                  <c:v>Labourers</c:v>
                </c:pt>
                <c:pt idx="2">
                  <c:v>Machinery Operators and Drivers</c:v>
                </c:pt>
                <c:pt idx="3">
                  <c:v>Professionals</c:v>
                </c:pt>
                <c:pt idx="4">
                  <c:v>Managers</c:v>
                </c:pt>
                <c:pt idx="5">
                  <c:v>Technicians and Trades Workers</c:v>
                </c:pt>
                <c:pt idx="6">
                  <c:v>Clerical and Administrative Workers</c:v>
                </c:pt>
                <c:pt idx="7">
                  <c:v>Community and Personal Service Workers</c:v>
                </c:pt>
                <c:pt idx="8">
                  <c:v>Total</c:v>
                </c:pt>
              </c:strCache>
            </c:strRef>
          </c:cat>
          <c:val>
            <c:numRef>
              <c:f>'Fig 6 Demand by Major G'!$M$58:$M$66</c:f>
              <c:numCache>
                <c:formatCode>0%</c:formatCode>
                <c:ptCount val="9"/>
                <c:pt idx="0">
                  <c:v>1.9607843137254902E-2</c:v>
                </c:pt>
                <c:pt idx="1">
                  <c:v>8.771929824561403E-3</c:v>
                </c:pt>
                <c:pt idx="2">
                  <c:v>0.04</c:v>
                </c:pt>
                <c:pt idx="3">
                  <c:v>0.16472303206997085</c:v>
                </c:pt>
                <c:pt idx="4" formatCode="0.0%">
                  <c:v>5.2401746724890827E-2</c:v>
                </c:pt>
                <c:pt idx="5">
                  <c:v>3.3070866141732283E-2</c:v>
                </c:pt>
                <c:pt idx="6" formatCode="0.0%">
                  <c:v>5.4794520547945202E-2</c:v>
                </c:pt>
                <c:pt idx="7">
                  <c:v>2.197802197802198E-2</c:v>
                </c:pt>
                <c:pt idx="8" formatCode="General">
                  <c:v>0.17930376728659991</c:v>
                </c:pt>
              </c:numCache>
            </c:numRef>
          </c:val>
          <c:extLst>
            <c:ext xmlns:c16="http://schemas.microsoft.com/office/drawing/2014/chart" uri="{C3380CC4-5D6E-409C-BE32-E72D297353CC}">
              <c16:uniqueId val="{00000003-013A-40A2-BB27-128C47495899}"/>
            </c:ext>
          </c:extLst>
        </c:ser>
        <c:dLbls>
          <c:showLegendKey val="0"/>
          <c:showVal val="0"/>
          <c:showCatName val="0"/>
          <c:showSerName val="0"/>
          <c:showPercent val="0"/>
          <c:showBubbleSize val="0"/>
        </c:dLbls>
        <c:gapWidth val="150"/>
        <c:overlap val="100"/>
        <c:axId val="1063023584"/>
        <c:axId val="1063010624"/>
      </c:barChart>
      <c:catAx>
        <c:axId val="106302358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010624"/>
        <c:crosses val="autoZero"/>
        <c:auto val="1"/>
        <c:lblAlgn val="ctr"/>
        <c:lblOffset val="100"/>
        <c:noMultiLvlLbl val="0"/>
      </c:catAx>
      <c:valAx>
        <c:axId val="1063010624"/>
        <c:scaling>
          <c:orientation val="minMax"/>
        </c:scaling>
        <c:delete val="0"/>
        <c:axPos val="t"/>
        <c:majorGridlines>
          <c:spPr>
            <a:ln w="9525" cap="flat" cmpd="sng" algn="ctr">
              <a:no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023584"/>
        <c:crosses val="autoZero"/>
        <c:crossBetween val="between"/>
        <c:majorUnit val="0.2"/>
      </c:valAx>
      <c:spPr>
        <a:noFill/>
        <a:ln>
          <a:noFill/>
        </a:ln>
        <a:effectLst/>
      </c:spPr>
    </c:plotArea>
    <c:legend>
      <c:legendPos val="b"/>
      <c:layout>
        <c:manualLayout>
          <c:xMode val="edge"/>
          <c:yMode val="edge"/>
          <c:x val="0.21469519699868025"/>
          <c:y val="0.90667111673256273"/>
          <c:w val="0.75814027733073741"/>
          <c:h val="7.18997236819548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Sheet1!$F$2</c:f>
              <c:strCache>
                <c:ptCount val="1"/>
                <c:pt idx="0">
                  <c:v>Secondary reasons</c:v>
                </c:pt>
              </c:strCache>
            </c:strRef>
          </c:tx>
          <c:spPr>
            <a:solidFill>
              <a:schemeClr val="accent2"/>
            </a:solidFill>
            <a:ln>
              <a:noFill/>
            </a:ln>
            <a:effectLst/>
          </c:spPr>
          <c:invertIfNegative val="0"/>
          <c:cat>
            <c:strRef>
              <c:f>Sheet1!$B$3:$B$14</c:f>
              <c:strCache>
                <c:ptCount val="12"/>
                <c:pt idx="0">
                  <c:v>No challenges</c:v>
                </c:pt>
                <c:pt idx="1">
                  <c:v>Lacked technical skills</c:v>
                </c:pt>
                <c:pt idx="2">
                  <c:v>Lacked qualifications</c:v>
                </c:pt>
                <c:pt idx="3">
                  <c:v>Lacked experience</c:v>
                </c:pt>
                <c:pt idx="4">
                  <c:v>Remuneration</c:v>
                </c:pt>
                <c:pt idx="5">
                  <c:v>Other</c:v>
                </c:pt>
                <c:pt idx="6">
                  <c:v>Applicants overseas/working rights</c:v>
                </c:pt>
                <c:pt idx="7">
                  <c:v>Location of applicants not suitable</c:v>
                </c:pt>
                <c:pt idx="8">
                  <c:v>Applicants did not attend interview/work</c:v>
                </c:pt>
                <c:pt idx="9">
                  <c:v>Poor application/interview</c:v>
                </c:pt>
                <c:pt idx="10">
                  <c:v>Applied only for Centrelink</c:v>
                </c:pt>
                <c:pt idx="11">
                  <c:v>Poor references/work history</c:v>
                </c:pt>
              </c:strCache>
            </c:strRef>
          </c:cat>
          <c:val>
            <c:numRef>
              <c:f>Sheet1!$F$3:$F$14</c:f>
              <c:numCache>
                <c:formatCode>0%</c:formatCode>
                <c:ptCount val="12"/>
                <c:pt idx="0">
                  <c:v>0</c:v>
                </c:pt>
                <c:pt idx="1">
                  <c:v>0.11959471684458114</c:v>
                </c:pt>
                <c:pt idx="2">
                  <c:v>0.11679030215306677</c:v>
                </c:pt>
                <c:pt idx="3">
                  <c:v>0.12800796091912431</c:v>
                </c:pt>
                <c:pt idx="4">
                  <c:v>0.10882938302876786</c:v>
                </c:pt>
                <c:pt idx="5">
                  <c:v>5.6088293830287676E-2</c:v>
                </c:pt>
                <c:pt idx="6">
                  <c:v>0.11724262710331101</c:v>
                </c:pt>
                <c:pt idx="7">
                  <c:v>9.7611724262710337E-2</c:v>
                </c:pt>
                <c:pt idx="8">
                  <c:v>1.2122308666546046E-2</c:v>
                </c:pt>
                <c:pt idx="9">
                  <c:v>8.5127555635968882E-2</c:v>
                </c:pt>
                <c:pt idx="10">
                  <c:v>8.295639587479646E-2</c:v>
                </c:pt>
                <c:pt idx="11">
                  <c:v>7.5628731680839514E-2</c:v>
                </c:pt>
              </c:numCache>
            </c:numRef>
          </c:val>
          <c:extLst>
            <c:ext xmlns:c16="http://schemas.microsoft.com/office/drawing/2014/chart" uri="{C3380CC4-5D6E-409C-BE32-E72D297353CC}">
              <c16:uniqueId val="{00000000-ABF6-4607-8C83-E91DE702A292}"/>
            </c:ext>
          </c:extLst>
        </c:ser>
        <c:ser>
          <c:idx val="0"/>
          <c:order val="1"/>
          <c:tx>
            <c:strRef>
              <c:f>Sheet1!$E$2</c:f>
              <c:strCache>
                <c:ptCount val="1"/>
                <c:pt idx="0">
                  <c:v>Main reason</c:v>
                </c:pt>
              </c:strCache>
            </c:strRef>
          </c:tx>
          <c:spPr>
            <a:solidFill>
              <a:schemeClr val="accent1"/>
            </a:solidFill>
            <a:ln>
              <a:noFill/>
            </a:ln>
            <a:effectLst/>
          </c:spPr>
          <c:invertIfNegative val="0"/>
          <c:cat>
            <c:strRef>
              <c:f>Sheet1!$B$3:$B$14</c:f>
              <c:strCache>
                <c:ptCount val="12"/>
                <c:pt idx="0">
                  <c:v>No challenges</c:v>
                </c:pt>
                <c:pt idx="1">
                  <c:v>Lacked technical skills</c:v>
                </c:pt>
                <c:pt idx="2">
                  <c:v>Lacked qualifications</c:v>
                </c:pt>
                <c:pt idx="3">
                  <c:v>Lacked experience</c:v>
                </c:pt>
                <c:pt idx="4">
                  <c:v>Remuneration</c:v>
                </c:pt>
                <c:pt idx="5">
                  <c:v>Other</c:v>
                </c:pt>
                <c:pt idx="6">
                  <c:v>Applicants overseas/working rights</c:v>
                </c:pt>
                <c:pt idx="7">
                  <c:v>Location of applicants not suitable</c:v>
                </c:pt>
                <c:pt idx="8">
                  <c:v>Applicants did not attend interview/work</c:v>
                </c:pt>
                <c:pt idx="9">
                  <c:v>Poor application/interview</c:v>
                </c:pt>
                <c:pt idx="10">
                  <c:v>Applied only for Centrelink</c:v>
                </c:pt>
                <c:pt idx="11">
                  <c:v>Poor references/work history</c:v>
                </c:pt>
              </c:strCache>
            </c:strRef>
          </c:cat>
          <c:val>
            <c:numRef>
              <c:f>Sheet1!$E$3:$E$14</c:f>
              <c:numCache>
                <c:formatCode>0%</c:formatCode>
                <c:ptCount val="12"/>
                <c:pt idx="0">
                  <c:v>8.0050293378038553E-2</c:v>
                </c:pt>
                <c:pt idx="1">
                  <c:v>0.23512154233025984</c:v>
                </c:pt>
                <c:pt idx="2">
                  <c:v>0.16596814752724226</c:v>
                </c:pt>
                <c:pt idx="3">
                  <c:v>0.15004191114836546</c:v>
                </c:pt>
                <c:pt idx="4">
                  <c:v>0.10016764459346186</c:v>
                </c:pt>
                <c:pt idx="5">
                  <c:v>9.388097233864208E-2</c:v>
                </c:pt>
                <c:pt idx="6">
                  <c:v>7.2925398155909468E-2</c:v>
                </c:pt>
                <c:pt idx="7">
                  <c:v>3.9815590947191955E-2</c:v>
                </c:pt>
                <c:pt idx="8">
                  <c:v>2.4308466051969825E-2</c:v>
                </c:pt>
                <c:pt idx="9">
                  <c:v>2.179379715004191E-2</c:v>
                </c:pt>
                <c:pt idx="10">
                  <c:v>1.2154233025984913E-2</c:v>
                </c:pt>
                <c:pt idx="11">
                  <c:v>3.7720033528918693E-3</c:v>
                </c:pt>
              </c:numCache>
            </c:numRef>
          </c:val>
          <c:extLst>
            <c:ext xmlns:c16="http://schemas.microsoft.com/office/drawing/2014/chart" uri="{C3380CC4-5D6E-409C-BE32-E72D297353CC}">
              <c16:uniqueId val="{00000001-ABF6-4607-8C83-E91DE702A292}"/>
            </c:ext>
          </c:extLst>
        </c:ser>
        <c:dLbls>
          <c:showLegendKey val="0"/>
          <c:showVal val="0"/>
          <c:showCatName val="0"/>
          <c:showSerName val="0"/>
          <c:showPercent val="0"/>
          <c:showBubbleSize val="0"/>
        </c:dLbls>
        <c:gapWidth val="50"/>
        <c:overlap val="-5"/>
        <c:axId val="638127631"/>
        <c:axId val="638114671"/>
      </c:barChart>
      <c:catAx>
        <c:axId val="638127631"/>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8114671"/>
        <c:crosses val="autoZero"/>
        <c:auto val="1"/>
        <c:lblAlgn val="ctr"/>
        <c:lblOffset val="100"/>
        <c:noMultiLvlLbl val="0"/>
      </c:catAx>
      <c:valAx>
        <c:axId val="638114671"/>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812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count</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9CF-43EA-8954-06440040AEC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A9CF-43EA-8954-06440040AEC0}"/>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A9CF-43EA-8954-06440040AEC0}"/>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A9CF-43EA-8954-06440040AEC0}"/>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A9CF-43EA-8954-06440040AEC0}"/>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A9CF-43EA-8954-06440040AEC0}"/>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D-A9CF-43EA-8954-06440040AEC0}"/>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F-A9CF-43EA-8954-06440040AEC0}"/>
              </c:ext>
            </c:extLst>
          </c:dPt>
          <c:dPt>
            <c:idx val="8"/>
            <c:invertIfNegative val="0"/>
            <c:bubble3D val="0"/>
            <c:spPr>
              <a:solidFill>
                <a:schemeClr val="accent2"/>
              </a:solidFill>
              <a:ln>
                <a:noFill/>
              </a:ln>
              <a:effectLst/>
            </c:spPr>
            <c:extLst>
              <c:ext xmlns:c16="http://schemas.microsoft.com/office/drawing/2014/chart" uri="{C3380CC4-5D6E-409C-BE32-E72D297353CC}">
                <c16:uniqueId val="{00000011-A9CF-43EA-8954-06440040AEC0}"/>
              </c:ext>
            </c:extLst>
          </c:dPt>
          <c:dPt>
            <c:idx val="9"/>
            <c:invertIfNegative val="0"/>
            <c:bubble3D val="0"/>
            <c:spPr>
              <a:solidFill>
                <a:schemeClr val="accent2"/>
              </a:solidFill>
              <a:ln>
                <a:noFill/>
              </a:ln>
              <a:effectLst/>
            </c:spPr>
            <c:extLst>
              <c:ext xmlns:c16="http://schemas.microsoft.com/office/drawing/2014/chart" uri="{C3380CC4-5D6E-409C-BE32-E72D297353CC}">
                <c16:uniqueId val="{00000013-A9CF-43EA-8954-06440040AEC0}"/>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15-A9CF-43EA-8954-06440040AEC0}"/>
              </c:ext>
            </c:extLst>
          </c:dPt>
          <c:dPt>
            <c:idx val="11"/>
            <c:invertIfNegative val="0"/>
            <c:bubble3D val="0"/>
            <c:spPr>
              <a:solidFill>
                <a:schemeClr val="accent2"/>
              </a:solidFill>
              <a:ln>
                <a:noFill/>
              </a:ln>
              <a:effectLst/>
            </c:spPr>
            <c:extLst>
              <c:ext xmlns:c16="http://schemas.microsoft.com/office/drawing/2014/chart" uri="{C3380CC4-5D6E-409C-BE32-E72D297353CC}">
                <c16:uniqueId val="{00000017-A9CF-43EA-8954-06440040AEC0}"/>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19-A9CF-43EA-8954-06440040AEC0}"/>
              </c:ext>
            </c:extLst>
          </c:dPt>
          <c:dPt>
            <c:idx val="13"/>
            <c:invertIfNegative val="0"/>
            <c:bubble3D val="0"/>
            <c:spPr>
              <a:solidFill>
                <a:schemeClr val="accent2"/>
              </a:solidFill>
              <a:ln>
                <a:noFill/>
              </a:ln>
              <a:effectLst/>
            </c:spPr>
            <c:extLst>
              <c:ext xmlns:c16="http://schemas.microsoft.com/office/drawing/2014/chart" uri="{C3380CC4-5D6E-409C-BE32-E72D297353CC}">
                <c16:uniqueId val="{0000001B-A9CF-43EA-8954-06440040AEC0}"/>
              </c:ext>
            </c:extLst>
          </c:dPt>
          <c:dPt>
            <c:idx val="14"/>
            <c:invertIfNegative val="0"/>
            <c:bubble3D val="0"/>
            <c:spPr>
              <a:solidFill>
                <a:schemeClr val="accent3"/>
              </a:solidFill>
              <a:ln>
                <a:noFill/>
              </a:ln>
              <a:effectLst/>
            </c:spPr>
            <c:extLst>
              <c:ext xmlns:c16="http://schemas.microsoft.com/office/drawing/2014/chart" uri="{C3380CC4-5D6E-409C-BE32-E72D297353CC}">
                <c16:uniqueId val="{0000001D-A9CF-43EA-8954-06440040AEC0}"/>
              </c:ext>
            </c:extLst>
          </c:dPt>
          <c:dPt>
            <c:idx val="15"/>
            <c:invertIfNegative val="0"/>
            <c:bubble3D val="0"/>
            <c:spPr>
              <a:solidFill>
                <a:schemeClr val="accent4"/>
              </a:solidFill>
              <a:ln>
                <a:noFill/>
              </a:ln>
              <a:effectLst/>
            </c:spPr>
            <c:extLst>
              <c:ext xmlns:c16="http://schemas.microsoft.com/office/drawing/2014/chart" uri="{C3380CC4-5D6E-409C-BE32-E72D297353CC}">
                <c16:uniqueId val="{0000001F-A9CF-43EA-8954-06440040AEC0}"/>
              </c:ext>
            </c:extLst>
          </c:dPt>
          <c:dPt>
            <c:idx val="16"/>
            <c:invertIfNegative val="0"/>
            <c:bubble3D val="0"/>
            <c:spPr>
              <a:solidFill>
                <a:schemeClr val="accent5"/>
              </a:solidFill>
              <a:ln>
                <a:noFill/>
              </a:ln>
              <a:effectLst/>
            </c:spPr>
            <c:extLst>
              <c:ext xmlns:c16="http://schemas.microsoft.com/office/drawing/2014/chart" uri="{C3380CC4-5D6E-409C-BE32-E72D297353CC}">
                <c16:uniqueId val="{00000021-A9CF-43EA-8954-06440040AEC0}"/>
              </c:ext>
            </c:extLst>
          </c:dPt>
          <c:dPt>
            <c:idx val="17"/>
            <c:invertIfNegative val="0"/>
            <c:bubble3D val="0"/>
            <c:spPr>
              <a:solidFill>
                <a:schemeClr val="accent6"/>
              </a:solidFill>
              <a:ln>
                <a:noFill/>
              </a:ln>
              <a:effectLst/>
            </c:spPr>
            <c:extLst>
              <c:ext xmlns:c16="http://schemas.microsoft.com/office/drawing/2014/chart" uri="{C3380CC4-5D6E-409C-BE32-E72D297353CC}">
                <c16:uniqueId val="{00000023-A9CF-43EA-8954-06440040AEC0}"/>
              </c:ext>
            </c:extLst>
          </c:dPt>
          <c:cat>
            <c:multiLvlStrRef>
              <c:f>Sheet2!$A$2:$B$19</c:f>
              <c:multiLvlStrCache>
                <c:ptCount val="18"/>
                <c:lvl>
                  <c:pt idx="0">
                    <c:v>Customers</c:v>
                  </c:pt>
                  <c:pt idx="1">
                    <c:v>Community members</c:v>
                  </c:pt>
                  <c:pt idx="2">
                    <c:v>Members</c:v>
                  </c:pt>
                  <c:pt idx="3">
                    <c:v>Employees</c:v>
                  </c:pt>
                  <c:pt idx="4">
                    <c:v>Stakeholders</c:v>
                  </c:pt>
                  <c:pt idx="5">
                    <c:v>Other</c:v>
                  </c:pt>
                  <c:pt idx="6">
                    <c:v>Supply issues</c:v>
                  </c:pt>
                  <c:pt idx="7">
                    <c:v>Labour agreements</c:v>
                  </c:pt>
                  <c:pt idx="8">
                    <c:v>Education field mismatch</c:v>
                  </c:pt>
                  <c:pt idx="9">
                    <c:v>Use of visas</c:v>
                  </c:pt>
                  <c:pt idx="10">
                    <c:v>Job advertisements</c:v>
                  </c:pt>
                  <c:pt idx="11">
                    <c:v>Recruitment experience</c:v>
                  </c:pt>
                  <c:pt idx="12">
                    <c:v>Retention issues</c:v>
                  </c:pt>
                  <c:pt idx="13">
                    <c:v>Other</c:v>
                  </c:pt>
                  <c:pt idx="14">
                    <c:v>News articles</c:v>
                  </c:pt>
                  <c:pt idx="15">
                    <c:v>Data collection</c:v>
                  </c:pt>
                  <c:pt idx="16">
                    <c:v>Industry reports</c:v>
                  </c:pt>
                  <c:pt idx="17">
                    <c:v>Other</c:v>
                  </c:pt>
                </c:lvl>
                <c:lvl>
                  <c:pt idx="0">
                    <c:v>Discussion with organsiations'</c:v>
                  </c:pt>
                  <c:pt idx="6">
                    <c:v>Knowledge of </c:v>
                  </c:pt>
                  <c:pt idx="14">
                    <c:v> </c:v>
                  </c:pt>
                  <c:pt idx="15">
                    <c:v> </c:v>
                  </c:pt>
                  <c:pt idx="16">
                    <c:v> </c:v>
                  </c:pt>
                  <c:pt idx="17">
                    <c:v> </c:v>
                  </c:pt>
                </c:lvl>
              </c:multiLvlStrCache>
            </c:multiLvlStrRef>
          </c:cat>
          <c:val>
            <c:numRef>
              <c:f>Sheet2!$C$2:$C$19</c:f>
              <c:numCache>
                <c:formatCode>General</c:formatCode>
                <c:ptCount val="18"/>
                <c:pt idx="0">
                  <c:v>176</c:v>
                </c:pt>
                <c:pt idx="1">
                  <c:v>1048</c:v>
                </c:pt>
                <c:pt idx="2">
                  <c:v>1401</c:v>
                </c:pt>
                <c:pt idx="3">
                  <c:v>1574</c:v>
                </c:pt>
                <c:pt idx="4">
                  <c:v>1718</c:v>
                </c:pt>
                <c:pt idx="5">
                  <c:v>161</c:v>
                </c:pt>
                <c:pt idx="6">
                  <c:v>107</c:v>
                </c:pt>
                <c:pt idx="7">
                  <c:v>986</c:v>
                </c:pt>
                <c:pt idx="8">
                  <c:v>1153</c:v>
                </c:pt>
                <c:pt idx="9">
                  <c:v>1344</c:v>
                </c:pt>
                <c:pt idx="10">
                  <c:v>1599</c:v>
                </c:pt>
                <c:pt idx="11">
                  <c:v>1787</c:v>
                </c:pt>
                <c:pt idx="12">
                  <c:v>1825</c:v>
                </c:pt>
                <c:pt idx="13">
                  <c:v>891</c:v>
                </c:pt>
                <c:pt idx="14">
                  <c:v>858</c:v>
                </c:pt>
                <c:pt idx="15">
                  <c:v>1376</c:v>
                </c:pt>
                <c:pt idx="16">
                  <c:v>1038</c:v>
                </c:pt>
                <c:pt idx="17">
                  <c:v>919</c:v>
                </c:pt>
              </c:numCache>
            </c:numRef>
          </c:val>
          <c:extLst>
            <c:ext xmlns:c16="http://schemas.microsoft.com/office/drawing/2014/chart" uri="{C3380CC4-5D6E-409C-BE32-E72D297353CC}">
              <c16:uniqueId val="{00000024-A9CF-43EA-8954-06440040AEC0}"/>
            </c:ext>
          </c:extLst>
        </c:ser>
        <c:dLbls>
          <c:showLegendKey val="0"/>
          <c:showVal val="0"/>
          <c:showCatName val="0"/>
          <c:showSerName val="0"/>
          <c:showPercent val="0"/>
          <c:showBubbleSize val="0"/>
        </c:dLbls>
        <c:gapWidth val="219"/>
        <c:overlap val="-27"/>
        <c:axId val="457943711"/>
        <c:axId val="457946111"/>
      </c:barChart>
      <c:catAx>
        <c:axId val="457943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7946111"/>
        <c:crosses val="autoZero"/>
        <c:auto val="1"/>
        <c:lblAlgn val="ctr"/>
        <c:lblOffset val="100"/>
        <c:noMultiLvlLbl val="0"/>
      </c:catAx>
      <c:valAx>
        <c:axId val="4579461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7943711"/>
        <c:crosses val="autoZero"/>
        <c:crossBetween val="between"/>
        <c:majorUnit val="4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Sheet3!$A$1:$A$6</cx:f>
        <cx:lvl ptCount="6">
          <cx:pt idx="0">Clicks on survey invitation</cx:pt>
          <cx:pt idx="1">Registrations completed</cx:pt>
          <cx:pt idx="2">Survey commencements</cx:pt>
          <cx:pt idx="3">Submissions with usable data</cx:pt>
          <cx:pt idx="4">Organisations</cx:pt>
          <cx:pt idx="5">Occupations covered</cx:pt>
        </cx:lvl>
      </cx:strDim>
      <cx:numDim type="val">
        <cx:f>Sheet3!$B$1:$B$6</cx:f>
        <cx:lvl ptCount="6" formatCode="#,##0">
          <cx:pt idx="0">2781</cx:pt>
          <cx:pt idx="1">1704</cx:pt>
          <cx:pt idx="2">1277</cx:pt>
          <cx:pt idx="3">1025</cx:pt>
          <cx:pt idx="4">866</cx:pt>
          <cx:pt idx="5">540</cx:pt>
        </cx:lvl>
      </cx:numDim>
    </cx:data>
  </cx:chartData>
  <cx:chart>
    <cx:plotArea>
      <cx:plotAreaRegion>
        <cx:series layoutId="funnel" uniqueId="{85165AEC-0AFF-4922-8E4D-D8145559A9B4}">
          <cx:spPr>
            <a:solidFill>
              <a:schemeClr val="accent5">
                <a:lumMod val="40000"/>
                <a:lumOff val="60000"/>
              </a:schemeClr>
            </a:solidFill>
          </cx:spPr>
          <cx:dataPt idx="0">
            <cx:spPr>
              <a:solidFill>
                <a:srgbClr val="6929C4"/>
              </a:solidFill>
            </cx:spPr>
          </cx:dataPt>
          <cx:dataPt idx="1">
            <cx:spPr>
              <a:solidFill>
                <a:srgbClr val="009D9A"/>
              </a:solidFill>
            </cx:spPr>
          </cx:dataPt>
          <cx:dataPt idx="2">
            <cx:spPr>
              <a:solidFill>
                <a:srgbClr val="012749"/>
              </a:solidFill>
            </cx:spPr>
          </cx:dataPt>
          <cx:dataPt idx="3">
            <cx:spPr>
              <a:solidFill>
                <a:srgbClr val="EE538B"/>
              </a:solidFill>
            </cx:spPr>
          </cx:dataPt>
          <cx:dataPt idx="4">
            <cx:spPr>
              <a:solidFill>
                <a:srgbClr val="1192E8"/>
              </a:solidFill>
            </cx:spPr>
          </cx:dataPt>
          <cx:dataPt idx="5">
            <cx:spPr>
              <a:solidFill>
                <a:srgbClr val="9F1853"/>
              </a:solidFill>
            </cx:spPr>
          </cx:dataPt>
          <cx:dataLabels>
            <cx:txPr>
              <a:bodyPr spcFirstLastPara="1" vertOverflow="ellipsis" horzOverflow="overflow" wrap="square" lIns="0" tIns="0" rIns="0" bIns="0" anchor="ctr" anchorCtr="1"/>
              <a:lstStyle/>
              <a:p>
                <a:pPr algn="ctr" rtl="0">
                  <a:defRPr>
                    <a:solidFill>
                      <a:schemeClr val="bg1"/>
                    </a:solidFill>
                    <a:latin typeface="Arial" panose="020B0604020202020204" pitchFamily="34" charset="0"/>
                    <a:ea typeface="Arial" panose="020B0604020202020204" pitchFamily="34" charset="0"/>
                    <a:cs typeface="Arial" panose="020B0604020202020204" pitchFamily="34" charset="0"/>
                  </a:defRPr>
                </a:pPr>
                <a:endParaRPr lang="en-US" sz="900" b="0" i="0" u="none" strike="noStrike" baseline="0">
                  <a:solidFill>
                    <a:schemeClr val="bg1"/>
                  </a:solidFill>
                  <a:latin typeface="Arial" panose="020B0604020202020204" pitchFamily="34" charset="0"/>
                  <a:cs typeface="Arial" panose="020B0604020202020204" pitchFamily="34" charset="0"/>
                </a:endParaRPr>
              </a:p>
            </cx:txPr>
            <cx:visibility seriesName="0" categoryName="0" value="1"/>
            <cx:dataLabel idx="1">
              <cx:txPr>
                <a:bodyPr spcFirstLastPara="1" vertOverflow="ellipsis" horzOverflow="overflow" wrap="square" lIns="0" tIns="0" rIns="0" bIns="0" anchor="ctr" anchorCtr="1"/>
                <a:lstStyle/>
                <a:p>
                  <a:pPr algn="ctr" rtl="0">
                    <a:defRPr>
                      <a:solidFill>
                        <a:schemeClr val="tx1"/>
                      </a:solidFill>
                    </a:defRPr>
                  </a:pPr>
                  <a:r>
                    <a:rPr lang="en-US" sz="900" b="0" i="0" u="none" strike="noStrike" baseline="0">
                      <a:solidFill>
                        <a:schemeClr val="tx1"/>
                      </a:solidFill>
                      <a:latin typeface="Arial" panose="020B0604020202020204" pitchFamily="34" charset="0"/>
                      <a:cs typeface="Arial" panose="020B0604020202020204" pitchFamily="34" charset="0"/>
                    </a:rPr>
                    <a:t>1,704</a:t>
                  </a:r>
                </a:p>
              </cx:txPr>
              <cx:visibility seriesName="0" categoryName="0" value="1"/>
            </cx:dataLabel>
            <cx:dataLabel idx="3">
              <cx:txPr>
                <a:bodyPr spcFirstLastPara="1" vertOverflow="ellipsis" horzOverflow="overflow" wrap="square" lIns="0" tIns="0" rIns="0" bIns="0" anchor="ctr" anchorCtr="1"/>
                <a:lstStyle/>
                <a:p>
                  <a:pPr algn="ctr" rtl="0">
                    <a:defRPr>
                      <a:solidFill>
                        <a:schemeClr val="tx1"/>
                      </a:solidFill>
                    </a:defRPr>
                  </a:pPr>
                  <a:r>
                    <a:rPr lang="en-US" sz="900" b="0" i="0" u="none" strike="noStrike" baseline="0">
                      <a:solidFill>
                        <a:schemeClr val="tx1"/>
                      </a:solidFill>
                      <a:latin typeface="Arial" panose="020B0604020202020204" pitchFamily="34" charset="0"/>
                      <a:cs typeface="Arial" panose="020B0604020202020204" pitchFamily="34" charset="0"/>
                    </a:rPr>
                    <a:t>1,025</a:t>
                  </a:r>
                </a:p>
              </cx:txPr>
              <cx:visibility seriesName="0" categoryName="0" value="1"/>
            </cx:dataLabel>
            <cx:dataLabel idx="4">
              <cx:txPr>
                <a:bodyPr spcFirstLastPara="1" vertOverflow="ellipsis" horzOverflow="overflow" wrap="square" lIns="0" tIns="0" rIns="0" bIns="0" anchor="ctr" anchorCtr="1"/>
                <a:lstStyle/>
                <a:p>
                  <a:pPr algn="ctr" rtl="0">
                    <a:defRPr>
                      <a:solidFill>
                        <a:schemeClr val="tx1"/>
                      </a:solidFill>
                    </a:defRPr>
                  </a:pPr>
                  <a:r>
                    <a:rPr lang="en-US" sz="900" b="0" i="0" u="none" strike="noStrike" baseline="0">
                      <a:solidFill>
                        <a:schemeClr val="tx1"/>
                      </a:solidFill>
                      <a:latin typeface="Arial" panose="020B0604020202020204" pitchFamily="34" charset="0"/>
                      <a:cs typeface="Arial" panose="020B0604020202020204" pitchFamily="34" charset="0"/>
                    </a:rPr>
                    <a:t>866</a:t>
                  </a:r>
                </a:p>
              </cx:txPr>
              <cx:visibility seriesName="0" categoryName="0" value="1"/>
            </cx:dataLabel>
          </cx:dataLabels>
          <cx:dataId val="0"/>
        </cx:series>
      </cx:plotAreaRegion>
      <cx:axis id="0">
        <cx:catScaling gapWidth="0.0599999987"/>
        <cx:tickLabels/>
        <cx:spPr>
          <a:ln>
            <a:noFill/>
          </a:ln>
        </cx:spPr>
        <cx:txPr>
          <a:bodyPr spcFirstLastPara="1" vertOverflow="ellipsis" horzOverflow="overflow" wrap="square" lIns="0" tIns="0" rIns="0" bIns="0" anchor="ctr" anchorCtr="1"/>
          <a:lstStyle/>
          <a:p>
            <a:pPr algn="ctr" rtl="0">
              <a:defRPr sz="900" baseline="0">
                <a:latin typeface="Arial" panose="020B0604020202020204" pitchFamily="34" charset="0"/>
                <a:ea typeface="Arial" panose="020B0604020202020204" pitchFamily="34" charset="0"/>
                <a:cs typeface="Arial" panose="020B0604020202020204" pitchFamily="34" charset="0"/>
              </a:defRPr>
            </a:pPr>
            <a:endParaRPr lang="en-US" sz="9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endParaRPr>
          </a:p>
        </cx:txPr>
      </cx:axis>
    </cx:plotArea>
  </cx:chart>
  <cx:spPr>
    <a:ln>
      <a:noFill/>
    </a:ln>
  </cx:spPr>
</cx: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7345D318274A09BDC317AA1BFADF3D"/>
        <w:category>
          <w:name w:val="General"/>
          <w:gallery w:val="placeholder"/>
        </w:category>
        <w:types>
          <w:type w:val="bbPlcHdr"/>
        </w:types>
        <w:behaviors>
          <w:behavior w:val="content"/>
        </w:behaviors>
        <w:guid w:val="{93AFE575-0EC1-4B94-B198-CBFFE94A9779}"/>
      </w:docPartPr>
      <w:docPartBody>
        <w:p w:rsidR="00B925E1" w:rsidRDefault="00B925E1">
          <w:pPr>
            <w:pStyle w:val="0C7345D318274A09BDC317AA1BFADF3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E1"/>
    <w:rsid w:val="000F6A4E"/>
    <w:rsid w:val="002D7335"/>
    <w:rsid w:val="00563360"/>
    <w:rsid w:val="00763A8D"/>
    <w:rsid w:val="0083141E"/>
    <w:rsid w:val="008D078D"/>
    <w:rsid w:val="00B925E1"/>
    <w:rsid w:val="00BF0FCE"/>
    <w:rsid w:val="00CC7C02"/>
    <w:rsid w:val="00E56D53"/>
    <w:rsid w:val="00E71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0C7345D318274A09BDC317AA1BFADF3D">
    <w:name w:val="0C7345D318274A09BDC317AA1BFAD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olourful">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Override>
</file>

<file path=word/theme/themeOverride2.xml><?xml version="1.0" encoding="utf-8"?>
<a:themeOverride xmlns:a="http://schemas.openxmlformats.org/drawingml/2006/main">
  <a:clrScheme name="colourful">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Override>
</file>

<file path=word/theme/themeOverride3.xml><?xml version="1.0" encoding="utf-8"?>
<a:themeOverride xmlns:a="http://schemas.openxmlformats.org/drawingml/2006/main">
  <a:clrScheme name="colourful">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D4ECB-8345-418A-B777-6E486A32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3.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customXml/itemProps4.xml><?xml version="1.0" encoding="utf-8"?>
<ds:datastoreItem xmlns:ds="http://schemas.openxmlformats.org/officeDocument/2006/customXml" ds:itemID="{A55A4668-93F0-4A51-9EF3-DA6E28784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JSA%20Regular%20Report%20Template.dotx?OR=81dd2b71-fb82-4b33-ac71-fed46bf0f87a&amp;CID=1d39c4a1-c095-5000-ed8a-18e6cbe63b05&amp;CT=1758078805176</Template>
  <TotalTime>159</TotalTime>
  <Pages>17</Pages>
  <Words>3367</Words>
  <Characters>19026</Characters>
  <Application>Microsoft Office Word</Application>
  <DocSecurity>0</DocSecurity>
  <Lines>594</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 – Stakeholder Survey Snapshot</dc:title>
  <dc:subject/>
  <dc:creator>SOLIMAN,Roy</dc:creator>
  <cp:keywords/>
  <dc:description/>
  <cp:lastModifiedBy>Roy Soliman</cp:lastModifiedBy>
  <cp:revision>104</cp:revision>
  <cp:lastPrinted>2025-10-15T00:56:00Z</cp:lastPrinted>
  <dcterms:created xsi:type="dcterms:W3CDTF">2025-09-17T20:27:00Z</dcterms:created>
  <dcterms:modified xsi:type="dcterms:W3CDTF">2025-10-15T00:56:00Z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