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9ED7" w14:textId="77777777" w:rsidR="004D1E1D" w:rsidRDefault="004D1E1D" w:rsidP="00AA5442">
      <w:pPr>
        <w:pStyle w:val="BodyText"/>
      </w:pPr>
    </w:p>
    <w:p w14:paraId="2DE1BABA" w14:textId="71FC9BD8" w:rsidR="00AA5442" w:rsidRDefault="00AA5442" w:rsidP="00AA5442">
      <w:pPr>
        <w:pStyle w:val="BodyText"/>
        <w:sectPr w:rsidR="00AA5442" w:rsidSect="00AA5442">
          <w:headerReference w:type="even" r:id="rId11"/>
          <w:headerReference w:type="default" r:id="rId12"/>
          <w:footerReference w:type="even" r:id="rId13"/>
          <w:footerReference w:type="default" r:id="rId14"/>
          <w:headerReference w:type="first" r:id="rId15"/>
          <w:footerReference w:type="first" r:id="rId16"/>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507B9546" wp14:editId="3CA4E3B9">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7">
                      <a:extLst>
                        <a:ext uri="{96DAC541-7B7A-43D3-8B79-37D633B846F1}">
                          <asvg:svgBlip xmlns:asvg="http://schemas.microsoft.com/office/drawing/2016/SVG/main" r:embed="rId18"/>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019BEB38" wp14:editId="559B6AE8">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7C9CC0B1" w14:textId="7C0B5BD4" w:rsidR="00AA5442" w:rsidRDefault="00AA5442" w:rsidP="00AA5442">
      <w:pPr>
        <w:pStyle w:val="BodyText"/>
      </w:pPr>
    </w:p>
    <w:sdt>
      <w:sdtPr>
        <w:alias w:val="&lt; Title &gt;"/>
        <w:tag w:val=""/>
        <w:id w:val="162979263"/>
        <w:placeholder>
          <w:docPart w:val="85BBE2E515E547ED82721B8EC8957CAF"/>
        </w:placeholder>
        <w:dataBinding w:prefixMappings="xmlns:ns0='http://purl.org/dc/elements/1.1/' xmlns:ns1='http://schemas.openxmlformats.org/package/2006/metadata/core-properties' " w:xpath="/ns1:coreProperties[1]/ns0:title[1]" w:storeItemID="{6C3C8BC8-F283-45AE-878A-BAB7291924A1}"/>
        <w:text/>
      </w:sdtPr>
      <w:sdtContent>
        <w:p w14:paraId="24993D5D" w14:textId="19630079" w:rsidR="00AA5442" w:rsidRPr="00E60832" w:rsidRDefault="00375A16" w:rsidP="00AA5442">
          <w:pPr>
            <w:pStyle w:val="Title"/>
          </w:pPr>
          <w:r w:rsidRPr="00375A16">
            <w:t>2025 Occupation Shortage List Methodology</w:t>
          </w:r>
        </w:p>
      </w:sdtContent>
    </w:sdt>
    <w:p w14:paraId="25D3E464" w14:textId="56E358E9" w:rsidR="00AA5442" w:rsidRDefault="00AA5442" w:rsidP="00AA5442">
      <w:pPr>
        <w:pStyle w:val="Subtitle"/>
      </w:pPr>
    </w:p>
    <w:p w14:paraId="4CED8E5E" w14:textId="221334E8" w:rsidR="00AA5442" w:rsidRPr="00934D95" w:rsidRDefault="00375A16" w:rsidP="00AA5442">
      <w:pPr>
        <w:pStyle w:val="DocumentDetails"/>
      </w:pPr>
      <w:r w:rsidRPr="00375A16">
        <w:t>October 2025</w:t>
      </w:r>
    </w:p>
    <w:p w14:paraId="676FA4F3" w14:textId="7DE76B19"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sdt>
      <w:sdtPr>
        <w:rPr>
          <w:rFonts w:eastAsiaTheme="minorHAnsi" w:cstheme="minorBidi"/>
          <w:b w:val="0"/>
          <w:bCs w:val="0"/>
          <w:color w:val="auto"/>
          <w:sz w:val="22"/>
          <w:szCs w:val="20"/>
        </w:rPr>
        <w:id w:val="-590932442"/>
        <w:docPartObj>
          <w:docPartGallery w:val="Table of Contents"/>
          <w:docPartUnique/>
        </w:docPartObj>
      </w:sdtPr>
      <w:sdtEndPr>
        <w:rPr>
          <w:rFonts w:eastAsiaTheme="majorEastAsia" w:cstheme="majorBidi"/>
          <w:b/>
          <w:bCs/>
          <w:color w:val="4B0985"/>
          <w:sz w:val="48"/>
          <w:szCs w:val="28"/>
        </w:rPr>
      </w:sdtEndPr>
      <w:sdtContent>
        <w:p w14:paraId="16B3A746" w14:textId="5BE4AA3E" w:rsidR="0085591E" w:rsidRPr="0085591E" w:rsidRDefault="0085591E">
          <w:pPr>
            <w:pStyle w:val="TOCHeading"/>
          </w:pPr>
          <w:r w:rsidRPr="0085591E">
            <w:t>Contents</w:t>
          </w:r>
        </w:p>
        <w:p w14:paraId="5FE0F963" w14:textId="1C4D6714" w:rsidR="000C369D" w:rsidRDefault="0085591E">
          <w:pPr>
            <w:pStyle w:val="TOC1"/>
            <w:rPr>
              <w:rFonts w:asciiTheme="minorHAnsi" w:eastAsiaTheme="minorEastAsia" w:hAnsiTheme="minorHAnsi"/>
              <w:b w:val="0"/>
              <w:noProof/>
              <w:color w:val="auto"/>
              <w:kern w:val="2"/>
              <w:sz w:val="24"/>
              <w:szCs w:val="24"/>
              <w:lang w:eastAsia="en-AU"/>
              <w14:ligatures w14:val="standardContextual"/>
            </w:rPr>
          </w:pPr>
          <w:r w:rsidRPr="0085591E">
            <w:fldChar w:fldCharType="begin"/>
          </w:r>
          <w:r w:rsidRPr="0085591E">
            <w:instrText xml:space="preserve"> TOC \o "1-3" \h \z \u </w:instrText>
          </w:r>
          <w:r w:rsidRPr="0085591E">
            <w:fldChar w:fldCharType="separate"/>
          </w:r>
          <w:hyperlink w:anchor="_Toc211425351" w:history="1">
            <w:r w:rsidR="000C369D" w:rsidRPr="003A5D4A">
              <w:rPr>
                <w:rStyle w:val="Hyperlink"/>
                <w:noProof/>
              </w:rPr>
              <w:t>Overview</w:t>
            </w:r>
            <w:r w:rsidR="000C369D">
              <w:rPr>
                <w:noProof/>
                <w:webHidden/>
              </w:rPr>
              <w:tab/>
            </w:r>
            <w:r w:rsidR="000C369D">
              <w:rPr>
                <w:noProof/>
                <w:webHidden/>
              </w:rPr>
              <w:fldChar w:fldCharType="begin"/>
            </w:r>
            <w:r w:rsidR="000C369D">
              <w:rPr>
                <w:noProof/>
                <w:webHidden/>
              </w:rPr>
              <w:instrText xml:space="preserve"> PAGEREF _Toc211425351 \h </w:instrText>
            </w:r>
            <w:r w:rsidR="000C369D">
              <w:rPr>
                <w:noProof/>
                <w:webHidden/>
              </w:rPr>
            </w:r>
            <w:r w:rsidR="000C369D">
              <w:rPr>
                <w:noProof/>
                <w:webHidden/>
              </w:rPr>
              <w:fldChar w:fldCharType="separate"/>
            </w:r>
            <w:r w:rsidR="00F6227E">
              <w:rPr>
                <w:noProof/>
                <w:webHidden/>
              </w:rPr>
              <w:t>5</w:t>
            </w:r>
            <w:r w:rsidR="000C369D">
              <w:rPr>
                <w:noProof/>
                <w:webHidden/>
              </w:rPr>
              <w:fldChar w:fldCharType="end"/>
            </w:r>
          </w:hyperlink>
        </w:p>
        <w:p w14:paraId="54CC257A" w14:textId="7BFCE97A"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52" w:history="1">
            <w:r w:rsidRPr="003A5D4A">
              <w:rPr>
                <w:rStyle w:val="Hyperlink"/>
                <w:noProof/>
              </w:rPr>
              <w:t>Introduction</w:t>
            </w:r>
            <w:r>
              <w:rPr>
                <w:noProof/>
                <w:webHidden/>
              </w:rPr>
              <w:tab/>
            </w:r>
            <w:r>
              <w:rPr>
                <w:noProof/>
                <w:webHidden/>
              </w:rPr>
              <w:fldChar w:fldCharType="begin"/>
            </w:r>
            <w:r>
              <w:rPr>
                <w:noProof/>
                <w:webHidden/>
              </w:rPr>
              <w:instrText xml:space="preserve"> PAGEREF _Toc211425352 \h </w:instrText>
            </w:r>
            <w:r>
              <w:rPr>
                <w:noProof/>
                <w:webHidden/>
              </w:rPr>
            </w:r>
            <w:r>
              <w:rPr>
                <w:noProof/>
                <w:webHidden/>
              </w:rPr>
              <w:fldChar w:fldCharType="separate"/>
            </w:r>
            <w:r w:rsidR="00F6227E">
              <w:rPr>
                <w:noProof/>
                <w:webHidden/>
              </w:rPr>
              <w:t>5</w:t>
            </w:r>
            <w:r>
              <w:rPr>
                <w:noProof/>
                <w:webHidden/>
              </w:rPr>
              <w:fldChar w:fldCharType="end"/>
            </w:r>
          </w:hyperlink>
        </w:p>
        <w:p w14:paraId="36C6A358" w14:textId="7FE90053"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53" w:history="1">
            <w:r w:rsidRPr="003A5D4A">
              <w:rPr>
                <w:rStyle w:val="Hyperlink"/>
                <w:noProof/>
              </w:rPr>
              <w:t>How the OSL is used</w:t>
            </w:r>
            <w:r>
              <w:rPr>
                <w:noProof/>
                <w:webHidden/>
              </w:rPr>
              <w:tab/>
            </w:r>
            <w:r>
              <w:rPr>
                <w:noProof/>
                <w:webHidden/>
              </w:rPr>
              <w:fldChar w:fldCharType="begin"/>
            </w:r>
            <w:r>
              <w:rPr>
                <w:noProof/>
                <w:webHidden/>
              </w:rPr>
              <w:instrText xml:space="preserve"> PAGEREF _Toc211425353 \h </w:instrText>
            </w:r>
            <w:r>
              <w:rPr>
                <w:noProof/>
                <w:webHidden/>
              </w:rPr>
            </w:r>
            <w:r>
              <w:rPr>
                <w:noProof/>
                <w:webHidden/>
              </w:rPr>
              <w:fldChar w:fldCharType="separate"/>
            </w:r>
            <w:r w:rsidR="00F6227E">
              <w:rPr>
                <w:noProof/>
                <w:webHidden/>
              </w:rPr>
              <w:t>5</w:t>
            </w:r>
            <w:r>
              <w:rPr>
                <w:noProof/>
                <w:webHidden/>
              </w:rPr>
              <w:fldChar w:fldCharType="end"/>
            </w:r>
          </w:hyperlink>
        </w:p>
        <w:p w14:paraId="7D7541A1" w14:textId="2F19ABAA"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54" w:history="1">
            <w:r w:rsidRPr="003A5D4A">
              <w:rPr>
                <w:rStyle w:val="Hyperlink"/>
                <w:noProof/>
              </w:rPr>
              <w:t>Scope and granularity</w:t>
            </w:r>
            <w:r>
              <w:rPr>
                <w:noProof/>
                <w:webHidden/>
              </w:rPr>
              <w:tab/>
            </w:r>
            <w:r>
              <w:rPr>
                <w:noProof/>
                <w:webHidden/>
              </w:rPr>
              <w:fldChar w:fldCharType="begin"/>
            </w:r>
            <w:r>
              <w:rPr>
                <w:noProof/>
                <w:webHidden/>
              </w:rPr>
              <w:instrText xml:space="preserve"> PAGEREF _Toc211425354 \h </w:instrText>
            </w:r>
            <w:r>
              <w:rPr>
                <w:noProof/>
                <w:webHidden/>
              </w:rPr>
            </w:r>
            <w:r>
              <w:rPr>
                <w:noProof/>
                <w:webHidden/>
              </w:rPr>
              <w:fldChar w:fldCharType="separate"/>
            </w:r>
            <w:r w:rsidR="00F6227E">
              <w:rPr>
                <w:noProof/>
                <w:webHidden/>
              </w:rPr>
              <w:t>5</w:t>
            </w:r>
            <w:r>
              <w:rPr>
                <w:noProof/>
                <w:webHidden/>
              </w:rPr>
              <w:fldChar w:fldCharType="end"/>
            </w:r>
          </w:hyperlink>
        </w:p>
        <w:p w14:paraId="1663B574" w14:textId="285B70B3"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55" w:history="1">
            <w:r w:rsidRPr="003A5D4A">
              <w:rPr>
                <w:rStyle w:val="Hyperlink"/>
                <w:noProof/>
              </w:rPr>
              <w:t>Caveats</w:t>
            </w:r>
            <w:r>
              <w:rPr>
                <w:noProof/>
                <w:webHidden/>
              </w:rPr>
              <w:tab/>
            </w:r>
            <w:r>
              <w:rPr>
                <w:noProof/>
                <w:webHidden/>
              </w:rPr>
              <w:fldChar w:fldCharType="begin"/>
            </w:r>
            <w:r>
              <w:rPr>
                <w:noProof/>
                <w:webHidden/>
              </w:rPr>
              <w:instrText xml:space="preserve"> PAGEREF _Toc211425355 \h </w:instrText>
            </w:r>
            <w:r>
              <w:rPr>
                <w:noProof/>
                <w:webHidden/>
              </w:rPr>
            </w:r>
            <w:r>
              <w:rPr>
                <w:noProof/>
                <w:webHidden/>
              </w:rPr>
              <w:fldChar w:fldCharType="separate"/>
            </w:r>
            <w:r w:rsidR="00F6227E">
              <w:rPr>
                <w:noProof/>
                <w:webHidden/>
              </w:rPr>
              <w:t>6</w:t>
            </w:r>
            <w:r>
              <w:rPr>
                <w:noProof/>
                <w:webHidden/>
              </w:rPr>
              <w:fldChar w:fldCharType="end"/>
            </w:r>
          </w:hyperlink>
        </w:p>
        <w:p w14:paraId="0A34CF47" w14:textId="1C2D72BF"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56" w:history="1">
            <w:r w:rsidRPr="003A5D4A">
              <w:rPr>
                <w:rStyle w:val="Hyperlink"/>
                <w:noProof/>
              </w:rPr>
              <w:t>Occupation shortage definition</w:t>
            </w:r>
            <w:r>
              <w:rPr>
                <w:noProof/>
                <w:webHidden/>
              </w:rPr>
              <w:tab/>
            </w:r>
            <w:r>
              <w:rPr>
                <w:noProof/>
                <w:webHidden/>
              </w:rPr>
              <w:fldChar w:fldCharType="begin"/>
            </w:r>
            <w:r>
              <w:rPr>
                <w:noProof/>
                <w:webHidden/>
              </w:rPr>
              <w:instrText xml:space="preserve"> PAGEREF _Toc211425356 \h </w:instrText>
            </w:r>
            <w:r>
              <w:rPr>
                <w:noProof/>
                <w:webHidden/>
              </w:rPr>
            </w:r>
            <w:r>
              <w:rPr>
                <w:noProof/>
                <w:webHidden/>
              </w:rPr>
              <w:fldChar w:fldCharType="separate"/>
            </w:r>
            <w:r w:rsidR="00F6227E">
              <w:rPr>
                <w:noProof/>
                <w:webHidden/>
              </w:rPr>
              <w:t>6</w:t>
            </w:r>
            <w:r>
              <w:rPr>
                <w:noProof/>
                <w:webHidden/>
              </w:rPr>
              <w:fldChar w:fldCharType="end"/>
            </w:r>
          </w:hyperlink>
        </w:p>
        <w:p w14:paraId="270089BF" w14:textId="59D5B22F"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57" w:history="1">
            <w:r w:rsidRPr="003A5D4A">
              <w:rPr>
                <w:rStyle w:val="Hyperlink"/>
                <w:noProof/>
              </w:rPr>
              <w:t>OSL categorisations</w:t>
            </w:r>
            <w:r>
              <w:rPr>
                <w:noProof/>
                <w:webHidden/>
              </w:rPr>
              <w:tab/>
            </w:r>
            <w:r>
              <w:rPr>
                <w:noProof/>
                <w:webHidden/>
              </w:rPr>
              <w:fldChar w:fldCharType="begin"/>
            </w:r>
            <w:r>
              <w:rPr>
                <w:noProof/>
                <w:webHidden/>
              </w:rPr>
              <w:instrText xml:space="preserve"> PAGEREF _Toc211425357 \h </w:instrText>
            </w:r>
            <w:r>
              <w:rPr>
                <w:noProof/>
                <w:webHidden/>
              </w:rPr>
            </w:r>
            <w:r>
              <w:rPr>
                <w:noProof/>
                <w:webHidden/>
              </w:rPr>
              <w:fldChar w:fldCharType="separate"/>
            </w:r>
            <w:r w:rsidR="00F6227E">
              <w:rPr>
                <w:noProof/>
                <w:webHidden/>
              </w:rPr>
              <w:t>7</w:t>
            </w:r>
            <w:r>
              <w:rPr>
                <w:noProof/>
                <w:webHidden/>
              </w:rPr>
              <w:fldChar w:fldCharType="end"/>
            </w:r>
          </w:hyperlink>
        </w:p>
        <w:p w14:paraId="5AB12BA4" w14:textId="0220C56A" w:rsidR="000C369D" w:rsidRDefault="000C369D">
          <w:pPr>
            <w:pStyle w:val="TOC1"/>
            <w:rPr>
              <w:rFonts w:asciiTheme="minorHAnsi" w:eastAsiaTheme="minorEastAsia" w:hAnsiTheme="minorHAnsi"/>
              <w:b w:val="0"/>
              <w:noProof/>
              <w:color w:val="auto"/>
              <w:kern w:val="2"/>
              <w:sz w:val="24"/>
              <w:szCs w:val="24"/>
              <w:lang w:eastAsia="en-AU"/>
              <w14:ligatures w14:val="standardContextual"/>
            </w:rPr>
          </w:pPr>
          <w:hyperlink w:anchor="_Toc211425358" w:history="1">
            <w:r w:rsidRPr="003A5D4A">
              <w:rPr>
                <w:rStyle w:val="Hyperlink"/>
                <w:noProof/>
              </w:rPr>
              <w:t>OSL assessment framework</w:t>
            </w:r>
            <w:r>
              <w:rPr>
                <w:noProof/>
                <w:webHidden/>
              </w:rPr>
              <w:tab/>
            </w:r>
            <w:r>
              <w:rPr>
                <w:noProof/>
                <w:webHidden/>
              </w:rPr>
              <w:fldChar w:fldCharType="begin"/>
            </w:r>
            <w:r>
              <w:rPr>
                <w:noProof/>
                <w:webHidden/>
              </w:rPr>
              <w:instrText xml:space="preserve"> PAGEREF _Toc211425358 \h </w:instrText>
            </w:r>
            <w:r>
              <w:rPr>
                <w:noProof/>
                <w:webHidden/>
              </w:rPr>
            </w:r>
            <w:r>
              <w:rPr>
                <w:noProof/>
                <w:webHidden/>
              </w:rPr>
              <w:fldChar w:fldCharType="separate"/>
            </w:r>
            <w:r w:rsidR="00F6227E">
              <w:rPr>
                <w:noProof/>
                <w:webHidden/>
              </w:rPr>
              <w:t>8</w:t>
            </w:r>
            <w:r>
              <w:rPr>
                <w:noProof/>
                <w:webHidden/>
              </w:rPr>
              <w:fldChar w:fldCharType="end"/>
            </w:r>
          </w:hyperlink>
        </w:p>
        <w:p w14:paraId="59E428D0" w14:textId="0AC76442"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59" w:history="1">
            <w:r w:rsidRPr="003A5D4A">
              <w:rPr>
                <w:rStyle w:val="Hyperlink"/>
                <w:noProof/>
              </w:rPr>
              <w:t>Stage 1: Generating preliminary occupation ratings</w:t>
            </w:r>
            <w:r>
              <w:rPr>
                <w:noProof/>
                <w:webHidden/>
              </w:rPr>
              <w:tab/>
            </w:r>
            <w:r>
              <w:rPr>
                <w:noProof/>
                <w:webHidden/>
              </w:rPr>
              <w:fldChar w:fldCharType="begin"/>
            </w:r>
            <w:r>
              <w:rPr>
                <w:noProof/>
                <w:webHidden/>
              </w:rPr>
              <w:instrText xml:space="preserve"> PAGEREF _Toc211425359 \h </w:instrText>
            </w:r>
            <w:r>
              <w:rPr>
                <w:noProof/>
                <w:webHidden/>
              </w:rPr>
            </w:r>
            <w:r>
              <w:rPr>
                <w:noProof/>
                <w:webHidden/>
              </w:rPr>
              <w:fldChar w:fldCharType="separate"/>
            </w:r>
            <w:r w:rsidR="00F6227E">
              <w:rPr>
                <w:noProof/>
                <w:webHidden/>
              </w:rPr>
              <w:t>8</w:t>
            </w:r>
            <w:r>
              <w:rPr>
                <w:noProof/>
                <w:webHidden/>
              </w:rPr>
              <w:fldChar w:fldCharType="end"/>
            </w:r>
          </w:hyperlink>
        </w:p>
        <w:p w14:paraId="20FEA588" w14:textId="16B0D533"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60" w:history="1">
            <w:r w:rsidRPr="003A5D4A">
              <w:rPr>
                <w:rStyle w:val="Hyperlink"/>
                <w:noProof/>
              </w:rPr>
              <w:t>The GBM and modelling framework</w:t>
            </w:r>
            <w:r>
              <w:rPr>
                <w:noProof/>
                <w:webHidden/>
              </w:rPr>
              <w:tab/>
            </w:r>
            <w:r>
              <w:rPr>
                <w:noProof/>
                <w:webHidden/>
              </w:rPr>
              <w:fldChar w:fldCharType="begin"/>
            </w:r>
            <w:r>
              <w:rPr>
                <w:noProof/>
                <w:webHidden/>
              </w:rPr>
              <w:instrText xml:space="preserve"> PAGEREF _Toc211425360 \h </w:instrText>
            </w:r>
            <w:r>
              <w:rPr>
                <w:noProof/>
                <w:webHidden/>
              </w:rPr>
            </w:r>
            <w:r>
              <w:rPr>
                <w:noProof/>
                <w:webHidden/>
              </w:rPr>
              <w:fldChar w:fldCharType="separate"/>
            </w:r>
            <w:r w:rsidR="00F6227E">
              <w:rPr>
                <w:noProof/>
                <w:webHidden/>
              </w:rPr>
              <w:t>9</w:t>
            </w:r>
            <w:r>
              <w:rPr>
                <w:noProof/>
                <w:webHidden/>
              </w:rPr>
              <w:fldChar w:fldCharType="end"/>
            </w:r>
          </w:hyperlink>
        </w:p>
        <w:p w14:paraId="64211072" w14:textId="41D5334D"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61" w:history="1">
            <w:r w:rsidRPr="003A5D4A">
              <w:rPr>
                <w:rStyle w:val="Hyperlink"/>
                <w:noProof/>
              </w:rPr>
              <w:t>Considerations and limitations of the modelling framework</w:t>
            </w:r>
            <w:r>
              <w:rPr>
                <w:noProof/>
                <w:webHidden/>
              </w:rPr>
              <w:tab/>
            </w:r>
            <w:r>
              <w:rPr>
                <w:noProof/>
                <w:webHidden/>
              </w:rPr>
              <w:fldChar w:fldCharType="begin"/>
            </w:r>
            <w:r>
              <w:rPr>
                <w:noProof/>
                <w:webHidden/>
              </w:rPr>
              <w:instrText xml:space="preserve"> PAGEREF _Toc211425361 \h </w:instrText>
            </w:r>
            <w:r>
              <w:rPr>
                <w:noProof/>
                <w:webHidden/>
              </w:rPr>
            </w:r>
            <w:r>
              <w:rPr>
                <w:noProof/>
                <w:webHidden/>
              </w:rPr>
              <w:fldChar w:fldCharType="separate"/>
            </w:r>
            <w:r w:rsidR="00F6227E">
              <w:rPr>
                <w:noProof/>
                <w:webHidden/>
              </w:rPr>
              <w:t>10</w:t>
            </w:r>
            <w:r>
              <w:rPr>
                <w:noProof/>
                <w:webHidden/>
              </w:rPr>
              <w:fldChar w:fldCharType="end"/>
            </w:r>
          </w:hyperlink>
        </w:p>
        <w:p w14:paraId="6380CE89" w14:textId="3389F8F9"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62" w:history="1">
            <w:r w:rsidRPr="003A5D4A">
              <w:rPr>
                <w:rStyle w:val="Hyperlink"/>
                <w:noProof/>
              </w:rPr>
              <w:t>Converting fill rates into ratings</w:t>
            </w:r>
            <w:r>
              <w:rPr>
                <w:noProof/>
                <w:webHidden/>
              </w:rPr>
              <w:tab/>
            </w:r>
            <w:r>
              <w:rPr>
                <w:noProof/>
                <w:webHidden/>
              </w:rPr>
              <w:fldChar w:fldCharType="begin"/>
            </w:r>
            <w:r>
              <w:rPr>
                <w:noProof/>
                <w:webHidden/>
              </w:rPr>
              <w:instrText xml:space="preserve"> PAGEREF _Toc211425362 \h </w:instrText>
            </w:r>
            <w:r>
              <w:rPr>
                <w:noProof/>
                <w:webHidden/>
              </w:rPr>
            </w:r>
            <w:r>
              <w:rPr>
                <w:noProof/>
                <w:webHidden/>
              </w:rPr>
              <w:fldChar w:fldCharType="separate"/>
            </w:r>
            <w:r w:rsidR="00F6227E">
              <w:rPr>
                <w:noProof/>
                <w:webHidden/>
              </w:rPr>
              <w:t>10</w:t>
            </w:r>
            <w:r>
              <w:rPr>
                <w:noProof/>
                <w:webHidden/>
              </w:rPr>
              <w:fldChar w:fldCharType="end"/>
            </w:r>
          </w:hyperlink>
        </w:p>
        <w:p w14:paraId="5F8057E7" w14:textId="4652F950"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63" w:history="1">
            <w:r w:rsidRPr="003A5D4A">
              <w:rPr>
                <w:rStyle w:val="Hyperlink"/>
                <w:noProof/>
              </w:rPr>
              <w:t>Stage 2: Manual verification of preliminary results</w:t>
            </w:r>
            <w:r>
              <w:rPr>
                <w:noProof/>
                <w:webHidden/>
              </w:rPr>
              <w:tab/>
            </w:r>
            <w:r>
              <w:rPr>
                <w:noProof/>
                <w:webHidden/>
              </w:rPr>
              <w:fldChar w:fldCharType="begin"/>
            </w:r>
            <w:r>
              <w:rPr>
                <w:noProof/>
                <w:webHidden/>
              </w:rPr>
              <w:instrText xml:space="preserve"> PAGEREF _Toc211425363 \h </w:instrText>
            </w:r>
            <w:r>
              <w:rPr>
                <w:noProof/>
                <w:webHidden/>
              </w:rPr>
            </w:r>
            <w:r>
              <w:rPr>
                <w:noProof/>
                <w:webHidden/>
              </w:rPr>
              <w:fldChar w:fldCharType="separate"/>
            </w:r>
            <w:r w:rsidR="00F6227E">
              <w:rPr>
                <w:noProof/>
                <w:webHidden/>
              </w:rPr>
              <w:t>12</w:t>
            </w:r>
            <w:r>
              <w:rPr>
                <w:noProof/>
                <w:webHidden/>
              </w:rPr>
              <w:fldChar w:fldCharType="end"/>
            </w:r>
          </w:hyperlink>
        </w:p>
        <w:p w14:paraId="59B9159A" w14:textId="6261152F"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64" w:history="1">
            <w:r w:rsidRPr="003A5D4A">
              <w:rPr>
                <w:rStyle w:val="Hyperlink"/>
                <w:noProof/>
              </w:rPr>
              <w:t>Stage 3: Incorporating stakeholder feedback</w:t>
            </w:r>
            <w:r>
              <w:rPr>
                <w:noProof/>
                <w:webHidden/>
              </w:rPr>
              <w:tab/>
            </w:r>
            <w:r>
              <w:rPr>
                <w:noProof/>
                <w:webHidden/>
              </w:rPr>
              <w:fldChar w:fldCharType="begin"/>
            </w:r>
            <w:r>
              <w:rPr>
                <w:noProof/>
                <w:webHidden/>
              </w:rPr>
              <w:instrText xml:space="preserve"> PAGEREF _Toc211425364 \h </w:instrText>
            </w:r>
            <w:r>
              <w:rPr>
                <w:noProof/>
                <w:webHidden/>
              </w:rPr>
            </w:r>
            <w:r>
              <w:rPr>
                <w:noProof/>
                <w:webHidden/>
              </w:rPr>
              <w:fldChar w:fldCharType="separate"/>
            </w:r>
            <w:r w:rsidR="00F6227E">
              <w:rPr>
                <w:noProof/>
                <w:webHidden/>
              </w:rPr>
              <w:t>14</w:t>
            </w:r>
            <w:r>
              <w:rPr>
                <w:noProof/>
                <w:webHidden/>
              </w:rPr>
              <w:fldChar w:fldCharType="end"/>
            </w:r>
          </w:hyperlink>
        </w:p>
        <w:p w14:paraId="2C7EA93C" w14:textId="7DAE14A3"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65" w:history="1">
            <w:r w:rsidRPr="003A5D4A">
              <w:rPr>
                <w:rStyle w:val="Hyperlink"/>
                <w:noProof/>
              </w:rPr>
              <w:t>Consultation with select external stakeholders</w:t>
            </w:r>
            <w:r>
              <w:rPr>
                <w:noProof/>
                <w:webHidden/>
              </w:rPr>
              <w:tab/>
            </w:r>
            <w:r>
              <w:rPr>
                <w:noProof/>
                <w:webHidden/>
              </w:rPr>
              <w:fldChar w:fldCharType="begin"/>
            </w:r>
            <w:r>
              <w:rPr>
                <w:noProof/>
                <w:webHidden/>
              </w:rPr>
              <w:instrText xml:space="preserve"> PAGEREF _Toc211425365 \h </w:instrText>
            </w:r>
            <w:r>
              <w:rPr>
                <w:noProof/>
                <w:webHidden/>
              </w:rPr>
            </w:r>
            <w:r>
              <w:rPr>
                <w:noProof/>
                <w:webHidden/>
              </w:rPr>
              <w:fldChar w:fldCharType="separate"/>
            </w:r>
            <w:r w:rsidR="00F6227E">
              <w:rPr>
                <w:noProof/>
                <w:webHidden/>
              </w:rPr>
              <w:t>14</w:t>
            </w:r>
            <w:r>
              <w:rPr>
                <w:noProof/>
                <w:webHidden/>
              </w:rPr>
              <w:fldChar w:fldCharType="end"/>
            </w:r>
          </w:hyperlink>
        </w:p>
        <w:p w14:paraId="122F390B" w14:textId="2585D9E9"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66" w:history="1">
            <w:r w:rsidRPr="003A5D4A">
              <w:rPr>
                <w:rStyle w:val="Hyperlink"/>
                <w:noProof/>
              </w:rPr>
              <w:t>Criteria for incorporating feedback</w:t>
            </w:r>
            <w:r>
              <w:rPr>
                <w:noProof/>
                <w:webHidden/>
              </w:rPr>
              <w:tab/>
            </w:r>
            <w:r>
              <w:rPr>
                <w:noProof/>
                <w:webHidden/>
              </w:rPr>
              <w:fldChar w:fldCharType="begin"/>
            </w:r>
            <w:r>
              <w:rPr>
                <w:noProof/>
                <w:webHidden/>
              </w:rPr>
              <w:instrText xml:space="preserve"> PAGEREF _Toc211425366 \h </w:instrText>
            </w:r>
            <w:r>
              <w:rPr>
                <w:noProof/>
                <w:webHidden/>
              </w:rPr>
            </w:r>
            <w:r>
              <w:rPr>
                <w:noProof/>
                <w:webHidden/>
              </w:rPr>
              <w:fldChar w:fldCharType="separate"/>
            </w:r>
            <w:r w:rsidR="00F6227E">
              <w:rPr>
                <w:noProof/>
                <w:webHidden/>
              </w:rPr>
              <w:t>15</w:t>
            </w:r>
            <w:r>
              <w:rPr>
                <w:noProof/>
                <w:webHidden/>
              </w:rPr>
              <w:fldChar w:fldCharType="end"/>
            </w:r>
          </w:hyperlink>
        </w:p>
        <w:p w14:paraId="38AC1118" w14:textId="3F9EEA13" w:rsidR="000C369D" w:rsidRDefault="000C369D">
          <w:pPr>
            <w:pStyle w:val="TOC1"/>
            <w:rPr>
              <w:rFonts w:asciiTheme="minorHAnsi" w:eastAsiaTheme="minorEastAsia" w:hAnsiTheme="minorHAnsi"/>
              <w:b w:val="0"/>
              <w:noProof/>
              <w:color w:val="auto"/>
              <w:kern w:val="2"/>
              <w:sz w:val="24"/>
              <w:szCs w:val="24"/>
              <w:lang w:eastAsia="en-AU"/>
              <w14:ligatures w14:val="standardContextual"/>
            </w:rPr>
          </w:pPr>
          <w:hyperlink w:anchor="_Toc211425367" w:history="1">
            <w:r w:rsidRPr="003A5D4A">
              <w:rPr>
                <w:rStyle w:val="Hyperlink"/>
                <w:noProof/>
              </w:rPr>
              <w:t>Appendix</w:t>
            </w:r>
            <w:r>
              <w:rPr>
                <w:noProof/>
                <w:webHidden/>
              </w:rPr>
              <w:tab/>
            </w:r>
            <w:r>
              <w:rPr>
                <w:noProof/>
                <w:webHidden/>
              </w:rPr>
              <w:fldChar w:fldCharType="begin"/>
            </w:r>
            <w:r>
              <w:rPr>
                <w:noProof/>
                <w:webHidden/>
              </w:rPr>
              <w:instrText xml:space="preserve"> PAGEREF _Toc211425367 \h </w:instrText>
            </w:r>
            <w:r>
              <w:rPr>
                <w:noProof/>
                <w:webHidden/>
              </w:rPr>
            </w:r>
            <w:r>
              <w:rPr>
                <w:noProof/>
                <w:webHidden/>
              </w:rPr>
              <w:fldChar w:fldCharType="separate"/>
            </w:r>
            <w:r w:rsidR="00F6227E">
              <w:rPr>
                <w:noProof/>
                <w:webHidden/>
              </w:rPr>
              <w:t>17</w:t>
            </w:r>
            <w:r>
              <w:rPr>
                <w:noProof/>
                <w:webHidden/>
              </w:rPr>
              <w:fldChar w:fldCharType="end"/>
            </w:r>
          </w:hyperlink>
        </w:p>
        <w:p w14:paraId="3C18A51A" w14:textId="204F5484"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68" w:history="1">
            <w:r w:rsidRPr="003A5D4A">
              <w:rPr>
                <w:rStyle w:val="Hyperlink"/>
                <w:noProof/>
              </w:rPr>
              <w:t>Appendix A: Occupations out of OSL scope</w:t>
            </w:r>
            <w:r>
              <w:rPr>
                <w:noProof/>
                <w:webHidden/>
              </w:rPr>
              <w:tab/>
            </w:r>
            <w:r>
              <w:rPr>
                <w:noProof/>
                <w:webHidden/>
              </w:rPr>
              <w:fldChar w:fldCharType="begin"/>
            </w:r>
            <w:r>
              <w:rPr>
                <w:noProof/>
                <w:webHidden/>
              </w:rPr>
              <w:instrText xml:space="preserve"> PAGEREF _Toc211425368 \h </w:instrText>
            </w:r>
            <w:r>
              <w:rPr>
                <w:noProof/>
                <w:webHidden/>
              </w:rPr>
            </w:r>
            <w:r>
              <w:rPr>
                <w:noProof/>
                <w:webHidden/>
              </w:rPr>
              <w:fldChar w:fldCharType="separate"/>
            </w:r>
            <w:r w:rsidR="00F6227E">
              <w:rPr>
                <w:noProof/>
                <w:webHidden/>
              </w:rPr>
              <w:t>17</w:t>
            </w:r>
            <w:r>
              <w:rPr>
                <w:noProof/>
                <w:webHidden/>
              </w:rPr>
              <w:fldChar w:fldCharType="end"/>
            </w:r>
          </w:hyperlink>
        </w:p>
        <w:p w14:paraId="1882B90E" w14:textId="68331A2F"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69" w:history="1">
            <w:r w:rsidRPr="003A5D4A">
              <w:rPr>
                <w:rStyle w:val="Hyperlink"/>
                <w:noProof/>
              </w:rPr>
              <w:t>Skill Level 5 occupations</w:t>
            </w:r>
            <w:r>
              <w:rPr>
                <w:noProof/>
                <w:webHidden/>
              </w:rPr>
              <w:tab/>
            </w:r>
            <w:r>
              <w:rPr>
                <w:noProof/>
                <w:webHidden/>
              </w:rPr>
              <w:fldChar w:fldCharType="begin"/>
            </w:r>
            <w:r>
              <w:rPr>
                <w:noProof/>
                <w:webHidden/>
              </w:rPr>
              <w:instrText xml:space="preserve"> PAGEREF _Toc211425369 \h </w:instrText>
            </w:r>
            <w:r>
              <w:rPr>
                <w:noProof/>
                <w:webHidden/>
              </w:rPr>
            </w:r>
            <w:r>
              <w:rPr>
                <w:noProof/>
                <w:webHidden/>
              </w:rPr>
              <w:fldChar w:fldCharType="separate"/>
            </w:r>
            <w:r w:rsidR="00F6227E">
              <w:rPr>
                <w:noProof/>
                <w:webHidden/>
              </w:rPr>
              <w:t>17</w:t>
            </w:r>
            <w:r>
              <w:rPr>
                <w:noProof/>
                <w:webHidden/>
              </w:rPr>
              <w:fldChar w:fldCharType="end"/>
            </w:r>
          </w:hyperlink>
        </w:p>
        <w:p w14:paraId="6A02030F" w14:textId="59F70E1D"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70" w:history="1">
            <w:r w:rsidRPr="003A5D4A">
              <w:rPr>
                <w:rStyle w:val="Hyperlink"/>
                <w:noProof/>
              </w:rPr>
              <w:t>New Zealand occupations</w:t>
            </w:r>
            <w:r>
              <w:rPr>
                <w:noProof/>
                <w:webHidden/>
              </w:rPr>
              <w:tab/>
            </w:r>
            <w:r>
              <w:rPr>
                <w:noProof/>
                <w:webHidden/>
              </w:rPr>
              <w:fldChar w:fldCharType="begin"/>
            </w:r>
            <w:r>
              <w:rPr>
                <w:noProof/>
                <w:webHidden/>
              </w:rPr>
              <w:instrText xml:space="preserve"> PAGEREF _Toc211425370 \h </w:instrText>
            </w:r>
            <w:r>
              <w:rPr>
                <w:noProof/>
                <w:webHidden/>
              </w:rPr>
            </w:r>
            <w:r>
              <w:rPr>
                <w:noProof/>
                <w:webHidden/>
              </w:rPr>
              <w:fldChar w:fldCharType="separate"/>
            </w:r>
            <w:r w:rsidR="00F6227E">
              <w:rPr>
                <w:noProof/>
                <w:webHidden/>
              </w:rPr>
              <w:t>18</w:t>
            </w:r>
            <w:r>
              <w:rPr>
                <w:noProof/>
                <w:webHidden/>
              </w:rPr>
              <w:fldChar w:fldCharType="end"/>
            </w:r>
          </w:hyperlink>
        </w:p>
        <w:p w14:paraId="6A3C4065" w14:textId="78023D73"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71" w:history="1">
            <w:r w:rsidRPr="003A5D4A">
              <w:rPr>
                <w:rStyle w:val="Hyperlink"/>
                <w:noProof/>
              </w:rPr>
              <w:t>Occupations where the labour market is not open and contestable</w:t>
            </w:r>
            <w:r>
              <w:rPr>
                <w:noProof/>
                <w:webHidden/>
              </w:rPr>
              <w:tab/>
            </w:r>
            <w:r>
              <w:rPr>
                <w:noProof/>
                <w:webHidden/>
              </w:rPr>
              <w:fldChar w:fldCharType="begin"/>
            </w:r>
            <w:r>
              <w:rPr>
                <w:noProof/>
                <w:webHidden/>
              </w:rPr>
              <w:instrText xml:space="preserve"> PAGEREF _Toc211425371 \h </w:instrText>
            </w:r>
            <w:r>
              <w:rPr>
                <w:noProof/>
                <w:webHidden/>
              </w:rPr>
            </w:r>
            <w:r>
              <w:rPr>
                <w:noProof/>
                <w:webHidden/>
              </w:rPr>
              <w:fldChar w:fldCharType="separate"/>
            </w:r>
            <w:r w:rsidR="00F6227E">
              <w:rPr>
                <w:noProof/>
                <w:webHidden/>
              </w:rPr>
              <w:t>18</w:t>
            </w:r>
            <w:r>
              <w:rPr>
                <w:noProof/>
                <w:webHidden/>
              </w:rPr>
              <w:fldChar w:fldCharType="end"/>
            </w:r>
          </w:hyperlink>
        </w:p>
        <w:p w14:paraId="247F5CC0" w14:textId="543F5400"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72" w:history="1">
            <w:r w:rsidRPr="003A5D4A">
              <w:rPr>
                <w:rStyle w:val="Hyperlink"/>
                <w:noProof/>
              </w:rPr>
              <w:t>Appendix B: Mapping to 2022 ANZSCO and to OSCA</w:t>
            </w:r>
            <w:r>
              <w:rPr>
                <w:noProof/>
                <w:webHidden/>
              </w:rPr>
              <w:tab/>
            </w:r>
            <w:r>
              <w:rPr>
                <w:noProof/>
                <w:webHidden/>
              </w:rPr>
              <w:fldChar w:fldCharType="begin"/>
            </w:r>
            <w:r>
              <w:rPr>
                <w:noProof/>
                <w:webHidden/>
              </w:rPr>
              <w:instrText xml:space="preserve"> PAGEREF _Toc211425372 \h </w:instrText>
            </w:r>
            <w:r>
              <w:rPr>
                <w:noProof/>
                <w:webHidden/>
              </w:rPr>
            </w:r>
            <w:r>
              <w:rPr>
                <w:noProof/>
                <w:webHidden/>
              </w:rPr>
              <w:fldChar w:fldCharType="separate"/>
            </w:r>
            <w:r w:rsidR="00F6227E">
              <w:rPr>
                <w:noProof/>
                <w:webHidden/>
              </w:rPr>
              <w:t>20</w:t>
            </w:r>
            <w:r>
              <w:rPr>
                <w:noProof/>
                <w:webHidden/>
              </w:rPr>
              <w:fldChar w:fldCharType="end"/>
            </w:r>
          </w:hyperlink>
        </w:p>
        <w:p w14:paraId="45160778" w14:textId="6BCD5BA0"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73" w:history="1">
            <w:r w:rsidRPr="003A5D4A">
              <w:rPr>
                <w:rStyle w:val="Hyperlink"/>
                <w:noProof/>
              </w:rPr>
              <w:t>Mapping from 2013 ANZSCO to 2022 ANZSCO</w:t>
            </w:r>
            <w:r>
              <w:rPr>
                <w:noProof/>
                <w:webHidden/>
              </w:rPr>
              <w:tab/>
            </w:r>
            <w:r>
              <w:rPr>
                <w:noProof/>
                <w:webHidden/>
              </w:rPr>
              <w:fldChar w:fldCharType="begin"/>
            </w:r>
            <w:r>
              <w:rPr>
                <w:noProof/>
                <w:webHidden/>
              </w:rPr>
              <w:instrText xml:space="preserve"> PAGEREF _Toc211425373 \h </w:instrText>
            </w:r>
            <w:r>
              <w:rPr>
                <w:noProof/>
                <w:webHidden/>
              </w:rPr>
            </w:r>
            <w:r>
              <w:rPr>
                <w:noProof/>
                <w:webHidden/>
              </w:rPr>
              <w:fldChar w:fldCharType="separate"/>
            </w:r>
            <w:r w:rsidR="00F6227E">
              <w:rPr>
                <w:noProof/>
                <w:webHidden/>
              </w:rPr>
              <w:t>20</w:t>
            </w:r>
            <w:r>
              <w:rPr>
                <w:noProof/>
                <w:webHidden/>
              </w:rPr>
              <w:fldChar w:fldCharType="end"/>
            </w:r>
          </w:hyperlink>
        </w:p>
        <w:p w14:paraId="792958A3" w14:textId="18AE1D19" w:rsidR="000C369D" w:rsidRDefault="000C369D">
          <w:pPr>
            <w:pStyle w:val="TOC3"/>
            <w:rPr>
              <w:rFonts w:asciiTheme="minorHAnsi" w:eastAsiaTheme="minorEastAsia" w:hAnsiTheme="minorHAnsi"/>
              <w:noProof/>
              <w:kern w:val="2"/>
              <w:sz w:val="24"/>
              <w:szCs w:val="24"/>
              <w:lang w:eastAsia="en-AU"/>
              <w14:ligatures w14:val="standardContextual"/>
            </w:rPr>
          </w:pPr>
          <w:hyperlink w:anchor="_Toc211425374" w:history="1">
            <w:r w:rsidRPr="003A5D4A">
              <w:rPr>
                <w:rStyle w:val="Hyperlink"/>
                <w:noProof/>
              </w:rPr>
              <w:t>Mapping from 2022 ANZSCO to 2024 OSCA</w:t>
            </w:r>
            <w:r>
              <w:rPr>
                <w:noProof/>
                <w:webHidden/>
              </w:rPr>
              <w:tab/>
            </w:r>
            <w:r>
              <w:rPr>
                <w:noProof/>
                <w:webHidden/>
              </w:rPr>
              <w:fldChar w:fldCharType="begin"/>
            </w:r>
            <w:r>
              <w:rPr>
                <w:noProof/>
                <w:webHidden/>
              </w:rPr>
              <w:instrText xml:space="preserve"> PAGEREF _Toc211425374 \h </w:instrText>
            </w:r>
            <w:r>
              <w:rPr>
                <w:noProof/>
                <w:webHidden/>
              </w:rPr>
            </w:r>
            <w:r>
              <w:rPr>
                <w:noProof/>
                <w:webHidden/>
              </w:rPr>
              <w:fldChar w:fldCharType="separate"/>
            </w:r>
            <w:r w:rsidR="00F6227E">
              <w:rPr>
                <w:noProof/>
                <w:webHidden/>
              </w:rPr>
              <w:t>21</w:t>
            </w:r>
            <w:r>
              <w:rPr>
                <w:noProof/>
                <w:webHidden/>
              </w:rPr>
              <w:fldChar w:fldCharType="end"/>
            </w:r>
          </w:hyperlink>
        </w:p>
        <w:p w14:paraId="423A6172" w14:textId="714D814C"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75" w:history="1">
            <w:r w:rsidRPr="003A5D4A">
              <w:rPr>
                <w:rStyle w:val="Hyperlink"/>
                <w:noProof/>
              </w:rPr>
              <w:t>Appendix C: GBM input variables</w:t>
            </w:r>
            <w:r>
              <w:rPr>
                <w:noProof/>
                <w:webHidden/>
              </w:rPr>
              <w:tab/>
            </w:r>
            <w:r>
              <w:rPr>
                <w:noProof/>
                <w:webHidden/>
              </w:rPr>
              <w:fldChar w:fldCharType="begin"/>
            </w:r>
            <w:r>
              <w:rPr>
                <w:noProof/>
                <w:webHidden/>
              </w:rPr>
              <w:instrText xml:space="preserve"> PAGEREF _Toc211425375 \h </w:instrText>
            </w:r>
            <w:r>
              <w:rPr>
                <w:noProof/>
                <w:webHidden/>
              </w:rPr>
            </w:r>
            <w:r>
              <w:rPr>
                <w:noProof/>
                <w:webHidden/>
              </w:rPr>
              <w:fldChar w:fldCharType="separate"/>
            </w:r>
            <w:r w:rsidR="00F6227E">
              <w:rPr>
                <w:noProof/>
                <w:webHidden/>
              </w:rPr>
              <w:t>22</w:t>
            </w:r>
            <w:r>
              <w:rPr>
                <w:noProof/>
                <w:webHidden/>
              </w:rPr>
              <w:fldChar w:fldCharType="end"/>
            </w:r>
          </w:hyperlink>
        </w:p>
        <w:p w14:paraId="54B9328C" w14:textId="7E612246"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76" w:history="1">
            <w:r w:rsidRPr="003A5D4A">
              <w:rPr>
                <w:rStyle w:val="Hyperlink"/>
                <w:noProof/>
              </w:rPr>
              <w:t>Appendix D: Blending the GBM-based fill rates with SERA</w:t>
            </w:r>
            <w:r>
              <w:rPr>
                <w:noProof/>
                <w:webHidden/>
              </w:rPr>
              <w:tab/>
            </w:r>
            <w:r>
              <w:rPr>
                <w:noProof/>
                <w:webHidden/>
              </w:rPr>
              <w:fldChar w:fldCharType="begin"/>
            </w:r>
            <w:r>
              <w:rPr>
                <w:noProof/>
                <w:webHidden/>
              </w:rPr>
              <w:instrText xml:space="preserve"> PAGEREF _Toc211425376 \h </w:instrText>
            </w:r>
            <w:r>
              <w:rPr>
                <w:noProof/>
                <w:webHidden/>
              </w:rPr>
            </w:r>
            <w:r>
              <w:rPr>
                <w:noProof/>
                <w:webHidden/>
              </w:rPr>
              <w:fldChar w:fldCharType="separate"/>
            </w:r>
            <w:r w:rsidR="00F6227E">
              <w:rPr>
                <w:noProof/>
                <w:webHidden/>
              </w:rPr>
              <w:t>23</w:t>
            </w:r>
            <w:r>
              <w:rPr>
                <w:noProof/>
                <w:webHidden/>
              </w:rPr>
              <w:fldChar w:fldCharType="end"/>
            </w:r>
          </w:hyperlink>
        </w:p>
        <w:p w14:paraId="5FD5006C" w14:textId="3E9EC7E8"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77" w:history="1">
            <w:r w:rsidRPr="003A5D4A">
              <w:rPr>
                <w:rStyle w:val="Hyperlink"/>
                <w:noProof/>
              </w:rPr>
              <w:t>Appendix E: SERA</w:t>
            </w:r>
            <w:r>
              <w:rPr>
                <w:noProof/>
                <w:webHidden/>
              </w:rPr>
              <w:tab/>
            </w:r>
            <w:r>
              <w:rPr>
                <w:noProof/>
                <w:webHidden/>
              </w:rPr>
              <w:fldChar w:fldCharType="begin"/>
            </w:r>
            <w:r>
              <w:rPr>
                <w:noProof/>
                <w:webHidden/>
              </w:rPr>
              <w:instrText xml:space="preserve"> PAGEREF _Toc211425377 \h </w:instrText>
            </w:r>
            <w:r>
              <w:rPr>
                <w:noProof/>
                <w:webHidden/>
              </w:rPr>
            </w:r>
            <w:r>
              <w:rPr>
                <w:noProof/>
                <w:webHidden/>
              </w:rPr>
              <w:fldChar w:fldCharType="separate"/>
            </w:r>
            <w:r w:rsidR="00F6227E">
              <w:rPr>
                <w:noProof/>
                <w:webHidden/>
              </w:rPr>
              <w:t>24</w:t>
            </w:r>
            <w:r>
              <w:rPr>
                <w:noProof/>
                <w:webHidden/>
              </w:rPr>
              <w:fldChar w:fldCharType="end"/>
            </w:r>
          </w:hyperlink>
        </w:p>
        <w:p w14:paraId="097E07BA" w14:textId="66FA37DE" w:rsidR="000C369D" w:rsidRDefault="000C369D">
          <w:pPr>
            <w:pStyle w:val="TOC2"/>
            <w:rPr>
              <w:rFonts w:asciiTheme="minorHAnsi" w:eastAsiaTheme="minorEastAsia" w:hAnsiTheme="minorHAnsi"/>
              <w:b w:val="0"/>
              <w:noProof/>
              <w:kern w:val="2"/>
              <w:sz w:val="24"/>
              <w:szCs w:val="24"/>
              <w:lang w:eastAsia="en-AU"/>
              <w14:ligatures w14:val="standardContextual"/>
            </w:rPr>
          </w:pPr>
          <w:hyperlink w:anchor="_Toc211425378" w:history="1">
            <w:r w:rsidRPr="003A5D4A">
              <w:rPr>
                <w:rStyle w:val="Hyperlink"/>
                <w:noProof/>
              </w:rPr>
              <w:t>Appendix F: OSL Stakeholder Survey</w:t>
            </w:r>
            <w:r>
              <w:rPr>
                <w:noProof/>
                <w:webHidden/>
              </w:rPr>
              <w:tab/>
            </w:r>
            <w:r>
              <w:rPr>
                <w:noProof/>
                <w:webHidden/>
              </w:rPr>
              <w:fldChar w:fldCharType="begin"/>
            </w:r>
            <w:r>
              <w:rPr>
                <w:noProof/>
                <w:webHidden/>
              </w:rPr>
              <w:instrText xml:space="preserve"> PAGEREF _Toc211425378 \h </w:instrText>
            </w:r>
            <w:r>
              <w:rPr>
                <w:noProof/>
                <w:webHidden/>
              </w:rPr>
            </w:r>
            <w:r>
              <w:rPr>
                <w:noProof/>
                <w:webHidden/>
              </w:rPr>
              <w:fldChar w:fldCharType="separate"/>
            </w:r>
            <w:r w:rsidR="00F6227E">
              <w:rPr>
                <w:noProof/>
                <w:webHidden/>
              </w:rPr>
              <w:t>26</w:t>
            </w:r>
            <w:r>
              <w:rPr>
                <w:noProof/>
                <w:webHidden/>
              </w:rPr>
              <w:fldChar w:fldCharType="end"/>
            </w:r>
          </w:hyperlink>
        </w:p>
        <w:p w14:paraId="0E320C00" w14:textId="42FB31E7" w:rsidR="00BC2993" w:rsidRDefault="0085591E" w:rsidP="00BC2993">
          <w:r w:rsidRPr="0085591E">
            <w:fldChar w:fldCharType="end"/>
          </w:r>
        </w:p>
        <w:p w14:paraId="0C377586" w14:textId="77777777" w:rsidR="0064281C" w:rsidRDefault="00000000" w:rsidP="00CE302B">
          <w:pPr>
            <w:pStyle w:val="TOCHeading"/>
          </w:pPr>
        </w:p>
      </w:sdtContent>
    </w:sdt>
    <w:p w14:paraId="3187DB82" w14:textId="77777777" w:rsidR="000A577E" w:rsidRDefault="000A577E">
      <w:pPr>
        <w:spacing w:before="0" w:after="200" w:line="276" w:lineRule="auto"/>
        <w:rPr>
          <w:rFonts w:eastAsiaTheme="majorEastAsia" w:cstheme="majorBidi"/>
          <w:b/>
          <w:bCs/>
          <w:color w:val="4B0985"/>
          <w:sz w:val="48"/>
          <w:szCs w:val="28"/>
        </w:rPr>
      </w:pPr>
      <w:r>
        <w:br w:type="page"/>
      </w:r>
    </w:p>
    <w:p w14:paraId="77BC1C5E" w14:textId="6451CF3A" w:rsidR="00CE302B" w:rsidRDefault="00CE302B" w:rsidP="00CE302B">
      <w:pPr>
        <w:pStyle w:val="TOCHeading"/>
      </w:pPr>
      <w:r>
        <w:lastRenderedPageBreak/>
        <w:t>Tables</w:t>
      </w:r>
    </w:p>
    <w:p w14:paraId="625F5C03" w14:textId="18325223" w:rsidR="00946B81" w:rsidRDefault="00CE302B">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fldChar w:fldCharType="begin"/>
      </w:r>
      <w:r>
        <w:instrText xml:space="preserve"> TOC \c "Table" </w:instrText>
      </w:r>
      <w:r>
        <w:fldChar w:fldCharType="separate"/>
      </w:r>
      <w:r w:rsidR="00946B81">
        <w:rPr>
          <w:noProof/>
        </w:rPr>
        <w:t>Table 1: Classifications of occupations in scope of the OSL</w:t>
      </w:r>
      <w:r w:rsidR="00946B81">
        <w:rPr>
          <w:noProof/>
        </w:rPr>
        <w:tab/>
      </w:r>
      <w:r w:rsidR="00946B81">
        <w:rPr>
          <w:noProof/>
        </w:rPr>
        <w:fldChar w:fldCharType="begin"/>
      </w:r>
      <w:r w:rsidR="00946B81">
        <w:rPr>
          <w:noProof/>
        </w:rPr>
        <w:instrText xml:space="preserve"> PAGEREF _Toc211421394 \h </w:instrText>
      </w:r>
      <w:r w:rsidR="00946B81">
        <w:rPr>
          <w:noProof/>
        </w:rPr>
      </w:r>
      <w:r w:rsidR="00946B81">
        <w:rPr>
          <w:noProof/>
        </w:rPr>
        <w:fldChar w:fldCharType="separate"/>
      </w:r>
      <w:r w:rsidR="00F6227E">
        <w:rPr>
          <w:noProof/>
        </w:rPr>
        <w:t>7</w:t>
      </w:r>
      <w:r w:rsidR="00946B81">
        <w:rPr>
          <w:noProof/>
        </w:rPr>
        <w:fldChar w:fldCharType="end"/>
      </w:r>
    </w:p>
    <w:p w14:paraId="7F59C6C9" w14:textId="6F6BEBA4"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noProof/>
        </w:rPr>
        <w:t>Table 2: Key steps of the preliminary occupation rating modelling framework</w:t>
      </w:r>
      <w:r>
        <w:rPr>
          <w:noProof/>
        </w:rPr>
        <w:tab/>
      </w:r>
      <w:r>
        <w:rPr>
          <w:noProof/>
        </w:rPr>
        <w:fldChar w:fldCharType="begin"/>
      </w:r>
      <w:r>
        <w:rPr>
          <w:noProof/>
        </w:rPr>
        <w:instrText xml:space="preserve"> PAGEREF _Toc211421395 \h </w:instrText>
      </w:r>
      <w:r>
        <w:rPr>
          <w:noProof/>
        </w:rPr>
      </w:r>
      <w:r>
        <w:rPr>
          <w:noProof/>
        </w:rPr>
        <w:fldChar w:fldCharType="separate"/>
      </w:r>
      <w:r w:rsidR="00F6227E">
        <w:rPr>
          <w:noProof/>
        </w:rPr>
        <w:t>8</w:t>
      </w:r>
      <w:r>
        <w:rPr>
          <w:noProof/>
        </w:rPr>
        <w:fldChar w:fldCharType="end"/>
      </w:r>
    </w:p>
    <w:p w14:paraId="322C1C35" w14:textId="07DB000C"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noProof/>
        </w:rPr>
        <w:t>Table 3: Additional decision rules applied to determine stage 1 occupation ratings</w:t>
      </w:r>
      <w:r>
        <w:rPr>
          <w:noProof/>
        </w:rPr>
        <w:tab/>
      </w:r>
      <w:r>
        <w:rPr>
          <w:noProof/>
        </w:rPr>
        <w:fldChar w:fldCharType="begin"/>
      </w:r>
      <w:r>
        <w:rPr>
          <w:noProof/>
        </w:rPr>
        <w:instrText xml:space="preserve"> PAGEREF _Toc211421396 \h </w:instrText>
      </w:r>
      <w:r>
        <w:rPr>
          <w:noProof/>
        </w:rPr>
      </w:r>
      <w:r>
        <w:rPr>
          <w:noProof/>
        </w:rPr>
        <w:fldChar w:fldCharType="separate"/>
      </w:r>
      <w:r w:rsidR="00F6227E">
        <w:rPr>
          <w:noProof/>
        </w:rPr>
        <w:t>11</w:t>
      </w:r>
      <w:r>
        <w:rPr>
          <w:noProof/>
        </w:rPr>
        <w:fldChar w:fldCharType="end"/>
      </w:r>
    </w:p>
    <w:p w14:paraId="6142FB96" w14:textId="6F4F7125"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noProof/>
        </w:rPr>
        <w:t>Table 4: Sources and metrics used to review and verify the preliminary ratings</w:t>
      </w:r>
      <w:r>
        <w:rPr>
          <w:noProof/>
        </w:rPr>
        <w:tab/>
      </w:r>
      <w:r>
        <w:rPr>
          <w:noProof/>
        </w:rPr>
        <w:fldChar w:fldCharType="begin"/>
      </w:r>
      <w:r>
        <w:rPr>
          <w:noProof/>
        </w:rPr>
        <w:instrText xml:space="preserve"> PAGEREF _Toc211421397 \h </w:instrText>
      </w:r>
      <w:r>
        <w:rPr>
          <w:noProof/>
        </w:rPr>
      </w:r>
      <w:r>
        <w:rPr>
          <w:noProof/>
        </w:rPr>
        <w:fldChar w:fldCharType="separate"/>
      </w:r>
      <w:r w:rsidR="00F6227E">
        <w:rPr>
          <w:noProof/>
        </w:rPr>
        <w:t>13</w:t>
      </w:r>
      <w:r>
        <w:rPr>
          <w:noProof/>
        </w:rPr>
        <w:fldChar w:fldCharType="end"/>
      </w:r>
    </w:p>
    <w:p w14:paraId="61BA9DA1" w14:textId="0BC6C9E6"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noProof/>
        </w:rPr>
        <w:t>Table 5: Steps used when reviewing and incorporating feedback from Commonwealth and JSCs</w:t>
      </w:r>
      <w:r>
        <w:rPr>
          <w:noProof/>
        </w:rPr>
        <w:tab/>
      </w:r>
      <w:r>
        <w:rPr>
          <w:noProof/>
        </w:rPr>
        <w:fldChar w:fldCharType="begin"/>
      </w:r>
      <w:r>
        <w:rPr>
          <w:noProof/>
        </w:rPr>
        <w:instrText xml:space="preserve"> PAGEREF _Toc211421398 \h </w:instrText>
      </w:r>
      <w:r>
        <w:rPr>
          <w:noProof/>
        </w:rPr>
      </w:r>
      <w:r>
        <w:rPr>
          <w:noProof/>
        </w:rPr>
        <w:fldChar w:fldCharType="separate"/>
      </w:r>
      <w:r w:rsidR="00F6227E">
        <w:rPr>
          <w:noProof/>
        </w:rPr>
        <w:t>15</w:t>
      </w:r>
      <w:r>
        <w:rPr>
          <w:noProof/>
        </w:rPr>
        <w:fldChar w:fldCharType="end"/>
      </w:r>
    </w:p>
    <w:p w14:paraId="4F3E1828" w14:textId="75EB7EFA"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noProof/>
        </w:rPr>
        <w:t>Table 6: Further rules used for state ratings</w:t>
      </w:r>
      <w:r>
        <w:rPr>
          <w:noProof/>
        </w:rPr>
        <w:tab/>
      </w:r>
      <w:r>
        <w:rPr>
          <w:noProof/>
        </w:rPr>
        <w:fldChar w:fldCharType="begin"/>
      </w:r>
      <w:r>
        <w:rPr>
          <w:noProof/>
        </w:rPr>
        <w:instrText xml:space="preserve"> PAGEREF _Toc211421399 \h </w:instrText>
      </w:r>
      <w:r>
        <w:rPr>
          <w:noProof/>
        </w:rPr>
      </w:r>
      <w:r>
        <w:rPr>
          <w:noProof/>
        </w:rPr>
        <w:fldChar w:fldCharType="separate"/>
      </w:r>
      <w:r w:rsidR="00F6227E">
        <w:rPr>
          <w:noProof/>
        </w:rPr>
        <w:t>15</w:t>
      </w:r>
      <w:r>
        <w:rPr>
          <w:noProof/>
        </w:rPr>
        <w:fldChar w:fldCharType="end"/>
      </w:r>
    </w:p>
    <w:p w14:paraId="5978D58E" w14:textId="6E40BD9E" w:rsidR="00946B81" w:rsidRPr="00946B81" w:rsidRDefault="00CE302B">
      <w:pPr>
        <w:pStyle w:val="TableofFigures"/>
        <w:tabs>
          <w:tab w:val="right" w:leader="dot" w:pos="9017"/>
        </w:tabs>
        <w:rPr>
          <w:noProof/>
        </w:rPr>
      </w:pPr>
      <w:r>
        <w:fldChar w:fldCharType="end"/>
      </w:r>
      <w:r w:rsidR="00F71374">
        <w:fldChar w:fldCharType="begin"/>
      </w:r>
      <w:r w:rsidR="00F71374">
        <w:instrText xml:space="preserve"> TOC \h \z \c "Table A" </w:instrText>
      </w:r>
      <w:r w:rsidR="00F71374">
        <w:fldChar w:fldCharType="separate"/>
      </w:r>
      <w:hyperlink w:anchor="_Toc211421400" w:history="1">
        <w:r w:rsidR="00946B81" w:rsidRPr="00CC6C4B">
          <w:rPr>
            <w:rStyle w:val="Hyperlink"/>
            <w:noProof/>
          </w:rPr>
          <w:t>Table A1: ANZSCO skill level classification</w:t>
        </w:r>
        <w:r w:rsidR="00946B81">
          <w:rPr>
            <w:noProof/>
            <w:webHidden/>
          </w:rPr>
          <w:tab/>
        </w:r>
        <w:r w:rsidR="00946B81">
          <w:rPr>
            <w:noProof/>
            <w:webHidden/>
          </w:rPr>
          <w:fldChar w:fldCharType="begin"/>
        </w:r>
        <w:r w:rsidR="00946B81">
          <w:rPr>
            <w:noProof/>
            <w:webHidden/>
          </w:rPr>
          <w:instrText xml:space="preserve"> PAGEREF _Toc211421400 \h </w:instrText>
        </w:r>
        <w:r w:rsidR="00946B81">
          <w:rPr>
            <w:noProof/>
            <w:webHidden/>
          </w:rPr>
        </w:r>
        <w:r w:rsidR="00946B81">
          <w:rPr>
            <w:noProof/>
            <w:webHidden/>
          </w:rPr>
          <w:fldChar w:fldCharType="separate"/>
        </w:r>
        <w:r w:rsidR="00F6227E">
          <w:rPr>
            <w:noProof/>
            <w:webHidden/>
          </w:rPr>
          <w:t>17</w:t>
        </w:r>
        <w:r w:rsidR="00946B81">
          <w:rPr>
            <w:noProof/>
            <w:webHidden/>
          </w:rPr>
          <w:fldChar w:fldCharType="end"/>
        </w:r>
      </w:hyperlink>
    </w:p>
    <w:p w14:paraId="0BA59DC7" w14:textId="447FF1F0"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421401" w:history="1">
        <w:r w:rsidRPr="00CC6C4B">
          <w:rPr>
            <w:rStyle w:val="Hyperlink"/>
            <w:noProof/>
          </w:rPr>
          <w:t>Table A2: List of New Zealand occupations</w:t>
        </w:r>
        <w:r>
          <w:rPr>
            <w:noProof/>
            <w:webHidden/>
          </w:rPr>
          <w:tab/>
        </w:r>
        <w:r>
          <w:rPr>
            <w:noProof/>
            <w:webHidden/>
          </w:rPr>
          <w:fldChar w:fldCharType="begin"/>
        </w:r>
        <w:r>
          <w:rPr>
            <w:noProof/>
            <w:webHidden/>
          </w:rPr>
          <w:instrText xml:space="preserve"> PAGEREF _Toc211421401 \h </w:instrText>
        </w:r>
        <w:r>
          <w:rPr>
            <w:noProof/>
            <w:webHidden/>
          </w:rPr>
        </w:r>
        <w:r>
          <w:rPr>
            <w:noProof/>
            <w:webHidden/>
          </w:rPr>
          <w:fldChar w:fldCharType="separate"/>
        </w:r>
        <w:r w:rsidR="00F6227E">
          <w:rPr>
            <w:noProof/>
            <w:webHidden/>
          </w:rPr>
          <w:t>18</w:t>
        </w:r>
        <w:r>
          <w:rPr>
            <w:noProof/>
            <w:webHidden/>
          </w:rPr>
          <w:fldChar w:fldCharType="end"/>
        </w:r>
      </w:hyperlink>
    </w:p>
    <w:p w14:paraId="6BA29210" w14:textId="45793800"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421402" w:history="1">
        <w:r w:rsidRPr="00CC6C4B">
          <w:rPr>
            <w:rStyle w:val="Hyperlink"/>
            <w:noProof/>
          </w:rPr>
          <w:t>Table A3: List of occupations excluded from the OSL, 2022 ANZSCO</w:t>
        </w:r>
        <w:r>
          <w:rPr>
            <w:noProof/>
            <w:webHidden/>
          </w:rPr>
          <w:tab/>
        </w:r>
        <w:r>
          <w:rPr>
            <w:noProof/>
            <w:webHidden/>
          </w:rPr>
          <w:fldChar w:fldCharType="begin"/>
        </w:r>
        <w:r>
          <w:rPr>
            <w:noProof/>
            <w:webHidden/>
          </w:rPr>
          <w:instrText xml:space="preserve"> PAGEREF _Toc211421402 \h </w:instrText>
        </w:r>
        <w:r>
          <w:rPr>
            <w:noProof/>
            <w:webHidden/>
          </w:rPr>
        </w:r>
        <w:r>
          <w:rPr>
            <w:noProof/>
            <w:webHidden/>
          </w:rPr>
          <w:fldChar w:fldCharType="separate"/>
        </w:r>
        <w:r w:rsidR="00F6227E">
          <w:rPr>
            <w:noProof/>
            <w:webHidden/>
          </w:rPr>
          <w:t>18</w:t>
        </w:r>
        <w:r>
          <w:rPr>
            <w:noProof/>
            <w:webHidden/>
          </w:rPr>
          <w:fldChar w:fldCharType="end"/>
        </w:r>
      </w:hyperlink>
    </w:p>
    <w:p w14:paraId="56CA678C" w14:textId="2C057A96"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421403" w:history="1">
        <w:r w:rsidRPr="00CC6C4B">
          <w:rPr>
            <w:rStyle w:val="Hyperlink"/>
            <w:noProof/>
          </w:rPr>
          <w:t>Table A4: List of occupations excluded from the OSL, 2024 OSCA</w:t>
        </w:r>
        <w:r>
          <w:rPr>
            <w:noProof/>
            <w:webHidden/>
          </w:rPr>
          <w:tab/>
        </w:r>
        <w:r>
          <w:rPr>
            <w:noProof/>
            <w:webHidden/>
          </w:rPr>
          <w:fldChar w:fldCharType="begin"/>
        </w:r>
        <w:r>
          <w:rPr>
            <w:noProof/>
            <w:webHidden/>
          </w:rPr>
          <w:instrText xml:space="preserve"> PAGEREF _Toc211421403 \h </w:instrText>
        </w:r>
        <w:r>
          <w:rPr>
            <w:noProof/>
            <w:webHidden/>
          </w:rPr>
        </w:r>
        <w:r>
          <w:rPr>
            <w:noProof/>
            <w:webHidden/>
          </w:rPr>
          <w:fldChar w:fldCharType="separate"/>
        </w:r>
        <w:r w:rsidR="00F6227E">
          <w:rPr>
            <w:noProof/>
            <w:webHidden/>
          </w:rPr>
          <w:t>19</w:t>
        </w:r>
        <w:r>
          <w:rPr>
            <w:noProof/>
            <w:webHidden/>
          </w:rPr>
          <w:fldChar w:fldCharType="end"/>
        </w:r>
      </w:hyperlink>
    </w:p>
    <w:p w14:paraId="15B47295" w14:textId="544D7900" w:rsidR="00946B81" w:rsidRPr="00946B81" w:rsidRDefault="00F71374">
      <w:pPr>
        <w:pStyle w:val="TableofFigures"/>
        <w:tabs>
          <w:tab w:val="right" w:leader="dot" w:pos="9017"/>
        </w:tabs>
        <w:rPr>
          <w:noProof/>
        </w:rPr>
      </w:pPr>
      <w:r>
        <w:fldChar w:fldCharType="end"/>
      </w:r>
      <w:r>
        <w:fldChar w:fldCharType="begin"/>
      </w:r>
      <w:r>
        <w:instrText xml:space="preserve"> TOC \h \z \c "Table B" </w:instrText>
      </w:r>
      <w:r>
        <w:fldChar w:fldCharType="separate"/>
      </w:r>
      <w:hyperlink w:anchor="_Toc211421404" w:history="1">
        <w:r w:rsidR="00946B81" w:rsidRPr="00DD7E3B">
          <w:rPr>
            <w:rStyle w:val="Hyperlink"/>
            <w:noProof/>
          </w:rPr>
          <w:t>Table B1: Rules and assumptions underpinning ANZSCO to OSCA mapping</w:t>
        </w:r>
        <w:r w:rsidR="00946B81">
          <w:rPr>
            <w:noProof/>
            <w:webHidden/>
          </w:rPr>
          <w:tab/>
        </w:r>
        <w:r w:rsidR="00946B81">
          <w:rPr>
            <w:noProof/>
            <w:webHidden/>
          </w:rPr>
          <w:fldChar w:fldCharType="begin"/>
        </w:r>
        <w:r w:rsidR="00946B81">
          <w:rPr>
            <w:noProof/>
            <w:webHidden/>
          </w:rPr>
          <w:instrText xml:space="preserve"> PAGEREF _Toc211421404 \h </w:instrText>
        </w:r>
        <w:r w:rsidR="00946B81">
          <w:rPr>
            <w:noProof/>
            <w:webHidden/>
          </w:rPr>
        </w:r>
        <w:r w:rsidR="00946B81">
          <w:rPr>
            <w:noProof/>
            <w:webHidden/>
          </w:rPr>
          <w:fldChar w:fldCharType="separate"/>
        </w:r>
        <w:r w:rsidR="00F6227E">
          <w:rPr>
            <w:noProof/>
            <w:webHidden/>
          </w:rPr>
          <w:t>22</w:t>
        </w:r>
        <w:r w:rsidR="00946B81">
          <w:rPr>
            <w:noProof/>
            <w:webHidden/>
          </w:rPr>
          <w:fldChar w:fldCharType="end"/>
        </w:r>
      </w:hyperlink>
    </w:p>
    <w:p w14:paraId="5CF1F086" w14:textId="04C8F6A8" w:rsidR="00946B81" w:rsidRPr="00946B81" w:rsidRDefault="00F71374">
      <w:pPr>
        <w:pStyle w:val="TableofFigures"/>
        <w:tabs>
          <w:tab w:val="right" w:leader="dot" w:pos="9017"/>
        </w:tabs>
        <w:rPr>
          <w:noProof/>
        </w:rPr>
      </w:pPr>
      <w:r>
        <w:fldChar w:fldCharType="end"/>
      </w:r>
      <w:r>
        <w:fldChar w:fldCharType="begin"/>
      </w:r>
      <w:r>
        <w:instrText xml:space="preserve"> TOC \h \z \c "Table C" </w:instrText>
      </w:r>
      <w:r>
        <w:fldChar w:fldCharType="separate"/>
      </w:r>
      <w:hyperlink w:anchor="_Toc211421405" w:history="1">
        <w:r w:rsidR="00946B81" w:rsidRPr="00E52141">
          <w:rPr>
            <w:rStyle w:val="Hyperlink"/>
            <w:noProof/>
          </w:rPr>
          <w:t>Table C1: GBM input variables</w:t>
        </w:r>
        <w:r w:rsidR="00946B81">
          <w:rPr>
            <w:noProof/>
            <w:webHidden/>
          </w:rPr>
          <w:tab/>
        </w:r>
        <w:r w:rsidR="00946B81">
          <w:rPr>
            <w:noProof/>
            <w:webHidden/>
          </w:rPr>
          <w:fldChar w:fldCharType="begin"/>
        </w:r>
        <w:r w:rsidR="00946B81">
          <w:rPr>
            <w:noProof/>
            <w:webHidden/>
          </w:rPr>
          <w:instrText xml:space="preserve"> PAGEREF _Toc211421405 \h </w:instrText>
        </w:r>
        <w:r w:rsidR="00946B81">
          <w:rPr>
            <w:noProof/>
            <w:webHidden/>
          </w:rPr>
        </w:r>
        <w:r w:rsidR="00946B81">
          <w:rPr>
            <w:noProof/>
            <w:webHidden/>
          </w:rPr>
          <w:fldChar w:fldCharType="separate"/>
        </w:r>
        <w:r w:rsidR="00F6227E">
          <w:rPr>
            <w:noProof/>
            <w:webHidden/>
          </w:rPr>
          <w:t>22</w:t>
        </w:r>
        <w:r w:rsidR="00946B81">
          <w:rPr>
            <w:noProof/>
            <w:webHidden/>
          </w:rPr>
          <w:fldChar w:fldCharType="end"/>
        </w:r>
      </w:hyperlink>
    </w:p>
    <w:p w14:paraId="7D617349" w14:textId="3F8CDE48" w:rsidR="00946B81" w:rsidRPr="00946B81" w:rsidRDefault="00F71374">
      <w:pPr>
        <w:pStyle w:val="TableofFigures"/>
        <w:tabs>
          <w:tab w:val="right" w:leader="dot" w:pos="9017"/>
        </w:tabs>
        <w:rPr>
          <w:noProof/>
        </w:rPr>
      </w:pPr>
      <w:r>
        <w:fldChar w:fldCharType="end"/>
      </w:r>
      <w:r>
        <w:fldChar w:fldCharType="begin"/>
      </w:r>
      <w:r>
        <w:instrText xml:space="preserve"> TOC \h \z \c "Table E" </w:instrText>
      </w:r>
      <w:r>
        <w:fldChar w:fldCharType="separate"/>
      </w:r>
      <w:hyperlink w:anchor="_Toc211421407" w:history="1">
        <w:r w:rsidR="00946B81" w:rsidRPr="000948C4">
          <w:rPr>
            <w:rStyle w:val="Hyperlink"/>
            <w:noProof/>
          </w:rPr>
          <w:t>Table E1: SERA Questionnaire</w:t>
        </w:r>
        <w:r w:rsidR="00946B81">
          <w:rPr>
            <w:noProof/>
            <w:webHidden/>
          </w:rPr>
          <w:tab/>
        </w:r>
        <w:r w:rsidR="00946B81">
          <w:rPr>
            <w:noProof/>
            <w:webHidden/>
          </w:rPr>
          <w:fldChar w:fldCharType="begin"/>
        </w:r>
        <w:r w:rsidR="00946B81">
          <w:rPr>
            <w:noProof/>
            <w:webHidden/>
          </w:rPr>
          <w:instrText xml:space="preserve"> PAGEREF _Toc211421407 \h </w:instrText>
        </w:r>
        <w:r w:rsidR="00946B81">
          <w:rPr>
            <w:noProof/>
            <w:webHidden/>
          </w:rPr>
        </w:r>
        <w:r w:rsidR="00946B81">
          <w:rPr>
            <w:noProof/>
            <w:webHidden/>
          </w:rPr>
          <w:fldChar w:fldCharType="separate"/>
        </w:r>
        <w:r w:rsidR="00F6227E">
          <w:rPr>
            <w:noProof/>
            <w:webHidden/>
          </w:rPr>
          <w:t>24</w:t>
        </w:r>
        <w:r w:rsidR="00946B81">
          <w:rPr>
            <w:noProof/>
            <w:webHidden/>
          </w:rPr>
          <w:fldChar w:fldCharType="end"/>
        </w:r>
      </w:hyperlink>
    </w:p>
    <w:p w14:paraId="7F1792F5" w14:textId="7945724B" w:rsidR="00946B81" w:rsidRPr="00946B81" w:rsidRDefault="00F71374">
      <w:pPr>
        <w:pStyle w:val="TableofFigures"/>
        <w:tabs>
          <w:tab w:val="right" w:leader="dot" w:pos="9017"/>
        </w:tabs>
        <w:rPr>
          <w:noProof/>
        </w:rPr>
      </w:pPr>
      <w:r>
        <w:fldChar w:fldCharType="end"/>
      </w:r>
      <w:r>
        <w:fldChar w:fldCharType="begin"/>
      </w:r>
      <w:r>
        <w:instrText xml:space="preserve"> TOC \h \z \c "Table F" </w:instrText>
      </w:r>
      <w:r>
        <w:fldChar w:fldCharType="separate"/>
      </w:r>
      <w:hyperlink w:anchor="_Toc211421409" w:history="1">
        <w:r w:rsidR="00946B81" w:rsidRPr="00B6696D">
          <w:rPr>
            <w:rStyle w:val="Hyperlink"/>
            <w:noProof/>
          </w:rPr>
          <w:t>Table F1: Stakeholder Survey Questionnaire</w:t>
        </w:r>
        <w:r w:rsidR="00946B81">
          <w:rPr>
            <w:noProof/>
            <w:webHidden/>
          </w:rPr>
          <w:tab/>
        </w:r>
        <w:r w:rsidR="00946B81">
          <w:rPr>
            <w:noProof/>
            <w:webHidden/>
          </w:rPr>
          <w:fldChar w:fldCharType="begin"/>
        </w:r>
        <w:r w:rsidR="00946B81">
          <w:rPr>
            <w:noProof/>
            <w:webHidden/>
          </w:rPr>
          <w:instrText xml:space="preserve"> PAGEREF _Toc211421409 \h </w:instrText>
        </w:r>
        <w:r w:rsidR="00946B81">
          <w:rPr>
            <w:noProof/>
            <w:webHidden/>
          </w:rPr>
        </w:r>
        <w:r w:rsidR="00946B81">
          <w:rPr>
            <w:noProof/>
            <w:webHidden/>
          </w:rPr>
          <w:fldChar w:fldCharType="separate"/>
        </w:r>
        <w:r w:rsidR="00F6227E">
          <w:rPr>
            <w:noProof/>
            <w:webHidden/>
          </w:rPr>
          <w:t>27</w:t>
        </w:r>
        <w:r w:rsidR="00946B81">
          <w:rPr>
            <w:noProof/>
            <w:webHidden/>
          </w:rPr>
          <w:fldChar w:fldCharType="end"/>
        </w:r>
      </w:hyperlink>
    </w:p>
    <w:p w14:paraId="4E727334" w14:textId="4E9B7312" w:rsidR="00F71374" w:rsidRDefault="00F71374" w:rsidP="004A1D14">
      <w:r>
        <w:fldChar w:fldCharType="end"/>
      </w:r>
    </w:p>
    <w:p w14:paraId="3DD5E800" w14:textId="77777777" w:rsidR="00CE302B" w:rsidRDefault="00CE302B" w:rsidP="00CE302B">
      <w:pPr>
        <w:pStyle w:val="TOCHeading"/>
      </w:pPr>
      <w:r>
        <w:t>Figures</w:t>
      </w:r>
    </w:p>
    <w:p w14:paraId="6C0BD257" w14:textId="15014BAB" w:rsidR="00946B81" w:rsidRDefault="00CE302B">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fldChar w:fldCharType="begin"/>
      </w:r>
      <w:r>
        <w:instrText xml:space="preserve"> TOC \c "Figure" </w:instrText>
      </w:r>
      <w:r>
        <w:fldChar w:fldCharType="separate"/>
      </w:r>
      <w:r w:rsidR="00946B81">
        <w:rPr>
          <w:noProof/>
        </w:rPr>
        <w:t>Figure 1: The fill rate and its underlying intuition</w:t>
      </w:r>
      <w:r w:rsidR="00946B81">
        <w:rPr>
          <w:noProof/>
        </w:rPr>
        <w:tab/>
      </w:r>
      <w:r w:rsidR="00946B81">
        <w:rPr>
          <w:noProof/>
        </w:rPr>
        <w:fldChar w:fldCharType="begin"/>
      </w:r>
      <w:r w:rsidR="00946B81">
        <w:rPr>
          <w:noProof/>
        </w:rPr>
        <w:instrText xml:space="preserve"> PAGEREF _Toc211421412 \h </w:instrText>
      </w:r>
      <w:r w:rsidR="00946B81">
        <w:rPr>
          <w:noProof/>
        </w:rPr>
      </w:r>
      <w:r w:rsidR="00946B81">
        <w:rPr>
          <w:noProof/>
        </w:rPr>
        <w:fldChar w:fldCharType="separate"/>
      </w:r>
      <w:r w:rsidR="00F6227E">
        <w:rPr>
          <w:noProof/>
        </w:rPr>
        <w:t>7</w:t>
      </w:r>
      <w:r w:rsidR="00946B81">
        <w:rPr>
          <w:noProof/>
        </w:rPr>
        <w:fldChar w:fldCharType="end"/>
      </w:r>
    </w:p>
    <w:p w14:paraId="1C91571B" w14:textId="102C449A"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noProof/>
        </w:rPr>
        <w:t>Figure 2: A 3 stage occupation assessment process</w:t>
      </w:r>
      <w:r>
        <w:rPr>
          <w:noProof/>
        </w:rPr>
        <w:tab/>
      </w:r>
      <w:r>
        <w:rPr>
          <w:noProof/>
        </w:rPr>
        <w:fldChar w:fldCharType="begin"/>
      </w:r>
      <w:r>
        <w:rPr>
          <w:noProof/>
        </w:rPr>
        <w:instrText xml:space="preserve"> PAGEREF _Toc211421413 \h </w:instrText>
      </w:r>
      <w:r>
        <w:rPr>
          <w:noProof/>
        </w:rPr>
      </w:r>
      <w:r>
        <w:rPr>
          <w:noProof/>
        </w:rPr>
        <w:fldChar w:fldCharType="separate"/>
      </w:r>
      <w:r w:rsidR="00F6227E">
        <w:rPr>
          <w:noProof/>
        </w:rPr>
        <w:t>8</w:t>
      </w:r>
      <w:r>
        <w:rPr>
          <w:noProof/>
        </w:rPr>
        <w:fldChar w:fldCharType="end"/>
      </w:r>
    </w:p>
    <w:p w14:paraId="0EC77842" w14:textId="6453A7A1"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noProof/>
        </w:rPr>
        <w:t>Figure 3: Variable importance of indicators in the model (2025)</w:t>
      </w:r>
      <w:r>
        <w:rPr>
          <w:noProof/>
        </w:rPr>
        <w:tab/>
      </w:r>
      <w:r>
        <w:rPr>
          <w:noProof/>
        </w:rPr>
        <w:fldChar w:fldCharType="begin"/>
      </w:r>
      <w:r>
        <w:rPr>
          <w:noProof/>
        </w:rPr>
        <w:instrText xml:space="preserve"> PAGEREF _Toc211421414 \h </w:instrText>
      </w:r>
      <w:r>
        <w:rPr>
          <w:noProof/>
        </w:rPr>
      </w:r>
      <w:r>
        <w:rPr>
          <w:noProof/>
        </w:rPr>
        <w:fldChar w:fldCharType="separate"/>
      </w:r>
      <w:r w:rsidR="00F6227E">
        <w:rPr>
          <w:noProof/>
        </w:rPr>
        <w:t>9</w:t>
      </w:r>
      <w:r>
        <w:rPr>
          <w:noProof/>
        </w:rPr>
        <w:fldChar w:fldCharType="end"/>
      </w:r>
    </w:p>
    <w:p w14:paraId="155D4077" w14:textId="164411B0"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Pr>
          <w:noProof/>
        </w:rPr>
        <w:t>Figure 4: Occupation shortage scenarios</w:t>
      </w:r>
      <w:r>
        <w:rPr>
          <w:noProof/>
        </w:rPr>
        <w:tab/>
      </w:r>
      <w:r>
        <w:rPr>
          <w:noProof/>
        </w:rPr>
        <w:fldChar w:fldCharType="begin"/>
      </w:r>
      <w:r>
        <w:rPr>
          <w:noProof/>
        </w:rPr>
        <w:instrText xml:space="preserve"> PAGEREF _Toc211421415 \h </w:instrText>
      </w:r>
      <w:r>
        <w:rPr>
          <w:noProof/>
        </w:rPr>
      </w:r>
      <w:r>
        <w:rPr>
          <w:noProof/>
        </w:rPr>
        <w:fldChar w:fldCharType="separate"/>
      </w:r>
      <w:r w:rsidR="00F6227E">
        <w:rPr>
          <w:noProof/>
        </w:rPr>
        <w:t>12</w:t>
      </w:r>
      <w:r>
        <w:rPr>
          <w:noProof/>
        </w:rPr>
        <w:fldChar w:fldCharType="end"/>
      </w:r>
    </w:p>
    <w:p w14:paraId="30D8EDC6" w14:textId="347A4201" w:rsidR="00946B81" w:rsidRPr="00946B81" w:rsidRDefault="00CE302B">
      <w:pPr>
        <w:pStyle w:val="TableofFigures"/>
        <w:tabs>
          <w:tab w:val="right" w:leader="dot" w:pos="9017"/>
        </w:tabs>
        <w:rPr>
          <w:noProof/>
        </w:rPr>
      </w:pPr>
      <w:r>
        <w:fldChar w:fldCharType="end"/>
      </w:r>
      <w:r w:rsidR="000F52BD">
        <w:fldChar w:fldCharType="begin"/>
      </w:r>
      <w:r w:rsidR="000F52BD">
        <w:instrText xml:space="preserve"> TOC \h \z \c "Figure B" </w:instrText>
      </w:r>
      <w:r w:rsidR="000F52BD">
        <w:fldChar w:fldCharType="separate"/>
      </w:r>
      <w:hyperlink w:anchor="_Toc211421416" w:history="1">
        <w:r w:rsidR="00946B81" w:rsidRPr="00CA193C">
          <w:rPr>
            <w:rStyle w:val="Hyperlink"/>
            <w:noProof/>
          </w:rPr>
          <w:t>Figure B1: One to one occupation match</w:t>
        </w:r>
        <w:r w:rsidR="00946B81">
          <w:rPr>
            <w:noProof/>
            <w:webHidden/>
          </w:rPr>
          <w:tab/>
        </w:r>
        <w:r w:rsidR="00946B81">
          <w:rPr>
            <w:noProof/>
            <w:webHidden/>
          </w:rPr>
          <w:fldChar w:fldCharType="begin"/>
        </w:r>
        <w:r w:rsidR="00946B81">
          <w:rPr>
            <w:noProof/>
            <w:webHidden/>
          </w:rPr>
          <w:instrText xml:space="preserve"> PAGEREF _Toc211421416 \h </w:instrText>
        </w:r>
        <w:r w:rsidR="00946B81">
          <w:rPr>
            <w:noProof/>
            <w:webHidden/>
          </w:rPr>
        </w:r>
        <w:r w:rsidR="00946B81">
          <w:rPr>
            <w:noProof/>
            <w:webHidden/>
          </w:rPr>
          <w:fldChar w:fldCharType="separate"/>
        </w:r>
        <w:r w:rsidR="00F6227E">
          <w:rPr>
            <w:noProof/>
            <w:webHidden/>
          </w:rPr>
          <w:t>20</w:t>
        </w:r>
        <w:r w:rsidR="00946B81">
          <w:rPr>
            <w:noProof/>
            <w:webHidden/>
          </w:rPr>
          <w:fldChar w:fldCharType="end"/>
        </w:r>
      </w:hyperlink>
    </w:p>
    <w:p w14:paraId="0D26A418" w14:textId="0D8BDC59"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421417" w:history="1">
        <w:r w:rsidRPr="00CA193C">
          <w:rPr>
            <w:rStyle w:val="Hyperlink"/>
            <w:noProof/>
          </w:rPr>
          <w:t>Figure B2: One to multiple occupation match</w:t>
        </w:r>
        <w:r>
          <w:rPr>
            <w:noProof/>
            <w:webHidden/>
          </w:rPr>
          <w:tab/>
        </w:r>
        <w:r>
          <w:rPr>
            <w:noProof/>
            <w:webHidden/>
          </w:rPr>
          <w:fldChar w:fldCharType="begin"/>
        </w:r>
        <w:r>
          <w:rPr>
            <w:noProof/>
            <w:webHidden/>
          </w:rPr>
          <w:instrText xml:space="preserve"> PAGEREF _Toc211421417 \h </w:instrText>
        </w:r>
        <w:r>
          <w:rPr>
            <w:noProof/>
            <w:webHidden/>
          </w:rPr>
        </w:r>
        <w:r>
          <w:rPr>
            <w:noProof/>
            <w:webHidden/>
          </w:rPr>
          <w:fldChar w:fldCharType="separate"/>
        </w:r>
        <w:r w:rsidR="00F6227E">
          <w:rPr>
            <w:noProof/>
            <w:webHidden/>
          </w:rPr>
          <w:t>21</w:t>
        </w:r>
        <w:r>
          <w:rPr>
            <w:noProof/>
            <w:webHidden/>
          </w:rPr>
          <w:fldChar w:fldCharType="end"/>
        </w:r>
      </w:hyperlink>
    </w:p>
    <w:p w14:paraId="1E71D40F" w14:textId="5949D6D6" w:rsidR="00946B81" w:rsidRDefault="00946B81">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421418" w:history="1">
        <w:r w:rsidRPr="00CA193C">
          <w:rPr>
            <w:rStyle w:val="Hyperlink"/>
            <w:noProof/>
          </w:rPr>
          <w:t>Figure B3: Multiple to one occupation match</w:t>
        </w:r>
        <w:r>
          <w:rPr>
            <w:noProof/>
            <w:webHidden/>
          </w:rPr>
          <w:tab/>
        </w:r>
        <w:r>
          <w:rPr>
            <w:noProof/>
            <w:webHidden/>
          </w:rPr>
          <w:fldChar w:fldCharType="begin"/>
        </w:r>
        <w:r>
          <w:rPr>
            <w:noProof/>
            <w:webHidden/>
          </w:rPr>
          <w:instrText xml:space="preserve"> PAGEREF _Toc211421418 \h </w:instrText>
        </w:r>
        <w:r>
          <w:rPr>
            <w:noProof/>
            <w:webHidden/>
          </w:rPr>
        </w:r>
        <w:r>
          <w:rPr>
            <w:noProof/>
            <w:webHidden/>
          </w:rPr>
          <w:fldChar w:fldCharType="separate"/>
        </w:r>
        <w:r w:rsidR="00F6227E">
          <w:rPr>
            <w:noProof/>
            <w:webHidden/>
          </w:rPr>
          <w:t>21</w:t>
        </w:r>
        <w:r>
          <w:rPr>
            <w:noProof/>
            <w:webHidden/>
          </w:rPr>
          <w:fldChar w:fldCharType="end"/>
        </w:r>
      </w:hyperlink>
    </w:p>
    <w:p w14:paraId="52320A16" w14:textId="2EDEBF91" w:rsidR="00CE302B" w:rsidRDefault="000F52BD" w:rsidP="00CE302B">
      <w:r>
        <w:fldChar w:fldCharType="end"/>
      </w:r>
    </w:p>
    <w:p w14:paraId="460EC9ED" w14:textId="7B1C205A" w:rsidR="005B0F30" w:rsidRDefault="005B0F30" w:rsidP="005B0F30">
      <w:pPr>
        <w:pStyle w:val="TOCHeading"/>
      </w:pPr>
      <w:r>
        <w:t>Boxes</w:t>
      </w:r>
    </w:p>
    <w:p w14:paraId="20C986B0" w14:textId="6E0B4243" w:rsidR="000C369D" w:rsidRDefault="005B0F3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fldChar w:fldCharType="begin"/>
      </w:r>
      <w:r>
        <w:instrText xml:space="preserve"> TOC \h \z \c "Box" </w:instrText>
      </w:r>
      <w:r>
        <w:fldChar w:fldCharType="separate"/>
      </w:r>
      <w:hyperlink w:anchor="_Toc211425379" w:history="1">
        <w:r w:rsidR="000C369D" w:rsidRPr="00685B98">
          <w:rPr>
            <w:rStyle w:val="Hyperlink"/>
            <w:noProof/>
          </w:rPr>
          <w:t>Box 1: An example of Rule 2 (in Table 6)</w:t>
        </w:r>
        <w:r w:rsidR="000C369D">
          <w:rPr>
            <w:noProof/>
            <w:webHidden/>
          </w:rPr>
          <w:tab/>
        </w:r>
        <w:r w:rsidR="000C369D">
          <w:rPr>
            <w:noProof/>
            <w:webHidden/>
          </w:rPr>
          <w:fldChar w:fldCharType="begin"/>
        </w:r>
        <w:r w:rsidR="000C369D">
          <w:rPr>
            <w:noProof/>
            <w:webHidden/>
          </w:rPr>
          <w:instrText xml:space="preserve"> PAGEREF _Toc211425379 \h </w:instrText>
        </w:r>
        <w:r w:rsidR="000C369D">
          <w:rPr>
            <w:noProof/>
            <w:webHidden/>
          </w:rPr>
        </w:r>
        <w:r w:rsidR="000C369D">
          <w:rPr>
            <w:noProof/>
            <w:webHidden/>
          </w:rPr>
          <w:fldChar w:fldCharType="separate"/>
        </w:r>
        <w:r w:rsidR="00F6227E">
          <w:rPr>
            <w:noProof/>
            <w:webHidden/>
          </w:rPr>
          <w:t>16</w:t>
        </w:r>
        <w:r w:rsidR="000C369D">
          <w:rPr>
            <w:noProof/>
            <w:webHidden/>
          </w:rPr>
          <w:fldChar w:fldCharType="end"/>
        </w:r>
      </w:hyperlink>
    </w:p>
    <w:p w14:paraId="0524D338" w14:textId="6E40D245" w:rsidR="004A1D14" w:rsidRDefault="005B0F30" w:rsidP="00747133">
      <w:r>
        <w:fldChar w:fldCharType="end"/>
      </w:r>
      <w:r w:rsidR="004A1D14">
        <w:br w:type="page"/>
      </w:r>
    </w:p>
    <w:p w14:paraId="213D78C0" w14:textId="58524BCA" w:rsidR="00375A16" w:rsidRDefault="00375A16" w:rsidP="00375A16">
      <w:pPr>
        <w:pStyle w:val="Heading1"/>
      </w:pPr>
      <w:bookmarkStart w:id="0" w:name="_Toc176263235"/>
      <w:bookmarkStart w:id="1" w:name="_Toc211425351"/>
      <w:r>
        <w:lastRenderedPageBreak/>
        <w:t>O</w:t>
      </w:r>
      <w:bookmarkEnd w:id="0"/>
      <w:r>
        <w:t>verview</w:t>
      </w:r>
      <w:bookmarkEnd w:id="1"/>
    </w:p>
    <w:p w14:paraId="33999897" w14:textId="76FDA197" w:rsidR="00375A16" w:rsidRDefault="00375A16" w:rsidP="00375A16">
      <w:pPr>
        <w:pStyle w:val="Heading2"/>
      </w:pPr>
      <w:bookmarkStart w:id="2" w:name="_Toc211425352"/>
      <w:r>
        <w:t>Introduction</w:t>
      </w:r>
      <w:bookmarkEnd w:id="2"/>
    </w:p>
    <w:p w14:paraId="32A88A0B" w14:textId="6A2CA823" w:rsidR="00375A16" w:rsidRPr="00731363" w:rsidRDefault="00375A16" w:rsidP="00731363">
      <w:pPr>
        <w:pStyle w:val="BodyText"/>
      </w:pPr>
      <w:r w:rsidRPr="00731363">
        <w:t xml:space="preserve">The Occupation Shortage List (OSL), produced by Jobs and Skills Australia, provides a list of occupations in shortage at the national level </w:t>
      </w:r>
      <w:r w:rsidR="002702A5">
        <w:t>and</w:t>
      </w:r>
      <w:r w:rsidRPr="00731363">
        <w:t xml:space="preserve"> in each state and territory. The OSL is released annually and as a point-in-time assessment of occupations. </w:t>
      </w:r>
    </w:p>
    <w:p w14:paraId="06C484D7" w14:textId="261750C2" w:rsidR="00375A16" w:rsidRPr="002F5F0C" w:rsidRDefault="00C26FD0" w:rsidP="002F5F0C">
      <w:pPr>
        <w:pStyle w:val="BodyText"/>
      </w:pPr>
      <w:r w:rsidRPr="002F5F0C">
        <w:t>T</w:t>
      </w:r>
      <w:r w:rsidR="00375A16" w:rsidRPr="002F5F0C">
        <w:t>he methodology used to assess occupations and produce the 2025 OSL ratings</w:t>
      </w:r>
      <w:r w:rsidRPr="002F5F0C">
        <w:t xml:space="preserve"> are </w:t>
      </w:r>
      <w:r w:rsidR="00651950" w:rsidRPr="002F5F0C">
        <w:t>explained in this report</w:t>
      </w:r>
      <w:r w:rsidR="00375A16" w:rsidRPr="002F5F0C">
        <w:t xml:space="preserve">. </w:t>
      </w:r>
      <w:r w:rsidR="002F5F0C" w:rsidRPr="002F5F0C">
        <w:t xml:space="preserve">The purpose of this </w:t>
      </w:r>
      <w:r w:rsidR="002F5F0C">
        <w:t xml:space="preserve">report is to </w:t>
      </w:r>
      <w:r w:rsidR="002F5F0C" w:rsidRPr="002F5F0C">
        <w:t xml:space="preserve">provide </w:t>
      </w:r>
      <w:r w:rsidR="002F5F0C">
        <w:t xml:space="preserve">readers </w:t>
      </w:r>
      <w:r w:rsidR="002F5F0C" w:rsidRPr="002F5F0C">
        <w:t xml:space="preserve">transparency </w:t>
      </w:r>
      <w:r w:rsidR="002F5F0C">
        <w:t xml:space="preserve">on how the OSL is produced and </w:t>
      </w:r>
      <w:r w:rsidR="00F92CFC">
        <w:t xml:space="preserve">data sources and information </w:t>
      </w:r>
      <w:r w:rsidR="008F08B3">
        <w:t xml:space="preserve">used in </w:t>
      </w:r>
      <w:r w:rsidR="00F92CFC">
        <w:t>occupation</w:t>
      </w:r>
      <w:r w:rsidR="008F08B3">
        <w:t xml:space="preserve"> assessments</w:t>
      </w:r>
      <w:r w:rsidR="00F92CFC">
        <w:t xml:space="preserve">. </w:t>
      </w:r>
    </w:p>
    <w:p w14:paraId="2BA7F9F3" w14:textId="77777777" w:rsidR="00375A16" w:rsidRPr="00E53A43" w:rsidRDefault="00375A16" w:rsidP="00375A16">
      <w:pPr>
        <w:pStyle w:val="Heading2"/>
      </w:pPr>
      <w:bookmarkStart w:id="3" w:name="_Toc344665674"/>
      <w:bookmarkStart w:id="4" w:name="_Toc142582072"/>
      <w:bookmarkStart w:id="5" w:name="_Toc204771871"/>
      <w:bookmarkStart w:id="6" w:name="_Toc211425353"/>
      <w:r w:rsidRPr="00E53A43">
        <w:t>How the OSL is used</w:t>
      </w:r>
      <w:bookmarkEnd w:id="3"/>
      <w:bookmarkEnd w:id="4"/>
      <w:bookmarkEnd w:id="5"/>
      <w:bookmarkEnd w:id="6"/>
    </w:p>
    <w:p w14:paraId="15169F7B" w14:textId="4FC9C68D" w:rsidR="00375A16" w:rsidRPr="00E53A43" w:rsidRDefault="00375A16" w:rsidP="00375A16">
      <w:pPr>
        <w:pStyle w:val="BodyText"/>
      </w:pPr>
      <w:r w:rsidRPr="00E53A43">
        <w:t xml:space="preserve">The OSL is a key source of labour market intelligence. </w:t>
      </w:r>
      <w:r>
        <w:t xml:space="preserve">Insights from the OSL, </w:t>
      </w:r>
      <w:r w:rsidRPr="00E53A43">
        <w:t>with other analytical outputs</w:t>
      </w:r>
      <w:r>
        <w:t>,</w:t>
      </w:r>
      <w:r w:rsidRPr="00E53A43">
        <w:t xml:space="preserve"> produced by Jobs and Skills Australia, </w:t>
      </w:r>
      <w:r>
        <w:t xml:space="preserve">can </w:t>
      </w:r>
      <w:r w:rsidRPr="00E53A43">
        <w:t xml:space="preserve">inform advice on </w:t>
      </w:r>
      <w:r>
        <w:t xml:space="preserve">labour market </w:t>
      </w:r>
      <w:r w:rsidRPr="00E53A43">
        <w:t>polic</w:t>
      </w:r>
      <w:r w:rsidR="0094332B">
        <w:t>ies</w:t>
      </w:r>
      <w:r w:rsidRPr="00E53A43">
        <w:t xml:space="preserve"> and program</w:t>
      </w:r>
      <w:r w:rsidR="0094332B">
        <w:t>s</w:t>
      </w:r>
      <w:r w:rsidRPr="00E53A43">
        <w:t xml:space="preserve">. </w:t>
      </w:r>
    </w:p>
    <w:p w14:paraId="1FF0FE30" w14:textId="2A403998" w:rsidR="00375A16" w:rsidRDefault="00531E1A" w:rsidP="00375A16">
      <w:pPr>
        <w:pStyle w:val="BodyText"/>
      </w:pPr>
      <w:r>
        <w:t>Moreover</w:t>
      </w:r>
      <w:r w:rsidR="00375A16">
        <w:t xml:space="preserve">, the </w:t>
      </w:r>
      <w:r w:rsidR="00FD27B8">
        <w:t>OSL</w:t>
      </w:r>
      <w:r w:rsidR="00375A16">
        <w:t xml:space="preserve"> time</w:t>
      </w:r>
      <w:r w:rsidR="0027271A">
        <w:t xml:space="preserve"> </w:t>
      </w:r>
      <w:r w:rsidR="00375A16">
        <w:t xml:space="preserve">series may </w:t>
      </w:r>
      <w:r w:rsidR="00375A16" w:rsidRPr="00E53A43">
        <w:t>enable researchers and policy makers to distinguish between occupations that experience persistent shortages and those affected by economic fluctuations. This insight may</w:t>
      </w:r>
      <w:r>
        <w:t xml:space="preserve"> further</w:t>
      </w:r>
      <w:r w:rsidR="00375A16" w:rsidRPr="00E53A43">
        <w:t xml:space="preserve"> inform the development of </w:t>
      </w:r>
      <w:r w:rsidR="00375A16">
        <w:t xml:space="preserve">targeted solutions to shortages in the labour market. </w:t>
      </w:r>
    </w:p>
    <w:p w14:paraId="39306C39" w14:textId="77777777" w:rsidR="00375A16" w:rsidRDefault="00375A16" w:rsidP="00375A16">
      <w:pPr>
        <w:pStyle w:val="Heading2"/>
      </w:pPr>
      <w:bookmarkStart w:id="7" w:name="_Toc204771872"/>
      <w:bookmarkStart w:id="8" w:name="_Toc211425354"/>
      <w:r w:rsidRPr="00E53A43">
        <w:t>Scope and granularity</w:t>
      </w:r>
      <w:bookmarkEnd w:id="7"/>
      <w:bookmarkEnd w:id="8"/>
    </w:p>
    <w:p w14:paraId="01E301AE" w14:textId="77777777" w:rsidR="00375A16" w:rsidRDefault="00375A16" w:rsidP="00BE3793">
      <w:pPr>
        <w:pStyle w:val="BodyText"/>
      </w:pPr>
      <w:r w:rsidRPr="00E53A43">
        <w:t xml:space="preserve">The </w:t>
      </w:r>
      <w:r>
        <w:t xml:space="preserve">2025 </w:t>
      </w:r>
      <w:r w:rsidRPr="00E53A43">
        <w:t xml:space="preserve">OSL </w:t>
      </w:r>
      <w:r>
        <w:t xml:space="preserve">is available on both the Australian Bureau of Statistics (ABS): </w:t>
      </w:r>
    </w:p>
    <w:p w14:paraId="7CC41DC4" w14:textId="77777777" w:rsidR="00375A16" w:rsidRDefault="00375A16" w:rsidP="00375A16">
      <w:pPr>
        <w:pStyle w:val="ListBullet"/>
      </w:pPr>
      <w:r>
        <w:t xml:space="preserve">2024 </w:t>
      </w:r>
      <w:r w:rsidRPr="00E53A43">
        <w:t>Occupation Standard Classification for Australia (OSCA)</w:t>
      </w:r>
      <w:r>
        <w:t xml:space="preserve"> </w:t>
      </w:r>
    </w:p>
    <w:p w14:paraId="0AB6D2D5" w14:textId="77777777" w:rsidR="00375A16" w:rsidRDefault="00375A16" w:rsidP="00375A16">
      <w:pPr>
        <w:pStyle w:val="ListBullet"/>
      </w:pPr>
      <w:r>
        <w:t xml:space="preserve">2022 </w:t>
      </w:r>
      <w:r w:rsidRPr="008B783B">
        <w:t>Australian and New Zealand Standard Classification of Occupations</w:t>
      </w:r>
      <w:r w:rsidRPr="00E53A43">
        <w:t xml:space="preserve"> (ANZSCO)</w:t>
      </w:r>
      <w:r>
        <w:t>.</w:t>
      </w:r>
      <w:r w:rsidRPr="00E53A43">
        <w:rPr>
          <w:rStyle w:val="FootnoteReference"/>
        </w:rPr>
        <w:footnoteReference w:id="1"/>
      </w:r>
    </w:p>
    <w:p w14:paraId="5FB49D37" w14:textId="00AAB58A" w:rsidR="002F249F" w:rsidRDefault="00375A16" w:rsidP="0064281C">
      <w:pPr>
        <w:pStyle w:val="BodyText"/>
      </w:pPr>
      <w:r w:rsidRPr="001179DF">
        <w:t>Only skill levels 1 to 4 (as defined by OSCA and ANZSCO) are in scope of the OSL</w:t>
      </w:r>
      <w:r w:rsidR="0027627D">
        <w:t xml:space="preserve"> </w:t>
      </w:r>
      <w:r w:rsidRPr="001179DF">
        <w:t>because of the</w:t>
      </w:r>
      <w:r w:rsidR="0027627D">
        <w:t>ir</w:t>
      </w:r>
      <w:r w:rsidRPr="001179DF">
        <w:t xml:space="preserve"> stronger links to </w:t>
      </w:r>
      <w:r w:rsidR="00D21632">
        <w:t xml:space="preserve">tertiary </w:t>
      </w:r>
      <w:r w:rsidRPr="001179DF">
        <w:t>education and training. Occupations</w:t>
      </w:r>
      <w:r w:rsidR="005E54C1">
        <w:t xml:space="preserve"> that are</w:t>
      </w:r>
      <w:r w:rsidRPr="001179DF">
        <w:t xml:space="preserve"> in shortage for several years, particularly those where qualifications are mandatory, have implications for the </w:t>
      </w:r>
      <w:r w:rsidR="00EC4B69">
        <w:t xml:space="preserve">Australian </w:t>
      </w:r>
      <w:r w:rsidRPr="001179DF">
        <w:t>education and training sector.</w:t>
      </w:r>
    </w:p>
    <w:p w14:paraId="41A09C88" w14:textId="77777777" w:rsidR="005704A9" w:rsidRDefault="005704A9">
      <w:pPr>
        <w:spacing w:before="0" w:after="200" w:line="276" w:lineRule="auto"/>
      </w:pPr>
      <w:r>
        <w:br w:type="page"/>
      </w:r>
    </w:p>
    <w:p w14:paraId="2AD92651" w14:textId="26590EFC" w:rsidR="00375A16" w:rsidRPr="001179DF" w:rsidRDefault="00375A16" w:rsidP="001179DF">
      <w:pPr>
        <w:pStyle w:val="BodyText"/>
      </w:pPr>
      <w:r w:rsidRPr="001179DF">
        <w:lastRenderedPageBreak/>
        <w:t>Several occupations are excluded from the OSL scope:</w:t>
      </w:r>
    </w:p>
    <w:p w14:paraId="679FC7AB" w14:textId="700637C1" w:rsidR="00375A16" w:rsidRPr="00E53A43" w:rsidRDefault="00375A16" w:rsidP="00375A16">
      <w:pPr>
        <w:pStyle w:val="ListBullet"/>
      </w:pPr>
      <w:r w:rsidRPr="00E53A43">
        <w:t>Skill Level 5 occupations</w:t>
      </w:r>
      <w:r w:rsidR="00724CAA">
        <w:rPr>
          <w:rStyle w:val="FootnoteReference"/>
        </w:rPr>
        <w:footnoteReference w:id="2"/>
      </w:r>
      <w:r w:rsidRPr="00E53A43">
        <w:t xml:space="preserve"> </w:t>
      </w:r>
    </w:p>
    <w:p w14:paraId="77BBC794" w14:textId="3995D003" w:rsidR="00375A16" w:rsidRPr="00E53A43" w:rsidRDefault="00375A16" w:rsidP="00375A16">
      <w:pPr>
        <w:pStyle w:val="ListBullet"/>
      </w:pPr>
      <w:r w:rsidRPr="00E53A43">
        <w:t>New Zealand-based occupations</w:t>
      </w:r>
      <w:r w:rsidR="00724CAA">
        <w:rPr>
          <w:rStyle w:val="FootnoteReference"/>
        </w:rPr>
        <w:footnoteReference w:id="3"/>
      </w:r>
    </w:p>
    <w:p w14:paraId="79E47E82" w14:textId="6B6938BD" w:rsidR="00375A16" w:rsidRPr="00E53A43" w:rsidRDefault="00375A16" w:rsidP="00724CAA">
      <w:pPr>
        <w:pStyle w:val="ListBullet"/>
      </w:pPr>
      <w:r w:rsidRPr="00724CAA">
        <w:t>Occupations where the labour market is not open and contestable</w:t>
      </w:r>
      <w:r w:rsidR="004F5F14">
        <w:t>.</w:t>
      </w:r>
      <w:r w:rsidR="00724CAA">
        <w:rPr>
          <w:rStyle w:val="FootnoteReference"/>
        </w:rPr>
        <w:footnoteReference w:id="4"/>
      </w:r>
      <w:bookmarkStart w:id="9" w:name="_Hlk103753376"/>
    </w:p>
    <w:p w14:paraId="4DD64A45" w14:textId="611BC979" w:rsidR="00375A16" w:rsidRPr="0090321E" w:rsidRDefault="00375A16" w:rsidP="0090321E">
      <w:pPr>
        <w:pStyle w:val="BodyText"/>
      </w:pPr>
      <w:r w:rsidRPr="0090321E">
        <w:t xml:space="preserve">The full list of excluded occupations is in </w:t>
      </w:r>
      <w:r w:rsidR="003224AD">
        <w:fldChar w:fldCharType="begin"/>
      </w:r>
      <w:r w:rsidR="003224AD">
        <w:instrText xml:space="preserve"> REF _Ref207568947 \h </w:instrText>
      </w:r>
      <w:r w:rsidR="003224AD">
        <w:fldChar w:fldCharType="separate"/>
      </w:r>
      <w:r w:rsidR="00F6227E">
        <w:t xml:space="preserve">Appendix </w:t>
      </w:r>
      <w:r w:rsidR="00F6227E">
        <w:rPr>
          <w:noProof/>
        </w:rPr>
        <w:t>A</w:t>
      </w:r>
      <w:r w:rsidR="003224AD">
        <w:fldChar w:fldCharType="end"/>
      </w:r>
      <w:r w:rsidRPr="0090321E">
        <w:t>.</w:t>
      </w:r>
    </w:p>
    <w:p w14:paraId="6CE5D135" w14:textId="6290F01D" w:rsidR="00375A16" w:rsidRPr="0090321E" w:rsidRDefault="00375A16" w:rsidP="0090321E">
      <w:pPr>
        <w:pStyle w:val="BodyText"/>
      </w:pPr>
      <w:r>
        <w:t>Jobs and Skills Australia assess occupations at the national level</w:t>
      </w:r>
      <w:r w:rsidR="00867810">
        <w:t xml:space="preserve"> only</w:t>
      </w:r>
      <w:r>
        <w:t xml:space="preserve">. </w:t>
      </w:r>
      <w:r w:rsidR="00465FB4">
        <w:t>S</w:t>
      </w:r>
      <w:r>
        <w:t xml:space="preserve">tate and territory ratings (state) are primarily based on feedback from </w:t>
      </w:r>
      <w:r w:rsidR="00937F00">
        <w:t>stakeholders</w:t>
      </w:r>
      <w:r w:rsidR="00BC71B0">
        <w:t>, particu</w:t>
      </w:r>
      <w:r w:rsidR="00010366">
        <w:t>l</w:t>
      </w:r>
      <w:r w:rsidR="00BC71B0">
        <w:t>arly where these differ from the national rating</w:t>
      </w:r>
      <w:r>
        <w:t>.</w:t>
      </w:r>
      <w:r>
        <w:rPr>
          <w:rStyle w:val="FootnoteReference"/>
        </w:rPr>
        <w:footnoteReference w:id="5"/>
      </w:r>
      <w:r>
        <w:t xml:space="preserve"> </w:t>
      </w:r>
      <w:bookmarkStart w:id="10" w:name="_Hlk103753558"/>
      <w:bookmarkEnd w:id="9"/>
    </w:p>
    <w:p w14:paraId="25F94273" w14:textId="77777777" w:rsidR="00375A16" w:rsidRPr="00E53A43" w:rsidRDefault="00375A16" w:rsidP="00375A16">
      <w:pPr>
        <w:pStyle w:val="Heading2"/>
      </w:pPr>
      <w:bookmarkStart w:id="11" w:name="_Toc204771874"/>
      <w:bookmarkStart w:id="12" w:name="_Toc211425355"/>
      <w:bookmarkEnd w:id="10"/>
      <w:r w:rsidRPr="00E53A43">
        <w:t>Caveats</w:t>
      </w:r>
      <w:bookmarkEnd w:id="11"/>
      <w:bookmarkEnd w:id="12"/>
      <w:r w:rsidRPr="00E53A43">
        <w:t xml:space="preserve"> </w:t>
      </w:r>
    </w:p>
    <w:p w14:paraId="60D63876" w14:textId="0D618AA7" w:rsidR="00BF342E" w:rsidRPr="0090321E" w:rsidRDefault="00BF342E" w:rsidP="0090321E">
      <w:pPr>
        <w:pStyle w:val="BodyText"/>
      </w:pPr>
      <w:bookmarkStart w:id="13" w:name="_Hlk210827431"/>
      <w:r w:rsidRPr="0090321E">
        <w:t xml:space="preserve">Occupation assessments are dependent on the quality </w:t>
      </w:r>
      <w:r w:rsidR="00EA3DD7">
        <w:t xml:space="preserve">and availability </w:t>
      </w:r>
      <w:r w:rsidRPr="0090321E">
        <w:t>of evidence available</w:t>
      </w:r>
      <w:r w:rsidR="00F0156D">
        <w:t>,</w:t>
      </w:r>
      <w:r w:rsidRPr="0090321E">
        <w:t xml:space="preserve"> </w:t>
      </w:r>
      <w:r w:rsidR="00F0156D">
        <w:t xml:space="preserve">both </w:t>
      </w:r>
      <w:r w:rsidRPr="0090321E">
        <w:t>quantitative and qualitative, including in</w:t>
      </w:r>
      <w:r w:rsidR="001C3144">
        <w:t>put from</w:t>
      </w:r>
      <w:r w:rsidRPr="0090321E">
        <w:t xml:space="preserve"> stakeholders.</w:t>
      </w:r>
      <w:r w:rsidR="00521FD6">
        <w:t xml:space="preserve"> </w:t>
      </w:r>
      <w:r w:rsidRPr="0090321E">
        <w:t xml:space="preserve">There are additional caveats: </w:t>
      </w:r>
    </w:p>
    <w:p w14:paraId="1540F8E9" w14:textId="7210D339" w:rsidR="00BF342E" w:rsidRPr="0090321E" w:rsidRDefault="00BF342E" w:rsidP="0090321E">
      <w:pPr>
        <w:pStyle w:val="ListBullet"/>
      </w:pPr>
      <w:r w:rsidRPr="0090321E">
        <w:t xml:space="preserve">The analysis is </w:t>
      </w:r>
      <w:r w:rsidR="00ED6CFD">
        <w:t xml:space="preserve">initially </w:t>
      </w:r>
      <w:r w:rsidRPr="0090321E">
        <w:t>based on ANZSCO, which does not identify all job</w:t>
      </w:r>
      <w:r w:rsidR="00DC6BD7">
        <w:t xml:space="preserve"> titles</w:t>
      </w:r>
      <w:r w:rsidRPr="0090321E">
        <w:t xml:space="preserve"> in the labour market separately that employers seek skilled workers for. </w:t>
      </w:r>
    </w:p>
    <w:p w14:paraId="7899C7A6" w14:textId="0A843882" w:rsidR="00BF342E" w:rsidRPr="0090321E" w:rsidRDefault="00BF342E" w:rsidP="0090321E">
      <w:pPr>
        <w:pStyle w:val="ListBullet"/>
      </w:pPr>
      <w:r w:rsidRPr="0090321E">
        <w:t>There are time</w:t>
      </w:r>
      <w:r w:rsidR="00E3113C">
        <w:t xml:space="preserve"> </w:t>
      </w:r>
      <w:r w:rsidRPr="0090321E">
        <w:t xml:space="preserve">lags in the data inputs. Some </w:t>
      </w:r>
      <w:r w:rsidR="004E3BDA">
        <w:t>sources</w:t>
      </w:r>
      <w:r w:rsidR="004E3BDA" w:rsidRPr="0090321E">
        <w:t xml:space="preserve"> </w:t>
      </w:r>
      <w:r w:rsidRPr="0090321E">
        <w:t xml:space="preserve">have a </w:t>
      </w:r>
      <w:r w:rsidR="00E82D5B">
        <w:t>one</w:t>
      </w:r>
      <w:r w:rsidR="00E3113C">
        <w:t xml:space="preserve"> </w:t>
      </w:r>
      <w:r w:rsidRPr="0090321E">
        <w:t xml:space="preserve">month lag, while others </w:t>
      </w:r>
      <w:r w:rsidR="00ED724B">
        <w:t>may be delayed</w:t>
      </w:r>
      <w:r w:rsidR="00ED724B" w:rsidRPr="0090321E">
        <w:t xml:space="preserve"> </w:t>
      </w:r>
      <w:r w:rsidR="00ED724B">
        <w:t>by</w:t>
      </w:r>
      <w:r w:rsidR="00AD7E9D">
        <w:t xml:space="preserve"> </w:t>
      </w:r>
      <w:r w:rsidRPr="0090321E">
        <w:t>3 to 6 months or</w:t>
      </w:r>
      <w:r w:rsidR="00E54C0E">
        <w:t xml:space="preserve"> even up to</w:t>
      </w:r>
      <w:r w:rsidRPr="0090321E">
        <w:t xml:space="preserve"> a year.</w:t>
      </w:r>
    </w:p>
    <w:p w14:paraId="3E8D36AC" w14:textId="0F29F679" w:rsidR="00BF342E" w:rsidRPr="0090321E" w:rsidRDefault="00BF342E" w:rsidP="0090321E">
      <w:pPr>
        <w:pStyle w:val="ListBullet"/>
      </w:pPr>
      <w:r w:rsidRPr="0090321E">
        <w:t xml:space="preserve">The OSL is a point-in-time assessment of occupations in the labour market and is not forward looking. </w:t>
      </w:r>
    </w:p>
    <w:p w14:paraId="4A7738A1" w14:textId="10275DE9" w:rsidR="00BF342E" w:rsidRPr="0090321E" w:rsidRDefault="00BF342E" w:rsidP="0090321E">
      <w:pPr>
        <w:pStyle w:val="ListBullet"/>
      </w:pPr>
      <w:r w:rsidRPr="0090321E">
        <w:t>The OSL is an employer-focused view of shortages and is driven by data on employers’ recruitment activity</w:t>
      </w:r>
      <w:r w:rsidR="00692EDF">
        <w:t xml:space="preserve">. </w:t>
      </w:r>
    </w:p>
    <w:p w14:paraId="5AC451A7" w14:textId="2EFB3B15" w:rsidR="00BF342E" w:rsidRPr="0090321E" w:rsidRDefault="00BF342E" w:rsidP="0090321E">
      <w:pPr>
        <w:pStyle w:val="ListBullet"/>
      </w:pPr>
      <w:r w:rsidRPr="0090321E">
        <w:t>The binary</w:t>
      </w:r>
      <w:r w:rsidR="006654E1">
        <w:t>-like</w:t>
      </w:r>
      <w:r w:rsidRPr="0090321E">
        <w:t xml:space="preserve"> classification of the occupations in scope (shortage or no shortage) does not </w:t>
      </w:r>
      <w:r w:rsidR="009F6F89">
        <w:t>reflect</w:t>
      </w:r>
      <w:r w:rsidR="009F6F89" w:rsidRPr="0090321E">
        <w:t xml:space="preserve"> </w:t>
      </w:r>
      <w:r w:rsidRPr="0090321E">
        <w:t>the severity of shortage</w:t>
      </w:r>
      <w:r w:rsidR="002C4988">
        <w:t>s</w:t>
      </w:r>
      <w:r w:rsidRPr="0090321E">
        <w:t>.</w:t>
      </w:r>
      <w:r w:rsidR="00201C47">
        <w:t xml:space="preserve"> Further, </w:t>
      </w:r>
      <w:r w:rsidR="006654E1">
        <w:t xml:space="preserve">the classification does not </w:t>
      </w:r>
      <w:r w:rsidR="000234B5">
        <w:t xml:space="preserve">clearly show the </w:t>
      </w:r>
      <w:r w:rsidR="004B0BA7">
        <w:t>transition</w:t>
      </w:r>
      <w:r w:rsidR="009A7392">
        <w:t>, over</w:t>
      </w:r>
      <w:r w:rsidR="006F4C3E">
        <w:t xml:space="preserve"> </w:t>
      </w:r>
      <w:r w:rsidR="009A7392">
        <w:t>time,</w:t>
      </w:r>
      <w:r w:rsidR="004B0BA7">
        <w:t xml:space="preserve"> of occupations to</w:t>
      </w:r>
      <w:r w:rsidR="000234B5">
        <w:t>ward or away from a shortage</w:t>
      </w:r>
      <w:r w:rsidR="009A7392">
        <w:t>.</w:t>
      </w:r>
      <w:r w:rsidR="000234B5">
        <w:t xml:space="preserve"> </w:t>
      </w:r>
    </w:p>
    <w:p w14:paraId="1AE99300" w14:textId="4DBBBFA0" w:rsidR="00BF342E" w:rsidRPr="00E53A43" w:rsidRDefault="00BF342E" w:rsidP="00BF342E">
      <w:pPr>
        <w:pStyle w:val="Heading2"/>
      </w:pPr>
      <w:bookmarkStart w:id="14" w:name="_Toc204771875"/>
      <w:bookmarkStart w:id="15" w:name="_Toc211425356"/>
      <w:bookmarkEnd w:id="13"/>
      <w:r w:rsidRPr="00E53A43">
        <w:t>Occupation shortage definition</w:t>
      </w:r>
      <w:bookmarkEnd w:id="14"/>
      <w:bookmarkEnd w:id="15"/>
    </w:p>
    <w:p w14:paraId="52627C69" w14:textId="408D7C5A" w:rsidR="00BF342E" w:rsidRPr="00E53A43" w:rsidRDefault="00BF342E" w:rsidP="00572E3B">
      <w:pPr>
        <w:pStyle w:val="BodyText"/>
      </w:pPr>
      <w:r w:rsidRPr="00E53A43">
        <w:t xml:space="preserve">Jobs and Skills Australia </w:t>
      </w:r>
      <w:r w:rsidR="00006CC8">
        <w:t>defines an occupation</w:t>
      </w:r>
      <w:r>
        <w:t xml:space="preserve"> as being in shortage when</w:t>
      </w:r>
      <w:r w:rsidRPr="00E53A43">
        <w:t xml:space="preserve"> </w:t>
      </w:r>
      <w:r w:rsidRPr="00DF1599">
        <w:t xml:space="preserve">employers are </w:t>
      </w:r>
      <w:r w:rsidRPr="008B783B">
        <w:t>unable to fill</w:t>
      </w:r>
      <w:r w:rsidR="00572E3B">
        <w:t xml:space="preserve"> vacancies</w:t>
      </w:r>
      <w:r w:rsidRPr="008B783B">
        <w:t xml:space="preserve">, </w:t>
      </w:r>
      <w:r w:rsidR="00572E3B">
        <w:t>face</w:t>
      </w:r>
      <w:r w:rsidR="00572E3B" w:rsidRPr="008B783B">
        <w:t xml:space="preserve"> </w:t>
      </w:r>
      <w:r w:rsidRPr="008B783B">
        <w:t>considerable difficulty filling</w:t>
      </w:r>
      <w:r w:rsidR="00572E3B">
        <w:t xml:space="preserve"> them</w:t>
      </w:r>
      <w:r w:rsidR="008D307E">
        <w:t>,</w:t>
      </w:r>
      <w:r w:rsidRPr="008B783B">
        <w:t xml:space="preserve"> or cannot meet significant specialised skill needs</w:t>
      </w:r>
      <w:r w:rsidRPr="00DF1599">
        <w:t xml:space="preserve"> within </w:t>
      </w:r>
      <w:r w:rsidR="00644EAC" w:rsidRPr="00DF1599">
        <w:t>th</w:t>
      </w:r>
      <w:r w:rsidR="00644EAC">
        <w:t>e</w:t>
      </w:r>
      <w:r w:rsidR="00644EAC" w:rsidRPr="00DF1599">
        <w:t xml:space="preserve"> </w:t>
      </w:r>
      <w:r w:rsidRPr="00DF1599">
        <w:t>occupation</w:t>
      </w:r>
      <w:r w:rsidR="00B50193">
        <w:t xml:space="preserve"> under the following conditions:</w:t>
      </w:r>
    </w:p>
    <w:p w14:paraId="274BB2EB" w14:textId="776678DC" w:rsidR="00BF342E" w:rsidRPr="00BD5FB3" w:rsidRDefault="009060F0" w:rsidP="00BD5FB3">
      <w:pPr>
        <w:pStyle w:val="ListBullet"/>
      </w:pPr>
      <w:r>
        <w:t>A</w:t>
      </w:r>
      <w:r w:rsidRPr="00BD5FB3">
        <w:t xml:space="preserve">t </w:t>
      </w:r>
      <w:r w:rsidR="00BF342E" w:rsidRPr="00BD5FB3">
        <w:t>current levels of remuneration</w:t>
      </w:r>
    </w:p>
    <w:p w14:paraId="1E1BB4FE" w14:textId="70FC27FD" w:rsidR="00BF342E" w:rsidRPr="00BD5FB3" w:rsidRDefault="009060F0" w:rsidP="00BD5FB3">
      <w:pPr>
        <w:pStyle w:val="ListBullet"/>
      </w:pPr>
      <w:r>
        <w:t>A</w:t>
      </w:r>
      <w:r w:rsidRPr="00BD5FB3">
        <w:t xml:space="preserve">t </w:t>
      </w:r>
      <w:r w:rsidR="00BF342E" w:rsidRPr="00BD5FB3">
        <w:t xml:space="preserve">current conditions of employment </w:t>
      </w:r>
    </w:p>
    <w:p w14:paraId="27FB4306" w14:textId="233BE87C" w:rsidR="00BF342E" w:rsidRPr="00BD5FB3" w:rsidRDefault="009060F0" w:rsidP="00BD5FB3">
      <w:pPr>
        <w:pStyle w:val="ListBullet"/>
      </w:pPr>
      <w:r>
        <w:t>I</w:t>
      </w:r>
      <w:r w:rsidRPr="00BD5FB3">
        <w:t xml:space="preserve">n </w:t>
      </w:r>
      <w:r w:rsidR="00BF342E" w:rsidRPr="00BD5FB3">
        <w:t>reasonably accessible locations.</w:t>
      </w:r>
    </w:p>
    <w:p w14:paraId="6D471358" w14:textId="688C032C" w:rsidR="00BF342E" w:rsidRPr="00E53A43" w:rsidRDefault="00BF342E" w:rsidP="0064281C">
      <w:pPr>
        <w:spacing w:before="0" w:after="200" w:line="276" w:lineRule="auto"/>
      </w:pPr>
      <w:r w:rsidRPr="00E53A43">
        <w:lastRenderedPageBreak/>
        <w:t>Based on this definition, the primary measure of an occupational shortage is the</w:t>
      </w:r>
      <w:r w:rsidR="00F37530">
        <w:t xml:space="preserve"> fill rate</w:t>
      </w:r>
      <w:r w:rsidR="00FC7A01">
        <w:t xml:space="preserve"> </w:t>
      </w:r>
      <w:r w:rsidR="00C92F4B">
        <w:t>–</w:t>
      </w:r>
      <w:r w:rsidR="00FC7A01">
        <w:t xml:space="preserve"> </w:t>
      </w:r>
      <w:r w:rsidRPr="00E53A43">
        <w:t xml:space="preserve">the </w:t>
      </w:r>
      <w:r w:rsidRPr="00BF342E">
        <w:t>proportion of vacancies that</w:t>
      </w:r>
      <w:r w:rsidR="001B7942">
        <w:t xml:space="preserve"> employers</w:t>
      </w:r>
      <w:r w:rsidRPr="00BF342E">
        <w:t xml:space="preserve"> </w:t>
      </w:r>
      <w:r w:rsidR="001A28FC" w:rsidRPr="00BF342E">
        <w:t>can</w:t>
      </w:r>
      <w:r w:rsidRPr="00BF342E">
        <w:t xml:space="preserve"> fill</w:t>
      </w:r>
      <w:r w:rsidRPr="00E53A43">
        <w:t xml:space="preserve">. </w:t>
      </w:r>
      <w:r>
        <w:t xml:space="preserve">The metric has a simple intuition: </w:t>
      </w:r>
    </w:p>
    <w:p w14:paraId="5ABE12D3" w14:textId="4698314C" w:rsidR="00BF342E" w:rsidRPr="0099233A" w:rsidRDefault="00BF342E" w:rsidP="0099233A">
      <w:pPr>
        <w:pStyle w:val="ListBullet"/>
      </w:pPr>
      <w:r w:rsidRPr="0099233A">
        <w:t xml:space="preserve">Lower fill rates imply greater difficulty </w:t>
      </w:r>
      <w:r w:rsidR="002925F2">
        <w:t xml:space="preserve">for </w:t>
      </w:r>
      <w:r w:rsidR="002925F2" w:rsidRPr="0099233A">
        <w:t>employer</w:t>
      </w:r>
      <w:r w:rsidR="00C93BFC">
        <w:t>s</w:t>
      </w:r>
      <w:r w:rsidR="002925F2" w:rsidRPr="0099233A">
        <w:t xml:space="preserve"> </w:t>
      </w:r>
      <w:r w:rsidR="005D1234">
        <w:t xml:space="preserve">in </w:t>
      </w:r>
      <w:r w:rsidRPr="0099233A">
        <w:t>filling vacan</w:t>
      </w:r>
      <w:r w:rsidR="0013084B">
        <w:t>cies</w:t>
      </w:r>
      <w:r w:rsidRPr="0099233A">
        <w:t xml:space="preserve">, indicating a shortfall in suitably skilled workers and a higher likelihood of occupations in shortage. </w:t>
      </w:r>
    </w:p>
    <w:p w14:paraId="48E50C3B" w14:textId="664F1C4F" w:rsidR="00BF342E" w:rsidRPr="0099233A" w:rsidRDefault="00BF342E" w:rsidP="0099233A">
      <w:pPr>
        <w:pStyle w:val="ListBullet"/>
      </w:pPr>
      <w:r w:rsidRPr="0099233A">
        <w:t xml:space="preserve">Higher fill rates imply fewer </w:t>
      </w:r>
      <w:r w:rsidR="005A23B6">
        <w:t xml:space="preserve">recruitment </w:t>
      </w:r>
      <w:r w:rsidRPr="0099233A">
        <w:t xml:space="preserve">challenges and a lower likelihood of shortage. </w:t>
      </w:r>
    </w:p>
    <w:p w14:paraId="787B78C0" w14:textId="2DCC11ED" w:rsidR="0067143A" w:rsidRDefault="00BF342E" w:rsidP="005704A9">
      <w:pPr>
        <w:pStyle w:val="BodyText"/>
        <w:rPr>
          <w:b/>
          <w:bCs/>
          <w:color w:val="012749"/>
          <w:sz w:val="18"/>
          <w:szCs w:val="18"/>
        </w:rPr>
      </w:pPr>
      <w:r w:rsidRPr="00E53A43">
        <w:t>This</w:t>
      </w:r>
      <w:r w:rsidR="00FF247F">
        <w:t xml:space="preserve"> relationship</w:t>
      </w:r>
      <w:r w:rsidRPr="00E53A43">
        <w:t xml:space="preserve"> is illustrated in Figure 1</w:t>
      </w:r>
      <w:r w:rsidR="002925F2" w:rsidRPr="002925F2">
        <w:t xml:space="preserve"> </w:t>
      </w:r>
      <w:r w:rsidR="002925F2" w:rsidRPr="00E53A43">
        <w:t>below</w:t>
      </w:r>
      <w:r w:rsidRPr="00E53A43">
        <w:t>.</w:t>
      </w:r>
    </w:p>
    <w:p w14:paraId="13A9FAEB" w14:textId="54A5267A" w:rsidR="00413771" w:rsidRDefault="00413771" w:rsidP="0064281C">
      <w:pPr>
        <w:pStyle w:val="Caption"/>
        <w:keepNext/>
      </w:pPr>
      <w:bookmarkStart w:id="16" w:name="_Toc207714586"/>
      <w:bookmarkStart w:id="17" w:name="_Toc211421412"/>
      <w:r>
        <w:t xml:space="preserve">Figure </w:t>
      </w:r>
      <w:r>
        <w:fldChar w:fldCharType="begin"/>
      </w:r>
      <w:r>
        <w:instrText xml:space="preserve"> SEQ Figure \* ARABIC </w:instrText>
      </w:r>
      <w:r>
        <w:fldChar w:fldCharType="separate"/>
      </w:r>
      <w:r w:rsidR="00F6227E">
        <w:rPr>
          <w:noProof/>
        </w:rPr>
        <w:t>1</w:t>
      </w:r>
      <w:r>
        <w:fldChar w:fldCharType="end"/>
      </w:r>
      <w:r w:rsidR="00FA1C41">
        <w:t>:</w:t>
      </w:r>
      <w:r w:rsidR="00FA1C41" w:rsidRPr="00FA1C41">
        <w:t xml:space="preserve"> </w:t>
      </w:r>
      <w:r w:rsidR="00FA1C41">
        <w:t>The fill rate and its underlying intuition</w:t>
      </w:r>
      <w:bookmarkEnd w:id="16"/>
      <w:bookmarkEnd w:id="17"/>
    </w:p>
    <w:p w14:paraId="4F33726C" w14:textId="2A67A18F" w:rsidR="00BF342E" w:rsidRPr="00E53A43" w:rsidRDefault="00BF342E" w:rsidP="005A33B5">
      <w:pPr>
        <w:pStyle w:val="Source"/>
      </w:pPr>
      <w:r w:rsidRPr="00BF342E">
        <w:rPr>
          <w:bCs w:val="0"/>
          <w:noProof/>
        </w:rPr>
        <mc:AlternateContent>
          <mc:Choice Requires="wpg">
            <w:drawing>
              <wp:inline distT="0" distB="0" distL="0" distR="0" wp14:anchorId="6540B440" wp14:editId="2BD61E80">
                <wp:extent cx="4098921" cy="1198245"/>
                <wp:effectExtent l="0" t="0" r="0" b="1905"/>
                <wp:docPr id="775607629" name="Group 3" descr="A high vacancy fill rate in an occupation indicates a higher probability the occupation is not in shortage.&#10;&#10;A low vacancy fill rate in an occupation indicates a higher probability the occupation is in shortage."/>
                <wp:cNvGraphicFramePr/>
                <a:graphic xmlns:a="http://schemas.openxmlformats.org/drawingml/2006/main">
                  <a:graphicData uri="http://schemas.microsoft.com/office/word/2010/wordprocessingGroup">
                    <wpg:wgp>
                      <wpg:cNvGrpSpPr/>
                      <wpg:grpSpPr>
                        <a:xfrm>
                          <a:off x="0" y="0"/>
                          <a:ext cx="4098921" cy="1198245"/>
                          <a:chOff x="29910" y="0"/>
                          <a:chExt cx="4098921" cy="1198245"/>
                        </a:xfrm>
                      </wpg:grpSpPr>
                      <wps:wsp>
                        <wps:cNvPr id="1312464166" name="Rectangle: Rounded Corners 1"/>
                        <wps:cNvSpPr/>
                        <wps:spPr>
                          <a:xfrm>
                            <a:off x="29910" y="394979"/>
                            <a:ext cx="1393001" cy="374142"/>
                          </a:xfrm>
                          <a:prstGeom prst="round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7F5FA7" w14:textId="77777777" w:rsidR="00BF342E" w:rsidRPr="00E53A43" w:rsidRDefault="00BF342E" w:rsidP="00BF342E">
                              <w:pPr>
                                <w:jc w:val="center"/>
                              </w:pPr>
                              <w:r w:rsidRPr="00E53A43">
                                <w:t>Vacancy fill 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523704" name="Left Brace 2"/>
                        <wps:cNvSpPr/>
                        <wps:spPr>
                          <a:xfrm>
                            <a:off x="1451367" y="225681"/>
                            <a:ext cx="342413" cy="723738"/>
                          </a:xfrm>
                          <a:prstGeom prst="leftBrace">
                            <a:avLst/>
                          </a:prstGeom>
                          <a:ln w="25400">
                            <a:solidFill>
                              <a:srgbClr val="6929C4"/>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2184206" name="Rectangle: Rounded Corners 1"/>
                        <wps:cNvSpPr/>
                        <wps:spPr>
                          <a:xfrm>
                            <a:off x="1798084" y="51038"/>
                            <a:ext cx="2330747" cy="389070"/>
                          </a:xfrm>
                          <a:prstGeom prst="roundRect">
                            <a:avLst/>
                          </a:prstGeom>
                          <a:solidFill>
                            <a:schemeClr val="accent2"/>
                          </a:solidFill>
                          <a:ln w="12700" cap="flat" cmpd="sng" algn="ctr">
                            <a:noFill/>
                            <a:prstDash val="solid"/>
                            <a:miter lim="800000"/>
                          </a:ln>
                          <a:effectLst/>
                        </wps:spPr>
                        <wps:txbx>
                          <w:txbxContent>
                            <w:p w14:paraId="49C745CC" w14:textId="77777777" w:rsidR="00BF342E" w:rsidRPr="00985368" w:rsidRDefault="00BF342E" w:rsidP="00BF342E">
                              <w:pPr>
                                <w:jc w:val="center"/>
                                <w:rPr>
                                  <w:color w:val="000000" w:themeColor="text1"/>
                                </w:rPr>
                              </w:pPr>
                              <w:r w:rsidRPr="00985368">
                                <w:rPr>
                                  <w:color w:val="000000" w:themeColor="text1"/>
                                </w:rPr>
                                <w:t>Higher probability of No Shortage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9635304" name="Rectangle: Rounded Corners 1"/>
                        <wps:cNvSpPr/>
                        <wps:spPr>
                          <a:xfrm>
                            <a:off x="1775008" y="805068"/>
                            <a:ext cx="2353797" cy="357160"/>
                          </a:xfrm>
                          <a:prstGeom prst="roundRect">
                            <a:avLst/>
                          </a:prstGeom>
                          <a:solidFill>
                            <a:schemeClr val="accent3"/>
                          </a:solidFill>
                          <a:ln w="12700" cap="flat" cmpd="sng" algn="ctr">
                            <a:noFill/>
                            <a:prstDash val="solid"/>
                            <a:miter lim="800000"/>
                          </a:ln>
                          <a:effectLst/>
                        </wps:spPr>
                        <wps:txbx>
                          <w:txbxContent>
                            <w:p w14:paraId="7402AAA5" w14:textId="77777777" w:rsidR="00BF342E" w:rsidRPr="00E53A43" w:rsidRDefault="00BF342E" w:rsidP="00BF342E">
                              <w:pPr>
                                <w:jc w:val="center"/>
                                <w:rPr>
                                  <w:color w:val="FFFFFF" w:themeColor="background1"/>
                                </w:rPr>
                              </w:pPr>
                              <w:r w:rsidRPr="00E53A43">
                                <w:rPr>
                                  <w:color w:val="FFFFFF" w:themeColor="background1"/>
                                </w:rPr>
                                <w:t>Higher probability of Shortage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40087" name="Text Box 2"/>
                        <wps:cNvSpPr txBox="1">
                          <a:spLocks noChangeArrowheads="1"/>
                        </wps:cNvSpPr>
                        <wps:spPr bwMode="auto">
                          <a:xfrm>
                            <a:off x="1268487" y="0"/>
                            <a:ext cx="555625" cy="283845"/>
                          </a:xfrm>
                          <a:prstGeom prst="rect">
                            <a:avLst/>
                          </a:prstGeom>
                          <a:noFill/>
                          <a:ln w="9525">
                            <a:noFill/>
                            <a:miter lim="800000"/>
                            <a:headEnd/>
                            <a:tailEnd/>
                          </a:ln>
                        </wps:spPr>
                        <wps:txbx>
                          <w:txbxContent>
                            <w:p w14:paraId="745B706D" w14:textId="77777777" w:rsidR="00BF342E" w:rsidRPr="00E53A43" w:rsidRDefault="00BF342E" w:rsidP="00BF342E">
                              <w:pPr>
                                <w:rPr>
                                  <w:b/>
                                  <w:bCs/>
                                  <w:sz w:val="20"/>
                                </w:rPr>
                              </w:pPr>
                              <w:r w:rsidRPr="00E53A43">
                                <w:rPr>
                                  <w:b/>
                                  <w:bCs/>
                                  <w:sz w:val="20"/>
                                </w:rPr>
                                <w:t>High</w:t>
                              </w:r>
                            </w:p>
                          </w:txbxContent>
                        </wps:txbx>
                        <wps:bodyPr rot="0" vert="horz" wrap="square" lIns="91440" tIns="45720" rIns="91440" bIns="45720" anchor="t" anchorCtr="0">
                          <a:noAutofit/>
                        </wps:bodyPr>
                      </wps:wsp>
                      <wps:wsp>
                        <wps:cNvPr id="464957437" name="Text Box 2"/>
                        <wps:cNvSpPr txBox="1">
                          <a:spLocks noChangeArrowheads="1"/>
                        </wps:cNvSpPr>
                        <wps:spPr bwMode="auto">
                          <a:xfrm>
                            <a:off x="1280160" y="914400"/>
                            <a:ext cx="555625" cy="283845"/>
                          </a:xfrm>
                          <a:prstGeom prst="rect">
                            <a:avLst/>
                          </a:prstGeom>
                          <a:noFill/>
                          <a:ln w="9525">
                            <a:noFill/>
                            <a:miter lim="800000"/>
                            <a:headEnd/>
                            <a:tailEnd/>
                          </a:ln>
                        </wps:spPr>
                        <wps:txbx>
                          <w:txbxContent>
                            <w:p w14:paraId="3DFD6F02" w14:textId="77777777" w:rsidR="00BF342E" w:rsidRPr="00E53A43" w:rsidRDefault="00BF342E" w:rsidP="00BF342E">
                              <w:pPr>
                                <w:rPr>
                                  <w:b/>
                                  <w:bCs/>
                                  <w:sz w:val="20"/>
                                </w:rPr>
                              </w:pPr>
                              <w:r w:rsidRPr="00E53A43">
                                <w:rPr>
                                  <w:b/>
                                  <w:bCs/>
                                  <w:sz w:val="20"/>
                                </w:rPr>
                                <w:t>Low</w:t>
                              </w:r>
                            </w:p>
                          </w:txbxContent>
                        </wps:txbx>
                        <wps:bodyPr rot="0" vert="horz" wrap="square" lIns="91440" tIns="45720" rIns="91440" bIns="45720" anchor="t" anchorCtr="0">
                          <a:noAutofit/>
                        </wps:bodyPr>
                      </wps:wsp>
                    </wpg:wgp>
                  </a:graphicData>
                </a:graphic>
              </wp:inline>
            </w:drawing>
          </mc:Choice>
          <mc:Fallback>
            <w:pict>
              <v:group w14:anchorId="6540B440" id="Group 3" o:spid="_x0000_s1026" alt="A high vacancy fill rate in an occupation indicates a higher probability the occupation is not in shortage.&#10;&#10;A low vacancy fill rate in an occupation indicates a higher probability the occupation is in shortage." style="width:322.75pt;height:94.35pt;mso-position-horizontal-relative:char;mso-position-vertical-relative:line" coordorigin="299" coordsize="40989,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">
                <v:roundrect id="Rectangle: Rounded Corners 1" o:spid="_x0000_s1027" style="position:absolute;left:299;top:3949;width:13930;height:37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" fillcolor="#6929c4 [3204]" stroked="f" strokeweight="2pt">
                  <v:textbox>
                    <w:txbxContent>
                      <w:p w14:paraId="057F5FA7" w14:textId="77777777" w:rsidR="00BF342E" w:rsidRPr="00E53A43" w:rsidRDefault="00BF342E" w:rsidP="00BF342E">
                        <w:pPr>
                          <w:jc w:val="center"/>
                        </w:pPr>
                        <w:r w:rsidRPr="00E53A43">
                          <w:t>Vacancy fill rate</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8" type="#_x0000_t87" style="position:absolute;left:14513;top:2256;width:3424;height:7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" adj="852" strokecolor="#6929c4" strokeweight="2pt"/>
                <v:roundrect id="Rectangle: Rounded Corners 1" o:spid="_x0000_s1029" style="position:absolute;left:17980;top:510;width:23308;height:38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" fillcolor="#009d9a [3205]" stroked="f" strokeweight="1pt">
                  <v:stroke joinstyle="miter"/>
                  <v:textbox>
                    <w:txbxContent>
                      <w:p w14:paraId="49C745CC" w14:textId="77777777" w:rsidR="00BF342E" w:rsidRPr="00985368" w:rsidRDefault="00BF342E" w:rsidP="00BF342E">
                        <w:pPr>
                          <w:jc w:val="center"/>
                          <w:rPr>
                            <w:color w:val="000000" w:themeColor="text1"/>
                          </w:rPr>
                        </w:pPr>
                        <w:r w:rsidRPr="00985368">
                          <w:rPr>
                            <w:color w:val="000000" w:themeColor="text1"/>
                          </w:rPr>
                          <w:t>Higher probability of No Shortage</w:t>
                        </w:r>
                      </w:p>
                    </w:txbxContent>
                  </v:textbox>
                </v:roundrect>
                <v:roundrect id="Rectangle: Rounded Corners 1" o:spid="_x0000_s1030" style="position:absolute;left:17750;top:8050;width:23538;height:3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" fillcolor="#012749 [3206]" stroked="f" strokeweight="1pt">
                  <v:stroke joinstyle="miter"/>
                  <v:textbox>
                    <w:txbxContent>
                      <w:p w14:paraId="7402AAA5" w14:textId="77777777" w:rsidR="00BF342E" w:rsidRPr="00E53A43" w:rsidRDefault="00BF342E" w:rsidP="00BF342E">
                        <w:pPr>
                          <w:jc w:val="center"/>
                          <w:rPr>
                            <w:color w:val="FFFFFF" w:themeColor="background1"/>
                          </w:rPr>
                        </w:pPr>
                        <w:r w:rsidRPr="00E53A43">
                          <w:rPr>
                            <w:color w:val="FFFFFF" w:themeColor="background1"/>
                          </w:rPr>
                          <w:t>Higher probability of Shortage</w:t>
                        </w:r>
                      </w:p>
                    </w:txbxContent>
                  </v:textbox>
                </v:roundrect>
                <v:shapetype id="_x0000_t202" coordsize="21600,21600" o:spt="202" path="m,l,21600r21600,l21600,xe">
                  <v:stroke joinstyle="miter"/>
                  <v:path gradientshapeok="t" o:connecttype="rect"/>
                </v:shapetype>
                <v:shape id="Text Box 2" o:spid="_x0000_s1031" type="#_x0000_t202" style="position:absolute;left:12684;width:5557;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" filled="f" stroked="f">
                  <v:textbox>
                    <w:txbxContent>
                      <w:p w14:paraId="745B706D" w14:textId="77777777" w:rsidR="00BF342E" w:rsidRPr="00E53A43" w:rsidRDefault="00BF342E" w:rsidP="00BF342E">
                        <w:pPr>
                          <w:rPr>
                            <w:b/>
                            <w:bCs/>
                            <w:sz w:val="20"/>
                          </w:rPr>
                        </w:pPr>
                        <w:r w:rsidRPr="00E53A43">
                          <w:rPr>
                            <w:b/>
                            <w:bCs/>
                            <w:sz w:val="20"/>
                          </w:rPr>
                          <w:t>High</w:t>
                        </w:r>
                      </w:p>
                    </w:txbxContent>
                  </v:textbox>
                </v:shape>
                <v:shape id="Text Box 2" o:spid="_x0000_s1032" type="#_x0000_t202" style="position:absolute;left:12801;top:9144;width:555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" filled="f" stroked="f">
                  <v:textbox>
                    <w:txbxContent>
                      <w:p w14:paraId="3DFD6F02" w14:textId="77777777" w:rsidR="00BF342E" w:rsidRPr="00E53A43" w:rsidRDefault="00BF342E" w:rsidP="00BF342E">
                        <w:pPr>
                          <w:rPr>
                            <w:b/>
                            <w:bCs/>
                            <w:sz w:val="20"/>
                          </w:rPr>
                        </w:pPr>
                        <w:r w:rsidRPr="00E53A43">
                          <w:rPr>
                            <w:b/>
                            <w:bCs/>
                            <w:sz w:val="20"/>
                          </w:rPr>
                          <w:t>Low</w:t>
                        </w:r>
                      </w:p>
                    </w:txbxContent>
                  </v:textbox>
                </v:shape>
                <w10:anchorlock/>
              </v:group>
            </w:pict>
          </mc:Fallback>
        </mc:AlternateContent>
      </w:r>
      <w:r w:rsidRPr="00E53A43">
        <w:br/>
      </w:r>
      <w:r w:rsidRPr="00BF342E">
        <w:t>Source: Jobs and Skills Australia.</w:t>
      </w:r>
    </w:p>
    <w:p w14:paraId="03B967B0" w14:textId="566B3FB4" w:rsidR="00BF342E" w:rsidRPr="001B080C" w:rsidRDefault="00BF342E" w:rsidP="001B080C">
      <w:pPr>
        <w:pStyle w:val="BodyText"/>
      </w:pPr>
      <w:r w:rsidRPr="001B080C">
        <w:t>An advantage of using fill rates is that the metric accounts for both employer demand for skilled workers and the supply of those workers. These</w:t>
      </w:r>
      <w:r w:rsidR="0031775D">
        <w:t xml:space="preserve"> </w:t>
      </w:r>
      <w:r w:rsidR="00ED5045">
        <w:t>factors</w:t>
      </w:r>
      <w:r w:rsidRPr="001B080C">
        <w:t xml:space="preserve"> are likely to be influenced by prevailing wages</w:t>
      </w:r>
      <w:r w:rsidR="00305FE4">
        <w:t>,</w:t>
      </w:r>
      <w:r w:rsidRPr="001B080C">
        <w:t xml:space="preserve"> wage growth, working conditions and other </w:t>
      </w:r>
      <w:r w:rsidR="0037066A">
        <w:t>considerations</w:t>
      </w:r>
      <w:r w:rsidR="00FD7592">
        <w:t xml:space="preserve"> that</w:t>
      </w:r>
      <w:r w:rsidR="0037066A" w:rsidRPr="001B080C">
        <w:t xml:space="preserve"> </w:t>
      </w:r>
      <w:r w:rsidRPr="001B080C">
        <w:t>impact</w:t>
      </w:r>
      <w:r w:rsidR="00FD7592">
        <w:t xml:space="preserve"> </w:t>
      </w:r>
      <w:r w:rsidRPr="001B080C">
        <w:t>employer</w:t>
      </w:r>
      <w:r w:rsidR="007E0C02">
        <w:t>s</w:t>
      </w:r>
      <w:r w:rsidR="00E1567A">
        <w:t>' decision</w:t>
      </w:r>
      <w:r w:rsidR="002D7C8E">
        <w:t>s</w:t>
      </w:r>
      <w:r w:rsidR="007E0C02">
        <w:t xml:space="preserve"> to recruit </w:t>
      </w:r>
      <w:r w:rsidRPr="001B080C">
        <w:t xml:space="preserve">and workers’ decisions to apply. </w:t>
      </w:r>
    </w:p>
    <w:p w14:paraId="7ACB853A" w14:textId="6B7951B6" w:rsidR="00BF342E" w:rsidRPr="001B080C" w:rsidRDefault="00BF342E" w:rsidP="001B080C">
      <w:pPr>
        <w:pStyle w:val="BodyText"/>
      </w:pPr>
      <w:r w:rsidRPr="001B080C">
        <w:t xml:space="preserve">Jobs and Skills Australia uses a fill rate threshold of 67% to </w:t>
      </w:r>
      <w:r w:rsidR="00064DDC">
        <w:t xml:space="preserve">assess </w:t>
      </w:r>
      <w:r w:rsidR="00DA2C66" w:rsidRPr="001B080C">
        <w:t>shortage</w:t>
      </w:r>
      <w:r w:rsidR="00064DDC">
        <w:t>s</w:t>
      </w:r>
      <w:r w:rsidR="00DA2C66">
        <w:t xml:space="preserve">; </w:t>
      </w:r>
      <w:r w:rsidRPr="001B080C">
        <w:t>fill rates below 67% imply a higher likelihood of an occupation in shortage. However, the OSL methodology</w:t>
      </w:r>
      <w:r w:rsidR="00B177CB">
        <w:t xml:space="preserve"> goes beyond fill rates. It</w:t>
      </w:r>
      <w:r w:rsidRPr="001B080C">
        <w:t xml:space="preserve"> </w:t>
      </w:r>
      <w:r w:rsidR="00B177CB">
        <w:t xml:space="preserve">incorporates </w:t>
      </w:r>
      <w:r w:rsidRPr="001B080C">
        <w:t xml:space="preserve">a broad </w:t>
      </w:r>
      <w:r w:rsidR="008D4109">
        <w:t>range</w:t>
      </w:r>
      <w:r w:rsidR="008D4109" w:rsidRPr="001B080C">
        <w:t xml:space="preserve"> </w:t>
      </w:r>
      <w:r w:rsidRPr="001B080C">
        <w:t xml:space="preserve">of evidence </w:t>
      </w:r>
      <w:r w:rsidR="008D4109">
        <w:t xml:space="preserve">to ensure </w:t>
      </w:r>
      <w:r w:rsidR="005C2078">
        <w:t>assessments are comprehensive</w:t>
      </w:r>
      <w:r w:rsidRPr="001B080C">
        <w:t xml:space="preserve">. Consequently, not all occupations with a fill rate below 67% are </w:t>
      </w:r>
      <w:r w:rsidR="00985C48">
        <w:t>considered</w:t>
      </w:r>
      <w:r w:rsidR="00A54C52" w:rsidRPr="001B080C">
        <w:t xml:space="preserve"> </w:t>
      </w:r>
      <w:r w:rsidRPr="001B080C">
        <w:t>as being in shortage</w:t>
      </w:r>
      <w:r w:rsidR="0094015A">
        <w:t>. Likewise,</w:t>
      </w:r>
      <w:r w:rsidRPr="001B080C">
        <w:t xml:space="preserve"> occupations with fill rates above 67% are</w:t>
      </w:r>
      <w:r w:rsidR="00096E74">
        <w:t xml:space="preserve"> not</w:t>
      </w:r>
      <w:r w:rsidRPr="001B080C">
        <w:t xml:space="preserve"> automatically assessed as not in shortage.</w:t>
      </w:r>
    </w:p>
    <w:p w14:paraId="71FA14AC" w14:textId="77777777" w:rsidR="00B36703" w:rsidRPr="00E53A43" w:rsidRDefault="00B36703" w:rsidP="00B36703">
      <w:pPr>
        <w:pStyle w:val="Heading2"/>
      </w:pPr>
      <w:bookmarkStart w:id="18" w:name="_Toc204771876"/>
      <w:bookmarkStart w:id="19" w:name="_Toc211425357"/>
      <w:r w:rsidRPr="00E53A43">
        <w:t>OSL categorisations</w:t>
      </w:r>
      <w:bookmarkEnd w:id="19"/>
    </w:p>
    <w:p w14:paraId="21F80179" w14:textId="31BBD1F2" w:rsidR="00B36703" w:rsidRDefault="00B36703" w:rsidP="00B36703">
      <w:pPr>
        <w:pStyle w:val="BodyText"/>
      </w:pPr>
      <w:r w:rsidRPr="00E53A43">
        <w:t xml:space="preserve">The OSL has </w:t>
      </w:r>
      <w:r w:rsidR="00BA6AA1">
        <w:t>4</w:t>
      </w:r>
      <w:r w:rsidR="00BA6AA1" w:rsidRPr="00E53A43">
        <w:t xml:space="preserve"> </w:t>
      </w:r>
      <w:r w:rsidRPr="00E53A43">
        <w:t>ratings classif</w:t>
      </w:r>
      <w:r>
        <w:t>ications (Table 1).</w:t>
      </w:r>
    </w:p>
    <w:p w14:paraId="425D4384" w14:textId="13429C21" w:rsidR="00B36703" w:rsidRDefault="004561CD" w:rsidP="0064281C">
      <w:pPr>
        <w:pStyle w:val="Caption"/>
        <w:keepNext/>
      </w:pPr>
      <w:bookmarkStart w:id="20" w:name="_Toc211421394"/>
      <w:r>
        <w:t xml:space="preserve">Table </w:t>
      </w:r>
      <w:r>
        <w:fldChar w:fldCharType="begin"/>
      </w:r>
      <w:r>
        <w:instrText xml:space="preserve"> SEQ Table \* ARABIC </w:instrText>
      </w:r>
      <w:r>
        <w:fldChar w:fldCharType="separate"/>
      </w:r>
      <w:r w:rsidR="00F6227E">
        <w:rPr>
          <w:noProof/>
        </w:rPr>
        <w:t>1</w:t>
      </w:r>
      <w:r>
        <w:fldChar w:fldCharType="end"/>
      </w:r>
      <w:r>
        <w:t>: Classifications of occupations in scope of the OSL</w:t>
      </w:r>
      <w:bookmarkEnd w:id="20"/>
    </w:p>
    <w:tbl>
      <w:tblPr>
        <w:tblStyle w:val="CustomTablebasic"/>
        <w:tblW w:w="9027" w:type="dxa"/>
        <w:tblLook w:val="04A0" w:firstRow="1" w:lastRow="0" w:firstColumn="1" w:lastColumn="0" w:noHBand="0" w:noVBand="1"/>
      </w:tblPr>
      <w:tblGrid>
        <w:gridCol w:w="3828"/>
        <w:gridCol w:w="5199"/>
      </w:tblGrid>
      <w:tr w:rsidR="00B36703" w14:paraId="26DA5E00" w14:textId="77777777" w:rsidTr="00C71FC2">
        <w:trPr>
          <w:cnfStyle w:val="100000000000" w:firstRow="1" w:lastRow="0" w:firstColumn="0" w:lastColumn="0" w:oddVBand="0" w:evenVBand="0" w:oddHBand="0" w:evenHBand="0" w:firstRowFirstColumn="0" w:firstRowLastColumn="0" w:lastRowFirstColumn="0" w:lastRowLastColumn="0"/>
          <w:tblHeader/>
        </w:trPr>
        <w:tc>
          <w:tcPr>
            <w:tcW w:w="3828" w:type="dxa"/>
          </w:tcPr>
          <w:p w14:paraId="0EF40083" w14:textId="77777777" w:rsidR="00B36703" w:rsidRPr="00B36703" w:rsidRDefault="00B36703" w:rsidP="00B36703">
            <w:pPr>
              <w:pStyle w:val="TableHeading1"/>
            </w:pPr>
            <w:r>
              <w:t xml:space="preserve">Occupation ratings </w:t>
            </w:r>
          </w:p>
        </w:tc>
        <w:tc>
          <w:tcPr>
            <w:tcW w:w="5199" w:type="dxa"/>
          </w:tcPr>
          <w:p w14:paraId="41C46819" w14:textId="77777777" w:rsidR="00B36703" w:rsidRPr="00B36703" w:rsidRDefault="00B36703" w:rsidP="00B36703">
            <w:pPr>
              <w:pStyle w:val="TableHeading1"/>
            </w:pPr>
            <w:r>
              <w:t>Definition</w:t>
            </w:r>
          </w:p>
        </w:tc>
      </w:tr>
      <w:tr w:rsidR="00B36703" w14:paraId="260D484E" w14:textId="77777777">
        <w:tc>
          <w:tcPr>
            <w:tcW w:w="3828" w:type="dxa"/>
          </w:tcPr>
          <w:p w14:paraId="2254F474" w14:textId="77777777" w:rsidR="00B36703" w:rsidRPr="00B36703" w:rsidRDefault="00B36703" w:rsidP="00B36703">
            <w:pPr>
              <w:pStyle w:val="TableBodyText"/>
            </w:pPr>
            <w:r w:rsidRPr="001B080C">
              <w:t>Shortage (S)</w:t>
            </w:r>
          </w:p>
        </w:tc>
        <w:tc>
          <w:tcPr>
            <w:tcW w:w="5199" w:type="dxa"/>
          </w:tcPr>
          <w:p w14:paraId="3032C070" w14:textId="77777777" w:rsidR="00B36703" w:rsidRPr="00B36703" w:rsidRDefault="00B36703" w:rsidP="00B36703">
            <w:pPr>
              <w:pStyle w:val="TableBodyText"/>
            </w:pPr>
            <w:r w:rsidRPr="008951E1">
              <w:t xml:space="preserve">An occupation is in </w:t>
            </w:r>
            <w:r w:rsidRPr="00B36703">
              <w:t>national shortage or overall shortage</w:t>
            </w:r>
          </w:p>
        </w:tc>
      </w:tr>
      <w:tr w:rsidR="00B36703" w14:paraId="1058F946" w14:textId="77777777" w:rsidTr="00C71FC2">
        <w:trPr>
          <w:cnfStyle w:val="000000010000" w:firstRow="0" w:lastRow="0" w:firstColumn="0" w:lastColumn="0" w:oddVBand="0" w:evenVBand="0" w:oddHBand="0" w:evenHBand="1" w:firstRowFirstColumn="0" w:firstRowLastColumn="0" w:lastRowFirstColumn="0" w:lastRowLastColumn="0"/>
        </w:trPr>
        <w:tc>
          <w:tcPr>
            <w:tcW w:w="3828" w:type="dxa"/>
          </w:tcPr>
          <w:p w14:paraId="669B93FA" w14:textId="2EF9988A" w:rsidR="00B36703" w:rsidRPr="00B36703" w:rsidRDefault="00B36703" w:rsidP="00B36703">
            <w:pPr>
              <w:pStyle w:val="TableBodyText"/>
            </w:pPr>
            <w:r w:rsidRPr="001B080C">
              <w:t xml:space="preserve">Metropolitan </w:t>
            </w:r>
            <w:r w:rsidR="00DB7173">
              <w:t>s</w:t>
            </w:r>
            <w:r w:rsidRPr="001B080C">
              <w:t>hortage (M)</w:t>
            </w:r>
          </w:p>
        </w:tc>
        <w:tc>
          <w:tcPr>
            <w:tcW w:w="5199" w:type="dxa"/>
          </w:tcPr>
          <w:p w14:paraId="7988CE22" w14:textId="77777777" w:rsidR="00B36703" w:rsidRPr="00B36703" w:rsidRDefault="00B36703" w:rsidP="00B36703">
            <w:pPr>
              <w:pStyle w:val="TableBodyText"/>
            </w:pPr>
            <w:r w:rsidRPr="001B080C">
              <w:t>An occupation is in shortage in a metropolitan area</w:t>
            </w:r>
          </w:p>
        </w:tc>
      </w:tr>
      <w:tr w:rsidR="00B36703" w14:paraId="1D807527" w14:textId="77777777">
        <w:tc>
          <w:tcPr>
            <w:tcW w:w="3828" w:type="dxa"/>
          </w:tcPr>
          <w:p w14:paraId="405F9CEA" w14:textId="385DAEE4" w:rsidR="00B36703" w:rsidRPr="00B36703" w:rsidRDefault="00B36703" w:rsidP="00B36703">
            <w:pPr>
              <w:pStyle w:val="TableBodyText"/>
            </w:pPr>
            <w:r w:rsidRPr="001B080C">
              <w:t xml:space="preserve">Regional </w:t>
            </w:r>
            <w:r w:rsidR="00DB7173">
              <w:t>s</w:t>
            </w:r>
            <w:r w:rsidRPr="001B080C">
              <w:t>hortage (R)</w:t>
            </w:r>
          </w:p>
        </w:tc>
        <w:tc>
          <w:tcPr>
            <w:tcW w:w="5199" w:type="dxa"/>
          </w:tcPr>
          <w:p w14:paraId="2F139679" w14:textId="77777777" w:rsidR="00B36703" w:rsidRPr="00B36703" w:rsidRDefault="00B36703" w:rsidP="00B36703">
            <w:pPr>
              <w:pStyle w:val="TableBodyText"/>
            </w:pPr>
            <w:r w:rsidRPr="001B080C">
              <w:t>An occupation is in shortage in a regional area</w:t>
            </w:r>
          </w:p>
        </w:tc>
      </w:tr>
      <w:tr w:rsidR="00B36703" w14:paraId="6F7F9003" w14:textId="77777777" w:rsidTr="00C71FC2">
        <w:trPr>
          <w:cnfStyle w:val="000000010000" w:firstRow="0" w:lastRow="0" w:firstColumn="0" w:lastColumn="0" w:oddVBand="0" w:evenVBand="0" w:oddHBand="0" w:evenHBand="1" w:firstRowFirstColumn="0" w:firstRowLastColumn="0" w:lastRowFirstColumn="0" w:lastRowLastColumn="0"/>
        </w:trPr>
        <w:tc>
          <w:tcPr>
            <w:tcW w:w="3828" w:type="dxa"/>
          </w:tcPr>
          <w:p w14:paraId="641B20CC" w14:textId="7D0B229D" w:rsidR="00B36703" w:rsidRPr="00B36703" w:rsidRDefault="00B36703" w:rsidP="00B36703">
            <w:pPr>
              <w:pStyle w:val="TableBodyText"/>
            </w:pPr>
            <w:r w:rsidRPr="001B080C">
              <w:t xml:space="preserve">No </w:t>
            </w:r>
            <w:r w:rsidR="00DB7173">
              <w:t>s</w:t>
            </w:r>
            <w:r w:rsidRPr="001B080C">
              <w:t>hortage (NS)</w:t>
            </w:r>
          </w:p>
        </w:tc>
        <w:tc>
          <w:tcPr>
            <w:tcW w:w="5199" w:type="dxa"/>
          </w:tcPr>
          <w:p w14:paraId="7FC624D2" w14:textId="77777777" w:rsidR="00B36703" w:rsidRPr="00B36703" w:rsidRDefault="00B36703" w:rsidP="00B36703">
            <w:pPr>
              <w:pStyle w:val="TableBodyText"/>
            </w:pPr>
            <w:r w:rsidRPr="001B080C">
              <w:t>An occupation is not in shortage.</w:t>
            </w:r>
            <w:r w:rsidRPr="00B36703">
              <w:rPr>
                <w:rStyle w:val="FootnoteReference"/>
              </w:rPr>
              <w:footnoteReference w:id="6"/>
            </w:r>
          </w:p>
        </w:tc>
      </w:tr>
    </w:tbl>
    <w:p w14:paraId="2E095584" w14:textId="3E5BFF51" w:rsidR="0067143A" w:rsidRPr="008367FA" w:rsidRDefault="00B36703" w:rsidP="008367FA">
      <w:pPr>
        <w:pStyle w:val="Source"/>
      </w:pPr>
      <w:r>
        <w:t xml:space="preserve">Source: Jobs and Skills Australia. </w:t>
      </w:r>
      <w:bookmarkStart w:id="21" w:name="_Toc175157201"/>
      <w:bookmarkStart w:id="22" w:name="_Toc204771877"/>
      <w:bookmarkEnd w:id="18"/>
      <w:r w:rsidR="0067143A">
        <w:br w:type="page"/>
      </w:r>
    </w:p>
    <w:p w14:paraId="444655A1" w14:textId="3F70F794" w:rsidR="00BF342E" w:rsidRPr="00E53A43" w:rsidRDefault="00BF342E" w:rsidP="00BF342E">
      <w:pPr>
        <w:pStyle w:val="Heading1"/>
      </w:pPr>
      <w:bookmarkStart w:id="23" w:name="_Toc211425358"/>
      <w:r w:rsidRPr="00E53A43">
        <w:lastRenderedPageBreak/>
        <w:t>OSL assessment framework</w:t>
      </w:r>
      <w:bookmarkEnd w:id="21"/>
      <w:bookmarkEnd w:id="22"/>
      <w:bookmarkEnd w:id="23"/>
    </w:p>
    <w:p w14:paraId="594FDE06" w14:textId="5B47B845" w:rsidR="00BF342E" w:rsidRPr="00E53A43" w:rsidRDefault="00BF342E" w:rsidP="0024419E">
      <w:pPr>
        <w:pStyle w:val="BodyText"/>
      </w:pPr>
      <w:r w:rsidRPr="00BF342E">
        <w:t>A mix-methods approach is used for the 2025 OSL methodology. The approach consists of 3</w:t>
      </w:r>
      <w:r w:rsidR="00577DD2">
        <w:t> </w:t>
      </w:r>
      <w:r w:rsidRPr="00BF342E">
        <w:t>stages:</w:t>
      </w:r>
    </w:p>
    <w:p w14:paraId="68057288" w14:textId="48817A82" w:rsidR="00BF342E" w:rsidRPr="0024419E" w:rsidRDefault="00BF342E" w:rsidP="0024419E">
      <w:pPr>
        <w:pStyle w:val="ListNumber"/>
      </w:pPr>
      <w:r w:rsidRPr="0024419E">
        <w:t xml:space="preserve">The preliminary occupation ratings produced via a machine learning model and </w:t>
      </w:r>
      <w:r w:rsidR="00AE46A4">
        <w:t>a modelling framework</w:t>
      </w:r>
      <w:r w:rsidRPr="0024419E">
        <w:t>.</w:t>
      </w:r>
    </w:p>
    <w:p w14:paraId="3407A9E4" w14:textId="77777777" w:rsidR="00BF342E" w:rsidRPr="0024419E" w:rsidRDefault="00BF342E" w:rsidP="0024419E">
      <w:pPr>
        <w:pStyle w:val="ListNumber"/>
      </w:pPr>
      <w:r w:rsidRPr="0024419E">
        <w:t xml:space="preserve">The manual verification of preliminary occupation ratings using additional sources of information. </w:t>
      </w:r>
    </w:p>
    <w:p w14:paraId="1AFC4439" w14:textId="4AD1A94E" w:rsidR="00BE61A0" w:rsidRDefault="00BF342E">
      <w:pPr>
        <w:pStyle w:val="ListNumber"/>
      </w:pPr>
      <w:r w:rsidRPr="0024419E">
        <w:t>The incorporation of feedback from the Commonwealth Government, state governments and J</w:t>
      </w:r>
      <w:r w:rsidR="0011548F">
        <w:t xml:space="preserve">obs and </w:t>
      </w:r>
      <w:r w:rsidRPr="0024419E">
        <w:t>S</w:t>
      </w:r>
      <w:r w:rsidR="0011548F">
        <w:t xml:space="preserve">kills </w:t>
      </w:r>
      <w:r w:rsidRPr="0024419E">
        <w:t>C</w:t>
      </w:r>
      <w:r w:rsidR="0011548F">
        <w:t>ouncil</w:t>
      </w:r>
      <w:r w:rsidRPr="0024419E">
        <w:t>s</w:t>
      </w:r>
      <w:r w:rsidR="0011548F">
        <w:t xml:space="preserve"> (JSC</w:t>
      </w:r>
      <w:r w:rsidR="00C9189C">
        <w:t>s</w:t>
      </w:r>
      <w:r w:rsidR="0011548F">
        <w:t>)</w:t>
      </w:r>
      <w:r w:rsidRPr="0024419E">
        <w:t>.</w:t>
      </w:r>
      <w:r w:rsidR="00BE61A0">
        <w:t xml:space="preserve"> </w:t>
      </w:r>
    </w:p>
    <w:p w14:paraId="46D51A67" w14:textId="6CA26FA4" w:rsidR="00DD5AE0" w:rsidRPr="00DD5AE0" w:rsidRDefault="00FA1C41" w:rsidP="00566852">
      <w:pPr>
        <w:pStyle w:val="Caption"/>
      </w:pPr>
      <w:bookmarkStart w:id="24" w:name="_Toc207714587"/>
      <w:bookmarkStart w:id="25" w:name="_Toc211421413"/>
      <w:r>
        <w:t xml:space="preserve">Figure </w:t>
      </w:r>
      <w:r>
        <w:fldChar w:fldCharType="begin"/>
      </w:r>
      <w:r>
        <w:instrText xml:space="preserve"> SEQ Figure \* ARABIC </w:instrText>
      </w:r>
      <w:r>
        <w:fldChar w:fldCharType="separate"/>
      </w:r>
      <w:r w:rsidR="00F6227E">
        <w:rPr>
          <w:noProof/>
        </w:rPr>
        <w:t>2</w:t>
      </w:r>
      <w:r>
        <w:fldChar w:fldCharType="end"/>
      </w:r>
      <w:r>
        <w:t>:</w:t>
      </w:r>
      <w:r w:rsidR="00BF342E" w:rsidRPr="00E53A43">
        <w:t xml:space="preserve"> A 3</w:t>
      </w:r>
      <w:r w:rsidR="00EF593A">
        <w:t xml:space="preserve"> </w:t>
      </w:r>
      <w:r w:rsidR="00BF342E" w:rsidRPr="00E53A43">
        <w:t>stage occupation assessment process</w:t>
      </w:r>
      <w:bookmarkEnd w:id="24"/>
      <w:bookmarkEnd w:id="25"/>
    </w:p>
    <w:p w14:paraId="1EB6C015" w14:textId="708EBCF5" w:rsidR="002B7EFE" w:rsidRDefault="00EB04F8" w:rsidP="003A19B6">
      <w:pPr>
        <w:pStyle w:val="Source"/>
      </w:pPr>
      <w:r w:rsidRPr="0083228B">
        <w:rPr>
          <w:noProof/>
        </w:rPr>
        <mc:AlternateContent>
          <mc:Choice Requires="wpg">
            <w:drawing>
              <wp:inline distT="0" distB="0" distL="0" distR="0" wp14:anchorId="506D1F01" wp14:editId="4328FE4D">
                <wp:extent cx="5574183" cy="986395"/>
                <wp:effectExtent l="0" t="0" r="7620" b="4445"/>
                <wp:docPr id="342944960" name="Group 2" descr="These are three diagrams showing the OSL  3 stages process. Stage 1 is the data driven preliminary ratings. Stage 2 is the manual verification of the ratings and stage 3 incorporates stakeholder feedback."/>
                <wp:cNvGraphicFramePr/>
                <a:graphic xmlns:a="http://schemas.openxmlformats.org/drawingml/2006/main">
                  <a:graphicData uri="http://schemas.microsoft.com/office/word/2010/wordprocessingGroup">
                    <wpg:wgp>
                      <wpg:cNvGrpSpPr/>
                      <wpg:grpSpPr>
                        <a:xfrm>
                          <a:off x="0" y="0"/>
                          <a:ext cx="5574183" cy="986395"/>
                          <a:chOff x="0" y="0"/>
                          <a:chExt cx="4356000" cy="910827"/>
                        </a:xfrm>
                      </wpg:grpSpPr>
                      <wps:wsp>
                        <wps:cNvPr id="832033656" name="Rectangle: Rounded Corners 1"/>
                        <wps:cNvSpPr/>
                        <wps:spPr>
                          <a:xfrm>
                            <a:off x="3060000" y="0"/>
                            <a:ext cx="1296000" cy="900000"/>
                          </a:xfrm>
                          <a:prstGeom prst="roundRect">
                            <a:avLst/>
                          </a:prstGeom>
                          <a:solidFill>
                            <a:schemeClr val="accent1">
                              <a:lumMod val="20000"/>
                              <a:lumOff val="80000"/>
                            </a:schemeClr>
                          </a:solidFill>
                          <a:ln w="12700" cap="flat" cmpd="sng" algn="ctr">
                            <a:noFill/>
                            <a:prstDash val="solid"/>
                            <a:miter lim="800000"/>
                          </a:ln>
                          <a:effectLst/>
                        </wps:spPr>
                        <wps:txbx>
                          <w:txbxContent>
                            <w:p w14:paraId="70CAF455" w14:textId="77777777" w:rsidR="0083228B" w:rsidRPr="00577921" w:rsidRDefault="0083228B" w:rsidP="0083228B">
                              <w:pPr>
                                <w:spacing w:after="0"/>
                                <w:jc w:val="center"/>
                                <w:rPr>
                                  <w:rFonts w:ascii="Arial Bold" w:hAnsi="Arial Bold" w:cs="Arial"/>
                                  <w:b/>
                                  <w:bCs/>
                                  <w:szCs w:val="22"/>
                                </w:rPr>
                              </w:pPr>
                              <w:r w:rsidRPr="00577921">
                                <w:rPr>
                                  <w:rFonts w:ascii="Arial Bold" w:hAnsi="Arial Bold" w:cs="Arial"/>
                                  <w:b/>
                                  <w:bCs/>
                                  <w:szCs w:val="22"/>
                                </w:rPr>
                                <w:t>Stage 3: Incorporating stakeholder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762374" name="Rectangle: Rounded Corners 1"/>
                        <wps:cNvSpPr/>
                        <wps:spPr>
                          <a:xfrm>
                            <a:off x="0" y="10800"/>
                            <a:ext cx="1296000" cy="900000"/>
                          </a:xfrm>
                          <a:prstGeom prst="roundRect">
                            <a:avLst/>
                          </a:prstGeom>
                          <a:solidFill>
                            <a:schemeClr val="accent2"/>
                          </a:solidFill>
                          <a:ln w="12700" cap="flat" cmpd="sng" algn="ctr">
                            <a:noFill/>
                            <a:prstDash val="solid"/>
                            <a:miter lim="800000"/>
                          </a:ln>
                          <a:effectLst/>
                        </wps:spPr>
                        <wps:txbx>
                          <w:txbxContent>
                            <w:p w14:paraId="35010AE1" w14:textId="77777777" w:rsidR="0083228B" w:rsidRPr="00985368" w:rsidRDefault="0083228B" w:rsidP="0083228B">
                              <w:pPr>
                                <w:spacing w:after="0"/>
                                <w:jc w:val="center"/>
                                <w:rPr>
                                  <w:rFonts w:ascii="Arial Bold" w:hAnsi="Arial Bold" w:cs="Arial"/>
                                  <w:b/>
                                  <w:bCs/>
                                  <w:szCs w:val="22"/>
                                </w:rPr>
                              </w:pPr>
                              <w:r w:rsidRPr="00985368">
                                <w:rPr>
                                  <w:rFonts w:ascii="Arial Bold" w:hAnsi="Arial Bold" w:cs="Arial"/>
                                  <w:b/>
                                  <w:bCs/>
                                  <w:szCs w:val="22"/>
                                </w:rPr>
                                <w:t>Stage 1:</w:t>
                              </w:r>
                            </w:p>
                            <w:p w14:paraId="3BFA6F9F" w14:textId="2393DA49" w:rsidR="0083228B" w:rsidRPr="00BF3CB1" w:rsidRDefault="0083228B" w:rsidP="00985368">
                              <w:pPr>
                                <w:spacing w:after="0"/>
                                <w:jc w:val="center"/>
                                <w:rPr>
                                  <w:rFonts w:ascii="Arial Bold" w:hAnsi="Arial Bold" w:cs="Arial"/>
                                  <w:color w:val="FFFFFF" w:themeColor="background1"/>
                                  <w:sz w:val="28"/>
                                  <w:szCs w:val="28"/>
                                </w:rPr>
                              </w:pPr>
                              <w:r w:rsidRPr="00985368">
                                <w:rPr>
                                  <w:rFonts w:ascii="Arial Bold" w:hAnsi="Arial Bold" w:cs="Arial"/>
                                  <w:b/>
                                  <w:bCs/>
                                  <w:szCs w:val="22"/>
                                </w:rPr>
                                <w:t>Data</w:t>
                              </w:r>
                              <w:r w:rsidR="0066496F">
                                <w:rPr>
                                  <w:rFonts w:ascii="Arial Bold" w:hAnsi="Arial Bold" w:cs="Arial"/>
                                  <w:b/>
                                  <w:szCs w:val="22"/>
                                </w:rPr>
                                <w:t xml:space="preserve"> </w:t>
                              </w:r>
                              <w:r w:rsidRPr="00985368">
                                <w:rPr>
                                  <w:rFonts w:ascii="Arial Bold" w:hAnsi="Arial Bold" w:cs="Arial"/>
                                  <w:b/>
                                  <w:bCs/>
                                  <w:szCs w:val="22"/>
                                </w:rPr>
                                <w:t>driven preliminary ratings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841592" name="Rectangle: Rounded Corners 1"/>
                        <wps:cNvSpPr/>
                        <wps:spPr>
                          <a:xfrm>
                            <a:off x="1603806" y="9968"/>
                            <a:ext cx="1150621" cy="900859"/>
                          </a:xfrm>
                          <a:prstGeom prst="roundRect">
                            <a:avLst/>
                          </a:prstGeom>
                          <a:solidFill>
                            <a:srgbClr val="012749"/>
                          </a:solidFill>
                          <a:ln w="12700" cap="flat" cmpd="sng" algn="ctr">
                            <a:noFill/>
                            <a:prstDash val="solid"/>
                            <a:miter lim="800000"/>
                          </a:ln>
                          <a:effectLst/>
                        </wps:spPr>
                        <wps:txbx>
                          <w:txbxContent>
                            <w:p w14:paraId="33829F18" w14:textId="77777777" w:rsidR="0083228B" w:rsidRPr="00577921" w:rsidRDefault="0083228B" w:rsidP="0083228B">
                              <w:pPr>
                                <w:spacing w:after="0"/>
                                <w:jc w:val="center"/>
                                <w:rPr>
                                  <w:rFonts w:ascii="Arial Bold" w:hAnsi="Arial Bold" w:cs="Arial"/>
                                  <w:b/>
                                  <w:bCs/>
                                  <w:szCs w:val="22"/>
                                </w:rPr>
                              </w:pPr>
                              <w:r w:rsidRPr="00577921">
                                <w:rPr>
                                  <w:rFonts w:ascii="Arial Bold" w:hAnsi="Arial Bold" w:cs="Arial"/>
                                  <w:b/>
                                  <w:bCs/>
                                  <w:szCs w:val="22"/>
                                </w:rPr>
                                <w:t>Stage 2:</w:t>
                              </w:r>
                            </w:p>
                            <w:p w14:paraId="351E3B54" w14:textId="77777777" w:rsidR="0083228B" w:rsidRPr="00577921" w:rsidRDefault="0083228B" w:rsidP="0083228B">
                              <w:pPr>
                                <w:spacing w:after="0"/>
                                <w:jc w:val="center"/>
                                <w:rPr>
                                  <w:rFonts w:ascii="Arial Bold" w:hAnsi="Arial Bold" w:cs="Arial"/>
                                  <w:b/>
                                  <w:bCs/>
                                  <w:szCs w:val="22"/>
                                </w:rPr>
                              </w:pPr>
                              <w:r w:rsidRPr="00577921">
                                <w:rPr>
                                  <w:rFonts w:ascii="Arial Bold" w:hAnsi="Arial Bold" w:cs="Arial"/>
                                  <w:b/>
                                  <w:bCs/>
                                  <w:szCs w:val="22"/>
                                </w:rPr>
                                <w:t>Manual 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901213" name="Arrow: Right 2"/>
                        <wps:cNvSpPr/>
                        <wps:spPr>
                          <a:xfrm>
                            <a:off x="1252800" y="309533"/>
                            <a:ext cx="356016" cy="243151"/>
                          </a:xfrm>
                          <a:prstGeom prst="rightArrow">
                            <a:avLst/>
                          </a:prstGeom>
                          <a:solidFill>
                            <a:srgbClr val="009D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111199" name="Arrow: Right 2"/>
                        <wps:cNvSpPr/>
                        <wps:spPr>
                          <a:xfrm>
                            <a:off x="2746800" y="313200"/>
                            <a:ext cx="320040" cy="240665"/>
                          </a:xfrm>
                          <a:prstGeom prst="rightArrow">
                            <a:avLst/>
                          </a:prstGeom>
                          <a:solidFill>
                            <a:srgbClr val="01274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06D1F01" id="Group 2" o:spid="_x0000_s1033" alt="These are three diagrams showing the OSL  3 stages process. Stage 1 is the data driven preliminary ratings. Stage 2 is the manual verification of the ratings and stage 3 incorporates stakeholder feedback." style="width:438.9pt;height:77.65pt;mso-position-horizontal-relative:char;mso-position-vertical-relative:line" coordsize="43560,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">
                <v:roundrect id="Rectangle: Rounded Corners 1" o:spid="_x0000_s1034" style="position:absolute;left:30600;width:12960;height:9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" fillcolor="#e0d1f5 [660]" stroked="f" strokeweight="1pt">
                  <v:stroke joinstyle="miter"/>
                  <v:textbox>
                    <w:txbxContent>
                      <w:p w14:paraId="70CAF455" w14:textId="77777777" w:rsidR="0083228B" w:rsidRPr="00577921" w:rsidRDefault="0083228B" w:rsidP="0083228B">
                        <w:pPr>
                          <w:spacing w:after="0"/>
                          <w:jc w:val="center"/>
                          <w:rPr>
                            <w:rFonts w:ascii="Arial Bold" w:hAnsi="Arial Bold" w:cs="Arial"/>
                            <w:b/>
                            <w:bCs/>
                            <w:szCs w:val="22"/>
                          </w:rPr>
                        </w:pPr>
                        <w:r w:rsidRPr="00577921">
                          <w:rPr>
                            <w:rFonts w:ascii="Arial Bold" w:hAnsi="Arial Bold" w:cs="Arial"/>
                            <w:b/>
                            <w:bCs/>
                            <w:szCs w:val="22"/>
                          </w:rPr>
                          <w:t>Stage 3: Incorporating stakeholder feedback</w:t>
                        </w:r>
                      </w:p>
                    </w:txbxContent>
                  </v:textbox>
                </v:roundrect>
                <v:roundrect id="Rectangle: Rounded Corners 1" o:spid="_x0000_s1035" style="position:absolute;top:108;width:12960;height:9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" fillcolor="#009d9a [3205]" stroked="f" strokeweight="1pt">
                  <v:stroke joinstyle="miter"/>
                  <v:textbox>
                    <w:txbxContent>
                      <w:p w14:paraId="35010AE1" w14:textId="77777777" w:rsidR="0083228B" w:rsidRPr="00985368" w:rsidRDefault="0083228B" w:rsidP="0083228B">
                        <w:pPr>
                          <w:spacing w:after="0"/>
                          <w:jc w:val="center"/>
                          <w:rPr>
                            <w:rFonts w:ascii="Arial Bold" w:hAnsi="Arial Bold" w:cs="Arial"/>
                            <w:b/>
                            <w:bCs/>
                            <w:szCs w:val="22"/>
                          </w:rPr>
                        </w:pPr>
                        <w:r w:rsidRPr="00985368">
                          <w:rPr>
                            <w:rFonts w:ascii="Arial Bold" w:hAnsi="Arial Bold" w:cs="Arial"/>
                            <w:b/>
                            <w:bCs/>
                            <w:szCs w:val="22"/>
                          </w:rPr>
                          <w:t>Stage 1:</w:t>
                        </w:r>
                      </w:p>
                      <w:p w14:paraId="3BFA6F9F" w14:textId="2393DA49" w:rsidR="0083228B" w:rsidRPr="00BF3CB1" w:rsidRDefault="0083228B" w:rsidP="00985368">
                        <w:pPr>
                          <w:spacing w:after="0"/>
                          <w:jc w:val="center"/>
                          <w:rPr>
                            <w:rFonts w:ascii="Arial Bold" w:hAnsi="Arial Bold" w:cs="Arial"/>
                            <w:color w:val="FFFFFF" w:themeColor="background1"/>
                            <w:sz w:val="28"/>
                            <w:szCs w:val="28"/>
                          </w:rPr>
                        </w:pPr>
                        <w:r w:rsidRPr="00985368">
                          <w:rPr>
                            <w:rFonts w:ascii="Arial Bold" w:hAnsi="Arial Bold" w:cs="Arial"/>
                            <w:b/>
                            <w:bCs/>
                            <w:szCs w:val="22"/>
                          </w:rPr>
                          <w:t>Data</w:t>
                        </w:r>
                        <w:r w:rsidR="0066496F">
                          <w:rPr>
                            <w:rFonts w:ascii="Arial Bold" w:hAnsi="Arial Bold" w:cs="Arial"/>
                            <w:b/>
                            <w:szCs w:val="22"/>
                          </w:rPr>
                          <w:t xml:space="preserve"> </w:t>
                        </w:r>
                        <w:r w:rsidRPr="00985368">
                          <w:rPr>
                            <w:rFonts w:ascii="Arial Bold" w:hAnsi="Arial Bold" w:cs="Arial"/>
                            <w:b/>
                            <w:bCs/>
                            <w:szCs w:val="22"/>
                          </w:rPr>
                          <w:t>driven preliminary ratings</w:t>
                        </w:r>
                      </w:p>
                    </w:txbxContent>
                  </v:textbox>
                </v:roundrect>
                <v:roundrect id="Rectangle: Rounded Corners 1" o:spid="_x0000_s1036" style="position:absolute;left:16038;top:99;width:11506;height:90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" fillcolor="#012749" stroked="f" strokeweight="1pt">
                  <v:stroke joinstyle="miter"/>
                  <v:textbox>
                    <w:txbxContent>
                      <w:p w14:paraId="33829F18" w14:textId="77777777" w:rsidR="0083228B" w:rsidRPr="00577921" w:rsidRDefault="0083228B" w:rsidP="0083228B">
                        <w:pPr>
                          <w:spacing w:after="0"/>
                          <w:jc w:val="center"/>
                          <w:rPr>
                            <w:rFonts w:ascii="Arial Bold" w:hAnsi="Arial Bold" w:cs="Arial"/>
                            <w:b/>
                            <w:bCs/>
                            <w:szCs w:val="22"/>
                          </w:rPr>
                        </w:pPr>
                        <w:r w:rsidRPr="00577921">
                          <w:rPr>
                            <w:rFonts w:ascii="Arial Bold" w:hAnsi="Arial Bold" w:cs="Arial"/>
                            <w:b/>
                            <w:bCs/>
                            <w:szCs w:val="22"/>
                          </w:rPr>
                          <w:t>Stage 2:</w:t>
                        </w:r>
                      </w:p>
                      <w:p w14:paraId="351E3B54" w14:textId="77777777" w:rsidR="0083228B" w:rsidRPr="00577921" w:rsidRDefault="0083228B" w:rsidP="0083228B">
                        <w:pPr>
                          <w:spacing w:after="0"/>
                          <w:jc w:val="center"/>
                          <w:rPr>
                            <w:rFonts w:ascii="Arial Bold" w:hAnsi="Arial Bold" w:cs="Arial"/>
                            <w:b/>
                            <w:bCs/>
                            <w:szCs w:val="22"/>
                          </w:rPr>
                        </w:pPr>
                        <w:r w:rsidRPr="00577921">
                          <w:rPr>
                            <w:rFonts w:ascii="Arial Bold" w:hAnsi="Arial Bold" w:cs="Arial"/>
                            <w:b/>
                            <w:bCs/>
                            <w:szCs w:val="22"/>
                          </w:rPr>
                          <w:t>Manual verification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37" type="#_x0000_t13" style="position:absolute;left:12528;top:3095;width:3560;height:2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" adj="14224" fillcolor="#009d9a" stroked="f" strokeweight="2pt"/>
                <v:shape id="Arrow: Right 2" o:spid="_x0000_s1038" type="#_x0000_t13" style="position:absolute;left:27468;top:3132;width:3200;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" adj="13479" fillcolor="#012749" stroked="f" strokeweight="1pt"/>
                <w10:anchorlock/>
              </v:group>
            </w:pict>
          </mc:Fallback>
        </mc:AlternateContent>
      </w:r>
      <w:r w:rsidR="00BF342E" w:rsidRPr="00E53A43">
        <w:t>Source: Jobs and Skills Australia.</w:t>
      </w:r>
    </w:p>
    <w:p w14:paraId="5396E4F9" w14:textId="77777777" w:rsidR="00BF342E" w:rsidRPr="00E53A43" w:rsidRDefault="00BF342E" w:rsidP="00BF342E">
      <w:pPr>
        <w:pStyle w:val="Heading2"/>
      </w:pPr>
      <w:bookmarkStart w:id="26" w:name="_Toc175157202"/>
      <w:bookmarkStart w:id="27" w:name="_Toc204771878"/>
      <w:bookmarkStart w:id="28" w:name="_Toc211425359"/>
      <w:r w:rsidRPr="00E53A43">
        <w:t>Stage 1: Generating preliminary occupation ratings</w:t>
      </w:r>
      <w:bookmarkEnd w:id="26"/>
      <w:bookmarkEnd w:id="27"/>
      <w:bookmarkEnd w:id="28"/>
    </w:p>
    <w:p w14:paraId="4557578A" w14:textId="6D1D4225" w:rsidR="00FC3F6B" w:rsidRPr="00E53A43" w:rsidRDefault="002B7EFE" w:rsidP="00FC3F6B">
      <w:pPr>
        <w:pStyle w:val="BodyText"/>
      </w:pPr>
      <w:r>
        <w:t xml:space="preserve">The preliminary ratings are </w:t>
      </w:r>
      <w:r w:rsidR="003E03A6">
        <w:t xml:space="preserve">produced on 2013 ANZSCO </w:t>
      </w:r>
      <w:r w:rsidR="003E03A6" w:rsidRPr="0090321E">
        <w:t xml:space="preserve">as most data from the ABS and Jobs and Skills Australia are </w:t>
      </w:r>
      <w:r w:rsidR="0091456A">
        <w:t xml:space="preserve">currently </w:t>
      </w:r>
      <w:r w:rsidR="003E03A6" w:rsidRPr="0090321E">
        <w:t xml:space="preserve">based on this </w:t>
      </w:r>
      <w:r w:rsidR="00EB5105">
        <w:t xml:space="preserve">ANZSCO version. </w:t>
      </w:r>
    </w:p>
    <w:p w14:paraId="67013961" w14:textId="28E877C8" w:rsidR="002B7EFE" w:rsidRDefault="00FC3F6B" w:rsidP="00EB5105">
      <w:pPr>
        <w:pStyle w:val="BodyText"/>
      </w:pPr>
      <w:r w:rsidRPr="00E53A43">
        <w:t>The</w:t>
      </w:r>
      <w:r>
        <w:t>se stage 1</w:t>
      </w:r>
      <w:r w:rsidRPr="00E53A43">
        <w:t xml:space="preserve"> occupation ratings are then mapped onto the 2022 ANZSCO occupations to produce the </w:t>
      </w:r>
      <w:r>
        <w:t xml:space="preserve">2022 ANZSCO version of the </w:t>
      </w:r>
      <w:r w:rsidRPr="00E53A43">
        <w:t>OSL</w:t>
      </w:r>
      <w:r w:rsidR="00621089">
        <w:t>, which are</w:t>
      </w:r>
      <w:r w:rsidR="001A74A9">
        <w:t xml:space="preserve"> </w:t>
      </w:r>
      <w:r w:rsidR="007B02B7">
        <w:t xml:space="preserve">then </w:t>
      </w:r>
      <w:r w:rsidR="001A74A9">
        <w:t>mapped in a</w:t>
      </w:r>
      <w:r w:rsidR="00621089">
        <w:t xml:space="preserve"> similar </w:t>
      </w:r>
      <w:r w:rsidR="00075052">
        <w:t>way</w:t>
      </w:r>
      <w:r w:rsidR="001A74A9">
        <w:t xml:space="preserve"> </w:t>
      </w:r>
      <w:r w:rsidR="00621089">
        <w:t xml:space="preserve">to produce </w:t>
      </w:r>
      <w:r w:rsidR="001A74A9">
        <w:t xml:space="preserve">the </w:t>
      </w:r>
      <w:r w:rsidR="00635E03">
        <w:t xml:space="preserve">2024 </w:t>
      </w:r>
      <w:r w:rsidR="001A74A9">
        <w:t>OSCA version of the OSL</w:t>
      </w:r>
      <w:r w:rsidR="00CE647E">
        <w:t>.</w:t>
      </w:r>
      <w:r w:rsidR="00315A0A">
        <w:t xml:space="preserve"> </w:t>
      </w:r>
      <w:r w:rsidR="00264A51">
        <w:t xml:space="preserve">The mapping </w:t>
      </w:r>
      <w:r w:rsidR="0084637D">
        <w:t xml:space="preserve">approach is described </w:t>
      </w:r>
      <w:r w:rsidR="00920530">
        <w:t xml:space="preserve">in </w:t>
      </w:r>
      <w:r w:rsidR="00C229F2">
        <w:fldChar w:fldCharType="begin"/>
      </w:r>
      <w:r w:rsidR="00C229F2">
        <w:instrText xml:space="preserve"> REF _Ref207568965 \h </w:instrText>
      </w:r>
      <w:r w:rsidR="00C229F2">
        <w:fldChar w:fldCharType="separate"/>
      </w:r>
      <w:r w:rsidR="00F6227E">
        <w:t xml:space="preserve">Appendix </w:t>
      </w:r>
      <w:r w:rsidR="00F6227E">
        <w:rPr>
          <w:noProof/>
        </w:rPr>
        <w:t>B</w:t>
      </w:r>
      <w:r w:rsidR="00C229F2">
        <w:fldChar w:fldCharType="end"/>
      </w:r>
      <w:r>
        <w:t>.</w:t>
      </w:r>
      <w:r w:rsidRPr="00E53A43">
        <w:t xml:space="preserve"> </w:t>
      </w:r>
    </w:p>
    <w:p w14:paraId="3D385D49" w14:textId="50CF0D55" w:rsidR="00BC2D2E" w:rsidRPr="00BF342E" w:rsidRDefault="00BF342E" w:rsidP="00F1728C">
      <w:pPr>
        <w:pStyle w:val="BodyText"/>
      </w:pPr>
      <w:r w:rsidRPr="00E53A43">
        <w:t>Preliminary occupation ratings are based on a modelling framework</w:t>
      </w:r>
      <w:r w:rsidR="00C574DC">
        <w:t>, which includes</w:t>
      </w:r>
      <w:r w:rsidRPr="00E53A43">
        <w:t xml:space="preserve"> results from a Gradient Boosted </w:t>
      </w:r>
      <w:r w:rsidRPr="00BF342E">
        <w:t>Machine (GBM) learning model. The key elements of the modelling framework are summarised in</w:t>
      </w:r>
      <w:r w:rsidR="00982C84">
        <w:t xml:space="preserve"> Table</w:t>
      </w:r>
      <w:r w:rsidRPr="00BF342E">
        <w:t xml:space="preserve"> </w:t>
      </w:r>
      <w:r w:rsidR="002715B8">
        <w:t>2</w:t>
      </w:r>
      <w:r w:rsidRPr="00BF342E">
        <w:t>.</w:t>
      </w:r>
    </w:p>
    <w:p w14:paraId="14B06062" w14:textId="57A10BD6" w:rsidR="00BF342E" w:rsidRDefault="00B8159E" w:rsidP="006644E5">
      <w:pPr>
        <w:pStyle w:val="Caption"/>
        <w:keepNext/>
      </w:pPr>
      <w:bookmarkStart w:id="29" w:name="_Ref207569226"/>
      <w:bookmarkStart w:id="30" w:name="_Toc211421395"/>
      <w:r>
        <w:t xml:space="preserve">Table </w:t>
      </w:r>
      <w:r>
        <w:fldChar w:fldCharType="begin"/>
      </w:r>
      <w:r>
        <w:instrText xml:space="preserve"> SEQ Table \* ARABIC </w:instrText>
      </w:r>
      <w:r>
        <w:fldChar w:fldCharType="separate"/>
      </w:r>
      <w:r w:rsidR="00F6227E">
        <w:rPr>
          <w:noProof/>
        </w:rPr>
        <w:t>2</w:t>
      </w:r>
      <w:r>
        <w:fldChar w:fldCharType="end"/>
      </w:r>
      <w:r>
        <w:t>:</w:t>
      </w:r>
      <w:bookmarkEnd w:id="29"/>
      <w:r w:rsidR="00BF342E" w:rsidRPr="00E53A43">
        <w:t xml:space="preserve"> Key steps of the preliminary occupation rating modelling framework</w:t>
      </w:r>
      <w:bookmarkEnd w:id="30"/>
    </w:p>
    <w:tbl>
      <w:tblPr>
        <w:tblStyle w:val="CustomTablebasic"/>
        <w:tblW w:w="9027" w:type="dxa"/>
        <w:tblLook w:val="04A0" w:firstRow="1" w:lastRow="0" w:firstColumn="1" w:lastColumn="0" w:noHBand="0" w:noVBand="1"/>
      </w:tblPr>
      <w:tblGrid>
        <w:gridCol w:w="9027"/>
      </w:tblGrid>
      <w:tr w:rsidR="00C4706B" w14:paraId="611E8A75" w14:textId="77777777" w:rsidTr="00333125">
        <w:trPr>
          <w:cnfStyle w:val="100000000000" w:firstRow="1" w:lastRow="0" w:firstColumn="0" w:lastColumn="0" w:oddVBand="0" w:evenVBand="0" w:oddHBand="0" w:evenHBand="0" w:firstRowFirstColumn="0" w:firstRowLastColumn="0" w:lastRowFirstColumn="0" w:lastRowLastColumn="0"/>
          <w:tblHeader/>
        </w:trPr>
        <w:tc>
          <w:tcPr>
            <w:tcW w:w="9027" w:type="dxa"/>
          </w:tcPr>
          <w:p w14:paraId="2EB57CBE" w14:textId="44C4076D" w:rsidR="00BF342E" w:rsidRPr="00BF342E" w:rsidRDefault="00BF342E" w:rsidP="009E2732">
            <w:pPr>
              <w:pStyle w:val="TableHeading1"/>
            </w:pPr>
            <w:r w:rsidRPr="00E53A43">
              <w:t>Key elements of the modelling framework</w:t>
            </w:r>
          </w:p>
        </w:tc>
      </w:tr>
      <w:tr w:rsidR="00BF342E" w14:paraId="3D6BD489" w14:textId="77777777" w:rsidTr="00BF342E">
        <w:tc>
          <w:tcPr>
            <w:tcW w:w="9027" w:type="dxa"/>
          </w:tcPr>
          <w:p w14:paraId="46590DA0" w14:textId="2F5DB771" w:rsidR="00BF342E" w:rsidRPr="006B1889" w:rsidRDefault="00BF342E" w:rsidP="006B1889">
            <w:pPr>
              <w:pStyle w:val="TableListBullet"/>
            </w:pPr>
            <w:r w:rsidRPr="006B1889">
              <w:t>Estimating occupation fill rates using a GBM model</w:t>
            </w:r>
          </w:p>
        </w:tc>
      </w:tr>
      <w:tr w:rsidR="00A123F1" w14:paraId="68EC84F7" w14:textId="77777777" w:rsidTr="00BF342E">
        <w:trPr>
          <w:cnfStyle w:val="000000010000" w:firstRow="0" w:lastRow="0" w:firstColumn="0" w:lastColumn="0" w:oddVBand="0" w:evenVBand="0" w:oddHBand="0" w:evenHBand="1" w:firstRowFirstColumn="0" w:firstRowLastColumn="0" w:lastRowFirstColumn="0" w:lastRowLastColumn="0"/>
        </w:trPr>
        <w:tc>
          <w:tcPr>
            <w:tcW w:w="9027" w:type="dxa"/>
          </w:tcPr>
          <w:p w14:paraId="1A6068D0" w14:textId="31272675" w:rsidR="00BF342E" w:rsidRPr="006B1889" w:rsidRDefault="00BF342E" w:rsidP="006B1889">
            <w:pPr>
              <w:pStyle w:val="TableListBullet"/>
            </w:pPr>
            <w:r w:rsidRPr="006B1889">
              <w:t xml:space="preserve">Blending the GBM-based fill rates with </w:t>
            </w:r>
            <w:r w:rsidR="006D1ACE">
              <w:t xml:space="preserve">5-year </w:t>
            </w:r>
            <w:r w:rsidRPr="006B1889">
              <w:t>weighted moving average fill rates from the Survey of Employers who have Recently Advertised (SERA)</w:t>
            </w:r>
          </w:p>
        </w:tc>
      </w:tr>
      <w:tr w:rsidR="00BF342E" w14:paraId="638262AB" w14:textId="77777777" w:rsidTr="00BF342E">
        <w:tc>
          <w:tcPr>
            <w:tcW w:w="9027" w:type="dxa"/>
          </w:tcPr>
          <w:p w14:paraId="7A0D3FB8" w14:textId="102B9B0C" w:rsidR="00BF342E" w:rsidRPr="006B1889" w:rsidRDefault="00BF342E" w:rsidP="006B1889">
            <w:pPr>
              <w:pStyle w:val="TableListBullet"/>
            </w:pPr>
            <w:r w:rsidRPr="006B1889">
              <w:t>Producing 80% confidence intervals for the blended occupation fill rates</w:t>
            </w:r>
          </w:p>
        </w:tc>
      </w:tr>
      <w:tr w:rsidR="00A123F1" w14:paraId="317E4329" w14:textId="77777777" w:rsidTr="00BF342E">
        <w:trPr>
          <w:cnfStyle w:val="000000010000" w:firstRow="0" w:lastRow="0" w:firstColumn="0" w:lastColumn="0" w:oddVBand="0" w:evenVBand="0" w:oddHBand="0" w:evenHBand="1" w:firstRowFirstColumn="0" w:firstRowLastColumn="0" w:lastRowFirstColumn="0" w:lastRowLastColumn="0"/>
        </w:trPr>
        <w:tc>
          <w:tcPr>
            <w:tcW w:w="9027" w:type="dxa"/>
          </w:tcPr>
          <w:p w14:paraId="1CF76B8E" w14:textId="1544C829" w:rsidR="00BF342E" w:rsidRPr="006B1889" w:rsidRDefault="00BF342E" w:rsidP="006B1889">
            <w:pPr>
              <w:pStyle w:val="TableListBullet"/>
            </w:pPr>
            <w:r w:rsidRPr="006B1889">
              <w:t>Converting the blended fill rates, confidence intervals and occupation employment size</w:t>
            </w:r>
            <w:r w:rsidR="009A2EB8">
              <w:t xml:space="preserve"> data</w:t>
            </w:r>
            <w:r w:rsidRPr="006B1889">
              <w:t xml:space="preserve"> into occupation ratings using a set of decision rules</w:t>
            </w:r>
          </w:p>
        </w:tc>
      </w:tr>
    </w:tbl>
    <w:p w14:paraId="38FFC8F9" w14:textId="77777777" w:rsidR="00BF342E" w:rsidRDefault="00BF342E" w:rsidP="00BF342E">
      <w:pPr>
        <w:pStyle w:val="Source"/>
      </w:pPr>
      <w:bookmarkStart w:id="31" w:name="_The_GBM"/>
      <w:bookmarkEnd w:id="31"/>
      <w:r>
        <w:t xml:space="preserve">Source: </w:t>
      </w:r>
      <w:r w:rsidRPr="00E53A43">
        <w:t>Jobs and Skills Australia.</w:t>
      </w:r>
    </w:p>
    <w:p w14:paraId="27D74289" w14:textId="77777777" w:rsidR="005704A9" w:rsidRDefault="005704A9">
      <w:pPr>
        <w:spacing w:before="0" w:after="200" w:line="276" w:lineRule="auto"/>
        <w:rPr>
          <w:rFonts w:eastAsia="Times New Roman" w:cs="Arial"/>
          <w:b/>
          <w:color w:val="4B0985"/>
          <w:sz w:val="26"/>
          <w:szCs w:val="26"/>
          <w:lang w:eastAsia="en-AU"/>
        </w:rPr>
      </w:pPr>
      <w:r>
        <w:br w:type="page"/>
      </w:r>
    </w:p>
    <w:p w14:paraId="332555C6" w14:textId="43E79F4E" w:rsidR="00BF342E" w:rsidRPr="00E53A43" w:rsidRDefault="00BF342E" w:rsidP="00BF342E">
      <w:pPr>
        <w:pStyle w:val="Heading3"/>
      </w:pPr>
      <w:bookmarkStart w:id="32" w:name="_Toc211425360"/>
      <w:r w:rsidRPr="00E53A43">
        <w:lastRenderedPageBreak/>
        <w:t xml:space="preserve">The GBM </w:t>
      </w:r>
      <w:r w:rsidR="00640F48">
        <w:t>and modelling framework</w:t>
      </w:r>
      <w:bookmarkEnd w:id="32"/>
    </w:p>
    <w:p w14:paraId="519B12A9" w14:textId="738E32D6" w:rsidR="00496315" w:rsidRDefault="00BF342E" w:rsidP="000F00EA">
      <w:pPr>
        <w:pStyle w:val="BodyText"/>
      </w:pPr>
      <w:r w:rsidRPr="00910928">
        <w:t xml:space="preserve">The GBM model uses decision trees to predict fill rates for each occupation. The GBM operates by consecutively fitting new decision trees to enhance the estimate of the fill rate. The process of fitting new models continues until a stopping rule is reached. For example, when the performance of the model on the </w:t>
      </w:r>
      <w:r w:rsidR="001C51F4">
        <w:t xml:space="preserve">training </w:t>
      </w:r>
      <w:r w:rsidRPr="00910928">
        <w:t xml:space="preserve">data set ceases to improve. </w:t>
      </w:r>
    </w:p>
    <w:p w14:paraId="696EC7A3" w14:textId="31412E16" w:rsidR="00BF342E" w:rsidRPr="00E53A43" w:rsidRDefault="00BF342E" w:rsidP="00910928">
      <w:pPr>
        <w:pStyle w:val="BodyText"/>
      </w:pPr>
      <w:r w:rsidRPr="00910928">
        <w:t xml:space="preserve">The final predicted fill rates are therefore the weighted sum of the predicted values </w:t>
      </w:r>
      <w:r w:rsidR="002A2D88">
        <w:t xml:space="preserve">from </w:t>
      </w:r>
      <w:r w:rsidRPr="00910928">
        <w:t>the previous tree’s models.</w:t>
      </w:r>
      <w:r w:rsidRPr="00BF342E">
        <w:rPr>
          <w:rStyle w:val="FootnoteReference"/>
        </w:rPr>
        <w:footnoteReference w:id="7"/>
      </w:r>
      <w:r w:rsidRPr="00BF342E">
        <w:t xml:space="preserve"> </w:t>
      </w:r>
      <w:r w:rsidRPr="00910928">
        <w:t xml:space="preserve">Thus, the GBM produces the estimated fill rates in a gradual, </w:t>
      </w:r>
      <w:r w:rsidR="00847F61" w:rsidRPr="00910928">
        <w:t>additive,</w:t>
      </w:r>
      <w:r w:rsidRPr="00910928">
        <w:t xml:space="preserve"> and sequential manner.</w:t>
      </w:r>
    </w:p>
    <w:p w14:paraId="23D9B061" w14:textId="2A93D18A" w:rsidR="00BF342E" w:rsidRPr="00910928" w:rsidRDefault="00242680" w:rsidP="00910928">
      <w:pPr>
        <w:pStyle w:val="BodyText"/>
      </w:pPr>
      <w:r w:rsidRPr="00910928">
        <w:t xml:space="preserve">The final GBM model uses 23 inputs from 13 sources. </w:t>
      </w:r>
      <w:r w:rsidR="00BF342E" w:rsidRPr="00910928">
        <w:t xml:space="preserve">A more detailed list of data sources </w:t>
      </w:r>
      <w:r w:rsidR="00405038" w:rsidRPr="00910928">
        <w:t>is</w:t>
      </w:r>
      <w:r w:rsidR="00BF342E" w:rsidRPr="00910928">
        <w:t xml:space="preserve"> in </w:t>
      </w:r>
      <w:r w:rsidR="003D6D65">
        <w:fldChar w:fldCharType="begin"/>
      </w:r>
      <w:r w:rsidR="003D6D65">
        <w:instrText xml:space="preserve"> REF _Ref207716225 \h </w:instrText>
      </w:r>
      <w:r w:rsidR="003D6D65">
        <w:fldChar w:fldCharType="separate"/>
      </w:r>
      <w:r w:rsidR="00F6227E">
        <w:t>Table C</w:t>
      </w:r>
      <w:r w:rsidR="00F6227E">
        <w:rPr>
          <w:noProof/>
        </w:rPr>
        <w:t>1</w:t>
      </w:r>
      <w:r w:rsidR="003D6D65">
        <w:fldChar w:fldCharType="end"/>
      </w:r>
      <w:r w:rsidR="00BF342E" w:rsidRPr="00910928">
        <w:t xml:space="preserve"> in</w:t>
      </w:r>
      <w:r w:rsidR="008C0110">
        <w:t xml:space="preserve"> </w:t>
      </w:r>
      <w:r w:rsidR="00900526">
        <w:fldChar w:fldCharType="begin"/>
      </w:r>
      <w:r w:rsidR="00900526">
        <w:instrText xml:space="preserve"> REF _Ref207569330 \h </w:instrText>
      </w:r>
      <w:r w:rsidR="00900526">
        <w:fldChar w:fldCharType="separate"/>
      </w:r>
      <w:r w:rsidR="00F6227E">
        <w:t xml:space="preserve">Appendix </w:t>
      </w:r>
      <w:r w:rsidR="00F6227E">
        <w:rPr>
          <w:noProof/>
        </w:rPr>
        <w:t>C</w:t>
      </w:r>
      <w:r w:rsidR="00900526">
        <w:fldChar w:fldCharType="end"/>
      </w:r>
      <w:r w:rsidR="00BF342E" w:rsidRPr="00910928">
        <w:t>.</w:t>
      </w:r>
    </w:p>
    <w:p w14:paraId="3A2BAF3B" w14:textId="7E255598" w:rsidR="00405038" w:rsidRDefault="00BF342E" w:rsidP="004E444D">
      <w:pPr>
        <w:pStyle w:val="Heading4"/>
      </w:pPr>
      <w:bookmarkStart w:id="33" w:name="_Toc204771880"/>
      <w:r w:rsidRPr="00E53A43">
        <w:t>Variable importance</w:t>
      </w:r>
      <w:bookmarkEnd w:id="33"/>
    </w:p>
    <w:p w14:paraId="1860CE66" w14:textId="7BF05CB6" w:rsidR="00E07B8A" w:rsidRPr="00E53A43" w:rsidRDefault="00BF342E" w:rsidP="00910928">
      <w:pPr>
        <w:pStyle w:val="BodyText"/>
      </w:pPr>
      <w:r w:rsidRPr="00E53A43">
        <w:t xml:space="preserve">Figure </w:t>
      </w:r>
      <w:r w:rsidR="003136EB">
        <w:t>3</w:t>
      </w:r>
      <w:r w:rsidRPr="00E53A43">
        <w:t xml:space="preserve"> shows the </w:t>
      </w:r>
      <w:r w:rsidR="00F223F5">
        <w:t xml:space="preserve">relative </w:t>
      </w:r>
      <w:r w:rsidRPr="00E53A43">
        <w:t xml:space="preserve">importance of variables used </w:t>
      </w:r>
      <w:r>
        <w:t xml:space="preserve">in </w:t>
      </w:r>
      <w:r w:rsidRPr="00E53A43">
        <w:t xml:space="preserve">the GBM. </w:t>
      </w:r>
    </w:p>
    <w:p w14:paraId="305DC633" w14:textId="4A0F1476" w:rsidR="00405038" w:rsidRDefault="008C3C6B" w:rsidP="00747AD3">
      <w:pPr>
        <w:pStyle w:val="BodyText"/>
      </w:pPr>
      <w:r>
        <w:t xml:space="preserve">Key </w:t>
      </w:r>
      <w:r w:rsidR="00AE3504">
        <w:t xml:space="preserve">model </w:t>
      </w:r>
      <w:r>
        <w:t>contributors include</w:t>
      </w:r>
      <w:r w:rsidR="00E07B8A" w:rsidRPr="00E07B8A">
        <w:t xml:space="preserve"> study diversity, the unemployment rate, </w:t>
      </w:r>
      <w:r w:rsidR="006D50B9">
        <w:t xml:space="preserve">skill level, </w:t>
      </w:r>
      <w:r w:rsidR="00AE3504">
        <w:t xml:space="preserve">and other </w:t>
      </w:r>
      <w:r w:rsidR="006D50B9">
        <w:t>labour demand and supply indicators</w:t>
      </w:r>
      <w:r w:rsidR="00E07B8A" w:rsidRPr="00E07B8A">
        <w:t xml:space="preserve">. </w:t>
      </w:r>
      <w:r w:rsidR="006C054A">
        <w:t xml:space="preserve">Generally, the </w:t>
      </w:r>
      <w:r w:rsidR="00D7544D">
        <w:t xml:space="preserve">sources </w:t>
      </w:r>
      <w:r w:rsidR="006C054A">
        <w:t xml:space="preserve">of data are </w:t>
      </w:r>
      <w:r w:rsidR="00E07B8A" w:rsidRPr="00E07B8A">
        <w:t>Lightcast</w:t>
      </w:r>
      <w:r w:rsidR="006C054A">
        <w:t>,</w:t>
      </w:r>
      <w:r w:rsidR="00E07B8A" w:rsidRPr="00E07B8A">
        <w:t xml:space="preserve"> </w:t>
      </w:r>
      <w:r w:rsidR="00EC6B4F">
        <w:t xml:space="preserve">Department of </w:t>
      </w:r>
      <w:r w:rsidR="00E07B8A" w:rsidRPr="00E07B8A">
        <w:t>Home Affairs</w:t>
      </w:r>
      <w:r w:rsidR="006C054A">
        <w:t>, ABS</w:t>
      </w:r>
      <w:r w:rsidR="00E07B8A" w:rsidRPr="00E07B8A">
        <w:t xml:space="preserve"> and</w:t>
      </w:r>
      <w:r w:rsidR="006C054A">
        <w:t xml:space="preserve"> </w:t>
      </w:r>
      <w:r w:rsidR="00E07B8A" w:rsidRPr="00E07B8A">
        <w:t>Jobs and Skills Australia.</w:t>
      </w:r>
    </w:p>
    <w:p w14:paraId="70960784" w14:textId="7ACD728B" w:rsidR="00BF342E" w:rsidRPr="00E53A43" w:rsidRDefault="00FA1C41" w:rsidP="00BF342E">
      <w:pPr>
        <w:pStyle w:val="Caption"/>
      </w:pPr>
      <w:bookmarkStart w:id="34" w:name="_Toc207714588"/>
      <w:bookmarkStart w:id="35" w:name="_Toc211421414"/>
      <w:r>
        <w:t xml:space="preserve">Figure </w:t>
      </w:r>
      <w:r>
        <w:fldChar w:fldCharType="begin"/>
      </w:r>
      <w:r>
        <w:instrText xml:space="preserve"> SEQ Figure \* ARABIC </w:instrText>
      </w:r>
      <w:r>
        <w:fldChar w:fldCharType="separate"/>
      </w:r>
      <w:r w:rsidR="00F6227E">
        <w:rPr>
          <w:noProof/>
        </w:rPr>
        <w:t>3</w:t>
      </w:r>
      <w:r>
        <w:fldChar w:fldCharType="end"/>
      </w:r>
      <w:r>
        <w:t>:</w:t>
      </w:r>
      <w:r w:rsidR="00BF342E" w:rsidRPr="00E53A43">
        <w:t xml:space="preserve"> Variable importance of indicators in </w:t>
      </w:r>
      <w:r w:rsidR="00BF342E">
        <w:t xml:space="preserve">the </w:t>
      </w:r>
      <w:r w:rsidR="00BF342E" w:rsidRPr="00E53A43">
        <w:t>model</w:t>
      </w:r>
      <w:r w:rsidR="00A10AF6">
        <w:t xml:space="preserve"> (2025)</w:t>
      </w:r>
      <w:bookmarkEnd w:id="34"/>
      <w:bookmarkEnd w:id="35"/>
    </w:p>
    <w:p w14:paraId="76B5A56D" w14:textId="2B981F28" w:rsidR="00AD0BEB" w:rsidRDefault="00BF342E" w:rsidP="00E95979">
      <w:pPr>
        <w:pStyle w:val="Source"/>
        <w:rPr>
          <w:rFonts w:cs="Arial"/>
          <w:b/>
          <w:color w:val="012749"/>
          <w:szCs w:val="21"/>
          <w:lang w:eastAsia="en-AU"/>
        </w:rPr>
      </w:pPr>
      <w:r w:rsidRPr="00FE7795">
        <w:rPr>
          <w:noProof/>
        </w:rPr>
        <w:drawing>
          <wp:inline distT="0" distB="0" distL="0" distR="0" wp14:anchorId="54319D33" wp14:editId="3848ACFF">
            <wp:extent cx="5731510" cy="3881120"/>
            <wp:effectExtent l="0" t="0" r="2540" b="5080"/>
            <wp:docPr id="1110882951" name="Chart 1" descr="This figure lists the relative importance of the variables used in the GBM from highest to lower importance. The measure is in percentage. ">
              <a:extLst xmlns:a="http://schemas.openxmlformats.org/drawingml/2006/main">
                <a:ext uri="{FF2B5EF4-FFF2-40B4-BE49-F238E27FC236}">
                  <a16:creationId xmlns:a16="http://schemas.microsoft.com/office/drawing/2014/main" id="{B8740693-8E02-F63E-C02B-E6569108D0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BF342E">
        <w:br/>
        <w:t>Source: Jobs and Skills Australia.</w:t>
      </w:r>
    </w:p>
    <w:p w14:paraId="5E3F1D22" w14:textId="77777777" w:rsidR="005704A9" w:rsidRDefault="005704A9">
      <w:pPr>
        <w:spacing w:before="0" w:after="200" w:line="276" w:lineRule="auto"/>
        <w:rPr>
          <w:rFonts w:eastAsia="Times New Roman" w:cs="Arial"/>
          <w:b/>
          <w:color w:val="012749"/>
          <w:szCs w:val="21"/>
          <w:lang w:eastAsia="en-AU"/>
        </w:rPr>
      </w:pPr>
      <w:bookmarkStart w:id="36" w:name="_Toc204771881"/>
      <w:r>
        <w:br w:type="page"/>
      </w:r>
    </w:p>
    <w:p w14:paraId="03493F90" w14:textId="764F60BD" w:rsidR="00BF342E" w:rsidRPr="00E53A43" w:rsidRDefault="00BF342E" w:rsidP="003F7972">
      <w:pPr>
        <w:pStyle w:val="Heading4"/>
      </w:pPr>
      <w:r w:rsidRPr="00E53A43">
        <w:lastRenderedPageBreak/>
        <w:t>Blending the GBM-based fill rates with SERA</w:t>
      </w:r>
      <w:bookmarkEnd w:id="36"/>
      <w:r w:rsidRPr="00E53A43">
        <w:t xml:space="preserve"> </w:t>
      </w:r>
    </w:p>
    <w:p w14:paraId="44BAC139" w14:textId="4F8D3C8F" w:rsidR="00242680" w:rsidRDefault="00BF342E" w:rsidP="003F7972">
      <w:pPr>
        <w:pStyle w:val="BodyText"/>
        <w:rPr>
          <w:rFonts w:eastAsia="Times New Roman" w:cs="Arial"/>
          <w:b/>
          <w:color w:val="4B0985"/>
          <w:sz w:val="26"/>
          <w:szCs w:val="26"/>
          <w:lang w:eastAsia="en-AU"/>
        </w:rPr>
      </w:pPr>
      <w:r w:rsidRPr="00BF342E">
        <w:t>A key variable used in the modelling framework, including featuring in the GBM as the target variable</w:t>
      </w:r>
      <w:r w:rsidR="00C15446">
        <w:t>,</w:t>
      </w:r>
      <w:r w:rsidRPr="00BF342E">
        <w:t xml:space="preserve"> is the vacancy fill rate from SERA. </w:t>
      </w:r>
      <w:r w:rsidRPr="00E53A43">
        <w:t xml:space="preserve">The estimated GBM and SERA fill rates, for each occupation are first converted to a linear predictor scale using a logit transformation and </w:t>
      </w:r>
      <w:r>
        <w:t xml:space="preserve">then </w:t>
      </w:r>
      <w:r w:rsidRPr="00E53A43">
        <w:t>blended.</w:t>
      </w:r>
      <w:r w:rsidR="00397153">
        <w:rPr>
          <w:rStyle w:val="FootnoteReference"/>
        </w:rPr>
        <w:footnoteReference w:id="8"/>
      </w:r>
      <w:r w:rsidRPr="00E53A43">
        <w:t xml:space="preserve"> </w:t>
      </w:r>
      <w:bookmarkStart w:id="37" w:name="_Toc204771882"/>
    </w:p>
    <w:p w14:paraId="348DA2CE" w14:textId="77777777" w:rsidR="00BF342E" w:rsidRPr="00E53A43" w:rsidRDefault="00BF342E" w:rsidP="003F7972">
      <w:pPr>
        <w:pStyle w:val="Heading4"/>
      </w:pPr>
      <w:r w:rsidRPr="00E53A43">
        <w:t>Constructing confidence intervals</w:t>
      </w:r>
      <w:bookmarkEnd w:id="37"/>
      <w:r w:rsidRPr="00E53A43">
        <w:t xml:space="preserve"> </w:t>
      </w:r>
    </w:p>
    <w:p w14:paraId="4228D244" w14:textId="7AACBBF6" w:rsidR="00A15085" w:rsidRDefault="00BF342E">
      <w:pPr>
        <w:spacing w:before="0" w:after="200" w:line="276" w:lineRule="auto"/>
        <w:rPr>
          <w:rFonts w:eastAsia="Times New Roman" w:cs="Arial"/>
          <w:b/>
          <w:color w:val="4B0985"/>
          <w:sz w:val="26"/>
          <w:szCs w:val="26"/>
          <w:lang w:eastAsia="en-AU"/>
        </w:rPr>
      </w:pPr>
      <w:r w:rsidRPr="00BF342E">
        <w:t xml:space="preserve">The modelling framework </w:t>
      </w:r>
      <w:r w:rsidR="004419CE">
        <w:t xml:space="preserve">uses </w:t>
      </w:r>
      <w:r w:rsidRPr="00BF342E">
        <w:t xml:space="preserve">an 80% confidence interval of estimated fill rate for each occupation. A confidence interval is the range of values that an estimated value is expected to fall between with a certain level of probability (or confidence). </w:t>
      </w:r>
      <w:bookmarkStart w:id="38" w:name="_Toc204771883"/>
    </w:p>
    <w:p w14:paraId="29E47FFC" w14:textId="77777777" w:rsidR="00BF342E" w:rsidRPr="00E53A43" w:rsidRDefault="00BF342E" w:rsidP="00BF342E">
      <w:pPr>
        <w:pStyle w:val="Heading3"/>
      </w:pPr>
      <w:bookmarkStart w:id="39" w:name="_Toc211425361"/>
      <w:r w:rsidRPr="00E53A43">
        <w:t>Considerations and limitations of the modelling framework</w:t>
      </w:r>
      <w:bookmarkEnd w:id="38"/>
      <w:bookmarkEnd w:id="39"/>
    </w:p>
    <w:p w14:paraId="3E0EBC7D" w14:textId="4FB3B857" w:rsidR="00BF342E" w:rsidRPr="00E53A43" w:rsidRDefault="00BF342E" w:rsidP="00910928">
      <w:pPr>
        <w:pStyle w:val="BodyText"/>
      </w:pPr>
      <w:r w:rsidRPr="00E53A43">
        <w:t xml:space="preserve">GBM is a useful tool for estimating occupation fill rates, which are then used to </w:t>
      </w:r>
      <w:r w:rsidR="00625D6E">
        <w:t>identify</w:t>
      </w:r>
      <w:r w:rsidR="00625D6E" w:rsidRPr="00E53A43">
        <w:t xml:space="preserve"> </w:t>
      </w:r>
      <w:r w:rsidRPr="00E53A43">
        <w:t xml:space="preserve">occupation shortages. However, like all models, </w:t>
      </w:r>
      <w:r w:rsidR="00387055">
        <w:t>it has</w:t>
      </w:r>
      <w:r w:rsidR="00387055" w:rsidRPr="00E53A43">
        <w:t xml:space="preserve"> </w:t>
      </w:r>
      <w:r w:rsidRPr="00E53A43">
        <w:t>limitations</w:t>
      </w:r>
      <w:r w:rsidR="00D91100">
        <w:t>.</w:t>
      </w:r>
    </w:p>
    <w:p w14:paraId="5661EE5C" w14:textId="47299496" w:rsidR="00BF342E" w:rsidRPr="00910928" w:rsidRDefault="009D6835" w:rsidP="00910928">
      <w:pPr>
        <w:pStyle w:val="ListBullet"/>
      </w:pPr>
      <w:r>
        <w:t xml:space="preserve">Limited data coverage: </w:t>
      </w:r>
      <w:r w:rsidR="00BF342E" w:rsidRPr="00910928">
        <w:t>The model is applied to all in</w:t>
      </w:r>
      <w:r w:rsidR="009F3551">
        <w:t xml:space="preserve"> </w:t>
      </w:r>
      <w:r w:rsidR="00BF342E" w:rsidRPr="00910928">
        <w:t>scope occupations</w:t>
      </w:r>
      <w:r w:rsidR="00171E7C">
        <w:t>, including those not typically surveyed in SERA</w:t>
      </w:r>
      <w:r w:rsidR="00BF342E" w:rsidRPr="00910928">
        <w:t xml:space="preserve">. </w:t>
      </w:r>
      <w:r w:rsidR="00866FCE">
        <w:t>While</w:t>
      </w:r>
      <w:r w:rsidR="00BF342E" w:rsidRPr="00910928">
        <w:t xml:space="preserve"> SERA </w:t>
      </w:r>
      <w:r w:rsidR="00866FCE">
        <w:t>provide</w:t>
      </w:r>
      <w:r w:rsidR="005D3F05">
        <w:t>s</w:t>
      </w:r>
      <w:r w:rsidR="00BF342E" w:rsidRPr="00910928">
        <w:t xml:space="preserve"> data on 577 occupations at skill level</w:t>
      </w:r>
      <w:r w:rsidR="005D3F05">
        <w:t>s</w:t>
      </w:r>
      <w:r w:rsidR="00BF342E" w:rsidRPr="00910928">
        <w:t xml:space="preserve"> 1 to 4</w:t>
      </w:r>
      <w:r w:rsidR="005D3F05">
        <w:t>,</w:t>
      </w:r>
      <w:r w:rsidR="00C64DB2">
        <w:t xml:space="preserve"> </w:t>
      </w:r>
      <w:r w:rsidR="00BF342E" w:rsidRPr="00910928">
        <w:t>model performance</w:t>
      </w:r>
      <w:r w:rsidR="00A02225">
        <w:t xml:space="preserve"> may</w:t>
      </w:r>
      <w:r w:rsidR="00BF342E" w:rsidRPr="00910928">
        <w:t xml:space="preserve"> be weaker for occupations </w:t>
      </w:r>
      <w:r w:rsidR="00A02225">
        <w:t>with</w:t>
      </w:r>
      <w:r w:rsidR="00BF342E" w:rsidRPr="00910928">
        <w:t xml:space="preserve"> </w:t>
      </w:r>
      <w:r w:rsidR="00A02225">
        <w:t>limited</w:t>
      </w:r>
      <w:r w:rsidR="00BF342E" w:rsidRPr="00910928">
        <w:t xml:space="preserve"> SERA data. </w:t>
      </w:r>
    </w:p>
    <w:p w14:paraId="1CDD0AFE" w14:textId="5035DBC3" w:rsidR="00BF342E" w:rsidRPr="00910928" w:rsidRDefault="00FE3412" w:rsidP="00910928">
      <w:pPr>
        <w:pStyle w:val="ListBullet"/>
      </w:pPr>
      <w:r>
        <w:t>Data ga</w:t>
      </w:r>
      <w:r w:rsidR="00101DC1">
        <w:t>ps</w:t>
      </w:r>
      <w:r>
        <w:t xml:space="preserve"> and uncertainty: </w:t>
      </w:r>
      <w:r w:rsidR="00F24DB2">
        <w:t>For occupations with</w:t>
      </w:r>
      <w:r w:rsidR="00BF342E" w:rsidRPr="00910928">
        <w:t xml:space="preserve"> no SERA </w:t>
      </w:r>
      <w:r w:rsidR="004257DE">
        <w:t>data</w:t>
      </w:r>
      <w:r w:rsidR="00BF342E" w:rsidRPr="00910928">
        <w:t xml:space="preserve">, the indicator model </w:t>
      </w:r>
      <w:r w:rsidR="00F24DB2">
        <w:t>produces</w:t>
      </w:r>
      <w:r w:rsidR="00BF342E" w:rsidRPr="00910928">
        <w:t xml:space="preserve"> wide</w:t>
      </w:r>
      <w:r w:rsidR="00F24DB2">
        <w:t>r</w:t>
      </w:r>
      <w:r w:rsidR="00BF342E" w:rsidRPr="00910928">
        <w:t xml:space="preserve"> confidence intervals</w:t>
      </w:r>
      <w:r w:rsidR="00F24DB2">
        <w:t xml:space="preserve">, which introduces </w:t>
      </w:r>
      <w:r w:rsidR="00BF342E" w:rsidRPr="00910928">
        <w:t xml:space="preserve">uncertainty </w:t>
      </w:r>
      <w:r w:rsidR="00021E2E">
        <w:t>in</w:t>
      </w:r>
      <w:r w:rsidR="00BF342E" w:rsidRPr="00910928">
        <w:t xml:space="preserve"> assess</w:t>
      </w:r>
      <w:r w:rsidR="00021E2E">
        <w:t>ments</w:t>
      </w:r>
      <w:r w:rsidR="00BF342E" w:rsidRPr="00910928">
        <w:t xml:space="preserve">. However, the GBM </w:t>
      </w:r>
      <w:r w:rsidR="00982963">
        <w:t>is effective</w:t>
      </w:r>
      <w:r w:rsidR="00BF342E" w:rsidRPr="00910928">
        <w:t xml:space="preserve"> </w:t>
      </w:r>
      <w:r w:rsidR="00507458">
        <w:t>at</w:t>
      </w:r>
      <w:r w:rsidR="00BF342E" w:rsidRPr="00910928">
        <w:t xml:space="preserve"> ranking occupations by fill rates</w:t>
      </w:r>
      <w:r w:rsidR="00BC310C">
        <w:t>,</w:t>
      </w:r>
      <w:r w:rsidR="00BF342E" w:rsidRPr="00910928">
        <w:t xml:space="preserve"> from low to high. </w:t>
      </w:r>
      <w:r w:rsidR="00AA1E17" w:rsidRPr="00910928">
        <w:t xml:space="preserve">This </w:t>
      </w:r>
      <w:r w:rsidR="005C450B">
        <w:t>supports confiden</w:t>
      </w:r>
      <w:r w:rsidR="00747AD3">
        <w:t>ce</w:t>
      </w:r>
      <w:r w:rsidR="005C450B">
        <w:t xml:space="preserve"> </w:t>
      </w:r>
      <w:r w:rsidR="0069713C">
        <w:t xml:space="preserve">in </w:t>
      </w:r>
      <w:r w:rsidR="00D75C5A" w:rsidRPr="00910928">
        <w:t xml:space="preserve">applying the </w:t>
      </w:r>
      <w:r w:rsidR="002F6FBC" w:rsidRPr="00910928">
        <w:t xml:space="preserve">criteria to convert </w:t>
      </w:r>
      <w:r w:rsidR="00802C77" w:rsidRPr="00910928">
        <w:t xml:space="preserve">model </w:t>
      </w:r>
      <w:r w:rsidR="00DF26C9">
        <w:t>result</w:t>
      </w:r>
      <w:r w:rsidR="00802C77" w:rsidRPr="00910928">
        <w:t xml:space="preserve">s into the OSL ratings. </w:t>
      </w:r>
    </w:p>
    <w:p w14:paraId="4AFB2827" w14:textId="5CCBFD02" w:rsidR="008216F1" w:rsidRDefault="00FE3412">
      <w:pPr>
        <w:pStyle w:val="ListBullet"/>
      </w:pPr>
      <w:r>
        <w:t xml:space="preserve">Data quality dependence: </w:t>
      </w:r>
      <w:r w:rsidR="00BF342E" w:rsidRPr="00910928">
        <w:t xml:space="preserve">The </w:t>
      </w:r>
      <w:r w:rsidR="00F77BE8">
        <w:t>accuracy and reliability of the model</w:t>
      </w:r>
      <w:r w:rsidR="00BF342E" w:rsidRPr="00910928">
        <w:t xml:space="preserve"> is reliant on the quality of the underlying data</w:t>
      </w:r>
      <w:r w:rsidR="00D713C6">
        <w:t xml:space="preserve"> sources</w:t>
      </w:r>
      <w:r w:rsidR="00BF342E" w:rsidRPr="00910928">
        <w:t>.</w:t>
      </w:r>
      <w:r w:rsidR="00D713C6">
        <w:t xml:space="preserve"> </w:t>
      </w:r>
      <w:r w:rsidR="00526035">
        <w:t xml:space="preserve">It </w:t>
      </w:r>
      <w:r w:rsidR="00EC1B6F">
        <w:t>also</w:t>
      </w:r>
      <w:r w:rsidR="008216F1" w:rsidRPr="008216F1">
        <w:t xml:space="preserve"> assumes that the structure and format of the data sources remain stable</w:t>
      </w:r>
      <w:r w:rsidR="005C53A5">
        <w:t xml:space="preserve"> over time</w:t>
      </w:r>
      <w:r w:rsidR="008216F1" w:rsidRPr="008216F1">
        <w:t xml:space="preserve">. </w:t>
      </w:r>
      <w:r w:rsidR="00B5596A" w:rsidRPr="00B5596A">
        <w:t>Any structural change in the data will require the GBM to be retrained</w:t>
      </w:r>
      <w:r w:rsidR="008216F1" w:rsidRPr="008216F1">
        <w:t xml:space="preserve"> to ensure it continues to produce valid results.</w:t>
      </w:r>
    </w:p>
    <w:p w14:paraId="0ECC39E3" w14:textId="77777777" w:rsidR="00BF342E" w:rsidRPr="00E53A43" w:rsidRDefault="00BF342E" w:rsidP="00BF342E">
      <w:pPr>
        <w:pStyle w:val="Heading3"/>
      </w:pPr>
      <w:bookmarkStart w:id="40" w:name="_Toc204771884"/>
      <w:bookmarkStart w:id="41" w:name="_Toc211425362"/>
      <w:r w:rsidRPr="00E53A43">
        <w:t>Converting fill rates into ratings</w:t>
      </w:r>
      <w:bookmarkEnd w:id="40"/>
      <w:bookmarkEnd w:id="41"/>
    </w:p>
    <w:p w14:paraId="4BD56286" w14:textId="538A27D9" w:rsidR="00BF342E" w:rsidRPr="00E53A43" w:rsidRDefault="00BF342E" w:rsidP="00050806">
      <w:pPr>
        <w:pStyle w:val="BodyText"/>
      </w:pPr>
      <w:r w:rsidRPr="00E53A43">
        <w:t xml:space="preserve">To obtain preliminary ratings, Jobs and Skills Australia applies a set of decision rules based on vacancy fill rates and other </w:t>
      </w:r>
      <w:r w:rsidR="007874B1">
        <w:t>data</w:t>
      </w:r>
      <w:r w:rsidRPr="00E53A43">
        <w:t>.</w:t>
      </w:r>
    </w:p>
    <w:p w14:paraId="59EA9832" w14:textId="3190B084" w:rsidR="00BF342E" w:rsidRPr="00E53A43" w:rsidRDefault="00BF342E" w:rsidP="00BF342E">
      <w:pPr>
        <w:pStyle w:val="Heading4"/>
      </w:pPr>
      <w:r w:rsidRPr="00E53A43">
        <w:t>National or overall shortage (S)</w:t>
      </w:r>
    </w:p>
    <w:p w14:paraId="17DD8A3D" w14:textId="54247AC7" w:rsidR="00BF342E" w:rsidRPr="004B3B89" w:rsidRDefault="00BF342E" w:rsidP="004B3B89">
      <w:pPr>
        <w:pStyle w:val="BodyText"/>
      </w:pPr>
      <w:r w:rsidRPr="004B3B89">
        <w:t xml:space="preserve">An occupation is rated as national </w:t>
      </w:r>
      <w:r w:rsidR="00DB539A" w:rsidRPr="004B3B89">
        <w:t>s</w:t>
      </w:r>
      <w:r w:rsidRPr="004B3B89">
        <w:t>hortage (S) if:</w:t>
      </w:r>
    </w:p>
    <w:p w14:paraId="290CF1FF" w14:textId="3C551241" w:rsidR="00BF342E" w:rsidRPr="00050806" w:rsidRDefault="00BF342E" w:rsidP="004B3B89">
      <w:pPr>
        <w:pStyle w:val="ListNumber"/>
        <w:numPr>
          <w:ilvl w:val="0"/>
          <w:numId w:val="45"/>
        </w:numPr>
      </w:pPr>
      <w:r w:rsidRPr="00050806">
        <w:t>The occupation fill rate is below 67% in both metro and regional areas, and</w:t>
      </w:r>
    </w:p>
    <w:p w14:paraId="058C1D09" w14:textId="5389892F" w:rsidR="00FB6CFD" w:rsidRDefault="00BF342E" w:rsidP="00FE7795">
      <w:pPr>
        <w:pStyle w:val="ListNumber"/>
      </w:pPr>
      <w:r w:rsidRPr="00050806">
        <w:t>The occupation fill rate is below 67% in an area that has a majority employment share, which is defined as 80% or more.</w:t>
      </w:r>
    </w:p>
    <w:tbl>
      <w:tblPr>
        <w:tblStyle w:val="CustomTablepulloutbox2"/>
        <w:tblW w:w="0" w:type="auto"/>
        <w:tblLook w:val="04A0" w:firstRow="1" w:lastRow="0" w:firstColumn="1" w:lastColumn="0" w:noHBand="0" w:noVBand="1"/>
      </w:tblPr>
      <w:tblGrid>
        <w:gridCol w:w="8997"/>
      </w:tblGrid>
      <w:tr w:rsidR="00FB6CFD" w14:paraId="6A07365F" w14:textId="77777777" w:rsidTr="00FE7795">
        <w:tc>
          <w:tcPr>
            <w:tcW w:w="9027" w:type="dxa"/>
          </w:tcPr>
          <w:p w14:paraId="1CF47A5E" w14:textId="26329B13" w:rsidR="00FB6CFD" w:rsidRPr="00344333" w:rsidRDefault="008A1185" w:rsidP="00FE7795">
            <w:pPr>
              <w:pStyle w:val="TableBodyText"/>
            </w:pPr>
            <w:r w:rsidRPr="00FE7795">
              <w:rPr>
                <w:rStyle w:val="Characterbolditalic"/>
              </w:rPr>
              <w:t>Example:</w:t>
            </w:r>
            <w:r w:rsidRPr="00344333">
              <w:t xml:space="preserve"> An occupation would be rated as </w:t>
            </w:r>
            <w:r w:rsidRPr="00FE7795">
              <w:t>S</w:t>
            </w:r>
            <w:r w:rsidRPr="00344333">
              <w:t xml:space="preserve"> if the employment share in a metropolitan area was 85% and the occupation fill rate in </w:t>
            </w:r>
            <w:r w:rsidR="00CD328E">
              <w:t xml:space="preserve">the </w:t>
            </w:r>
            <w:r w:rsidR="006B2E9E">
              <w:t>metropolitan</w:t>
            </w:r>
            <w:r w:rsidRPr="00344333">
              <w:t xml:space="preserve"> area was 62%.</w:t>
            </w:r>
          </w:p>
        </w:tc>
      </w:tr>
    </w:tbl>
    <w:p w14:paraId="7C6290EA" w14:textId="77777777" w:rsidR="001F7C17" w:rsidRDefault="001F7C17" w:rsidP="00EB6B9F">
      <w:pPr>
        <w:pStyle w:val="Heading4"/>
      </w:pPr>
    </w:p>
    <w:p w14:paraId="7DB2901E" w14:textId="77777777" w:rsidR="001F7C17" w:rsidRDefault="001F7C17">
      <w:pPr>
        <w:spacing w:before="0" w:after="200" w:line="276" w:lineRule="auto"/>
        <w:rPr>
          <w:rFonts w:eastAsia="Times New Roman" w:cs="Arial"/>
          <w:b/>
          <w:color w:val="012749"/>
          <w:szCs w:val="21"/>
          <w:lang w:eastAsia="en-AU"/>
        </w:rPr>
      </w:pPr>
      <w:r>
        <w:br w:type="page"/>
      </w:r>
    </w:p>
    <w:p w14:paraId="5B667F2D" w14:textId="6C5E6E18" w:rsidR="00BF342E" w:rsidRPr="00E53A43" w:rsidRDefault="00BF342E" w:rsidP="00EB6B9F">
      <w:pPr>
        <w:pStyle w:val="Heading4"/>
      </w:pPr>
      <w:r w:rsidRPr="00E53A43">
        <w:lastRenderedPageBreak/>
        <w:t>Regional/Metropolitan shortages (R/M)</w:t>
      </w:r>
    </w:p>
    <w:p w14:paraId="0629C202" w14:textId="77777777" w:rsidR="00BF342E" w:rsidRPr="00E53A43" w:rsidRDefault="00BF342E" w:rsidP="004B3B89">
      <w:pPr>
        <w:pStyle w:val="BodyText"/>
      </w:pPr>
      <w:r w:rsidRPr="00E53A43">
        <w:t>An occupation is rated as in regional shortage (</w:t>
      </w:r>
      <w:r w:rsidRPr="00BF342E">
        <w:t>R</w:t>
      </w:r>
      <w:r w:rsidRPr="00E53A43">
        <w:t>) if:</w:t>
      </w:r>
    </w:p>
    <w:p w14:paraId="0B048658" w14:textId="77777777" w:rsidR="00BF342E" w:rsidRPr="004B3B89" w:rsidRDefault="00BF342E" w:rsidP="004B3B89">
      <w:pPr>
        <w:pStyle w:val="ListNumber"/>
        <w:numPr>
          <w:ilvl w:val="0"/>
          <w:numId w:val="46"/>
        </w:numPr>
      </w:pPr>
      <w:r w:rsidRPr="004B3B89">
        <w:t>The occupation fill rate is below 67% in a regional area, and</w:t>
      </w:r>
    </w:p>
    <w:p w14:paraId="47A2999D" w14:textId="304D46BA" w:rsidR="00BF342E" w:rsidRDefault="00BF342E" w:rsidP="004B3B89">
      <w:pPr>
        <w:pStyle w:val="ListNumber"/>
      </w:pPr>
      <w:r w:rsidRPr="004B3B89">
        <w:t xml:space="preserve">The employment share of the occupation in the regional area </w:t>
      </w:r>
      <w:r w:rsidR="00025EB9">
        <w:t>is</w:t>
      </w:r>
      <w:r w:rsidR="00025EB9" w:rsidRPr="004B3B89">
        <w:t xml:space="preserve"> </w:t>
      </w:r>
      <w:r w:rsidRPr="004B3B89">
        <w:t>between 20% and 80%.</w:t>
      </w:r>
    </w:p>
    <w:tbl>
      <w:tblPr>
        <w:tblStyle w:val="CustomTablepulloutbox2"/>
        <w:tblW w:w="0" w:type="auto"/>
        <w:tblLook w:val="04A0" w:firstRow="1" w:lastRow="0" w:firstColumn="1" w:lastColumn="0" w:noHBand="0" w:noVBand="1"/>
      </w:tblPr>
      <w:tblGrid>
        <w:gridCol w:w="8997"/>
      </w:tblGrid>
      <w:tr w:rsidR="005F5F52" w14:paraId="523FFD8E" w14:textId="77777777" w:rsidTr="00FE7795">
        <w:tc>
          <w:tcPr>
            <w:tcW w:w="9027" w:type="dxa"/>
          </w:tcPr>
          <w:p w14:paraId="5158AF0A" w14:textId="5CEAC0B9" w:rsidR="005F5F52" w:rsidRDefault="00166918" w:rsidP="00FE7795">
            <w:pPr>
              <w:pStyle w:val="TableBodyText"/>
            </w:pPr>
            <w:r w:rsidRPr="00FE7795">
              <w:rPr>
                <w:rStyle w:val="Characterbolditalic"/>
              </w:rPr>
              <w:t>Example:</w:t>
            </w:r>
            <w:r w:rsidRPr="00344333">
              <w:t xml:space="preserve"> An occupation would be rated as R if the employment share in the regional area is 40% and the occupation fill rate in the regional area is 57%.</w:t>
            </w:r>
          </w:p>
        </w:tc>
      </w:tr>
    </w:tbl>
    <w:p w14:paraId="4BE2FF77" w14:textId="306934F7" w:rsidR="00BF342E" w:rsidRPr="00BF342E" w:rsidRDefault="00081D09" w:rsidP="00081D09">
      <w:pPr>
        <w:pStyle w:val="BodyText"/>
      </w:pPr>
      <w:r w:rsidRPr="00081D09">
        <w:t>A similar rule holds for Metropolitan shortage (M) if the above criteria are met for a metropolitan area.</w:t>
      </w:r>
    </w:p>
    <w:p w14:paraId="5E6F48ED" w14:textId="5FA1D1B6" w:rsidR="00BF342E" w:rsidRPr="00E53A43" w:rsidRDefault="006A60B8" w:rsidP="00BF342E">
      <w:pPr>
        <w:pStyle w:val="Heading4"/>
      </w:pPr>
      <w:r>
        <w:t xml:space="preserve">Additional rules </w:t>
      </w:r>
      <w:r w:rsidR="00BF342E" w:rsidRPr="00E53A43">
        <w:t xml:space="preserve">used to convert the occupation fill rates into ratings </w:t>
      </w:r>
      <w:r w:rsidR="00BF342E" w:rsidRPr="00E53A43">
        <w:tab/>
      </w:r>
    </w:p>
    <w:p w14:paraId="55D7CA3F" w14:textId="74959C43" w:rsidR="00BF342E" w:rsidRDefault="008272E3" w:rsidP="00137B28">
      <w:pPr>
        <w:pStyle w:val="BodyText"/>
      </w:pPr>
      <w:r>
        <w:t xml:space="preserve">In addition to the rules described previously, </w:t>
      </w:r>
      <w:r w:rsidR="008C7D4C">
        <w:t xml:space="preserve">additional </w:t>
      </w:r>
      <w:r w:rsidR="00037738">
        <w:t xml:space="preserve">criteria are </w:t>
      </w:r>
      <w:r w:rsidR="006D689F">
        <w:t xml:space="preserve">used </w:t>
      </w:r>
      <w:r w:rsidR="00826CA1">
        <w:t xml:space="preserve">when producing </w:t>
      </w:r>
      <w:r w:rsidR="008D7F80">
        <w:t>occupation ratings (</w:t>
      </w:r>
      <w:r w:rsidR="006D58A8">
        <w:t>Table 3</w:t>
      </w:r>
      <w:r w:rsidR="008D7F80">
        <w:t xml:space="preserve">). </w:t>
      </w:r>
    </w:p>
    <w:p w14:paraId="1763BD5A" w14:textId="7A1F17F9" w:rsidR="007545A8" w:rsidRDefault="00B8159E" w:rsidP="00137B28">
      <w:pPr>
        <w:pStyle w:val="Caption"/>
      </w:pPr>
      <w:bookmarkStart w:id="42" w:name="_Ref207569172"/>
      <w:bookmarkStart w:id="43" w:name="_Toc211421396"/>
      <w:r>
        <w:t xml:space="preserve">Table </w:t>
      </w:r>
      <w:r>
        <w:fldChar w:fldCharType="begin"/>
      </w:r>
      <w:r>
        <w:instrText xml:space="preserve"> SEQ Table \* ARABIC </w:instrText>
      </w:r>
      <w:r>
        <w:fldChar w:fldCharType="separate"/>
      </w:r>
      <w:r w:rsidR="00F6227E">
        <w:rPr>
          <w:noProof/>
        </w:rPr>
        <w:t>3</w:t>
      </w:r>
      <w:r>
        <w:fldChar w:fldCharType="end"/>
      </w:r>
      <w:r>
        <w:t>:</w:t>
      </w:r>
      <w:bookmarkEnd w:id="42"/>
      <w:r w:rsidR="00796C5C" w:rsidRPr="00796C5C">
        <w:t xml:space="preserve"> </w:t>
      </w:r>
      <w:r w:rsidR="00E83F79">
        <w:t xml:space="preserve">Additional decision rules </w:t>
      </w:r>
      <w:r w:rsidR="0021198C">
        <w:t xml:space="preserve">applied to determine </w:t>
      </w:r>
      <w:r w:rsidR="000E6232">
        <w:t xml:space="preserve">stage 1 </w:t>
      </w:r>
      <w:r w:rsidR="0021198C">
        <w:t>occupation ratings</w:t>
      </w:r>
      <w:r w:rsidR="00493194">
        <w:rPr>
          <w:rStyle w:val="FootnoteReference"/>
        </w:rPr>
        <w:footnoteReference w:id="9"/>
      </w:r>
      <w:bookmarkEnd w:id="43"/>
    </w:p>
    <w:tbl>
      <w:tblPr>
        <w:tblStyle w:val="CustomTablebasic"/>
        <w:tblW w:w="9027" w:type="dxa"/>
        <w:tblLook w:val="04A0" w:firstRow="1" w:lastRow="0" w:firstColumn="1" w:lastColumn="0" w:noHBand="0" w:noVBand="1"/>
      </w:tblPr>
      <w:tblGrid>
        <w:gridCol w:w="9027"/>
      </w:tblGrid>
      <w:tr w:rsidR="00C4706B" w14:paraId="58189783" w14:textId="77777777">
        <w:trPr>
          <w:cnfStyle w:val="100000000000" w:firstRow="1" w:lastRow="0" w:firstColumn="0" w:lastColumn="0" w:oddVBand="0" w:evenVBand="0" w:oddHBand="0" w:evenHBand="0" w:firstRowFirstColumn="0" w:firstRowLastColumn="0" w:lastRowFirstColumn="0" w:lastRowLastColumn="0"/>
          <w:tblHeader/>
        </w:trPr>
        <w:tc>
          <w:tcPr>
            <w:tcW w:w="9027" w:type="dxa"/>
          </w:tcPr>
          <w:p w14:paraId="2D05F1C3" w14:textId="1BA62F1F" w:rsidR="00542602" w:rsidRPr="00542602" w:rsidRDefault="00542602" w:rsidP="00725034">
            <w:pPr>
              <w:pStyle w:val="TableHeading1"/>
            </w:pPr>
            <w:r>
              <w:t>Criter</w:t>
            </w:r>
            <w:r w:rsidR="00FE07B8">
              <w:t>ia</w:t>
            </w:r>
          </w:p>
        </w:tc>
      </w:tr>
      <w:tr w:rsidR="00594105" w14:paraId="43E44C69" w14:textId="77777777">
        <w:tc>
          <w:tcPr>
            <w:tcW w:w="9027" w:type="dxa"/>
          </w:tcPr>
          <w:p w14:paraId="427955FB" w14:textId="6940DBC1" w:rsidR="00594105" w:rsidRPr="00321160" w:rsidRDefault="00594105" w:rsidP="00137B28">
            <w:pPr>
              <w:pStyle w:val="TableListNumber"/>
            </w:pPr>
            <w:r w:rsidRPr="00321160">
              <w:t xml:space="preserve">For an S, M or R to apply, the employment size for an occupation must be </w:t>
            </w:r>
            <w:r w:rsidR="00FB0EC2">
              <w:t xml:space="preserve">greater than </w:t>
            </w:r>
            <w:r w:rsidRPr="00321160">
              <w:t>the bottom 25th percentile (approximately 1</w:t>
            </w:r>
            <w:r w:rsidR="00827306">
              <w:t>,</w:t>
            </w:r>
            <w:r w:rsidRPr="00321160">
              <w:t>400 workers).</w:t>
            </w:r>
          </w:p>
        </w:tc>
      </w:tr>
      <w:tr w:rsidR="00A123F1" w14:paraId="1EF77818" w14:textId="77777777">
        <w:trPr>
          <w:cnfStyle w:val="000000010000" w:firstRow="0" w:lastRow="0" w:firstColumn="0" w:lastColumn="0" w:oddVBand="0" w:evenVBand="0" w:oddHBand="0" w:evenHBand="1" w:firstRowFirstColumn="0" w:firstRowLastColumn="0" w:lastRowFirstColumn="0" w:lastRowLastColumn="0"/>
        </w:trPr>
        <w:tc>
          <w:tcPr>
            <w:tcW w:w="9027" w:type="dxa"/>
          </w:tcPr>
          <w:p w14:paraId="285423E6" w14:textId="685E2042" w:rsidR="00594105" w:rsidRPr="00321160" w:rsidRDefault="00594105" w:rsidP="00137B28">
            <w:pPr>
              <w:pStyle w:val="TableListNumber"/>
            </w:pPr>
            <w:r w:rsidRPr="00321160">
              <w:t>If the employment size is between the 10th and 25th percentiles, an uncertainty flag is applied</w:t>
            </w:r>
            <w:r w:rsidR="00E1428B">
              <w:t xml:space="preserve"> </w:t>
            </w:r>
            <w:r w:rsidR="000D336E">
              <w:t>for close review in verification</w:t>
            </w:r>
            <w:r w:rsidRPr="00321160">
              <w:t>.</w:t>
            </w:r>
          </w:p>
        </w:tc>
      </w:tr>
      <w:tr w:rsidR="00594105" w14:paraId="7D882F66" w14:textId="77777777">
        <w:tc>
          <w:tcPr>
            <w:tcW w:w="9027" w:type="dxa"/>
          </w:tcPr>
          <w:p w14:paraId="64251449" w14:textId="3F9A9B1A" w:rsidR="00594105" w:rsidRPr="00321160" w:rsidRDefault="00594105" w:rsidP="00137B28">
            <w:pPr>
              <w:pStyle w:val="TableListNumber"/>
            </w:pPr>
            <w:r w:rsidRPr="00321160">
              <w:t xml:space="preserve">The occupation's fill rate is </w:t>
            </w:r>
            <w:r w:rsidR="00AB054F">
              <w:t xml:space="preserve">considered to have </w:t>
            </w:r>
            <w:r w:rsidR="005236B1">
              <w:t xml:space="preserve">a </w:t>
            </w:r>
            <w:r w:rsidR="00AB054F">
              <w:t xml:space="preserve">low fill rate </w:t>
            </w:r>
            <w:r w:rsidRPr="00321160">
              <w:t>when at least 90% of all possible fill rates</w:t>
            </w:r>
            <w:r w:rsidR="00AC35BD">
              <w:t xml:space="preserve"> are below 67%, based on </w:t>
            </w:r>
            <w:r w:rsidRPr="00321160">
              <w:t>an 80% confidence interval.</w:t>
            </w:r>
          </w:p>
        </w:tc>
      </w:tr>
      <w:tr w:rsidR="00A123F1" w14:paraId="7F7FE5FF" w14:textId="77777777">
        <w:trPr>
          <w:cnfStyle w:val="000000010000" w:firstRow="0" w:lastRow="0" w:firstColumn="0" w:lastColumn="0" w:oddVBand="0" w:evenVBand="0" w:oddHBand="0" w:evenHBand="1" w:firstRowFirstColumn="0" w:firstRowLastColumn="0" w:lastRowFirstColumn="0" w:lastRowLastColumn="0"/>
        </w:trPr>
        <w:tc>
          <w:tcPr>
            <w:tcW w:w="9027" w:type="dxa"/>
          </w:tcPr>
          <w:p w14:paraId="6C8F580F" w14:textId="0B9C4E99" w:rsidR="00CE79F6" w:rsidRPr="00321160" w:rsidRDefault="00126F87" w:rsidP="00037BA4">
            <w:pPr>
              <w:pStyle w:val="TableListNumber"/>
            </w:pPr>
            <w:r>
              <w:t xml:space="preserve">To change an occupation's </w:t>
            </w:r>
            <w:r w:rsidR="00594105" w:rsidRPr="00321160">
              <w:t xml:space="preserve">rating from </w:t>
            </w:r>
            <w:r w:rsidR="00835FC9">
              <w:t>last</w:t>
            </w:r>
            <w:r w:rsidR="00E83F79">
              <w:t xml:space="preserve"> year</w:t>
            </w:r>
            <w:r w:rsidR="00835FC9">
              <w:t>,</w:t>
            </w:r>
            <w:r w:rsidR="00594105" w:rsidRPr="00321160">
              <w:t xml:space="preserve"> there must be at least a 20</w:t>
            </w:r>
            <w:r w:rsidR="00835FC9">
              <w:t xml:space="preserve"> </w:t>
            </w:r>
            <w:r w:rsidR="00594105" w:rsidRPr="00321160">
              <w:t xml:space="preserve">percentage point </w:t>
            </w:r>
            <w:r w:rsidR="00835FC9">
              <w:t xml:space="preserve">difference </w:t>
            </w:r>
            <w:r w:rsidR="00372E03">
              <w:t xml:space="preserve">in </w:t>
            </w:r>
            <w:r w:rsidR="00CE79F6">
              <w:t>the</w:t>
            </w:r>
            <w:r w:rsidR="00CE79F6" w:rsidRPr="00CE79F6">
              <w:t xml:space="preserve"> percentage that</w:t>
            </w:r>
            <w:r w:rsidR="00541585">
              <w:t xml:space="preserve"> occupation fill rate</w:t>
            </w:r>
            <w:r w:rsidR="00CE79F6" w:rsidRPr="00CE79F6">
              <w:t xml:space="preserve"> fall</w:t>
            </w:r>
            <w:r w:rsidR="00541585">
              <w:t>s</w:t>
            </w:r>
            <w:r w:rsidR="00CE79F6" w:rsidRPr="00CE79F6">
              <w:t xml:space="preserve"> below 67%</w:t>
            </w:r>
            <w:r w:rsidR="00037BA4">
              <w:t>.</w:t>
            </w:r>
            <w:r w:rsidR="00724DDD">
              <w:t xml:space="preserve"> </w:t>
            </w:r>
          </w:p>
        </w:tc>
      </w:tr>
      <w:tr w:rsidR="006A5405" w14:paraId="117A6938" w14:textId="77777777">
        <w:tc>
          <w:tcPr>
            <w:tcW w:w="9027" w:type="dxa"/>
          </w:tcPr>
          <w:p w14:paraId="7F739DD1" w14:textId="761434C7" w:rsidR="006A5405" w:rsidRPr="00321160" w:rsidRDefault="006A5405" w:rsidP="00137B28">
            <w:pPr>
              <w:pStyle w:val="TableListNumber"/>
            </w:pPr>
            <w:r w:rsidRPr="00321160">
              <w:t>If the above rules are not satisfied</w:t>
            </w:r>
            <w:r w:rsidR="00206366">
              <w:t>,</w:t>
            </w:r>
            <w:r w:rsidRPr="00321160">
              <w:t xml:space="preserve"> an NS rating is applied.</w:t>
            </w:r>
          </w:p>
        </w:tc>
      </w:tr>
      <w:tr w:rsidR="00A123F1" w14:paraId="502C19C8" w14:textId="77777777">
        <w:trPr>
          <w:cnfStyle w:val="000000010000" w:firstRow="0" w:lastRow="0" w:firstColumn="0" w:lastColumn="0" w:oddVBand="0" w:evenVBand="0" w:oddHBand="0" w:evenHBand="1" w:firstRowFirstColumn="0" w:firstRowLastColumn="0" w:lastRowFirstColumn="0" w:lastRowLastColumn="0"/>
        </w:trPr>
        <w:tc>
          <w:tcPr>
            <w:tcW w:w="9027" w:type="dxa"/>
          </w:tcPr>
          <w:p w14:paraId="35082DDE" w14:textId="649833FF" w:rsidR="006A5405" w:rsidRPr="00321160" w:rsidRDefault="006A5405" w:rsidP="00137B28">
            <w:pPr>
              <w:pStyle w:val="TableListNumber"/>
            </w:pPr>
            <w:r w:rsidRPr="00321160">
              <w:t>If the employment size is below the 10th percentile, an NS rating is also applied as there is too much uncertainty to rate the occupation as S, M or R.</w:t>
            </w:r>
          </w:p>
        </w:tc>
      </w:tr>
    </w:tbl>
    <w:p w14:paraId="7564AE8E" w14:textId="2DB2D89C" w:rsidR="00542602" w:rsidRPr="006E3CB4" w:rsidRDefault="005C076F" w:rsidP="00137B28">
      <w:pPr>
        <w:pStyle w:val="Source"/>
      </w:pPr>
      <w:r>
        <w:t xml:space="preserve">Source: Jobs and Skills Australia. </w:t>
      </w:r>
    </w:p>
    <w:p w14:paraId="21AF5151" w14:textId="75CC6032" w:rsidR="00BF342E" w:rsidRPr="00E53A43" w:rsidRDefault="00BF342E" w:rsidP="00A43C89">
      <w:pPr>
        <w:pStyle w:val="BodyText"/>
      </w:pPr>
      <w:r w:rsidRPr="00E53A43">
        <w:t>The above rules were based on sensitivity tests to produce the most stable and consistent results over</w:t>
      </w:r>
      <w:r w:rsidR="00D979BA">
        <w:t xml:space="preserve"> </w:t>
      </w:r>
      <w:r w:rsidRPr="00E53A43">
        <w:t>time.</w:t>
      </w:r>
    </w:p>
    <w:p w14:paraId="5DCF659E" w14:textId="77777777" w:rsidR="00BF342E" w:rsidRPr="00E53A43" w:rsidRDefault="00BF342E" w:rsidP="00A43C89">
      <w:pPr>
        <w:pStyle w:val="BodyText"/>
      </w:pPr>
      <w:r w:rsidRPr="00E53A43">
        <w:t>These rules and thresholds are applied to ensure that:</w:t>
      </w:r>
    </w:p>
    <w:p w14:paraId="787A4C64" w14:textId="4583C488" w:rsidR="00BF342E" w:rsidRPr="00E53A43" w:rsidRDefault="00BF342E" w:rsidP="00BF342E">
      <w:pPr>
        <w:pStyle w:val="ListBullet"/>
      </w:pPr>
      <w:r w:rsidRPr="00E53A43">
        <w:t>the preliminary ratings are based on strong data</w:t>
      </w:r>
      <w:r w:rsidR="009F3551">
        <w:t xml:space="preserve"> </w:t>
      </w:r>
      <w:r w:rsidRPr="00E53A43">
        <w:t xml:space="preserve">evidence; and </w:t>
      </w:r>
    </w:p>
    <w:p w14:paraId="06D18B0C" w14:textId="77777777" w:rsidR="00BF342E" w:rsidRPr="00E53A43" w:rsidRDefault="00BF342E" w:rsidP="00BF342E">
      <w:pPr>
        <w:pStyle w:val="ListBullet"/>
      </w:pPr>
      <w:r w:rsidRPr="00E53A43">
        <w:t xml:space="preserve">any changes in ratings reflect, as best as possible, changes in labour market conditions rather than being influenced by sudden shifts or data volatility. </w:t>
      </w:r>
    </w:p>
    <w:p w14:paraId="2FD0026F" w14:textId="43E78FDA" w:rsidR="00BF342E" w:rsidRDefault="00BF342E" w:rsidP="00FE7795">
      <w:pPr>
        <w:spacing w:before="0" w:after="200" w:line="276" w:lineRule="auto"/>
      </w:pPr>
      <w:r w:rsidRPr="00E53A43">
        <w:t>These initial occupation ratings are further verified in the second stage of the OSL assessment process.</w:t>
      </w:r>
    </w:p>
    <w:p w14:paraId="3984FC7A" w14:textId="77777777" w:rsidR="001F7C17" w:rsidRDefault="001F7C17">
      <w:pPr>
        <w:spacing w:before="0" w:after="200" w:line="276" w:lineRule="auto"/>
      </w:pPr>
      <w:r>
        <w:br w:type="page"/>
      </w:r>
    </w:p>
    <w:p w14:paraId="297FD435" w14:textId="66DFF9F4" w:rsidR="008D56EC" w:rsidRDefault="00EE0BC6" w:rsidP="00BA1FFF">
      <w:pPr>
        <w:spacing w:before="0" w:after="200" w:line="276" w:lineRule="auto"/>
      </w:pPr>
      <w:r>
        <w:lastRenderedPageBreak/>
        <w:t xml:space="preserve">Given the above, </w:t>
      </w:r>
      <w:r w:rsidR="008D56EC">
        <w:t xml:space="preserve">an occupation could have an </w:t>
      </w:r>
      <w:r w:rsidR="00FA35D0">
        <w:t xml:space="preserve">initial, preliminary </w:t>
      </w:r>
      <w:r w:rsidR="008D56EC">
        <w:t xml:space="preserve">NS </w:t>
      </w:r>
      <w:r w:rsidR="00FA35D0">
        <w:t xml:space="preserve">rating </w:t>
      </w:r>
      <w:r w:rsidR="008D56EC">
        <w:t xml:space="preserve">because: </w:t>
      </w:r>
    </w:p>
    <w:p w14:paraId="224045ED" w14:textId="1235DD08" w:rsidR="00FA35D0" w:rsidRDefault="00FA35D0" w:rsidP="008D56EC">
      <w:pPr>
        <w:pStyle w:val="ListBullet"/>
      </w:pPr>
      <w:r>
        <w:t xml:space="preserve">the occupation </w:t>
      </w:r>
      <w:r w:rsidR="008D56EC">
        <w:t>is not in shortage in the labour market</w:t>
      </w:r>
    </w:p>
    <w:p w14:paraId="3367D912" w14:textId="0296DE74" w:rsidR="00C725AE" w:rsidRPr="00E53A43" w:rsidRDefault="00DA0720" w:rsidP="00137B28">
      <w:pPr>
        <w:pStyle w:val="ListBullet"/>
      </w:pPr>
      <w:r>
        <w:t xml:space="preserve">there is uncertainty </w:t>
      </w:r>
      <w:r w:rsidR="00AE7E61">
        <w:t xml:space="preserve">due to mixed </w:t>
      </w:r>
      <w:r w:rsidR="00F87CA3">
        <w:t xml:space="preserve">or limited data </w:t>
      </w:r>
      <w:r w:rsidR="00AE7E61">
        <w:t>evidence</w:t>
      </w:r>
      <w:r w:rsidR="00F87CA3">
        <w:t>.</w:t>
      </w:r>
      <w:r w:rsidR="00AE7E61">
        <w:t xml:space="preserve"> </w:t>
      </w:r>
    </w:p>
    <w:p w14:paraId="0BF2D21E" w14:textId="3F9E45F5" w:rsidR="00F763A8" w:rsidRDefault="00BF342E" w:rsidP="001F7C17">
      <w:pPr>
        <w:pStyle w:val="BodyText"/>
        <w:rPr>
          <w:b/>
          <w:bCs/>
          <w:color w:val="012749"/>
          <w:sz w:val="18"/>
          <w:szCs w:val="18"/>
        </w:rPr>
      </w:pPr>
      <w:r w:rsidRPr="00E53A43">
        <w:t xml:space="preserve">Figure </w:t>
      </w:r>
      <w:r w:rsidR="00577DD3">
        <w:t>4</w:t>
      </w:r>
      <w:r w:rsidRPr="00E53A43">
        <w:t xml:space="preserve"> below illustrates </w:t>
      </w:r>
      <w:bookmarkStart w:id="44" w:name="_Hlk173345159"/>
      <w:r w:rsidR="003A6574">
        <w:t xml:space="preserve">example </w:t>
      </w:r>
      <w:r w:rsidRPr="00E53A43">
        <w:t>occupation shortage scenarios</w:t>
      </w:r>
      <w:r w:rsidR="002A3D96">
        <w:t>.</w:t>
      </w:r>
      <w:r w:rsidRPr="00E53A43">
        <w:t xml:space="preserve"> </w:t>
      </w:r>
      <w:bookmarkEnd w:id="44"/>
    </w:p>
    <w:p w14:paraId="6C257BA6" w14:textId="778CB3DB" w:rsidR="00BF342E" w:rsidRPr="00E53A43" w:rsidRDefault="00FA1C41" w:rsidP="0031063D">
      <w:pPr>
        <w:pStyle w:val="Caption"/>
      </w:pPr>
      <w:bookmarkStart w:id="45" w:name="_Toc207714589"/>
      <w:bookmarkStart w:id="46" w:name="_Toc211421415"/>
      <w:r>
        <w:t xml:space="preserve">Figure </w:t>
      </w:r>
      <w:r>
        <w:fldChar w:fldCharType="begin"/>
      </w:r>
      <w:r>
        <w:instrText xml:space="preserve"> SEQ Figure \* ARABIC </w:instrText>
      </w:r>
      <w:r>
        <w:fldChar w:fldCharType="separate"/>
      </w:r>
      <w:r w:rsidR="00F6227E">
        <w:rPr>
          <w:noProof/>
        </w:rPr>
        <w:t>4</w:t>
      </w:r>
      <w:r>
        <w:fldChar w:fldCharType="end"/>
      </w:r>
      <w:r>
        <w:t>:</w:t>
      </w:r>
      <w:r w:rsidR="00BF342E" w:rsidRPr="00E53A43">
        <w:t xml:space="preserve"> </w:t>
      </w:r>
      <w:r w:rsidR="008E5A42">
        <w:t>O</w:t>
      </w:r>
      <w:r w:rsidR="00BF342E" w:rsidRPr="00E53A43">
        <w:t>ccupation shortage scenarios</w:t>
      </w:r>
      <w:bookmarkEnd w:id="45"/>
      <w:bookmarkEnd w:id="46"/>
    </w:p>
    <w:p w14:paraId="7EB094B4" w14:textId="58368869" w:rsidR="00BF342E" w:rsidRPr="00BF342E" w:rsidRDefault="00BF342E" w:rsidP="00E95979">
      <w:pPr>
        <w:pStyle w:val="Source"/>
      </w:pPr>
      <w:r w:rsidRPr="00BF342E">
        <w:rPr>
          <w:bCs w:val="0"/>
          <w:noProof/>
        </w:rPr>
        <mc:AlternateContent>
          <mc:Choice Requires="wpg">
            <w:drawing>
              <wp:inline distT="0" distB="0" distL="0" distR="0" wp14:anchorId="5CDC0D62" wp14:editId="7B24BEE5">
                <wp:extent cx="5731077" cy="3843495"/>
                <wp:effectExtent l="0" t="0" r="3175" b="5080"/>
                <wp:docPr id="1806358577" name="Group 8" descr="Depiction of the shortage rating rules as they apply to national shortages (S), metropolitan shortages (M) and regional shortages (R)."/>
                <wp:cNvGraphicFramePr/>
                <a:graphic xmlns:a="http://schemas.openxmlformats.org/drawingml/2006/main">
                  <a:graphicData uri="http://schemas.microsoft.com/office/word/2010/wordprocessingGroup">
                    <wpg:wgp>
                      <wpg:cNvGrpSpPr/>
                      <wpg:grpSpPr>
                        <a:xfrm>
                          <a:off x="0" y="0"/>
                          <a:ext cx="5731077" cy="3843495"/>
                          <a:chOff x="0" y="0"/>
                          <a:chExt cx="5731077" cy="3168670"/>
                        </a:xfrm>
                      </wpg:grpSpPr>
                      <wps:wsp>
                        <wps:cNvPr id="227280951" name="Rectangle: Rounded Corners 3"/>
                        <wps:cNvSpPr/>
                        <wps:spPr>
                          <a:xfrm>
                            <a:off x="0" y="0"/>
                            <a:ext cx="1810800" cy="360000"/>
                          </a:xfrm>
                          <a:prstGeom prst="roundRect">
                            <a:avLst/>
                          </a:prstGeom>
                          <a:solidFill>
                            <a:schemeClr val="tx2"/>
                          </a:solidFill>
                          <a:ln w="12700" cap="flat" cmpd="sng" algn="ctr">
                            <a:noFill/>
                            <a:prstDash val="solid"/>
                            <a:miter lim="800000"/>
                          </a:ln>
                          <a:effectLst/>
                        </wps:spPr>
                        <wps:txbx>
                          <w:txbxContent>
                            <w:p w14:paraId="09057D06" w14:textId="77777777" w:rsidR="00BF342E" w:rsidRPr="00E53A43" w:rsidRDefault="00BF342E" w:rsidP="00BF342E">
                              <w:pPr>
                                <w:jc w:val="center"/>
                                <w:rPr>
                                  <w:rFonts w:cs="Arial"/>
                                  <w:b/>
                                  <w:bCs/>
                                  <w:sz w:val="20"/>
                                </w:rPr>
                              </w:pPr>
                              <w:r w:rsidRPr="00E53A43">
                                <w:rPr>
                                  <w:rFonts w:cs="Arial"/>
                                  <w:b/>
                                  <w:bCs/>
                                  <w:sz w:val="20"/>
                                </w:rPr>
                                <w:t>National Shortage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641293" name="Rectangle: Rounded Corners 3"/>
                        <wps:cNvSpPr/>
                        <wps:spPr>
                          <a:xfrm>
                            <a:off x="529" y="542475"/>
                            <a:ext cx="1810800" cy="1403446"/>
                          </a:xfrm>
                          <a:prstGeom prst="roundRect">
                            <a:avLst/>
                          </a:prstGeom>
                          <a:solidFill>
                            <a:schemeClr val="accent1">
                              <a:lumMod val="20000"/>
                              <a:lumOff val="80000"/>
                            </a:schemeClr>
                          </a:solidFill>
                          <a:ln w="12700" cap="flat" cmpd="sng" algn="ctr">
                            <a:noFill/>
                            <a:prstDash val="solid"/>
                            <a:miter lim="800000"/>
                          </a:ln>
                          <a:effectLst/>
                        </wps:spPr>
                        <wps:txbx>
                          <w:txbxContent>
                            <w:p w14:paraId="329A0940" w14:textId="7A29F3F7" w:rsidR="00BF342E" w:rsidRPr="00BA6AA1" w:rsidRDefault="00BF342E" w:rsidP="00FE7795">
                              <w:pPr>
                                <w:pStyle w:val="ListBullet"/>
                                <w:rPr>
                                  <w:sz w:val="16"/>
                                  <w:szCs w:val="16"/>
                                </w:rPr>
                              </w:pPr>
                              <w:r w:rsidRPr="00BA6AA1">
                                <w:rPr>
                                  <w:sz w:val="16"/>
                                  <w:szCs w:val="16"/>
                                </w:rPr>
                                <w:t xml:space="preserve">Fill rate is below 67% in both </w:t>
                              </w:r>
                              <w:r w:rsidRPr="00BA6AA1">
                                <w:rPr>
                                  <w:b/>
                                  <w:sz w:val="16"/>
                                  <w:szCs w:val="16"/>
                                </w:rPr>
                                <w:t>metro and regional</w:t>
                              </w:r>
                              <w:r w:rsidRPr="00BA6AA1">
                                <w:rPr>
                                  <w:sz w:val="16"/>
                                  <w:szCs w:val="16"/>
                                </w:rPr>
                                <w:t xml:space="preserve"> area</w:t>
                              </w:r>
                            </w:p>
                            <w:p w14:paraId="5A61AD52" w14:textId="36813594" w:rsidR="00BF342E" w:rsidRPr="00BA6AA1" w:rsidRDefault="00BF342E" w:rsidP="00FE7795">
                              <w:pPr>
                                <w:pStyle w:val="ListBullet"/>
                                <w:rPr>
                                  <w:sz w:val="16"/>
                                  <w:szCs w:val="16"/>
                                </w:rPr>
                              </w:pPr>
                              <w:r w:rsidRPr="00BA6AA1">
                                <w:rPr>
                                  <w:sz w:val="16"/>
                                  <w:szCs w:val="16"/>
                                </w:rPr>
                                <w:t>Fill rate is below 67% in an area that has majority employment share</w:t>
                              </w:r>
                            </w:p>
                            <w:p w14:paraId="70431128" w14:textId="15F14982" w:rsidR="00BF342E" w:rsidRPr="00BA6AA1" w:rsidRDefault="00BF342E" w:rsidP="00FE7795">
                              <w:pPr>
                                <w:pStyle w:val="ListBullet"/>
                                <w:rPr>
                                  <w:sz w:val="16"/>
                                  <w:szCs w:val="16"/>
                                </w:rPr>
                              </w:pPr>
                              <w:r w:rsidRPr="00BA6AA1">
                                <w:rPr>
                                  <w:sz w:val="16"/>
                                  <w:szCs w:val="16"/>
                                </w:rPr>
                                <w:t>Majority employment share is defined as 80% or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0316237" name="Rectangle: Rounded Corners 3"/>
                        <wps:cNvSpPr/>
                        <wps:spPr>
                          <a:xfrm>
                            <a:off x="636602" y="2111479"/>
                            <a:ext cx="4457700" cy="1057191"/>
                          </a:xfrm>
                          <a:prstGeom prst="roundRect">
                            <a:avLst/>
                          </a:prstGeom>
                          <a:solidFill>
                            <a:srgbClr val="2F005F"/>
                          </a:solidFill>
                          <a:ln w="12700" cap="flat" cmpd="sng" algn="ctr">
                            <a:noFill/>
                            <a:prstDash val="solid"/>
                            <a:miter lim="800000"/>
                          </a:ln>
                          <a:effectLst/>
                        </wps:spPr>
                        <wps:txbx>
                          <w:txbxContent>
                            <w:p w14:paraId="57F61AB9" w14:textId="269E98E5" w:rsidR="00BF342E" w:rsidRPr="00BA6AA1" w:rsidRDefault="002E4497" w:rsidP="00FE7795">
                              <w:pPr>
                                <w:pStyle w:val="ListBullet"/>
                                <w:rPr>
                                  <w:sz w:val="16"/>
                                  <w:szCs w:val="16"/>
                                </w:rPr>
                              </w:pPr>
                              <w:r>
                                <w:rPr>
                                  <w:sz w:val="16"/>
                                  <w:szCs w:val="16"/>
                                </w:rPr>
                                <w:t xml:space="preserve">At least </w:t>
                              </w:r>
                              <w:r w:rsidR="00BF342E" w:rsidRPr="00BA6AA1">
                                <w:rPr>
                                  <w:sz w:val="16"/>
                                  <w:szCs w:val="16"/>
                                </w:rPr>
                                <w:t xml:space="preserve">90% </w:t>
                              </w:r>
                              <w:r>
                                <w:rPr>
                                  <w:sz w:val="16"/>
                                  <w:szCs w:val="16"/>
                                </w:rPr>
                                <w:t xml:space="preserve">of all possible </w:t>
                              </w:r>
                              <w:r w:rsidR="00BF342E" w:rsidRPr="00BA6AA1">
                                <w:rPr>
                                  <w:sz w:val="16"/>
                                  <w:szCs w:val="16"/>
                                </w:rPr>
                                <w:t xml:space="preserve">occupation fill rates fall below </w:t>
                              </w:r>
                              <w:r w:rsidR="000238BB">
                                <w:rPr>
                                  <w:sz w:val="16"/>
                                  <w:szCs w:val="16"/>
                                </w:rPr>
                                <w:t xml:space="preserve">the </w:t>
                              </w:r>
                              <w:r>
                                <w:rPr>
                                  <w:sz w:val="16"/>
                                  <w:szCs w:val="16"/>
                                </w:rPr>
                                <w:t xml:space="preserve">threshold rate of </w:t>
                              </w:r>
                              <w:r w:rsidR="00BF342E" w:rsidRPr="00BA6AA1">
                                <w:rPr>
                                  <w:sz w:val="16"/>
                                  <w:szCs w:val="16"/>
                                </w:rPr>
                                <w:t>67% within an 80% confidence interval.</w:t>
                              </w:r>
                            </w:p>
                            <w:p w14:paraId="176C1A54" w14:textId="181ADD05" w:rsidR="00BF342E" w:rsidRPr="00BA6AA1" w:rsidRDefault="00BF342E" w:rsidP="00FE7795">
                              <w:pPr>
                                <w:pStyle w:val="ListBullet"/>
                                <w:rPr>
                                  <w:sz w:val="16"/>
                                  <w:szCs w:val="16"/>
                                </w:rPr>
                              </w:pPr>
                              <w:r w:rsidRPr="00BA6AA1">
                                <w:rPr>
                                  <w:sz w:val="16"/>
                                  <w:szCs w:val="16"/>
                                </w:rPr>
                                <w:t>At least a 20</w:t>
                              </w:r>
                              <w:r w:rsidR="00935A25">
                                <w:rPr>
                                  <w:sz w:val="16"/>
                                  <w:szCs w:val="16"/>
                                </w:rPr>
                                <w:t xml:space="preserve"> </w:t>
                              </w:r>
                              <w:r w:rsidRPr="00BA6AA1">
                                <w:rPr>
                                  <w:sz w:val="16"/>
                                  <w:szCs w:val="16"/>
                                </w:rPr>
                                <w:t>percentage point change as compared to last year in the percentage of fill rates that fall below 67% within an 80% confidence interval.</w:t>
                              </w:r>
                            </w:p>
                            <w:p w14:paraId="293ACA4E" w14:textId="77777777" w:rsidR="00BF342E" w:rsidRPr="00BA6AA1" w:rsidRDefault="00BF342E" w:rsidP="00FE7795">
                              <w:pPr>
                                <w:pStyle w:val="ListBullet"/>
                                <w:rPr>
                                  <w:sz w:val="16"/>
                                  <w:szCs w:val="16"/>
                                </w:rPr>
                              </w:pPr>
                              <w:r w:rsidRPr="00BA6AA1">
                                <w:rPr>
                                  <w:sz w:val="16"/>
                                  <w:szCs w:val="16"/>
                                </w:rPr>
                                <w:t>For an S, M or R to apply, the employment level of an occupation must be above the bottom 25th percentile (approximately 1400 workers).</w:t>
                              </w:r>
                            </w:p>
                            <w:p w14:paraId="4F6FD83E" w14:textId="77777777" w:rsidR="00BF342E" w:rsidRPr="00E53A43" w:rsidRDefault="00BF342E" w:rsidP="00BF342E">
                              <w:pPr>
                                <w:jc w:val="center"/>
                                <w:rPr>
                                  <w:rFonts w:cs="Arial"/>
                                  <w:b/>
                                  <w:bCs/>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974150" name="Rectangle: Rounded Corners 3"/>
                        <wps:cNvSpPr/>
                        <wps:spPr>
                          <a:xfrm>
                            <a:off x="3919856" y="0"/>
                            <a:ext cx="1810385" cy="360000"/>
                          </a:xfrm>
                          <a:prstGeom prst="roundRect">
                            <a:avLst/>
                          </a:prstGeom>
                          <a:solidFill>
                            <a:srgbClr val="4B0985"/>
                          </a:solidFill>
                          <a:ln w="12700" cap="flat" cmpd="sng" algn="ctr">
                            <a:noFill/>
                            <a:prstDash val="solid"/>
                            <a:miter lim="800000"/>
                          </a:ln>
                          <a:effectLst/>
                        </wps:spPr>
                        <wps:txbx>
                          <w:txbxContent>
                            <w:p w14:paraId="10C7AE6C" w14:textId="77777777" w:rsidR="00BF342E" w:rsidRPr="00E53A43" w:rsidRDefault="00BF342E" w:rsidP="00BF342E">
                              <w:pPr>
                                <w:jc w:val="center"/>
                                <w:rPr>
                                  <w:rFonts w:cs="Arial"/>
                                  <w:b/>
                                  <w:bCs/>
                                  <w:sz w:val="20"/>
                                </w:rPr>
                              </w:pPr>
                              <w:r w:rsidRPr="00E53A43">
                                <w:rPr>
                                  <w:rFonts w:cs="Arial"/>
                                  <w:b/>
                                  <w:bCs/>
                                  <w:sz w:val="20"/>
                                </w:rPr>
                                <w:t>Regional Shortage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837116" name="Rectangle: Rounded Corners 3"/>
                        <wps:cNvSpPr/>
                        <wps:spPr>
                          <a:xfrm>
                            <a:off x="3920277" y="541536"/>
                            <a:ext cx="1810800" cy="1403446"/>
                          </a:xfrm>
                          <a:prstGeom prst="roundRect">
                            <a:avLst/>
                          </a:prstGeom>
                          <a:solidFill>
                            <a:schemeClr val="accent1">
                              <a:lumMod val="20000"/>
                              <a:lumOff val="80000"/>
                            </a:schemeClr>
                          </a:solidFill>
                          <a:ln w="12700" cap="flat" cmpd="sng" algn="ctr">
                            <a:noFill/>
                            <a:prstDash val="solid"/>
                            <a:miter lim="800000"/>
                          </a:ln>
                          <a:effectLst/>
                        </wps:spPr>
                        <wps:txbx>
                          <w:txbxContent>
                            <w:p w14:paraId="577B2E4A" w14:textId="77777777" w:rsidR="00BF342E" w:rsidRPr="00BA6AA1" w:rsidRDefault="00BF342E" w:rsidP="00FE7795">
                              <w:pPr>
                                <w:pStyle w:val="ListBullet"/>
                                <w:rPr>
                                  <w:sz w:val="16"/>
                                  <w:szCs w:val="16"/>
                                </w:rPr>
                              </w:pPr>
                              <w:r w:rsidRPr="00BA6AA1">
                                <w:rPr>
                                  <w:sz w:val="16"/>
                                  <w:szCs w:val="16"/>
                                </w:rPr>
                                <w:t xml:space="preserve">Fill rate is below 67% in </w:t>
                              </w:r>
                              <w:r w:rsidRPr="00BA6AA1">
                                <w:rPr>
                                  <w:b/>
                                  <w:sz w:val="16"/>
                                  <w:szCs w:val="16"/>
                                </w:rPr>
                                <w:t>regional</w:t>
                              </w:r>
                              <w:r w:rsidRPr="00BA6AA1">
                                <w:rPr>
                                  <w:sz w:val="16"/>
                                  <w:szCs w:val="16"/>
                                </w:rPr>
                                <w:t xml:space="preserve"> area.</w:t>
                              </w:r>
                            </w:p>
                            <w:p w14:paraId="2BABAA8B" w14:textId="4126D780" w:rsidR="00BF342E" w:rsidRPr="00BA6AA1" w:rsidRDefault="00BF342E" w:rsidP="00FE7795">
                              <w:pPr>
                                <w:pStyle w:val="ListBullet"/>
                                <w:rPr>
                                  <w:sz w:val="16"/>
                                  <w:szCs w:val="16"/>
                                </w:rPr>
                              </w:pPr>
                              <w:r w:rsidRPr="00BA6AA1">
                                <w:rPr>
                                  <w:sz w:val="16"/>
                                  <w:szCs w:val="16"/>
                                </w:rPr>
                                <w:t xml:space="preserve">The employment share of the occupation in the regional area </w:t>
                              </w:r>
                              <w:r w:rsidR="000669BC">
                                <w:rPr>
                                  <w:sz w:val="16"/>
                                  <w:szCs w:val="16"/>
                                </w:rPr>
                                <w:t>is</w:t>
                              </w:r>
                              <w:r w:rsidR="000669BC" w:rsidRPr="00BA6AA1">
                                <w:rPr>
                                  <w:sz w:val="16"/>
                                  <w:szCs w:val="16"/>
                                </w:rPr>
                                <w:t xml:space="preserve"> </w:t>
                              </w:r>
                              <w:r w:rsidRPr="00BA6AA1">
                                <w:rPr>
                                  <w:sz w:val="16"/>
                                  <w:szCs w:val="16"/>
                                </w:rPr>
                                <w:t>between 20% and 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0861684" name="Straight Arrow Connector 5"/>
                        <wps:cNvCnPr/>
                        <wps:spPr>
                          <a:xfrm>
                            <a:off x="4825360" y="337785"/>
                            <a:ext cx="0" cy="203200"/>
                          </a:xfrm>
                          <a:prstGeom prst="straightConnector1">
                            <a:avLst/>
                          </a:prstGeom>
                          <a:noFill/>
                          <a:ln w="38100" cap="flat" cmpd="sng" algn="ctr">
                            <a:solidFill>
                              <a:srgbClr val="4B0985"/>
                            </a:solidFill>
                            <a:prstDash val="solid"/>
                            <a:miter lim="800000"/>
                            <a:tailEnd type="triangle"/>
                          </a:ln>
                          <a:effectLst/>
                        </wps:spPr>
                        <wps:bodyPr/>
                      </wps:wsp>
                      <wps:wsp>
                        <wps:cNvPr id="1930026191" name="Straight Arrow Connector 5"/>
                        <wps:cNvCnPr/>
                        <wps:spPr>
                          <a:xfrm>
                            <a:off x="2865157" y="338012"/>
                            <a:ext cx="0" cy="203200"/>
                          </a:xfrm>
                          <a:prstGeom prst="straightConnector1">
                            <a:avLst/>
                          </a:prstGeom>
                          <a:noFill/>
                          <a:ln w="38100" cap="flat" cmpd="sng" algn="ctr">
                            <a:solidFill>
                              <a:srgbClr val="4B0985"/>
                            </a:solidFill>
                            <a:prstDash val="solid"/>
                            <a:miter lim="800000"/>
                            <a:tailEnd type="triangle"/>
                          </a:ln>
                          <a:effectLst/>
                        </wps:spPr>
                        <wps:bodyPr/>
                      </wps:wsp>
                      <wps:wsp>
                        <wps:cNvPr id="1234484748" name="Rectangle: Rounded Corners 3"/>
                        <wps:cNvSpPr/>
                        <wps:spPr>
                          <a:xfrm>
                            <a:off x="1960080" y="0"/>
                            <a:ext cx="1809750" cy="359410"/>
                          </a:xfrm>
                          <a:prstGeom prst="roundRect">
                            <a:avLst/>
                          </a:prstGeom>
                          <a:solidFill>
                            <a:schemeClr val="tx2"/>
                          </a:solidFill>
                          <a:ln w="12700" cap="flat" cmpd="sng" algn="ctr">
                            <a:noFill/>
                            <a:prstDash val="solid"/>
                            <a:miter lim="800000"/>
                          </a:ln>
                          <a:effectLst/>
                        </wps:spPr>
                        <wps:txbx>
                          <w:txbxContent>
                            <w:p w14:paraId="73BA7248" w14:textId="77777777" w:rsidR="00BF342E" w:rsidRPr="00E53A43" w:rsidRDefault="00BF342E" w:rsidP="00BF342E">
                              <w:pPr>
                                <w:jc w:val="center"/>
                                <w:rPr>
                                  <w:rFonts w:cs="Arial"/>
                                  <w:b/>
                                  <w:bCs/>
                                  <w:sz w:val="20"/>
                                </w:rPr>
                              </w:pPr>
                              <w:r w:rsidRPr="00E53A43">
                                <w:rPr>
                                  <w:rFonts w:cs="Arial"/>
                                  <w:b/>
                                  <w:bCs/>
                                  <w:sz w:val="20"/>
                                </w:rPr>
                                <w:t>Metropolitan Shortage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847834" name="Rectangle: Rounded Corners 3"/>
                        <wps:cNvSpPr/>
                        <wps:spPr>
                          <a:xfrm>
                            <a:off x="1960080" y="541749"/>
                            <a:ext cx="1810800" cy="1403446"/>
                          </a:xfrm>
                          <a:prstGeom prst="roundRect">
                            <a:avLst/>
                          </a:prstGeom>
                          <a:solidFill>
                            <a:schemeClr val="accent1">
                              <a:lumMod val="20000"/>
                              <a:lumOff val="80000"/>
                            </a:schemeClr>
                          </a:solidFill>
                          <a:ln w="12700" cap="flat" cmpd="sng" algn="ctr">
                            <a:noFill/>
                            <a:prstDash val="solid"/>
                            <a:miter lim="800000"/>
                          </a:ln>
                          <a:effectLst/>
                        </wps:spPr>
                        <wps:txbx>
                          <w:txbxContent>
                            <w:p w14:paraId="52BF218D" w14:textId="77777777" w:rsidR="00BF342E" w:rsidRPr="00BA6AA1" w:rsidRDefault="00BF342E" w:rsidP="00FE7795">
                              <w:pPr>
                                <w:pStyle w:val="ListBullet"/>
                                <w:rPr>
                                  <w:sz w:val="16"/>
                                  <w:szCs w:val="16"/>
                                </w:rPr>
                              </w:pPr>
                              <w:r w:rsidRPr="00BA6AA1">
                                <w:rPr>
                                  <w:sz w:val="16"/>
                                  <w:szCs w:val="16"/>
                                </w:rPr>
                                <w:t xml:space="preserve">Fill rate is below 67% in </w:t>
                              </w:r>
                              <w:r w:rsidRPr="00BA6AA1">
                                <w:rPr>
                                  <w:b/>
                                  <w:sz w:val="16"/>
                                  <w:szCs w:val="16"/>
                                </w:rPr>
                                <w:t>metropolitan</w:t>
                              </w:r>
                              <w:r w:rsidRPr="00BA6AA1">
                                <w:rPr>
                                  <w:sz w:val="16"/>
                                  <w:szCs w:val="16"/>
                                </w:rPr>
                                <w:t xml:space="preserve"> area.</w:t>
                              </w:r>
                            </w:p>
                            <w:p w14:paraId="0976FF8F" w14:textId="6D9A2C97" w:rsidR="00BF342E" w:rsidRPr="00BA6AA1" w:rsidRDefault="00BF342E" w:rsidP="00FE7795">
                              <w:pPr>
                                <w:pStyle w:val="ListBullet"/>
                                <w:rPr>
                                  <w:sz w:val="16"/>
                                  <w:szCs w:val="16"/>
                                </w:rPr>
                              </w:pPr>
                              <w:r w:rsidRPr="00BA6AA1">
                                <w:rPr>
                                  <w:sz w:val="16"/>
                                  <w:szCs w:val="16"/>
                                </w:rPr>
                                <w:t xml:space="preserve">The employment share of the occupation in the metropolitan area </w:t>
                              </w:r>
                              <w:r w:rsidR="000669BC">
                                <w:rPr>
                                  <w:sz w:val="16"/>
                                  <w:szCs w:val="16"/>
                                </w:rPr>
                                <w:t>is</w:t>
                              </w:r>
                              <w:r w:rsidR="000669BC" w:rsidRPr="00BA6AA1">
                                <w:rPr>
                                  <w:sz w:val="16"/>
                                  <w:szCs w:val="16"/>
                                </w:rPr>
                                <w:t xml:space="preserve"> </w:t>
                              </w:r>
                              <w:r w:rsidRPr="00BA6AA1">
                                <w:rPr>
                                  <w:sz w:val="16"/>
                                  <w:szCs w:val="16"/>
                                </w:rPr>
                                <w:t>between 20% and 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074257" name="Straight Arrow Connector 5"/>
                        <wps:cNvCnPr/>
                        <wps:spPr>
                          <a:xfrm>
                            <a:off x="905510" y="337785"/>
                            <a:ext cx="0" cy="203200"/>
                          </a:xfrm>
                          <a:prstGeom prst="straightConnector1">
                            <a:avLst/>
                          </a:prstGeom>
                          <a:noFill/>
                          <a:ln w="38100" cap="flat" cmpd="sng" algn="ctr">
                            <a:solidFill>
                              <a:srgbClr val="4B0985"/>
                            </a:solidFill>
                            <a:prstDash val="solid"/>
                            <a:miter lim="800000"/>
                            <a:tailEnd type="triangle"/>
                          </a:ln>
                          <a:effectLst/>
                        </wps:spPr>
                        <wps:bodyPr/>
                      </wps:wsp>
                      <wps:wsp>
                        <wps:cNvPr id="1689444584" name="Connector: Curved 3"/>
                        <wps:cNvCnPr/>
                        <wps:spPr>
                          <a:xfrm rot="16200000" flipH="1">
                            <a:off x="-160635" y="1865037"/>
                            <a:ext cx="956378" cy="593700"/>
                          </a:xfrm>
                          <a:prstGeom prst="curvedConnector2">
                            <a:avLst/>
                          </a:prstGeom>
                          <a:noFill/>
                          <a:ln w="38100" cap="flat" cmpd="sng" algn="ctr">
                            <a:solidFill>
                              <a:schemeClr val="accent1">
                                <a:lumMod val="20000"/>
                                <a:lumOff val="80000"/>
                              </a:schemeClr>
                            </a:solidFill>
                            <a:prstDash val="solid"/>
                            <a:miter lim="800000"/>
                            <a:tailEnd type="triangle"/>
                          </a:ln>
                          <a:effectLst/>
                        </wps:spPr>
                        <wps:bodyPr/>
                      </wps:wsp>
                      <wps:wsp>
                        <wps:cNvPr id="231775027" name="Straight Arrow Connector 5"/>
                        <wps:cNvCnPr/>
                        <wps:spPr>
                          <a:xfrm>
                            <a:off x="2864955" y="1902457"/>
                            <a:ext cx="0" cy="203200"/>
                          </a:xfrm>
                          <a:prstGeom prst="straightConnector1">
                            <a:avLst/>
                          </a:prstGeom>
                          <a:noFill/>
                          <a:ln w="38100" cap="flat" cmpd="sng" algn="ctr">
                            <a:solidFill>
                              <a:schemeClr val="accent1">
                                <a:lumMod val="20000"/>
                                <a:lumOff val="80000"/>
                              </a:schemeClr>
                            </a:solidFill>
                            <a:prstDash val="solid"/>
                            <a:miter lim="800000"/>
                            <a:tailEnd type="triangle"/>
                          </a:ln>
                          <a:effectLst/>
                        </wps:spPr>
                        <wps:bodyPr/>
                      </wps:wsp>
                      <wps:wsp>
                        <wps:cNvPr id="1236039731" name="Connector: Curved 3"/>
                        <wps:cNvCnPr/>
                        <wps:spPr>
                          <a:xfrm rot="5400000">
                            <a:off x="4931982" y="1865037"/>
                            <a:ext cx="956378" cy="593700"/>
                          </a:xfrm>
                          <a:prstGeom prst="curvedConnector2">
                            <a:avLst/>
                          </a:prstGeom>
                          <a:noFill/>
                          <a:ln w="38100" cap="flat" cmpd="sng" algn="ctr">
                            <a:solidFill>
                              <a:schemeClr val="accent1">
                                <a:lumMod val="20000"/>
                                <a:lumOff val="80000"/>
                              </a:schemeClr>
                            </a:solidFill>
                            <a:prstDash val="solid"/>
                            <a:miter lim="800000"/>
                            <a:tailEnd type="triangle"/>
                          </a:ln>
                          <a:effectLst/>
                        </wps:spPr>
                        <wps:bodyPr/>
                      </wps:wsp>
                    </wpg:wgp>
                  </a:graphicData>
                </a:graphic>
              </wp:inline>
            </w:drawing>
          </mc:Choice>
          <mc:Fallback>
            <w:pict>
              <v:group w14:anchorId="5CDC0D62" id="Group 8" o:spid="_x0000_s1039" alt="Depiction of the shortage rating rules as they apply to national shortages (S), metropolitan shortages (M) and regional shortages (R)." style="width:451.25pt;height:302.65pt;mso-position-horizontal-relative:char;mso-position-vertical-relative:line" coordsize="57310,3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">
                <v:roundrect id="Rectangle: Rounded Corners 3" o:spid="_x0000_s1040" style="position:absolute;width:18108;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" fillcolor="#4b0985 [3215]" stroked="f" strokeweight="1pt">
                  <v:stroke joinstyle="miter"/>
                  <v:textbox>
                    <w:txbxContent>
                      <w:p w14:paraId="09057D06" w14:textId="77777777" w:rsidR="00BF342E" w:rsidRPr="00E53A43" w:rsidRDefault="00BF342E" w:rsidP="00BF342E">
                        <w:pPr>
                          <w:jc w:val="center"/>
                          <w:rPr>
                            <w:rFonts w:cs="Arial"/>
                            <w:b/>
                            <w:bCs/>
                            <w:sz w:val="20"/>
                          </w:rPr>
                        </w:pPr>
                        <w:r w:rsidRPr="00E53A43">
                          <w:rPr>
                            <w:rFonts w:cs="Arial"/>
                            <w:b/>
                            <w:bCs/>
                            <w:sz w:val="20"/>
                          </w:rPr>
                          <w:t>National Shortage (S)</w:t>
                        </w:r>
                      </w:p>
                    </w:txbxContent>
                  </v:textbox>
                </v:roundrect>
                <v:roundrect id="Rectangle: Rounded Corners 3" o:spid="_x0000_s1041" style="position:absolute;left:5;top:5424;width:18108;height:14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" fillcolor="#e0d1f5 [660]" stroked="f" strokeweight="1pt">
                  <v:stroke joinstyle="miter"/>
                  <v:textbox>
                    <w:txbxContent>
                      <w:p w14:paraId="329A0940" w14:textId="7A29F3F7" w:rsidR="00BF342E" w:rsidRPr="00BA6AA1" w:rsidRDefault="00BF342E" w:rsidP="00FE7795">
                        <w:pPr>
                          <w:pStyle w:val="ListBullet"/>
                          <w:rPr>
                            <w:sz w:val="16"/>
                            <w:szCs w:val="16"/>
                          </w:rPr>
                        </w:pPr>
                        <w:r w:rsidRPr="00BA6AA1">
                          <w:rPr>
                            <w:sz w:val="16"/>
                            <w:szCs w:val="16"/>
                          </w:rPr>
                          <w:t xml:space="preserve">Fill rate is below 67% in both </w:t>
                        </w:r>
                        <w:r w:rsidRPr="00BA6AA1">
                          <w:rPr>
                            <w:b/>
                            <w:sz w:val="16"/>
                            <w:szCs w:val="16"/>
                          </w:rPr>
                          <w:t>metro and regional</w:t>
                        </w:r>
                        <w:r w:rsidRPr="00BA6AA1">
                          <w:rPr>
                            <w:sz w:val="16"/>
                            <w:szCs w:val="16"/>
                          </w:rPr>
                          <w:t xml:space="preserve"> area</w:t>
                        </w:r>
                      </w:p>
                      <w:p w14:paraId="5A61AD52" w14:textId="36813594" w:rsidR="00BF342E" w:rsidRPr="00BA6AA1" w:rsidRDefault="00BF342E" w:rsidP="00FE7795">
                        <w:pPr>
                          <w:pStyle w:val="ListBullet"/>
                          <w:rPr>
                            <w:sz w:val="16"/>
                            <w:szCs w:val="16"/>
                          </w:rPr>
                        </w:pPr>
                        <w:r w:rsidRPr="00BA6AA1">
                          <w:rPr>
                            <w:sz w:val="16"/>
                            <w:szCs w:val="16"/>
                          </w:rPr>
                          <w:t>Fill rate is below 67% in an area that has majority employment share</w:t>
                        </w:r>
                      </w:p>
                      <w:p w14:paraId="70431128" w14:textId="15F14982" w:rsidR="00BF342E" w:rsidRPr="00BA6AA1" w:rsidRDefault="00BF342E" w:rsidP="00FE7795">
                        <w:pPr>
                          <w:pStyle w:val="ListBullet"/>
                          <w:rPr>
                            <w:sz w:val="16"/>
                            <w:szCs w:val="16"/>
                          </w:rPr>
                        </w:pPr>
                        <w:r w:rsidRPr="00BA6AA1">
                          <w:rPr>
                            <w:sz w:val="16"/>
                            <w:szCs w:val="16"/>
                          </w:rPr>
                          <w:t>Majority employment share is defined as 80% or more</w:t>
                        </w:r>
                      </w:p>
                    </w:txbxContent>
                  </v:textbox>
                </v:roundrect>
                <v:roundrect id="Rectangle: Rounded Corners 3" o:spid="_x0000_s1042" style="position:absolute;left:6366;top:21114;width:44577;height:10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" fillcolor="#2f005f" stroked="f" strokeweight="1pt">
                  <v:stroke joinstyle="miter"/>
                  <v:textbox>
                    <w:txbxContent>
                      <w:p w14:paraId="57F61AB9" w14:textId="269E98E5" w:rsidR="00BF342E" w:rsidRPr="00BA6AA1" w:rsidRDefault="002E4497" w:rsidP="00FE7795">
                        <w:pPr>
                          <w:pStyle w:val="ListBullet"/>
                          <w:rPr>
                            <w:sz w:val="16"/>
                            <w:szCs w:val="16"/>
                          </w:rPr>
                        </w:pPr>
                        <w:r>
                          <w:rPr>
                            <w:sz w:val="16"/>
                            <w:szCs w:val="16"/>
                          </w:rPr>
                          <w:t xml:space="preserve">At least </w:t>
                        </w:r>
                        <w:r w:rsidR="00BF342E" w:rsidRPr="00BA6AA1">
                          <w:rPr>
                            <w:sz w:val="16"/>
                            <w:szCs w:val="16"/>
                          </w:rPr>
                          <w:t xml:space="preserve">90% </w:t>
                        </w:r>
                        <w:r>
                          <w:rPr>
                            <w:sz w:val="16"/>
                            <w:szCs w:val="16"/>
                          </w:rPr>
                          <w:t xml:space="preserve">of all possible </w:t>
                        </w:r>
                        <w:r w:rsidR="00BF342E" w:rsidRPr="00BA6AA1">
                          <w:rPr>
                            <w:sz w:val="16"/>
                            <w:szCs w:val="16"/>
                          </w:rPr>
                          <w:t xml:space="preserve">occupation fill rates fall below </w:t>
                        </w:r>
                        <w:r w:rsidR="000238BB">
                          <w:rPr>
                            <w:sz w:val="16"/>
                            <w:szCs w:val="16"/>
                          </w:rPr>
                          <w:t xml:space="preserve">the </w:t>
                        </w:r>
                        <w:r>
                          <w:rPr>
                            <w:sz w:val="16"/>
                            <w:szCs w:val="16"/>
                          </w:rPr>
                          <w:t xml:space="preserve">threshold rate of </w:t>
                        </w:r>
                        <w:r w:rsidR="00BF342E" w:rsidRPr="00BA6AA1">
                          <w:rPr>
                            <w:sz w:val="16"/>
                            <w:szCs w:val="16"/>
                          </w:rPr>
                          <w:t>67% within an 80% confidence interval.</w:t>
                        </w:r>
                      </w:p>
                      <w:p w14:paraId="176C1A54" w14:textId="181ADD05" w:rsidR="00BF342E" w:rsidRPr="00BA6AA1" w:rsidRDefault="00BF342E" w:rsidP="00FE7795">
                        <w:pPr>
                          <w:pStyle w:val="ListBullet"/>
                          <w:rPr>
                            <w:sz w:val="16"/>
                            <w:szCs w:val="16"/>
                          </w:rPr>
                        </w:pPr>
                        <w:r w:rsidRPr="00BA6AA1">
                          <w:rPr>
                            <w:sz w:val="16"/>
                            <w:szCs w:val="16"/>
                          </w:rPr>
                          <w:t>At least a 20</w:t>
                        </w:r>
                        <w:r w:rsidR="00935A25">
                          <w:rPr>
                            <w:sz w:val="16"/>
                            <w:szCs w:val="16"/>
                          </w:rPr>
                          <w:t xml:space="preserve"> </w:t>
                        </w:r>
                        <w:r w:rsidRPr="00BA6AA1">
                          <w:rPr>
                            <w:sz w:val="16"/>
                            <w:szCs w:val="16"/>
                          </w:rPr>
                          <w:t>percentage point change as compared to last year in the percentage of fill rates that fall below 67% within an 80% confidence interval.</w:t>
                        </w:r>
                      </w:p>
                      <w:p w14:paraId="293ACA4E" w14:textId="77777777" w:rsidR="00BF342E" w:rsidRPr="00BA6AA1" w:rsidRDefault="00BF342E" w:rsidP="00FE7795">
                        <w:pPr>
                          <w:pStyle w:val="ListBullet"/>
                          <w:rPr>
                            <w:sz w:val="16"/>
                            <w:szCs w:val="16"/>
                          </w:rPr>
                        </w:pPr>
                        <w:r w:rsidRPr="00BA6AA1">
                          <w:rPr>
                            <w:sz w:val="16"/>
                            <w:szCs w:val="16"/>
                          </w:rPr>
                          <w:t>For an S, M or R to apply, the employment level of an occupation must be above the bottom 25th percentile (approximately 1400 workers).</w:t>
                        </w:r>
                      </w:p>
                      <w:p w14:paraId="4F6FD83E" w14:textId="77777777" w:rsidR="00BF342E" w:rsidRPr="00E53A43" w:rsidRDefault="00BF342E" w:rsidP="00BF342E">
                        <w:pPr>
                          <w:jc w:val="center"/>
                          <w:rPr>
                            <w:rFonts w:cs="Arial"/>
                            <w:b/>
                            <w:bCs/>
                            <w:sz w:val="20"/>
                          </w:rPr>
                        </w:pPr>
                      </w:p>
                    </w:txbxContent>
                  </v:textbox>
                </v:roundrect>
                <v:roundrect id="Rectangle: Rounded Corners 3" o:spid="_x0000_s1043" style="position:absolute;left:39198;width:18104;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" fillcolor="#4b0985" stroked="f" strokeweight="1pt">
                  <v:stroke joinstyle="miter"/>
                  <v:textbox>
                    <w:txbxContent>
                      <w:p w14:paraId="10C7AE6C" w14:textId="77777777" w:rsidR="00BF342E" w:rsidRPr="00E53A43" w:rsidRDefault="00BF342E" w:rsidP="00BF342E">
                        <w:pPr>
                          <w:jc w:val="center"/>
                          <w:rPr>
                            <w:rFonts w:cs="Arial"/>
                            <w:b/>
                            <w:bCs/>
                            <w:sz w:val="20"/>
                          </w:rPr>
                        </w:pPr>
                        <w:r w:rsidRPr="00E53A43">
                          <w:rPr>
                            <w:rFonts w:cs="Arial"/>
                            <w:b/>
                            <w:bCs/>
                            <w:sz w:val="20"/>
                          </w:rPr>
                          <w:t>Regional Shortage (R)</w:t>
                        </w:r>
                      </w:p>
                    </w:txbxContent>
                  </v:textbox>
                </v:roundrect>
                <v:roundrect id="Rectangle: Rounded Corners 3" o:spid="_x0000_s1044" style="position:absolute;left:39202;top:5415;width:18108;height:14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" fillcolor="#e0d1f5 [660]" stroked="f" strokeweight="1pt">
                  <v:stroke joinstyle="miter"/>
                  <v:textbox>
                    <w:txbxContent>
                      <w:p w14:paraId="577B2E4A" w14:textId="77777777" w:rsidR="00BF342E" w:rsidRPr="00BA6AA1" w:rsidRDefault="00BF342E" w:rsidP="00FE7795">
                        <w:pPr>
                          <w:pStyle w:val="ListBullet"/>
                          <w:rPr>
                            <w:sz w:val="16"/>
                            <w:szCs w:val="16"/>
                          </w:rPr>
                        </w:pPr>
                        <w:r w:rsidRPr="00BA6AA1">
                          <w:rPr>
                            <w:sz w:val="16"/>
                            <w:szCs w:val="16"/>
                          </w:rPr>
                          <w:t xml:space="preserve">Fill rate is below 67% in </w:t>
                        </w:r>
                        <w:r w:rsidRPr="00BA6AA1">
                          <w:rPr>
                            <w:b/>
                            <w:sz w:val="16"/>
                            <w:szCs w:val="16"/>
                          </w:rPr>
                          <w:t>regional</w:t>
                        </w:r>
                        <w:r w:rsidRPr="00BA6AA1">
                          <w:rPr>
                            <w:sz w:val="16"/>
                            <w:szCs w:val="16"/>
                          </w:rPr>
                          <w:t xml:space="preserve"> area.</w:t>
                        </w:r>
                      </w:p>
                      <w:p w14:paraId="2BABAA8B" w14:textId="4126D780" w:rsidR="00BF342E" w:rsidRPr="00BA6AA1" w:rsidRDefault="00BF342E" w:rsidP="00FE7795">
                        <w:pPr>
                          <w:pStyle w:val="ListBullet"/>
                          <w:rPr>
                            <w:sz w:val="16"/>
                            <w:szCs w:val="16"/>
                          </w:rPr>
                        </w:pPr>
                        <w:r w:rsidRPr="00BA6AA1">
                          <w:rPr>
                            <w:sz w:val="16"/>
                            <w:szCs w:val="16"/>
                          </w:rPr>
                          <w:t xml:space="preserve">The employment share of the occupation in the regional area </w:t>
                        </w:r>
                        <w:r w:rsidR="000669BC">
                          <w:rPr>
                            <w:sz w:val="16"/>
                            <w:szCs w:val="16"/>
                          </w:rPr>
                          <w:t>is</w:t>
                        </w:r>
                        <w:r w:rsidR="000669BC" w:rsidRPr="00BA6AA1">
                          <w:rPr>
                            <w:sz w:val="16"/>
                            <w:szCs w:val="16"/>
                          </w:rPr>
                          <w:t xml:space="preserve"> </w:t>
                        </w:r>
                        <w:r w:rsidRPr="00BA6AA1">
                          <w:rPr>
                            <w:sz w:val="16"/>
                            <w:szCs w:val="16"/>
                          </w:rPr>
                          <w:t>between 20% and 80%.</w:t>
                        </w:r>
                      </w:p>
                    </w:txbxContent>
                  </v:textbox>
                </v:roundrect>
                <v:shapetype id="_x0000_t32" coordsize="21600,21600" o:spt="32" o:oned="t" path="m,l21600,21600e" filled="f">
                  <v:path arrowok="t" fillok="f" o:connecttype="none"/>
                  <o:lock v:ext="edit" shapetype="t"/>
                </v:shapetype>
                <v:shape id="Straight Arrow Connector 5" o:spid="_x0000_s1045" type="#_x0000_t32" style="position:absolute;left:48253;top:3377;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" strokecolor="#4b0985" strokeweight="3pt">
                  <v:stroke endarrow="block" joinstyle="miter"/>
                </v:shape>
                <v:shape id="Straight Arrow Connector 5" o:spid="_x0000_s1046" type="#_x0000_t32" style="position:absolute;left:28651;top:3380;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" strokecolor="#4b0985" strokeweight="3pt">
                  <v:stroke endarrow="block" joinstyle="miter"/>
                </v:shape>
                <v:roundrect id="Rectangle: Rounded Corners 3" o:spid="_x0000_s1047" style="position:absolute;left:19600;width:18098;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" fillcolor="#4b0985 [3215]" stroked="f" strokeweight="1pt">
                  <v:stroke joinstyle="miter"/>
                  <v:textbox>
                    <w:txbxContent>
                      <w:p w14:paraId="73BA7248" w14:textId="77777777" w:rsidR="00BF342E" w:rsidRPr="00E53A43" w:rsidRDefault="00BF342E" w:rsidP="00BF342E">
                        <w:pPr>
                          <w:jc w:val="center"/>
                          <w:rPr>
                            <w:rFonts w:cs="Arial"/>
                            <w:b/>
                            <w:bCs/>
                            <w:sz w:val="20"/>
                          </w:rPr>
                        </w:pPr>
                        <w:r w:rsidRPr="00E53A43">
                          <w:rPr>
                            <w:rFonts w:cs="Arial"/>
                            <w:b/>
                            <w:bCs/>
                            <w:sz w:val="20"/>
                          </w:rPr>
                          <w:t>Metropolitan Shortage (M)</w:t>
                        </w:r>
                      </w:p>
                    </w:txbxContent>
                  </v:textbox>
                </v:roundrect>
                <v:roundrect id="Rectangle: Rounded Corners 3" o:spid="_x0000_s1048" style="position:absolute;left:19600;top:5417;width:18108;height:14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" fillcolor="#e0d1f5 [660]" stroked="f" strokeweight="1pt">
                  <v:stroke joinstyle="miter"/>
                  <v:textbox>
                    <w:txbxContent>
                      <w:p w14:paraId="52BF218D" w14:textId="77777777" w:rsidR="00BF342E" w:rsidRPr="00BA6AA1" w:rsidRDefault="00BF342E" w:rsidP="00FE7795">
                        <w:pPr>
                          <w:pStyle w:val="ListBullet"/>
                          <w:rPr>
                            <w:sz w:val="16"/>
                            <w:szCs w:val="16"/>
                          </w:rPr>
                        </w:pPr>
                        <w:r w:rsidRPr="00BA6AA1">
                          <w:rPr>
                            <w:sz w:val="16"/>
                            <w:szCs w:val="16"/>
                          </w:rPr>
                          <w:t xml:space="preserve">Fill rate is below 67% in </w:t>
                        </w:r>
                        <w:r w:rsidRPr="00BA6AA1">
                          <w:rPr>
                            <w:b/>
                            <w:sz w:val="16"/>
                            <w:szCs w:val="16"/>
                          </w:rPr>
                          <w:t>metropolitan</w:t>
                        </w:r>
                        <w:r w:rsidRPr="00BA6AA1">
                          <w:rPr>
                            <w:sz w:val="16"/>
                            <w:szCs w:val="16"/>
                          </w:rPr>
                          <w:t xml:space="preserve"> area.</w:t>
                        </w:r>
                      </w:p>
                      <w:p w14:paraId="0976FF8F" w14:textId="6D9A2C97" w:rsidR="00BF342E" w:rsidRPr="00BA6AA1" w:rsidRDefault="00BF342E" w:rsidP="00FE7795">
                        <w:pPr>
                          <w:pStyle w:val="ListBullet"/>
                          <w:rPr>
                            <w:sz w:val="16"/>
                            <w:szCs w:val="16"/>
                          </w:rPr>
                        </w:pPr>
                        <w:r w:rsidRPr="00BA6AA1">
                          <w:rPr>
                            <w:sz w:val="16"/>
                            <w:szCs w:val="16"/>
                          </w:rPr>
                          <w:t xml:space="preserve">The employment share of the occupation in the metropolitan area </w:t>
                        </w:r>
                        <w:r w:rsidR="000669BC">
                          <w:rPr>
                            <w:sz w:val="16"/>
                            <w:szCs w:val="16"/>
                          </w:rPr>
                          <w:t>is</w:t>
                        </w:r>
                        <w:r w:rsidR="000669BC" w:rsidRPr="00BA6AA1">
                          <w:rPr>
                            <w:sz w:val="16"/>
                            <w:szCs w:val="16"/>
                          </w:rPr>
                          <w:t xml:space="preserve"> </w:t>
                        </w:r>
                        <w:r w:rsidRPr="00BA6AA1">
                          <w:rPr>
                            <w:sz w:val="16"/>
                            <w:szCs w:val="16"/>
                          </w:rPr>
                          <w:t>between 20% and 80%.</w:t>
                        </w:r>
                      </w:p>
                    </w:txbxContent>
                  </v:textbox>
                </v:roundrect>
                <v:shape id="Straight Arrow Connector 5" o:spid="_x0000_s1049" type="#_x0000_t32" style="position:absolute;left:9055;top:3377;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" strokecolor="#4b0985" strokeweight="3pt">
                  <v:stroke endarrow="block" joinstyle="miter"/>
                </v:shape>
                <v:shapetype id="_x0000_t37" coordsize="21600,21600" o:spt="37" o:oned="t" path="m,c10800,,21600,10800,21600,21600e" filled="f">
                  <v:path arrowok="t" fillok="f" o:connecttype="none"/>
                  <o:lock v:ext="edit" shapetype="t"/>
                </v:shapetype>
                <v:shape id="Connector: Curved 3" o:spid="_x0000_s1050" type="#_x0000_t37" style="position:absolute;left:-1606;top:18649;width:9564;height:5937;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" strokecolor="#e0d1f5 [660]" strokeweight="3pt">
                  <v:stroke endarrow="block" joinstyle="miter"/>
                </v:shape>
                <v:shape id="Straight Arrow Connector 5" o:spid="_x0000_s1051" type="#_x0000_t32" style="position:absolute;left:28649;top:19024;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" strokecolor="#e0d1f5 [660]" strokeweight="3pt">
                  <v:stroke endarrow="block" joinstyle="miter"/>
                </v:shape>
                <v:shape id="Connector: Curved 3" o:spid="_x0000_s1052" type="#_x0000_t37" style="position:absolute;left:49320;top:18649;width:9564;height:5937;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" strokecolor="#e0d1f5 [660]" strokeweight="3pt">
                  <v:stroke endarrow="block" joinstyle="miter"/>
                </v:shape>
                <w10:anchorlock/>
              </v:group>
            </w:pict>
          </mc:Fallback>
        </mc:AlternateContent>
      </w:r>
      <w:r w:rsidRPr="00BF342E">
        <w:br/>
        <w:t>Source: Jobs and Skills Australia.</w:t>
      </w:r>
    </w:p>
    <w:p w14:paraId="694856AC" w14:textId="763EF21E" w:rsidR="00BF342E" w:rsidRPr="00E53A43" w:rsidRDefault="00BF342E" w:rsidP="00BF342E">
      <w:pPr>
        <w:pStyle w:val="Heading2"/>
      </w:pPr>
      <w:bookmarkStart w:id="47" w:name="_Toc204771885"/>
      <w:bookmarkStart w:id="48" w:name="_Toc211425363"/>
      <w:r w:rsidRPr="00E53A43">
        <w:t xml:space="preserve">Stage 2: </w:t>
      </w:r>
      <w:r w:rsidR="008E5A42">
        <w:t>Manual v</w:t>
      </w:r>
      <w:r w:rsidRPr="00E53A43">
        <w:t xml:space="preserve">erification </w:t>
      </w:r>
      <w:bookmarkEnd w:id="47"/>
      <w:r w:rsidR="008E5A42">
        <w:t>of preliminary results</w:t>
      </w:r>
      <w:bookmarkEnd w:id="48"/>
    </w:p>
    <w:p w14:paraId="06C57B0D" w14:textId="0AD1EA0B" w:rsidR="00282A0A" w:rsidRDefault="00BF342E" w:rsidP="007E56D2">
      <w:pPr>
        <w:pStyle w:val="BodyText"/>
      </w:pPr>
      <w:r w:rsidRPr="00E53A43">
        <w:t>In this stage of the assessment process, the preliminary occupation ratings</w:t>
      </w:r>
      <w:r w:rsidR="00B563AF">
        <w:t xml:space="preserve"> are </w:t>
      </w:r>
      <w:r w:rsidR="007E56D2">
        <w:t>reviewed</w:t>
      </w:r>
      <w:r w:rsidR="00977CC7">
        <w:t xml:space="preserve"> </w:t>
      </w:r>
      <w:r w:rsidR="005514C2">
        <w:t>using</w:t>
      </w:r>
      <w:r w:rsidR="00E13655">
        <w:t xml:space="preserve"> </w:t>
      </w:r>
      <w:r w:rsidR="00C46572">
        <w:t xml:space="preserve">both </w:t>
      </w:r>
      <w:r w:rsidR="00E13655">
        <w:t>additional labour market indicators</w:t>
      </w:r>
      <w:r w:rsidR="00C46572">
        <w:t xml:space="preserve"> and </w:t>
      </w:r>
      <w:r w:rsidR="00A26AF3">
        <w:t xml:space="preserve">a significant </w:t>
      </w:r>
      <w:r w:rsidR="004A5A94">
        <w:t xml:space="preserve">volume of </w:t>
      </w:r>
      <w:r w:rsidR="00C46572">
        <w:t xml:space="preserve">stakeholder </w:t>
      </w:r>
      <w:r w:rsidR="004A5A94">
        <w:t>evidence that is</w:t>
      </w:r>
      <w:r w:rsidR="00C46572">
        <w:t xml:space="preserve"> primarily gathered through the annual OSL stakeholder survey</w:t>
      </w:r>
      <w:r w:rsidR="00E13655">
        <w:t xml:space="preserve">. </w:t>
      </w:r>
    </w:p>
    <w:p w14:paraId="38E329D7" w14:textId="47C0C7C2" w:rsidR="00D40CCF" w:rsidRDefault="00B71DA6" w:rsidP="007E56D2">
      <w:pPr>
        <w:pStyle w:val="BodyText"/>
      </w:pPr>
      <w:r>
        <w:t xml:space="preserve">The review </w:t>
      </w:r>
      <w:r w:rsidR="002F2BEE">
        <w:t>begins with</w:t>
      </w:r>
      <w:r>
        <w:t xml:space="preserve"> </w:t>
      </w:r>
      <w:r w:rsidR="002F2BEE">
        <w:t>the</w:t>
      </w:r>
      <w:r w:rsidR="007E56D2" w:rsidRPr="0090321E">
        <w:t xml:space="preserve"> 2013 ANZSCO</w:t>
      </w:r>
      <w:r w:rsidR="002F2BEE">
        <w:t xml:space="preserve"> framework, which allows for </w:t>
      </w:r>
      <w:r w:rsidR="000669BC">
        <w:t xml:space="preserve">more </w:t>
      </w:r>
      <w:r w:rsidR="00282A0A" w:rsidRPr="0090321E">
        <w:t xml:space="preserve">data and </w:t>
      </w:r>
      <w:r w:rsidR="004A248D">
        <w:t xml:space="preserve">ensures </w:t>
      </w:r>
      <w:r w:rsidR="00F05653">
        <w:t xml:space="preserve">consistency in </w:t>
      </w:r>
      <w:r w:rsidR="00282A0A" w:rsidRPr="0090321E">
        <w:t>analys</w:t>
      </w:r>
      <w:r w:rsidR="00F05653">
        <w:t xml:space="preserve">is </w:t>
      </w:r>
      <w:r w:rsidR="0021511D">
        <w:t>over</w:t>
      </w:r>
      <w:r w:rsidR="00282A0A" w:rsidRPr="0090321E">
        <w:t xml:space="preserve"> time.</w:t>
      </w:r>
      <w:r w:rsidR="00282A0A">
        <w:t xml:space="preserve"> </w:t>
      </w:r>
      <w:r w:rsidR="001677FC">
        <w:t xml:space="preserve">After that, </w:t>
      </w:r>
      <w:r w:rsidR="001A1852">
        <w:t xml:space="preserve">the </w:t>
      </w:r>
      <w:r w:rsidR="007E56D2" w:rsidRPr="0090321E">
        <w:t>2013 ANZSCO results are converted to the 2022 ANZSCO</w:t>
      </w:r>
      <w:r w:rsidR="0069220E">
        <w:t xml:space="preserve"> and </w:t>
      </w:r>
      <w:r w:rsidR="00635E03">
        <w:t xml:space="preserve">2024 </w:t>
      </w:r>
      <w:r w:rsidR="0069220E">
        <w:t>OSCA</w:t>
      </w:r>
      <w:r w:rsidR="007E56D2" w:rsidRPr="0090321E">
        <w:t xml:space="preserve"> framework</w:t>
      </w:r>
      <w:r w:rsidR="0069220E">
        <w:t>s</w:t>
      </w:r>
      <w:r w:rsidR="007E56D2" w:rsidRPr="0090321E">
        <w:t>.</w:t>
      </w:r>
      <w:r w:rsidR="00407F59">
        <w:rPr>
          <w:rStyle w:val="FootnoteReference"/>
        </w:rPr>
        <w:footnoteReference w:id="10"/>
      </w:r>
      <w:r w:rsidR="00E13655">
        <w:t xml:space="preserve"> </w:t>
      </w:r>
    </w:p>
    <w:p w14:paraId="6DAF1833" w14:textId="0DD35FB6" w:rsidR="000703A4" w:rsidRDefault="00D40CCF" w:rsidP="007E56D2">
      <w:pPr>
        <w:pStyle w:val="BodyText"/>
      </w:pPr>
      <w:r>
        <w:t>A second</w:t>
      </w:r>
      <w:r w:rsidR="000669BC">
        <w:t>ary</w:t>
      </w:r>
      <w:r>
        <w:t xml:space="preserve"> review is performed for </w:t>
      </w:r>
      <w:r w:rsidR="00F24F00">
        <w:t xml:space="preserve">occupations </w:t>
      </w:r>
      <w:r w:rsidR="000669BC">
        <w:t xml:space="preserve">which have </w:t>
      </w:r>
      <w:r w:rsidR="0098750B">
        <w:t>complex mappings between</w:t>
      </w:r>
      <w:r w:rsidR="004E2EEA">
        <w:t xml:space="preserve"> </w:t>
      </w:r>
      <w:r w:rsidR="000669BC">
        <w:t xml:space="preserve">the </w:t>
      </w:r>
      <w:r w:rsidR="001A1852">
        <w:t xml:space="preserve">2013 </w:t>
      </w:r>
      <w:r w:rsidR="000669BC">
        <w:t xml:space="preserve">and </w:t>
      </w:r>
      <w:r w:rsidR="001A1852">
        <w:t xml:space="preserve">2022 </w:t>
      </w:r>
      <w:r w:rsidR="000B6F51">
        <w:t xml:space="preserve">ANZSCO </w:t>
      </w:r>
      <w:r w:rsidR="001A3529">
        <w:t>versions</w:t>
      </w:r>
      <w:r w:rsidR="00695A46">
        <w:t xml:space="preserve">, </w:t>
      </w:r>
      <w:r w:rsidR="00466A0B">
        <w:t>and</w:t>
      </w:r>
      <w:r w:rsidR="00695A46">
        <w:t xml:space="preserve"> between the 20</w:t>
      </w:r>
      <w:r w:rsidR="00466A0B">
        <w:t>22</w:t>
      </w:r>
      <w:r w:rsidR="00695A46">
        <w:t xml:space="preserve"> ANZSCO and </w:t>
      </w:r>
      <w:r w:rsidR="00635E03">
        <w:t xml:space="preserve">2024 </w:t>
      </w:r>
      <w:r w:rsidR="00695A46">
        <w:t>OSCA versions</w:t>
      </w:r>
      <w:r w:rsidR="001A3529">
        <w:t>, including:</w:t>
      </w:r>
    </w:p>
    <w:p w14:paraId="4D90B099" w14:textId="2002EB0C" w:rsidR="007E56D2" w:rsidRDefault="003F0F0F" w:rsidP="001A1852">
      <w:pPr>
        <w:pStyle w:val="ListBullet"/>
      </w:pPr>
      <w:r>
        <w:t>o</w:t>
      </w:r>
      <w:r w:rsidR="00F76E90">
        <w:t>ne 2013 ANZSCO o</w:t>
      </w:r>
      <w:r w:rsidR="00977CC7">
        <w:t xml:space="preserve">ccupation </w:t>
      </w:r>
      <w:r w:rsidR="000669BC">
        <w:t xml:space="preserve">which maps </w:t>
      </w:r>
      <w:r w:rsidR="00F76E90">
        <w:t>to multiple 2022 ANZSCO</w:t>
      </w:r>
      <w:r w:rsidR="00695A46">
        <w:t xml:space="preserve"> </w:t>
      </w:r>
      <w:r w:rsidR="00F76E90">
        <w:t>occupations</w:t>
      </w:r>
    </w:p>
    <w:p w14:paraId="2C573424" w14:textId="101551F8" w:rsidR="00F76E90" w:rsidRDefault="003F0F0F" w:rsidP="001A1852">
      <w:pPr>
        <w:pStyle w:val="ListBullet"/>
      </w:pPr>
      <w:r>
        <w:t>m</w:t>
      </w:r>
      <w:r w:rsidR="005C7D21">
        <w:t>ultiple</w:t>
      </w:r>
      <w:r w:rsidR="00F24F00">
        <w:t xml:space="preserve"> 2013 ANZSCO </w:t>
      </w:r>
      <w:r w:rsidR="00487828">
        <w:t xml:space="preserve">occupations </w:t>
      </w:r>
      <w:r w:rsidR="000669BC">
        <w:t xml:space="preserve">which map </w:t>
      </w:r>
      <w:r w:rsidR="00487828">
        <w:t>to one 2022 ANZSCO</w:t>
      </w:r>
      <w:r w:rsidR="00695A46">
        <w:t xml:space="preserve"> </w:t>
      </w:r>
      <w:r w:rsidR="00487828">
        <w:t>occupation</w:t>
      </w:r>
    </w:p>
    <w:p w14:paraId="57D8C352" w14:textId="49346346" w:rsidR="007E56D2" w:rsidRDefault="003F0F0F" w:rsidP="007F5B33">
      <w:pPr>
        <w:pStyle w:val="ListBullet"/>
      </w:pPr>
      <w:r>
        <w:t>n</w:t>
      </w:r>
      <w:r w:rsidR="00487828">
        <w:t>ew</w:t>
      </w:r>
      <w:r w:rsidR="00E77E35">
        <w:t>ly created</w:t>
      </w:r>
      <w:r w:rsidR="003C6C06">
        <w:t xml:space="preserve"> occupations in the</w:t>
      </w:r>
      <w:r w:rsidR="00E77E35">
        <w:t xml:space="preserve"> 2022 ANZSCO </w:t>
      </w:r>
      <w:r w:rsidR="003C6C06">
        <w:t>framework</w:t>
      </w:r>
      <w:r w:rsidR="00E77E35">
        <w:t xml:space="preserve"> </w:t>
      </w:r>
    </w:p>
    <w:p w14:paraId="21A6B1B2" w14:textId="77777777" w:rsidR="005B5A83" w:rsidRPr="004A6F5B" w:rsidRDefault="005B5A83" w:rsidP="005B5A83">
      <w:pPr>
        <w:pStyle w:val="ListBullet"/>
        <w:rPr>
          <w:color w:val="000000" w:themeColor="text1"/>
        </w:rPr>
      </w:pPr>
      <w:r w:rsidRPr="004A6F5B">
        <w:rPr>
          <w:rStyle w:val="normaltextrun"/>
          <w:rFonts w:cs="Arial"/>
          <w:color w:val="000000" w:themeColor="text1"/>
          <w:szCs w:val="22"/>
        </w:rPr>
        <w:lastRenderedPageBreak/>
        <w:t>one 2022 ANZSCO occupation which maps to multiple 2024 OSCA occupations</w:t>
      </w:r>
      <w:r w:rsidRPr="004A6F5B">
        <w:rPr>
          <w:rStyle w:val="eop"/>
          <w:rFonts w:cs="Arial"/>
          <w:color w:val="000000" w:themeColor="text1"/>
          <w:szCs w:val="22"/>
        </w:rPr>
        <w:t> </w:t>
      </w:r>
    </w:p>
    <w:p w14:paraId="12FBC86B" w14:textId="77777777" w:rsidR="005B5A83" w:rsidRPr="004A6F5B" w:rsidRDefault="005B5A83" w:rsidP="005B5A83">
      <w:pPr>
        <w:pStyle w:val="ListBullet"/>
        <w:rPr>
          <w:color w:val="000000" w:themeColor="text1"/>
        </w:rPr>
      </w:pPr>
      <w:r w:rsidRPr="004A6F5B">
        <w:rPr>
          <w:rStyle w:val="normaltextrun"/>
          <w:rFonts w:cs="Arial"/>
          <w:color w:val="000000" w:themeColor="text1"/>
          <w:szCs w:val="22"/>
        </w:rPr>
        <w:t>multiple 2022 ANZSCO occupations which map to one 2024 OSCA occupation</w:t>
      </w:r>
      <w:r w:rsidRPr="004A6F5B">
        <w:rPr>
          <w:rStyle w:val="eop"/>
          <w:rFonts w:cs="Arial"/>
          <w:color w:val="000000" w:themeColor="text1"/>
          <w:szCs w:val="22"/>
        </w:rPr>
        <w:t> </w:t>
      </w:r>
    </w:p>
    <w:p w14:paraId="16448A5C" w14:textId="472F50E5" w:rsidR="0069220E" w:rsidRDefault="0069220E" w:rsidP="007F5B33">
      <w:pPr>
        <w:pStyle w:val="ListBullet"/>
      </w:pPr>
      <w:r>
        <w:t xml:space="preserve">newly created occupations in the </w:t>
      </w:r>
      <w:r w:rsidR="00635E03">
        <w:t xml:space="preserve">2024 </w:t>
      </w:r>
      <w:r>
        <w:t>OSCA framework</w:t>
      </w:r>
      <w:r w:rsidR="00BE0F0F">
        <w:t>.</w:t>
      </w:r>
      <w:r w:rsidR="00BE0F0F">
        <w:rPr>
          <w:rStyle w:val="FootnoteReference"/>
        </w:rPr>
        <w:footnoteReference w:id="11"/>
      </w:r>
    </w:p>
    <w:p w14:paraId="5A7380D4" w14:textId="2F704779" w:rsidR="00E1613A" w:rsidRPr="00E1613A" w:rsidRDefault="007A0D62" w:rsidP="00E95979">
      <w:pPr>
        <w:spacing w:before="0" w:after="200" w:line="276" w:lineRule="auto"/>
      </w:pPr>
      <w:r w:rsidRPr="00E1613A">
        <w:t>During the review process</w:t>
      </w:r>
      <w:r w:rsidR="00E1613A" w:rsidRPr="00E1613A">
        <w:t xml:space="preserve">, </w:t>
      </w:r>
      <w:r w:rsidR="00044C20">
        <w:t>priority</w:t>
      </w:r>
      <w:r w:rsidR="00E1613A" w:rsidRPr="00E1613A">
        <w:t xml:space="preserve"> </w:t>
      </w:r>
      <w:r w:rsidR="00044C20">
        <w:t>is</w:t>
      </w:r>
      <w:r w:rsidR="00044C20" w:rsidRPr="00E1613A">
        <w:t xml:space="preserve"> </w:t>
      </w:r>
      <w:r w:rsidR="00044C20">
        <w:t>given to</w:t>
      </w:r>
      <w:r w:rsidR="00E1613A" w:rsidRPr="00E1613A">
        <w:t>:</w:t>
      </w:r>
    </w:p>
    <w:p w14:paraId="62AF5BB9" w14:textId="37351E86" w:rsidR="00E1613A" w:rsidRDefault="00D0164B" w:rsidP="00E1613A">
      <w:pPr>
        <w:pStyle w:val="ListBullet"/>
      </w:pPr>
      <w:r>
        <w:t>o</w:t>
      </w:r>
      <w:r w:rsidR="002B2437">
        <w:t xml:space="preserve">ccupations </w:t>
      </w:r>
      <w:r w:rsidR="006F6FD0">
        <w:t>with a high uncertainty</w:t>
      </w:r>
      <w:r w:rsidR="009F232F">
        <w:t xml:space="preserve"> (e.g. </w:t>
      </w:r>
      <w:r w:rsidR="00BF342E" w:rsidRPr="00E53A43">
        <w:t>those with wide confidence intervals</w:t>
      </w:r>
      <w:r w:rsidR="009F232F">
        <w:t>)</w:t>
      </w:r>
    </w:p>
    <w:p w14:paraId="3327732D" w14:textId="4BC43E4C" w:rsidR="0077317C" w:rsidRDefault="00D0164B" w:rsidP="00E1613A">
      <w:pPr>
        <w:pStyle w:val="ListBullet"/>
      </w:pPr>
      <w:r>
        <w:t>o</w:t>
      </w:r>
      <w:r w:rsidR="00E1613A">
        <w:t xml:space="preserve">ccupations </w:t>
      </w:r>
      <w:r w:rsidR="00E862FE">
        <w:t>that show</w:t>
      </w:r>
      <w:r w:rsidR="003E65B6">
        <w:t xml:space="preserve"> </w:t>
      </w:r>
      <w:r w:rsidR="00E862FE">
        <w:t xml:space="preserve">a </w:t>
      </w:r>
      <w:r w:rsidR="00E1613A">
        <w:t xml:space="preserve">rating </w:t>
      </w:r>
      <w:r w:rsidR="00BF342E" w:rsidRPr="00E53A43">
        <w:t xml:space="preserve">change from </w:t>
      </w:r>
      <w:r w:rsidR="00E1613A">
        <w:t xml:space="preserve">the previous </w:t>
      </w:r>
      <w:r w:rsidR="00BF342E" w:rsidRPr="00E53A43">
        <w:t>year</w:t>
      </w:r>
      <w:r w:rsidR="0077317C">
        <w:t xml:space="preserve"> </w:t>
      </w:r>
    </w:p>
    <w:p w14:paraId="40AC6ACC" w14:textId="4296CD7D" w:rsidR="00BF342E" w:rsidRPr="00E53A43" w:rsidRDefault="00D0164B" w:rsidP="00E1613A">
      <w:pPr>
        <w:pStyle w:val="ListBullet"/>
      </w:pPr>
      <w:r>
        <w:t>o</w:t>
      </w:r>
      <w:r w:rsidR="0077317C">
        <w:t xml:space="preserve">ccupations </w:t>
      </w:r>
      <w:r w:rsidR="00E862FE">
        <w:t>supported by</w:t>
      </w:r>
      <w:r w:rsidR="00B3442B">
        <w:t xml:space="preserve"> </w:t>
      </w:r>
      <w:r w:rsidR="00E862FE">
        <w:t>data evidence</w:t>
      </w:r>
      <w:r w:rsidR="00CA12E4">
        <w:t xml:space="preserve"> from the </w:t>
      </w:r>
      <w:r w:rsidR="00566455">
        <w:t>s</w:t>
      </w:r>
      <w:r w:rsidR="00CA12E4">
        <w:t xml:space="preserve">takeholder </w:t>
      </w:r>
      <w:r w:rsidR="00566455">
        <w:t>s</w:t>
      </w:r>
      <w:r w:rsidR="00CA12E4">
        <w:t xml:space="preserve">urvey. </w:t>
      </w:r>
    </w:p>
    <w:p w14:paraId="59D0B78C" w14:textId="61B28C8A" w:rsidR="00F739CB" w:rsidRPr="00F739CB" w:rsidRDefault="00F739CB" w:rsidP="00067E69">
      <w:pPr>
        <w:spacing w:before="0" w:after="200" w:line="276" w:lineRule="auto"/>
      </w:pPr>
      <w:r w:rsidRPr="00F739CB">
        <w:t>Testing on past year’s OSL outcomes shows that, on average, 85% to 90%</w:t>
      </w:r>
      <w:r w:rsidR="00A62B8C">
        <w:t xml:space="preserve"> of preliminary ratings</w:t>
      </w:r>
      <w:r w:rsidRPr="00F739CB">
        <w:t xml:space="preserve"> match </w:t>
      </w:r>
      <w:r w:rsidR="00E1504B">
        <w:t>the final ratings</w:t>
      </w:r>
      <w:r w:rsidR="00E1504B" w:rsidRPr="00F739CB">
        <w:t xml:space="preserve"> </w:t>
      </w:r>
      <w:r w:rsidR="00E1504B">
        <w:t xml:space="preserve">after </w:t>
      </w:r>
      <w:r w:rsidR="00D740A3">
        <w:t xml:space="preserve">manual review. </w:t>
      </w:r>
    </w:p>
    <w:p w14:paraId="6D0CF829" w14:textId="24AF7110" w:rsidR="005153DA" w:rsidRDefault="00BF342E" w:rsidP="001B1162">
      <w:pPr>
        <w:pStyle w:val="BodyText"/>
        <w:rPr>
          <w:b/>
          <w:bCs/>
          <w:color w:val="012749"/>
          <w:sz w:val="18"/>
          <w:szCs w:val="18"/>
        </w:rPr>
      </w:pPr>
      <w:r w:rsidRPr="00E53A43">
        <w:t xml:space="preserve">The </w:t>
      </w:r>
      <w:r w:rsidR="005B6CC9">
        <w:t xml:space="preserve">sources and metrics used during the review </w:t>
      </w:r>
      <w:r w:rsidRPr="00E53A43">
        <w:t>are</w:t>
      </w:r>
      <w:r w:rsidR="00C414E0">
        <w:t xml:space="preserve"> listed in </w:t>
      </w:r>
      <w:r w:rsidR="00557A30">
        <w:t>Table 4</w:t>
      </w:r>
      <w:r w:rsidR="00C414E0">
        <w:t>.</w:t>
      </w:r>
    </w:p>
    <w:p w14:paraId="74F69BA1" w14:textId="4CA8EEBA" w:rsidR="00C414E0" w:rsidRDefault="00B8159E" w:rsidP="001B1162">
      <w:pPr>
        <w:pStyle w:val="Caption"/>
      </w:pPr>
      <w:bookmarkStart w:id="49" w:name="_Ref207569148"/>
      <w:bookmarkStart w:id="50" w:name="_Toc211421397"/>
      <w:r>
        <w:t xml:space="preserve">Table </w:t>
      </w:r>
      <w:r>
        <w:fldChar w:fldCharType="begin"/>
      </w:r>
      <w:r>
        <w:instrText xml:space="preserve"> SEQ Table \* ARABIC </w:instrText>
      </w:r>
      <w:r>
        <w:fldChar w:fldCharType="separate"/>
      </w:r>
      <w:r w:rsidR="00F6227E">
        <w:rPr>
          <w:noProof/>
        </w:rPr>
        <w:t>4</w:t>
      </w:r>
      <w:r>
        <w:fldChar w:fldCharType="end"/>
      </w:r>
      <w:r>
        <w:t xml:space="preserve">: </w:t>
      </w:r>
      <w:bookmarkEnd w:id="49"/>
      <w:r w:rsidR="004A6B4E">
        <w:t>Sources and metrics used to review and verify the preliminary ratings</w:t>
      </w:r>
      <w:bookmarkEnd w:id="50"/>
    </w:p>
    <w:tbl>
      <w:tblPr>
        <w:tblStyle w:val="CustomTablebasic"/>
        <w:tblW w:w="5000" w:type="pct"/>
        <w:tblLook w:val="04A0" w:firstRow="1" w:lastRow="0" w:firstColumn="1" w:lastColumn="0" w:noHBand="0" w:noVBand="1"/>
      </w:tblPr>
      <w:tblGrid>
        <w:gridCol w:w="4589"/>
        <w:gridCol w:w="4438"/>
      </w:tblGrid>
      <w:tr w:rsidR="00DC7BD9" w14:paraId="6FF3733C" w14:textId="77777777" w:rsidTr="00E95979">
        <w:trPr>
          <w:cnfStyle w:val="100000000000" w:firstRow="1" w:lastRow="0" w:firstColumn="0" w:lastColumn="0" w:oddVBand="0" w:evenVBand="0" w:oddHBand="0" w:evenHBand="0" w:firstRowFirstColumn="0" w:firstRowLastColumn="0" w:lastRowFirstColumn="0" w:lastRowLastColumn="0"/>
        </w:trPr>
        <w:tc>
          <w:tcPr>
            <w:tcW w:w="0" w:type="pct"/>
          </w:tcPr>
          <w:p w14:paraId="7591E74F" w14:textId="65D0ED04" w:rsidR="004F40CF" w:rsidRDefault="004F40CF" w:rsidP="001B1162">
            <w:pPr>
              <w:pStyle w:val="TableHeading1"/>
            </w:pPr>
            <w:r>
              <w:t xml:space="preserve">Metrics </w:t>
            </w:r>
          </w:p>
        </w:tc>
        <w:tc>
          <w:tcPr>
            <w:tcW w:w="0" w:type="pct"/>
          </w:tcPr>
          <w:p w14:paraId="0A942DEA" w14:textId="7D814791" w:rsidR="004F40CF" w:rsidRDefault="004F40CF" w:rsidP="001F1DFB">
            <w:pPr>
              <w:pStyle w:val="TableHeading1"/>
            </w:pPr>
            <w:r>
              <w:t>Source</w:t>
            </w:r>
          </w:p>
        </w:tc>
      </w:tr>
      <w:tr w:rsidR="004F40CF" w14:paraId="09B94295" w14:textId="2AD3DB17" w:rsidTr="00E95979">
        <w:tc>
          <w:tcPr>
            <w:tcW w:w="0" w:type="pct"/>
          </w:tcPr>
          <w:p w14:paraId="01328231" w14:textId="5FBE6617" w:rsidR="004F40CF" w:rsidRPr="00180C90" w:rsidRDefault="001F1DFB" w:rsidP="001B1162">
            <w:pPr>
              <w:pStyle w:val="TableBodyText"/>
            </w:pPr>
            <w:r>
              <w:t xml:space="preserve">Supply, demand and </w:t>
            </w:r>
            <w:r w:rsidR="00AE3083">
              <w:t>proportion of vacancies filled</w:t>
            </w:r>
            <w:r w:rsidR="004F40CF" w:rsidRPr="00180C90">
              <w:t xml:space="preserve"> </w:t>
            </w:r>
          </w:p>
        </w:tc>
        <w:tc>
          <w:tcPr>
            <w:tcW w:w="0" w:type="pct"/>
          </w:tcPr>
          <w:p w14:paraId="1C88CAA3" w14:textId="54E7BCA3" w:rsidR="004F40CF" w:rsidRPr="00205984" w:rsidRDefault="00AE3083" w:rsidP="001B1162">
            <w:pPr>
              <w:pStyle w:val="TableBodyText"/>
            </w:pPr>
            <w:r>
              <w:t>OSL S</w:t>
            </w:r>
            <w:r w:rsidRPr="00180C90">
              <w:t xml:space="preserve">takeholder </w:t>
            </w:r>
            <w:r>
              <w:t>S</w:t>
            </w:r>
            <w:r w:rsidRPr="00180C90">
              <w:t>urvey</w:t>
            </w:r>
            <w:r w:rsidR="00C41005" w:rsidRPr="00E53A43">
              <w:rPr>
                <w:rStyle w:val="FootnoteReference"/>
              </w:rPr>
              <w:footnoteReference w:id="12"/>
            </w:r>
          </w:p>
        </w:tc>
      </w:tr>
      <w:tr w:rsidR="00DC7BD9" w14:paraId="610B90D9" w14:textId="77777777" w:rsidTr="00E95979">
        <w:trPr>
          <w:cnfStyle w:val="000000010000" w:firstRow="0" w:lastRow="0" w:firstColumn="0" w:lastColumn="0" w:oddVBand="0" w:evenVBand="0" w:oddHBand="0" w:evenHBand="1" w:firstRowFirstColumn="0" w:firstRowLastColumn="0" w:lastRowFirstColumn="0" w:lastRowLastColumn="0"/>
        </w:trPr>
        <w:tc>
          <w:tcPr>
            <w:tcW w:w="0" w:type="pct"/>
          </w:tcPr>
          <w:p w14:paraId="3F6EAA15" w14:textId="3726C2E0" w:rsidR="00FA1076" w:rsidRDefault="00972676" w:rsidP="006B33ED">
            <w:pPr>
              <w:pStyle w:val="TableBodyText"/>
            </w:pPr>
            <w:r>
              <w:t>Qualified applicants per vacancy</w:t>
            </w:r>
            <w:r w:rsidR="00834BDE">
              <w:t xml:space="preserve">; </w:t>
            </w:r>
          </w:p>
          <w:p w14:paraId="540282AF" w14:textId="7E196957" w:rsidR="00FA1076" w:rsidRDefault="00972676" w:rsidP="006B33ED">
            <w:pPr>
              <w:pStyle w:val="TableBodyText"/>
            </w:pPr>
            <w:r>
              <w:t>Suitable applicants per vacancy</w:t>
            </w:r>
            <w:r w:rsidR="000669BC">
              <w:t xml:space="preserve">; </w:t>
            </w:r>
          </w:p>
          <w:p w14:paraId="233C0B20" w14:textId="4E7DA087" w:rsidR="004F40CF" w:rsidRPr="00180C90" w:rsidRDefault="00972676" w:rsidP="006B33ED">
            <w:pPr>
              <w:pStyle w:val="TableBodyText"/>
            </w:pPr>
            <w:r>
              <w:t>Duration of vacancies</w:t>
            </w:r>
          </w:p>
        </w:tc>
        <w:tc>
          <w:tcPr>
            <w:tcW w:w="0" w:type="pct"/>
          </w:tcPr>
          <w:p w14:paraId="72A673F8" w14:textId="218BE005" w:rsidR="004F40CF" w:rsidRPr="00205984" w:rsidRDefault="00FA1076" w:rsidP="006B33ED">
            <w:pPr>
              <w:pStyle w:val="TableBodyText"/>
            </w:pPr>
            <w:r>
              <w:t>SERA</w:t>
            </w:r>
            <w:r w:rsidR="00283A11">
              <w:t xml:space="preserve">; </w:t>
            </w:r>
            <w:r w:rsidR="00F724F5" w:rsidRPr="00F724F5">
              <w:t>Australian Skills Classification (ASC)</w:t>
            </w:r>
            <w:r w:rsidR="00F724F5" w:rsidRPr="00F724F5">
              <w:rPr>
                <w:rStyle w:val="FootnoteReference"/>
              </w:rPr>
              <w:footnoteReference w:id="13"/>
            </w:r>
          </w:p>
        </w:tc>
      </w:tr>
      <w:tr w:rsidR="004F40CF" w14:paraId="406FA38F" w14:textId="17D6023B" w:rsidTr="00E95979">
        <w:tc>
          <w:tcPr>
            <w:tcW w:w="0" w:type="pct"/>
          </w:tcPr>
          <w:p w14:paraId="3D6E02D6" w14:textId="45533689" w:rsidR="004F40CF" w:rsidRPr="00180C90" w:rsidRDefault="00281EB2" w:rsidP="00C34184">
            <w:pPr>
              <w:pStyle w:val="TableBodyText"/>
            </w:pPr>
            <w:r>
              <w:t>2021 e</w:t>
            </w:r>
            <w:r w:rsidR="004F40CF" w:rsidRPr="00180C90">
              <w:t xml:space="preserve">mployment </w:t>
            </w:r>
            <w:r>
              <w:t>level</w:t>
            </w:r>
            <w:r w:rsidR="00D43379">
              <w:t xml:space="preserve">; </w:t>
            </w:r>
            <w:r w:rsidR="00C34184">
              <w:t>C</w:t>
            </w:r>
            <w:r>
              <w:t>urrent employment level</w:t>
            </w:r>
          </w:p>
        </w:tc>
        <w:tc>
          <w:tcPr>
            <w:tcW w:w="0" w:type="pct"/>
          </w:tcPr>
          <w:p w14:paraId="082057B8" w14:textId="0E2834D5" w:rsidR="00281EB2" w:rsidRPr="00205984" w:rsidRDefault="00281EB2" w:rsidP="00C34184">
            <w:pPr>
              <w:pStyle w:val="TableBodyText"/>
            </w:pPr>
            <w:r w:rsidRPr="00180C90">
              <w:t>ABS Census of Population and Housing 2021</w:t>
            </w:r>
            <w:r w:rsidR="00283A11">
              <w:t xml:space="preserve">; </w:t>
            </w:r>
            <w:r w:rsidR="00FE4580">
              <w:t>GBM</w:t>
            </w:r>
            <w:r w:rsidR="000C052C">
              <w:rPr>
                <w:rStyle w:val="FootnoteReference"/>
              </w:rPr>
              <w:footnoteReference w:id="14"/>
            </w:r>
          </w:p>
        </w:tc>
      </w:tr>
      <w:tr w:rsidR="00DC7BD9" w14:paraId="155A473D" w14:textId="77777777" w:rsidTr="00E95979">
        <w:trPr>
          <w:cnfStyle w:val="000000010000" w:firstRow="0" w:lastRow="0" w:firstColumn="0" w:lastColumn="0" w:oddVBand="0" w:evenVBand="0" w:oddHBand="0" w:evenHBand="1" w:firstRowFirstColumn="0" w:firstRowLastColumn="0" w:lastRowFirstColumn="0" w:lastRowLastColumn="0"/>
        </w:trPr>
        <w:tc>
          <w:tcPr>
            <w:tcW w:w="0" w:type="pct"/>
          </w:tcPr>
          <w:p w14:paraId="15E27A4C" w14:textId="604C95CE" w:rsidR="004F40CF" w:rsidRPr="00180C90" w:rsidRDefault="00FE4580" w:rsidP="006E236B">
            <w:pPr>
              <w:pStyle w:val="TableBodyText"/>
            </w:pPr>
            <w:r>
              <w:t>R</w:t>
            </w:r>
            <w:r w:rsidR="004F40CF" w:rsidRPr="00180C90">
              <w:t xml:space="preserve">ecruitment difficulty rates </w:t>
            </w:r>
          </w:p>
        </w:tc>
        <w:tc>
          <w:tcPr>
            <w:tcW w:w="0" w:type="pct"/>
          </w:tcPr>
          <w:p w14:paraId="27B9798A" w14:textId="3BAC61F7" w:rsidR="004F40CF" w:rsidRPr="00205984" w:rsidRDefault="00FE4580" w:rsidP="006E236B">
            <w:pPr>
              <w:pStyle w:val="TableBodyText"/>
            </w:pPr>
            <w:r w:rsidRPr="00180C90">
              <w:t>Recruiting Employer Outlook Survey</w:t>
            </w:r>
            <w:r w:rsidR="001305D4">
              <w:t xml:space="preserve"> (REOS)</w:t>
            </w:r>
            <w:r w:rsidRPr="00FE4580">
              <w:rPr>
                <w:rStyle w:val="FootnoteReference"/>
              </w:rPr>
              <w:footnoteReference w:id="15"/>
            </w:r>
            <w:r w:rsidRPr="00FE4580">
              <w:t xml:space="preserve"> </w:t>
            </w:r>
          </w:p>
        </w:tc>
      </w:tr>
      <w:tr w:rsidR="004F40CF" w14:paraId="6942B961" w14:textId="57B84738" w:rsidTr="00E95979">
        <w:tc>
          <w:tcPr>
            <w:tcW w:w="0" w:type="pct"/>
          </w:tcPr>
          <w:p w14:paraId="6E7A6A08" w14:textId="346A5E60" w:rsidR="004F40CF" w:rsidRPr="00180C90" w:rsidRDefault="00FE4580" w:rsidP="006E236B">
            <w:pPr>
              <w:pStyle w:val="TableBodyText"/>
            </w:pPr>
            <w:r w:rsidRPr="00180C90">
              <w:t>Labour Supply Index (LSI)</w:t>
            </w:r>
            <w:r w:rsidRPr="00FE4580">
              <w:rPr>
                <w:rStyle w:val="FootnoteReference"/>
              </w:rPr>
              <w:footnoteReference w:id="16"/>
            </w:r>
          </w:p>
        </w:tc>
        <w:tc>
          <w:tcPr>
            <w:tcW w:w="0" w:type="pct"/>
          </w:tcPr>
          <w:p w14:paraId="53910237" w14:textId="720189E0" w:rsidR="00FE4580" w:rsidRPr="00205984" w:rsidRDefault="00FE4580" w:rsidP="006B33ED">
            <w:pPr>
              <w:pStyle w:val="TableBodyText"/>
            </w:pPr>
            <w:r>
              <w:t>SERA</w:t>
            </w:r>
            <w:r w:rsidR="00283A11">
              <w:t xml:space="preserve">; </w:t>
            </w:r>
            <w:r>
              <w:t>REOS</w:t>
            </w:r>
            <w:r w:rsidR="00283A11">
              <w:t xml:space="preserve">; </w:t>
            </w:r>
            <w:r>
              <w:t>ASC</w:t>
            </w:r>
          </w:p>
        </w:tc>
      </w:tr>
      <w:tr w:rsidR="00DC7BD9" w14:paraId="42B5261B" w14:textId="77777777" w:rsidTr="00E95979">
        <w:trPr>
          <w:cnfStyle w:val="000000010000" w:firstRow="0" w:lastRow="0" w:firstColumn="0" w:lastColumn="0" w:oddVBand="0" w:evenVBand="0" w:oddHBand="0" w:evenHBand="1" w:firstRowFirstColumn="0" w:firstRowLastColumn="0" w:lastRowFirstColumn="0" w:lastRowLastColumn="0"/>
        </w:trPr>
        <w:tc>
          <w:tcPr>
            <w:tcW w:w="0" w:type="pct"/>
          </w:tcPr>
          <w:p w14:paraId="5E8B3C34" w14:textId="2DB80604" w:rsidR="004F40CF" w:rsidRPr="00180C90" w:rsidRDefault="00FE4580" w:rsidP="006E236B">
            <w:pPr>
              <w:pStyle w:val="TableBodyText"/>
            </w:pPr>
            <w:r w:rsidRPr="00205984">
              <w:t>Desktop research of occupations and industries</w:t>
            </w:r>
          </w:p>
        </w:tc>
        <w:tc>
          <w:tcPr>
            <w:tcW w:w="0" w:type="pct"/>
          </w:tcPr>
          <w:p w14:paraId="716079C0" w14:textId="1005FE0A" w:rsidR="00170334" w:rsidRPr="00205984" w:rsidRDefault="00FE4580" w:rsidP="002F34F8">
            <w:pPr>
              <w:pStyle w:val="TableBodyText"/>
            </w:pPr>
            <w:r>
              <w:t xml:space="preserve">Industry </w:t>
            </w:r>
            <w:r w:rsidR="00B32181">
              <w:t>reports</w:t>
            </w:r>
            <w:r w:rsidR="004814BC">
              <w:t xml:space="preserve"> and media</w:t>
            </w:r>
            <w:r w:rsidR="00170334">
              <w:t xml:space="preserve"> articles</w:t>
            </w:r>
          </w:p>
        </w:tc>
      </w:tr>
      <w:tr w:rsidR="00E33448" w14:paraId="79C65EDC" w14:textId="77777777" w:rsidTr="00E95979">
        <w:tc>
          <w:tcPr>
            <w:tcW w:w="0" w:type="pct"/>
          </w:tcPr>
          <w:p w14:paraId="6CEA1332" w14:textId="14DA3C75" w:rsidR="00E33448" w:rsidRPr="00205984" w:rsidRDefault="004E1B55" w:rsidP="006E236B">
            <w:pPr>
              <w:pStyle w:val="TableBodyText"/>
            </w:pPr>
            <w:r>
              <w:t xml:space="preserve">Occupation's characteristics </w:t>
            </w:r>
            <w:r w:rsidR="00A96604">
              <w:br/>
            </w:r>
            <w:r>
              <w:t xml:space="preserve">(skill level, </w:t>
            </w:r>
            <w:r w:rsidR="00914BB2">
              <w:t xml:space="preserve">qualification requirement, task descriptions, </w:t>
            </w:r>
            <w:r w:rsidR="00B33024">
              <w:t>specialisations</w:t>
            </w:r>
            <w:r w:rsidR="00914BB2">
              <w:t>)</w:t>
            </w:r>
            <w:r w:rsidR="00B33024">
              <w:t xml:space="preserve"> </w:t>
            </w:r>
          </w:p>
        </w:tc>
        <w:tc>
          <w:tcPr>
            <w:tcW w:w="0" w:type="pct"/>
          </w:tcPr>
          <w:p w14:paraId="6AEF4F69" w14:textId="6BF8E781" w:rsidR="00E33448" w:rsidRDefault="0062279B" w:rsidP="005E5BFC">
            <w:pPr>
              <w:pStyle w:val="TableListBullet"/>
              <w:numPr>
                <w:ilvl w:val="0"/>
                <w:numId w:val="0"/>
              </w:numPr>
              <w:ind w:left="284" w:hanging="284"/>
            </w:pPr>
            <w:r>
              <w:t>ABS ANZSCO and OSCA framework</w:t>
            </w:r>
          </w:p>
        </w:tc>
      </w:tr>
    </w:tbl>
    <w:p w14:paraId="72B36E77" w14:textId="35F53E0E" w:rsidR="00B02381" w:rsidRPr="00E53A43" w:rsidRDefault="005153DA" w:rsidP="006E236B">
      <w:pPr>
        <w:pStyle w:val="Source"/>
      </w:pPr>
      <w:r>
        <w:t>Source: Jobs and Skills Australia.</w:t>
      </w:r>
    </w:p>
    <w:p w14:paraId="345D7142" w14:textId="1182BB09" w:rsidR="00BF342E" w:rsidRPr="00EE5ABC" w:rsidRDefault="00BB6063" w:rsidP="00EE5ABC">
      <w:pPr>
        <w:pStyle w:val="BodyText"/>
      </w:pPr>
      <w:r w:rsidRPr="00EE5ABC">
        <w:t xml:space="preserve">The review </w:t>
      </w:r>
      <w:r w:rsidR="00486EFE" w:rsidRPr="00EE5ABC">
        <w:t xml:space="preserve">process </w:t>
      </w:r>
      <w:r w:rsidR="006236AC">
        <w:t>involves</w:t>
      </w:r>
      <w:r w:rsidR="00486EFE" w:rsidRPr="00EE5ABC">
        <w:t xml:space="preserve"> </w:t>
      </w:r>
      <w:r w:rsidR="006236AC">
        <w:t xml:space="preserve">applying </w:t>
      </w:r>
      <w:r w:rsidR="00486EFE" w:rsidRPr="00EE5ABC">
        <w:t xml:space="preserve">judgment on </w:t>
      </w:r>
      <w:r w:rsidR="00AE126C" w:rsidRPr="00EE5ABC">
        <w:t xml:space="preserve">what the </w:t>
      </w:r>
      <w:r w:rsidR="00C07A3A">
        <w:t>overall evidence suggest</w:t>
      </w:r>
      <w:r w:rsidR="00E5369E">
        <w:t>s</w:t>
      </w:r>
      <w:r w:rsidR="00C07A3A" w:rsidRPr="00EE5ABC">
        <w:t xml:space="preserve"> </w:t>
      </w:r>
      <w:r w:rsidR="00E5369E">
        <w:t>about an occupation's rating</w:t>
      </w:r>
      <w:r w:rsidR="007619DB" w:rsidRPr="00EE5ABC">
        <w:t xml:space="preserve">. </w:t>
      </w:r>
      <w:r w:rsidR="00FC4C53">
        <w:t>Bel</w:t>
      </w:r>
      <w:r w:rsidR="00340417">
        <w:t>ow</w:t>
      </w:r>
      <w:r w:rsidR="00FC4C53">
        <w:t xml:space="preserve"> </w:t>
      </w:r>
      <w:r w:rsidR="002D5623">
        <w:t>are</w:t>
      </w:r>
      <w:r w:rsidR="00FC4C53">
        <w:t xml:space="preserve"> </w:t>
      </w:r>
      <w:r w:rsidR="000316EF">
        <w:t>2</w:t>
      </w:r>
      <w:r w:rsidR="00EE67ED">
        <w:t xml:space="preserve"> </w:t>
      </w:r>
      <w:r w:rsidR="00E54491">
        <w:t>s</w:t>
      </w:r>
      <w:r w:rsidR="00BF342E" w:rsidRPr="00EE5ABC">
        <w:t>impl</w:t>
      </w:r>
      <w:r w:rsidR="00EE67ED">
        <w:t>ified</w:t>
      </w:r>
      <w:r w:rsidR="00BF342E" w:rsidRPr="00EE5ABC">
        <w:t xml:space="preserve"> example</w:t>
      </w:r>
      <w:r w:rsidR="002D5623">
        <w:t>s</w:t>
      </w:r>
      <w:r w:rsidR="006C7E55">
        <w:t>.</w:t>
      </w:r>
    </w:p>
    <w:p w14:paraId="3E0F4FFE" w14:textId="101040A5" w:rsidR="00BF342E" w:rsidRDefault="00340417" w:rsidP="00BF342E">
      <w:pPr>
        <w:pStyle w:val="ListBullet"/>
      </w:pPr>
      <w:r>
        <w:lastRenderedPageBreak/>
        <w:t xml:space="preserve">Case 1: </w:t>
      </w:r>
      <w:r w:rsidRPr="00340417">
        <w:t xml:space="preserve">The preliminary rating for an occupation </w:t>
      </w:r>
      <w:r>
        <w:t xml:space="preserve">is </w:t>
      </w:r>
      <w:r w:rsidR="00BF342E" w:rsidRPr="00BF342E">
        <w:t>NS</w:t>
      </w:r>
      <w:r w:rsidR="0069559D">
        <w:t xml:space="preserve"> (No Shortage)</w:t>
      </w:r>
      <w:r w:rsidR="00EE67ED">
        <w:t>,</w:t>
      </w:r>
      <w:r w:rsidR="00BF342E" w:rsidRPr="00E53A43">
        <w:t xml:space="preserve"> but </w:t>
      </w:r>
      <w:r w:rsidR="00EE67ED">
        <w:t>the occupation</w:t>
      </w:r>
      <w:r w:rsidR="00EE67ED" w:rsidRPr="00E53A43">
        <w:t xml:space="preserve"> </w:t>
      </w:r>
      <w:r w:rsidR="00BF342E" w:rsidRPr="00E53A43">
        <w:t xml:space="preserve">just </w:t>
      </w:r>
      <w:r w:rsidR="00EE67ED">
        <w:t>narrowly misse</w:t>
      </w:r>
      <w:r w:rsidR="000505EA">
        <w:t xml:space="preserve">s </w:t>
      </w:r>
      <w:r w:rsidR="00BF342E" w:rsidRPr="00E53A43">
        <w:t xml:space="preserve">the </w:t>
      </w:r>
      <w:r w:rsidR="00C8149A">
        <w:t>criteria</w:t>
      </w:r>
      <w:r w:rsidR="00C8149A" w:rsidRPr="00E53A43">
        <w:t xml:space="preserve"> </w:t>
      </w:r>
      <w:r w:rsidR="003E0B73">
        <w:t>for S</w:t>
      </w:r>
      <w:r w:rsidR="0069559D">
        <w:t xml:space="preserve"> (Shortage)</w:t>
      </w:r>
      <w:r w:rsidR="00BF342E" w:rsidRPr="00E53A43">
        <w:t xml:space="preserve">. </w:t>
      </w:r>
      <w:r w:rsidR="00C8149A">
        <w:t>A</w:t>
      </w:r>
      <w:r w:rsidR="00BF342E" w:rsidRPr="00E53A43">
        <w:t xml:space="preserve">dditional sources provide </w:t>
      </w:r>
      <w:r w:rsidR="00037874">
        <w:t>compelling evidence</w:t>
      </w:r>
      <w:r w:rsidR="00BF342E" w:rsidRPr="00E53A43">
        <w:t xml:space="preserve"> </w:t>
      </w:r>
      <w:r w:rsidR="00AA2370">
        <w:t>supporting a</w:t>
      </w:r>
      <w:r w:rsidR="00263C21">
        <w:t>n</w:t>
      </w:r>
      <w:r w:rsidR="00AA2370">
        <w:t xml:space="preserve"> </w:t>
      </w:r>
      <w:r w:rsidR="003E0B73">
        <w:t>S</w:t>
      </w:r>
      <w:r w:rsidR="00BF342E" w:rsidRPr="00E53A43">
        <w:t xml:space="preserve">. The rating </w:t>
      </w:r>
      <w:r w:rsidR="00092970">
        <w:t xml:space="preserve">is </w:t>
      </w:r>
      <w:r w:rsidR="002D5623">
        <w:t>revised</w:t>
      </w:r>
      <w:r w:rsidR="002D5623" w:rsidRPr="00E53A43">
        <w:t xml:space="preserve"> </w:t>
      </w:r>
      <w:r w:rsidR="00BF342E" w:rsidRPr="00E53A43">
        <w:t xml:space="preserve">to </w:t>
      </w:r>
      <w:r w:rsidR="009D1B76">
        <w:t>S</w:t>
      </w:r>
      <w:r w:rsidR="00BF342E" w:rsidRPr="00E53A43">
        <w:t>.</w:t>
      </w:r>
    </w:p>
    <w:p w14:paraId="5FFDC61E" w14:textId="6466B6B4" w:rsidR="00DC2454" w:rsidRDefault="00DC2454" w:rsidP="00BF342E">
      <w:pPr>
        <w:pStyle w:val="ListBullet"/>
      </w:pPr>
      <w:r w:rsidRPr="00DC2454">
        <w:t>Case 2: The preliminary rating is S but it only just meet</w:t>
      </w:r>
      <w:r w:rsidR="000505EA">
        <w:t>s</w:t>
      </w:r>
      <w:r w:rsidRPr="00DC2454">
        <w:t xml:space="preserve"> the criteria. However, the employment level is below the 25th</w:t>
      </w:r>
      <w:r w:rsidR="0046277B">
        <w:t xml:space="preserve"> </w:t>
      </w:r>
      <w:r w:rsidRPr="00DC2454">
        <w:t xml:space="preserve">percentile and the additional sources offer little or no evidence of a shortage rating. The rating </w:t>
      </w:r>
      <w:r w:rsidR="00092970">
        <w:t xml:space="preserve">is </w:t>
      </w:r>
      <w:r w:rsidRPr="00DC2454">
        <w:t>revised to</w:t>
      </w:r>
      <w:r>
        <w:t xml:space="preserve"> NS.</w:t>
      </w:r>
    </w:p>
    <w:p w14:paraId="1146D632" w14:textId="193EFEBA" w:rsidR="00BF342E" w:rsidRPr="00E53A43" w:rsidRDefault="00BF342E" w:rsidP="00BF342E">
      <w:pPr>
        <w:pStyle w:val="Heading2"/>
      </w:pPr>
      <w:bookmarkStart w:id="51" w:name="_Toc175157204"/>
      <w:bookmarkStart w:id="52" w:name="_Toc204771894"/>
      <w:bookmarkStart w:id="53" w:name="_Ref207368594"/>
      <w:bookmarkStart w:id="54" w:name="_Toc211425364"/>
      <w:r w:rsidRPr="00E53A43">
        <w:t>Stage 3: Incorporat</w:t>
      </w:r>
      <w:r w:rsidR="00EE5ABC">
        <w:t xml:space="preserve">ing </w:t>
      </w:r>
      <w:r w:rsidRPr="00E53A43">
        <w:t>stakeholder feedback</w:t>
      </w:r>
      <w:bookmarkEnd w:id="51"/>
      <w:bookmarkEnd w:id="52"/>
      <w:bookmarkEnd w:id="53"/>
      <w:bookmarkEnd w:id="54"/>
    </w:p>
    <w:p w14:paraId="65940990" w14:textId="77777777" w:rsidR="00BF342E" w:rsidRPr="00E53A43" w:rsidRDefault="00BF342E" w:rsidP="00BF342E">
      <w:pPr>
        <w:pStyle w:val="Heading3"/>
      </w:pPr>
      <w:bookmarkStart w:id="55" w:name="_Toc204771895"/>
      <w:bookmarkStart w:id="56" w:name="_Toc211425365"/>
      <w:r w:rsidRPr="00E53A43">
        <w:t>Consultation with select external stakeholders</w:t>
      </w:r>
      <w:bookmarkEnd w:id="55"/>
      <w:bookmarkEnd w:id="56"/>
    </w:p>
    <w:p w14:paraId="67F9CB19" w14:textId="52A71C8A" w:rsidR="00BA7E77" w:rsidRDefault="00BA7E77" w:rsidP="009C47BF">
      <w:pPr>
        <w:pStyle w:val="BodyText"/>
      </w:pPr>
      <w:r>
        <w:t xml:space="preserve">Jobs and Skills Australia </w:t>
      </w:r>
      <w:r w:rsidR="00D94189">
        <w:t xml:space="preserve">seek feedback on the </w:t>
      </w:r>
      <w:r w:rsidR="0014127C">
        <w:t>preliminary, stage 1, ratings from:</w:t>
      </w:r>
    </w:p>
    <w:p w14:paraId="735B8333" w14:textId="462B9EAE" w:rsidR="0014127C" w:rsidRDefault="008F55DB" w:rsidP="001B1162">
      <w:pPr>
        <w:pStyle w:val="ListBullet"/>
      </w:pPr>
      <w:r w:rsidRPr="008F55DB">
        <w:t>Commonwealth Government departments</w:t>
      </w:r>
      <w:r w:rsidR="00B3595A">
        <w:t xml:space="preserve">, requesting </w:t>
      </w:r>
      <w:r w:rsidR="00093826">
        <w:t>review of the national level ratings</w:t>
      </w:r>
    </w:p>
    <w:p w14:paraId="38A12AAE" w14:textId="3789A199" w:rsidR="00D54873" w:rsidRDefault="006A2C4E" w:rsidP="001B1162">
      <w:pPr>
        <w:pStyle w:val="ListBullet"/>
      </w:pPr>
      <w:r>
        <w:t>State government departments</w:t>
      </w:r>
      <w:r w:rsidR="002A4246">
        <w:t xml:space="preserve">, requesting review of </w:t>
      </w:r>
      <w:r w:rsidR="006F7561">
        <w:t xml:space="preserve">whether the </w:t>
      </w:r>
      <w:r w:rsidR="002A4246">
        <w:t>national level ratings</w:t>
      </w:r>
      <w:r w:rsidR="006F7561">
        <w:t xml:space="preserve"> apply to </w:t>
      </w:r>
      <w:r w:rsidR="00EE1244">
        <w:t>the state</w:t>
      </w:r>
    </w:p>
    <w:p w14:paraId="6D5BF63C" w14:textId="2F0DA9E2" w:rsidR="001F03B9" w:rsidRDefault="006A2C4E" w:rsidP="001B1162">
      <w:pPr>
        <w:pStyle w:val="ListBullet"/>
        <w:spacing w:before="0" w:after="200"/>
      </w:pPr>
      <w:r>
        <w:t>JSCs</w:t>
      </w:r>
      <w:r w:rsidR="00EE1244">
        <w:t xml:space="preserve">, </w:t>
      </w:r>
      <w:r w:rsidR="00A03403">
        <w:t xml:space="preserve">requesting review on </w:t>
      </w:r>
      <w:r w:rsidR="00F57C9C">
        <w:t xml:space="preserve">the national level ratings and the ratings </w:t>
      </w:r>
      <w:r w:rsidR="00A85566">
        <w:t>that should apply to each state.</w:t>
      </w:r>
    </w:p>
    <w:p w14:paraId="3370C59B" w14:textId="350976E5" w:rsidR="009D38A2" w:rsidRDefault="00BF43F4" w:rsidP="00300517">
      <w:pPr>
        <w:pStyle w:val="BodyText"/>
      </w:pPr>
      <w:r>
        <w:t xml:space="preserve">Given the limited data currently available on the </w:t>
      </w:r>
      <w:r w:rsidR="00635E03">
        <w:t xml:space="preserve">2024 </w:t>
      </w:r>
      <w:r>
        <w:t xml:space="preserve">OSCA framework, </w:t>
      </w:r>
      <w:r w:rsidR="00C31B47">
        <w:t>f</w:t>
      </w:r>
      <w:r w:rsidR="009D38A2">
        <w:t xml:space="preserve">eedback </w:t>
      </w:r>
      <w:r w:rsidR="00C31B47">
        <w:t xml:space="preserve">for the 2025 OSL </w:t>
      </w:r>
      <w:r>
        <w:t xml:space="preserve">was primarily </w:t>
      </w:r>
      <w:r w:rsidR="00066DC0">
        <w:t xml:space="preserve">requested on the 2022 ANZSCO version of the OSL. </w:t>
      </w:r>
      <w:r>
        <w:t xml:space="preserve">As </w:t>
      </w:r>
      <w:r w:rsidR="004261CF">
        <w:t xml:space="preserve">data based on the </w:t>
      </w:r>
      <w:r w:rsidR="00635E03">
        <w:t xml:space="preserve">2024 </w:t>
      </w:r>
      <w:r w:rsidR="004261CF">
        <w:t xml:space="preserve">OSCA framework becomes more readily available in future years, this will become the primary framework for seeking </w:t>
      </w:r>
      <w:r w:rsidR="00CD2042">
        <w:t>feedback.</w:t>
      </w:r>
    </w:p>
    <w:p w14:paraId="077B37E4" w14:textId="6B880085" w:rsidR="005E6D54" w:rsidRDefault="00F47DC1" w:rsidP="00300517">
      <w:pPr>
        <w:pStyle w:val="BodyText"/>
      </w:pPr>
      <w:r>
        <w:t xml:space="preserve">The reason </w:t>
      </w:r>
      <w:r w:rsidR="001B3DEE">
        <w:t>Jobs and Skills Australia</w:t>
      </w:r>
      <w:r w:rsidR="00300517">
        <w:t xml:space="preserve"> request</w:t>
      </w:r>
      <w:r>
        <w:t xml:space="preserve">s a </w:t>
      </w:r>
      <w:r w:rsidR="00300517">
        <w:t xml:space="preserve">review </w:t>
      </w:r>
      <w:r w:rsidR="005E6D54">
        <w:t xml:space="preserve">of </w:t>
      </w:r>
      <w:r w:rsidR="00E574B2">
        <w:t xml:space="preserve">the </w:t>
      </w:r>
      <w:r w:rsidR="00300517">
        <w:t xml:space="preserve">preliminary </w:t>
      </w:r>
      <w:r w:rsidR="00E574B2">
        <w:t>ratings</w:t>
      </w:r>
      <w:r w:rsidR="002C7C95">
        <w:t xml:space="preserve"> (rather than the stage 2, verified ratings) </w:t>
      </w:r>
      <w:r>
        <w:t xml:space="preserve">is </w:t>
      </w:r>
      <w:r w:rsidR="002F0D1E">
        <w:t>to</w:t>
      </w:r>
      <w:r w:rsidR="005E6D54">
        <w:t>:</w:t>
      </w:r>
    </w:p>
    <w:p w14:paraId="241F9E25" w14:textId="77777777" w:rsidR="005E6D54" w:rsidRDefault="002F0D1E" w:rsidP="001B1162">
      <w:pPr>
        <w:pStyle w:val="ListBullet"/>
      </w:pPr>
      <w:r>
        <w:t xml:space="preserve">ensure timely production of the OSL </w:t>
      </w:r>
    </w:p>
    <w:p w14:paraId="16AE1C46" w14:textId="13F60218" w:rsidR="008F55DB" w:rsidRPr="008F55DB" w:rsidRDefault="002F0D1E" w:rsidP="001B1162">
      <w:pPr>
        <w:pStyle w:val="ListBullet"/>
      </w:pPr>
      <w:r>
        <w:t xml:space="preserve">provide stakeholders with sufficient time to review and </w:t>
      </w:r>
      <w:r w:rsidR="005E6D54">
        <w:t xml:space="preserve">share feedback. </w:t>
      </w:r>
    </w:p>
    <w:p w14:paraId="7B3FCB80" w14:textId="12E84B31" w:rsidR="00BF342E" w:rsidRDefault="00BF342E" w:rsidP="00300517">
      <w:pPr>
        <w:pStyle w:val="BodyText"/>
      </w:pPr>
      <w:r w:rsidRPr="00E53A43">
        <w:t xml:space="preserve">The aim </w:t>
      </w:r>
      <w:r w:rsidR="006F7C75">
        <w:t>of stage 3</w:t>
      </w:r>
      <w:r w:rsidRPr="00E53A43">
        <w:t xml:space="preserve"> is to </w:t>
      </w:r>
      <w:r w:rsidR="006F7C75">
        <w:t>gather</w:t>
      </w:r>
      <w:r w:rsidR="006F7C75" w:rsidRPr="00E53A43">
        <w:t xml:space="preserve"> </w:t>
      </w:r>
      <w:r w:rsidRPr="00E53A43">
        <w:t>additional evidence.</w:t>
      </w:r>
      <w:r w:rsidR="000954D2">
        <w:t xml:space="preserve"> This stage ensures that the </w:t>
      </w:r>
      <w:r w:rsidR="00033461">
        <w:t xml:space="preserve">evidence base that inform the </w:t>
      </w:r>
      <w:r w:rsidR="000954D2">
        <w:t xml:space="preserve">final </w:t>
      </w:r>
      <w:r w:rsidR="00033461">
        <w:t xml:space="preserve">OSL </w:t>
      </w:r>
      <w:r w:rsidR="000954D2">
        <w:t>ratings are broad</w:t>
      </w:r>
      <w:r w:rsidR="00754B07">
        <w:t xml:space="preserve"> and comprehensive</w:t>
      </w:r>
      <w:r w:rsidR="000954D2">
        <w:t>.</w:t>
      </w:r>
    </w:p>
    <w:p w14:paraId="58E71D21" w14:textId="74995523" w:rsidR="00886609" w:rsidRDefault="00886609" w:rsidP="00886609">
      <w:pPr>
        <w:pStyle w:val="BodyText"/>
      </w:pPr>
      <w:r>
        <w:t>Jobs and Skills Australia recommends that state</w:t>
      </w:r>
      <w:r w:rsidR="009F3551">
        <w:t xml:space="preserve"> </w:t>
      </w:r>
      <w:r>
        <w:t>level analysis be based on the products and outputs produced by the states</w:t>
      </w:r>
      <w:r w:rsidR="0024188E">
        <w:t xml:space="preserve"> for the following reasons:</w:t>
      </w:r>
    </w:p>
    <w:p w14:paraId="18EEAD21" w14:textId="7A99156D" w:rsidR="00B21564" w:rsidRDefault="00B21564" w:rsidP="0024188E">
      <w:pPr>
        <w:pStyle w:val="ListBullet"/>
      </w:pPr>
      <w:r>
        <w:t>Modelling, data analysis, research and assessments are undertaken to produce national level ratings and not state</w:t>
      </w:r>
      <w:r w:rsidR="002E0F2D">
        <w:t xml:space="preserve"> level</w:t>
      </w:r>
      <w:r>
        <w:t xml:space="preserve"> ratings.</w:t>
      </w:r>
    </w:p>
    <w:p w14:paraId="0A813463" w14:textId="421CEA0F" w:rsidR="008519E0" w:rsidRDefault="0024188E" w:rsidP="0024188E">
      <w:pPr>
        <w:pStyle w:val="ListBullet"/>
      </w:pPr>
      <w:r>
        <w:t>F</w:t>
      </w:r>
      <w:r w:rsidR="008519E0">
        <w:t>eedback from states and the JSCs on whether the national ratings apply to a particular state</w:t>
      </w:r>
      <w:r w:rsidR="00E7741C">
        <w:t xml:space="preserve"> serve as </w:t>
      </w:r>
      <w:r w:rsidR="008519E0">
        <w:t xml:space="preserve">a validation </w:t>
      </w:r>
      <w:r w:rsidR="0085174C">
        <w:t>step</w:t>
      </w:r>
      <w:r w:rsidR="008519E0">
        <w:t xml:space="preserve"> to ensure accuracy of </w:t>
      </w:r>
      <w:r w:rsidR="00F47DC1">
        <w:t xml:space="preserve">the </w:t>
      </w:r>
      <w:r w:rsidR="008519E0">
        <w:t>national ratings.</w:t>
      </w:r>
    </w:p>
    <w:p w14:paraId="33FB0F04" w14:textId="073662FE" w:rsidR="00861A52" w:rsidRDefault="00537E7E" w:rsidP="001B1162">
      <w:pPr>
        <w:pStyle w:val="ListBullet"/>
      </w:pPr>
      <w:r>
        <w:t xml:space="preserve">The </w:t>
      </w:r>
      <w:r w:rsidR="00140D54">
        <w:t xml:space="preserve">published </w:t>
      </w:r>
      <w:r>
        <w:t>state ratings are based on the accepted feedback from the 3 mentioned groups of stakeholders</w:t>
      </w:r>
      <w:r w:rsidR="004E2B93">
        <w:t xml:space="preserve"> (see </w:t>
      </w:r>
      <w:r w:rsidR="00F47DC1">
        <w:t>the</w:t>
      </w:r>
      <w:r w:rsidR="004E2B93">
        <w:t xml:space="preserve"> </w:t>
      </w:r>
      <w:r w:rsidR="00F47DC1">
        <w:t xml:space="preserve">Criteria for incorporating feedback </w:t>
      </w:r>
      <w:r w:rsidR="004E2B93">
        <w:t>section below)</w:t>
      </w:r>
      <w:r>
        <w:t>.</w:t>
      </w:r>
      <w:r w:rsidR="006A6A1F">
        <w:t xml:space="preserve"> They </w:t>
      </w:r>
      <w:r w:rsidR="00BE0C34">
        <w:t>do not represent</w:t>
      </w:r>
      <w:r w:rsidR="006A6A1F">
        <w:t xml:space="preserve"> Jobs and Skills Australia</w:t>
      </w:r>
      <w:r w:rsidR="00BE0C34">
        <w:t xml:space="preserve">'s </w:t>
      </w:r>
      <w:r w:rsidR="006A6A1F">
        <w:t xml:space="preserve">view of </w:t>
      </w:r>
      <w:r w:rsidR="00E93555">
        <w:t>labour market</w:t>
      </w:r>
      <w:r w:rsidR="00140D54">
        <w:t xml:space="preserve"> conditions in states</w:t>
      </w:r>
      <w:r w:rsidR="00E93555">
        <w:t>.</w:t>
      </w:r>
      <w:r>
        <w:t xml:space="preserve"> </w:t>
      </w:r>
    </w:p>
    <w:p w14:paraId="3A1A4218" w14:textId="77777777" w:rsidR="00134C89" w:rsidRDefault="00134C89">
      <w:pPr>
        <w:spacing w:before="0" w:after="200" w:line="276" w:lineRule="auto"/>
        <w:rPr>
          <w:rFonts w:eastAsia="Times New Roman" w:cs="Arial"/>
          <w:b/>
          <w:color w:val="4B0985"/>
          <w:sz w:val="26"/>
          <w:szCs w:val="26"/>
          <w:lang w:eastAsia="en-AU"/>
        </w:rPr>
      </w:pPr>
      <w:r>
        <w:br w:type="page"/>
      </w:r>
    </w:p>
    <w:p w14:paraId="732AB8A3" w14:textId="47E8693E" w:rsidR="00136669" w:rsidRDefault="00136669" w:rsidP="00966BE5">
      <w:pPr>
        <w:pStyle w:val="Heading3"/>
      </w:pPr>
      <w:bookmarkStart w:id="57" w:name="_Toc211425366"/>
      <w:r w:rsidRPr="00E53A43">
        <w:lastRenderedPageBreak/>
        <w:t>C</w:t>
      </w:r>
      <w:r>
        <w:t>riteria for incorporating feedback</w:t>
      </w:r>
      <w:bookmarkEnd w:id="57"/>
    </w:p>
    <w:p w14:paraId="0BF26EAB" w14:textId="2E508019" w:rsidR="0067143A" w:rsidRDefault="00F312DE" w:rsidP="00C31B47">
      <w:pPr>
        <w:pStyle w:val="BodyText"/>
        <w:rPr>
          <w:b/>
          <w:bCs/>
          <w:color w:val="012749"/>
          <w:sz w:val="18"/>
          <w:szCs w:val="18"/>
        </w:rPr>
      </w:pPr>
      <w:r>
        <w:t>Table 5</w:t>
      </w:r>
      <w:r w:rsidR="00796C5C">
        <w:t xml:space="preserve"> </w:t>
      </w:r>
      <w:r w:rsidR="00D961F9" w:rsidRPr="00C7025D">
        <w:t xml:space="preserve">summarises the </w:t>
      </w:r>
      <w:r w:rsidR="000455CC" w:rsidRPr="00C7025D">
        <w:t xml:space="preserve">process </w:t>
      </w:r>
      <w:r w:rsidR="00DB0721" w:rsidRPr="00C7025D">
        <w:t xml:space="preserve">Jobs and Skills Australia </w:t>
      </w:r>
      <w:r w:rsidR="000455CC" w:rsidRPr="00C7025D">
        <w:t>undertake to incorporate feedback</w:t>
      </w:r>
      <w:r w:rsidR="006E4C0F" w:rsidRPr="00C7025D">
        <w:t xml:space="preserve"> </w:t>
      </w:r>
      <w:r w:rsidR="00E315AE">
        <w:t>from Commonwealth departments and JSC</w:t>
      </w:r>
      <w:r w:rsidR="00EF4528">
        <w:t>s</w:t>
      </w:r>
      <w:r w:rsidR="00E315AE">
        <w:t xml:space="preserve"> </w:t>
      </w:r>
      <w:r w:rsidR="006E4C0F" w:rsidRPr="00C7025D">
        <w:t xml:space="preserve">into the </w:t>
      </w:r>
      <w:r w:rsidR="00C7025D" w:rsidRPr="00C7025D">
        <w:t>national level ratings</w:t>
      </w:r>
      <w:r w:rsidR="000455CC" w:rsidRPr="00C7025D">
        <w:t>.</w:t>
      </w:r>
      <w:bookmarkStart w:id="58" w:name="_Ref207569132"/>
    </w:p>
    <w:p w14:paraId="0CC5C441" w14:textId="6BF7E2F0" w:rsidR="000455CC" w:rsidRDefault="00B8159E" w:rsidP="001B1162">
      <w:pPr>
        <w:pStyle w:val="Caption"/>
      </w:pPr>
      <w:bookmarkStart w:id="59" w:name="_Toc211421398"/>
      <w:r>
        <w:t xml:space="preserve">Table </w:t>
      </w:r>
      <w:r>
        <w:fldChar w:fldCharType="begin"/>
      </w:r>
      <w:r>
        <w:instrText xml:space="preserve"> SEQ Table \* ARABIC </w:instrText>
      </w:r>
      <w:r>
        <w:fldChar w:fldCharType="separate"/>
      </w:r>
      <w:r w:rsidR="00F6227E">
        <w:rPr>
          <w:noProof/>
        </w:rPr>
        <w:t>5</w:t>
      </w:r>
      <w:r>
        <w:fldChar w:fldCharType="end"/>
      </w:r>
      <w:r>
        <w:t xml:space="preserve">: </w:t>
      </w:r>
      <w:bookmarkEnd w:id="58"/>
      <w:r w:rsidR="00E321E8">
        <w:t xml:space="preserve">Steps </w:t>
      </w:r>
      <w:r w:rsidR="00A936F5">
        <w:t xml:space="preserve">used when </w:t>
      </w:r>
      <w:r w:rsidR="00041AB2">
        <w:t xml:space="preserve">reviewing and incorporating feedback </w:t>
      </w:r>
      <w:r w:rsidR="00C55D53">
        <w:t>from Commonwealth and JSCs</w:t>
      </w:r>
      <w:bookmarkEnd w:id="59"/>
    </w:p>
    <w:tbl>
      <w:tblPr>
        <w:tblStyle w:val="CustomTablebasic"/>
        <w:tblW w:w="0" w:type="auto"/>
        <w:tblLook w:val="04A0" w:firstRow="1" w:lastRow="0" w:firstColumn="1" w:lastColumn="0" w:noHBand="0" w:noVBand="1"/>
      </w:tblPr>
      <w:tblGrid>
        <w:gridCol w:w="9027"/>
      </w:tblGrid>
      <w:tr w:rsidR="00A123F1" w14:paraId="5BA399C8" w14:textId="77777777">
        <w:trPr>
          <w:cnfStyle w:val="100000000000" w:firstRow="1" w:lastRow="0" w:firstColumn="0" w:lastColumn="0" w:oddVBand="0" w:evenVBand="0" w:oddHBand="0" w:evenHBand="0" w:firstRowFirstColumn="0" w:firstRowLastColumn="0" w:lastRowFirstColumn="0" w:lastRowLastColumn="0"/>
        </w:trPr>
        <w:tc>
          <w:tcPr>
            <w:tcW w:w="9027" w:type="dxa"/>
          </w:tcPr>
          <w:p w14:paraId="71D3F0D0" w14:textId="789FC4EE" w:rsidR="00E321E8" w:rsidRDefault="00041AB2" w:rsidP="001B1162">
            <w:pPr>
              <w:pStyle w:val="TableHeading1"/>
            </w:pPr>
            <w:r>
              <w:t>Key steps</w:t>
            </w:r>
          </w:p>
        </w:tc>
      </w:tr>
      <w:tr w:rsidR="00E321E8" w14:paraId="443DC8F0" w14:textId="77777777">
        <w:tc>
          <w:tcPr>
            <w:tcW w:w="9027" w:type="dxa"/>
          </w:tcPr>
          <w:p w14:paraId="6FA2665C" w14:textId="2C39538B" w:rsidR="00E321E8" w:rsidRDefault="00041AB2" w:rsidP="001B1162">
            <w:pPr>
              <w:pStyle w:val="TableListNumber"/>
              <w:numPr>
                <w:ilvl w:val="0"/>
                <w:numId w:val="52"/>
              </w:numPr>
            </w:pPr>
            <w:r>
              <w:t xml:space="preserve">Score the feedback </w:t>
            </w:r>
            <w:r w:rsidR="00FC68D7">
              <w:t xml:space="preserve">for each occupation </w:t>
            </w:r>
            <w:r w:rsidR="00BB568B">
              <w:t>using</w:t>
            </w:r>
            <w:r>
              <w:t xml:space="preserve"> a </w:t>
            </w:r>
            <w:r w:rsidR="001D5408">
              <w:t xml:space="preserve">scoring </w:t>
            </w:r>
            <w:r w:rsidR="00A7295B">
              <w:t>matrix</w:t>
            </w:r>
            <w:r w:rsidR="001D5408">
              <w:t>.</w:t>
            </w:r>
          </w:p>
        </w:tc>
      </w:tr>
      <w:tr w:rsidR="00A123F1" w14:paraId="42093B97" w14:textId="77777777">
        <w:trPr>
          <w:cnfStyle w:val="000000010000" w:firstRow="0" w:lastRow="0" w:firstColumn="0" w:lastColumn="0" w:oddVBand="0" w:evenVBand="0" w:oddHBand="0" w:evenHBand="1" w:firstRowFirstColumn="0" w:firstRowLastColumn="0" w:lastRowFirstColumn="0" w:lastRowLastColumn="0"/>
        </w:trPr>
        <w:tc>
          <w:tcPr>
            <w:tcW w:w="9027" w:type="dxa"/>
          </w:tcPr>
          <w:p w14:paraId="11528039" w14:textId="0B4E4EED" w:rsidR="00E321E8" w:rsidRDefault="00BA691B" w:rsidP="001B1162">
            <w:pPr>
              <w:pStyle w:val="TableListNumber"/>
            </w:pPr>
            <w:r>
              <w:t xml:space="preserve">Reject feedback </w:t>
            </w:r>
            <w:r w:rsidR="00FC68D7">
              <w:t xml:space="preserve">for occupations </w:t>
            </w:r>
            <w:r>
              <w:t xml:space="preserve">that </w:t>
            </w:r>
            <w:r w:rsidR="00C31197">
              <w:t>do not meet the minimum benchmark</w:t>
            </w:r>
            <w:r w:rsidR="001C761B">
              <w:t xml:space="preserve"> score</w:t>
            </w:r>
            <w:r w:rsidR="00C31197">
              <w:t>.</w:t>
            </w:r>
            <w:r w:rsidR="002957AB">
              <w:rPr>
                <w:rStyle w:val="FootnoteReference"/>
              </w:rPr>
              <w:footnoteReference w:id="17"/>
            </w:r>
          </w:p>
        </w:tc>
      </w:tr>
      <w:tr w:rsidR="00E321E8" w14:paraId="6CBA2433" w14:textId="77777777">
        <w:tc>
          <w:tcPr>
            <w:tcW w:w="9027" w:type="dxa"/>
          </w:tcPr>
          <w:p w14:paraId="1C9073E0" w14:textId="6BEEDDD6" w:rsidR="00E321E8" w:rsidRDefault="00FC68D7" w:rsidP="001B1162">
            <w:pPr>
              <w:pStyle w:val="TableListNumber"/>
            </w:pPr>
            <w:r>
              <w:t xml:space="preserve">For </w:t>
            </w:r>
            <w:r w:rsidR="001C761B">
              <w:t>feedback that</w:t>
            </w:r>
            <w:r w:rsidR="00D23374">
              <w:t xml:space="preserve"> meets the benchmark, </w:t>
            </w:r>
            <w:r>
              <w:t>c</w:t>
            </w:r>
            <w:r w:rsidR="00C31197">
              <w:t>ompare</w:t>
            </w:r>
            <w:r w:rsidR="00D23374">
              <w:t xml:space="preserve"> it</w:t>
            </w:r>
            <w:r w:rsidR="00C31197">
              <w:t xml:space="preserve"> </w:t>
            </w:r>
            <w:r>
              <w:t>aga</w:t>
            </w:r>
            <w:r w:rsidR="00C07A0F">
              <w:t xml:space="preserve">inst the manually verified ratings </w:t>
            </w:r>
            <w:r w:rsidR="00433546">
              <w:t xml:space="preserve">from stage 2 </w:t>
            </w:r>
            <w:r w:rsidR="00C07A0F">
              <w:t xml:space="preserve">and the </w:t>
            </w:r>
            <w:r w:rsidR="00AF060F">
              <w:t>supporting evidence</w:t>
            </w:r>
            <w:r w:rsidR="003D09AA">
              <w:t xml:space="preserve"> </w:t>
            </w:r>
            <w:r w:rsidR="009521D1">
              <w:t xml:space="preserve">used </w:t>
            </w:r>
            <w:r w:rsidR="00AF060F">
              <w:t>during that stage</w:t>
            </w:r>
            <w:r w:rsidR="009521D1">
              <w:t>.</w:t>
            </w:r>
          </w:p>
        </w:tc>
      </w:tr>
      <w:tr w:rsidR="00A123F1" w14:paraId="69FF2A57" w14:textId="77777777">
        <w:trPr>
          <w:cnfStyle w:val="000000010000" w:firstRow="0" w:lastRow="0" w:firstColumn="0" w:lastColumn="0" w:oddVBand="0" w:evenVBand="0" w:oddHBand="0" w:evenHBand="1" w:firstRowFirstColumn="0" w:firstRowLastColumn="0" w:lastRowFirstColumn="0" w:lastRowLastColumn="0"/>
        </w:trPr>
        <w:tc>
          <w:tcPr>
            <w:tcW w:w="9027" w:type="dxa"/>
          </w:tcPr>
          <w:p w14:paraId="3C0BB1D6" w14:textId="4071E8EE" w:rsidR="00E321E8" w:rsidRDefault="0057112A" w:rsidP="00966BE5">
            <w:pPr>
              <w:pStyle w:val="TableListNumber"/>
            </w:pPr>
            <w:r>
              <w:t xml:space="preserve">Accept feedback </w:t>
            </w:r>
            <w:r w:rsidR="00AF060F">
              <w:t>if it</w:t>
            </w:r>
            <w:r w:rsidR="003F3073">
              <w:t xml:space="preserve"> provides </w:t>
            </w:r>
            <w:r w:rsidR="006F3DCE">
              <w:t>stronger</w:t>
            </w:r>
            <w:r w:rsidR="003F3073">
              <w:t xml:space="preserve"> evidence</w:t>
            </w:r>
            <w:r w:rsidR="00183E1F">
              <w:t xml:space="preserve"> than </w:t>
            </w:r>
            <w:r w:rsidR="003F3073">
              <w:t>what were</w:t>
            </w:r>
            <w:r w:rsidR="00183E1F">
              <w:t xml:space="preserve"> used in the stage 2 process.</w:t>
            </w:r>
          </w:p>
        </w:tc>
      </w:tr>
      <w:tr w:rsidR="00E321E8" w14:paraId="6FB4867C" w14:textId="77777777">
        <w:tc>
          <w:tcPr>
            <w:tcW w:w="9027" w:type="dxa"/>
          </w:tcPr>
          <w:p w14:paraId="7BA478A0" w14:textId="1162E772" w:rsidR="00E321E8" w:rsidRDefault="00183E1F" w:rsidP="00966BE5">
            <w:pPr>
              <w:pStyle w:val="TableListNumber"/>
            </w:pPr>
            <w:r>
              <w:t>Adjust the national level ratings</w:t>
            </w:r>
            <w:r w:rsidR="00CC4CDF">
              <w:t xml:space="preserve"> </w:t>
            </w:r>
            <w:r w:rsidR="000A2E18">
              <w:t>based on accepted</w:t>
            </w:r>
            <w:r w:rsidR="00CC4CDF">
              <w:t xml:space="preserve"> feedback in step 4</w:t>
            </w:r>
            <w:r>
              <w:t>.</w:t>
            </w:r>
          </w:p>
        </w:tc>
      </w:tr>
      <w:tr w:rsidR="00A123F1" w14:paraId="3C27FB95" w14:textId="77777777">
        <w:trPr>
          <w:cnfStyle w:val="000000010000" w:firstRow="0" w:lastRow="0" w:firstColumn="0" w:lastColumn="0" w:oddVBand="0" w:evenVBand="0" w:oddHBand="0" w:evenHBand="1" w:firstRowFirstColumn="0" w:firstRowLastColumn="0" w:lastRowFirstColumn="0" w:lastRowLastColumn="0"/>
        </w:trPr>
        <w:tc>
          <w:tcPr>
            <w:tcW w:w="9027" w:type="dxa"/>
          </w:tcPr>
          <w:p w14:paraId="12B30A0A" w14:textId="55954AEB" w:rsidR="007A4B84" w:rsidRPr="007A4B84" w:rsidRDefault="00BD70E7" w:rsidP="00966BE5">
            <w:pPr>
              <w:pStyle w:val="TableListNumber"/>
            </w:pPr>
            <w:r>
              <w:t>For occupatio</w:t>
            </w:r>
            <w:r w:rsidR="00405149">
              <w:t xml:space="preserve">ns </w:t>
            </w:r>
            <w:r w:rsidR="00F47DC1">
              <w:t xml:space="preserve">where </w:t>
            </w:r>
            <w:r w:rsidR="00405149">
              <w:t xml:space="preserve">no feedback </w:t>
            </w:r>
            <w:r w:rsidR="00F47DC1">
              <w:t xml:space="preserve">was </w:t>
            </w:r>
            <w:r w:rsidR="00405149">
              <w:t>received, retain</w:t>
            </w:r>
            <w:r w:rsidR="007A4B84" w:rsidRPr="007A4B84">
              <w:t xml:space="preserve"> </w:t>
            </w:r>
            <w:r w:rsidR="007A4B84">
              <w:t xml:space="preserve">stage 2 ratings </w:t>
            </w:r>
            <w:r w:rsidR="00CF7038">
              <w:t xml:space="preserve">as the final </w:t>
            </w:r>
            <w:r w:rsidR="00EC755C">
              <w:t xml:space="preserve">national </w:t>
            </w:r>
            <w:r w:rsidR="00E315AE">
              <w:t xml:space="preserve">level </w:t>
            </w:r>
            <w:r w:rsidR="00CF7038">
              <w:t>ratings</w:t>
            </w:r>
            <w:r w:rsidR="000C3003">
              <w:t>.</w:t>
            </w:r>
          </w:p>
        </w:tc>
      </w:tr>
    </w:tbl>
    <w:p w14:paraId="494105B6" w14:textId="51692FFD" w:rsidR="00E321E8" w:rsidRDefault="00183E1F" w:rsidP="00966BE5">
      <w:pPr>
        <w:pStyle w:val="Source"/>
      </w:pPr>
      <w:r>
        <w:t xml:space="preserve">Source: Jobs and Skills Australia. </w:t>
      </w:r>
    </w:p>
    <w:p w14:paraId="5AA4DF44" w14:textId="6645D109" w:rsidR="00A936F5" w:rsidRPr="00911E16" w:rsidRDefault="001B2267" w:rsidP="00A936F5">
      <w:pPr>
        <w:pStyle w:val="BodyText"/>
      </w:pPr>
      <w:r w:rsidRPr="00A936F5">
        <w:t>Additional rules</w:t>
      </w:r>
      <w:r w:rsidR="00ED6870" w:rsidRPr="00A936F5">
        <w:t xml:space="preserve"> </w:t>
      </w:r>
      <w:r w:rsidR="00A936F5" w:rsidRPr="00A936F5">
        <w:t xml:space="preserve">are </w:t>
      </w:r>
      <w:r w:rsidR="00ED6870" w:rsidRPr="00A936F5">
        <w:t>applied to state feedback and JSC feedback for state</w:t>
      </w:r>
      <w:r w:rsidR="00F20BA9">
        <w:t xml:space="preserve"> ratings</w:t>
      </w:r>
      <w:r w:rsidR="00A936F5" w:rsidRPr="00A936F5">
        <w:t xml:space="preserve"> (</w:t>
      </w:r>
      <w:r w:rsidR="00315ABC">
        <w:t>Table 6</w:t>
      </w:r>
      <w:r w:rsidR="00A936F5" w:rsidRPr="00A936F5">
        <w:t xml:space="preserve">). </w:t>
      </w:r>
    </w:p>
    <w:p w14:paraId="20F32F93" w14:textId="3EE7B2E9" w:rsidR="00A936F5" w:rsidRDefault="00B8159E" w:rsidP="00911E16">
      <w:pPr>
        <w:pStyle w:val="Caption"/>
      </w:pPr>
      <w:bookmarkStart w:id="60" w:name="_Ref207569118"/>
      <w:bookmarkStart w:id="61" w:name="_Toc211421399"/>
      <w:r>
        <w:t xml:space="preserve">Table </w:t>
      </w:r>
      <w:r>
        <w:fldChar w:fldCharType="begin"/>
      </w:r>
      <w:r>
        <w:instrText xml:space="preserve"> SEQ Table \* ARABIC </w:instrText>
      </w:r>
      <w:r>
        <w:fldChar w:fldCharType="separate"/>
      </w:r>
      <w:r w:rsidR="00F6227E">
        <w:rPr>
          <w:noProof/>
        </w:rPr>
        <w:t>6</w:t>
      </w:r>
      <w:r>
        <w:fldChar w:fldCharType="end"/>
      </w:r>
      <w:r>
        <w:t>:</w:t>
      </w:r>
      <w:bookmarkEnd w:id="60"/>
      <w:r w:rsidR="00796C5C" w:rsidRPr="00796C5C">
        <w:t xml:space="preserve"> </w:t>
      </w:r>
      <w:r w:rsidR="00F20BA9">
        <w:t>F</w:t>
      </w:r>
      <w:r w:rsidR="004277FB">
        <w:t xml:space="preserve">urther rules used </w:t>
      </w:r>
      <w:r w:rsidR="00340AB4">
        <w:t>for state ratings</w:t>
      </w:r>
      <w:bookmarkEnd w:id="61"/>
      <w:r w:rsidR="00340AB4">
        <w:t xml:space="preserve"> </w:t>
      </w:r>
    </w:p>
    <w:tbl>
      <w:tblPr>
        <w:tblStyle w:val="CustomTablebasic"/>
        <w:tblW w:w="0" w:type="auto"/>
        <w:tblLook w:val="04A0" w:firstRow="1" w:lastRow="0" w:firstColumn="1" w:lastColumn="0" w:noHBand="0" w:noVBand="1"/>
      </w:tblPr>
      <w:tblGrid>
        <w:gridCol w:w="4513"/>
        <w:gridCol w:w="4514"/>
      </w:tblGrid>
      <w:tr w:rsidR="000D5711" w14:paraId="0E504F90" w14:textId="77777777">
        <w:trPr>
          <w:cnfStyle w:val="100000000000" w:firstRow="1" w:lastRow="0" w:firstColumn="0" w:lastColumn="0" w:oddVBand="0" w:evenVBand="0" w:oddHBand="0" w:evenHBand="0" w:firstRowFirstColumn="0" w:firstRowLastColumn="0" w:lastRowFirstColumn="0" w:lastRowLastColumn="0"/>
        </w:trPr>
        <w:tc>
          <w:tcPr>
            <w:tcW w:w="4513" w:type="dxa"/>
          </w:tcPr>
          <w:p w14:paraId="6F0ADFD8" w14:textId="73B093DA" w:rsidR="00A936F5" w:rsidRDefault="00A936F5" w:rsidP="00911E16">
            <w:pPr>
              <w:pStyle w:val="TableHeading1"/>
              <w:rPr>
                <w:lang w:eastAsia="en-AU"/>
              </w:rPr>
            </w:pPr>
            <w:r>
              <w:t>Rule</w:t>
            </w:r>
          </w:p>
        </w:tc>
        <w:tc>
          <w:tcPr>
            <w:tcW w:w="4514" w:type="dxa"/>
          </w:tcPr>
          <w:p w14:paraId="0F3A54C9" w14:textId="5F49FB30" w:rsidR="00A936F5" w:rsidRDefault="00A936F5" w:rsidP="00911E16">
            <w:pPr>
              <w:pStyle w:val="TableHeading1"/>
              <w:rPr>
                <w:lang w:eastAsia="en-AU"/>
              </w:rPr>
            </w:pPr>
            <w:r>
              <w:t>Reason</w:t>
            </w:r>
            <w:r w:rsidR="005E0F4A">
              <w:t xml:space="preserve"> or assumption </w:t>
            </w:r>
          </w:p>
        </w:tc>
      </w:tr>
      <w:tr w:rsidR="00A936F5" w14:paraId="4705DCDB" w14:textId="77777777">
        <w:tc>
          <w:tcPr>
            <w:tcW w:w="4513" w:type="dxa"/>
          </w:tcPr>
          <w:p w14:paraId="08CEF39A" w14:textId="4DDF5A53" w:rsidR="00A936F5" w:rsidRPr="00911E16" w:rsidRDefault="00ED7E2C" w:rsidP="00911E16">
            <w:pPr>
              <w:pStyle w:val="TableListNumber"/>
              <w:numPr>
                <w:ilvl w:val="0"/>
                <w:numId w:val="51"/>
              </w:numPr>
            </w:pPr>
            <w:r>
              <w:t xml:space="preserve">An occupation is rated as </w:t>
            </w:r>
            <w:r w:rsidR="00EB6E42" w:rsidRPr="008B16F7">
              <w:t xml:space="preserve">NS </w:t>
            </w:r>
            <w:r w:rsidR="00E73838">
              <w:t xml:space="preserve">in a state </w:t>
            </w:r>
            <w:r w:rsidR="00F47DC1">
              <w:t xml:space="preserve">with </w:t>
            </w:r>
            <w:r w:rsidR="00EB6E42" w:rsidRPr="008B16F7">
              <w:t>zero employment</w:t>
            </w:r>
            <w:r w:rsidR="00DC3C95">
              <w:t xml:space="preserve"> recor</w:t>
            </w:r>
            <w:r w:rsidR="00A64AE0">
              <w:t>d</w:t>
            </w:r>
            <w:r w:rsidR="00DC3C95">
              <w:t>ed</w:t>
            </w:r>
            <w:r w:rsidR="00A64AE0">
              <w:t>.</w:t>
            </w:r>
            <w:r w:rsidR="00601DE3">
              <w:rPr>
                <w:rStyle w:val="FootnoteReference"/>
              </w:rPr>
              <w:footnoteReference w:id="18"/>
            </w:r>
            <w:r w:rsidR="00EB6E42" w:rsidRPr="008B16F7">
              <w:t xml:space="preserve"> </w:t>
            </w:r>
          </w:p>
        </w:tc>
        <w:tc>
          <w:tcPr>
            <w:tcW w:w="4514" w:type="dxa"/>
          </w:tcPr>
          <w:p w14:paraId="06640AFA" w14:textId="59BF40F1" w:rsidR="00A936F5" w:rsidRPr="00911E16" w:rsidRDefault="00F47DC1" w:rsidP="00911E16">
            <w:pPr>
              <w:pStyle w:val="TableBodyText"/>
            </w:pPr>
            <w:r>
              <w:t>A</w:t>
            </w:r>
            <w:r w:rsidR="00ED7E2C" w:rsidRPr="00ED7E2C">
              <w:t xml:space="preserve"> shortage cannot exist where there is no active labour market for that occupation.</w:t>
            </w:r>
          </w:p>
        </w:tc>
      </w:tr>
      <w:tr w:rsidR="000D5711" w14:paraId="671C2879" w14:textId="77777777">
        <w:trPr>
          <w:cnfStyle w:val="000000010000" w:firstRow="0" w:lastRow="0" w:firstColumn="0" w:lastColumn="0" w:oddVBand="0" w:evenVBand="0" w:oddHBand="0" w:evenHBand="1" w:firstRowFirstColumn="0" w:firstRowLastColumn="0" w:lastRowFirstColumn="0" w:lastRowLastColumn="0"/>
        </w:trPr>
        <w:tc>
          <w:tcPr>
            <w:tcW w:w="4513" w:type="dxa"/>
          </w:tcPr>
          <w:p w14:paraId="46F694B3" w14:textId="16686FC4" w:rsidR="00A936F5" w:rsidRPr="00911E16" w:rsidRDefault="004A4408" w:rsidP="00911E16">
            <w:pPr>
              <w:pStyle w:val="TableListNumber"/>
            </w:pPr>
            <w:r w:rsidRPr="008B16F7">
              <w:t xml:space="preserve">National </w:t>
            </w:r>
            <w:r w:rsidR="00C504C5" w:rsidRPr="008B16F7">
              <w:t xml:space="preserve">level </w:t>
            </w:r>
            <w:r w:rsidRPr="008B16F7">
              <w:t xml:space="preserve">rating </w:t>
            </w:r>
            <w:r w:rsidR="00ED7E79" w:rsidRPr="008B16F7">
              <w:t xml:space="preserve">of occupations </w:t>
            </w:r>
            <w:r w:rsidR="005A5D62">
              <w:t xml:space="preserve">is </w:t>
            </w:r>
            <w:r w:rsidRPr="008B16F7">
              <w:t xml:space="preserve">adjusted </w:t>
            </w:r>
            <w:r w:rsidR="00A43F51" w:rsidRPr="008B16F7">
              <w:t xml:space="preserve">to </w:t>
            </w:r>
            <w:r w:rsidR="00C33D83" w:rsidRPr="008B16F7">
              <w:t xml:space="preserve">reflect the accepted state ratings where </w:t>
            </w:r>
            <w:r w:rsidR="00C504C5" w:rsidRPr="008B16F7">
              <w:t xml:space="preserve">employment share </w:t>
            </w:r>
            <w:r w:rsidR="007D0631" w:rsidRPr="008B16F7">
              <w:t xml:space="preserve">for </w:t>
            </w:r>
            <w:r w:rsidR="00D1107D" w:rsidRPr="008B16F7">
              <w:t xml:space="preserve">those states </w:t>
            </w:r>
            <w:r w:rsidR="0018547A" w:rsidRPr="008B16F7">
              <w:t xml:space="preserve">collectively </w:t>
            </w:r>
            <w:r w:rsidR="005E0F4A" w:rsidRPr="008B16F7">
              <w:t>exceeds</w:t>
            </w:r>
            <w:r w:rsidR="00ED7E79" w:rsidRPr="008B16F7">
              <w:t xml:space="preserve"> </w:t>
            </w:r>
            <w:r w:rsidR="000316EF">
              <w:t>2</w:t>
            </w:r>
            <w:r w:rsidR="0092431D">
              <w:t xml:space="preserve"> </w:t>
            </w:r>
            <w:r w:rsidR="0018547A" w:rsidRPr="008B16F7">
              <w:t xml:space="preserve">thirds of the national employment for </w:t>
            </w:r>
            <w:r w:rsidR="00D1107D" w:rsidRPr="008B16F7">
              <w:t xml:space="preserve">that </w:t>
            </w:r>
            <w:r w:rsidR="0018547A" w:rsidRPr="008B16F7">
              <w:t>occupation</w:t>
            </w:r>
            <w:r w:rsidR="005E0F4A" w:rsidRPr="008B16F7">
              <w:t>.</w:t>
            </w:r>
            <w:r w:rsidR="00E823EE">
              <w:rPr>
                <w:rStyle w:val="FootnoteReference"/>
              </w:rPr>
              <w:footnoteReference w:id="19"/>
            </w:r>
          </w:p>
        </w:tc>
        <w:tc>
          <w:tcPr>
            <w:tcW w:w="4514" w:type="dxa"/>
          </w:tcPr>
          <w:p w14:paraId="7CB37A61" w14:textId="3F94647B" w:rsidR="00A936F5" w:rsidRPr="00911E16" w:rsidRDefault="000857F0" w:rsidP="00911E16">
            <w:pPr>
              <w:pStyle w:val="TableListBullet"/>
              <w:numPr>
                <w:ilvl w:val="0"/>
                <w:numId w:val="0"/>
              </w:numPr>
            </w:pPr>
            <w:r>
              <w:t>E</w:t>
            </w:r>
            <w:r w:rsidR="00034F51" w:rsidRPr="008B16F7">
              <w:t>nsure</w:t>
            </w:r>
            <w:r w:rsidR="00F47DC1">
              <w:t>s</w:t>
            </w:r>
            <w:r w:rsidR="00034F51" w:rsidRPr="008B16F7">
              <w:t xml:space="preserve"> that the national </w:t>
            </w:r>
            <w:r>
              <w:t xml:space="preserve">level </w:t>
            </w:r>
            <w:r w:rsidR="00034F51" w:rsidRPr="008B16F7">
              <w:t xml:space="preserve">ratings </w:t>
            </w:r>
            <w:r w:rsidR="00CA019C">
              <w:t>for occupations are</w:t>
            </w:r>
            <w:r>
              <w:t xml:space="preserve"> </w:t>
            </w:r>
            <w:r w:rsidR="00DB6166">
              <w:t>aligned</w:t>
            </w:r>
            <w:r>
              <w:t xml:space="preserve"> with</w:t>
            </w:r>
            <w:r w:rsidR="00DB6166">
              <w:t xml:space="preserve"> the</w:t>
            </w:r>
            <w:r>
              <w:t xml:space="preserve"> majority of accepted </w:t>
            </w:r>
            <w:r w:rsidR="00034F51" w:rsidRPr="008B16F7">
              <w:t>state ratings</w:t>
            </w:r>
            <w:r w:rsidR="009312F0">
              <w:t>, reflecting broader labour market conditions across states</w:t>
            </w:r>
            <w:r w:rsidR="00034F51" w:rsidRPr="008B16F7">
              <w:t>.</w:t>
            </w:r>
          </w:p>
        </w:tc>
      </w:tr>
    </w:tbl>
    <w:p w14:paraId="6120587E" w14:textId="312FB023" w:rsidR="00A936F5" w:rsidRPr="00E42D74" w:rsidRDefault="00340AB4" w:rsidP="00911E16">
      <w:pPr>
        <w:pStyle w:val="Source"/>
      </w:pPr>
      <w:r>
        <w:t>Source: Jobs and Skills Australia.</w:t>
      </w:r>
    </w:p>
    <w:p w14:paraId="24C3F95D" w14:textId="1C4614BB" w:rsidR="00282D61" w:rsidRPr="00885307" w:rsidRDefault="00F47DC1" w:rsidP="00C70C1B">
      <w:pPr>
        <w:pStyle w:val="BodyText"/>
      </w:pPr>
      <w:r>
        <w:t xml:space="preserve">Box 1 shows a </w:t>
      </w:r>
      <w:r w:rsidR="00C70C1B" w:rsidRPr="00425DD9">
        <w:t xml:space="preserve">simple example of how </w:t>
      </w:r>
      <w:r>
        <w:t>R</w:t>
      </w:r>
      <w:r w:rsidR="00C70C1B" w:rsidRPr="00425DD9">
        <w:t xml:space="preserve">ule 2 </w:t>
      </w:r>
      <w:r>
        <w:t>(</w:t>
      </w:r>
      <w:r w:rsidR="00C70C1B" w:rsidRPr="00425DD9">
        <w:t xml:space="preserve">in Table </w:t>
      </w:r>
      <w:r w:rsidR="0033100B">
        <w:t>6</w:t>
      </w:r>
      <w:r>
        <w:t>)</w:t>
      </w:r>
      <w:r w:rsidR="00C70C1B" w:rsidRPr="00425DD9">
        <w:t xml:space="preserve"> is applied. </w:t>
      </w:r>
    </w:p>
    <w:p w14:paraId="57BC6310" w14:textId="77777777" w:rsidR="007131EC" w:rsidRDefault="007131EC">
      <w:pPr>
        <w:spacing w:before="0" w:after="200" w:line="276" w:lineRule="auto"/>
        <w:rPr>
          <w:b/>
          <w:bCs/>
          <w:color w:val="012749"/>
          <w:sz w:val="18"/>
          <w:szCs w:val="18"/>
        </w:rPr>
      </w:pPr>
      <w:r>
        <w:br w:type="page"/>
      </w:r>
    </w:p>
    <w:p w14:paraId="46C2FA95" w14:textId="71E2FF22" w:rsidR="00BC37E6" w:rsidRPr="003B305E" w:rsidRDefault="00F71374" w:rsidP="00F71374">
      <w:pPr>
        <w:pStyle w:val="Caption"/>
      </w:pPr>
      <w:bookmarkStart w:id="62" w:name="_Toc211425379"/>
      <w:r>
        <w:lastRenderedPageBreak/>
        <w:t xml:space="preserve">Box </w:t>
      </w:r>
      <w:r>
        <w:fldChar w:fldCharType="begin"/>
      </w:r>
      <w:r>
        <w:instrText xml:space="preserve"> SEQ Box \* ARABIC </w:instrText>
      </w:r>
      <w:r>
        <w:fldChar w:fldCharType="separate"/>
      </w:r>
      <w:r w:rsidR="00F6227E">
        <w:rPr>
          <w:noProof/>
        </w:rPr>
        <w:t>1</w:t>
      </w:r>
      <w:r>
        <w:fldChar w:fldCharType="end"/>
      </w:r>
      <w:r w:rsidR="006E5308" w:rsidRPr="003B305E">
        <w:t xml:space="preserve">: </w:t>
      </w:r>
      <w:r w:rsidR="00686432" w:rsidRPr="003B305E">
        <w:t>A</w:t>
      </w:r>
      <w:r w:rsidR="00C70C1B" w:rsidRPr="003B305E">
        <w:t>n</w:t>
      </w:r>
      <w:r w:rsidR="00686432" w:rsidRPr="003B305E">
        <w:t xml:space="preserve"> example of </w:t>
      </w:r>
      <w:r w:rsidR="00F47DC1">
        <w:t>R</w:t>
      </w:r>
      <w:r w:rsidR="00F47DC1" w:rsidRPr="003B305E">
        <w:t xml:space="preserve">ule </w:t>
      </w:r>
      <w:r w:rsidR="00686432" w:rsidRPr="003B305E">
        <w:t xml:space="preserve">2 </w:t>
      </w:r>
      <w:r w:rsidR="00F47DC1">
        <w:t>(</w:t>
      </w:r>
      <w:r w:rsidR="00686432" w:rsidRPr="003B305E">
        <w:t xml:space="preserve">in </w:t>
      </w:r>
      <w:r w:rsidR="00C70C1B" w:rsidRPr="003B305E">
        <w:t xml:space="preserve">Table </w:t>
      </w:r>
      <w:r w:rsidR="00D80931">
        <w:t>6</w:t>
      </w:r>
      <w:r w:rsidR="00F47DC1">
        <w:t>)</w:t>
      </w:r>
      <w:bookmarkEnd w:id="62"/>
    </w:p>
    <w:tbl>
      <w:tblPr>
        <w:tblStyle w:val="CustomTablepulloutbox2"/>
        <w:tblW w:w="0" w:type="auto"/>
        <w:tblLook w:val="04A0" w:firstRow="1" w:lastRow="0" w:firstColumn="1" w:lastColumn="0" w:noHBand="0" w:noVBand="1"/>
      </w:tblPr>
      <w:tblGrid>
        <w:gridCol w:w="8997"/>
      </w:tblGrid>
      <w:tr w:rsidR="00743CFB" w14:paraId="4AD18840" w14:textId="77777777" w:rsidTr="00134C89">
        <w:trPr>
          <w:trHeight w:val="2953"/>
        </w:trPr>
        <w:tc>
          <w:tcPr>
            <w:tcW w:w="9027" w:type="dxa"/>
          </w:tcPr>
          <w:p w14:paraId="6D27F5A8" w14:textId="17EEF551" w:rsidR="00F47DC1" w:rsidRDefault="00F47DC1" w:rsidP="00E05737">
            <w:pPr>
              <w:pStyle w:val="TableListBullet"/>
            </w:pPr>
            <w:r>
              <w:t xml:space="preserve">Occupation A was </w:t>
            </w:r>
            <w:r w:rsidRPr="00885307">
              <w:t xml:space="preserve">rated as NS </w:t>
            </w:r>
            <w:r>
              <w:t xml:space="preserve">in the </w:t>
            </w:r>
            <w:r w:rsidRPr="00885307">
              <w:t>stage</w:t>
            </w:r>
            <w:r>
              <w:t xml:space="preserve"> </w:t>
            </w:r>
            <w:r w:rsidRPr="00885307">
              <w:t>2 verification.</w:t>
            </w:r>
          </w:p>
          <w:p w14:paraId="686139D0" w14:textId="5374FD9B" w:rsidR="003D363C" w:rsidRPr="00885307" w:rsidRDefault="003D363C" w:rsidP="00E05737">
            <w:pPr>
              <w:pStyle w:val="TableListBullet"/>
            </w:pPr>
            <w:r w:rsidRPr="00885307">
              <w:t>The national total employment for occupation A is 1,000</w:t>
            </w:r>
            <w:r w:rsidR="00F47DC1">
              <w:t xml:space="preserve">. </w:t>
            </w:r>
          </w:p>
          <w:p w14:paraId="74F3DE97" w14:textId="5E62A538" w:rsidR="003D363C" w:rsidRPr="00885307" w:rsidRDefault="003D363C" w:rsidP="00E05737">
            <w:pPr>
              <w:pStyle w:val="TableListBullet"/>
            </w:pPr>
            <w:r w:rsidRPr="00885307">
              <w:t xml:space="preserve">Occupation A is rated as S in NSW, </w:t>
            </w:r>
            <w:r w:rsidR="009D2841" w:rsidRPr="00885307">
              <w:t>VIC,</w:t>
            </w:r>
            <w:r w:rsidRPr="00885307">
              <w:t xml:space="preserve"> and QLD with employment figures of 400, 200 and 100, respectively.</w:t>
            </w:r>
          </w:p>
          <w:p w14:paraId="4AAF34A0" w14:textId="6156CE06" w:rsidR="003D363C" w:rsidRPr="00885307" w:rsidRDefault="003D363C" w:rsidP="00E05737">
            <w:pPr>
              <w:pStyle w:val="TableListBullet"/>
            </w:pPr>
            <w:r w:rsidRPr="00885307">
              <w:t xml:space="preserve">Occupation A is rated as NS in the remaining states </w:t>
            </w:r>
            <w:r w:rsidR="00F47DC1">
              <w:t xml:space="preserve">which have a </w:t>
            </w:r>
            <w:r w:rsidRPr="00885307">
              <w:t>combined employment size of 300.</w:t>
            </w:r>
          </w:p>
          <w:p w14:paraId="3E82BC03" w14:textId="5A2AA36E" w:rsidR="003D363C" w:rsidRPr="00885307" w:rsidRDefault="003D363C" w:rsidP="00E05737">
            <w:pPr>
              <w:pStyle w:val="TableListBullet"/>
            </w:pPr>
            <w:r w:rsidRPr="00885307">
              <w:t xml:space="preserve">The combined employment share of S rated states (NSW, </w:t>
            </w:r>
            <w:r w:rsidR="00847F61" w:rsidRPr="00885307">
              <w:t>VIC,</w:t>
            </w:r>
            <w:r w:rsidRPr="00885307">
              <w:t xml:space="preserve"> and QLD) is 70%, while the NS rated states make up 30%. </w:t>
            </w:r>
          </w:p>
          <w:p w14:paraId="0C9853BF" w14:textId="33FD123B" w:rsidR="00743CFB" w:rsidRPr="00830B95" w:rsidRDefault="00F47DC1" w:rsidP="00830B95">
            <w:pPr>
              <w:pStyle w:val="TableListBullet"/>
            </w:pPr>
            <w:r>
              <w:t>Therefore, t</w:t>
            </w:r>
            <w:r w:rsidR="003D363C" w:rsidRPr="00885307">
              <w:t xml:space="preserve">he national level rating for occupation A is changed </w:t>
            </w:r>
            <w:r>
              <w:t xml:space="preserve">from NS </w:t>
            </w:r>
            <w:r w:rsidR="003D363C" w:rsidRPr="00885307">
              <w:t>to S</w:t>
            </w:r>
            <w:r>
              <w:t xml:space="preserve"> as 70% exceeds the 2 thirds criteria.</w:t>
            </w:r>
          </w:p>
        </w:tc>
      </w:tr>
    </w:tbl>
    <w:p w14:paraId="17F8FD42" w14:textId="47A9005D" w:rsidR="006E5308" w:rsidRDefault="008401CB" w:rsidP="00911E16">
      <w:pPr>
        <w:pStyle w:val="Source"/>
      </w:pPr>
      <w:r>
        <w:t xml:space="preserve">Source: Jobs and Skills Australia. </w:t>
      </w:r>
    </w:p>
    <w:p w14:paraId="1B111925" w14:textId="38FDA242" w:rsidR="008A3540" w:rsidRPr="00BF342E" w:rsidRDefault="00D75AB4" w:rsidP="00911E16">
      <w:pPr>
        <w:pStyle w:val="BodyText"/>
      </w:pPr>
      <w:r>
        <w:t xml:space="preserve">Once feedback </w:t>
      </w:r>
      <w:r w:rsidR="006A1DC4">
        <w:t xml:space="preserve">has been accepted and reflected into the national level ratings, the 2022 ANZSCO results are </w:t>
      </w:r>
      <w:r w:rsidR="00F47DC1">
        <w:t xml:space="preserve">then </w:t>
      </w:r>
      <w:r w:rsidR="006A1DC4">
        <w:t xml:space="preserve">mapped to 2024 OSCA. </w:t>
      </w:r>
      <w:r w:rsidR="0077507B">
        <w:t xml:space="preserve">Refer to </w:t>
      </w:r>
      <w:r w:rsidR="003224AD">
        <w:fldChar w:fldCharType="begin"/>
      </w:r>
      <w:r w:rsidR="003224AD">
        <w:instrText xml:space="preserve"> REF _Ref207568965 \h </w:instrText>
      </w:r>
      <w:r w:rsidR="003224AD">
        <w:fldChar w:fldCharType="separate"/>
      </w:r>
      <w:r w:rsidR="00F6227E">
        <w:t xml:space="preserve">Appendix </w:t>
      </w:r>
      <w:r w:rsidR="00F6227E">
        <w:rPr>
          <w:noProof/>
        </w:rPr>
        <w:t>B</w:t>
      </w:r>
      <w:r w:rsidR="003224AD">
        <w:fldChar w:fldCharType="end"/>
      </w:r>
      <w:r w:rsidR="0077507B">
        <w:t xml:space="preserve"> for more details.</w:t>
      </w:r>
    </w:p>
    <w:p w14:paraId="74EC249B" w14:textId="77777777" w:rsidR="000D2797" w:rsidRDefault="000D2797" w:rsidP="00047B2A">
      <w:pPr>
        <w:pStyle w:val="Heading1"/>
        <w:sectPr w:rsidR="000D2797" w:rsidSect="000F5CD2">
          <w:footerReference w:type="first" r:id="rId21"/>
          <w:pgSz w:w="11907" w:h="16839" w:code="9"/>
          <w:pgMar w:top="1270" w:right="1440" w:bottom="1270" w:left="1440" w:header="720" w:footer="720" w:gutter="0"/>
          <w:cols w:space="720"/>
          <w:docGrid w:linePitch="360"/>
        </w:sectPr>
      </w:pPr>
      <w:bookmarkStart w:id="63" w:name="_Toc175157205"/>
      <w:bookmarkStart w:id="64" w:name="_Toc204771896"/>
    </w:p>
    <w:p w14:paraId="2C0F5EE8" w14:textId="3BF8EB54" w:rsidR="00531EF5" w:rsidRPr="007A7BA1" w:rsidRDefault="00531EF5" w:rsidP="00047B2A">
      <w:pPr>
        <w:pStyle w:val="Heading1"/>
      </w:pPr>
      <w:bookmarkStart w:id="65" w:name="_Toc211425367"/>
      <w:r w:rsidRPr="007A7BA1">
        <w:lastRenderedPageBreak/>
        <w:t>Appendi</w:t>
      </w:r>
      <w:r w:rsidR="0066476F" w:rsidRPr="007A7BA1">
        <w:t>x</w:t>
      </w:r>
      <w:bookmarkEnd w:id="63"/>
      <w:bookmarkEnd w:id="64"/>
      <w:bookmarkEnd w:id="65"/>
    </w:p>
    <w:p w14:paraId="64B8A639" w14:textId="085ADDDF" w:rsidR="00531EF5" w:rsidRPr="007A7BA1" w:rsidRDefault="00AA468D" w:rsidP="007A7BA1">
      <w:pPr>
        <w:pStyle w:val="Heading2"/>
      </w:pPr>
      <w:bookmarkStart w:id="66" w:name="_Ref207568947"/>
      <w:bookmarkStart w:id="67" w:name="_Toc175157206"/>
      <w:bookmarkStart w:id="68" w:name="_Toc204771897"/>
      <w:bookmarkStart w:id="69" w:name="_Ref207368676"/>
      <w:bookmarkStart w:id="70" w:name="_Ref207368687"/>
      <w:bookmarkStart w:id="71" w:name="_Ref207368695"/>
      <w:bookmarkStart w:id="72" w:name="_Ref207368740"/>
      <w:bookmarkStart w:id="73" w:name="_Toc211425368"/>
      <w:r>
        <w:t xml:space="preserve">Appendix </w:t>
      </w:r>
      <w:r>
        <w:fldChar w:fldCharType="begin"/>
      </w:r>
      <w:r>
        <w:instrText xml:space="preserve"> SEQ Appendix \* ALPHABETIC </w:instrText>
      </w:r>
      <w:r>
        <w:fldChar w:fldCharType="separate"/>
      </w:r>
      <w:r w:rsidR="00F6227E">
        <w:rPr>
          <w:noProof/>
        </w:rPr>
        <w:t>A</w:t>
      </w:r>
      <w:r>
        <w:fldChar w:fldCharType="end"/>
      </w:r>
      <w:bookmarkEnd w:id="66"/>
      <w:r w:rsidR="000830EC">
        <w:t>:</w:t>
      </w:r>
      <w:r w:rsidR="00531EF5" w:rsidRPr="007A7BA1">
        <w:t xml:space="preserve"> Occupations out of OSL scope</w:t>
      </w:r>
      <w:bookmarkEnd w:id="67"/>
      <w:bookmarkEnd w:id="68"/>
      <w:bookmarkEnd w:id="69"/>
      <w:bookmarkEnd w:id="70"/>
      <w:bookmarkEnd w:id="71"/>
      <w:bookmarkEnd w:id="72"/>
      <w:bookmarkEnd w:id="73"/>
    </w:p>
    <w:p w14:paraId="63C1BDE8" w14:textId="77777777" w:rsidR="00E50B0F" w:rsidRDefault="00531EF5">
      <w:pPr>
        <w:pStyle w:val="BodyText"/>
      </w:pPr>
      <w:r w:rsidRPr="00E53A43">
        <w:t>There are several occupations that are excluded from the OSL</w:t>
      </w:r>
      <w:r w:rsidR="00E50B0F">
        <w:t>. These are:</w:t>
      </w:r>
    </w:p>
    <w:p w14:paraId="1F493C0F" w14:textId="52170D1D" w:rsidR="00355DCC" w:rsidRDefault="00531EF5" w:rsidP="00355DCC">
      <w:pPr>
        <w:pStyle w:val="ListBullet"/>
      </w:pPr>
      <w:r w:rsidRPr="00E53A43">
        <w:t>Skill Level 5 occupations</w:t>
      </w:r>
    </w:p>
    <w:p w14:paraId="43C96603" w14:textId="550C7B22" w:rsidR="00355DCC" w:rsidRDefault="00355DCC" w:rsidP="00355DCC">
      <w:pPr>
        <w:pStyle w:val="ListBullet"/>
      </w:pPr>
      <w:r>
        <w:t>O</w:t>
      </w:r>
      <w:r w:rsidR="00531EF5" w:rsidRPr="00E53A43">
        <w:t xml:space="preserve">ccupations </w:t>
      </w:r>
      <w:r>
        <w:t xml:space="preserve">specific to </w:t>
      </w:r>
      <w:r w:rsidR="00531EF5" w:rsidRPr="00E53A43">
        <w:t xml:space="preserve">New Zealand </w:t>
      </w:r>
      <w:r w:rsidR="002B2FC5">
        <w:t xml:space="preserve">(such as </w:t>
      </w:r>
      <w:r w:rsidR="002B2FC5" w:rsidRPr="008E6679">
        <w:t>Māori specific occupations</w:t>
      </w:r>
      <w:r w:rsidR="002B2FC5">
        <w:t>)</w:t>
      </w:r>
      <w:r w:rsidR="002B2FC5" w:rsidRPr="008E6679">
        <w:t xml:space="preserve"> </w:t>
      </w:r>
    </w:p>
    <w:p w14:paraId="1ACDBE8A" w14:textId="62D439A1" w:rsidR="00531EF5" w:rsidRPr="00E53A43" w:rsidRDefault="00355DCC" w:rsidP="00911E16">
      <w:pPr>
        <w:pStyle w:val="ListBullet"/>
      </w:pPr>
      <w:r>
        <w:t>O</w:t>
      </w:r>
      <w:r w:rsidR="00531EF5" w:rsidRPr="00E53A43">
        <w:t xml:space="preserve">ccupations where the labour market has been judged to be not open and contestable. </w:t>
      </w:r>
    </w:p>
    <w:p w14:paraId="621361D6" w14:textId="63057F06" w:rsidR="00531EF5" w:rsidRPr="00CC26E8" w:rsidRDefault="00CC26E8" w:rsidP="00CC26E8">
      <w:pPr>
        <w:pStyle w:val="BodyText"/>
      </w:pPr>
      <w:r w:rsidRPr="003B305E">
        <w:rPr>
          <w:rStyle w:val="cf01"/>
          <w:rFonts w:ascii="Arial" w:hAnsi="Arial" w:cstheme="minorBidi"/>
          <w:sz w:val="22"/>
          <w:szCs w:val="20"/>
        </w:rPr>
        <w:t>Skill Level 5 occupations are excluded from both the OSCA and the 2022 ANZSCO versions of the O</w:t>
      </w:r>
      <w:r w:rsidR="00202719">
        <w:rPr>
          <w:rStyle w:val="cf01"/>
          <w:rFonts w:ascii="Arial" w:hAnsi="Arial" w:cstheme="minorBidi"/>
          <w:sz w:val="22"/>
          <w:szCs w:val="20"/>
        </w:rPr>
        <w:t>SL</w:t>
      </w:r>
      <w:r w:rsidR="001243B0">
        <w:rPr>
          <w:rStyle w:val="cf01"/>
          <w:rFonts w:ascii="Arial" w:hAnsi="Arial" w:cstheme="minorBidi"/>
          <w:sz w:val="22"/>
          <w:szCs w:val="20"/>
        </w:rPr>
        <w:t>.</w:t>
      </w:r>
    </w:p>
    <w:p w14:paraId="10C7AA25" w14:textId="273E5B78" w:rsidR="00790FD1" w:rsidRPr="00E53A43" w:rsidRDefault="00790FD1" w:rsidP="00911E16">
      <w:pPr>
        <w:pStyle w:val="BodyText"/>
      </w:pPr>
      <w:r>
        <w:t>For more information on OCSA and ANZSCO</w:t>
      </w:r>
      <w:r w:rsidR="00504A82">
        <w:t>,</w:t>
      </w:r>
      <w:r>
        <w:t xml:space="preserve"> refer to</w:t>
      </w:r>
      <w:r w:rsidR="00DD4B8A">
        <w:t xml:space="preserve"> their respective</w:t>
      </w:r>
      <w:r w:rsidR="00945ED7">
        <w:t xml:space="preserve"> </w:t>
      </w:r>
      <w:r w:rsidR="002E0ECD">
        <w:t>ABS web</w:t>
      </w:r>
      <w:r w:rsidR="00DD4B8A">
        <w:t>pages</w:t>
      </w:r>
      <w:r w:rsidR="0031358B">
        <w:t>.</w:t>
      </w:r>
      <w:r w:rsidR="00B75CD1">
        <w:rPr>
          <w:rStyle w:val="FootnoteReference"/>
        </w:rPr>
        <w:footnoteReference w:id="20"/>
      </w:r>
      <w:r>
        <w:t xml:space="preserve"> </w:t>
      </w:r>
    </w:p>
    <w:p w14:paraId="1C9D474E" w14:textId="7C2A7DBA" w:rsidR="00531EF5" w:rsidRPr="00E53A43" w:rsidRDefault="00531EF5" w:rsidP="00531EF5">
      <w:pPr>
        <w:pStyle w:val="Heading3"/>
      </w:pPr>
      <w:bookmarkStart w:id="74" w:name="_Toc204771898"/>
      <w:bookmarkStart w:id="75" w:name="_Toc211425369"/>
      <w:r w:rsidRPr="00E53A43">
        <w:t>Skill Level 5 occupations</w:t>
      </w:r>
      <w:bookmarkEnd w:id="74"/>
      <w:bookmarkEnd w:id="75"/>
    </w:p>
    <w:p w14:paraId="58C538C7" w14:textId="31F1A86D" w:rsidR="00531EF5" w:rsidRDefault="004B3B5A" w:rsidP="00911E16">
      <w:pPr>
        <w:pStyle w:val="BodyText"/>
      </w:pPr>
      <w:r>
        <w:fldChar w:fldCharType="begin"/>
      </w:r>
      <w:r>
        <w:instrText xml:space="preserve"> REF _Ref211347904 \h </w:instrText>
      </w:r>
      <w:r>
        <w:fldChar w:fldCharType="separate"/>
      </w:r>
      <w:r w:rsidR="00F6227E">
        <w:t>Table A</w:t>
      </w:r>
      <w:r w:rsidR="00F6227E">
        <w:rPr>
          <w:noProof/>
        </w:rPr>
        <w:t>1</w:t>
      </w:r>
      <w:r>
        <w:fldChar w:fldCharType="end"/>
      </w:r>
      <w:r>
        <w:t xml:space="preserve"> </w:t>
      </w:r>
      <w:r w:rsidR="00531EF5" w:rsidRPr="00E53A43">
        <w:t>shows the ABS ANZSCO skill level classification. There are 156 Skill Level 5 occupations that are excluded from the OSL scope.</w:t>
      </w:r>
    </w:p>
    <w:p w14:paraId="21200209" w14:textId="1EF00A47" w:rsidR="00531EF5" w:rsidRPr="00E53A43" w:rsidRDefault="006345C2" w:rsidP="00E00955">
      <w:pPr>
        <w:pStyle w:val="Caption"/>
      </w:pPr>
      <w:bookmarkStart w:id="76" w:name="_Ref211347904"/>
      <w:bookmarkStart w:id="77" w:name="_Toc211421400"/>
      <w:r>
        <w:t>Table A</w:t>
      </w:r>
      <w:r>
        <w:fldChar w:fldCharType="begin"/>
      </w:r>
      <w:r>
        <w:instrText xml:space="preserve"> SEQ Table_A \* ARABIC </w:instrText>
      </w:r>
      <w:r>
        <w:fldChar w:fldCharType="separate"/>
      </w:r>
      <w:r w:rsidR="00F6227E">
        <w:rPr>
          <w:noProof/>
        </w:rPr>
        <w:t>1</w:t>
      </w:r>
      <w:r>
        <w:fldChar w:fldCharType="end"/>
      </w:r>
      <w:bookmarkEnd w:id="76"/>
      <w:r w:rsidR="000C03BE">
        <w:t xml:space="preserve">: ANZSCO </w:t>
      </w:r>
      <w:r w:rsidR="000C03BE" w:rsidRPr="00E53A43">
        <w:t>skill level classification</w:t>
      </w:r>
      <w:bookmarkEnd w:id="77"/>
    </w:p>
    <w:tbl>
      <w:tblPr>
        <w:tblStyle w:val="CustomTablebasic"/>
        <w:tblW w:w="0" w:type="auto"/>
        <w:tblLook w:val="04A0" w:firstRow="1" w:lastRow="0" w:firstColumn="1" w:lastColumn="0" w:noHBand="0" w:noVBand="1"/>
      </w:tblPr>
      <w:tblGrid>
        <w:gridCol w:w="1134"/>
        <w:gridCol w:w="7893"/>
      </w:tblGrid>
      <w:tr w:rsidR="00DC7BD9" w14:paraId="1767E848" w14:textId="77777777" w:rsidTr="00333125">
        <w:trPr>
          <w:cnfStyle w:val="100000000000" w:firstRow="1" w:lastRow="0" w:firstColumn="0" w:lastColumn="0" w:oddVBand="0" w:evenVBand="0" w:oddHBand="0" w:evenHBand="0" w:firstRowFirstColumn="0" w:firstRowLastColumn="0" w:lastRowFirstColumn="0" w:lastRowLastColumn="0"/>
          <w:tblHeader/>
        </w:trPr>
        <w:tc>
          <w:tcPr>
            <w:tcW w:w="1134" w:type="dxa"/>
          </w:tcPr>
          <w:p w14:paraId="735D1B1F" w14:textId="6BF04959" w:rsidR="002A6A3B" w:rsidRPr="002A6A3B" w:rsidRDefault="002A6A3B" w:rsidP="00256322">
            <w:pPr>
              <w:pStyle w:val="TableHeading1"/>
            </w:pPr>
            <w:r w:rsidRPr="00E53A43">
              <w:t>Skill Level</w:t>
            </w:r>
          </w:p>
        </w:tc>
        <w:tc>
          <w:tcPr>
            <w:tcW w:w="7893" w:type="dxa"/>
          </w:tcPr>
          <w:p w14:paraId="55E66D92" w14:textId="792766F6" w:rsidR="002A6A3B" w:rsidRPr="002A6A3B" w:rsidRDefault="002A6A3B" w:rsidP="00256322">
            <w:pPr>
              <w:pStyle w:val="TableHeading1"/>
            </w:pPr>
            <w:r w:rsidRPr="00E53A43">
              <w:t>Definition</w:t>
            </w:r>
          </w:p>
        </w:tc>
      </w:tr>
      <w:tr w:rsidR="002A6A3B" w14:paraId="0E342F1C" w14:textId="5B749A61" w:rsidTr="00256322">
        <w:tc>
          <w:tcPr>
            <w:tcW w:w="1134" w:type="dxa"/>
          </w:tcPr>
          <w:p w14:paraId="023FAB3E" w14:textId="09755B04" w:rsidR="002A6A3B" w:rsidRPr="002A6A3B" w:rsidRDefault="002A6A3B" w:rsidP="00F652D9">
            <w:pPr>
              <w:pStyle w:val="TableBodyText"/>
            </w:pPr>
            <w:r w:rsidRPr="00E53A43">
              <w:t>Level 1</w:t>
            </w:r>
          </w:p>
        </w:tc>
        <w:tc>
          <w:tcPr>
            <w:tcW w:w="7893" w:type="dxa"/>
          </w:tcPr>
          <w:p w14:paraId="5F991129" w14:textId="132CB6DC" w:rsidR="002A6A3B" w:rsidRPr="002A6A3B" w:rsidRDefault="002A6A3B" w:rsidP="003B305E">
            <w:pPr>
              <w:pStyle w:val="TableListBullet"/>
            </w:pPr>
            <w:r w:rsidRPr="00E53A43">
              <w:t xml:space="preserve">Occupations at Skill Level 1 have a level of skill commensurate with a bachelor degree or higher qualification. At least </w:t>
            </w:r>
            <w:r w:rsidR="00BA6AA1">
              <w:t>5</w:t>
            </w:r>
            <w:r w:rsidR="00BA6AA1" w:rsidRPr="00E53A43">
              <w:t xml:space="preserve"> </w:t>
            </w:r>
            <w:r w:rsidRPr="00E53A43">
              <w:t>years of relevant experience may substitute for the formal qualification. In some instances, relevant experience and/or on-the-job training may be required in addition to the formal qualification.</w:t>
            </w:r>
          </w:p>
        </w:tc>
      </w:tr>
      <w:tr w:rsidR="009E12EC" w14:paraId="1687D088" w14:textId="77777777" w:rsidTr="00256322">
        <w:trPr>
          <w:cnfStyle w:val="000000010000" w:firstRow="0" w:lastRow="0" w:firstColumn="0" w:lastColumn="0" w:oddVBand="0" w:evenVBand="0" w:oddHBand="0" w:evenHBand="1" w:firstRowFirstColumn="0" w:firstRowLastColumn="0" w:lastRowFirstColumn="0" w:lastRowLastColumn="0"/>
        </w:trPr>
        <w:tc>
          <w:tcPr>
            <w:tcW w:w="1134" w:type="dxa"/>
          </w:tcPr>
          <w:p w14:paraId="03000E28" w14:textId="5393FCA8" w:rsidR="002A6A3B" w:rsidRPr="002A6A3B" w:rsidRDefault="002A6A3B" w:rsidP="00F652D9">
            <w:pPr>
              <w:pStyle w:val="TableBodyText"/>
            </w:pPr>
            <w:r w:rsidRPr="00E53A43">
              <w:t>Level 2</w:t>
            </w:r>
          </w:p>
        </w:tc>
        <w:tc>
          <w:tcPr>
            <w:tcW w:w="7893" w:type="dxa"/>
          </w:tcPr>
          <w:p w14:paraId="043F13C0" w14:textId="7F929887" w:rsidR="002A6A3B" w:rsidRPr="00E53A43" w:rsidRDefault="002A6A3B" w:rsidP="003B305E">
            <w:pPr>
              <w:pStyle w:val="TableListBullet"/>
            </w:pPr>
            <w:r w:rsidRPr="00E53A43">
              <w:t>Occupations at Skill Level 2 have a level of skill commensurate with one of the following:</w:t>
            </w:r>
          </w:p>
          <w:p w14:paraId="02E54CAC" w14:textId="3028160D" w:rsidR="002A6A3B" w:rsidRPr="00E53A43" w:rsidRDefault="002A6A3B" w:rsidP="00524E10">
            <w:pPr>
              <w:pStyle w:val="TableListBullet"/>
            </w:pPr>
            <w:r w:rsidRPr="00E53A43">
              <w:t>NZ Register Diploma or</w:t>
            </w:r>
          </w:p>
          <w:p w14:paraId="31BB247F" w14:textId="70880A41" w:rsidR="002A6A3B" w:rsidRPr="00E53A43" w:rsidRDefault="002A6A3B" w:rsidP="00524E10">
            <w:pPr>
              <w:pStyle w:val="TableListBullet"/>
            </w:pPr>
            <w:r w:rsidRPr="00E53A43">
              <w:t>AQF Associate Degree, Advanced Diploma or Diploma.</w:t>
            </w:r>
          </w:p>
          <w:p w14:paraId="342BC4DC" w14:textId="71242D9C" w:rsidR="002A6A3B" w:rsidRPr="002A6A3B" w:rsidRDefault="002A6A3B" w:rsidP="003B305E">
            <w:pPr>
              <w:pStyle w:val="TableListBullet"/>
            </w:pPr>
            <w:r w:rsidRPr="00E53A43">
              <w:t xml:space="preserve">At least </w:t>
            </w:r>
            <w:r w:rsidR="00BA6AA1">
              <w:t>3</w:t>
            </w:r>
            <w:r w:rsidR="00BA6AA1" w:rsidRPr="00E53A43">
              <w:t xml:space="preserve"> </w:t>
            </w:r>
            <w:r w:rsidRPr="00E53A43">
              <w:t xml:space="preserve">years of relevant experience may substitute for the formal </w:t>
            </w:r>
            <w:r w:rsidRPr="002A6A3B">
              <w:t>qualifications listed above. In some instances, relevant experience and/or on-the-job training may be required in addition to the formal qualification.</w:t>
            </w:r>
          </w:p>
        </w:tc>
      </w:tr>
      <w:tr w:rsidR="002A6A3B" w14:paraId="2ED90D45" w14:textId="55CFC1C0" w:rsidTr="00256322">
        <w:tc>
          <w:tcPr>
            <w:tcW w:w="1134" w:type="dxa"/>
          </w:tcPr>
          <w:p w14:paraId="4ACEC80A" w14:textId="09D33A99" w:rsidR="002A6A3B" w:rsidRPr="002A6A3B" w:rsidRDefault="002A6A3B" w:rsidP="00F652D9">
            <w:pPr>
              <w:pStyle w:val="TableBodyText"/>
            </w:pPr>
            <w:r w:rsidRPr="00E53A43">
              <w:t>Level 3</w:t>
            </w:r>
          </w:p>
        </w:tc>
        <w:tc>
          <w:tcPr>
            <w:tcW w:w="7893" w:type="dxa"/>
          </w:tcPr>
          <w:p w14:paraId="1D061931" w14:textId="32CA1301" w:rsidR="002A6A3B" w:rsidRPr="00E53A43" w:rsidRDefault="002A6A3B" w:rsidP="003B305E">
            <w:pPr>
              <w:pStyle w:val="TableListBullet"/>
            </w:pPr>
            <w:r w:rsidRPr="00E53A43">
              <w:t>Occupations at Skill Level 3 have a level of skill commensurate with one of the following:</w:t>
            </w:r>
          </w:p>
          <w:p w14:paraId="0E01284C" w14:textId="1B665D17" w:rsidR="002A6A3B" w:rsidRPr="00E53A43" w:rsidRDefault="002A6A3B" w:rsidP="00524E10">
            <w:pPr>
              <w:pStyle w:val="TableListBullet"/>
            </w:pPr>
            <w:r w:rsidRPr="00E53A43">
              <w:t>NZ Register Level 4 qualification</w:t>
            </w:r>
          </w:p>
          <w:p w14:paraId="5D73A7A0" w14:textId="5036C00A" w:rsidR="002A6A3B" w:rsidRPr="00E53A43" w:rsidRDefault="002A6A3B" w:rsidP="00524E10">
            <w:pPr>
              <w:pStyle w:val="TableListBullet"/>
            </w:pPr>
            <w:r w:rsidRPr="00E53A43">
              <w:t>AQF Certificate IV or</w:t>
            </w:r>
          </w:p>
          <w:p w14:paraId="38F291EC" w14:textId="3580A79E" w:rsidR="002A6A3B" w:rsidRPr="00E53A43" w:rsidRDefault="002A6A3B" w:rsidP="00524E10">
            <w:pPr>
              <w:pStyle w:val="TableListBullet"/>
            </w:pPr>
            <w:r w:rsidRPr="00E53A43">
              <w:t xml:space="preserve">AQF Certificate III including at least </w:t>
            </w:r>
            <w:r w:rsidR="000316EF">
              <w:t>2</w:t>
            </w:r>
            <w:r w:rsidR="000316EF" w:rsidRPr="00E53A43">
              <w:t xml:space="preserve"> </w:t>
            </w:r>
            <w:r w:rsidRPr="00E53A43">
              <w:t>years of on-the-job training.</w:t>
            </w:r>
          </w:p>
          <w:p w14:paraId="79DD036B" w14:textId="6888B36D" w:rsidR="002A6A3B" w:rsidRPr="002A6A3B" w:rsidRDefault="002A6A3B" w:rsidP="003B305E">
            <w:pPr>
              <w:pStyle w:val="TableListBullet"/>
            </w:pPr>
            <w:r w:rsidRPr="00E53A43">
              <w:t xml:space="preserve">At least </w:t>
            </w:r>
            <w:r w:rsidR="00BA6AA1">
              <w:t>3</w:t>
            </w:r>
            <w:r w:rsidR="00BA6AA1" w:rsidRPr="00E53A43">
              <w:t xml:space="preserve"> </w:t>
            </w:r>
            <w:r w:rsidRPr="00E53A43">
              <w:t>years of relevant experience may substitute for the formal qualifications listed above. In some instances, relevant experience and/or on-the-job training may be required in addition to the formal qualification.</w:t>
            </w:r>
          </w:p>
        </w:tc>
      </w:tr>
    </w:tbl>
    <w:p w14:paraId="425725ED" w14:textId="77777777" w:rsidR="00CF1A47" w:rsidRDefault="00CF1A47" w:rsidP="0064281C">
      <w:pPr>
        <w:pStyle w:val="Source"/>
      </w:pPr>
    </w:p>
    <w:tbl>
      <w:tblPr>
        <w:tblStyle w:val="CustomTablebasic"/>
        <w:tblW w:w="0" w:type="auto"/>
        <w:tblLook w:val="04A0" w:firstRow="1" w:lastRow="0" w:firstColumn="1" w:lastColumn="0" w:noHBand="0" w:noVBand="1"/>
      </w:tblPr>
      <w:tblGrid>
        <w:gridCol w:w="1134"/>
        <w:gridCol w:w="7893"/>
      </w:tblGrid>
      <w:tr w:rsidR="00470735" w14:paraId="15869BBD" w14:textId="77777777" w:rsidTr="00810934">
        <w:trPr>
          <w:cnfStyle w:val="100000000000" w:firstRow="1" w:lastRow="0" w:firstColumn="0" w:lastColumn="0" w:oddVBand="0" w:evenVBand="0" w:oddHBand="0" w:evenHBand="0" w:firstRowFirstColumn="0" w:firstRowLastColumn="0" w:lastRowFirstColumn="0" w:lastRowLastColumn="0"/>
          <w:tblHeader/>
        </w:trPr>
        <w:tc>
          <w:tcPr>
            <w:tcW w:w="1134" w:type="dxa"/>
          </w:tcPr>
          <w:p w14:paraId="73ED34EB" w14:textId="77777777" w:rsidR="00470735" w:rsidRPr="002A6A3B" w:rsidRDefault="00470735" w:rsidP="00810934">
            <w:pPr>
              <w:pStyle w:val="TableHeading1"/>
            </w:pPr>
            <w:r w:rsidRPr="00E53A43">
              <w:lastRenderedPageBreak/>
              <w:t>Skill Level</w:t>
            </w:r>
          </w:p>
        </w:tc>
        <w:tc>
          <w:tcPr>
            <w:tcW w:w="7893" w:type="dxa"/>
          </w:tcPr>
          <w:p w14:paraId="6E1422C4" w14:textId="77777777" w:rsidR="00470735" w:rsidRPr="002A6A3B" w:rsidRDefault="00470735" w:rsidP="00810934">
            <w:pPr>
              <w:pStyle w:val="TableHeading1"/>
            </w:pPr>
            <w:r w:rsidRPr="00E53A43">
              <w:t>Definition</w:t>
            </w:r>
          </w:p>
        </w:tc>
      </w:tr>
      <w:tr w:rsidR="00470735" w14:paraId="60C61B90" w14:textId="77777777" w:rsidTr="00810934">
        <w:tc>
          <w:tcPr>
            <w:tcW w:w="1134" w:type="dxa"/>
          </w:tcPr>
          <w:p w14:paraId="63075F03" w14:textId="77777777" w:rsidR="00470735" w:rsidRPr="00333125" w:rsidRDefault="00470735" w:rsidP="00810934">
            <w:pPr>
              <w:pStyle w:val="TableBodyText"/>
            </w:pPr>
            <w:r w:rsidRPr="00E53A43">
              <w:t>Level 4</w:t>
            </w:r>
          </w:p>
        </w:tc>
        <w:tc>
          <w:tcPr>
            <w:tcW w:w="7893" w:type="dxa"/>
          </w:tcPr>
          <w:p w14:paraId="2CD4D0AE" w14:textId="77777777" w:rsidR="00470735" w:rsidRPr="00E53A43" w:rsidRDefault="00470735" w:rsidP="00470735">
            <w:pPr>
              <w:pStyle w:val="TableListBullet"/>
            </w:pPr>
            <w:r w:rsidRPr="00E53A43">
              <w:t>Occupations at Skill Level 4 have a level of skill commensurate with one of the following:</w:t>
            </w:r>
          </w:p>
          <w:p w14:paraId="7B566DD6" w14:textId="77777777" w:rsidR="00470735" w:rsidRPr="00E53A43" w:rsidRDefault="00470735" w:rsidP="00470735">
            <w:pPr>
              <w:pStyle w:val="TableListBullet"/>
            </w:pPr>
            <w:r w:rsidRPr="00E53A43">
              <w:t>NZ Register Level 2 or 3 qualification or</w:t>
            </w:r>
          </w:p>
          <w:p w14:paraId="3DC0A7A6" w14:textId="77777777" w:rsidR="00470735" w:rsidRPr="00E53A43" w:rsidRDefault="00470735" w:rsidP="00470735">
            <w:pPr>
              <w:pStyle w:val="TableListBullet"/>
            </w:pPr>
            <w:r w:rsidRPr="00E53A43">
              <w:t>AQF Certificate II or III.</w:t>
            </w:r>
          </w:p>
          <w:p w14:paraId="22EC5D5A" w14:textId="77777777" w:rsidR="00470735" w:rsidRPr="00333125" w:rsidRDefault="00470735" w:rsidP="00470735">
            <w:pPr>
              <w:pStyle w:val="TableListBullet"/>
            </w:pPr>
            <w:r w:rsidRPr="00E53A43">
              <w:t>At least one year of relevant experience may substitute for the formal qualifications listed above. In some instances, relevant experience may be required in addition to the formal qualification.</w:t>
            </w:r>
          </w:p>
        </w:tc>
      </w:tr>
      <w:tr w:rsidR="00470735" w14:paraId="7E4675AA" w14:textId="77777777" w:rsidTr="00810934">
        <w:trPr>
          <w:cnfStyle w:val="000000010000" w:firstRow="0" w:lastRow="0" w:firstColumn="0" w:lastColumn="0" w:oddVBand="0" w:evenVBand="0" w:oddHBand="0" w:evenHBand="1" w:firstRowFirstColumn="0" w:firstRowLastColumn="0" w:lastRowFirstColumn="0" w:lastRowLastColumn="0"/>
        </w:trPr>
        <w:tc>
          <w:tcPr>
            <w:tcW w:w="1134" w:type="dxa"/>
          </w:tcPr>
          <w:p w14:paraId="2B1C434C" w14:textId="77777777" w:rsidR="00470735" w:rsidRPr="00333125" w:rsidRDefault="00470735" w:rsidP="00810934">
            <w:pPr>
              <w:pStyle w:val="TableBodyText"/>
            </w:pPr>
            <w:r w:rsidRPr="00E53A43">
              <w:t>Level 5</w:t>
            </w:r>
          </w:p>
        </w:tc>
        <w:tc>
          <w:tcPr>
            <w:tcW w:w="7893" w:type="dxa"/>
          </w:tcPr>
          <w:p w14:paraId="764E883B" w14:textId="77777777" w:rsidR="00470735" w:rsidRPr="00E53A43" w:rsidRDefault="00470735" w:rsidP="00470735">
            <w:pPr>
              <w:pStyle w:val="TableListBullet"/>
            </w:pPr>
            <w:r w:rsidRPr="00E53A43">
              <w:t>Occupations at Skill Level 5 have a level of skill commensurate with one of the following:</w:t>
            </w:r>
          </w:p>
          <w:p w14:paraId="3DCD4688" w14:textId="77777777" w:rsidR="00470735" w:rsidRPr="00E53A43" w:rsidRDefault="00470735" w:rsidP="00470735">
            <w:pPr>
              <w:pStyle w:val="TableListBullet"/>
            </w:pPr>
            <w:r w:rsidRPr="00E53A43">
              <w:t>NZ Register Level 1 qualification</w:t>
            </w:r>
          </w:p>
          <w:p w14:paraId="07179611" w14:textId="77777777" w:rsidR="00470735" w:rsidRPr="00E53A43" w:rsidRDefault="00470735" w:rsidP="00470735">
            <w:pPr>
              <w:pStyle w:val="TableListBullet"/>
            </w:pPr>
            <w:r w:rsidRPr="00E53A43">
              <w:t>AQF Certificate I or</w:t>
            </w:r>
          </w:p>
          <w:p w14:paraId="2EE4C8AB" w14:textId="77777777" w:rsidR="00470735" w:rsidRPr="00E53A43" w:rsidRDefault="00470735" w:rsidP="00470735">
            <w:pPr>
              <w:pStyle w:val="TableListBullet"/>
            </w:pPr>
            <w:r w:rsidRPr="00E53A43">
              <w:t>compulsory secondary education.</w:t>
            </w:r>
          </w:p>
          <w:p w14:paraId="19F30E55" w14:textId="77777777" w:rsidR="00470735" w:rsidRPr="00E53A43" w:rsidRDefault="00470735" w:rsidP="00470735">
            <w:pPr>
              <w:pStyle w:val="TableListBullet"/>
            </w:pPr>
            <w:r w:rsidRPr="00E53A43">
              <w:t>For some occupations, a short period of on-the-job training may be required in addition to or instead of the formal qualification.</w:t>
            </w:r>
          </w:p>
          <w:p w14:paraId="1C798DED" w14:textId="77777777" w:rsidR="00470735" w:rsidRPr="00E53A43" w:rsidRDefault="00470735" w:rsidP="00470735">
            <w:pPr>
              <w:pStyle w:val="TableListBullet"/>
            </w:pPr>
            <w:r w:rsidRPr="00E53A43">
              <w:t>In some instances, no formal qualification or on-the-job training may be required.</w:t>
            </w:r>
          </w:p>
        </w:tc>
      </w:tr>
    </w:tbl>
    <w:p w14:paraId="5E2DEF4A" w14:textId="5DF2B002" w:rsidR="00D41273" w:rsidRPr="00E53A43" w:rsidRDefault="001913D3" w:rsidP="0064281C">
      <w:pPr>
        <w:pStyle w:val="Source"/>
      </w:pPr>
      <w:r w:rsidRPr="00E53A43">
        <w:t xml:space="preserve">Source: ABS, </w:t>
      </w:r>
      <w:r w:rsidR="00B279DA">
        <w:t>ANZSCO</w:t>
      </w:r>
      <w:r w:rsidRPr="00E53A43">
        <w:t>.</w:t>
      </w:r>
    </w:p>
    <w:p w14:paraId="2341D9C1" w14:textId="3450F018" w:rsidR="00D41273" w:rsidRPr="00E53A43" w:rsidRDefault="00D41273" w:rsidP="00CA5480">
      <w:pPr>
        <w:pStyle w:val="Heading3"/>
      </w:pPr>
      <w:bookmarkStart w:id="78" w:name="_Toc204771899"/>
      <w:bookmarkStart w:id="79" w:name="_Toc211425370"/>
      <w:r w:rsidRPr="00E53A43">
        <w:t>New Zealand occupations</w:t>
      </w:r>
      <w:bookmarkEnd w:id="78"/>
      <w:bookmarkEnd w:id="79"/>
    </w:p>
    <w:p w14:paraId="304B7BDC" w14:textId="4F438EE1" w:rsidR="00D41273" w:rsidRPr="002032F7" w:rsidRDefault="00D41273" w:rsidP="002032F7">
      <w:pPr>
        <w:pStyle w:val="BodyText"/>
      </w:pPr>
      <w:r w:rsidRPr="002032F7">
        <w:t xml:space="preserve">There are </w:t>
      </w:r>
      <w:r w:rsidR="00BA6AA1" w:rsidRPr="002032F7">
        <w:t xml:space="preserve">7 </w:t>
      </w:r>
      <w:r w:rsidRPr="002032F7">
        <w:t>Māori specific occupations that are excluded from the OSL</w:t>
      </w:r>
      <w:r w:rsidR="00F25D67" w:rsidRPr="002032F7">
        <w:t xml:space="preserve"> (</w:t>
      </w:r>
      <w:r w:rsidR="002277E5">
        <w:fldChar w:fldCharType="begin"/>
      </w:r>
      <w:r w:rsidR="002277E5">
        <w:instrText xml:space="preserve"> REF _Ref207715432 \h </w:instrText>
      </w:r>
      <w:r w:rsidR="002277E5">
        <w:fldChar w:fldCharType="separate"/>
      </w:r>
      <w:r w:rsidR="00F6227E">
        <w:t>Table A</w:t>
      </w:r>
      <w:r w:rsidR="00F6227E">
        <w:rPr>
          <w:noProof/>
        </w:rPr>
        <w:t>2</w:t>
      </w:r>
      <w:r w:rsidR="002277E5">
        <w:fldChar w:fldCharType="end"/>
      </w:r>
      <w:r w:rsidR="00F25D67" w:rsidRPr="002032F7">
        <w:t>)</w:t>
      </w:r>
      <w:r w:rsidRPr="002032F7">
        <w:t>.</w:t>
      </w:r>
    </w:p>
    <w:p w14:paraId="5ADB69FB" w14:textId="7CEEC925" w:rsidR="00D41273" w:rsidRPr="00E53A43" w:rsidRDefault="009C4BFA" w:rsidP="001A0A25">
      <w:pPr>
        <w:pStyle w:val="Caption"/>
      </w:pPr>
      <w:bookmarkStart w:id="80" w:name="_Ref207715294"/>
      <w:bookmarkStart w:id="81" w:name="_Ref207715432"/>
      <w:bookmarkStart w:id="82" w:name="_Toc211421401"/>
      <w:r>
        <w:t>Table A</w:t>
      </w:r>
      <w:bookmarkEnd w:id="80"/>
      <w:r>
        <w:fldChar w:fldCharType="begin"/>
      </w:r>
      <w:r>
        <w:instrText xml:space="preserve"> SEQ Table_A \* ARABIC </w:instrText>
      </w:r>
      <w:r>
        <w:fldChar w:fldCharType="separate"/>
      </w:r>
      <w:r w:rsidR="00F6227E">
        <w:rPr>
          <w:noProof/>
        </w:rPr>
        <w:t>2</w:t>
      </w:r>
      <w:r>
        <w:fldChar w:fldCharType="end"/>
      </w:r>
      <w:bookmarkEnd w:id="81"/>
      <w:r w:rsidRPr="00E53A43">
        <w:t>:</w:t>
      </w:r>
      <w:r w:rsidR="00EC52F8" w:rsidRPr="00EC52F8">
        <w:t xml:space="preserve"> </w:t>
      </w:r>
      <w:r w:rsidR="00D41273" w:rsidRPr="00E53A43">
        <w:t>List of New Zealand occupations</w:t>
      </w:r>
      <w:bookmarkEnd w:id="82"/>
    </w:p>
    <w:tbl>
      <w:tblPr>
        <w:tblStyle w:val="CustomTablebasic"/>
        <w:tblW w:w="0" w:type="auto"/>
        <w:tblLook w:val="04A0" w:firstRow="1" w:lastRow="0" w:firstColumn="1" w:lastColumn="0" w:noHBand="0" w:noVBand="1"/>
      </w:tblPr>
      <w:tblGrid>
        <w:gridCol w:w="1134"/>
        <w:gridCol w:w="7893"/>
      </w:tblGrid>
      <w:tr w:rsidR="00DC7BD9" w14:paraId="150CFF30" w14:textId="77777777" w:rsidTr="00333125">
        <w:trPr>
          <w:cnfStyle w:val="100000000000" w:firstRow="1" w:lastRow="0" w:firstColumn="0" w:lastColumn="0" w:oddVBand="0" w:evenVBand="0" w:oddHBand="0" w:evenHBand="0" w:firstRowFirstColumn="0" w:firstRowLastColumn="0" w:lastRowFirstColumn="0" w:lastRowLastColumn="0"/>
          <w:tblHeader/>
        </w:trPr>
        <w:tc>
          <w:tcPr>
            <w:tcW w:w="1134" w:type="dxa"/>
          </w:tcPr>
          <w:p w14:paraId="19669409" w14:textId="0AA10EA9" w:rsidR="000E49C4" w:rsidRPr="000E49C4" w:rsidRDefault="000E49C4" w:rsidP="003B305E">
            <w:pPr>
              <w:pStyle w:val="TableBodyText"/>
            </w:pPr>
            <w:r w:rsidRPr="00E53A43">
              <w:t>ANZSCO</w:t>
            </w:r>
          </w:p>
        </w:tc>
        <w:tc>
          <w:tcPr>
            <w:tcW w:w="7893" w:type="dxa"/>
          </w:tcPr>
          <w:p w14:paraId="0F49CBBA" w14:textId="4CEBFCDC" w:rsidR="000E49C4" w:rsidRPr="000E49C4" w:rsidRDefault="000E49C4" w:rsidP="003B305E">
            <w:pPr>
              <w:pStyle w:val="TableBodyText"/>
            </w:pPr>
            <w:r w:rsidRPr="00E53A43">
              <w:t>Description</w:t>
            </w:r>
          </w:p>
        </w:tc>
      </w:tr>
      <w:tr w:rsidR="000E49C4" w14:paraId="71DC35FB" w14:textId="2A39FCB2" w:rsidTr="000E49C4">
        <w:tc>
          <w:tcPr>
            <w:tcW w:w="1134" w:type="dxa"/>
          </w:tcPr>
          <w:p w14:paraId="72F9BF29" w14:textId="61E25C31" w:rsidR="000E49C4" w:rsidRPr="000E49C4" w:rsidRDefault="000E49C4" w:rsidP="00EC52F8">
            <w:pPr>
              <w:pStyle w:val="TableBodyText"/>
            </w:pPr>
            <w:r w:rsidRPr="00E53A43">
              <w:t>241112</w:t>
            </w:r>
          </w:p>
        </w:tc>
        <w:tc>
          <w:tcPr>
            <w:tcW w:w="7893" w:type="dxa"/>
          </w:tcPr>
          <w:p w14:paraId="722789BE" w14:textId="0FDCF1EE" w:rsidR="000E49C4" w:rsidRPr="000E49C4" w:rsidRDefault="000E49C4" w:rsidP="00EC52F8">
            <w:pPr>
              <w:pStyle w:val="TableBodyText"/>
            </w:pPr>
            <w:r w:rsidRPr="00E53A43">
              <w:t>Kaiako Kohanga Reo (Māori Language Nest Teacher)</w:t>
            </w:r>
          </w:p>
        </w:tc>
      </w:tr>
      <w:tr w:rsidR="009E12EC" w14:paraId="05F5716A" w14:textId="77777777" w:rsidTr="000E49C4">
        <w:trPr>
          <w:cnfStyle w:val="000000010000" w:firstRow="0" w:lastRow="0" w:firstColumn="0" w:lastColumn="0" w:oddVBand="0" w:evenVBand="0" w:oddHBand="0" w:evenHBand="1" w:firstRowFirstColumn="0" w:firstRowLastColumn="0" w:lastRowFirstColumn="0" w:lastRowLastColumn="0"/>
        </w:trPr>
        <w:tc>
          <w:tcPr>
            <w:tcW w:w="1134" w:type="dxa"/>
          </w:tcPr>
          <w:p w14:paraId="280FD70B" w14:textId="50013B66" w:rsidR="000E49C4" w:rsidRPr="000E49C4" w:rsidRDefault="000E49C4" w:rsidP="00EC52F8">
            <w:pPr>
              <w:pStyle w:val="TableBodyText"/>
            </w:pPr>
            <w:r w:rsidRPr="00E53A43">
              <w:t>241211</w:t>
            </w:r>
          </w:p>
        </w:tc>
        <w:tc>
          <w:tcPr>
            <w:tcW w:w="7893" w:type="dxa"/>
          </w:tcPr>
          <w:p w14:paraId="02B99A64" w14:textId="234EA605" w:rsidR="000E49C4" w:rsidRPr="000E49C4" w:rsidRDefault="000E49C4" w:rsidP="00EC52F8">
            <w:pPr>
              <w:pStyle w:val="TableBodyText"/>
            </w:pPr>
            <w:r w:rsidRPr="00E53A43">
              <w:t>Kaiako Kura Kaupapa Māori (Māori-medium Primary School Teacher)</w:t>
            </w:r>
          </w:p>
        </w:tc>
      </w:tr>
      <w:tr w:rsidR="000E49C4" w14:paraId="38953D7E" w14:textId="3B9A203B" w:rsidTr="000E49C4">
        <w:tc>
          <w:tcPr>
            <w:tcW w:w="1134" w:type="dxa"/>
          </w:tcPr>
          <w:p w14:paraId="1EE2A18F" w14:textId="2622C373" w:rsidR="000E49C4" w:rsidRPr="000E49C4" w:rsidRDefault="000E49C4" w:rsidP="00EC52F8">
            <w:pPr>
              <w:pStyle w:val="TableBodyText"/>
            </w:pPr>
            <w:r w:rsidRPr="00E53A43">
              <w:t>241212</w:t>
            </w:r>
          </w:p>
        </w:tc>
        <w:tc>
          <w:tcPr>
            <w:tcW w:w="7893" w:type="dxa"/>
          </w:tcPr>
          <w:p w14:paraId="775CA790" w14:textId="016FDDBC" w:rsidR="000E49C4" w:rsidRPr="000E49C4" w:rsidRDefault="000E49C4" w:rsidP="00EC52F8">
            <w:pPr>
              <w:pStyle w:val="TableBodyText"/>
            </w:pPr>
            <w:r w:rsidRPr="00E53A43">
              <w:t>Pouako Kura Kaupapa Māori (Māori-medium Primary School Senior Teacher)</w:t>
            </w:r>
          </w:p>
        </w:tc>
      </w:tr>
      <w:tr w:rsidR="009E12EC" w14:paraId="340C98CB" w14:textId="77777777" w:rsidTr="000E49C4">
        <w:trPr>
          <w:cnfStyle w:val="000000010000" w:firstRow="0" w:lastRow="0" w:firstColumn="0" w:lastColumn="0" w:oddVBand="0" w:evenVBand="0" w:oddHBand="0" w:evenHBand="1" w:firstRowFirstColumn="0" w:firstRowLastColumn="0" w:lastRowFirstColumn="0" w:lastRowLastColumn="0"/>
        </w:trPr>
        <w:tc>
          <w:tcPr>
            <w:tcW w:w="1134" w:type="dxa"/>
          </w:tcPr>
          <w:p w14:paraId="5064E01E" w14:textId="2057A244" w:rsidR="000E49C4" w:rsidRPr="000E49C4" w:rsidRDefault="000E49C4" w:rsidP="00EC52F8">
            <w:pPr>
              <w:pStyle w:val="TableBodyText"/>
            </w:pPr>
            <w:r w:rsidRPr="00E53A43">
              <w:t>252215</w:t>
            </w:r>
          </w:p>
        </w:tc>
        <w:tc>
          <w:tcPr>
            <w:tcW w:w="7893" w:type="dxa"/>
          </w:tcPr>
          <w:p w14:paraId="48F6B477" w14:textId="4FCCA38D" w:rsidR="000E49C4" w:rsidRPr="000E49C4" w:rsidRDefault="000E49C4" w:rsidP="00EC52F8">
            <w:pPr>
              <w:pStyle w:val="TableBodyText"/>
            </w:pPr>
            <w:r w:rsidRPr="00E53A43">
              <w:t>Traditional Māori Health Practitioner</w:t>
            </w:r>
          </w:p>
        </w:tc>
      </w:tr>
      <w:tr w:rsidR="000E49C4" w14:paraId="2A6537F8" w14:textId="7DC9AA69" w:rsidTr="000E49C4">
        <w:tc>
          <w:tcPr>
            <w:tcW w:w="1134" w:type="dxa"/>
          </w:tcPr>
          <w:p w14:paraId="3E448E80" w14:textId="414D9B1A" w:rsidR="000E49C4" w:rsidRPr="000E49C4" w:rsidRDefault="000E49C4" w:rsidP="00EC52F8">
            <w:pPr>
              <w:pStyle w:val="TableBodyText"/>
            </w:pPr>
            <w:r w:rsidRPr="00E53A43">
              <w:t>411512</w:t>
            </w:r>
          </w:p>
        </w:tc>
        <w:tc>
          <w:tcPr>
            <w:tcW w:w="7893" w:type="dxa"/>
          </w:tcPr>
          <w:p w14:paraId="671BA3BB" w14:textId="20191865" w:rsidR="000E49C4" w:rsidRPr="000E49C4" w:rsidRDefault="000E49C4" w:rsidP="00EC52F8">
            <w:pPr>
              <w:pStyle w:val="TableBodyText"/>
            </w:pPr>
            <w:r w:rsidRPr="00E53A43">
              <w:t>Kaiāwhina (Hauora) (Māori Health Assistant)</w:t>
            </w:r>
          </w:p>
        </w:tc>
      </w:tr>
      <w:tr w:rsidR="009E12EC" w14:paraId="624E80CE" w14:textId="77777777" w:rsidTr="000E49C4">
        <w:trPr>
          <w:cnfStyle w:val="000000010000" w:firstRow="0" w:lastRow="0" w:firstColumn="0" w:lastColumn="0" w:oddVBand="0" w:evenVBand="0" w:oddHBand="0" w:evenHBand="1" w:firstRowFirstColumn="0" w:firstRowLastColumn="0" w:lastRowFirstColumn="0" w:lastRowLastColumn="0"/>
        </w:trPr>
        <w:tc>
          <w:tcPr>
            <w:tcW w:w="1134" w:type="dxa"/>
          </w:tcPr>
          <w:p w14:paraId="0820E250" w14:textId="35D1DC7E" w:rsidR="000E49C4" w:rsidRPr="000E49C4" w:rsidRDefault="000E49C4" w:rsidP="00EC52F8">
            <w:pPr>
              <w:pStyle w:val="TableBodyText"/>
            </w:pPr>
            <w:r w:rsidRPr="00E53A43">
              <w:t>422113</w:t>
            </w:r>
          </w:p>
        </w:tc>
        <w:tc>
          <w:tcPr>
            <w:tcW w:w="7893" w:type="dxa"/>
          </w:tcPr>
          <w:p w14:paraId="7096D9E5" w14:textId="037AFEC0" w:rsidR="000E49C4" w:rsidRPr="000E49C4" w:rsidRDefault="000E49C4" w:rsidP="00EC52F8">
            <w:pPr>
              <w:pStyle w:val="TableBodyText"/>
            </w:pPr>
            <w:r w:rsidRPr="00E53A43">
              <w:t>Kaiāwhina Kohanga Reo (Māori Language Nest Assistant)</w:t>
            </w:r>
          </w:p>
        </w:tc>
      </w:tr>
      <w:tr w:rsidR="000E49C4" w14:paraId="7A400FE5" w14:textId="6C53ADA6" w:rsidTr="000E49C4">
        <w:tc>
          <w:tcPr>
            <w:tcW w:w="1134" w:type="dxa"/>
          </w:tcPr>
          <w:p w14:paraId="2D1A40E3" w14:textId="17979F68" w:rsidR="000E49C4" w:rsidRPr="000E49C4" w:rsidRDefault="000E49C4" w:rsidP="00EC52F8">
            <w:pPr>
              <w:pStyle w:val="TableBodyText"/>
            </w:pPr>
            <w:r w:rsidRPr="00E53A43">
              <w:t>422114</w:t>
            </w:r>
          </w:p>
        </w:tc>
        <w:tc>
          <w:tcPr>
            <w:tcW w:w="7893" w:type="dxa"/>
          </w:tcPr>
          <w:p w14:paraId="633819BB" w14:textId="3FC46496" w:rsidR="000E49C4" w:rsidRPr="000E49C4" w:rsidRDefault="000E49C4" w:rsidP="00EC52F8">
            <w:pPr>
              <w:pStyle w:val="TableBodyText"/>
            </w:pPr>
            <w:r w:rsidRPr="00E53A43">
              <w:t>Kaiāwhina Kura Kaupapa Māori (Māori-medium School Assistant)</w:t>
            </w:r>
          </w:p>
        </w:tc>
      </w:tr>
    </w:tbl>
    <w:p w14:paraId="4A009BC1" w14:textId="00B75B2E" w:rsidR="00F47DC1" w:rsidRPr="00DF1947" w:rsidRDefault="00815616" w:rsidP="00F47DC1">
      <w:pPr>
        <w:pStyle w:val="Source"/>
        <w:rPr>
          <w:lang w:eastAsia="en-AU"/>
        </w:rPr>
      </w:pPr>
      <w:r w:rsidRPr="00E53A43">
        <w:t>Source:</w:t>
      </w:r>
      <w:r>
        <w:t xml:space="preserve"> </w:t>
      </w:r>
      <w:r w:rsidR="007F4C30" w:rsidRPr="00E53A43">
        <w:t>ABS, A</w:t>
      </w:r>
      <w:r w:rsidR="00F25D67">
        <w:t>NZSCO</w:t>
      </w:r>
      <w:r w:rsidR="007F4C30" w:rsidRPr="00E53A43">
        <w:t>.</w:t>
      </w:r>
    </w:p>
    <w:p w14:paraId="6A13D5A9" w14:textId="77777777" w:rsidR="00FA76DF" w:rsidRPr="00E53A43" w:rsidRDefault="00FA76DF" w:rsidP="008E6679">
      <w:pPr>
        <w:pStyle w:val="Heading3"/>
      </w:pPr>
      <w:bookmarkStart w:id="83" w:name="_Toc204771900"/>
      <w:bookmarkStart w:id="84" w:name="_Toc211425371"/>
      <w:r w:rsidRPr="00E53A43">
        <w:t>Occupations where the labour market is not open and contestable</w:t>
      </w:r>
      <w:bookmarkEnd w:id="83"/>
      <w:bookmarkEnd w:id="84"/>
    </w:p>
    <w:p w14:paraId="4C607B90" w14:textId="13F1A970" w:rsidR="002F18D9" w:rsidRPr="002F18D9" w:rsidRDefault="00AB2918" w:rsidP="000A5546">
      <w:pPr>
        <w:pStyle w:val="BodyText"/>
      </w:pPr>
      <w:r>
        <w:t xml:space="preserve">Jobs and Skills Australia assess whether </w:t>
      </w:r>
      <w:r w:rsidR="001926D6">
        <w:t xml:space="preserve">the labour market for </w:t>
      </w:r>
      <w:r>
        <w:t xml:space="preserve">occupations are </w:t>
      </w:r>
      <w:r w:rsidR="001926D6">
        <w:t xml:space="preserve">open and contestable. </w:t>
      </w:r>
      <w:r w:rsidR="001926D6" w:rsidRPr="00E53A43">
        <w:t xml:space="preserve">For example, defence force roles, judges and detectives </w:t>
      </w:r>
      <w:r w:rsidR="001926D6">
        <w:t xml:space="preserve">are </w:t>
      </w:r>
      <w:r w:rsidR="0069561B">
        <w:t xml:space="preserve">excluded from scope </w:t>
      </w:r>
      <w:r w:rsidR="001926D6" w:rsidRPr="00E53A43">
        <w:t>as recruitment</w:t>
      </w:r>
      <w:r w:rsidR="0069561B">
        <w:t xml:space="preserve"> </w:t>
      </w:r>
      <w:r w:rsidR="001926D6" w:rsidRPr="00E53A43">
        <w:t>is mainly conducted internally.</w:t>
      </w:r>
      <w:r w:rsidR="00133CFA">
        <w:fldChar w:fldCharType="begin"/>
      </w:r>
      <w:r w:rsidR="00133CFA">
        <w:instrText xml:space="preserve"> REF _Ref207715335 \h </w:instrText>
      </w:r>
      <w:r w:rsidR="00133CFA">
        <w:fldChar w:fldCharType="separate"/>
      </w:r>
      <w:r w:rsidR="00F6227E">
        <w:t>Table A</w:t>
      </w:r>
      <w:r w:rsidR="00F6227E">
        <w:rPr>
          <w:noProof/>
        </w:rPr>
        <w:t>3</w:t>
      </w:r>
      <w:r w:rsidR="00133CFA">
        <w:fldChar w:fldCharType="end"/>
      </w:r>
      <w:r w:rsidR="00133CFA">
        <w:t xml:space="preserve"> </w:t>
      </w:r>
      <w:r w:rsidR="0077507B">
        <w:t xml:space="preserve">lists the 2022 ANZSCO </w:t>
      </w:r>
      <w:r w:rsidR="00FA76DF" w:rsidRPr="00E53A43">
        <w:t xml:space="preserve">occupations </w:t>
      </w:r>
      <w:r w:rsidR="0077507B">
        <w:t xml:space="preserve">that were excluded </w:t>
      </w:r>
      <w:r w:rsidR="00671014">
        <w:t xml:space="preserve">from </w:t>
      </w:r>
      <w:r w:rsidR="0088766B">
        <w:t>the ANZSCO version of the 2025 OSL.</w:t>
      </w:r>
    </w:p>
    <w:p w14:paraId="2349720C" w14:textId="5F1632D1" w:rsidR="00FA76DF" w:rsidRPr="003B305E" w:rsidRDefault="00133CFA" w:rsidP="003B305E">
      <w:pPr>
        <w:pStyle w:val="Caption"/>
      </w:pPr>
      <w:bookmarkStart w:id="85" w:name="_Ref207715335"/>
      <w:bookmarkStart w:id="86" w:name="_Ref207568580"/>
      <w:bookmarkStart w:id="87" w:name="_Toc211421402"/>
      <w:r>
        <w:t>Table A</w:t>
      </w:r>
      <w:r>
        <w:fldChar w:fldCharType="begin"/>
      </w:r>
      <w:r>
        <w:instrText xml:space="preserve"> SEQ Table_A \* ARABIC </w:instrText>
      </w:r>
      <w:r>
        <w:fldChar w:fldCharType="separate"/>
      </w:r>
      <w:r w:rsidR="00F6227E">
        <w:rPr>
          <w:noProof/>
        </w:rPr>
        <w:t>3</w:t>
      </w:r>
      <w:r>
        <w:fldChar w:fldCharType="end"/>
      </w:r>
      <w:bookmarkEnd w:id="85"/>
      <w:r w:rsidRPr="00E53A43">
        <w:t>:</w:t>
      </w:r>
      <w:bookmarkEnd w:id="86"/>
      <w:r w:rsidR="00EC52F8" w:rsidRPr="003B305E">
        <w:t xml:space="preserve"> </w:t>
      </w:r>
      <w:r w:rsidR="00FA76DF" w:rsidRPr="003B305E">
        <w:t xml:space="preserve">List of occupations </w:t>
      </w:r>
      <w:r w:rsidR="003B513E" w:rsidRPr="003B305E">
        <w:t>excluded from the OSL</w:t>
      </w:r>
      <w:r w:rsidR="00E615B7">
        <w:t>,</w:t>
      </w:r>
      <w:r w:rsidR="003B513E" w:rsidRPr="003B305E">
        <w:t xml:space="preserve"> </w:t>
      </w:r>
      <w:r w:rsidR="00821061" w:rsidRPr="003B305E">
        <w:t>2022 ANZSCO</w:t>
      </w:r>
      <w:bookmarkEnd w:id="87"/>
    </w:p>
    <w:tbl>
      <w:tblPr>
        <w:tblStyle w:val="CustomTablebasic"/>
        <w:tblW w:w="9279" w:type="dxa"/>
        <w:tblLook w:val="04A0" w:firstRow="1" w:lastRow="0" w:firstColumn="1" w:lastColumn="0" w:noHBand="0" w:noVBand="1"/>
      </w:tblPr>
      <w:tblGrid>
        <w:gridCol w:w="1310"/>
        <w:gridCol w:w="7969"/>
      </w:tblGrid>
      <w:tr w:rsidR="000D5711" w14:paraId="13D404D1" w14:textId="77777777" w:rsidTr="008970A9">
        <w:trPr>
          <w:cnfStyle w:val="100000000000" w:firstRow="1" w:lastRow="0" w:firstColumn="0" w:lastColumn="0" w:oddVBand="0" w:evenVBand="0" w:oddHBand="0" w:evenHBand="0" w:firstRowFirstColumn="0" w:firstRowLastColumn="0" w:lastRowFirstColumn="0" w:lastRowLastColumn="0"/>
          <w:trHeight w:val="358"/>
          <w:tblHeader/>
        </w:trPr>
        <w:tc>
          <w:tcPr>
            <w:tcW w:w="1310" w:type="dxa"/>
          </w:tcPr>
          <w:p w14:paraId="4D13F508" w14:textId="5C0BC92A" w:rsidR="00BD0F2A" w:rsidRPr="00BD0F2A" w:rsidRDefault="00BD0F2A" w:rsidP="00BD0F2A">
            <w:pPr>
              <w:pStyle w:val="TableHeading1"/>
            </w:pPr>
            <w:r w:rsidRPr="00E53A43">
              <w:t>ANZSCO</w:t>
            </w:r>
          </w:p>
        </w:tc>
        <w:tc>
          <w:tcPr>
            <w:tcW w:w="7969" w:type="dxa"/>
          </w:tcPr>
          <w:p w14:paraId="11AC2354" w14:textId="4B312633" w:rsidR="00BD0F2A" w:rsidRPr="00BD0F2A" w:rsidRDefault="00BD0F2A" w:rsidP="00BD0F2A">
            <w:pPr>
              <w:pStyle w:val="TableHeading1"/>
            </w:pPr>
            <w:r w:rsidRPr="00E53A43">
              <w:t>Description</w:t>
            </w:r>
          </w:p>
        </w:tc>
      </w:tr>
      <w:tr w:rsidR="00BD0F2A" w14:paraId="3BA5AAE7" w14:textId="77777777" w:rsidTr="0078203E">
        <w:trPr>
          <w:trHeight w:val="283"/>
        </w:trPr>
        <w:tc>
          <w:tcPr>
            <w:tcW w:w="1310" w:type="dxa"/>
          </w:tcPr>
          <w:p w14:paraId="47C97B59" w14:textId="3793597B" w:rsidR="00BD0F2A" w:rsidRPr="00BD0F2A" w:rsidRDefault="00BD0F2A" w:rsidP="00BD0F2A">
            <w:pPr>
              <w:pStyle w:val="TableBodyText"/>
            </w:pPr>
            <w:r w:rsidRPr="00E53A43">
              <w:t>111212</w:t>
            </w:r>
          </w:p>
        </w:tc>
        <w:tc>
          <w:tcPr>
            <w:tcW w:w="7969" w:type="dxa"/>
          </w:tcPr>
          <w:p w14:paraId="178DF2BB" w14:textId="2ADC8D31" w:rsidR="00BD0F2A" w:rsidRPr="00BD0F2A" w:rsidRDefault="00BD0F2A" w:rsidP="00BD0F2A">
            <w:pPr>
              <w:pStyle w:val="TableBodyText"/>
            </w:pPr>
            <w:r w:rsidRPr="00E53A43">
              <w:t>Defence Force Senior Officer</w:t>
            </w:r>
          </w:p>
        </w:tc>
      </w:tr>
      <w:tr w:rsidR="002C78D5" w14:paraId="4D6DC8ED" w14:textId="77777777" w:rsidTr="008970A9">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5D9A37E2" w14:textId="6A214B8B" w:rsidR="00BD0F2A" w:rsidRPr="00BD0F2A" w:rsidRDefault="00BD0F2A" w:rsidP="00BD0F2A">
            <w:pPr>
              <w:pStyle w:val="TableBodyText"/>
            </w:pPr>
            <w:r w:rsidRPr="00E53A43">
              <w:t>111311</w:t>
            </w:r>
          </w:p>
        </w:tc>
        <w:tc>
          <w:tcPr>
            <w:tcW w:w="7969" w:type="dxa"/>
          </w:tcPr>
          <w:p w14:paraId="005EBC63" w14:textId="1A5BFCEC" w:rsidR="00BD0F2A" w:rsidRPr="00BD0F2A" w:rsidRDefault="00BD0F2A" w:rsidP="00BD0F2A">
            <w:pPr>
              <w:pStyle w:val="TableBodyText"/>
            </w:pPr>
            <w:r w:rsidRPr="00E53A43">
              <w:t>Local Government Legislator</w:t>
            </w:r>
          </w:p>
        </w:tc>
      </w:tr>
      <w:tr w:rsidR="00BD0F2A" w14:paraId="3B95441D" w14:textId="77777777" w:rsidTr="0078203E">
        <w:trPr>
          <w:trHeight w:val="364"/>
        </w:trPr>
        <w:tc>
          <w:tcPr>
            <w:tcW w:w="1310" w:type="dxa"/>
          </w:tcPr>
          <w:p w14:paraId="07C21753" w14:textId="5602B303" w:rsidR="00BD0F2A" w:rsidRPr="00BD0F2A" w:rsidRDefault="00BD0F2A" w:rsidP="00BD0F2A">
            <w:pPr>
              <w:pStyle w:val="TableBodyText"/>
            </w:pPr>
            <w:r w:rsidRPr="00E53A43">
              <w:t>111312</w:t>
            </w:r>
          </w:p>
        </w:tc>
        <w:tc>
          <w:tcPr>
            <w:tcW w:w="7969" w:type="dxa"/>
          </w:tcPr>
          <w:p w14:paraId="3C058A3E" w14:textId="409A6CA8" w:rsidR="00BD0F2A" w:rsidRPr="00BD0F2A" w:rsidRDefault="00BD0F2A" w:rsidP="00BD0F2A">
            <w:pPr>
              <w:pStyle w:val="TableBodyText"/>
            </w:pPr>
            <w:r w:rsidRPr="00E53A43">
              <w:t>Member of Parliament</w:t>
            </w:r>
          </w:p>
        </w:tc>
      </w:tr>
      <w:tr w:rsidR="002C78D5" w14:paraId="16C5DD56" w14:textId="77777777" w:rsidTr="008970A9">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6862F356" w14:textId="7F473874" w:rsidR="00BD0F2A" w:rsidRPr="00BD0F2A" w:rsidRDefault="00BD0F2A" w:rsidP="00BD0F2A">
            <w:pPr>
              <w:pStyle w:val="TableBodyText"/>
            </w:pPr>
            <w:r w:rsidRPr="00E53A43">
              <w:lastRenderedPageBreak/>
              <w:t>111399</w:t>
            </w:r>
          </w:p>
        </w:tc>
        <w:tc>
          <w:tcPr>
            <w:tcW w:w="7969" w:type="dxa"/>
          </w:tcPr>
          <w:p w14:paraId="371E0C2D" w14:textId="0BA069CF" w:rsidR="00BD0F2A" w:rsidRPr="00BD0F2A" w:rsidRDefault="00BD0F2A" w:rsidP="00BD0F2A">
            <w:pPr>
              <w:pStyle w:val="TableBodyText"/>
            </w:pPr>
            <w:r w:rsidRPr="00E53A43">
              <w:t>Legislators nec</w:t>
            </w:r>
            <w:r w:rsidR="009357B5">
              <w:rPr>
                <w:rStyle w:val="FootnoteReference"/>
              </w:rPr>
              <w:footnoteReference w:id="21"/>
            </w:r>
          </w:p>
        </w:tc>
      </w:tr>
      <w:tr w:rsidR="00BD0F2A" w14:paraId="0474F2B3" w14:textId="77777777" w:rsidTr="0078203E">
        <w:trPr>
          <w:trHeight w:val="358"/>
        </w:trPr>
        <w:tc>
          <w:tcPr>
            <w:tcW w:w="1310" w:type="dxa"/>
          </w:tcPr>
          <w:p w14:paraId="3FC8EE8E" w14:textId="404C323D" w:rsidR="00BD0F2A" w:rsidRPr="00BD0F2A" w:rsidRDefault="00BD0F2A" w:rsidP="00BD0F2A">
            <w:pPr>
              <w:pStyle w:val="TableBodyText"/>
            </w:pPr>
            <w:r w:rsidRPr="00E53A43">
              <w:t>139111</w:t>
            </w:r>
          </w:p>
        </w:tc>
        <w:tc>
          <w:tcPr>
            <w:tcW w:w="7969" w:type="dxa"/>
          </w:tcPr>
          <w:p w14:paraId="1A748DE9" w14:textId="463015A4" w:rsidR="00BD0F2A" w:rsidRPr="00BD0F2A" w:rsidRDefault="00BD0F2A" w:rsidP="00BD0F2A">
            <w:pPr>
              <w:pStyle w:val="TableBodyText"/>
            </w:pPr>
            <w:r w:rsidRPr="00E53A43">
              <w:t>Commissioned Defence Force Officer</w:t>
            </w:r>
          </w:p>
        </w:tc>
      </w:tr>
      <w:tr w:rsidR="002C78D5" w14:paraId="34C5F1D3" w14:textId="77777777" w:rsidTr="008970A9">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158F6258" w14:textId="3DBB195B" w:rsidR="00BD0F2A" w:rsidRPr="00BD0F2A" w:rsidRDefault="00BD0F2A" w:rsidP="00BD0F2A">
            <w:pPr>
              <w:pStyle w:val="TableBodyText"/>
            </w:pPr>
            <w:r w:rsidRPr="00E53A43">
              <w:t>139112</w:t>
            </w:r>
          </w:p>
        </w:tc>
        <w:tc>
          <w:tcPr>
            <w:tcW w:w="7969" w:type="dxa"/>
          </w:tcPr>
          <w:p w14:paraId="38BC8EFA" w14:textId="4DC89DA9" w:rsidR="00BD0F2A" w:rsidRPr="00BD0F2A" w:rsidRDefault="00BD0F2A" w:rsidP="00BD0F2A">
            <w:pPr>
              <w:pStyle w:val="TableBodyText"/>
            </w:pPr>
            <w:r w:rsidRPr="00E53A43">
              <w:t>Commissioned Fire Officer</w:t>
            </w:r>
          </w:p>
        </w:tc>
      </w:tr>
      <w:tr w:rsidR="00BD0F2A" w14:paraId="6EF4731C" w14:textId="77777777" w:rsidTr="0078203E">
        <w:trPr>
          <w:trHeight w:val="358"/>
        </w:trPr>
        <w:tc>
          <w:tcPr>
            <w:tcW w:w="1310" w:type="dxa"/>
          </w:tcPr>
          <w:p w14:paraId="28DAFFCC" w14:textId="245541ED" w:rsidR="00BD0F2A" w:rsidRPr="00BD0F2A" w:rsidRDefault="00BD0F2A" w:rsidP="00BD0F2A">
            <w:pPr>
              <w:pStyle w:val="TableBodyText"/>
            </w:pPr>
            <w:r w:rsidRPr="00E53A43">
              <w:t>139113</w:t>
            </w:r>
          </w:p>
        </w:tc>
        <w:tc>
          <w:tcPr>
            <w:tcW w:w="7969" w:type="dxa"/>
          </w:tcPr>
          <w:p w14:paraId="74940E45" w14:textId="75CED94A" w:rsidR="00BD0F2A" w:rsidRPr="00BD0F2A" w:rsidRDefault="00BD0F2A" w:rsidP="00BD0F2A">
            <w:pPr>
              <w:pStyle w:val="TableBodyText"/>
            </w:pPr>
            <w:r w:rsidRPr="00E53A43">
              <w:t>Commissioned Police Officer</w:t>
            </w:r>
          </w:p>
        </w:tc>
      </w:tr>
      <w:tr w:rsidR="002C78D5" w14:paraId="31B9FF87" w14:textId="77777777" w:rsidTr="008970A9">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32F0F7BA" w14:textId="1B72F4EE" w:rsidR="00BD0F2A" w:rsidRPr="00BD0F2A" w:rsidRDefault="00BD0F2A" w:rsidP="00BD0F2A">
            <w:pPr>
              <w:pStyle w:val="TableBodyText"/>
            </w:pPr>
            <w:r w:rsidRPr="00E53A43">
              <w:t>139211</w:t>
            </w:r>
          </w:p>
        </w:tc>
        <w:tc>
          <w:tcPr>
            <w:tcW w:w="7969" w:type="dxa"/>
          </w:tcPr>
          <w:p w14:paraId="615C6C77" w14:textId="242B0A7B" w:rsidR="00BD0F2A" w:rsidRPr="00BD0F2A" w:rsidRDefault="00BD0F2A" w:rsidP="00BD0F2A">
            <w:pPr>
              <w:pStyle w:val="TableBodyText"/>
            </w:pPr>
            <w:r w:rsidRPr="00E53A43">
              <w:t>Senior Non-commissioned Defence Force Member</w:t>
            </w:r>
          </w:p>
        </w:tc>
      </w:tr>
      <w:tr w:rsidR="00BD0F2A" w14:paraId="2AAC6A4F" w14:textId="77777777" w:rsidTr="0078203E">
        <w:trPr>
          <w:trHeight w:val="364"/>
        </w:trPr>
        <w:tc>
          <w:tcPr>
            <w:tcW w:w="1310" w:type="dxa"/>
          </w:tcPr>
          <w:p w14:paraId="478C9FE8" w14:textId="223DD71E" w:rsidR="00BD0F2A" w:rsidRPr="00BD0F2A" w:rsidRDefault="00BD0F2A" w:rsidP="00BD0F2A">
            <w:pPr>
              <w:pStyle w:val="TableBodyText"/>
            </w:pPr>
            <w:r w:rsidRPr="00E53A43">
              <w:t>271211</w:t>
            </w:r>
          </w:p>
        </w:tc>
        <w:tc>
          <w:tcPr>
            <w:tcW w:w="7969" w:type="dxa"/>
          </w:tcPr>
          <w:p w14:paraId="78DF5428" w14:textId="397269D9" w:rsidR="00BD0F2A" w:rsidRPr="00BD0F2A" w:rsidRDefault="00BD0F2A" w:rsidP="00BD0F2A">
            <w:pPr>
              <w:pStyle w:val="TableBodyText"/>
            </w:pPr>
            <w:r w:rsidRPr="00E53A43">
              <w:t>Judge</w:t>
            </w:r>
          </w:p>
        </w:tc>
      </w:tr>
      <w:tr w:rsidR="002C78D5" w14:paraId="3DBAF110" w14:textId="77777777" w:rsidTr="008970A9">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33772234" w14:textId="75537C66" w:rsidR="00BD0F2A" w:rsidRPr="00BD0F2A" w:rsidRDefault="00BD0F2A" w:rsidP="00BD0F2A">
            <w:pPr>
              <w:pStyle w:val="TableBodyText"/>
            </w:pPr>
            <w:r w:rsidRPr="00E53A43">
              <w:t>271212</w:t>
            </w:r>
          </w:p>
        </w:tc>
        <w:tc>
          <w:tcPr>
            <w:tcW w:w="7969" w:type="dxa"/>
          </w:tcPr>
          <w:p w14:paraId="7C6805FF" w14:textId="1ED85BB4" w:rsidR="00BD0F2A" w:rsidRPr="00BD0F2A" w:rsidRDefault="00BD0F2A" w:rsidP="00BD0F2A">
            <w:pPr>
              <w:pStyle w:val="TableBodyText"/>
            </w:pPr>
            <w:r w:rsidRPr="00E53A43">
              <w:t>Magistrate</w:t>
            </w:r>
          </w:p>
        </w:tc>
      </w:tr>
      <w:tr w:rsidR="00BD0F2A" w14:paraId="36D0870D" w14:textId="77777777" w:rsidTr="0078203E">
        <w:trPr>
          <w:trHeight w:val="358"/>
        </w:trPr>
        <w:tc>
          <w:tcPr>
            <w:tcW w:w="1310" w:type="dxa"/>
          </w:tcPr>
          <w:p w14:paraId="47BEBC2B" w14:textId="6D42CB99" w:rsidR="00BD0F2A" w:rsidRPr="00BD0F2A" w:rsidRDefault="00BD0F2A" w:rsidP="00BD0F2A">
            <w:pPr>
              <w:pStyle w:val="TableBodyText"/>
            </w:pPr>
            <w:r w:rsidRPr="00E53A43">
              <w:t>271213</w:t>
            </w:r>
          </w:p>
        </w:tc>
        <w:tc>
          <w:tcPr>
            <w:tcW w:w="7969" w:type="dxa"/>
          </w:tcPr>
          <w:p w14:paraId="7B4590CA" w14:textId="3689AA2A" w:rsidR="00BD0F2A" w:rsidRPr="00BD0F2A" w:rsidRDefault="00BD0F2A" w:rsidP="00BD0F2A">
            <w:pPr>
              <w:pStyle w:val="TableBodyText"/>
            </w:pPr>
            <w:r w:rsidRPr="00E53A43">
              <w:t>Tribunal Member</w:t>
            </w:r>
          </w:p>
        </w:tc>
      </w:tr>
      <w:tr w:rsidR="002C78D5" w14:paraId="1E30FA16" w14:textId="77777777" w:rsidTr="008970A9">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78D9C653" w14:textId="5A51D137" w:rsidR="00BD0F2A" w:rsidRPr="00BD0F2A" w:rsidRDefault="00BD0F2A" w:rsidP="00BD0F2A">
            <w:pPr>
              <w:pStyle w:val="TableBodyText"/>
            </w:pPr>
            <w:r w:rsidRPr="00E53A43">
              <w:t>441111</w:t>
            </w:r>
          </w:p>
        </w:tc>
        <w:tc>
          <w:tcPr>
            <w:tcW w:w="7969" w:type="dxa"/>
          </w:tcPr>
          <w:p w14:paraId="559A5EBA" w14:textId="0FD42185" w:rsidR="00BD0F2A" w:rsidRPr="00BD0F2A" w:rsidRDefault="00BD0F2A" w:rsidP="00BD0F2A">
            <w:pPr>
              <w:pStyle w:val="TableBodyText"/>
            </w:pPr>
            <w:r w:rsidRPr="00E53A43">
              <w:t>Defence Force Member – Other Ranks</w:t>
            </w:r>
          </w:p>
        </w:tc>
      </w:tr>
      <w:tr w:rsidR="00BD0F2A" w14:paraId="415628D6" w14:textId="77777777" w:rsidTr="0078203E">
        <w:trPr>
          <w:trHeight w:val="358"/>
        </w:trPr>
        <w:tc>
          <w:tcPr>
            <w:tcW w:w="1310" w:type="dxa"/>
          </w:tcPr>
          <w:p w14:paraId="57F6E2C6" w14:textId="5816AC6E" w:rsidR="00BD0F2A" w:rsidRPr="00BD0F2A" w:rsidRDefault="00BD0F2A" w:rsidP="00BD0F2A">
            <w:pPr>
              <w:pStyle w:val="TableBodyText"/>
            </w:pPr>
            <w:r w:rsidRPr="00E53A43">
              <w:t>441311</w:t>
            </w:r>
          </w:p>
        </w:tc>
        <w:tc>
          <w:tcPr>
            <w:tcW w:w="7969" w:type="dxa"/>
          </w:tcPr>
          <w:p w14:paraId="3566BC64" w14:textId="78E1CBE1" w:rsidR="00BD0F2A" w:rsidRPr="00BD0F2A" w:rsidRDefault="00BD0F2A" w:rsidP="00BD0F2A">
            <w:pPr>
              <w:pStyle w:val="TableBodyText"/>
            </w:pPr>
            <w:r w:rsidRPr="00E53A43">
              <w:t>Detective</w:t>
            </w:r>
          </w:p>
        </w:tc>
      </w:tr>
      <w:tr w:rsidR="002C78D5" w14:paraId="3A86607D" w14:textId="77777777" w:rsidTr="008970A9">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216971C9" w14:textId="0957615D" w:rsidR="00BD0F2A" w:rsidRPr="00BD0F2A" w:rsidRDefault="00BD0F2A" w:rsidP="00BD0F2A">
            <w:pPr>
              <w:pStyle w:val="TableBodyText"/>
            </w:pPr>
            <w:r w:rsidRPr="00E53A43">
              <w:t>452411</w:t>
            </w:r>
          </w:p>
        </w:tc>
        <w:tc>
          <w:tcPr>
            <w:tcW w:w="7969" w:type="dxa"/>
          </w:tcPr>
          <w:p w14:paraId="653EEFE7" w14:textId="783EF28A" w:rsidR="00BD0F2A" w:rsidRPr="00BD0F2A" w:rsidRDefault="00BD0F2A" w:rsidP="00BD0F2A">
            <w:pPr>
              <w:pStyle w:val="TableBodyText"/>
            </w:pPr>
            <w:r w:rsidRPr="00E53A43">
              <w:t>Footballer</w:t>
            </w:r>
          </w:p>
        </w:tc>
      </w:tr>
      <w:tr w:rsidR="00BD0F2A" w14:paraId="578D1C31" w14:textId="77777777" w:rsidTr="0078203E">
        <w:trPr>
          <w:trHeight w:val="364"/>
        </w:trPr>
        <w:tc>
          <w:tcPr>
            <w:tcW w:w="1310" w:type="dxa"/>
          </w:tcPr>
          <w:p w14:paraId="503060A5" w14:textId="21EB9C75" w:rsidR="00BD0F2A" w:rsidRPr="00BD0F2A" w:rsidRDefault="00BD0F2A" w:rsidP="00BD0F2A">
            <w:pPr>
              <w:pStyle w:val="TableBodyText"/>
            </w:pPr>
            <w:r w:rsidRPr="00E53A43">
              <w:t>452412</w:t>
            </w:r>
          </w:p>
        </w:tc>
        <w:tc>
          <w:tcPr>
            <w:tcW w:w="7969" w:type="dxa"/>
          </w:tcPr>
          <w:p w14:paraId="6AF86D7C" w14:textId="66DE05F3" w:rsidR="00BD0F2A" w:rsidRPr="00BD0F2A" w:rsidRDefault="00BD0F2A" w:rsidP="00BD0F2A">
            <w:pPr>
              <w:pStyle w:val="TableBodyText"/>
            </w:pPr>
            <w:r w:rsidRPr="00E53A43">
              <w:t>Golfer</w:t>
            </w:r>
          </w:p>
        </w:tc>
      </w:tr>
      <w:tr w:rsidR="002C78D5" w14:paraId="388675C4" w14:textId="77777777" w:rsidTr="008970A9">
        <w:trPr>
          <w:cnfStyle w:val="000000010000" w:firstRow="0" w:lastRow="0" w:firstColumn="0" w:lastColumn="0" w:oddVBand="0" w:evenVBand="0" w:oddHBand="0" w:evenHBand="1" w:firstRowFirstColumn="0" w:firstRowLastColumn="0" w:lastRowFirstColumn="0" w:lastRowLastColumn="0"/>
          <w:trHeight w:val="191"/>
        </w:trPr>
        <w:tc>
          <w:tcPr>
            <w:tcW w:w="1310" w:type="dxa"/>
          </w:tcPr>
          <w:p w14:paraId="5B7F5E3D" w14:textId="6E97261F" w:rsidR="00BD0F2A" w:rsidRPr="00BD0F2A" w:rsidRDefault="00BD0F2A" w:rsidP="00BD0F2A">
            <w:pPr>
              <w:pStyle w:val="TableBodyText"/>
            </w:pPr>
            <w:r w:rsidRPr="00E53A43">
              <w:t>452499</w:t>
            </w:r>
          </w:p>
        </w:tc>
        <w:tc>
          <w:tcPr>
            <w:tcW w:w="7969" w:type="dxa"/>
          </w:tcPr>
          <w:p w14:paraId="404F2D37" w14:textId="379E7437" w:rsidR="00BD0F2A" w:rsidRPr="00BD0F2A" w:rsidRDefault="00BD0F2A" w:rsidP="00BD0F2A">
            <w:pPr>
              <w:pStyle w:val="TableBodyText"/>
            </w:pPr>
            <w:r w:rsidRPr="00E53A43">
              <w:t>Sportspersons nec</w:t>
            </w:r>
          </w:p>
        </w:tc>
      </w:tr>
    </w:tbl>
    <w:p w14:paraId="41FB01EB" w14:textId="77777777" w:rsidR="002E04CE" w:rsidRDefault="002E04CE" w:rsidP="002E04CE">
      <w:pPr>
        <w:pStyle w:val="Source"/>
      </w:pPr>
      <w:r w:rsidRPr="00E53A43">
        <w:t>Source: Jobs and Skills Australia.</w:t>
      </w:r>
    </w:p>
    <w:p w14:paraId="375F8EAB" w14:textId="24EEC139" w:rsidR="00AB5458" w:rsidRPr="00E864E7" w:rsidRDefault="006F411F" w:rsidP="003B305E">
      <w:pPr>
        <w:pStyle w:val="BodyText"/>
      </w:pPr>
      <w:r>
        <w:fldChar w:fldCharType="begin"/>
      </w:r>
      <w:r>
        <w:instrText xml:space="preserve"> REF _Ref207568626 \h </w:instrText>
      </w:r>
      <w:r>
        <w:fldChar w:fldCharType="separate"/>
      </w:r>
      <w:r w:rsidR="00F6227E">
        <w:t>Table A</w:t>
      </w:r>
      <w:r w:rsidR="00F6227E">
        <w:rPr>
          <w:noProof/>
        </w:rPr>
        <w:t>4</w:t>
      </w:r>
      <w:r w:rsidR="00F6227E" w:rsidRPr="00E53A43">
        <w:t>:</w:t>
      </w:r>
      <w:r>
        <w:fldChar w:fldCharType="end"/>
      </w:r>
      <w:r>
        <w:t xml:space="preserve"> </w:t>
      </w:r>
      <w:r w:rsidR="002639B8">
        <w:t xml:space="preserve">lists the OSCA </w:t>
      </w:r>
      <w:r w:rsidR="002639B8" w:rsidRPr="00E53A43">
        <w:t xml:space="preserve">occupations </w:t>
      </w:r>
      <w:r w:rsidR="002639B8">
        <w:t xml:space="preserve">that were excluded from the </w:t>
      </w:r>
      <w:r w:rsidR="00F676DB">
        <w:t xml:space="preserve">2024 </w:t>
      </w:r>
      <w:r w:rsidR="002639B8">
        <w:t>OSCA version of the 2025 OSL.</w:t>
      </w:r>
    </w:p>
    <w:p w14:paraId="09ED6577" w14:textId="5491B0A6" w:rsidR="00AB5458" w:rsidRPr="00AB5458" w:rsidRDefault="006F411F" w:rsidP="00AB5458">
      <w:pPr>
        <w:pStyle w:val="Caption"/>
      </w:pPr>
      <w:bookmarkStart w:id="88" w:name="_Ref207568626"/>
      <w:bookmarkStart w:id="89" w:name="_Toc211421403"/>
      <w:r>
        <w:t>Table A</w:t>
      </w:r>
      <w:r>
        <w:fldChar w:fldCharType="begin"/>
      </w:r>
      <w:r>
        <w:instrText xml:space="preserve"> SEQ Table_A \* ARABIC </w:instrText>
      </w:r>
      <w:r>
        <w:fldChar w:fldCharType="separate"/>
      </w:r>
      <w:r w:rsidR="00F6227E">
        <w:rPr>
          <w:noProof/>
        </w:rPr>
        <w:t>4</w:t>
      </w:r>
      <w:r>
        <w:fldChar w:fldCharType="end"/>
      </w:r>
      <w:r w:rsidRPr="00E53A43">
        <w:t>:</w:t>
      </w:r>
      <w:bookmarkEnd w:id="88"/>
      <w:r w:rsidR="00EC52F8" w:rsidRPr="00EC52F8">
        <w:t xml:space="preserve"> </w:t>
      </w:r>
      <w:r w:rsidR="00AB5458" w:rsidRPr="00AB5458">
        <w:t>List of occupations excluded from the OSL</w:t>
      </w:r>
      <w:r w:rsidR="00F676DB">
        <w:t>,</w:t>
      </w:r>
      <w:r w:rsidR="00AB5458" w:rsidRPr="00AB5458">
        <w:t xml:space="preserve"> </w:t>
      </w:r>
      <w:r w:rsidR="00AB5458">
        <w:t>2024 OSCA</w:t>
      </w:r>
      <w:bookmarkEnd w:id="89"/>
    </w:p>
    <w:tbl>
      <w:tblPr>
        <w:tblStyle w:val="CustomTablebasic"/>
        <w:tblW w:w="9279" w:type="dxa"/>
        <w:tblLook w:val="04A0" w:firstRow="1" w:lastRow="0" w:firstColumn="1" w:lastColumn="0" w:noHBand="0" w:noVBand="1"/>
      </w:tblPr>
      <w:tblGrid>
        <w:gridCol w:w="1310"/>
        <w:gridCol w:w="7969"/>
      </w:tblGrid>
      <w:tr w:rsidR="00577C1C" w14:paraId="608F2B93" w14:textId="77777777">
        <w:trPr>
          <w:cnfStyle w:val="100000000000" w:firstRow="1" w:lastRow="0" w:firstColumn="0" w:lastColumn="0" w:oddVBand="0" w:evenVBand="0" w:oddHBand="0" w:evenHBand="0" w:firstRowFirstColumn="0" w:firstRowLastColumn="0" w:lastRowFirstColumn="0" w:lastRowLastColumn="0"/>
          <w:trHeight w:val="358"/>
          <w:tblHeader/>
        </w:trPr>
        <w:tc>
          <w:tcPr>
            <w:tcW w:w="1310" w:type="dxa"/>
          </w:tcPr>
          <w:p w14:paraId="735A2CF7" w14:textId="494B6CA6" w:rsidR="00AB5458" w:rsidRPr="00AB5458" w:rsidRDefault="00AB5458" w:rsidP="00AB5458">
            <w:pPr>
              <w:pStyle w:val="TableHeading1"/>
            </w:pPr>
            <w:r>
              <w:t>OSCA</w:t>
            </w:r>
          </w:p>
        </w:tc>
        <w:tc>
          <w:tcPr>
            <w:tcW w:w="7969" w:type="dxa"/>
          </w:tcPr>
          <w:p w14:paraId="657BFC69" w14:textId="77777777" w:rsidR="00AB5458" w:rsidRPr="00AB5458" w:rsidRDefault="00AB5458" w:rsidP="00AB5458">
            <w:pPr>
              <w:pStyle w:val="TableHeading1"/>
            </w:pPr>
            <w:r w:rsidRPr="00AB5458">
              <w:t>Description</w:t>
            </w:r>
          </w:p>
        </w:tc>
      </w:tr>
      <w:tr w:rsidR="00AB5458" w14:paraId="0461DF8E" w14:textId="77777777">
        <w:trPr>
          <w:trHeight w:val="283"/>
        </w:trPr>
        <w:tc>
          <w:tcPr>
            <w:tcW w:w="1310" w:type="dxa"/>
          </w:tcPr>
          <w:p w14:paraId="6F8781AA" w14:textId="544A1F27" w:rsidR="00AB5458" w:rsidRPr="00AB5458" w:rsidRDefault="00DD4068" w:rsidP="00AB5458">
            <w:pPr>
              <w:pStyle w:val="TableBodyText"/>
            </w:pPr>
            <w:r w:rsidRPr="00DD4068">
              <w:t>121232</w:t>
            </w:r>
          </w:p>
        </w:tc>
        <w:tc>
          <w:tcPr>
            <w:tcW w:w="7969" w:type="dxa"/>
          </w:tcPr>
          <w:p w14:paraId="3C8639BD" w14:textId="04D75924" w:rsidR="00AB5458" w:rsidRPr="00AB5458" w:rsidRDefault="00E04AF7" w:rsidP="00AB5458">
            <w:pPr>
              <w:pStyle w:val="TableBodyText"/>
            </w:pPr>
            <w:r w:rsidRPr="00E04AF7">
              <w:t xml:space="preserve">Defence Force Senior Officer      </w:t>
            </w:r>
          </w:p>
        </w:tc>
      </w:tr>
      <w:tr w:rsidR="00E04AF7" w14:paraId="6B027DD3" w14:textId="77777777">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39CA0089" w14:textId="51A654BC" w:rsidR="00AB5458" w:rsidRPr="00AB5458" w:rsidRDefault="00E04AF7" w:rsidP="00AB5458">
            <w:pPr>
              <w:pStyle w:val="TableBodyText"/>
            </w:pPr>
            <w:r w:rsidRPr="00E04AF7">
              <w:t>121331</w:t>
            </w:r>
          </w:p>
        </w:tc>
        <w:tc>
          <w:tcPr>
            <w:tcW w:w="7969" w:type="dxa"/>
          </w:tcPr>
          <w:p w14:paraId="15835938" w14:textId="69AADCBE" w:rsidR="00AB5458" w:rsidRPr="00AB5458" w:rsidRDefault="00E04AF7" w:rsidP="00AB5458">
            <w:pPr>
              <w:pStyle w:val="TableBodyText"/>
            </w:pPr>
            <w:r w:rsidRPr="00E04AF7">
              <w:t xml:space="preserve">Local Government Legislator   </w:t>
            </w:r>
          </w:p>
        </w:tc>
      </w:tr>
      <w:tr w:rsidR="00AB5458" w14:paraId="4801699A" w14:textId="77777777">
        <w:trPr>
          <w:trHeight w:val="364"/>
        </w:trPr>
        <w:tc>
          <w:tcPr>
            <w:tcW w:w="1310" w:type="dxa"/>
          </w:tcPr>
          <w:p w14:paraId="59A2089A" w14:textId="65A39EF7" w:rsidR="00AB5458" w:rsidRPr="00AB5458" w:rsidRDefault="00E04AF7" w:rsidP="00AB5458">
            <w:pPr>
              <w:pStyle w:val="TableBodyText"/>
            </w:pPr>
            <w:r w:rsidRPr="00E04AF7">
              <w:t xml:space="preserve">121332 </w:t>
            </w:r>
          </w:p>
        </w:tc>
        <w:tc>
          <w:tcPr>
            <w:tcW w:w="7969" w:type="dxa"/>
          </w:tcPr>
          <w:p w14:paraId="3830ED03" w14:textId="73353A4B" w:rsidR="00AB5458" w:rsidRPr="00AB5458" w:rsidRDefault="00E04AF7" w:rsidP="00AB5458">
            <w:pPr>
              <w:pStyle w:val="TableBodyText"/>
            </w:pPr>
            <w:r w:rsidRPr="00E04AF7">
              <w:t>Member of Parliament</w:t>
            </w:r>
          </w:p>
        </w:tc>
      </w:tr>
      <w:tr w:rsidR="00E04AF7" w14:paraId="229B8356" w14:textId="77777777">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793D06CB" w14:textId="4E2FF2B4" w:rsidR="00AB5458" w:rsidRPr="00AB5458" w:rsidRDefault="00E04AF7" w:rsidP="00AB5458">
            <w:pPr>
              <w:pStyle w:val="TableBodyText"/>
            </w:pPr>
            <w:r w:rsidRPr="00E04AF7">
              <w:t xml:space="preserve">121399 </w:t>
            </w:r>
          </w:p>
        </w:tc>
        <w:tc>
          <w:tcPr>
            <w:tcW w:w="7969" w:type="dxa"/>
          </w:tcPr>
          <w:p w14:paraId="353A8F62" w14:textId="2A757756" w:rsidR="00AB5458" w:rsidRPr="00AB5458" w:rsidRDefault="00E04AF7" w:rsidP="00AB5458">
            <w:pPr>
              <w:pStyle w:val="TableBodyText"/>
            </w:pPr>
            <w:r w:rsidRPr="00E04AF7">
              <w:t xml:space="preserve">Legislators nec    </w:t>
            </w:r>
          </w:p>
        </w:tc>
      </w:tr>
      <w:tr w:rsidR="00AB5458" w14:paraId="08FEC477" w14:textId="77777777">
        <w:trPr>
          <w:trHeight w:val="358"/>
        </w:trPr>
        <w:tc>
          <w:tcPr>
            <w:tcW w:w="1310" w:type="dxa"/>
          </w:tcPr>
          <w:p w14:paraId="430A40D3" w14:textId="766B24F2" w:rsidR="00AB5458" w:rsidRPr="00AB5458" w:rsidRDefault="00E04AF7" w:rsidP="00AB5458">
            <w:pPr>
              <w:pStyle w:val="TableBodyText"/>
            </w:pPr>
            <w:r w:rsidRPr="00E04AF7">
              <w:t xml:space="preserve">149231 </w:t>
            </w:r>
          </w:p>
        </w:tc>
        <w:tc>
          <w:tcPr>
            <w:tcW w:w="7969" w:type="dxa"/>
          </w:tcPr>
          <w:p w14:paraId="7B65BC89" w14:textId="16E8C7B5" w:rsidR="00AB5458" w:rsidRPr="00AB5458" w:rsidRDefault="00E04AF7" w:rsidP="00AB5458">
            <w:pPr>
              <w:pStyle w:val="TableBodyText"/>
            </w:pPr>
            <w:r w:rsidRPr="00E04AF7">
              <w:t>Commissioned Defence Force Officer</w:t>
            </w:r>
          </w:p>
        </w:tc>
      </w:tr>
      <w:tr w:rsidR="00E04AF7" w14:paraId="50480D7D" w14:textId="77777777">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30C3C3E7" w14:textId="7AA5612F" w:rsidR="00AB5458" w:rsidRPr="00AB5458" w:rsidRDefault="00DD4068" w:rsidP="00AB5458">
            <w:pPr>
              <w:pStyle w:val="TableBodyText"/>
            </w:pPr>
            <w:r w:rsidRPr="00DD4068">
              <w:t xml:space="preserve">149232 </w:t>
            </w:r>
          </w:p>
        </w:tc>
        <w:tc>
          <w:tcPr>
            <w:tcW w:w="7969" w:type="dxa"/>
          </w:tcPr>
          <w:p w14:paraId="613F3102" w14:textId="0D4E5ACA" w:rsidR="00AB5458" w:rsidRPr="00AB5458" w:rsidRDefault="00DD4068" w:rsidP="00AB5458">
            <w:pPr>
              <w:pStyle w:val="TableBodyText"/>
            </w:pPr>
            <w:r w:rsidRPr="00DD4068">
              <w:t xml:space="preserve">Commissioned Fire Officer   </w:t>
            </w:r>
          </w:p>
        </w:tc>
      </w:tr>
      <w:tr w:rsidR="00AB5458" w14:paraId="1F85ABAB" w14:textId="77777777">
        <w:trPr>
          <w:trHeight w:val="358"/>
        </w:trPr>
        <w:tc>
          <w:tcPr>
            <w:tcW w:w="1310" w:type="dxa"/>
          </w:tcPr>
          <w:p w14:paraId="773A6699" w14:textId="376D1E35" w:rsidR="00AB5458" w:rsidRPr="00AB5458" w:rsidRDefault="00DD4068" w:rsidP="00AB5458">
            <w:pPr>
              <w:pStyle w:val="TableBodyText"/>
            </w:pPr>
            <w:r w:rsidRPr="00DD4068">
              <w:t>149233</w:t>
            </w:r>
          </w:p>
        </w:tc>
        <w:tc>
          <w:tcPr>
            <w:tcW w:w="7969" w:type="dxa"/>
          </w:tcPr>
          <w:p w14:paraId="167EF4E5" w14:textId="7446C5AE" w:rsidR="00AB5458" w:rsidRPr="00AB5458" w:rsidRDefault="00DD4068" w:rsidP="00AB5458">
            <w:pPr>
              <w:pStyle w:val="TableBodyText"/>
            </w:pPr>
            <w:r w:rsidRPr="00DD4068">
              <w:t xml:space="preserve">Commissioned Police Officer  </w:t>
            </w:r>
          </w:p>
        </w:tc>
      </w:tr>
      <w:tr w:rsidR="00E04AF7" w14:paraId="6C6CA70C" w14:textId="77777777">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6617749E" w14:textId="3F4A6193" w:rsidR="00AB5458" w:rsidRPr="00AB5458" w:rsidRDefault="00DD4068" w:rsidP="00AB5458">
            <w:pPr>
              <w:pStyle w:val="TableBodyText"/>
            </w:pPr>
            <w:r w:rsidRPr="00DD4068">
              <w:t xml:space="preserve">149431 </w:t>
            </w:r>
          </w:p>
        </w:tc>
        <w:tc>
          <w:tcPr>
            <w:tcW w:w="7969" w:type="dxa"/>
          </w:tcPr>
          <w:p w14:paraId="2CE1C5C3" w14:textId="1FCB6C9B" w:rsidR="00AB5458" w:rsidRPr="00AB5458" w:rsidRDefault="00DD4068" w:rsidP="00AB5458">
            <w:pPr>
              <w:pStyle w:val="TableBodyText"/>
            </w:pPr>
            <w:r w:rsidRPr="00DD4068">
              <w:t>Senior Non-commissioned Defence Force Member</w:t>
            </w:r>
          </w:p>
        </w:tc>
      </w:tr>
      <w:tr w:rsidR="00AB5458" w14:paraId="790356FE" w14:textId="77777777">
        <w:trPr>
          <w:trHeight w:val="364"/>
        </w:trPr>
        <w:tc>
          <w:tcPr>
            <w:tcW w:w="1310" w:type="dxa"/>
          </w:tcPr>
          <w:p w14:paraId="1F517611" w14:textId="3C6CBF83" w:rsidR="00AB5458" w:rsidRPr="00AB5458" w:rsidRDefault="00DD4068" w:rsidP="00AB5458">
            <w:pPr>
              <w:pStyle w:val="TableBodyText"/>
            </w:pPr>
            <w:r w:rsidRPr="00DD4068">
              <w:t>281233</w:t>
            </w:r>
          </w:p>
        </w:tc>
        <w:tc>
          <w:tcPr>
            <w:tcW w:w="7969" w:type="dxa"/>
          </w:tcPr>
          <w:p w14:paraId="132B23A6" w14:textId="581176A9" w:rsidR="00AB5458" w:rsidRPr="00AB5458" w:rsidRDefault="00DD4068" w:rsidP="00AB5458">
            <w:pPr>
              <w:pStyle w:val="TableBodyText"/>
            </w:pPr>
            <w:r w:rsidRPr="00DD4068">
              <w:t>Judge</w:t>
            </w:r>
          </w:p>
        </w:tc>
      </w:tr>
      <w:tr w:rsidR="00E04AF7" w14:paraId="621BE26D" w14:textId="77777777">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102D3740" w14:textId="67BE3D67" w:rsidR="00AB5458" w:rsidRPr="00AB5458" w:rsidRDefault="00DD4068" w:rsidP="00AB5458">
            <w:pPr>
              <w:pStyle w:val="TableBodyText"/>
            </w:pPr>
            <w:r w:rsidRPr="00DD4068">
              <w:t>281235</w:t>
            </w:r>
          </w:p>
        </w:tc>
        <w:tc>
          <w:tcPr>
            <w:tcW w:w="7969" w:type="dxa"/>
          </w:tcPr>
          <w:p w14:paraId="31AD5829" w14:textId="3F5B5617" w:rsidR="00AB5458" w:rsidRPr="00AB5458" w:rsidRDefault="00DD4068" w:rsidP="00AB5458">
            <w:pPr>
              <w:pStyle w:val="TableBodyText"/>
            </w:pPr>
            <w:r w:rsidRPr="00DD4068">
              <w:t xml:space="preserve">Magistrate   </w:t>
            </w:r>
          </w:p>
        </w:tc>
      </w:tr>
      <w:tr w:rsidR="00AB5458" w14:paraId="48A70652" w14:textId="77777777">
        <w:trPr>
          <w:trHeight w:val="358"/>
        </w:trPr>
        <w:tc>
          <w:tcPr>
            <w:tcW w:w="1310" w:type="dxa"/>
          </w:tcPr>
          <w:p w14:paraId="62CA5F04" w14:textId="2C4FFB6A" w:rsidR="00AB5458" w:rsidRPr="00AB5458" w:rsidRDefault="00DD4068" w:rsidP="00AB5458">
            <w:pPr>
              <w:pStyle w:val="TableBodyText"/>
            </w:pPr>
            <w:r w:rsidRPr="00DD4068">
              <w:t xml:space="preserve">281238 </w:t>
            </w:r>
          </w:p>
        </w:tc>
        <w:tc>
          <w:tcPr>
            <w:tcW w:w="7969" w:type="dxa"/>
          </w:tcPr>
          <w:p w14:paraId="08ABFA1E" w14:textId="5EF3FC18" w:rsidR="00AB5458" w:rsidRPr="00AB5458" w:rsidRDefault="00DD4068" w:rsidP="00AB5458">
            <w:pPr>
              <w:pStyle w:val="TableBodyText"/>
            </w:pPr>
            <w:r w:rsidRPr="00DD4068">
              <w:t xml:space="preserve">Tribunal Member  </w:t>
            </w:r>
          </w:p>
        </w:tc>
      </w:tr>
      <w:tr w:rsidR="00E04AF7" w14:paraId="2DBB76C0" w14:textId="77777777">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4AAA652F" w14:textId="24F52CB2" w:rsidR="00AB5458" w:rsidRPr="00AB5458" w:rsidRDefault="00DD4068" w:rsidP="00AB5458">
            <w:pPr>
              <w:pStyle w:val="TableBodyText"/>
            </w:pPr>
            <w:r w:rsidRPr="00DD4068">
              <w:t xml:space="preserve">451131 </w:t>
            </w:r>
          </w:p>
        </w:tc>
        <w:tc>
          <w:tcPr>
            <w:tcW w:w="7969" w:type="dxa"/>
          </w:tcPr>
          <w:p w14:paraId="05F89D69" w14:textId="07A13659" w:rsidR="00AB5458" w:rsidRPr="00AB5458" w:rsidRDefault="00DD4068" w:rsidP="00AB5458">
            <w:pPr>
              <w:pStyle w:val="TableBodyText"/>
            </w:pPr>
            <w:r w:rsidRPr="00DD4068">
              <w:t xml:space="preserve">Defence Force Member - Other Ranks   </w:t>
            </w:r>
          </w:p>
        </w:tc>
      </w:tr>
      <w:tr w:rsidR="00AB5458" w14:paraId="3DABF9A3" w14:textId="77777777">
        <w:trPr>
          <w:trHeight w:val="358"/>
        </w:trPr>
        <w:tc>
          <w:tcPr>
            <w:tcW w:w="1310" w:type="dxa"/>
          </w:tcPr>
          <w:p w14:paraId="0BC760AC" w14:textId="0D3C7DDA" w:rsidR="00AB5458" w:rsidRPr="00AB5458" w:rsidRDefault="00DD4068" w:rsidP="00AB5458">
            <w:pPr>
              <w:pStyle w:val="TableBodyText"/>
            </w:pPr>
            <w:r w:rsidRPr="00DD4068">
              <w:t>299231</w:t>
            </w:r>
          </w:p>
        </w:tc>
        <w:tc>
          <w:tcPr>
            <w:tcW w:w="7969" w:type="dxa"/>
          </w:tcPr>
          <w:p w14:paraId="7AD44D72" w14:textId="6A73E5E5" w:rsidR="00AB5458" w:rsidRPr="00AB5458" w:rsidRDefault="00DD4068" w:rsidP="00AB5458">
            <w:pPr>
              <w:pStyle w:val="TableBodyText"/>
            </w:pPr>
            <w:r w:rsidRPr="00DD4068">
              <w:t xml:space="preserve">Specialist Police Officer   </w:t>
            </w:r>
          </w:p>
        </w:tc>
      </w:tr>
      <w:tr w:rsidR="00E04AF7" w14:paraId="3CFDA5CD" w14:textId="77777777">
        <w:trPr>
          <w:cnfStyle w:val="000000010000" w:firstRow="0" w:lastRow="0" w:firstColumn="0" w:lastColumn="0" w:oddVBand="0" w:evenVBand="0" w:oddHBand="0" w:evenHBand="1" w:firstRowFirstColumn="0" w:firstRowLastColumn="0" w:lastRowFirstColumn="0" w:lastRowLastColumn="0"/>
          <w:trHeight w:val="358"/>
        </w:trPr>
        <w:tc>
          <w:tcPr>
            <w:tcW w:w="1310" w:type="dxa"/>
          </w:tcPr>
          <w:p w14:paraId="0994B95C" w14:textId="396BA25D" w:rsidR="00AB5458" w:rsidRPr="00AB5458" w:rsidRDefault="00DD4068" w:rsidP="00AB5458">
            <w:pPr>
              <w:pStyle w:val="TableBodyText"/>
            </w:pPr>
            <w:r w:rsidRPr="00DD4068">
              <w:t>462631</w:t>
            </w:r>
          </w:p>
        </w:tc>
        <w:tc>
          <w:tcPr>
            <w:tcW w:w="7969" w:type="dxa"/>
          </w:tcPr>
          <w:p w14:paraId="2997BB6A" w14:textId="7C016AF8" w:rsidR="00AB5458" w:rsidRPr="00AB5458" w:rsidRDefault="00DD4068" w:rsidP="00AB5458">
            <w:pPr>
              <w:pStyle w:val="TableBodyText"/>
            </w:pPr>
            <w:r w:rsidRPr="00DD4068">
              <w:t xml:space="preserve">Footballer   </w:t>
            </w:r>
          </w:p>
        </w:tc>
      </w:tr>
      <w:tr w:rsidR="00AB5458" w14:paraId="274AED56" w14:textId="77777777">
        <w:trPr>
          <w:trHeight w:val="364"/>
        </w:trPr>
        <w:tc>
          <w:tcPr>
            <w:tcW w:w="1310" w:type="dxa"/>
          </w:tcPr>
          <w:p w14:paraId="69CE9092" w14:textId="017D5BF9" w:rsidR="00AB5458" w:rsidRPr="00AB5458" w:rsidRDefault="00DD4068" w:rsidP="00AB5458">
            <w:pPr>
              <w:pStyle w:val="TableBodyText"/>
            </w:pPr>
            <w:r w:rsidRPr="00DD4068">
              <w:t>462632</w:t>
            </w:r>
          </w:p>
        </w:tc>
        <w:tc>
          <w:tcPr>
            <w:tcW w:w="7969" w:type="dxa"/>
          </w:tcPr>
          <w:p w14:paraId="348D2ED8" w14:textId="080DCFE2" w:rsidR="00AB5458" w:rsidRPr="00AB5458" w:rsidRDefault="00DD4068" w:rsidP="00AB5458">
            <w:pPr>
              <w:pStyle w:val="TableBodyText"/>
            </w:pPr>
            <w:r w:rsidRPr="00DD4068">
              <w:t>Golfer</w:t>
            </w:r>
          </w:p>
        </w:tc>
      </w:tr>
      <w:tr w:rsidR="00E04AF7" w14:paraId="190E8883" w14:textId="77777777">
        <w:trPr>
          <w:cnfStyle w:val="000000010000" w:firstRow="0" w:lastRow="0" w:firstColumn="0" w:lastColumn="0" w:oddVBand="0" w:evenVBand="0" w:oddHBand="0" w:evenHBand="1" w:firstRowFirstColumn="0" w:firstRowLastColumn="0" w:lastRowFirstColumn="0" w:lastRowLastColumn="0"/>
          <w:trHeight w:val="191"/>
        </w:trPr>
        <w:tc>
          <w:tcPr>
            <w:tcW w:w="1310" w:type="dxa"/>
          </w:tcPr>
          <w:p w14:paraId="007FC00E" w14:textId="5B8BAA2F" w:rsidR="00AB5458" w:rsidRPr="00AB5458" w:rsidRDefault="00DD4068" w:rsidP="00AB5458">
            <w:pPr>
              <w:pStyle w:val="TableBodyText"/>
            </w:pPr>
            <w:r w:rsidRPr="00DD4068">
              <w:t>462699</w:t>
            </w:r>
          </w:p>
        </w:tc>
        <w:tc>
          <w:tcPr>
            <w:tcW w:w="7969" w:type="dxa"/>
          </w:tcPr>
          <w:p w14:paraId="3FF79B53" w14:textId="0251B97C" w:rsidR="00AB5458" w:rsidRPr="00AB5458" w:rsidRDefault="00DD4068" w:rsidP="00AB5458">
            <w:pPr>
              <w:pStyle w:val="TableBodyText"/>
            </w:pPr>
            <w:r w:rsidRPr="00DD4068">
              <w:t xml:space="preserve">Sportspersons nec  </w:t>
            </w:r>
          </w:p>
        </w:tc>
      </w:tr>
    </w:tbl>
    <w:p w14:paraId="5D97C1DC" w14:textId="77777777" w:rsidR="00AB5458" w:rsidRPr="00AB5458" w:rsidRDefault="00AB5458" w:rsidP="00AB5458">
      <w:pPr>
        <w:pStyle w:val="Source"/>
      </w:pPr>
      <w:r w:rsidRPr="00AB5458">
        <w:lastRenderedPageBreak/>
        <w:t>Source: Jobs and Skills Australia.</w:t>
      </w:r>
    </w:p>
    <w:p w14:paraId="26D2EDF1" w14:textId="39AF0D98" w:rsidR="00030934" w:rsidRPr="007A7BA1" w:rsidRDefault="00EF610C" w:rsidP="00D408E4">
      <w:pPr>
        <w:pStyle w:val="Heading2"/>
      </w:pPr>
      <w:bookmarkStart w:id="90" w:name="_Ref207568965"/>
      <w:bookmarkStart w:id="91" w:name="_Toc204771901"/>
      <w:bookmarkStart w:id="92" w:name="_Toc211425372"/>
      <w:r>
        <w:t xml:space="preserve">Appendix </w:t>
      </w:r>
      <w:r>
        <w:fldChar w:fldCharType="begin"/>
      </w:r>
      <w:r>
        <w:instrText xml:space="preserve"> SEQ Appendix \* ALPHABETIC </w:instrText>
      </w:r>
      <w:r>
        <w:fldChar w:fldCharType="separate"/>
      </w:r>
      <w:r w:rsidR="00F6227E">
        <w:rPr>
          <w:noProof/>
        </w:rPr>
        <w:t>B</w:t>
      </w:r>
      <w:r>
        <w:fldChar w:fldCharType="end"/>
      </w:r>
      <w:bookmarkEnd w:id="90"/>
      <w:r w:rsidR="000830EC">
        <w:t>:</w:t>
      </w:r>
      <w:r>
        <w:t xml:space="preserve"> </w:t>
      </w:r>
      <w:r w:rsidR="00030934" w:rsidRPr="007A7BA1">
        <w:t xml:space="preserve">Mapping to 2022 </w:t>
      </w:r>
      <w:r w:rsidR="00030934" w:rsidRPr="00D408E4">
        <w:t>ANZSCO</w:t>
      </w:r>
      <w:r w:rsidR="00030934" w:rsidRPr="007A7BA1">
        <w:t xml:space="preserve"> and to OSCA</w:t>
      </w:r>
      <w:bookmarkEnd w:id="91"/>
      <w:bookmarkEnd w:id="92"/>
    </w:p>
    <w:p w14:paraId="448147E7" w14:textId="5D58D743" w:rsidR="00030934" w:rsidRPr="00E53A43" w:rsidRDefault="00030934" w:rsidP="003B305E">
      <w:pPr>
        <w:pStyle w:val="Heading3"/>
      </w:pPr>
      <w:bookmarkStart w:id="93" w:name="_Toc211425373"/>
      <w:r w:rsidRPr="00E53A43">
        <w:t xml:space="preserve">Mapping </w:t>
      </w:r>
      <w:r w:rsidR="000118D1">
        <w:t xml:space="preserve">from 2013 </w:t>
      </w:r>
      <w:r w:rsidR="000118D1" w:rsidRPr="00D408E4">
        <w:t>ANZSCO</w:t>
      </w:r>
      <w:r w:rsidR="000118D1">
        <w:t xml:space="preserve"> </w:t>
      </w:r>
      <w:r w:rsidRPr="00E53A43">
        <w:t>to 2022 ANZSCO</w:t>
      </w:r>
      <w:bookmarkEnd w:id="93"/>
    </w:p>
    <w:p w14:paraId="39CD2BDC" w14:textId="15D90E5A" w:rsidR="00030934" w:rsidRPr="00E53A43" w:rsidRDefault="003A5814" w:rsidP="003B305E">
      <w:pPr>
        <w:pStyle w:val="BodyText"/>
      </w:pPr>
      <w:r>
        <w:t>The preliminary, stage 1 a</w:t>
      </w:r>
      <w:r w:rsidR="00030934" w:rsidRPr="00E53A43">
        <w:t xml:space="preserve">ssessments and occupation ratings are initially based on 2013 ANZSCO. This is because </w:t>
      </w:r>
      <w:r w:rsidR="00C1637A">
        <w:t xml:space="preserve">most </w:t>
      </w:r>
      <w:r w:rsidR="00030934" w:rsidRPr="00E53A43">
        <w:t xml:space="preserve">data sources </w:t>
      </w:r>
      <w:r w:rsidR="0053798F">
        <w:t>are readily available on that basis.</w:t>
      </w:r>
    </w:p>
    <w:p w14:paraId="45AB9489" w14:textId="7A816107" w:rsidR="00F976C8" w:rsidRDefault="00030934">
      <w:pPr>
        <w:pStyle w:val="BodyText"/>
      </w:pPr>
      <w:r w:rsidRPr="00E53A43">
        <w:t>The</w:t>
      </w:r>
      <w:r w:rsidR="00AA394F">
        <w:t>se stage 1</w:t>
      </w:r>
      <w:r w:rsidRPr="00E53A43">
        <w:t xml:space="preserve"> occupation ratings from 2013 ANZSCO are then mapped onto the 2022 ANZSCO occupations to produce the </w:t>
      </w:r>
      <w:r w:rsidR="0053798F">
        <w:t xml:space="preserve">2022 ANZSCO version of the </w:t>
      </w:r>
      <w:r w:rsidRPr="00E53A43">
        <w:t>OSL</w:t>
      </w:r>
      <w:r w:rsidR="001C6DD0">
        <w:t>.</w:t>
      </w:r>
      <w:r w:rsidRPr="00E53A43">
        <w:t xml:space="preserve"> </w:t>
      </w:r>
    </w:p>
    <w:p w14:paraId="0F1858CA" w14:textId="32308358" w:rsidR="00030934" w:rsidRPr="00E53A43" w:rsidRDefault="00030934" w:rsidP="003B305E">
      <w:pPr>
        <w:pStyle w:val="BodyText"/>
      </w:pPr>
      <w:r w:rsidRPr="00E53A43">
        <w:t xml:space="preserve">This mapping is guided by the ANZSCO correspondence tables, from 2013 to 2021 and from 2021 to 2022, as published by ABS. The interactions between the different frameworks can be complex, but they can be reduced to the </w:t>
      </w:r>
      <w:r w:rsidR="00BA6AA1">
        <w:t>4</w:t>
      </w:r>
      <w:r w:rsidR="00BA6AA1" w:rsidRPr="00E53A43">
        <w:t xml:space="preserve"> </w:t>
      </w:r>
      <w:r w:rsidRPr="00E53A43">
        <w:t xml:space="preserve">following scenarios. </w:t>
      </w:r>
    </w:p>
    <w:p w14:paraId="3412E3E6" w14:textId="77777777" w:rsidR="00030934" w:rsidRPr="00E53A43" w:rsidRDefault="00030934" w:rsidP="00F254F8">
      <w:pPr>
        <w:pStyle w:val="Heading4"/>
      </w:pPr>
      <w:bookmarkStart w:id="94" w:name="_Toc204771902"/>
      <w:r w:rsidRPr="00E53A43">
        <w:t>Case 1: One-to-one (Full) occupation match</w:t>
      </w:r>
      <w:bookmarkEnd w:id="94"/>
    </w:p>
    <w:p w14:paraId="3C01F067" w14:textId="4D1576F6" w:rsidR="00F254F8" w:rsidRDefault="00030934" w:rsidP="00F254F8">
      <w:pPr>
        <w:pStyle w:val="BodyText"/>
      </w:pPr>
      <w:r w:rsidRPr="00E53A43">
        <w:t xml:space="preserve">This is when there is </w:t>
      </w:r>
      <w:r w:rsidR="001C6DD0">
        <w:t xml:space="preserve">a one-to-one match between </w:t>
      </w:r>
      <w:r w:rsidRPr="00E53A43">
        <w:t xml:space="preserve">an occupation on the 2013 </w:t>
      </w:r>
      <w:r w:rsidR="00477FA5">
        <w:t xml:space="preserve">ANZSCO </w:t>
      </w:r>
      <w:r w:rsidRPr="00E53A43">
        <w:t xml:space="preserve">and the 2022 </w:t>
      </w:r>
      <w:r w:rsidR="00477FA5">
        <w:t xml:space="preserve">ANZSCO </w:t>
      </w:r>
      <w:r w:rsidRPr="00E53A43">
        <w:t>basis</w:t>
      </w:r>
      <w:r w:rsidR="00D80B69">
        <w:t xml:space="preserve"> (Figure B1)</w:t>
      </w:r>
      <w:r w:rsidR="00477FA5">
        <w:t xml:space="preserve">. </w:t>
      </w:r>
      <w:r w:rsidR="00592243">
        <w:t xml:space="preserve">Most </w:t>
      </w:r>
      <w:r w:rsidR="00DC1529">
        <w:t xml:space="preserve">(834 of 859) </w:t>
      </w:r>
      <w:r w:rsidR="005D65E4">
        <w:t xml:space="preserve">occupations have a one-to-one </w:t>
      </w:r>
      <w:r w:rsidR="000C6C3F">
        <w:t xml:space="preserve">match </w:t>
      </w:r>
      <w:r w:rsidR="005D65E4">
        <w:t xml:space="preserve">between the </w:t>
      </w:r>
      <w:r w:rsidR="000316EF">
        <w:t>2</w:t>
      </w:r>
      <w:r w:rsidR="005D65E4">
        <w:t xml:space="preserve"> ANZSCO versions. </w:t>
      </w:r>
      <w:r w:rsidR="00E441AB">
        <w:t>The</w:t>
      </w:r>
      <w:r w:rsidR="007C21F4">
        <w:t xml:space="preserve"> </w:t>
      </w:r>
      <w:r w:rsidR="00E441AB">
        <w:t>stage 1</w:t>
      </w:r>
      <w:r w:rsidR="007C21F4">
        <w:t>,</w:t>
      </w:r>
      <w:r w:rsidR="00E441AB">
        <w:t xml:space="preserve"> 2013 ANZSCO occupation ratings are directly applied to the 2022 ANZSCO occupations. </w:t>
      </w:r>
    </w:p>
    <w:p w14:paraId="262CA9FB" w14:textId="51339BB4" w:rsidR="00093F4D" w:rsidRPr="00E53A43" w:rsidRDefault="004A1D14" w:rsidP="00F254F8">
      <w:pPr>
        <w:pStyle w:val="Caption"/>
      </w:pPr>
      <w:bookmarkStart w:id="95" w:name="_Toc211421416"/>
      <w:r>
        <w:t>Figure B</w:t>
      </w:r>
      <w:r>
        <w:fldChar w:fldCharType="begin"/>
      </w:r>
      <w:r>
        <w:instrText xml:space="preserve"> SEQ Figure_B \* ARABIC </w:instrText>
      </w:r>
      <w:r>
        <w:fldChar w:fldCharType="separate"/>
      </w:r>
      <w:r w:rsidR="00F6227E">
        <w:rPr>
          <w:noProof/>
        </w:rPr>
        <w:t>1</w:t>
      </w:r>
      <w:r>
        <w:fldChar w:fldCharType="end"/>
      </w:r>
      <w:r w:rsidR="00F254F8">
        <w:t>: One to one occupation match</w:t>
      </w:r>
      <w:bookmarkEnd w:id="95"/>
    </w:p>
    <w:p w14:paraId="23AF13A4" w14:textId="77777777" w:rsidR="003B305E" w:rsidRDefault="00F254F8" w:rsidP="00F254F8">
      <w:pPr>
        <w:pStyle w:val="Source"/>
      </w:pPr>
      <w:r w:rsidRPr="00F254F8">
        <w:rPr>
          <w:noProof/>
        </w:rPr>
        <mc:AlternateContent>
          <mc:Choice Requires="wpg">
            <w:drawing>
              <wp:inline distT="0" distB="0" distL="0" distR="0" wp14:anchorId="7A74187D" wp14:editId="52DC7A94">
                <wp:extent cx="4489950" cy="472440"/>
                <wp:effectExtent l="0" t="0" r="6350" b="3810"/>
                <wp:docPr id="944439176" name="Group 944439176" descr="In the case of a full match the rating is simply carried acro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489950" cy="472440"/>
                          <a:chOff x="0" y="0"/>
                          <a:chExt cx="4489950" cy="472440"/>
                        </a:xfrm>
                      </wpg:grpSpPr>
                      <wps:wsp>
                        <wps:cNvPr id="1180024431" name="Rectangle: Rounded Corners 1180024431" descr="Depiction of an occupation in 2013 mapping to an occupation in 2022."/>
                        <wps:cNvSpPr/>
                        <wps:spPr>
                          <a:xfrm>
                            <a:off x="0" y="0"/>
                            <a:ext cx="1080000" cy="472440"/>
                          </a:xfrm>
                          <a:prstGeom prst="roundRect">
                            <a:avLst/>
                          </a:prstGeom>
                          <a:solidFill>
                            <a:srgbClr val="4B0985"/>
                          </a:solidFill>
                          <a:ln w="12700" cap="flat" cmpd="sng" algn="ctr">
                            <a:noFill/>
                            <a:prstDash val="solid"/>
                            <a:miter lim="800000"/>
                          </a:ln>
                          <a:effectLst/>
                        </wps:spPr>
                        <wps:txbx>
                          <w:txbxContent>
                            <w:p w14:paraId="07F5EA84" w14:textId="77777777" w:rsidR="00F254F8" w:rsidRPr="00E53A43" w:rsidRDefault="00F254F8" w:rsidP="00F254F8">
                              <w:pPr>
                                <w:jc w:val="center"/>
                                <w:rPr>
                                  <w:rFonts w:eastAsia="Calibri"/>
                                  <w:color w:val="FFFFFF" w:themeColor="background1"/>
                                  <w:kern w:val="24"/>
                                  <w:sz w:val="20"/>
                                </w:rPr>
                              </w:pPr>
                              <w:r w:rsidRPr="00E53A43">
                                <w:rPr>
                                  <w:rFonts w:eastAsia="Calibri"/>
                                  <w:b/>
                                  <w:bCs/>
                                  <w:color w:val="FFFFFF" w:themeColor="background1"/>
                                  <w:kern w:val="24"/>
                                  <w:sz w:val="20"/>
                                </w:rPr>
                                <w:t>Occupation A</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2013 (S)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92035126" name="Rectangle: Rounded Corners 992035126"/>
                        <wps:cNvSpPr/>
                        <wps:spPr>
                          <a:xfrm>
                            <a:off x="3409950" y="0"/>
                            <a:ext cx="1080000" cy="472440"/>
                          </a:xfrm>
                          <a:prstGeom prst="roundRect">
                            <a:avLst/>
                          </a:prstGeom>
                          <a:solidFill>
                            <a:srgbClr val="4B0985"/>
                          </a:solidFill>
                          <a:ln w="12700" cap="flat" cmpd="sng" algn="ctr">
                            <a:noFill/>
                            <a:prstDash val="solid"/>
                            <a:miter lim="800000"/>
                          </a:ln>
                          <a:effectLst/>
                        </wps:spPr>
                        <wps:txbx>
                          <w:txbxContent>
                            <w:p w14:paraId="2EAED7DB" w14:textId="77777777" w:rsidR="00F254F8" w:rsidRPr="00E53A43" w:rsidRDefault="00F254F8" w:rsidP="00F254F8">
                              <w:pPr>
                                <w:jc w:val="center"/>
                                <w:rPr>
                                  <w:rFonts w:eastAsia="Calibri"/>
                                  <w:color w:val="FFFFFF" w:themeColor="background1"/>
                                  <w:kern w:val="24"/>
                                  <w:sz w:val="20"/>
                                </w:rPr>
                              </w:pPr>
                              <w:r w:rsidRPr="00E53A43">
                                <w:rPr>
                                  <w:rFonts w:eastAsia="Calibri"/>
                                  <w:b/>
                                  <w:bCs/>
                                  <w:color w:val="FFFFFF" w:themeColor="background1"/>
                                  <w:kern w:val="24"/>
                                  <w:sz w:val="20"/>
                                </w:rPr>
                                <w:t>Occupation A</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2022 (S)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92234761" name="Straight Arrow Connector 692234761"/>
                        <wps:cNvCnPr>
                          <a:cxnSpLocks/>
                        </wps:cNvCnPr>
                        <wps:spPr>
                          <a:xfrm>
                            <a:off x="1092835" y="221320"/>
                            <a:ext cx="2304000" cy="0"/>
                          </a:xfrm>
                          <a:prstGeom prst="straightConnector1">
                            <a:avLst/>
                          </a:prstGeom>
                          <a:noFill/>
                          <a:ln w="12700" cap="flat" cmpd="sng" algn="ctr">
                            <a:solidFill>
                              <a:srgbClr val="2C054E"/>
                            </a:solidFill>
                            <a:prstDash val="solid"/>
                            <a:miter lim="800000"/>
                            <a:tailEnd type="triangle"/>
                          </a:ln>
                          <a:effectLst/>
                        </wps:spPr>
                        <wps:bodyPr/>
                      </wps:wsp>
                    </wpg:wgp>
                  </a:graphicData>
                </a:graphic>
              </wp:inline>
            </w:drawing>
          </mc:Choice>
          <mc:Fallback>
            <w:pict>
              <v:group w14:anchorId="7A74187D" id="Group 944439176" o:spid="_x0000_s1053" alt="In the case of a full match the rating is simply carried across." style="width:353.55pt;height:37.2pt;mso-position-horizontal-relative:char;mso-position-vertical-relative:line" coordsize="4489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">
                <v:roundrect id="Rectangle: Rounded Corners 1180024431" o:spid="_x0000_s1054" alt="Depiction of an occupation in 2013 mapping to an occupation in 2022." style="position:absolute;width:10800;height:4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" fillcolor="#4b0985" stroked="f" strokeweight="1pt">
                  <v:stroke joinstyle="miter"/>
                  <v:textbox inset="0,0,0,0">
                    <w:txbxContent>
                      <w:p w14:paraId="07F5EA84" w14:textId="77777777" w:rsidR="00F254F8" w:rsidRPr="00E53A43" w:rsidRDefault="00F254F8" w:rsidP="00F254F8">
                        <w:pPr>
                          <w:jc w:val="center"/>
                          <w:rPr>
                            <w:rFonts w:eastAsia="Calibri"/>
                            <w:color w:val="FFFFFF" w:themeColor="background1"/>
                            <w:kern w:val="24"/>
                            <w:sz w:val="20"/>
                          </w:rPr>
                        </w:pPr>
                        <w:r w:rsidRPr="00E53A43">
                          <w:rPr>
                            <w:rFonts w:eastAsia="Calibri"/>
                            <w:b/>
                            <w:bCs/>
                            <w:color w:val="FFFFFF" w:themeColor="background1"/>
                            <w:kern w:val="24"/>
                            <w:sz w:val="20"/>
                          </w:rPr>
                          <w:t>Occupation A</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2013 (S)</w:t>
                        </w:r>
                      </w:p>
                    </w:txbxContent>
                  </v:textbox>
                </v:roundrect>
                <v:roundrect id="Rectangle: Rounded Corners 992035126" o:spid="_x0000_s1055" style="position:absolute;left:34099;width:10800;height:4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" fillcolor="#4b0985" stroked="f" strokeweight="1pt">
                  <v:stroke joinstyle="miter"/>
                  <v:textbox inset="0,0,0,0">
                    <w:txbxContent>
                      <w:p w14:paraId="2EAED7DB" w14:textId="77777777" w:rsidR="00F254F8" w:rsidRPr="00E53A43" w:rsidRDefault="00F254F8" w:rsidP="00F254F8">
                        <w:pPr>
                          <w:jc w:val="center"/>
                          <w:rPr>
                            <w:rFonts w:eastAsia="Calibri"/>
                            <w:color w:val="FFFFFF" w:themeColor="background1"/>
                            <w:kern w:val="24"/>
                            <w:sz w:val="20"/>
                          </w:rPr>
                        </w:pPr>
                        <w:r w:rsidRPr="00E53A43">
                          <w:rPr>
                            <w:rFonts w:eastAsia="Calibri"/>
                            <w:b/>
                            <w:bCs/>
                            <w:color w:val="FFFFFF" w:themeColor="background1"/>
                            <w:kern w:val="24"/>
                            <w:sz w:val="20"/>
                          </w:rPr>
                          <w:t>Occupation A</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2022 (S)</w:t>
                        </w:r>
                      </w:p>
                    </w:txbxContent>
                  </v:textbox>
                </v:roundrect>
                <v:shape id="Straight Arrow Connector 692234761" o:spid="_x0000_s1056" type="#_x0000_t32" style="position:absolute;left:10928;top:2213;width:23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" strokecolor="#2c054e" strokeweight="1pt">
                  <v:stroke endarrow="block" joinstyle="miter"/>
                  <o:lock v:ext="edit" shapetype="f"/>
                </v:shape>
                <w10:anchorlock/>
              </v:group>
            </w:pict>
          </mc:Fallback>
        </mc:AlternateContent>
      </w:r>
      <w:r w:rsidR="00030934" w:rsidRPr="00E53A43">
        <w:br/>
      </w:r>
    </w:p>
    <w:p w14:paraId="2F148686" w14:textId="1D8C1FDD" w:rsidR="00030934" w:rsidRPr="00E53A43" w:rsidRDefault="00016932" w:rsidP="00F254F8">
      <w:pPr>
        <w:pStyle w:val="Source"/>
      </w:pPr>
      <w:r>
        <w:t xml:space="preserve">Source: Jobs and Skills Australia. </w:t>
      </w:r>
    </w:p>
    <w:p w14:paraId="41799CD2" w14:textId="77777777" w:rsidR="00030934" w:rsidRPr="00E53A43" w:rsidRDefault="00030934" w:rsidP="00F254F8">
      <w:pPr>
        <w:pStyle w:val="Heading4"/>
      </w:pPr>
      <w:bookmarkStart w:id="96" w:name="_Toc204771903"/>
      <w:r w:rsidRPr="00E53A43">
        <w:t>Case 2: One-to-multiple (Partial) occupation match</w:t>
      </w:r>
      <w:bookmarkEnd w:id="96"/>
    </w:p>
    <w:p w14:paraId="0266E3D8" w14:textId="79E4F018" w:rsidR="004619ED" w:rsidRDefault="003013BB" w:rsidP="000A5546">
      <w:pPr>
        <w:pStyle w:val="BodyText"/>
      </w:pPr>
      <w:r w:rsidRPr="007C21F4">
        <w:t xml:space="preserve">There are 56 occupations </w:t>
      </w:r>
      <w:r w:rsidR="00F032D9" w:rsidRPr="007C21F4">
        <w:t xml:space="preserve">where </w:t>
      </w:r>
      <w:r w:rsidR="00030934" w:rsidRPr="007C21F4">
        <w:t xml:space="preserve">an occupation on 2013 </w:t>
      </w:r>
      <w:r w:rsidR="00A42DCA" w:rsidRPr="007C21F4">
        <w:t xml:space="preserve">ANZSCO splits </w:t>
      </w:r>
      <w:r w:rsidR="00030934" w:rsidRPr="007C21F4">
        <w:t xml:space="preserve">into </w:t>
      </w:r>
      <w:r w:rsidR="00F032D9" w:rsidRPr="007C21F4">
        <w:t xml:space="preserve">several or </w:t>
      </w:r>
      <w:r w:rsidR="00030934" w:rsidRPr="007C21F4">
        <w:t xml:space="preserve">many occupations on 2022 </w:t>
      </w:r>
      <w:r w:rsidR="00A42DCA" w:rsidRPr="007C21F4">
        <w:t>ANZSCO</w:t>
      </w:r>
      <w:r w:rsidR="005E0D12">
        <w:t xml:space="preserve"> (Figure B2)</w:t>
      </w:r>
      <w:r w:rsidR="00030934" w:rsidRPr="007C21F4">
        <w:t>. In this case</w:t>
      </w:r>
      <w:r w:rsidR="00E441AB" w:rsidRPr="007C21F4">
        <w:t>,</w:t>
      </w:r>
      <w:r w:rsidR="00030934" w:rsidRPr="007C21F4">
        <w:t xml:space="preserve"> the </w:t>
      </w:r>
      <w:r w:rsidR="00E441AB" w:rsidRPr="007C21F4">
        <w:t xml:space="preserve">stage 1 occupation </w:t>
      </w:r>
      <w:r w:rsidR="00030934" w:rsidRPr="007C21F4">
        <w:t>rating</w:t>
      </w:r>
      <w:r w:rsidR="00E441AB" w:rsidRPr="007C21F4">
        <w:t>s</w:t>
      </w:r>
      <w:r w:rsidR="00030934" w:rsidRPr="007C21F4">
        <w:t xml:space="preserve"> on 2013 ANZSCO is </w:t>
      </w:r>
      <w:r w:rsidR="004C02BA" w:rsidRPr="007C21F4">
        <w:t xml:space="preserve">given to or </w:t>
      </w:r>
      <w:r w:rsidR="00C45699">
        <w:t xml:space="preserve">is </w:t>
      </w:r>
      <w:r w:rsidR="004C02BA" w:rsidRPr="007C21F4">
        <w:t>the same as the 2022 ANZSCO occupations.</w:t>
      </w:r>
    </w:p>
    <w:p w14:paraId="591C9F1C" w14:textId="778A793B" w:rsidR="00982CF4" w:rsidRDefault="00982CF4">
      <w:pPr>
        <w:spacing w:before="0" w:after="200" w:line="276" w:lineRule="auto"/>
      </w:pPr>
      <w:r>
        <w:br w:type="page"/>
      </w:r>
    </w:p>
    <w:p w14:paraId="2843784C" w14:textId="7FF6C2C4" w:rsidR="007C21F4" w:rsidRPr="00F254F8" w:rsidRDefault="004A1D14" w:rsidP="00F254F8">
      <w:pPr>
        <w:pStyle w:val="Caption"/>
        <w:rPr>
          <w:lang w:eastAsia="en-GB"/>
        </w:rPr>
      </w:pPr>
      <w:bookmarkStart w:id="97" w:name="_Toc211421417"/>
      <w:r>
        <w:lastRenderedPageBreak/>
        <w:t>Figure B</w:t>
      </w:r>
      <w:r>
        <w:fldChar w:fldCharType="begin"/>
      </w:r>
      <w:r>
        <w:instrText xml:space="preserve"> SEQ Figure_B \* ARABIC </w:instrText>
      </w:r>
      <w:r>
        <w:fldChar w:fldCharType="separate"/>
      </w:r>
      <w:r w:rsidR="00F6227E">
        <w:rPr>
          <w:noProof/>
        </w:rPr>
        <w:t>2</w:t>
      </w:r>
      <w:r>
        <w:fldChar w:fldCharType="end"/>
      </w:r>
      <w:r>
        <w:t>:</w:t>
      </w:r>
      <w:r w:rsidR="00100886">
        <w:t xml:space="preserve"> One to multiple </w:t>
      </w:r>
      <w:r w:rsidR="00A926A2">
        <w:t>occupation match</w:t>
      </w:r>
      <w:bookmarkEnd w:id="97"/>
    </w:p>
    <w:p w14:paraId="6DAE3249" w14:textId="61131C05" w:rsidR="00A25B21" w:rsidRDefault="00030934" w:rsidP="00F254F8">
      <w:pPr>
        <w:pStyle w:val="Source"/>
      </w:pPr>
      <w:r w:rsidRPr="00030934">
        <w:rPr>
          <w:noProof/>
        </w:rPr>
        <mc:AlternateContent>
          <mc:Choice Requires="wpg">
            <w:drawing>
              <wp:inline distT="0" distB="0" distL="0" distR="0" wp14:anchorId="225B2F55" wp14:editId="1F33A573">
                <wp:extent cx="4448190" cy="1624965"/>
                <wp:effectExtent l="0" t="0" r="9525" b="0"/>
                <wp:docPr id="1562196836" name="Group 1562196836" descr="In the case of a partial match, each matched occupation inherits the rating of its &quot;parent&quot; occup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448190" cy="1624965"/>
                          <a:chOff x="0" y="0"/>
                          <a:chExt cx="4448190" cy="1624965"/>
                        </a:xfrm>
                      </wpg:grpSpPr>
                      <wps:wsp>
                        <wps:cNvPr id="1470874138" name="Rectangle: Rounded Corners 1470874138"/>
                        <wps:cNvSpPr/>
                        <wps:spPr>
                          <a:xfrm>
                            <a:off x="0" y="579835"/>
                            <a:ext cx="1080000" cy="472440"/>
                          </a:xfrm>
                          <a:prstGeom prst="roundRect">
                            <a:avLst/>
                          </a:prstGeom>
                          <a:solidFill>
                            <a:srgbClr val="4B0985"/>
                          </a:solidFill>
                          <a:ln w="12700" cap="flat" cmpd="sng" algn="ctr">
                            <a:noFill/>
                            <a:prstDash val="solid"/>
                            <a:miter lim="800000"/>
                          </a:ln>
                          <a:effectLst/>
                        </wps:spPr>
                        <wps:txbx>
                          <w:txbxContent>
                            <w:p w14:paraId="6740A4EB" w14:textId="77777777" w:rsidR="00030934" w:rsidRPr="00E53A43" w:rsidRDefault="00030934" w:rsidP="00030934">
                              <w:pPr>
                                <w:jc w:val="center"/>
                                <w:rPr>
                                  <w:rFonts w:eastAsia="Calibri"/>
                                  <w:color w:val="FFFFFF" w:themeColor="background1"/>
                                  <w:kern w:val="24"/>
                                  <w:sz w:val="20"/>
                                </w:rPr>
                              </w:pPr>
                              <w:r w:rsidRPr="00E53A43">
                                <w:rPr>
                                  <w:rFonts w:eastAsia="Calibri"/>
                                  <w:b/>
                                  <w:bCs/>
                                  <w:color w:val="FFFFFF" w:themeColor="background1"/>
                                  <w:kern w:val="24"/>
                                  <w:sz w:val="20"/>
                                </w:rPr>
                                <w:t>Occupation A</w:t>
                              </w:r>
                              <w:r w:rsidRPr="00E53A43">
                                <w:rPr>
                                  <w:rFonts w:eastAsia="Calibri"/>
                                  <w:color w:val="FFFFFF" w:themeColor="background1"/>
                                  <w:kern w:val="24"/>
                                  <w:sz w:val="20"/>
                                </w:rPr>
                                <w:br/>
                                <w:t>2013 (S)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06472012" name="Rectangle: Rounded Corners 606472012"/>
                        <wps:cNvSpPr/>
                        <wps:spPr>
                          <a:xfrm>
                            <a:off x="3368190" y="0"/>
                            <a:ext cx="1080000" cy="472440"/>
                          </a:xfrm>
                          <a:prstGeom prst="roundRect">
                            <a:avLst/>
                          </a:prstGeom>
                          <a:solidFill>
                            <a:srgbClr val="4B0985"/>
                          </a:solidFill>
                          <a:ln w="12700" cap="flat" cmpd="sng" algn="ctr">
                            <a:noFill/>
                            <a:prstDash val="solid"/>
                            <a:miter lim="800000"/>
                          </a:ln>
                          <a:effectLst/>
                        </wps:spPr>
                        <wps:txbx>
                          <w:txbxContent>
                            <w:p w14:paraId="45BD7097" w14:textId="77777777" w:rsidR="00030934" w:rsidRPr="00E53A43" w:rsidRDefault="00030934" w:rsidP="00030934">
                              <w:pPr>
                                <w:jc w:val="center"/>
                                <w:rPr>
                                  <w:rFonts w:eastAsia="Calibri"/>
                                  <w:color w:val="FFFFFF" w:themeColor="background1"/>
                                  <w:kern w:val="24"/>
                                  <w:sz w:val="20"/>
                                </w:rPr>
                              </w:pPr>
                              <w:r w:rsidRPr="00E53A43">
                                <w:rPr>
                                  <w:rFonts w:eastAsia="Calibri"/>
                                  <w:b/>
                                  <w:bCs/>
                                  <w:color w:val="FFFFFF" w:themeColor="background1"/>
                                  <w:kern w:val="24"/>
                                  <w:sz w:val="20"/>
                                </w:rPr>
                                <w:t>Occupation A1</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2022 (S)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72692900" name="Rectangle: Rounded Corners 572692900"/>
                        <wps:cNvSpPr/>
                        <wps:spPr>
                          <a:xfrm>
                            <a:off x="3368190" y="579835"/>
                            <a:ext cx="1080000" cy="472440"/>
                          </a:xfrm>
                          <a:prstGeom prst="roundRect">
                            <a:avLst/>
                          </a:prstGeom>
                          <a:solidFill>
                            <a:srgbClr val="4B0985"/>
                          </a:solidFill>
                          <a:ln w="12700" cap="flat" cmpd="sng" algn="ctr">
                            <a:noFill/>
                            <a:prstDash val="solid"/>
                            <a:miter lim="800000"/>
                          </a:ln>
                          <a:effectLst/>
                        </wps:spPr>
                        <wps:txbx>
                          <w:txbxContent>
                            <w:p w14:paraId="682F24DC" w14:textId="77777777" w:rsidR="00030934" w:rsidRPr="00E53A43" w:rsidRDefault="00030934" w:rsidP="00030934">
                              <w:pPr>
                                <w:jc w:val="center"/>
                                <w:rPr>
                                  <w:rFonts w:eastAsia="Calibri"/>
                                  <w:color w:val="FFFFFF" w:themeColor="background1"/>
                                  <w:kern w:val="24"/>
                                  <w:sz w:val="20"/>
                                </w:rPr>
                              </w:pPr>
                              <w:r w:rsidRPr="00E53A43">
                                <w:rPr>
                                  <w:rFonts w:eastAsia="Calibri"/>
                                  <w:b/>
                                  <w:bCs/>
                                  <w:color w:val="FFFFFF" w:themeColor="background1"/>
                                  <w:kern w:val="24"/>
                                  <w:sz w:val="20"/>
                                </w:rPr>
                                <w:t>Occupation A2</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2022 (S)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70556391" name="Rectangle: Rounded Corners 1170556391"/>
                        <wps:cNvSpPr/>
                        <wps:spPr>
                          <a:xfrm>
                            <a:off x="3368190" y="1152525"/>
                            <a:ext cx="1080000" cy="472440"/>
                          </a:xfrm>
                          <a:prstGeom prst="roundRect">
                            <a:avLst/>
                          </a:prstGeom>
                          <a:solidFill>
                            <a:srgbClr val="4B0985"/>
                          </a:solidFill>
                          <a:ln w="12700" cap="flat" cmpd="sng" algn="ctr">
                            <a:noFill/>
                            <a:prstDash val="solid"/>
                            <a:miter lim="800000"/>
                          </a:ln>
                          <a:effectLst/>
                        </wps:spPr>
                        <wps:txbx>
                          <w:txbxContent>
                            <w:p w14:paraId="42B929FB" w14:textId="77777777" w:rsidR="00030934" w:rsidRPr="00E53A43" w:rsidRDefault="00030934" w:rsidP="00030934">
                              <w:pPr>
                                <w:jc w:val="center"/>
                                <w:rPr>
                                  <w:rFonts w:eastAsia="Calibri"/>
                                  <w:color w:val="FFFFFF" w:themeColor="background1"/>
                                  <w:kern w:val="24"/>
                                  <w:sz w:val="20"/>
                                </w:rPr>
                              </w:pPr>
                              <w:r w:rsidRPr="00E53A43">
                                <w:rPr>
                                  <w:rFonts w:eastAsia="Calibri"/>
                                  <w:b/>
                                  <w:bCs/>
                                  <w:color w:val="FFFFFF" w:themeColor="background1"/>
                                  <w:kern w:val="24"/>
                                  <w:sz w:val="20"/>
                                </w:rPr>
                                <w:t>Occupation A3</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2022 (S)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95682910" name="Connector: Elbow 1395682910"/>
                        <wps:cNvCnPr>
                          <a:cxnSpLocks/>
                        </wps:cNvCnPr>
                        <wps:spPr>
                          <a:xfrm flipV="1">
                            <a:off x="1080000" y="236220"/>
                            <a:ext cx="2261384" cy="579835"/>
                          </a:xfrm>
                          <a:prstGeom prst="bentConnector3">
                            <a:avLst/>
                          </a:prstGeom>
                          <a:noFill/>
                          <a:ln w="12700" cap="flat" cmpd="sng" algn="ctr">
                            <a:solidFill>
                              <a:srgbClr val="2C054E"/>
                            </a:solidFill>
                            <a:prstDash val="solid"/>
                            <a:miter lim="800000"/>
                            <a:tailEnd type="triangle"/>
                          </a:ln>
                          <a:effectLst/>
                        </wps:spPr>
                        <wps:bodyPr/>
                      </wps:wsp>
                      <wps:wsp>
                        <wps:cNvPr id="1664141960" name="Connector: Elbow 1664141960"/>
                        <wps:cNvCnPr>
                          <a:cxnSpLocks/>
                        </wps:cNvCnPr>
                        <wps:spPr>
                          <a:xfrm>
                            <a:off x="1080000" y="816055"/>
                            <a:ext cx="2261384" cy="572690"/>
                          </a:xfrm>
                          <a:prstGeom prst="bentConnector3">
                            <a:avLst/>
                          </a:prstGeom>
                          <a:noFill/>
                          <a:ln w="12700" cap="flat" cmpd="sng" algn="ctr">
                            <a:solidFill>
                              <a:sysClr val="windowText" lastClr="000000"/>
                            </a:solidFill>
                            <a:prstDash val="solid"/>
                            <a:miter lim="800000"/>
                            <a:tailEnd type="triangle"/>
                          </a:ln>
                          <a:effectLst/>
                        </wps:spPr>
                        <wps:bodyPr/>
                      </wps:wsp>
                      <wps:wsp>
                        <wps:cNvPr id="1960449242" name="Straight Arrow Connector 1960449242"/>
                        <wps:cNvCnPr>
                          <a:cxnSpLocks/>
                        </wps:cNvCnPr>
                        <wps:spPr>
                          <a:xfrm>
                            <a:off x="1130300" y="816055"/>
                            <a:ext cx="2210695" cy="0"/>
                          </a:xfrm>
                          <a:prstGeom prst="straightConnector1">
                            <a:avLst/>
                          </a:prstGeom>
                          <a:noFill/>
                          <a:ln w="12700" cap="flat" cmpd="sng" algn="ctr">
                            <a:solidFill>
                              <a:srgbClr val="2C054E"/>
                            </a:solidFill>
                            <a:prstDash val="solid"/>
                            <a:miter lim="800000"/>
                            <a:tailEnd type="triangle"/>
                          </a:ln>
                          <a:effectLst/>
                        </wps:spPr>
                        <wps:bodyPr/>
                      </wps:wsp>
                    </wpg:wgp>
                  </a:graphicData>
                </a:graphic>
              </wp:inline>
            </w:drawing>
          </mc:Choice>
          <mc:Fallback>
            <w:pict>
              <v:group w14:anchorId="225B2F55" id="Group 1562196836" o:spid="_x0000_s1057" alt="In the case of a partial match, each matched occupation inherits the rating of its &quot;parent&quot; occupation." style="width:350.25pt;height:127.95pt;mso-position-horizontal-relative:char;mso-position-vertical-relative:line" coordsize="44481,1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">
                <v:roundrect id="Rectangle: Rounded Corners 1470874138" o:spid="_x0000_s1058" style="position:absolute;top:5798;width:10800;height:4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" fillcolor="#4b0985" stroked="f" strokeweight="1pt">
                  <v:stroke joinstyle="miter"/>
                  <v:textbox inset="0,0,0,0">
                    <w:txbxContent>
                      <w:p w14:paraId="6740A4EB" w14:textId="77777777" w:rsidR="00030934" w:rsidRPr="00E53A43" w:rsidRDefault="00030934" w:rsidP="00030934">
                        <w:pPr>
                          <w:jc w:val="center"/>
                          <w:rPr>
                            <w:rFonts w:eastAsia="Calibri"/>
                            <w:color w:val="FFFFFF" w:themeColor="background1"/>
                            <w:kern w:val="24"/>
                            <w:sz w:val="20"/>
                          </w:rPr>
                        </w:pPr>
                        <w:r w:rsidRPr="00E53A43">
                          <w:rPr>
                            <w:rFonts w:eastAsia="Calibri"/>
                            <w:b/>
                            <w:bCs/>
                            <w:color w:val="FFFFFF" w:themeColor="background1"/>
                            <w:kern w:val="24"/>
                            <w:sz w:val="20"/>
                          </w:rPr>
                          <w:t>Occupation A</w:t>
                        </w:r>
                        <w:r w:rsidRPr="00E53A43">
                          <w:rPr>
                            <w:rFonts w:eastAsia="Calibri"/>
                            <w:color w:val="FFFFFF" w:themeColor="background1"/>
                            <w:kern w:val="24"/>
                            <w:sz w:val="20"/>
                          </w:rPr>
                          <w:br/>
                          <w:t>2013 (S)</w:t>
                        </w:r>
                      </w:p>
                    </w:txbxContent>
                  </v:textbox>
                </v:roundrect>
                <v:roundrect id="Rectangle: Rounded Corners 606472012" o:spid="_x0000_s1059" style="position:absolute;left:33681;width:10800;height:4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" fillcolor="#4b0985" stroked="f" strokeweight="1pt">
                  <v:stroke joinstyle="miter"/>
                  <v:textbox inset="0,0,0,0">
                    <w:txbxContent>
                      <w:p w14:paraId="45BD7097" w14:textId="77777777" w:rsidR="00030934" w:rsidRPr="00E53A43" w:rsidRDefault="00030934" w:rsidP="00030934">
                        <w:pPr>
                          <w:jc w:val="center"/>
                          <w:rPr>
                            <w:rFonts w:eastAsia="Calibri"/>
                            <w:color w:val="FFFFFF" w:themeColor="background1"/>
                            <w:kern w:val="24"/>
                            <w:sz w:val="20"/>
                          </w:rPr>
                        </w:pPr>
                        <w:r w:rsidRPr="00E53A43">
                          <w:rPr>
                            <w:rFonts w:eastAsia="Calibri"/>
                            <w:b/>
                            <w:bCs/>
                            <w:color w:val="FFFFFF" w:themeColor="background1"/>
                            <w:kern w:val="24"/>
                            <w:sz w:val="20"/>
                          </w:rPr>
                          <w:t>Occupation A1</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2022 (S)</w:t>
                        </w:r>
                      </w:p>
                    </w:txbxContent>
                  </v:textbox>
                </v:roundrect>
                <v:roundrect id="Rectangle: Rounded Corners 572692900" o:spid="_x0000_s1060" style="position:absolute;left:33681;top:5798;width:10800;height:4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" fillcolor="#4b0985" stroked="f" strokeweight="1pt">
                  <v:stroke joinstyle="miter"/>
                  <v:textbox inset="0,0,0,0">
                    <w:txbxContent>
                      <w:p w14:paraId="682F24DC" w14:textId="77777777" w:rsidR="00030934" w:rsidRPr="00E53A43" w:rsidRDefault="00030934" w:rsidP="00030934">
                        <w:pPr>
                          <w:jc w:val="center"/>
                          <w:rPr>
                            <w:rFonts w:eastAsia="Calibri"/>
                            <w:color w:val="FFFFFF" w:themeColor="background1"/>
                            <w:kern w:val="24"/>
                            <w:sz w:val="20"/>
                          </w:rPr>
                        </w:pPr>
                        <w:r w:rsidRPr="00E53A43">
                          <w:rPr>
                            <w:rFonts w:eastAsia="Calibri"/>
                            <w:b/>
                            <w:bCs/>
                            <w:color w:val="FFFFFF" w:themeColor="background1"/>
                            <w:kern w:val="24"/>
                            <w:sz w:val="20"/>
                          </w:rPr>
                          <w:t>Occupation A2</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2022 (S)</w:t>
                        </w:r>
                      </w:p>
                    </w:txbxContent>
                  </v:textbox>
                </v:roundrect>
                <v:roundrect id="Rectangle: Rounded Corners 1170556391" o:spid="_x0000_s1061" style="position:absolute;left:33681;top:11525;width:10800;height:47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" fillcolor="#4b0985" stroked="f" strokeweight="1pt">
                  <v:stroke joinstyle="miter"/>
                  <v:textbox inset="0,0,0,0">
                    <w:txbxContent>
                      <w:p w14:paraId="42B929FB" w14:textId="77777777" w:rsidR="00030934" w:rsidRPr="00E53A43" w:rsidRDefault="00030934" w:rsidP="00030934">
                        <w:pPr>
                          <w:jc w:val="center"/>
                          <w:rPr>
                            <w:rFonts w:eastAsia="Calibri"/>
                            <w:color w:val="FFFFFF" w:themeColor="background1"/>
                            <w:kern w:val="24"/>
                            <w:sz w:val="20"/>
                          </w:rPr>
                        </w:pPr>
                        <w:r w:rsidRPr="00E53A43">
                          <w:rPr>
                            <w:rFonts w:eastAsia="Calibri"/>
                            <w:b/>
                            <w:bCs/>
                            <w:color w:val="FFFFFF" w:themeColor="background1"/>
                            <w:kern w:val="24"/>
                            <w:sz w:val="20"/>
                          </w:rPr>
                          <w:t>Occupation A3</w:t>
                        </w:r>
                        <w:r w:rsidRPr="00E53A43">
                          <w:rPr>
                            <w:rFonts w:eastAsia="Calibri"/>
                            <w:color w:val="FFFFFF" w:themeColor="background1"/>
                            <w:kern w:val="24"/>
                            <w:sz w:val="20"/>
                          </w:rPr>
                          <w:t xml:space="preserve"> </w:t>
                        </w:r>
                        <w:r w:rsidRPr="00E53A43">
                          <w:rPr>
                            <w:rFonts w:eastAsia="Calibri"/>
                            <w:color w:val="FFFFFF" w:themeColor="background1"/>
                            <w:kern w:val="24"/>
                            <w:sz w:val="20"/>
                          </w:rPr>
                          <w:br/>
                          <w:t>2022 (S)</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95682910" o:spid="_x0000_s1062" type="#_x0000_t34" style="position:absolute;left:10800;top:2362;width:22613;height:579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" strokecolor="#2c054e" strokeweight="1pt">
                  <v:stroke endarrow="block"/>
                  <o:lock v:ext="edit" shapetype="f"/>
                </v:shape>
                <v:shape id="Connector: Elbow 1664141960" o:spid="_x0000_s1063" type="#_x0000_t34" style="position:absolute;left:10800;top:8160;width:22613;height:57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" strokecolor="windowText" strokeweight="1pt">
                  <v:stroke endarrow="block"/>
                  <o:lock v:ext="edit" shapetype="f"/>
                </v:shape>
                <v:shape id="Straight Arrow Connector 1960449242" o:spid="_x0000_s1064" type="#_x0000_t32" style="position:absolute;left:11303;top:8160;width:221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" strokecolor="#2c054e" strokeweight="1pt">
                  <v:stroke endarrow="block" joinstyle="miter"/>
                  <o:lock v:ext="edit" shapetype="f"/>
                </v:shape>
                <w10:anchorlock/>
              </v:group>
            </w:pict>
          </mc:Fallback>
        </mc:AlternateContent>
      </w:r>
      <w:r w:rsidR="00BF11A7">
        <w:br/>
      </w:r>
      <w:r w:rsidR="00016932">
        <w:t xml:space="preserve">Source: Jobs and Skills Australia. </w:t>
      </w:r>
    </w:p>
    <w:p w14:paraId="3833D9F6" w14:textId="6F01600A" w:rsidR="00A25B21" w:rsidRPr="00A25B21" w:rsidRDefault="00030934" w:rsidP="00F254F8">
      <w:pPr>
        <w:pStyle w:val="Heading4"/>
      </w:pPr>
      <w:bookmarkStart w:id="98" w:name="_Toc204771904"/>
      <w:r w:rsidRPr="00E53A43">
        <w:t>Case 3: Multiple-to-one (Mixed) occupation match</w:t>
      </w:r>
      <w:bookmarkEnd w:id="98"/>
    </w:p>
    <w:p w14:paraId="1455E060" w14:textId="704C7B01" w:rsidR="00C45699" w:rsidRDefault="00D9449E">
      <w:pPr>
        <w:pStyle w:val="BodyText"/>
      </w:pPr>
      <w:r>
        <w:t>There</w:t>
      </w:r>
      <w:r w:rsidR="00DF0BFA">
        <w:t xml:space="preserve"> are</w:t>
      </w:r>
      <w:r>
        <w:t xml:space="preserve"> </w:t>
      </w:r>
      <w:r w:rsidR="00BA6AA1">
        <w:t>7</w:t>
      </w:r>
      <w:r>
        <w:t xml:space="preserve"> occupations where </w:t>
      </w:r>
      <w:r w:rsidR="00030934" w:rsidRPr="00E53A43">
        <w:t xml:space="preserve">multiple occupations on 2013 </w:t>
      </w:r>
      <w:r w:rsidR="00A97799">
        <w:t xml:space="preserve">ANZSCO </w:t>
      </w:r>
      <w:r w:rsidR="00030934" w:rsidRPr="00E53A43">
        <w:t xml:space="preserve">map to </w:t>
      </w:r>
      <w:r w:rsidR="00D46A2E">
        <w:t>a single</w:t>
      </w:r>
      <w:r w:rsidR="00D46A2E" w:rsidRPr="00E53A43">
        <w:t xml:space="preserve"> </w:t>
      </w:r>
      <w:r w:rsidR="00030934" w:rsidRPr="00E53A43">
        <w:t xml:space="preserve">occupation </w:t>
      </w:r>
      <w:r w:rsidR="003E1EFD">
        <w:t>on the</w:t>
      </w:r>
      <w:r w:rsidR="003E1EFD" w:rsidRPr="00E53A43">
        <w:t xml:space="preserve"> </w:t>
      </w:r>
      <w:r w:rsidR="00030934" w:rsidRPr="00E53A43">
        <w:t xml:space="preserve">2022 </w:t>
      </w:r>
      <w:r w:rsidR="00A97799">
        <w:t>ANZSCO</w:t>
      </w:r>
      <w:r w:rsidR="00D87D30">
        <w:t xml:space="preserve"> (Figure B3)</w:t>
      </w:r>
      <w:r w:rsidR="00030934" w:rsidRPr="00E53A43">
        <w:t xml:space="preserve">. This </w:t>
      </w:r>
      <w:r w:rsidR="00AB7374">
        <w:t>is</w:t>
      </w:r>
      <w:r w:rsidR="00242A3D">
        <w:t xml:space="preserve"> the</w:t>
      </w:r>
      <w:r w:rsidR="00030934" w:rsidRPr="00E53A43">
        <w:t xml:space="preserve"> most </w:t>
      </w:r>
      <w:r w:rsidR="00242A3D">
        <w:t>complex</w:t>
      </w:r>
      <w:r w:rsidR="00242A3D" w:rsidRPr="00E53A43">
        <w:t xml:space="preserve"> </w:t>
      </w:r>
      <w:r w:rsidR="000F6AFA">
        <w:t>scenario</w:t>
      </w:r>
      <w:r w:rsidR="00030934" w:rsidRPr="00E53A43">
        <w:t>, as the</w:t>
      </w:r>
      <w:r w:rsidR="000F6AFA">
        <w:t xml:space="preserve"> ratings of the</w:t>
      </w:r>
      <w:r w:rsidR="00030934" w:rsidRPr="00E53A43">
        <w:t xml:space="preserve"> constituent </w:t>
      </w:r>
      <w:r w:rsidR="000F6AFA">
        <w:t>occupations</w:t>
      </w:r>
      <w:r w:rsidR="000F6AFA" w:rsidRPr="00E53A43">
        <w:t xml:space="preserve"> </w:t>
      </w:r>
      <w:r w:rsidR="00030934" w:rsidRPr="00E53A43">
        <w:t xml:space="preserve">may disagree with each other. </w:t>
      </w:r>
    </w:p>
    <w:p w14:paraId="69135AD7" w14:textId="3D8D8124" w:rsidR="005526B9" w:rsidRDefault="00B03D72">
      <w:pPr>
        <w:pStyle w:val="BodyText"/>
      </w:pPr>
      <w:r>
        <w:t xml:space="preserve">To </w:t>
      </w:r>
      <w:r w:rsidR="005526B9">
        <w:t>determine the final rating</w:t>
      </w:r>
      <w:r w:rsidR="002B014C">
        <w:t>,</w:t>
      </w:r>
      <w:r w:rsidR="00030934" w:rsidRPr="00E53A43">
        <w:t xml:space="preserve"> the employment </w:t>
      </w:r>
      <w:r w:rsidR="00CC0F56">
        <w:t>share</w:t>
      </w:r>
      <w:r w:rsidR="008442C1">
        <w:t xml:space="preserve"> </w:t>
      </w:r>
      <w:r w:rsidR="00F725C8">
        <w:t>of</w:t>
      </w:r>
      <w:r w:rsidR="00030934" w:rsidRPr="00E53A43">
        <w:t xml:space="preserve"> 2013 ANZSCO occupation</w:t>
      </w:r>
      <w:r w:rsidR="005B5D02">
        <w:t xml:space="preserve">s </w:t>
      </w:r>
      <w:r w:rsidR="00106C3C">
        <w:t xml:space="preserve">are </w:t>
      </w:r>
      <w:r w:rsidR="00030934" w:rsidRPr="00E53A43">
        <w:t xml:space="preserve">used as </w:t>
      </w:r>
      <w:r w:rsidR="0087191C">
        <w:t xml:space="preserve">weights, with the rating linked to the highest share assigned to the </w:t>
      </w:r>
      <w:r w:rsidR="005526B9">
        <w:t>2022 ANZSCO occupation</w:t>
      </w:r>
      <w:r w:rsidR="00D34498">
        <w:t>.</w:t>
      </w:r>
      <w:r w:rsidR="008442C1">
        <w:rPr>
          <w:rStyle w:val="FootnoteReference"/>
        </w:rPr>
        <w:footnoteReference w:id="22"/>
      </w:r>
    </w:p>
    <w:p w14:paraId="73F79339" w14:textId="65F363BF" w:rsidR="004E4533" w:rsidRDefault="000F52BD" w:rsidP="003B305E">
      <w:pPr>
        <w:pStyle w:val="Caption"/>
      </w:pPr>
      <w:bookmarkStart w:id="99" w:name="_Toc211421418"/>
      <w:r>
        <w:t>Figure B</w:t>
      </w:r>
      <w:r>
        <w:fldChar w:fldCharType="begin"/>
      </w:r>
      <w:r>
        <w:instrText xml:space="preserve"> SEQ Figure_B \* ARABIC </w:instrText>
      </w:r>
      <w:r>
        <w:fldChar w:fldCharType="separate"/>
      </w:r>
      <w:r w:rsidR="00F6227E">
        <w:rPr>
          <w:noProof/>
        </w:rPr>
        <w:t>3</w:t>
      </w:r>
      <w:r>
        <w:fldChar w:fldCharType="end"/>
      </w:r>
      <w:r>
        <w:t>:</w:t>
      </w:r>
      <w:r w:rsidR="004E4533">
        <w:t xml:space="preserve"> </w:t>
      </w:r>
      <w:r w:rsidR="00204F8D">
        <w:t>Multiple</w:t>
      </w:r>
      <w:r w:rsidR="00064C2C">
        <w:t xml:space="preserve"> to one </w:t>
      </w:r>
      <w:r w:rsidR="003C5FCC">
        <w:t>occupation match</w:t>
      </w:r>
      <w:r w:rsidR="00532674" w:rsidRPr="0005618E">
        <w:rPr>
          <w:noProof/>
        </w:rPr>
        <mc:AlternateContent>
          <mc:Choice Requires="wpg">
            <w:drawing>
              <wp:anchor distT="0" distB="0" distL="114300" distR="114300" simplePos="0" relativeHeight="251658241" behindDoc="0" locked="0" layoutInCell="1" allowOverlap="1" wp14:anchorId="53382A3E" wp14:editId="356FABDF">
                <wp:simplePos x="0" y="0"/>
                <wp:positionH relativeFrom="margin">
                  <wp:posOffset>0</wp:posOffset>
                </wp:positionH>
                <wp:positionV relativeFrom="paragraph">
                  <wp:posOffset>294005</wp:posOffset>
                </wp:positionV>
                <wp:extent cx="4902835" cy="1780540"/>
                <wp:effectExtent l="0" t="0" r="0" b="0"/>
                <wp:wrapSquare wrapText="bothSides"/>
                <wp:docPr id="1619281533" name="Group 1" descr="The figure indicates the multiple to one occupation match as a diagram. Occupation A and occupation B are shown with different employment shares, leading to different weights. The one with the bigger share is then assigned to the ANZSCO 2022 occupation. In this case, it is occupation A. "/>
                <wp:cNvGraphicFramePr/>
                <a:graphic xmlns:a="http://schemas.openxmlformats.org/drawingml/2006/main">
                  <a:graphicData uri="http://schemas.microsoft.com/office/word/2010/wordprocessingGroup">
                    <wpg:wgp>
                      <wpg:cNvGrpSpPr/>
                      <wpg:grpSpPr>
                        <a:xfrm>
                          <a:off x="0" y="0"/>
                          <a:ext cx="4902835" cy="1780540"/>
                          <a:chOff x="0" y="-13278"/>
                          <a:chExt cx="4903155" cy="1589502"/>
                        </a:xfrm>
                      </wpg:grpSpPr>
                      <wps:wsp>
                        <wps:cNvPr id="1931625701" name="Rectangle: Rounded Corners 3"/>
                        <wps:cNvSpPr/>
                        <wps:spPr>
                          <a:xfrm>
                            <a:off x="0" y="889887"/>
                            <a:ext cx="1345347" cy="686337"/>
                          </a:xfrm>
                          <a:prstGeom prst="roundRect">
                            <a:avLst/>
                          </a:prstGeom>
                          <a:solidFill>
                            <a:srgbClr val="D5A3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B62417" w14:textId="77777777" w:rsidR="0005618E" w:rsidRPr="00950223" w:rsidRDefault="0005618E" w:rsidP="0005618E">
                              <w:pPr>
                                <w:spacing w:after="0"/>
                                <w:jc w:val="center"/>
                                <w:rPr>
                                  <w:rFonts w:cs="Arial"/>
                                  <w:b/>
                                  <w:bCs/>
                                  <w:color w:val="000000" w:themeColor="text1"/>
                                </w:rPr>
                              </w:pPr>
                              <w:r w:rsidRPr="00950223">
                                <w:rPr>
                                  <w:rFonts w:cs="Arial"/>
                                  <w:b/>
                                  <w:bCs/>
                                  <w:color w:val="000000" w:themeColor="text1"/>
                                </w:rPr>
                                <w:t>Occupation B</w:t>
                              </w:r>
                            </w:p>
                            <w:p w14:paraId="1693874F" w14:textId="77777777" w:rsidR="0005618E" w:rsidRPr="00950223" w:rsidRDefault="0005618E" w:rsidP="0005618E">
                              <w:pPr>
                                <w:spacing w:after="0"/>
                                <w:jc w:val="center"/>
                                <w:rPr>
                                  <w:rFonts w:cs="Arial"/>
                                  <w:color w:val="000000" w:themeColor="text1"/>
                                </w:rPr>
                              </w:pPr>
                              <w:r w:rsidRPr="00950223">
                                <w:rPr>
                                  <w:rFonts w:cs="Arial"/>
                                  <w:color w:val="000000" w:themeColor="text1"/>
                                </w:rPr>
                                <w:t>2013 (NS)</w:t>
                              </w:r>
                            </w:p>
                            <w:p w14:paraId="34BAAC67" w14:textId="77777777" w:rsidR="0005618E" w:rsidRPr="00950223" w:rsidRDefault="0005618E" w:rsidP="0005618E">
                              <w:pPr>
                                <w:spacing w:after="0"/>
                                <w:jc w:val="center"/>
                                <w:rPr>
                                  <w:rFonts w:cs="Arial"/>
                                  <w:i/>
                                  <w:iCs/>
                                  <w:color w:val="000000" w:themeColor="text1"/>
                                </w:rPr>
                              </w:pPr>
                              <w:r w:rsidRPr="00950223">
                                <w:rPr>
                                  <w:rFonts w:cs="Arial"/>
                                  <w:i/>
                                  <w:iCs/>
                                  <w:color w:val="000000" w:themeColor="text1"/>
                                </w:rPr>
                                <w:t>Size: 2,000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095235" name="Rectangle: Rounded Corners 3"/>
                        <wps:cNvSpPr/>
                        <wps:spPr>
                          <a:xfrm>
                            <a:off x="15342" y="-13278"/>
                            <a:ext cx="1345347" cy="687637"/>
                          </a:xfrm>
                          <a:prstGeom prst="roundRect">
                            <a:avLst/>
                          </a:prstGeom>
                          <a:solidFill>
                            <a:srgbClr val="4B0985"/>
                          </a:solidFill>
                          <a:ln w="12700" cap="flat" cmpd="sng" algn="ctr">
                            <a:noFill/>
                            <a:prstDash val="solid"/>
                            <a:miter lim="800000"/>
                          </a:ln>
                          <a:effectLst/>
                        </wps:spPr>
                        <wps:txbx>
                          <w:txbxContent>
                            <w:p w14:paraId="7874C8ED" w14:textId="77777777" w:rsidR="0005618E" w:rsidRPr="00A11612" w:rsidRDefault="0005618E" w:rsidP="0005618E">
                              <w:pPr>
                                <w:spacing w:after="0"/>
                                <w:jc w:val="center"/>
                                <w:rPr>
                                  <w:rFonts w:cs="Arial"/>
                                  <w:b/>
                                  <w:bCs/>
                                </w:rPr>
                              </w:pPr>
                              <w:r w:rsidRPr="00A11612">
                                <w:rPr>
                                  <w:rFonts w:cs="Arial"/>
                                  <w:b/>
                                  <w:bCs/>
                                </w:rPr>
                                <w:t>Occupation A</w:t>
                              </w:r>
                            </w:p>
                            <w:p w14:paraId="30DD6C6A" w14:textId="07F18110" w:rsidR="0005618E" w:rsidRPr="00A11612" w:rsidRDefault="0005618E" w:rsidP="00916B08">
                              <w:pPr>
                                <w:spacing w:after="0"/>
                                <w:jc w:val="center"/>
                                <w:rPr>
                                  <w:rFonts w:cs="Arial"/>
                                </w:rPr>
                              </w:pPr>
                              <w:r w:rsidRPr="00A11612">
                                <w:rPr>
                                  <w:rFonts w:cs="Arial"/>
                                </w:rPr>
                                <w:t>2013 (S)</w:t>
                              </w:r>
                            </w:p>
                            <w:p w14:paraId="3994DFB2" w14:textId="77777777" w:rsidR="0005618E" w:rsidRPr="00A11612" w:rsidRDefault="0005618E" w:rsidP="0005618E">
                              <w:pPr>
                                <w:spacing w:after="0"/>
                                <w:jc w:val="center"/>
                                <w:rPr>
                                  <w:rFonts w:cs="Arial"/>
                                  <w:i/>
                                  <w:iCs/>
                                </w:rPr>
                              </w:pPr>
                              <w:r w:rsidRPr="00A11612">
                                <w:rPr>
                                  <w:rFonts w:cs="Arial"/>
                                  <w:i/>
                                  <w:iCs/>
                                </w:rPr>
                                <w:t>Size: 5,000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499060" name="Rectangle: Top Corners Rounded 4"/>
                        <wps:cNvSpPr/>
                        <wps:spPr>
                          <a:xfrm>
                            <a:off x="1731524" y="-13276"/>
                            <a:ext cx="1344930" cy="636494"/>
                          </a:xfrm>
                          <a:prstGeom prst="round2SameRect">
                            <a:avLst/>
                          </a:prstGeom>
                          <a:solidFill>
                            <a:srgbClr val="4B098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568A8E" w14:textId="77777777" w:rsidR="0005618E" w:rsidRPr="00357420" w:rsidRDefault="0005618E" w:rsidP="0005618E">
                              <w:pPr>
                                <w:jc w:val="center"/>
                                <w:rPr>
                                  <w14:textOutline w14:w="9525" w14:cap="rnd" w14:cmpd="sng" w14:algn="ctr">
                                    <w14:noFill/>
                                    <w14:prstDash w14:val="solid"/>
                                    <w14:bevel/>
                                  </w14:textOutline>
                                </w:rPr>
                              </w:pPr>
                              <w:r w:rsidRPr="00357420">
                                <w:rPr>
                                  <w:b/>
                                  <w:bCs/>
                                  <w14:textOutline w14:w="9525" w14:cap="rnd" w14:cmpd="sng" w14:algn="ctr">
                                    <w14:noFill/>
                                    <w14:prstDash w14:val="solid"/>
                                    <w14:bevel/>
                                  </w14:textOutline>
                                </w:rPr>
                                <w:t>S</w:t>
                              </w:r>
                              <w:r w:rsidRPr="00357420">
                                <w:rPr>
                                  <w14:textOutline w14:w="9525" w14:cap="rnd" w14:cmpd="sng" w14:algn="ctr">
                                    <w14:noFill/>
                                    <w14:prstDash w14:val="solid"/>
                                    <w14:bevel/>
                                  </w14:textOutline>
                                </w:rPr>
                                <w:t xml:space="preserve"> weight: 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691366" name="Rectangle: Top Corners Rounded 4"/>
                        <wps:cNvSpPr/>
                        <wps:spPr>
                          <a:xfrm rot="10800000">
                            <a:off x="1731524" y="628331"/>
                            <a:ext cx="1345347" cy="277906"/>
                          </a:xfrm>
                          <a:prstGeom prst="round2SameRect">
                            <a:avLst/>
                          </a:prstGeom>
                          <a:solidFill>
                            <a:srgbClr val="D5A3F9"/>
                          </a:solidFill>
                          <a:ln w="12700" cap="flat" cmpd="sng" algn="ctr">
                            <a:noFill/>
                            <a:prstDash val="solid"/>
                            <a:miter lim="800000"/>
                          </a:ln>
                          <a:effectLst/>
                        </wps:spPr>
                        <wps:txbx>
                          <w:txbxContent>
                            <w:p w14:paraId="560E29B9" w14:textId="77777777" w:rsidR="0005618E" w:rsidRPr="00357420" w:rsidRDefault="0005618E" w:rsidP="0005618E">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932535" name="Text Box 8"/>
                        <wps:cNvSpPr txBox="1"/>
                        <wps:spPr>
                          <a:xfrm>
                            <a:off x="1780667" y="632162"/>
                            <a:ext cx="1230747" cy="260529"/>
                          </a:xfrm>
                          <a:prstGeom prst="rect">
                            <a:avLst/>
                          </a:prstGeom>
                          <a:noFill/>
                          <a:ln w="6350">
                            <a:noFill/>
                          </a:ln>
                        </wps:spPr>
                        <wps:txbx>
                          <w:txbxContent>
                            <w:p w14:paraId="78638AA0" w14:textId="77777777" w:rsidR="0005618E" w:rsidRDefault="0005618E" w:rsidP="0005618E">
                              <w:r w:rsidRPr="006F52A7">
                                <w:rPr>
                                  <w:b/>
                                  <w:bCs/>
                                </w:rPr>
                                <w:t>NS</w:t>
                              </w:r>
                              <w:r>
                                <w:t xml:space="preserve"> weight: 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1248482" name="Rectangle: Rounded Corners 3"/>
                        <wps:cNvSpPr/>
                        <wps:spPr>
                          <a:xfrm>
                            <a:off x="3448977" y="-13245"/>
                            <a:ext cx="1454178" cy="687742"/>
                          </a:xfrm>
                          <a:prstGeom prst="roundRect">
                            <a:avLst/>
                          </a:prstGeom>
                          <a:solidFill>
                            <a:srgbClr val="4B0985"/>
                          </a:solidFill>
                          <a:ln w="12700" cap="flat" cmpd="sng" algn="ctr">
                            <a:noFill/>
                            <a:prstDash val="solid"/>
                            <a:miter lim="800000"/>
                          </a:ln>
                          <a:effectLst/>
                        </wps:spPr>
                        <wps:txbx>
                          <w:txbxContent>
                            <w:p w14:paraId="1DCA15F6" w14:textId="5976F823" w:rsidR="0005618E" w:rsidRPr="00A11612" w:rsidRDefault="0005618E" w:rsidP="0005618E">
                              <w:pPr>
                                <w:spacing w:after="0"/>
                                <w:jc w:val="center"/>
                                <w:rPr>
                                  <w:rFonts w:cs="Arial"/>
                                  <w:b/>
                                  <w:bCs/>
                                </w:rPr>
                              </w:pPr>
                              <w:r w:rsidRPr="00A11612">
                                <w:rPr>
                                  <w:rFonts w:cs="Arial"/>
                                  <w:b/>
                                  <w:bCs/>
                                </w:rPr>
                                <w:t>Occupation A</w:t>
                              </w:r>
                            </w:p>
                            <w:p w14:paraId="19BF65DD" w14:textId="5CE1113C" w:rsidR="0005618E" w:rsidRPr="00A11612" w:rsidRDefault="0005618E" w:rsidP="004229A8">
                              <w:pPr>
                                <w:spacing w:after="0"/>
                                <w:jc w:val="center"/>
                                <w:rPr>
                                  <w:rFonts w:cs="Arial"/>
                                </w:rPr>
                              </w:pPr>
                              <w:r w:rsidRPr="00A11612">
                                <w:rPr>
                                  <w:rFonts w:cs="Arial"/>
                                </w:rPr>
                                <w:t>20</w:t>
                              </w:r>
                              <w:r>
                                <w:rPr>
                                  <w:rFonts w:cs="Arial"/>
                                </w:rPr>
                                <w:t>22</w:t>
                              </w:r>
                              <w:r w:rsidRPr="00A11612">
                                <w:rPr>
                                  <w:rFonts w:cs="Arial"/>
                                </w:rPr>
                                <w:t xml:space="preserve"> (S)</w:t>
                              </w:r>
                            </w:p>
                            <w:p w14:paraId="5EB39BEF" w14:textId="77777777" w:rsidR="0005618E" w:rsidRPr="00A11612" w:rsidRDefault="0005618E" w:rsidP="0005618E">
                              <w:pPr>
                                <w:spacing w:after="0"/>
                                <w:jc w:val="center"/>
                                <w:rPr>
                                  <w:rFonts w:cs="Arial"/>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8793463" name="Connector: Elbow 12"/>
                        <wps:cNvCnPr/>
                        <wps:spPr>
                          <a:xfrm>
                            <a:off x="1352141" y="321289"/>
                            <a:ext cx="379383" cy="688"/>
                          </a:xfrm>
                          <a:prstGeom prst="bentConnector3">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4513749" name="Connector: Elbow 13"/>
                        <wps:cNvCnPr/>
                        <wps:spPr>
                          <a:xfrm flipV="1">
                            <a:off x="1337554" y="762000"/>
                            <a:ext cx="390327" cy="471634"/>
                          </a:xfrm>
                          <a:prstGeom prst="bentConnector3">
                            <a:avLst>
                              <a:gd name="adj1" fmla="val 52106"/>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4321171" name="Straight Arrow Connector 14"/>
                        <wps:cNvCnPr/>
                        <wps:spPr>
                          <a:xfrm>
                            <a:off x="3088532" y="321841"/>
                            <a:ext cx="3707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382A3E" id="Group 1" o:spid="_x0000_s1065" alt="The figure indicates the multiple to one occupation match as a diagram. Occupation A and occupation B are shown with different employment shares, leading to different weights. The one with the bigger share is then assigned to the ANZSCO 2022 occupation. In this case, it is occupation A. " style="position:absolute;margin-left:0;margin-top:23.15pt;width:386.05pt;height:140.2pt;z-index:251658241;mso-position-horizontal-relative:margin;mso-position-vertical-relative:text;mso-width-relative:margin;mso-height-relative:margin" coordorigin=",-132" coordsize="4903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">
                <v:roundrect id="Rectangle: Rounded Corners 3" o:spid="_x0000_s1066" style="position:absolute;top:8898;width:13453;height:6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" fillcolor="#d5a3f9" stroked="f" strokeweight="2pt">
                  <v:textbox>
                    <w:txbxContent>
                      <w:p w14:paraId="70B62417" w14:textId="77777777" w:rsidR="0005618E" w:rsidRPr="00950223" w:rsidRDefault="0005618E" w:rsidP="0005618E">
                        <w:pPr>
                          <w:spacing w:after="0"/>
                          <w:jc w:val="center"/>
                          <w:rPr>
                            <w:rFonts w:cs="Arial"/>
                            <w:b/>
                            <w:bCs/>
                            <w:color w:val="000000" w:themeColor="text1"/>
                          </w:rPr>
                        </w:pPr>
                        <w:r w:rsidRPr="00950223">
                          <w:rPr>
                            <w:rFonts w:cs="Arial"/>
                            <w:b/>
                            <w:bCs/>
                            <w:color w:val="000000" w:themeColor="text1"/>
                          </w:rPr>
                          <w:t>Occupation B</w:t>
                        </w:r>
                      </w:p>
                      <w:p w14:paraId="1693874F" w14:textId="77777777" w:rsidR="0005618E" w:rsidRPr="00950223" w:rsidRDefault="0005618E" w:rsidP="0005618E">
                        <w:pPr>
                          <w:spacing w:after="0"/>
                          <w:jc w:val="center"/>
                          <w:rPr>
                            <w:rFonts w:cs="Arial"/>
                            <w:color w:val="000000" w:themeColor="text1"/>
                          </w:rPr>
                        </w:pPr>
                        <w:r w:rsidRPr="00950223">
                          <w:rPr>
                            <w:rFonts w:cs="Arial"/>
                            <w:color w:val="000000" w:themeColor="text1"/>
                          </w:rPr>
                          <w:t>2013 (NS)</w:t>
                        </w:r>
                      </w:p>
                      <w:p w14:paraId="34BAAC67" w14:textId="77777777" w:rsidR="0005618E" w:rsidRPr="00950223" w:rsidRDefault="0005618E" w:rsidP="0005618E">
                        <w:pPr>
                          <w:spacing w:after="0"/>
                          <w:jc w:val="center"/>
                          <w:rPr>
                            <w:rFonts w:cs="Arial"/>
                            <w:i/>
                            <w:iCs/>
                            <w:color w:val="000000" w:themeColor="text1"/>
                          </w:rPr>
                        </w:pPr>
                        <w:r w:rsidRPr="00950223">
                          <w:rPr>
                            <w:rFonts w:cs="Arial"/>
                            <w:i/>
                            <w:iCs/>
                            <w:color w:val="000000" w:themeColor="text1"/>
                          </w:rPr>
                          <w:t>Size: 2,000</w:t>
                        </w:r>
                      </w:p>
                    </w:txbxContent>
                  </v:textbox>
                </v:roundrect>
                <v:roundrect id="Rectangle: Rounded Corners 3" o:spid="_x0000_s1067" style="position:absolute;left:153;top:-132;width:13453;height:68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" fillcolor="#4b0985" stroked="f" strokeweight="1pt">
                  <v:stroke joinstyle="miter"/>
                  <v:textbox>
                    <w:txbxContent>
                      <w:p w14:paraId="7874C8ED" w14:textId="77777777" w:rsidR="0005618E" w:rsidRPr="00A11612" w:rsidRDefault="0005618E" w:rsidP="0005618E">
                        <w:pPr>
                          <w:spacing w:after="0"/>
                          <w:jc w:val="center"/>
                          <w:rPr>
                            <w:rFonts w:cs="Arial"/>
                            <w:b/>
                            <w:bCs/>
                          </w:rPr>
                        </w:pPr>
                        <w:r w:rsidRPr="00A11612">
                          <w:rPr>
                            <w:rFonts w:cs="Arial"/>
                            <w:b/>
                            <w:bCs/>
                          </w:rPr>
                          <w:t>Occupation A</w:t>
                        </w:r>
                      </w:p>
                      <w:p w14:paraId="30DD6C6A" w14:textId="07F18110" w:rsidR="0005618E" w:rsidRPr="00A11612" w:rsidRDefault="0005618E" w:rsidP="00916B08">
                        <w:pPr>
                          <w:spacing w:after="0"/>
                          <w:jc w:val="center"/>
                          <w:rPr>
                            <w:rFonts w:cs="Arial"/>
                          </w:rPr>
                        </w:pPr>
                        <w:r w:rsidRPr="00A11612">
                          <w:rPr>
                            <w:rFonts w:cs="Arial"/>
                          </w:rPr>
                          <w:t>2013 (S)</w:t>
                        </w:r>
                      </w:p>
                      <w:p w14:paraId="3994DFB2" w14:textId="77777777" w:rsidR="0005618E" w:rsidRPr="00A11612" w:rsidRDefault="0005618E" w:rsidP="0005618E">
                        <w:pPr>
                          <w:spacing w:after="0"/>
                          <w:jc w:val="center"/>
                          <w:rPr>
                            <w:rFonts w:cs="Arial"/>
                            <w:i/>
                            <w:iCs/>
                          </w:rPr>
                        </w:pPr>
                        <w:r w:rsidRPr="00A11612">
                          <w:rPr>
                            <w:rFonts w:cs="Arial"/>
                            <w:i/>
                            <w:iCs/>
                          </w:rPr>
                          <w:t>Size: 5,000</w:t>
                        </w:r>
                      </w:p>
                    </w:txbxContent>
                  </v:textbox>
                </v:roundrect>
                <v:shape id="Rectangle: Top Corners Rounded 4" o:spid="_x0000_s1068" style="position:absolute;left:17315;top:-132;width:13449;height:6364;visibility:visible;mso-wrap-style:square;v-text-anchor:middle" coordsize="1344930,636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" adj="-11796480,,5400" path="m106084,l1238846,v58589,,106084,47495,106084,106084l1344930,636494r,l,636494r,l,106084c,47495,47495,,106084,xe" fillcolor="#4b0985" stroked="f" strokeweight="2pt">
                  <v:stroke joinstyle="miter"/>
                  <v:formulas/>
                  <v:path arrowok="t" o:connecttype="custom" o:connectlocs="106084,0;1238846,0;1344930,106084;1344930,636494;1344930,636494;0,636494;0,636494;0,106084;106084,0" o:connectangles="0,0,0,0,0,0,0,0,0" textboxrect="0,0,1344930,636494"/>
                  <v:textbox>
                    <w:txbxContent>
                      <w:p w14:paraId="1F568A8E" w14:textId="77777777" w:rsidR="0005618E" w:rsidRPr="00357420" w:rsidRDefault="0005618E" w:rsidP="0005618E">
                        <w:pPr>
                          <w:jc w:val="center"/>
                          <w:rPr>
                            <w14:textOutline w14:w="9525" w14:cap="rnd" w14:cmpd="sng" w14:algn="ctr">
                              <w14:noFill/>
                              <w14:prstDash w14:val="solid"/>
                              <w14:bevel/>
                            </w14:textOutline>
                          </w:rPr>
                        </w:pPr>
                        <w:r w:rsidRPr="00357420">
                          <w:rPr>
                            <w:b/>
                            <w:bCs/>
                            <w14:textOutline w14:w="9525" w14:cap="rnd" w14:cmpd="sng" w14:algn="ctr">
                              <w14:noFill/>
                              <w14:prstDash w14:val="solid"/>
                              <w14:bevel/>
                            </w14:textOutline>
                          </w:rPr>
                          <w:t>S</w:t>
                        </w:r>
                        <w:r w:rsidRPr="00357420">
                          <w:rPr>
                            <w14:textOutline w14:w="9525" w14:cap="rnd" w14:cmpd="sng" w14:algn="ctr">
                              <w14:noFill/>
                              <w14:prstDash w14:val="solid"/>
                              <w14:bevel/>
                            </w14:textOutline>
                          </w:rPr>
                          <w:t xml:space="preserve"> weight: 71%</w:t>
                        </w:r>
                      </w:p>
                    </w:txbxContent>
                  </v:textbox>
                </v:shape>
                <v:shape id="Rectangle: Top Corners Rounded 4" o:spid="_x0000_s1069" style="position:absolute;left:17315;top:6283;width:13453;height:2779;rotation:180;visibility:visible;mso-wrap-style:square;v-text-anchor:middle" coordsize="1345347,2779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" adj="-11796480,,5400" path="m46319,l1299028,v25581,,46319,20738,46319,46319l1345347,277906r,l,277906r,l,46319c,20738,20738,,46319,xe" fillcolor="#d5a3f9" stroked="f" strokeweight="1pt">
                  <v:stroke joinstyle="miter"/>
                  <v:formulas/>
                  <v:path arrowok="t" o:connecttype="custom" o:connectlocs="46319,0;1299028,0;1345347,46319;1345347,277906;1345347,277906;0,277906;0,277906;0,46319;46319,0" o:connectangles="0,0,0,0,0,0,0,0,0" textboxrect="0,0,1345347,277906"/>
                  <v:textbox>
                    <w:txbxContent>
                      <w:p w14:paraId="560E29B9" w14:textId="77777777" w:rsidR="0005618E" w:rsidRPr="00357420" w:rsidRDefault="0005618E" w:rsidP="0005618E">
                        <w:pPr>
                          <w:jc w:val="center"/>
                          <w:rPr>
                            <w14:textOutline w14:w="9525" w14:cap="rnd" w14:cmpd="sng" w14:algn="ctr">
                              <w14:noFill/>
                              <w14:prstDash w14:val="solid"/>
                              <w14:bevel/>
                            </w14:textOutline>
                          </w:rPr>
                        </w:pPr>
                      </w:p>
                    </w:txbxContent>
                  </v:textbox>
                </v:shape>
                <v:shape id="Text Box 8" o:spid="_x0000_s1070" type="#_x0000_t202" style="position:absolute;left:17806;top:6321;width:12308;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" filled="f" stroked="f" strokeweight=".5pt">
                  <v:textbox>
                    <w:txbxContent>
                      <w:p w14:paraId="78638AA0" w14:textId="77777777" w:rsidR="0005618E" w:rsidRDefault="0005618E" w:rsidP="0005618E">
                        <w:r w:rsidRPr="006F52A7">
                          <w:rPr>
                            <w:b/>
                            <w:bCs/>
                          </w:rPr>
                          <w:t>NS</w:t>
                        </w:r>
                        <w:r>
                          <w:t xml:space="preserve"> weight: 29%</w:t>
                        </w:r>
                      </w:p>
                    </w:txbxContent>
                  </v:textbox>
                </v:shape>
                <v:roundrect id="Rectangle: Rounded Corners 3" o:spid="_x0000_s1071" style="position:absolute;left:34489;top:-132;width:14542;height:6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" fillcolor="#4b0985" stroked="f" strokeweight="1pt">
                  <v:stroke joinstyle="miter"/>
                  <v:textbox>
                    <w:txbxContent>
                      <w:p w14:paraId="1DCA15F6" w14:textId="5976F823" w:rsidR="0005618E" w:rsidRPr="00A11612" w:rsidRDefault="0005618E" w:rsidP="0005618E">
                        <w:pPr>
                          <w:spacing w:after="0"/>
                          <w:jc w:val="center"/>
                          <w:rPr>
                            <w:rFonts w:cs="Arial"/>
                            <w:b/>
                            <w:bCs/>
                          </w:rPr>
                        </w:pPr>
                        <w:r w:rsidRPr="00A11612">
                          <w:rPr>
                            <w:rFonts w:cs="Arial"/>
                            <w:b/>
                            <w:bCs/>
                          </w:rPr>
                          <w:t>Occupation A</w:t>
                        </w:r>
                      </w:p>
                      <w:p w14:paraId="19BF65DD" w14:textId="5CE1113C" w:rsidR="0005618E" w:rsidRPr="00A11612" w:rsidRDefault="0005618E" w:rsidP="004229A8">
                        <w:pPr>
                          <w:spacing w:after="0"/>
                          <w:jc w:val="center"/>
                          <w:rPr>
                            <w:rFonts w:cs="Arial"/>
                          </w:rPr>
                        </w:pPr>
                        <w:r w:rsidRPr="00A11612">
                          <w:rPr>
                            <w:rFonts w:cs="Arial"/>
                          </w:rPr>
                          <w:t>20</w:t>
                        </w:r>
                        <w:r>
                          <w:rPr>
                            <w:rFonts w:cs="Arial"/>
                          </w:rPr>
                          <w:t>22</w:t>
                        </w:r>
                        <w:r w:rsidRPr="00A11612">
                          <w:rPr>
                            <w:rFonts w:cs="Arial"/>
                          </w:rPr>
                          <w:t xml:space="preserve"> (S)</w:t>
                        </w:r>
                      </w:p>
                      <w:p w14:paraId="5EB39BEF" w14:textId="77777777" w:rsidR="0005618E" w:rsidRPr="00A11612" w:rsidRDefault="0005618E" w:rsidP="0005618E">
                        <w:pPr>
                          <w:spacing w:after="0"/>
                          <w:jc w:val="center"/>
                          <w:rPr>
                            <w:rFonts w:cs="Arial"/>
                            <w:i/>
                            <w:iCs/>
                          </w:rPr>
                        </w:pPr>
                      </w:p>
                    </w:txbxContent>
                  </v:textbox>
                </v:roundrect>
                <v:shape id="Connector: Elbow 12" o:spid="_x0000_s1072" type="#_x0000_t34" style="position:absolute;left:13521;top:3212;width:3794;height: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" strokecolor="black [3213]" strokeweight="1.5pt">
                  <v:stroke endarrow="block"/>
                </v:shape>
                <v:shape id="Connector: Elbow 13" o:spid="_x0000_s1073" type="#_x0000_t34" style="position:absolute;left:13375;top:7620;width:3903;height:471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" adj="11255" strokecolor="black [3213]" strokeweight="1.5pt">
                  <v:stroke endarrow="block"/>
                </v:shape>
                <v:shape id="Straight Arrow Connector 14" o:spid="_x0000_s1074" type="#_x0000_t32" style="position:absolute;left:30885;top:3218;width:37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" strokecolor="black [3213]" strokeweight="1.5pt">
                  <v:stroke endarrow="block"/>
                </v:shape>
                <w10:wrap type="square" anchorx="margin"/>
              </v:group>
            </w:pict>
          </mc:Fallback>
        </mc:AlternateContent>
      </w:r>
      <w:bookmarkEnd w:id="99"/>
    </w:p>
    <w:p w14:paraId="317FA6C0" w14:textId="65B5CCBB" w:rsidR="004E4533" w:rsidRDefault="004E4533" w:rsidP="00030934"/>
    <w:p w14:paraId="2FE9D8B1" w14:textId="74CE4412" w:rsidR="004E4533" w:rsidRPr="00E53A43" w:rsidRDefault="004E4533" w:rsidP="00030934"/>
    <w:p w14:paraId="621DFC91" w14:textId="2F9D259E" w:rsidR="00BC5F7A" w:rsidRDefault="00BC5F7A" w:rsidP="003B305E">
      <w:pPr>
        <w:pStyle w:val="BodyText"/>
      </w:pPr>
      <w:bookmarkStart w:id="100" w:name="_Toc204771905"/>
    </w:p>
    <w:p w14:paraId="593D4089" w14:textId="77777777" w:rsidR="000075FE" w:rsidRDefault="000075FE" w:rsidP="000075FE">
      <w:pPr>
        <w:pStyle w:val="BodyText"/>
        <w:rPr>
          <w:lang w:eastAsia="en-AU"/>
        </w:rPr>
      </w:pPr>
    </w:p>
    <w:p w14:paraId="51D71917" w14:textId="77777777" w:rsidR="000075FE" w:rsidRDefault="000075FE" w:rsidP="000075FE">
      <w:pPr>
        <w:pStyle w:val="BodyText"/>
        <w:rPr>
          <w:lang w:eastAsia="en-AU"/>
        </w:rPr>
      </w:pPr>
    </w:p>
    <w:p w14:paraId="793D3927" w14:textId="77777777" w:rsidR="00CC38F8" w:rsidRDefault="00CC38F8" w:rsidP="00CC38F8">
      <w:pPr>
        <w:pStyle w:val="BodyText"/>
        <w:rPr>
          <w:lang w:eastAsia="en-GB"/>
        </w:rPr>
      </w:pPr>
    </w:p>
    <w:p w14:paraId="22EE3859" w14:textId="77777777" w:rsidR="00096410" w:rsidRDefault="00096410" w:rsidP="002E5397">
      <w:pPr>
        <w:pStyle w:val="Source"/>
      </w:pPr>
    </w:p>
    <w:p w14:paraId="4495A675" w14:textId="77777777" w:rsidR="00514C6F" w:rsidRDefault="00514C6F" w:rsidP="002E5397">
      <w:pPr>
        <w:pStyle w:val="Source"/>
      </w:pPr>
    </w:p>
    <w:p w14:paraId="7B17C4E3" w14:textId="77777777" w:rsidR="00514C6F" w:rsidRDefault="00514C6F" w:rsidP="002E5397">
      <w:pPr>
        <w:pStyle w:val="Source"/>
      </w:pPr>
    </w:p>
    <w:p w14:paraId="405A5BB4" w14:textId="1D8E6725" w:rsidR="00A25B21" w:rsidRPr="002E5397" w:rsidRDefault="00BF11A7" w:rsidP="002E5397">
      <w:pPr>
        <w:pStyle w:val="Source"/>
      </w:pPr>
      <w:r w:rsidRPr="002E5397">
        <w:t xml:space="preserve">Source: Jobs and Skills Australia. </w:t>
      </w:r>
    </w:p>
    <w:p w14:paraId="4AF44A33" w14:textId="68FE721D" w:rsidR="00030934" w:rsidRPr="00E53A43" w:rsidRDefault="00030934" w:rsidP="0005618E">
      <w:pPr>
        <w:pStyle w:val="Heading4"/>
      </w:pPr>
      <w:r w:rsidRPr="00E53A43">
        <w:t>Case 4: New occupations</w:t>
      </w:r>
      <w:bookmarkEnd w:id="100"/>
    </w:p>
    <w:p w14:paraId="3372B0B1" w14:textId="643C8A1B" w:rsidR="00571771" w:rsidRDefault="00030934" w:rsidP="00571771">
      <w:pPr>
        <w:pStyle w:val="BodyText"/>
      </w:pPr>
      <w:r w:rsidRPr="00E53A43">
        <w:t xml:space="preserve">Fifteen occupations were introduced in 2022 ANZSCO and do not map from any occupation on 2013 </w:t>
      </w:r>
      <w:r w:rsidR="00E23D0A">
        <w:t xml:space="preserve">ANZSCO. </w:t>
      </w:r>
      <w:r w:rsidRPr="00E53A43">
        <w:t xml:space="preserve">In </w:t>
      </w:r>
      <w:r w:rsidRPr="00617C47">
        <w:t>this</w:t>
      </w:r>
      <w:r w:rsidRPr="00E53A43">
        <w:t xml:space="preserve"> case, there is no historical data from SERA and REOS</w:t>
      </w:r>
      <w:r w:rsidR="00B13A53">
        <w:t xml:space="preserve">, including </w:t>
      </w:r>
      <w:r w:rsidR="00512B3A" w:rsidRPr="00512B3A">
        <w:t xml:space="preserve">GBM fill rates. As such, the previous year ratings (2024 OSL) are applied as the </w:t>
      </w:r>
      <w:r w:rsidR="00512B3A">
        <w:t xml:space="preserve">stage 1, </w:t>
      </w:r>
      <w:r w:rsidR="00512B3A" w:rsidRPr="00512B3A">
        <w:t>preliminary ratings for these occupations in the first instance</w:t>
      </w:r>
      <w:r w:rsidR="00266472">
        <w:t xml:space="preserve">. </w:t>
      </w:r>
      <w:r w:rsidR="00512B3A" w:rsidRPr="00512B3A">
        <w:t xml:space="preserve">These ratings </w:t>
      </w:r>
      <w:r w:rsidR="00266472">
        <w:t xml:space="preserve">are then </w:t>
      </w:r>
      <w:r w:rsidR="00512B3A" w:rsidRPr="00512B3A">
        <w:t>verified further using additional evidence</w:t>
      </w:r>
      <w:r w:rsidR="00A42A41">
        <w:t>, where 2022 ANZSCO data for them exists,</w:t>
      </w:r>
      <w:r w:rsidR="00512B3A" w:rsidRPr="00512B3A">
        <w:t xml:space="preserve"> including feedback from stakeholders.</w:t>
      </w:r>
    </w:p>
    <w:p w14:paraId="3FC38AF7" w14:textId="4B537BF0" w:rsidR="006A6269" w:rsidRDefault="006A6269" w:rsidP="003B305E">
      <w:pPr>
        <w:pStyle w:val="Heading3"/>
      </w:pPr>
      <w:bookmarkStart w:id="101" w:name="_Toc211425374"/>
      <w:r w:rsidRPr="006A6269">
        <w:t>Mapping from 2022 ANZSCO to 2024 OSCA</w:t>
      </w:r>
      <w:bookmarkEnd w:id="101"/>
    </w:p>
    <w:p w14:paraId="0AD930AC" w14:textId="7179E4A1" w:rsidR="00D26DE3" w:rsidRPr="00D26DE3" w:rsidRDefault="00D26DE3" w:rsidP="0027763F">
      <w:pPr>
        <w:pStyle w:val="BodyText"/>
      </w:pPr>
      <w:r w:rsidRPr="00D26DE3">
        <w:t>J</w:t>
      </w:r>
      <w:r>
        <w:t xml:space="preserve">obs and Skills Australia </w:t>
      </w:r>
      <w:r w:rsidRPr="00D26DE3">
        <w:t xml:space="preserve">use ANZSCO to OSCA correspondence tables, provided by ABS, and the </w:t>
      </w:r>
      <w:r w:rsidR="004075E9">
        <w:t xml:space="preserve">2022 ANZSCO </w:t>
      </w:r>
      <w:r w:rsidRPr="00D26DE3">
        <w:t xml:space="preserve">OSL ratings to create OSL ratings on OSCA. </w:t>
      </w:r>
    </w:p>
    <w:p w14:paraId="057E32B4" w14:textId="0EBDD92F" w:rsidR="009B6DE5" w:rsidRDefault="00955D85" w:rsidP="00955D85">
      <w:pPr>
        <w:pStyle w:val="BodyText"/>
      </w:pPr>
      <w:r w:rsidRPr="00955D85">
        <w:t>The concordance between ANZSCO and OSCA includes</w:t>
      </w:r>
      <w:r w:rsidR="007B312B">
        <w:t>:</w:t>
      </w:r>
    </w:p>
    <w:p w14:paraId="29628BD1" w14:textId="7EC054CA" w:rsidR="009B6DE5" w:rsidRDefault="00955D85" w:rsidP="009B6DE5">
      <w:pPr>
        <w:pStyle w:val="ListBullet"/>
      </w:pPr>
      <w:r w:rsidRPr="00955D85">
        <w:lastRenderedPageBreak/>
        <w:t>one-to-one (70%</w:t>
      </w:r>
      <w:r w:rsidR="009B6DE5">
        <w:t xml:space="preserve"> of 2022 ANZSCO occupations</w:t>
      </w:r>
      <w:r w:rsidRPr="00955D85">
        <w:t xml:space="preserve">) </w:t>
      </w:r>
    </w:p>
    <w:p w14:paraId="486C3DA0" w14:textId="29A29C6A" w:rsidR="007B312B" w:rsidRDefault="00955D85" w:rsidP="009B6DE5">
      <w:pPr>
        <w:pStyle w:val="ListBullet"/>
      </w:pPr>
      <w:r w:rsidRPr="00955D85">
        <w:t>partial or mixed mapping (30%</w:t>
      </w:r>
      <w:r w:rsidR="009B6DE5">
        <w:t xml:space="preserve"> </w:t>
      </w:r>
      <w:r w:rsidR="009B6DE5" w:rsidRPr="009B6DE5">
        <w:t>of 2022 ANZSCO occupations</w:t>
      </w:r>
      <w:r w:rsidRPr="00955D85">
        <w:t>).</w:t>
      </w:r>
    </w:p>
    <w:p w14:paraId="3EEB6860" w14:textId="03837022" w:rsidR="0036176D" w:rsidRDefault="00955D85" w:rsidP="00B30B0C">
      <w:pPr>
        <w:pStyle w:val="BodyText"/>
      </w:pPr>
      <w:r w:rsidRPr="00955D85">
        <w:t xml:space="preserve">The mapping between ANZSCO </w:t>
      </w:r>
      <w:r w:rsidR="00AA280E">
        <w:t xml:space="preserve">and </w:t>
      </w:r>
      <w:r w:rsidRPr="00955D85">
        <w:t xml:space="preserve">OSCA </w:t>
      </w:r>
      <w:r w:rsidR="00750E70">
        <w:t xml:space="preserve">is </w:t>
      </w:r>
      <w:r w:rsidRPr="00955D85">
        <w:t>challenging for partial</w:t>
      </w:r>
      <w:r w:rsidR="00750E70">
        <w:t xml:space="preserve"> or </w:t>
      </w:r>
      <w:r w:rsidRPr="00955D85">
        <w:t xml:space="preserve">mixed mappings, or when an ANZSCO code splits into </w:t>
      </w:r>
      <w:r w:rsidR="00750E70">
        <w:t xml:space="preserve">several (or many) </w:t>
      </w:r>
      <w:r w:rsidRPr="00955D85">
        <w:t xml:space="preserve">different OSCA </w:t>
      </w:r>
      <w:r w:rsidR="00750E70">
        <w:t>occupations</w:t>
      </w:r>
      <w:r w:rsidRPr="00955D85">
        <w:t>.</w:t>
      </w:r>
      <w:r w:rsidR="006A4858">
        <w:t xml:space="preserve"> The challenges are further heightened </w:t>
      </w:r>
      <w:r w:rsidR="00B30B0C">
        <w:t xml:space="preserve">as no </w:t>
      </w:r>
      <w:r w:rsidR="00700239">
        <w:t xml:space="preserve">data exists – particularly employment level </w:t>
      </w:r>
      <w:r w:rsidR="00E718D7">
        <w:t xml:space="preserve">for occupations – on OSCA. </w:t>
      </w:r>
      <w:r w:rsidR="005224B2">
        <w:t xml:space="preserve">Therefore, assumptions were </w:t>
      </w:r>
      <w:r w:rsidR="00E607E1">
        <w:t xml:space="preserve">used </w:t>
      </w:r>
      <w:r w:rsidR="005224B2">
        <w:t>to co</w:t>
      </w:r>
      <w:r w:rsidR="00241F1B">
        <w:t>n</w:t>
      </w:r>
      <w:r w:rsidR="005224B2">
        <w:t xml:space="preserve">vert </w:t>
      </w:r>
      <w:r w:rsidR="00CF24F2">
        <w:t xml:space="preserve">2022 ANZSCO </w:t>
      </w:r>
      <w:r w:rsidR="00A66CDC">
        <w:t xml:space="preserve">occupation ratings </w:t>
      </w:r>
      <w:r w:rsidR="00CF24F2">
        <w:t>to OSCA</w:t>
      </w:r>
      <w:r w:rsidR="0048470A">
        <w:t xml:space="preserve">, including for occupations that </w:t>
      </w:r>
      <w:r w:rsidR="00D764DD">
        <w:t xml:space="preserve">are new to </w:t>
      </w:r>
      <w:r w:rsidR="009C32DB">
        <w:t xml:space="preserve">OSCA and did not exist </w:t>
      </w:r>
      <w:r w:rsidR="00E607E1">
        <w:t xml:space="preserve">under ANZSCO </w:t>
      </w:r>
      <w:r w:rsidR="0059524A">
        <w:t>(</w:t>
      </w:r>
      <w:r w:rsidR="002277E5">
        <w:fldChar w:fldCharType="begin"/>
      </w:r>
      <w:r w:rsidR="002277E5">
        <w:instrText xml:space="preserve"> REF _Ref207715537 \h </w:instrText>
      </w:r>
      <w:r w:rsidR="002277E5">
        <w:fldChar w:fldCharType="separate"/>
      </w:r>
      <w:r w:rsidR="00F6227E">
        <w:t>Table B</w:t>
      </w:r>
      <w:r w:rsidR="00F6227E">
        <w:rPr>
          <w:noProof/>
        </w:rPr>
        <w:t>1</w:t>
      </w:r>
      <w:r w:rsidR="002277E5">
        <w:fldChar w:fldCharType="end"/>
      </w:r>
      <w:r w:rsidR="0059524A">
        <w:t>)</w:t>
      </w:r>
      <w:r w:rsidR="00CF24F2">
        <w:t xml:space="preserve">. </w:t>
      </w:r>
    </w:p>
    <w:p w14:paraId="062352C1" w14:textId="463DE140" w:rsidR="00DA75D6" w:rsidRDefault="002277E5" w:rsidP="002277E5">
      <w:pPr>
        <w:pStyle w:val="Caption"/>
      </w:pPr>
      <w:bookmarkStart w:id="102" w:name="_Ref207715537"/>
      <w:bookmarkStart w:id="103" w:name="_Toc211421404"/>
      <w:r>
        <w:t>Table B</w:t>
      </w:r>
      <w:r>
        <w:fldChar w:fldCharType="begin"/>
      </w:r>
      <w:r>
        <w:instrText xml:space="preserve"> SEQ Table_B \* ARABIC </w:instrText>
      </w:r>
      <w:r>
        <w:fldChar w:fldCharType="separate"/>
      </w:r>
      <w:r w:rsidR="00F6227E">
        <w:rPr>
          <w:noProof/>
        </w:rPr>
        <w:t>1</w:t>
      </w:r>
      <w:r>
        <w:fldChar w:fldCharType="end"/>
      </w:r>
      <w:bookmarkEnd w:id="102"/>
      <w:r w:rsidR="00643380">
        <w:t xml:space="preserve">: </w:t>
      </w:r>
      <w:r w:rsidR="000E639C">
        <w:t xml:space="preserve">Rules and assumptions underpinning </w:t>
      </w:r>
      <w:r w:rsidR="00D46307">
        <w:t>ANZSCO to OSCA mapping</w:t>
      </w:r>
      <w:bookmarkEnd w:id="103"/>
    </w:p>
    <w:tbl>
      <w:tblPr>
        <w:tblStyle w:val="CustomTablebasic"/>
        <w:tblW w:w="0" w:type="auto"/>
        <w:tblLook w:val="04A0" w:firstRow="1" w:lastRow="0" w:firstColumn="1" w:lastColumn="0" w:noHBand="0" w:noVBand="1"/>
      </w:tblPr>
      <w:tblGrid>
        <w:gridCol w:w="3544"/>
        <w:gridCol w:w="5483"/>
      </w:tblGrid>
      <w:tr w:rsidR="00C4706B" w14:paraId="7D89EE65" w14:textId="77777777" w:rsidTr="001A650D">
        <w:trPr>
          <w:cnfStyle w:val="100000000000" w:firstRow="1" w:lastRow="0" w:firstColumn="0" w:lastColumn="0" w:oddVBand="0" w:evenVBand="0" w:oddHBand="0" w:evenHBand="0" w:firstRowFirstColumn="0" w:firstRowLastColumn="0" w:lastRowFirstColumn="0" w:lastRowLastColumn="0"/>
        </w:trPr>
        <w:tc>
          <w:tcPr>
            <w:tcW w:w="3544" w:type="dxa"/>
          </w:tcPr>
          <w:p w14:paraId="7FAC1FF7" w14:textId="2FC758D5" w:rsidR="00643380" w:rsidRDefault="002E1C76" w:rsidP="001A650D">
            <w:pPr>
              <w:pStyle w:val="TableHeading1"/>
            </w:pPr>
            <w:r>
              <w:t>Rule/a</w:t>
            </w:r>
            <w:r w:rsidR="00CD547C">
              <w:t>ssumptions</w:t>
            </w:r>
          </w:p>
        </w:tc>
        <w:tc>
          <w:tcPr>
            <w:tcW w:w="5483" w:type="dxa"/>
          </w:tcPr>
          <w:p w14:paraId="0953509A" w14:textId="28093A20" w:rsidR="00643380" w:rsidRDefault="00CD547C" w:rsidP="001A650D">
            <w:pPr>
              <w:pStyle w:val="TableHeading1"/>
            </w:pPr>
            <w:r>
              <w:t xml:space="preserve">Reason </w:t>
            </w:r>
          </w:p>
        </w:tc>
      </w:tr>
      <w:tr w:rsidR="00643380" w14:paraId="5347E76B" w14:textId="77777777" w:rsidTr="001A650D">
        <w:tc>
          <w:tcPr>
            <w:tcW w:w="3544" w:type="dxa"/>
          </w:tcPr>
          <w:p w14:paraId="4C620D6C" w14:textId="377155EC" w:rsidR="00643380" w:rsidRDefault="006A0EDD" w:rsidP="001A650D">
            <w:pPr>
              <w:pStyle w:val="TableBodyText"/>
            </w:pPr>
            <w:r>
              <w:t xml:space="preserve">Equal split rule </w:t>
            </w:r>
          </w:p>
        </w:tc>
        <w:tc>
          <w:tcPr>
            <w:tcW w:w="5483" w:type="dxa"/>
          </w:tcPr>
          <w:p w14:paraId="68A9C06C" w14:textId="1B3FFC3D" w:rsidR="00643380" w:rsidRDefault="005F16E8" w:rsidP="001A650D">
            <w:pPr>
              <w:pStyle w:val="TableBodyText"/>
            </w:pPr>
            <w:r>
              <w:t xml:space="preserve">At the time that the 2025 OSL was verified, </w:t>
            </w:r>
            <w:r w:rsidR="008A6A33">
              <w:t>J</w:t>
            </w:r>
            <w:r w:rsidR="00CD7529">
              <w:t xml:space="preserve">obs and Skills Australia </w:t>
            </w:r>
            <w:r>
              <w:t xml:space="preserve">did not </w:t>
            </w:r>
            <w:r w:rsidR="000578AC">
              <w:t xml:space="preserve">have </w:t>
            </w:r>
            <w:r w:rsidR="0001021A">
              <w:t xml:space="preserve">employment sizes coded to OSCA. Therefore, </w:t>
            </w:r>
            <w:r w:rsidR="00D02BEC">
              <w:t xml:space="preserve">an </w:t>
            </w:r>
            <w:r w:rsidR="0001021A">
              <w:t>even spli</w:t>
            </w:r>
            <w:r w:rsidR="00D02BEC">
              <w:t>t</w:t>
            </w:r>
            <w:r w:rsidR="0001021A">
              <w:t xml:space="preserve"> of occupations</w:t>
            </w:r>
            <w:r w:rsidR="00D02BEC">
              <w:t xml:space="preserve"> was assumed</w:t>
            </w:r>
            <w:r w:rsidR="008416B1">
              <w:t xml:space="preserve"> </w:t>
            </w:r>
            <w:r w:rsidR="00A2261B">
              <w:t xml:space="preserve">using </w:t>
            </w:r>
            <w:r w:rsidR="00A667A0">
              <w:t xml:space="preserve">the </w:t>
            </w:r>
            <w:r w:rsidR="00A2261B">
              <w:t xml:space="preserve">ABS </w:t>
            </w:r>
            <w:r w:rsidR="006A699D">
              <w:t xml:space="preserve">2021 </w:t>
            </w:r>
            <w:r w:rsidR="00A2261B">
              <w:t>Census</w:t>
            </w:r>
            <w:r w:rsidR="006A699D">
              <w:t xml:space="preserve"> of Population and Housing </w:t>
            </w:r>
            <w:r w:rsidR="009045DD">
              <w:t xml:space="preserve">data </w:t>
            </w:r>
            <w:r w:rsidR="002E5E64">
              <w:t>coded to ANZSCO 2022</w:t>
            </w:r>
            <w:r w:rsidR="00C533AF">
              <w:t xml:space="preserve"> classification</w:t>
            </w:r>
            <w:r w:rsidR="0001021A">
              <w:t>.</w:t>
            </w:r>
          </w:p>
        </w:tc>
      </w:tr>
      <w:tr w:rsidR="00C4706B" w14:paraId="5C76B946" w14:textId="77777777" w:rsidTr="001A650D">
        <w:trPr>
          <w:cnfStyle w:val="000000010000" w:firstRow="0" w:lastRow="0" w:firstColumn="0" w:lastColumn="0" w:oddVBand="0" w:evenVBand="0" w:oddHBand="0" w:evenHBand="1" w:firstRowFirstColumn="0" w:firstRowLastColumn="0" w:lastRowFirstColumn="0" w:lastRowLastColumn="0"/>
        </w:trPr>
        <w:tc>
          <w:tcPr>
            <w:tcW w:w="3544" w:type="dxa"/>
          </w:tcPr>
          <w:p w14:paraId="0885DB33" w14:textId="5254D827" w:rsidR="00643380" w:rsidRDefault="006A0EDD" w:rsidP="001A650D">
            <w:pPr>
              <w:pStyle w:val="TableBodyText"/>
            </w:pPr>
            <w:r>
              <w:t>Majority employment share rule</w:t>
            </w:r>
          </w:p>
        </w:tc>
        <w:tc>
          <w:tcPr>
            <w:tcW w:w="5483" w:type="dxa"/>
          </w:tcPr>
          <w:p w14:paraId="1236F983" w14:textId="33F8EE37" w:rsidR="00643380" w:rsidRDefault="001D02D6" w:rsidP="001A650D">
            <w:pPr>
              <w:pStyle w:val="TableBodyText"/>
            </w:pPr>
            <w:r>
              <w:t xml:space="preserve">Where an </w:t>
            </w:r>
            <w:r w:rsidR="00B13B92">
              <w:t xml:space="preserve">OSCA </w:t>
            </w:r>
            <w:r>
              <w:t xml:space="preserve">occupation has a shortage </w:t>
            </w:r>
            <w:r w:rsidR="00B13B92">
              <w:t xml:space="preserve">rating </w:t>
            </w:r>
            <w:r>
              <w:t>for occupations under ANZSCO representing a</w:t>
            </w:r>
            <w:r w:rsidR="00B13B92">
              <w:t xml:space="preserve"> majority of its employment size, this is </w:t>
            </w:r>
            <w:r w:rsidR="00185849">
              <w:t xml:space="preserve">used as </w:t>
            </w:r>
            <w:r w:rsidR="00C47D80">
              <w:t>the</w:t>
            </w:r>
            <w:r w:rsidR="00B13B92">
              <w:t xml:space="preserve"> most </w:t>
            </w:r>
            <w:r w:rsidR="00C47D80">
              <w:t>appropriate rating for the OSCA occupation.</w:t>
            </w:r>
          </w:p>
        </w:tc>
      </w:tr>
      <w:tr w:rsidR="00353B0E" w14:paraId="3E004AAC" w14:textId="77777777" w:rsidTr="001A650D">
        <w:tc>
          <w:tcPr>
            <w:tcW w:w="3544" w:type="dxa"/>
          </w:tcPr>
          <w:p w14:paraId="169513F3" w14:textId="4892B5F0" w:rsidR="00353B0E" w:rsidRDefault="00312507" w:rsidP="001A650D">
            <w:pPr>
              <w:pStyle w:val="TableBodyText"/>
            </w:pPr>
            <w:r>
              <w:t>Title match rule</w:t>
            </w:r>
          </w:p>
        </w:tc>
        <w:tc>
          <w:tcPr>
            <w:tcW w:w="5483" w:type="dxa"/>
          </w:tcPr>
          <w:p w14:paraId="702B08DF" w14:textId="00BC8189" w:rsidR="00353B0E" w:rsidRDefault="00E60C3D" w:rsidP="001A650D">
            <w:pPr>
              <w:pStyle w:val="TableBodyText"/>
            </w:pPr>
            <w:r>
              <w:t>For consistency across classifications, if an occupation has the same title in</w:t>
            </w:r>
            <w:r w:rsidR="00DC192D">
              <w:t xml:space="preserve"> </w:t>
            </w:r>
            <w:r>
              <w:t xml:space="preserve">OSCA as an occupation </w:t>
            </w:r>
            <w:r w:rsidR="00024DCC">
              <w:t>in ANZSCO 2022, the same rating is applied.</w:t>
            </w:r>
          </w:p>
        </w:tc>
      </w:tr>
      <w:tr w:rsidR="00C4706B" w14:paraId="377198BD" w14:textId="77777777" w:rsidTr="001A650D">
        <w:trPr>
          <w:cnfStyle w:val="000000010000" w:firstRow="0" w:lastRow="0" w:firstColumn="0" w:lastColumn="0" w:oddVBand="0" w:evenVBand="0" w:oddHBand="0" w:evenHBand="1" w:firstRowFirstColumn="0" w:firstRowLastColumn="0" w:lastRowFirstColumn="0" w:lastRowLastColumn="0"/>
        </w:trPr>
        <w:tc>
          <w:tcPr>
            <w:tcW w:w="3544" w:type="dxa"/>
          </w:tcPr>
          <w:p w14:paraId="19C455BD" w14:textId="47E73AE8" w:rsidR="006A0EDD" w:rsidRDefault="00F209C0" w:rsidP="001A650D">
            <w:pPr>
              <w:pStyle w:val="TableBodyText"/>
            </w:pPr>
            <w:r>
              <w:t>Rule for new OSCA occupations</w:t>
            </w:r>
          </w:p>
        </w:tc>
        <w:tc>
          <w:tcPr>
            <w:tcW w:w="5483" w:type="dxa"/>
          </w:tcPr>
          <w:p w14:paraId="1C1A00FD" w14:textId="5AC22249" w:rsidR="006A0EDD" w:rsidRDefault="00F45154" w:rsidP="001A650D">
            <w:pPr>
              <w:pStyle w:val="TableBodyText"/>
            </w:pPr>
            <w:r>
              <w:t>In the absence of compelling evidence for shortage, the default rating is NS</w:t>
            </w:r>
            <w:r w:rsidR="00847F61">
              <w:t xml:space="preserve">. </w:t>
            </w:r>
          </w:p>
        </w:tc>
      </w:tr>
    </w:tbl>
    <w:p w14:paraId="5E8BBCFB" w14:textId="2CB11FD9" w:rsidR="00643380" w:rsidRPr="00030934" w:rsidRDefault="001E14EF" w:rsidP="001A650D">
      <w:pPr>
        <w:pStyle w:val="Source"/>
      </w:pPr>
      <w:r>
        <w:t xml:space="preserve">Source: Jobs and Skills Australia. </w:t>
      </w:r>
    </w:p>
    <w:p w14:paraId="1DAAB0B2" w14:textId="088EFAB2" w:rsidR="002069A2" w:rsidRPr="00E53A43" w:rsidRDefault="004467A5" w:rsidP="002069A2">
      <w:pPr>
        <w:pStyle w:val="Heading2"/>
      </w:pPr>
      <w:bookmarkStart w:id="104" w:name="_Ref207569330"/>
      <w:bookmarkStart w:id="105" w:name="_Toc175157209"/>
      <w:bookmarkStart w:id="106" w:name="_Toc204771910"/>
      <w:bookmarkStart w:id="107" w:name="_Ref207569247"/>
      <w:bookmarkStart w:id="108" w:name="_Toc211425375"/>
      <w:r>
        <w:t xml:space="preserve">Appendix </w:t>
      </w:r>
      <w:r>
        <w:fldChar w:fldCharType="begin"/>
      </w:r>
      <w:r>
        <w:instrText xml:space="preserve"> SEQ Appendix \* ALPHABETIC </w:instrText>
      </w:r>
      <w:r>
        <w:fldChar w:fldCharType="separate"/>
      </w:r>
      <w:r w:rsidR="00F6227E">
        <w:rPr>
          <w:noProof/>
        </w:rPr>
        <w:t>C</w:t>
      </w:r>
      <w:r>
        <w:fldChar w:fldCharType="end"/>
      </w:r>
      <w:bookmarkEnd w:id="104"/>
      <w:r w:rsidR="000830EC">
        <w:t>:</w:t>
      </w:r>
      <w:r w:rsidR="002069A2" w:rsidRPr="00E53A43">
        <w:t xml:space="preserve"> GBM input variables</w:t>
      </w:r>
      <w:bookmarkEnd w:id="105"/>
      <w:bookmarkEnd w:id="106"/>
      <w:bookmarkEnd w:id="107"/>
      <w:bookmarkEnd w:id="108"/>
    </w:p>
    <w:p w14:paraId="384951DD" w14:textId="14AB0D60" w:rsidR="002069A2" w:rsidRPr="002069A2" w:rsidRDefault="00022EF2" w:rsidP="00263745">
      <w:pPr>
        <w:pStyle w:val="BodyText"/>
      </w:pPr>
      <w:r>
        <w:t xml:space="preserve">Table </w:t>
      </w:r>
      <w:r w:rsidR="00263789">
        <w:t>C</w:t>
      </w:r>
      <w:r w:rsidR="006D4BB7">
        <w:t>1</w:t>
      </w:r>
      <w:r>
        <w:t xml:space="preserve"> lists </w:t>
      </w:r>
      <w:r w:rsidR="00CB39FC">
        <w:t>the GBM</w:t>
      </w:r>
      <w:r w:rsidR="00397446">
        <w:t xml:space="preserve"> inputs and their source</w:t>
      </w:r>
      <w:r w:rsidR="00CB39FC">
        <w:t xml:space="preserve">. </w:t>
      </w:r>
    </w:p>
    <w:p w14:paraId="1FFA4B33" w14:textId="5A6CA2C1" w:rsidR="00004205" w:rsidRPr="00004205" w:rsidRDefault="002277E5" w:rsidP="002277E5">
      <w:pPr>
        <w:pStyle w:val="Caption"/>
      </w:pPr>
      <w:bookmarkStart w:id="109" w:name="_Ref207716225"/>
      <w:bookmarkStart w:id="110" w:name="_Toc211421405"/>
      <w:r>
        <w:t>Table C</w:t>
      </w:r>
      <w:r>
        <w:fldChar w:fldCharType="begin"/>
      </w:r>
      <w:r>
        <w:instrText xml:space="preserve"> SEQ Table_C \* ARABIC </w:instrText>
      </w:r>
      <w:r>
        <w:fldChar w:fldCharType="separate"/>
      </w:r>
      <w:r w:rsidR="00F6227E">
        <w:rPr>
          <w:noProof/>
        </w:rPr>
        <w:t>1</w:t>
      </w:r>
      <w:r>
        <w:fldChar w:fldCharType="end"/>
      </w:r>
      <w:bookmarkEnd w:id="109"/>
      <w:r>
        <w:t xml:space="preserve">: </w:t>
      </w:r>
      <w:r w:rsidR="002069A2" w:rsidRPr="00E53A43">
        <w:t>GBM input variables</w:t>
      </w:r>
      <w:bookmarkEnd w:id="110"/>
    </w:p>
    <w:tbl>
      <w:tblPr>
        <w:tblStyle w:val="CustomTablebasic"/>
        <w:tblW w:w="5000" w:type="pct"/>
        <w:tblLayout w:type="fixed"/>
        <w:tblLook w:val="04A0" w:firstRow="1" w:lastRow="0" w:firstColumn="1" w:lastColumn="0" w:noHBand="0" w:noVBand="1"/>
      </w:tblPr>
      <w:tblGrid>
        <w:gridCol w:w="3119"/>
        <w:gridCol w:w="1356"/>
        <w:gridCol w:w="1905"/>
        <w:gridCol w:w="2647"/>
      </w:tblGrid>
      <w:tr w:rsidR="00A5233A" w14:paraId="620AC694" w14:textId="77777777" w:rsidTr="00A5233A">
        <w:trPr>
          <w:cnfStyle w:val="100000000000" w:firstRow="1" w:lastRow="0" w:firstColumn="0" w:lastColumn="0" w:oddVBand="0" w:evenVBand="0" w:oddHBand="0" w:evenHBand="0" w:firstRowFirstColumn="0" w:firstRowLastColumn="0" w:lastRowFirstColumn="0" w:lastRowLastColumn="0"/>
          <w:tblHeader/>
        </w:trPr>
        <w:tc>
          <w:tcPr>
            <w:tcW w:w="1728" w:type="pct"/>
          </w:tcPr>
          <w:p w14:paraId="6023AFBA" w14:textId="77777777" w:rsidR="00004205" w:rsidRPr="00004205" w:rsidRDefault="00004205" w:rsidP="00004205">
            <w:pPr>
              <w:pStyle w:val="TableHeading1"/>
            </w:pPr>
            <w:r w:rsidRPr="00004205">
              <w:t>Variable</w:t>
            </w:r>
          </w:p>
        </w:tc>
        <w:tc>
          <w:tcPr>
            <w:tcW w:w="751" w:type="pct"/>
          </w:tcPr>
          <w:p w14:paraId="5419685B" w14:textId="77777777" w:rsidR="00004205" w:rsidRPr="00004205" w:rsidRDefault="00004205" w:rsidP="00004205">
            <w:pPr>
              <w:pStyle w:val="TableHeading1"/>
            </w:pPr>
            <w:r w:rsidRPr="00004205">
              <w:t>Geography</w:t>
            </w:r>
          </w:p>
        </w:tc>
        <w:tc>
          <w:tcPr>
            <w:tcW w:w="1055" w:type="pct"/>
          </w:tcPr>
          <w:p w14:paraId="6DC55993" w14:textId="565A1F99" w:rsidR="00004205" w:rsidRPr="00004205" w:rsidRDefault="00FD6CC6" w:rsidP="00004205">
            <w:pPr>
              <w:pStyle w:val="TableHeading1"/>
            </w:pPr>
            <w:r>
              <w:t>Period</w:t>
            </w:r>
          </w:p>
        </w:tc>
        <w:tc>
          <w:tcPr>
            <w:tcW w:w="1467" w:type="pct"/>
          </w:tcPr>
          <w:p w14:paraId="470A5988" w14:textId="77777777" w:rsidR="00004205" w:rsidRPr="00004205" w:rsidRDefault="00004205" w:rsidP="00004205">
            <w:pPr>
              <w:pStyle w:val="TableHeading1"/>
            </w:pPr>
            <w:r w:rsidRPr="00004205">
              <w:t>Source</w:t>
            </w:r>
          </w:p>
        </w:tc>
      </w:tr>
      <w:tr w:rsidR="00004205" w14:paraId="7EC61851" w14:textId="77777777" w:rsidTr="008A6A33">
        <w:tc>
          <w:tcPr>
            <w:tcW w:w="1728" w:type="pct"/>
          </w:tcPr>
          <w:p w14:paraId="38B97BCC" w14:textId="77777777" w:rsidR="00004205" w:rsidRPr="00004205" w:rsidRDefault="00004205" w:rsidP="00326CC3">
            <w:pPr>
              <w:pStyle w:val="TableBodyText"/>
            </w:pPr>
            <w:r w:rsidRPr="00004205">
              <w:t>IVI vacancies per employed</w:t>
            </w:r>
          </w:p>
          <w:p w14:paraId="3ECF1E3F" w14:textId="5A7B1762" w:rsidR="00004205" w:rsidRPr="00004205" w:rsidRDefault="00004205" w:rsidP="00326CC3">
            <w:pPr>
              <w:pStyle w:val="TableBodyText"/>
            </w:pPr>
            <w:r w:rsidRPr="00004205">
              <w:t>IVI vacancies per employed 3</w:t>
            </w:r>
            <w:r w:rsidR="00E30DA3">
              <w:t xml:space="preserve"> </w:t>
            </w:r>
            <w:r w:rsidRPr="00004205">
              <w:t>year change</w:t>
            </w:r>
          </w:p>
        </w:tc>
        <w:tc>
          <w:tcPr>
            <w:tcW w:w="751" w:type="pct"/>
          </w:tcPr>
          <w:p w14:paraId="2AC82843" w14:textId="77777777" w:rsidR="00004205" w:rsidRPr="00004205" w:rsidRDefault="00004205" w:rsidP="00AB47B2">
            <w:pPr>
              <w:pStyle w:val="TableBodyText"/>
            </w:pPr>
            <w:r w:rsidRPr="00004205">
              <w:t>State</w:t>
            </w:r>
          </w:p>
        </w:tc>
        <w:tc>
          <w:tcPr>
            <w:tcW w:w="1055" w:type="pct"/>
          </w:tcPr>
          <w:p w14:paraId="5BBD4FDB" w14:textId="2D2E4FFC" w:rsidR="00004205" w:rsidRPr="00004205" w:rsidRDefault="00004205" w:rsidP="0064281C">
            <w:pPr>
              <w:pStyle w:val="TableBodyText"/>
            </w:pPr>
            <w:r w:rsidRPr="00004205">
              <w:t>2006</w:t>
            </w:r>
            <w:r w:rsidR="00F47DC1">
              <w:t xml:space="preserve"> to </w:t>
            </w:r>
            <w:r w:rsidRPr="00004205">
              <w:t>2025</w:t>
            </w:r>
          </w:p>
        </w:tc>
        <w:tc>
          <w:tcPr>
            <w:tcW w:w="1467" w:type="pct"/>
          </w:tcPr>
          <w:p w14:paraId="08AD6346" w14:textId="77777777" w:rsidR="00004205" w:rsidRPr="00004205" w:rsidRDefault="00004205" w:rsidP="00AB47B2">
            <w:pPr>
              <w:pStyle w:val="TableBodyText"/>
            </w:pPr>
            <w:r w:rsidRPr="00004205">
              <w:t xml:space="preserve">Jobs and Skills Australia </w:t>
            </w:r>
          </w:p>
        </w:tc>
      </w:tr>
      <w:tr w:rsidR="00A5233A" w14:paraId="2952C653" w14:textId="77777777" w:rsidTr="00A5233A">
        <w:trPr>
          <w:cnfStyle w:val="000000010000" w:firstRow="0" w:lastRow="0" w:firstColumn="0" w:lastColumn="0" w:oddVBand="0" w:evenVBand="0" w:oddHBand="0" w:evenHBand="1" w:firstRowFirstColumn="0" w:firstRowLastColumn="0" w:lastRowFirstColumn="0" w:lastRowLastColumn="0"/>
        </w:trPr>
        <w:tc>
          <w:tcPr>
            <w:tcW w:w="1728" w:type="pct"/>
          </w:tcPr>
          <w:p w14:paraId="109FDBDB" w14:textId="3F3CEC89" w:rsidR="00004205" w:rsidRPr="00004205" w:rsidRDefault="00004205" w:rsidP="008A6A33">
            <w:pPr>
              <w:pStyle w:val="TableBodyText"/>
            </w:pPr>
            <w:r w:rsidRPr="00004205">
              <w:t>Number employed 3</w:t>
            </w:r>
            <w:r w:rsidR="00E30DA3">
              <w:t xml:space="preserve"> </w:t>
            </w:r>
            <w:r w:rsidRPr="00004205">
              <w:t>year change</w:t>
            </w:r>
          </w:p>
        </w:tc>
        <w:tc>
          <w:tcPr>
            <w:tcW w:w="751" w:type="pct"/>
          </w:tcPr>
          <w:p w14:paraId="5FC220EC" w14:textId="77777777" w:rsidR="00004205" w:rsidRPr="00004205" w:rsidRDefault="00004205" w:rsidP="00AB47B2">
            <w:pPr>
              <w:pStyle w:val="TableBodyText"/>
            </w:pPr>
            <w:r w:rsidRPr="00004205">
              <w:t>National</w:t>
            </w:r>
          </w:p>
          <w:p w14:paraId="3575D8B3" w14:textId="77777777" w:rsidR="00004205" w:rsidRPr="00004205" w:rsidRDefault="00004205" w:rsidP="00AB47B2">
            <w:pPr>
              <w:pStyle w:val="TableBodyText"/>
            </w:pPr>
            <w:r w:rsidRPr="00004205">
              <w:t>State</w:t>
            </w:r>
          </w:p>
        </w:tc>
        <w:tc>
          <w:tcPr>
            <w:tcW w:w="1055" w:type="pct"/>
          </w:tcPr>
          <w:p w14:paraId="05071223" w14:textId="05792D61" w:rsidR="00004205" w:rsidRPr="00004205" w:rsidRDefault="00004205" w:rsidP="0064281C">
            <w:pPr>
              <w:pStyle w:val="TableBodyText"/>
            </w:pPr>
            <w:r w:rsidRPr="00004205">
              <w:t>1987</w:t>
            </w:r>
            <w:r w:rsidR="00F47DC1">
              <w:t xml:space="preserve"> to </w:t>
            </w:r>
            <w:r w:rsidRPr="00004205">
              <w:t>2024</w:t>
            </w:r>
          </w:p>
        </w:tc>
        <w:tc>
          <w:tcPr>
            <w:tcW w:w="1467" w:type="pct"/>
          </w:tcPr>
          <w:p w14:paraId="7B4F8AA6" w14:textId="41B51897" w:rsidR="00004205" w:rsidRPr="00004205" w:rsidRDefault="00004205" w:rsidP="00AB47B2">
            <w:pPr>
              <w:pStyle w:val="TableBodyText"/>
            </w:pPr>
            <w:r w:rsidRPr="00004205">
              <w:t xml:space="preserve">ABS Labour Force Survey </w:t>
            </w:r>
          </w:p>
        </w:tc>
      </w:tr>
      <w:tr w:rsidR="00004205" w14:paraId="46EF4035" w14:textId="77777777" w:rsidTr="008A6A33">
        <w:tc>
          <w:tcPr>
            <w:tcW w:w="1728" w:type="pct"/>
          </w:tcPr>
          <w:p w14:paraId="16921152" w14:textId="77777777" w:rsidR="00004205" w:rsidRPr="00004205" w:rsidRDefault="00004205" w:rsidP="008A6A33">
            <w:pPr>
              <w:pStyle w:val="TableBodyText"/>
            </w:pPr>
            <w:r w:rsidRPr="00004205">
              <w:t>Unemployment rate</w:t>
            </w:r>
          </w:p>
          <w:p w14:paraId="57D8AB96" w14:textId="6B6F21CD" w:rsidR="00004205" w:rsidRPr="00004205" w:rsidRDefault="00004205" w:rsidP="008A6A33">
            <w:pPr>
              <w:pStyle w:val="TableBodyText"/>
            </w:pPr>
            <w:r w:rsidRPr="00004205">
              <w:t>Unemployment rate 1</w:t>
            </w:r>
            <w:r w:rsidR="00E30DA3">
              <w:t xml:space="preserve"> </w:t>
            </w:r>
            <w:r w:rsidRPr="00004205">
              <w:t>year change</w:t>
            </w:r>
          </w:p>
        </w:tc>
        <w:tc>
          <w:tcPr>
            <w:tcW w:w="751" w:type="pct"/>
          </w:tcPr>
          <w:p w14:paraId="2E3B8E28" w14:textId="77777777" w:rsidR="00004205" w:rsidRPr="00004205" w:rsidRDefault="00004205" w:rsidP="008A6A33">
            <w:pPr>
              <w:pStyle w:val="TableBodyText"/>
            </w:pPr>
            <w:r w:rsidRPr="00004205">
              <w:t>State</w:t>
            </w:r>
          </w:p>
          <w:p w14:paraId="57380CD9" w14:textId="62B5E51B" w:rsidR="00004205" w:rsidRPr="00004205" w:rsidRDefault="00004205" w:rsidP="008A6A33">
            <w:pPr>
              <w:pStyle w:val="TableBodyText"/>
            </w:pPr>
            <w:r w:rsidRPr="00004205">
              <w:t>National</w:t>
            </w:r>
          </w:p>
        </w:tc>
        <w:tc>
          <w:tcPr>
            <w:tcW w:w="1055" w:type="pct"/>
          </w:tcPr>
          <w:p w14:paraId="436C5141" w14:textId="50907D1C" w:rsidR="00004205" w:rsidRPr="00004205" w:rsidRDefault="00004205" w:rsidP="0064281C">
            <w:pPr>
              <w:pStyle w:val="TableBodyText"/>
            </w:pPr>
            <w:r w:rsidRPr="00004205">
              <w:t>2008</w:t>
            </w:r>
            <w:r w:rsidR="00F47DC1">
              <w:t xml:space="preserve"> to </w:t>
            </w:r>
            <w:r w:rsidRPr="00004205">
              <w:t>2025</w:t>
            </w:r>
          </w:p>
        </w:tc>
        <w:tc>
          <w:tcPr>
            <w:tcW w:w="1467" w:type="pct"/>
          </w:tcPr>
          <w:p w14:paraId="25339531" w14:textId="16420D9E" w:rsidR="00004205" w:rsidRPr="00004205" w:rsidRDefault="00004205" w:rsidP="00AB47B2">
            <w:pPr>
              <w:pStyle w:val="TableBodyText"/>
            </w:pPr>
            <w:r w:rsidRPr="00004205">
              <w:t xml:space="preserve">ABS Labour Force Survey </w:t>
            </w:r>
          </w:p>
        </w:tc>
      </w:tr>
      <w:tr w:rsidR="00A5233A" w14:paraId="300606C6" w14:textId="77777777" w:rsidTr="00A5233A">
        <w:trPr>
          <w:cnfStyle w:val="000000010000" w:firstRow="0" w:lastRow="0" w:firstColumn="0" w:lastColumn="0" w:oddVBand="0" w:evenVBand="0" w:oddHBand="0" w:evenHBand="1" w:firstRowFirstColumn="0" w:firstRowLastColumn="0" w:lastRowFirstColumn="0" w:lastRowLastColumn="0"/>
        </w:trPr>
        <w:tc>
          <w:tcPr>
            <w:tcW w:w="1728" w:type="pct"/>
          </w:tcPr>
          <w:p w14:paraId="797EE2F9" w14:textId="521C8D96" w:rsidR="00BE2802" w:rsidRPr="00004205" w:rsidRDefault="00BE2802" w:rsidP="008A6A33">
            <w:pPr>
              <w:pStyle w:val="TableBodyText"/>
            </w:pPr>
            <w:r w:rsidRPr="00004205">
              <w:t>Seek weeks 3</w:t>
            </w:r>
            <w:r w:rsidR="00E30DA3">
              <w:t xml:space="preserve"> </w:t>
            </w:r>
            <w:r w:rsidRPr="00004205">
              <w:t>year change</w:t>
            </w:r>
          </w:p>
        </w:tc>
        <w:tc>
          <w:tcPr>
            <w:tcW w:w="751" w:type="pct"/>
          </w:tcPr>
          <w:p w14:paraId="13D6547C" w14:textId="02416AF7" w:rsidR="00BE2802" w:rsidRPr="00004205" w:rsidRDefault="00BE2802" w:rsidP="008A6A33">
            <w:pPr>
              <w:pStyle w:val="TableBodyText"/>
            </w:pPr>
            <w:r w:rsidRPr="00004205">
              <w:t>National</w:t>
            </w:r>
          </w:p>
        </w:tc>
        <w:tc>
          <w:tcPr>
            <w:tcW w:w="1055" w:type="pct"/>
          </w:tcPr>
          <w:p w14:paraId="2073CD6D" w14:textId="3869C59D" w:rsidR="00BE2802" w:rsidRPr="00004205" w:rsidRDefault="00BE2802" w:rsidP="0064281C">
            <w:pPr>
              <w:pStyle w:val="TableBodyText"/>
            </w:pPr>
            <w:r w:rsidRPr="00004205">
              <w:t>1991</w:t>
            </w:r>
            <w:r w:rsidR="00F47DC1">
              <w:t xml:space="preserve"> to </w:t>
            </w:r>
            <w:r w:rsidRPr="00004205">
              <w:t>2025</w:t>
            </w:r>
          </w:p>
        </w:tc>
        <w:tc>
          <w:tcPr>
            <w:tcW w:w="1467" w:type="pct"/>
          </w:tcPr>
          <w:p w14:paraId="159C80CD" w14:textId="0F153F58" w:rsidR="00BE2802" w:rsidRPr="00004205" w:rsidRDefault="00BE2802" w:rsidP="00AB47B2">
            <w:pPr>
              <w:pStyle w:val="TableBodyText"/>
            </w:pPr>
            <w:r w:rsidRPr="00004205">
              <w:t xml:space="preserve">ABS Labour Force Survey </w:t>
            </w:r>
          </w:p>
        </w:tc>
      </w:tr>
      <w:tr w:rsidR="00021E2E" w14:paraId="7053B3F9" w14:textId="77777777" w:rsidTr="008A6A33">
        <w:tc>
          <w:tcPr>
            <w:tcW w:w="1728" w:type="pct"/>
          </w:tcPr>
          <w:p w14:paraId="637F0F10" w14:textId="77777777" w:rsidR="00004205" w:rsidRPr="00004205" w:rsidRDefault="00004205" w:rsidP="00AB47B2">
            <w:pPr>
              <w:pStyle w:val="TableBodyText"/>
            </w:pPr>
            <w:r w:rsidRPr="00004205">
              <w:t>Visas granted per employed</w:t>
            </w:r>
          </w:p>
        </w:tc>
        <w:tc>
          <w:tcPr>
            <w:tcW w:w="751" w:type="pct"/>
          </w:tcPr>
          <w:p w14:paraId="1C71C28A" w14:textId="77777777" w:rsidR="00004205" w:rsidRPr="00004205" w:rsidRDefault="00004205" w:rsidP="00AB47B2">
            <w:pPr>
              <w:pStyle w:val="TableBodyText"/>
            </w:pPr>
            <w:r w:rsidRPr="00004205">
              <w:t>National</w:t>
            </w:r>
          </w:p>
        </w:tc>
        <w:tc>
          <w:tcPr>
            <w:tcW w:w="1055" w:type="pct"/>
          </w:tcPr>
          <w:p w14:paraId="5340E6EC" w14:textId="37E2457F" w:rsidR="00004205" w:rsidRPr="00004205" w:rsidRDefault="00004205" w:rsidP="0064281C">
            <w:pPr>
              <w:pStyle w:val="TableBodyText"/>
            </w:pPr>
            <w:r w:rsidRPr="00004205">
              <w:t>2006</w:t>
            </w:r>
            <w:r w:rsidR="00F47DC1">
              <w:t xml:space="preserve"> to </w:t>
            </w:r>
            <w:r w:rsidRPr="00004205">
              <w:t xml:space="preserve">2025 </w:t>
            </w:r>
          </w:p>
        </w:tc>
        <w:tc>
          <w:tcPr>
            <w:tcW w:w="1467" w:type="pct"/>
          </w:tcPr>
          <w:p w14:paraId="7BE7CDD0" w14:textId="77777777" w:rsidR="00004205" w:rsidRPr="00004205" w:rsidRDefault="00004205" w:rsidP="00AB47B2">
            <w:pPr>
              <w:pStyle w:val="TableBodyText"/>
            </w:pPr>
            <w:r w:rsidRPr="00004205">
              <w:t>Home Affairs</w:t>
            </w:r>
          </w:p>
        </w:tc>
      </w:tr>
      <w:tr w:rsidR="00A5233A" w14:paraId="28E5C74E" w14:textId="77777777" w:rsidTr="00A5233A">
        <w:trPr>
          <w:cnfStyle w:val="000000010000" w:firstRow="0" w:lastRow="0" w:firstColumn="0" w:lastColumn="0" w:oddVBand="0" w:evenVBand="0" w:oddHBand="0" w:evenHBand="1" w:firstRowFirstColumn="0" w:firstRowLastColumn="0" w:lastRowFirstColumn="0" w:lastRowLastColumn="0"/>
        </w:trPr>
        <w:tc>
          <w:tcPr>
            <w:tcW w:w="1728" w:type="pct"/>
          </w:tcPr>
          <w:p w14:paraId="659AB443" w14:textId="77777777" w:rsidR="00004205" w:rsidRPr="00004205" w:rsidRDefault="00004205" w:rsidP="008A6A33">
            <w:pPr>
              <w:pStyle w:val="TableBodyText"/>
            </w:pPr>
            <w:r w:rsidRPr="00004205">
              <w:t>Proportion of hours worked by people aged under 25</w:t>
            </w:r>
          </w:p>
          <w:p w14:paraId="7B0265C6" w14:textId="2C709B58" w:rsidR="00004205" w:rsidRPr="00004205" w:rsidRDefault="00004205" w:rsidP="008A6A33">
            <w:pPr>
              <w:pStyle w:val="TableBodyText"/>
            </w:pPr>
            <w:r w:rsidRPr="00004205">
              <w:t>Proportion of hours worked by people</w:t>
            </w:r>
            <w:r w:rsidR="008036B8">
              <w:t xml:space="preserve"> </w:t>
            </w:r>
            <w:r w:rsidRPr="00004205">
              <w:t>aged 55 and over</w:t>
            </w:r>
          </w:p>
          <w:p w14:paraId="26074B4D" w14:textId="77777777" w:rsidR="00004205" w:rsidRPr="00004205" w:rsidRDefault="00004205" w:rsidP="008A6A33">
            <w:pPr>
              <w:pStyle w:val="TableBodyText"/>
            </w:pPr>
            <w:r w:rsidRPr="00004205">
              <w:lastRenderedPageBreak/>
              <w:t>Proportion of hours worked by females</w:t>
            </w:r>
          </w:p>
        </w:tc>
        <w:tc>
          <w:tcPr>
            <w:tcW w:w="751" w:type="pct"/>
          </w:tcPr>
          <w:p w14:paraId="00E091E2" w14:textId="77777777" w:rsidR="00004205" w:rsidRPr="00004205" w:rsidRDefault="00004205" w:rsidP="008A6A33">
            <w:pPr>
              <w:pStyle w:val="TableBodyText"/>
            </w:pPr>
            <w:r w:rsidRPr="00004205">
              <w:lastRenderedPageBreak/>
              <w:t>State</w:t>
            </w:r>
            <w:r w:rsidRPr="00004205">
              <w:br/>
            </w:r>
          </w:p>
          <w:p w14:paraId="42493476" w14:textId="77777777" w:rsidR="00004205" w:rsidRPr="00004205" w:rsidRDefault="00004205" w:rsidP="008A6A33">
            <w:pPr>
              <w:pStyle w:val="TableBodyText"/>
            </w:pPr>
            <w:r w:rsidRPr="00004205">
              <w:t>State</w:t>
            </w:r>
            <w:r w:rsidRPr="00004205">
              <w:br/>
            </w:r>
          </w:p>
          <w:p w14:paraId="0D6E76E7" w14:textId="77777777" w:rsidR="00004205" w:rsidRPr="00004205" w:rsidRDefault="00004205" w:rsidP="008A6A33">
            <w:pPr>
              <w:pStyle w:val="TableBodyText"/>
            </w:pPr>
            <w:r w:rsidRPr="00004205">
              <w:t>National</w:t>
            </w:r>
          </w:p>
        </w:tc>
        <w:tc>
          <w:tcPr>
            <w:tcW w:w="1055" w:type="pct"/>
          </w:tcPr>
          <w:p w14:paraId="1C11A7FC" w14:textId="3B127DE2" w:rsidR="00004205" w:rsidRPr="00004205" w:rsidRDefault="00004205" w:rsidP="0064281C">
            <w:pPr>
              <w:pStyle w:val="TableBodyText"/>
            </w:pPr>
            <w:r w:rsidRPr="00004205">
              <w:t>202</w:t>
            </w:r>
            <w:r w:rsidR="00C95420">
              <w:t>1</w:t>
            </w:r>
          </w:p>
        </w:tc>
        <w:tc>
          <w:tcPr>
            <w:tcW w:w="1467" w:type="pct"/>
          </w:tcPr>
          <w:p w14:paraId="6C663AAC" w14:textId="7784314C" w:rsidR="00004205" w:rsidRPr="00004205" w:rsidRDefault="00004205" w:rsidP="00AB47B2">
            <w:pPr>
              <w:pStyle w:val="TableBodyText"/>
            </w:pPr>
            <w:r w:rsidRPr="00004205">
              <w:t>ABS, 2021 Census of Population and Housing</w:t>
            </w:r>
          </w:p>
        </w:tc>
      </w:tr>
      <w:tr w:rsidR="00021E2E" w14:paraId="3B02D8FC" w14:textId="77777777" w:rsidTr="008A6A33">
        <w:tc>
          <w:tcPr>
            <w:tcW w:w="1728" w:type="pct"/>
          </w:tcPr>
          <w:p w14:paraId="121BC7B1" w14:textId="77777777" w:rsidR="00004205" w:rsidRPr="00004205" w:rsidRDefault="00004205" w:rsidP="008A6A33">
            <w:pPr>
              <w:pStyle w:val="TableBodyText"/>
            </w:pPr>
            <w:r w:rsidRPr="00004205">
              <w:t>Proportion employed in metro areas</w:t>
            </w:r>
          </w:p>
          <w:p w14:paraId="4EC8884C" w14:textId="77777777" w:rsidR="00004205" w:rsidRPr="00004205" w:rsidRDefault="00004205" w:rsidP="008A6A33">
            <w:pPr>
              <w:pStyle w:val="TableBodyText"/>
            </w:pPr>
            <w:r w:rsidRPr="00004205">
              <w:t>Whether the SA4 is in a metro or non-metro area</w:t>
            </w:r>
          </w:p>
        </w:tc>
        <w:tc>
          <w:tcPr>
            <w:tcW w:w="751" w:type="pct"/>
          </w:tcPr>
          <w:p w14:paraId="7E21B1E2" w14:textId="77777777" w:rsidR="00004205" w:rsidRPr="00004205" w:rsidRDefault="00004205" w:rsidP="008A6A33">
            <w:pPr>
              <w:pStyle w:val="TableBodyText"/>
            </w:pPr>
            <w:r w:rsidRPr="00004205">
              <w:t>State</w:t>
            </w:r>
            <w:r w:rsidRPr="00004205">
              <w:br/>
            </w:r>
          </w:p>
          <w:p w14:paraId="6DB228FB" w14:textId="77777777" w:rsidR="00004205" w:rsidRPr="00004205" w:rsidRDefault="00004205" w:rsidP="008A6A33">
            <w:pPr>
              <w:pStyle w:val="TableBodyText"/>
            </w:pPr>
            <w:r w:rsidRPr="00004205">
              <w:t>SA4</w:t>
            </w:r>
          </w:p>
        </w:tc>
        <w:tc>
          <w:tcPr>
            <w:tcW w:w="1055" w:type="pct"/>
          </w:tcPr>
          <w:p w14:paraId="66DB0504" w14:textId="194A5C9C" w:rsidR="00004205" w:rsidRPr="00004205" w:rsidRDefault="00004205" w:rsidP="0064281C">
            <w:pPr>
              <w:pStyle w:val="TableBodyText"/>
            </w:pPr>
            <w:r w:rsidRPr="00004205">
              <w:t>2021</w:t>
            </w:r>
          </w:p>
        </w:tc>
        <w:tc>
          <w:tcPr>
            <w:tcW w:w="1467" w:type="pct"/>
          </w:tcPr>
          <w:p w14:paraId="7B5C5094" w14:textId="77777777" w:rsidR="00004205" w:rsidRPr="00004205" w:rsidRDefault="00004205" w:rsidP="008A6A33">
            <w:pPr>
              <w:pStyle w:val="TableBodyText"/>
            </w:pPr>
            <w:r w:rsidRPr="00004205">
              <w:t>ABS, 2021 Census of Population and Housing</w:t>
            </w:r>
          </w:p>
          <w:p w14:paraId="1F8C2DB6" w14:textId="77777777" w:rsidR="00004205" w:rsidRPr="00004205" w:rsidRDefault="00004205" w:rsidP="008A6A33">
            <w:pPr>
              <w:pStyle w:val="TableBodyText"/>
            </w:pPr>
            <w:r w:rsidRPr="00004205">
              <w:t>ABS, ASGS</w:t>
            </w:r>
          </w:p>
        </w:tc>
      </w:tr>
      <w:tr w:rsidR="00A5233A" w14:paraId="40EC39C3" w14:textId="77777777" w:rsidTr="00A5233A">
        <w:trPr>
          <w:cnfStyle w:val="000000010000" w:firstRow="0" w:lastRow="0" w:firstColumn="0" w:lastColumn="0" w:oddVBand="0" w:evenVBand="0" w:oddHBand="0" w:evenHBand="1" w:firstRowFirstColumn="0" w:firstRowLastColumn="0" w:lastRowFirstColumn="0" w:lastRowLastColumn="0"/>
        </w:trPr>
        <w:tc>
          <w:tcPr>
            <w:tcW w:w="1728" w:type="pct"/>
          </w:tcPr>
          <w:p w14:paraId="3F0F4A0F" w14:textId="5A08A133" w:rsidR="00004205" w:rsidRPr="00004205" w:rsidRDefault="00004205" w:rsidP="00A50D55">
            <w:pPr>
              <w:pStyle w:val="TableBodyText"/>
            </w:pPr>
            <w:r w:rsidRPr="00004205">
              <w:t>Mean similarity across top 3 most similar</w:t>
            </w:r>
            <w:r w:rsidR="00D15E6C">
              <w:t xml:space="preserve"> </w:t>
            </w:r>
            <w:r w:rsidRPr="00004205">
              <w:t>occupations, weighted by employment size</w:t>
            </w:r>
          </w:p>
        </w:tc>
        <w:tc>
          <w:tcPr>
            <w:tcW w:w="751" w:type="pct"/>
          </w:tcPr>
          <w:p w14:paraId="4899093A" w14:textId="77777777" w:rsidR="00004205" w:rsidRPr="00004205" w:rsidRDefault="00004205" w:rsidP="00A50D55">
            <w:pPr>
              <w:pStyle w:val="TableBodyText"/>
            </w:pPr>
            <w:r w:rsidRPr="00004205">
              <w:t>National</w:t>
            </w:r>
          </w:p>
        </w:tc>
        <w:tc>
          <w:tcPr>
            <w:tcW w:w="1055" w:type="pct"/>
          </w:tcPr>
          <w:p w14:paraId="3203BF80" w14:textId="3E91F096" w:rsidR="00004205" w:rsidRPr="00004205" w:rsidRDefault="00004205" w:rsidP="0064281C">
            <w:pPr>
              <w:pStyle w:val="TableBodyText"/>
            </w:pPr>
            <w:r w:rsidRPr="00004205">
              <w:t>Dec 2023</w:t>
            </w:r>
          </w:p>
        </w:tc>
        <w:tc>
          <w:tcPr>
            <w:tcW w:w="1467" w:type="pct"/>
          </w:tcPr>
          <w:p w14:paraId="54D66BA3" w14:textId="77777777" w:rsidR="00004205" w:rsidRPr="00004205" w:rsidRDefault="00004205" w:rsidP="00A50D55">
            <w:pPr>
              <w:pStyle w:val="TableBodyText"/>
            </w:pPr>
            <w:r w:rsidRPr="00004205">
              <w:t xml:space="preserve">Jobs and Skills Australia </w:t>
            </w:r>
          </w:p>
        </w:tc>
      </w:tr>
      <w:tr w:rsidR="00021E2E" w14:paraId="342A3FCF" w14:textId="77777777" w:rsidTr="00A50D55">
        <w:tc>
          <w:tcPr>
            <w:tcW w:w="1728" w:type="pct"/>
          </w:tcPr>
          <w:p w14:paraId="4170B6BF" w14:textId="77777777" w:rsidR="00004205" w:rsidRPr="00004205" w:rsidRDefault="00004205" w:rsidP="00A50D55">
            <w:pPr>
              <w:pStyle w:val="TableBodyText"/>
            </w:pPr>
            <w:r w:rsidRPr="00004205">
              <w:t xml:space="preserve">Skill level of occupation </w:t>
            </w:r>
          </w:p>
        </w:tc>
        <w:tc>
          <w:tcPr>
            <w:tcW w:w="751" w:type="pct"/>
          </w:tcPr>
          <w:p w14:paraId="1C1F8D1D" w14:textId="77777777" w:rsidR="00004205" w:rsidRPr="00004205" w:rsidRDefault="00004205" w:rsidP="00AB47B2">
            <w:pPr>
              <w:pStyle w:val="TableBodyText"/>
            </w:pPr>
          </w:p>
        </w:tc>
        <w:tc>
          <w:tcPr>
            <w:tcW w:w="1055" w:type="pct"/>
          </w:tcPr>
          <w:p w14:paraId="01754F35" w14:textId="13092C37" w:rsidR="00004205" w:rsidRPr="00004205" w:rsidRDefault="00004205" w:rsidP="0064281C">
            <w:pPr>
              <w:pStyle w:val="TableBodyText"/>
            </w:pPr>
            <w:r w:rsidRPr="00004205">
              <w:t>2013</w:t>
            </w:r>
          </w:p>
        </w:tc>
        <w:tc>
          <w:tcPr>
            <w:tcW w:w="1467" w:type="pct"/>
          </w:tcPr>
          <w:p w14:paraId="0C6C442D" w14:textId="77777777" w:rsidR="00004205" w:rsidRPr="00004205" w:rsidRDefault="00004205" w:rsidP="00AB47B2">
            <w:pPr>
              <w:pStyle w:val="TableBodyText"/>
            </w:pPr>
            <w:r w:rsidRPr="00004205">
              <w:t>ABS, ANZSCO</w:t>
            </w:r>
          </w:p>
        </w:tc>
      </w:tr>
      <w:tr w:rsidR="00A5233A" w14:paraId="3642F948" w14:textId="77777777" w:rsidTr="00A5233A">
        <w:trPr>
          <w:cnfStyle w:val="000000010000" w:firstRow="0" w:lastRow="0" w:firstColumn="0" w:lastColumn="0" w:oddVBand="0" w:evenVBand="0" w:oddHBand="0" w:evenHBand="1" w:firstRowFirstColumn="0" w:firstRowLastColumn="0" w:lastRowFirstColumn="0" w:lastRowLastColumn="0"/>
        </w:trPr>
        <w:tc>
          <w:tcPr>
            <w:tcW w:w="1728" w:type="pct"/>
          </w:tcPr>
          <w:p w14:paraId="416593BD" w14:textId="77777777" w:rsidR="00004205" w:rsidRPr="00004205" w:rsidRDefault="00004205" w:rsidP="00AB47B2">
            <w:pPr>
              <w:pStyle w:val="TableBodyText"/>
            </w:pPr>
            <w:r w:rsidRPr="00004205">
              <w:t xml:space="preserve">Scaled fill rate at ANZSCO unit group </w:t>
            </w:r>
          </w:p>
        </w:tc>
        <w:tc>
          <w:tcPr>
            <w:tcW w:w="751" w:type="pct"/>
          </w:tcPr>
          <w:p w14:paraId="70E1817A" w14:textId="77777777" w:rsidR="00004205" w:rsidRPr="00004205" w:rsidRDefault="00004205" w:rsidP="00AB47B2">
            <w:pPr>
              <w:pStyle w:val="TableBodyText"/>
            </w:pPr>
            <w:r w:rsidRPr="00004205">
              <w:t>National</w:t>
            </w:r>
          </w:p>
        </w:tc>
        <w:tc>
          <w:tcPr>
            <w:tcW w:w="1055" w:type="pct"/>
          </w:tcPr>
          <w:p w14:paraId="16311651" w14:textId="181D1272" w:rsidR="00004205" w:rsidRPr="00004205" w:rsidRDefault="00004205" w:rsidP="0064281C">
            <w:pPr>
              <w:pStyle w:val="TableBodyText"/>
            </w:pPr>
            <w:r w:rsidRPr="00004205">
              <w:t>May 2021</w:t>
            </w:r>
            <w:r w:rsidR="00F47DC1">
              <w:t xml:space="preserve"> to </w:t>
            </w:r>
            <w:r w:rsidR="00F47DC1">
              <w:br/>
            </w:r>
            <w:r w:rsidRPr="00004205">
              <w:t>Apr 2025</w:t>
            </w:r>
          </w:p>
        </w:tc>
        <w:tc>
          <w:tcPr>
            <w:tcW w:w="1467" w:type="pct"/>
          </w:tcPr>
          <w:p w14:paraId="7431D19A" w14:textId="77777777" w:rsidR="00004205" w:rsidRPr="00004205" w:rsidRDefault="00004205" w:rsidP="00AB47B2">
            <w:pPr>
              <w:pStyle w:val="TableBodyText"/>
            </w:pPr>
            <w:r w:rsidRPr="00004205">
              <w:t>Jobs and Skills Australia</w:t>
            </w:r>
          </w:p>
        </w:tc>
      </w:tr>
      <w:tr w:rsidR="00021E2E" w14:paraId="2D53F94C" w14:textId="77777777" w:rsidTr="00A50D55">
        <w:tc>
          <w:tcPr>
            <w:tcW w:w="1728" w:type="pct"/>
          </w:tcPr>
          <w:p w14:paraId="42620E35" w14:textId="77777777" w:rsidR="00004205" w:rsidRPr="00004205" w:rsidRDefault="00004205" w:rsidP="00A50D55">
            <w:pPr>
              <w:pStyle w:val="TableBodyText"/>
            </w:pPr>
            <w:r w:rsidRPr="00004205">
              <w:t>Total size of inflow to the occupation</w:t>
            </w:r>
          </w:p>
          <w:p w14:paraId="46C7D2EE" w14:textId="77777777" w:rsidR="00004205" w:rsidRPr="00004205" w:rsidRDefault="00004205" w:rsidP="00A50D55">
            <w:pPr>
              <w:pStyle w:val="TableBodyText"/>
            </w:pPr>
            <w:r w:rsidRPr="00004205">
              <w:t>Inflow yearly change</w:t>
            </w:r>
          </w:p>
          <w:p w14:paraId="6D8C24D7" w14:textId="016A12E4" w:rsidR="00230213" w:rsidRPr="00004205" w:rsidRDefault="00004205" w:rsidP="00A50D55">
            <w:pPr>
              <w:pStyle w:val="TableBodyText"/>
            </w:pPr>
            <w:r w:rsidRPr="00004205">
              <w:t>Percentage net flow; net flow relative to occupation size</w:t>
            </w:r>
          </w:p>
          <w:p w14:paraId="78DED361" w14:textId="77777777" w:rsidR="00004205" w:rsidRPr="00004205" w:rsidRDefault="00004205" w:rsidP="00A50D55">
            <w:pPr>
              <w:pStyle w:val="TableBodyText"/>
            </w:pPr>
            <w:r w:rsidRPr="00004205">
              <w:t xml:space="preserve">Outflow diversity. </w:t>
            </w:r>
          </w:p>
        </w:tc>
        <w:tc>
          <w:tcPr>
            <w:tcW w:w="751" w:type="pct"/>
          </w:tcPr>
          <w:p w14:paraId="17602AC0" w14:textId="18CCF78C" w:rsidR="00004205" w:rsidRPr="00004205" w:rsidRDefault="00004205" w:rsidP="00A50D55">
            <w:pPr>
              <w:pStyle w:val="TableBodyText"/>
            </w:pPr>
            <w:r w:rsidRPr="00004205">
              <w:t xml:space="preserve">National </w:t>
            </w:r>
          </w:p>
        </w:tc>
        <w:tc>
          <w:tcPr>
            <w:tcW w:w="1055" w:type="pct"/>
          </w:tcPr>
          <w:p w14:paraId="5F54BAA0" w14:textId="1672EF5F" w:rsidR="00004205" w:rsidRPr="00004205" w:rsidRDefault="00004205" w:rsidP="0064281C">
            <w:pPr>
              <w:pStyle w:val="TableBodyText"/>
            </w:pPr>
            <w:r w:rsidRPr="00004205">
              <w:t>2011</w:t>
            </w:r>
            <w:r w:rsidR="004231F3" w:rsidRPr="004231F3">
              <w:t>–</w:t>
            </w:r>
            <w:r w:rsidRPr="00004205">
              <w:t xml:space="preserve">12 to </w:t>
            </w:r>
            <w:r w:rsidR="00F47DC1">
              <w:br/>
            </w:r>
            <w:r w:rsidRPr="00004205">
              <w:t>2022</w:t>
            </w:r>
            <w:r w:rsidR="004231F3" w:rsidRPr="004231F3">
              <w:t>–</w:t>
            </w:r>
            <w:r w:rsidRPr="00004205">
              <w:t>23</w:t>
            </w:r>
          </w:p>
        </w:tc>
        <w:tc>
          <w:tcPr>
            <w:tcW w:w="1467" w:type="pct"/>
          </w:tcPr>
          <w:p w14:paraId="508872C7" w14:textId="4959D58B" w:rsidR="00004205" w:rsidRPr="00004205" w:rsidRDefault="00004205" w:rsidP="00A50D55">
            <w:pPr>
              <w:pStyle w:val="TableBodyText"/>
            </w:pPr>
            <w:r w:rsidRPr="00004205">
              <w:t>Jobs and Skills Australia</w:t>
            </w:r>
          </w:p>
        </w:tc>
      </w:tr>
      <w:tr w:rsidR="00A5233A" w14:paraId="602D07C7" w14:textId="77777777" w:rsidTr="00A5233A">
        <w:trPr>
          <w:cnfStyle w:val="000000010000" w:firstRow="0" w:lastRow="0" w:firstColumn="0" w:lastColumn="0" w:oddVBand="0" w:evenVBand="0" w:oddHBand="0" w:evenHBand="1" w:firstRowFirstColumn="0" w:firstRowLastColumn="0" w:lastRowFirstColumn="0" w:lastRowLastColumn="0"/>
        </w:trPr>
        <w:tc>
          <w:tcPr>
            <w:tcW w:w="1728" w:type="pct"/>
          </w:tcPr>
          <w:p w14:paraId="5385B21C" w14:textId="77777777" w:rsidR="00004205" w:rsidRPr="00004205" w:rsidRDefault="00004205" w:rsidP="00AB47B2">
            <w:pPr>
              <w:pStyle w:val="TableBodyText"/>
            </w:pPr>
            <w:r w:rsidRPr="00004205">
              <w:t>Proportion requiring bachelor and above</w:t>
            </w:r>
          </w:p>
        </w:tc>
        <w:tc>
          <w:tcPr>
            <w:tcW w:w="751" w:type="pct"/>
          </w:tcPr>
          <w:p w14:paraId="4B0EC419" w14:textId="77777777" w:rsidR="00004205" w:rsidRPr="00004205" w:rsidRDefault="00004205" w:rsidP="00AB47B2">
            <w:pPr>
              <w:pStyle w:val="TableBodyText"/>
            </w:pPr>
            <w:r w:rsidRPr="00004205">
              <w:t xml:space="preserve">National </w:t>
            </w:r>
          </w:p>
        </w:tc>
        <w:tc>
          <w:tcPr>
            <w:tcW w:w="1055" w:type="pct"/>
          </w:tcPr>
          <w:p w14:paraId="1085CA74" w14:textId="73286D06" w:rsidR="00004205" w:rsidRPr="00004205" w:rsidRDefault="00004205" w:rsidP="0064281C">
            <w:pPr>
              <w:pStyle w:val="TableBodyText"/>
            </w:pPr>
            <w:r w:rsidRPr="00004205">
              <w:t>Jan 2012</w:t>
            </w:r>
            <w:r w:rsidR="00F47DC1">
              <w:t xml:space="preserve"> to </w:t>
            </w:r>
            <w:r w:rsidR="00F47DC1">
              <w:br/>
            </w:r>
            <w:r w:rsidRPr="00004205">
              <w:t>Jun 2025</w:t>
            </w:r>
          </w:p>
        </w:tc>
        <w:tc>
          <w:tcPr>
            <w:tcW w:w="1467" w:type="pct"/>
          </w:tcPr>
          <w:p w14:paraId="77B46FAC" w14:textId="77777777" w:rsidR="00004205" w:rsidRPr="00004205" w:rsidRDefault="00004205" w:rsidP="00AB47B2">
            <w:pPr>
              <w:pStyle w:val="TableBodyText"/>
            </w:pPr>
            <w:r w:rsidRPr="00004205">
              <w:t>Lightcast vacancies</w:t>
            </w:r>
          </w:p>
        </w:tc>
      </w:tr>
      <w:tr w:rsidR="00021E2E" w14:paraId="0D2A512E" w14:textId="77777777" w:rsidTr="00A50D55">
        <w:tc>
          <w:tcPr>
            <w:tcW w:w="1728" w:type="pct"/>
          </w:tcPr>
          <w:p w14:paraId="3A904585" w14:textId="77777777" w:rsidR="00004205" w:rsidRPr="00004205" w:rsidRDefault="00004205" w:rsidP="00AB47B2">
            <w:pPr>
              <w:pStyle w:val="TableBodyText"/>
            </w:pPr>
            <w:r w:rsidRPr="00004205">
              <w:t>Study diversity</w:t>
            </w:r>
          </w:p>
        </w:tc>
        <w:tc>
          <w:tcPr>
            <w:tcW w:w="751" w:type="pct"/>
          </w:tcPr>
          <w:p w14:paraId="4BC7CC31" w14:textId="77777777" w:rsidR="00004205" w:rsidRPr="00004205" w:rsidRDefault="00004205" w:rsidP="00AB47B2">
            <w:pPr>
              <w:pStyle w:val="TableBodyText"/>
            </w:pPr>
            <w:r w:rsidRPr="00004205">
              <w:t>National</w:t>
            </w:r>
          </w:p>
        </w:tc>
        <w:tc>
          <w:tcPr>
            <w:tcW w:w="1055" w:type="pct"/>
          </w:tcPr>
          <w:p w14:paraId="4AF15B93" w14:textId="2C232BF3" w:rsidR="00004205" w:rsidRPr="00004205" w:rsidRDefault="00004205" w:rsidP="0064281C">
            <w:pPr>
              <w:pStyle w:val="TableBodyText"/>
            </w:pPr>
            <w:r w:rsidRPr="00004205">
              <w:t>2021</w:t>
            </w:r>
          </w:p>
        </w:tc>
        <w:tc>
          <w:tcPr>
            <w:tcW w:w="1467" w:type="pct"/>
          </w:tcPr>
          <w:p w14:paraId="28530632" w14:textId="77777777" w:rsidR="00004205" w:rsidRPr="00004205" w:rsidRDefault="00004205" w:rsidP="00AB47B2">
            <w:pPr>
              <w:pStyle w:val="TableBodyText"/>
            </w:pPr>
            <w:r w:rsidRPr="00004205">
              <w:t>ABS, 2021 Census of Population and Housing</w:t>
            </w:r>
          </w:p>
        </w:tc>
      </w:tr>
      <w:tr w:rsidR="00A5233A" w14:paraId="1614CBA2" w14:textId="77777777" w:rsidTr="00A5233A">
        <w:trPr>
          <w:cnfStyle w:val="000000010000" w:firstRow="0" w:lastRow="0" w:firstColumn="0" w:lastColumn="0" w:oddVBand="0" w:evenVBand="0" w:oddHBand="0" w:evenHBand="1" w:firstRowFirstColumn="0" w:firstRowLastColumn="0" w:lastRowFirstColumn="0" w:lastRowLastColumn="0"/>
        </w:trPr>
        <w:tc>
          <w:tcPr>
            <w:tcW w:w="1728" w:type="pct"/>
          </w:tcPr>
          <w:p w14:paraId="652A2584" w14:textId="77777777" w:rsidR="00004205" w:rsidRPr="00004205" w:rsidRDefault="00004205" w:rsidP="00AB47B2">
            <w:pPr>
              <w:pStyle w:val="TableBodyText"/>
            </w:pPr>
            <w:r w:rsidRPr="00004205">
              <w:t>Proportion of unemployment flows into occupation</w:t>
            </w:r>
          </w:p>
        </w:tc>
        <w:tc>
          <w:tcPr>
            <w:tcW w:w="751" w:type="pct"/>
          </w:tcPr>
          <w:p w14:paraId="1CEE2839" w14:textId="77777777" w:rsidR="00004205" w:rsidRPr="00004205" w:rsidRDefault="00004205" w:rsidP="00AB47B2">
            <w:pPr>
              <w:pStyle w:val="TableBodyText"/>
            </w:pPr>
            <w:r w:rsidRPr="00004205">
              <w:t>National</w:t>
            </w:r>
          </w:p>
        </w:tc>
        <w:tc>
          <w:tcPr>
            <w:tcW w:w="1055" w:type="pct"/>
          </w:tcPr>
          <w:p w14:paraId="7789E26D" w14:textId="56FB4AAE" w:rsidR="00004205" w:rsidRPr="00004205" w:rsidRDefault="00004205" w:rsidP="0064281C">
            <w:pPr>
              <w:pStyle w:val="TableBodyText"/>
            </w:pPr>
            <w:r w:rsidRPr="00004205">
              <w:t>2011</w:t>
            </w:r>
            <w:r w:rsidR="004231F3" w:rsidRPr="004231F3">
              <w:t>–</w:t>
            </w:r>
            <w:r w:rsidRPr="00004205">
              <w:t xml:space="preserve">12 </w:t>
            </w:r>
            <w:r w:rsidR="00477AA1" w:rsidRPr="00004205">
              <w:t xml:space="preserve">to </w:t>
            </w:r>
            <w:r w:rsidR="00F47DC1">
              <w:br/>
            </w:r>
            <w:r w:rsidR="00477AA1" w:rsidRPr="00004205">
              <w:t>2021</w:t>
            </w:r>
            <w:r w:rsidR="004231F3" w:rsidRPr="004231F3">
              <w:t>–</w:t>
            </w:r>
            <w:r w:rsidRPr="00004205">
              <w:t>22</w:t>
            </w:r>
          </w:p>
        </w:tc>
        <w:tc>
          <w:tcPr>
            <w:tcW w:w="1467" w:type="pct"/>
          </w:tcPr>
          <w:p w14:paraId="7FC079FD" w14:textId="77777777" w:rsidR="00004205" w:rsidRPr="00004205" w:rsidRDefault="00004205" w:rsidP="00AB47B2">
            <w:pPr>
              <w:pStyle w:val="TableBodyText"/>
            </w:pPr>
            <w:r w:rsidRPr="00004205">
              <w:t>Jobs and Skills Australia</w:t>
            </w:r>
          </w:p>
        </w:tc>
      </w:tr>
    </w:tbl>
    <w:p w14:paraId="36D4CEE8" w14:textId="77777777" w:rsidR="00004205" w:rsidRPr="00004205" w:rsidRDefault="00004205" w:rsidP="00004205">
      <w:pPr>
        <w:pStyle w:val="Source"/>
      </w:pPr>
      <w:r w:rsidRPr="00004205">
        <w:t>Source: Jobs and Skills Australia.</w:t>
      </w:r>
    </w:p>
    <w:p w14:paraId="3AC02E40" w14:textId="08BF5F11" w:rsidR="004D66A8" w:rsidRPr="00E53A43" w:rsidRDefault="00BD1C98" w:rsidP="00096303">
      <w:pPr>
        <w:pStyle w:val="Heading2"/>
      </w:pPr>
      <w:bookmarkStart w:id="111" w:name="_Ref207569505"/>
      <w:bookmarkStart w:id="112" w:name="_Ref207376220"/>
      <w:bookmarkStart w:id="113" w:name="_Toc211425376"/>
      <w:r>
        <w:t xml:space="preserve">Appendix </w:t>
      </w:r>
      <w:r w:rsidRPr="00BD1C98">
        <w:fldChar w:fldCharType="begin"/>
      </w:r>
      <w:r w:rsidRPr="00BD1C98">
        <w:instrText xml:space="preserve"> SEQ Appendix \* ALPHABETIC </w:instrText>
      </w:r>
      <w:r w:rsidRPr="00BD1C98">
        <w:fldChar w:fldCharType="separate"/>
      </w:r>
      <w:r w:rsidR="00F6227E">
        <w:rPr>
          <w:noProof/>
        </w:rPr>
        <w:t>D</w:t>
      </w:r>
      <w:r w:rsidRPr="00BD1C98">
        <w:fldChar w:fldCharType="end"/>
      </w:r>
      <w:bookmarkEnd w:id="111"/>
      <w:r w:rsidR="000830EC">
        <w:t>:</w:t>
      </w:r>
      <w:r w:rsidR="004D66A8" w:rsidRPr="00E53A43">
        <w:t xml:space="preserve"> Blending the GBM-based fill rates with SERA</w:t>
      </w:r>
      <w:bookmarkEnd w:id="112"/>
      <w:bookmarkEnd w:id="113"/>
    </w:p>
    <w:p w14:paraId="664F517C" w14:textId="6BE9598E" w:rsidR="004D66A8" w:rsidRPr="00E53A43" w:rsidRDefault="004D66A8" w:rsidP="00096303">
      <w:pPr>
        <w:pStyle w:val="BodyText"/>
      </w:pPr>
      <w:r w:rsidRPr="00E53A43">
        <w:t xml:space="preserve">The GBM and SERA fill rates, for each occupation, are first converted to a linear predictor scale using a logit transformation. </w:t>
      </w:r>
    </w:p>
    <w:p w14:paraId="07BD86E9" w14:textId="4BDDCAF8" w:rsidR="004D66A8" w:rsidRPr="00E53A43" w:rsidRDefault="004D66A8" w:rsidP="00096303">
      <w:pPr>
        <w:pStyle w:val="BodyText"/>
      </w:pPr>
      <w:r w:rsidRPr="00E53A43">
        <w:t xml:space="preserve">GBM fill rates are then blended with </w:t>
      </w:r>
      <w:r w:rsidR="003B7FFE">
        <w:t xml:space="preserve">a </w:t>
      </w:r>
      <w:r w:rsidRPr="00E53A43">
        <w:t>5</w:t>
      </w:r>
      <w:r w:rsidR="00E8226D">
        <w:t>-</w:t>
      </w:r>
      <w:r w:rsidRPr="00E53A43">
        <w:t xml:space="preserve">year weighted moving average fill rates from SERA. The blending is based on a Bayesian credibility approach, where more weight is applied to the source (GBM or SERA) with the lower variance. </w:t>
      </w:r>
    </w:p>
    <w:p w14:paraId="0CED55F0" w14:textId="77777777" w:rsidR="004D66A8" w:rsidRPr="00E53A43" w:rsidRDefault="004D66A8" w:rsidP="00096303">
      <w:pPr>
        <w:pStyle w:val="BodyText"/>
      </w:pPr>
      <w:r w:rsidRPr="00E53A43">
        <w:t xml:space="preserve">The credibility weight used to determine the blended fill rate for occupation </w:t>
      </w:r>
      <w:r w:rsidRPr="00ED55E7">
        <w:t>j</w:t>
      </w:r>
      <w:r w:rsidRPr="00E53A43">
        <w:t xml:space="preserve"> is the contribution to uncertainty of the GBM model and SERA fill rates and is shown below.</w:t>
      </w:r>
    </w:p>
    <w:p w14:paraId="0806A1FF" w14:textId="77777777" w:rsidR="004D66A8" w:rsidRPr="00E53A43" w:rsidRDefault="00000000" w:rsidP="004D66A8">
      <m:oMathPara>
        <m:oMath>
          <m:sSub>
            <m:sSubPr>
              <m:ctrlPr>
                <w:rPr>
                  <w:rFonts w:ascii="Cambria Math" w:hAnsi="Cambria Math"/>
                </w:rPr>
              </m:ctrlPr>
            </m:sSubPr>
            <m:e>
              <m:r>
                <w:rPr>
                  <w:rFonts w:ascii="Cambria Math" w:hAnsi="Cambria Math"/>
                </w:rPr>
                <m:t>ϕ</m:t>
              </m:r>
            </m:e>
            <m:sub>
              <m:r>
                <w:rPr>
                  <w:rFonts w:ascii="Cambria Math" w:hAnsi="Cambria Math"/>
                </w:rPr>
                <m:t>j</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GBM</m:t>
                  </m:r>
                </m:sub>
                <m:sup>
                  <m:r>
                    <m:rPr>
                      <m:sty m:val="p"/>
                    </m:rPr>
                    <w:rPr>
                      <w:rFonts w:ascii="Cambria Math" w:hAnsi="Cambria Math"/>
                    </w:rPr>
                    <m:t>2</m:t>
                  </m:r>
                </m:sup>
              </m:sSubSup>
            </m:num>
            <m:den>
              <m:sSubSup>
                <m:sSubSupPr>
                  <m:ctrlPr>
                    <w:rPr>
                      <w:rFonts w:ascii="Cambria Math" w:hAnsi="Cambria Math"/>
                    </w:rPr>
                  </m:ctrlPr>
                </m:sSubSupPr>
                <m:e>
                  <m:sSubSup>
                    <m:sSubSupPr>
                      <m:ctrlPr>
                        <w:rPr>
                          <w:rFonts w:ascii="Cambria Math" w:hAnsi="Cambria Math"/>
                        </w:rPr>
                      </m:ctrlPr>
                    </m:sSubSupPr>
                    <m:e>
                      <m:r>
                        <w:rPr>
                          <w:rFonts w:ascii="Cambria Math" w:hAnsi="Cambria Math"/>
                        </w:rPr>
                        <m:t>σ</m:t>
                      </m:r>
                    </m:e>
                    <m:sub>
                      <m:r>
                        <w:rPr>
                          <w:rFonts w:ascii="Cambria Math" w:hAnsi="Cambria Math"/>
                        </w:rPr>
                        <m:t>GBM</m:t>
                      </m:r>
                    </m:sub>
                    <m:sup>
                      <m:r>
                        <m:rPr>
                          <m:sty m:val="p"/>
                        </m:rPr>
                        <w:rPr>
                          <w:rFonts w:ascii="Cambria Math" w:hAnsi="Cambria Math"/>
                        </w:rPr>
                        <m:t>2</m:t>
                      </m:r>
                    </m:sup>
                  </m:sSubSup>
                  <m:r>
                    <m:rPr>
                      <m:sty m:val="p"/>
                    </m:rPr>
                    <w:rPr>
                      <w:rFonts w:ascii="Cambria Math" w:hAnsi="Cambria Math"/>
                    </w:rPr>
                    <m:t>+</m:t>
                  </m:r>
                  <m:r>
                    <w:rPr>
                      <w:rFonts w:ascii="Cambria Math" w:hAnsi="Cambria Math"/>
                    </w:rPr>
                    <m:t>σ</m:t>
                  </m:r>
                </m:e>
                <m:sub>
                  <m:r>
                    <w:rPr>
                      <w:rFonts w:ascii="Cambria Math" w:hAnsi="Cambria Math"/>
                    </w:rPr>
                    <m:t>j</m:t>
                  </m:r>
                  <m:r>
                    <m:rPr>
                      <m:sty m:val="p"/>
                    </m:rPr>
                    <w:rPr>
                      <w:rFonts w:ascii="Cambria Math" w:hAnsi="Cambria Math"/>
                    </w:rPr>
                    <m:t>,</m:t>
                  </m:r>
                  <m:r>
                    <w:rPr>
                      <w:rFonts w:ascii="Cambria Math" w:hAnsi="Cambria Math"/>
                    </w:rPr>
                    <m:t>SERA</m:t>
                  </m:r>
                </m:sub>
                <m:sup>
                  <m:r>
                    <m:rPr>
                      <m:sty m:val="p"/>
                    </m:rPr>
                    <w:rPr>
                      <w:rFonts w:ascii="Cambria Math" w:hAnsi="Cambria Math"/>
                    </w:rPr>
                    <m:t>2</m:t>
                  </m:r>
                </m:sup>
              </m:sSubSup>
            </m:den>
          </m:f>
        </m:oMath>
      </m:oMathPara>
    </w:p>
    <w:p w14:paraId="018163E5" w14:textId="2E7140FD" w:rsidR="004D66A8" w:rsidRPr="00E53A43" w:rsidRDefault="004D66A8" w:rsidP="00096303">
      <w:pPr>
        <w:pStyle w:val="BodyText"/>
      </w:pPr>
      <w:r w:rsidRPr="00E53A43">
        <w:t xml:space="preserve">Therefore, if the number of SERA vacancies surveyed is </w:t>
      </w:r>
      <w:r w:rsidR="00037874" w:rsidRPr="00E53A43">
        <w:t>large</w:t>
      </w:r>
      <w:r w:rsidRPr="00E53A43">
        <w:t xml:space="preserve">, </w:t>
      </w:r>
      <m:oMath>
        <m:sSub>
          <m:sSubPr>
            <m:ctrlPr>
              <w:rPr>
                <w:rFonts w:ascii="Cambria Math" w:hAnsi="Cambria Math"/>
              </w:rPr>
            </m:ctrlPr>
          </m:sSubPr>
          <m:e>
            <m:r>
              <w:rPr>
                <w:rFonts w:ascii="Cambria Math" w:hAnsi="Cambria Math"/>
              </w:rPr>
              <m:t>σ</m:t>
            </m:r>
          </m:e>
          <m:sub>
            <m:r>
              <w:rPr>
                <w:rFonts w:ascii="Cambria Math" w:hAnsi="Cambria Math"/>
              </w:rPr>
              <m:t>j</m:t>
            </m:r>
            <m:r>
              <m:rPr>
                <m:sty m:val="p"/>
              </m:rPr>
              <w:rPr>
                <w:rFonts w:ascii="Cambria Math" w:hAnsi="Cambria Math"/>
              </w:rPr>
              <m:t>,</m:t>
            </m:r>
            <m:r>
              <w:rPr>
                <w:rFonts w:ascii="Cambria Math" w:hAnsi="Cambria Math"/>
              </w:rPr>
              <m:t>SERA</m:t>
            </m:r>
          </m:sub>
        </m:sSub>
      </m:oMath>
      <w:r w:rsidRPr="00E53A43">
        <w:t xml:space="preserve"> will be small and the credibility factor </w:t>
      </w:r>
      <m:oMath>
        <m:sSub>
          <m:sSubPr>
            <m:ctrlPr>
              <w:rPr>
                <w:rFonts w:ascii="Cambria Math" w:hAnsi="Cambria Math"/>
              </w:rPr>
            </m:ctrlPr>
          </m:sSubPr>
          <m:e>
            <m:r>
              <w:rPr>
                <w:rFonts w:ascii="Cambria Math" w:hAnsi="Cambria Math"/>
              </w:rPr>
              <m:t>ϕ</m:t>
            </m:r>
          </m:e>
          <m:sub>
            <m:r>
              <w:rPr>
                <w:rFonts w:ascii="Cambria Math" w:hAnsi="Cambria Math"/>
              </w:rPr>
              <m:t>j</m:t>
            </m:r>
          </m:sub>
        </m:sSub>
      </m:oMath>
      <w:r w:rsidRPr="00E53A43">
        <w:t xml:space="preserve"> will be close to 1. On the other hand, if there are very few SERA vacancies surveyed, </w:t>
      </w:r>
      <m:oMath>
        <m:sSub>
          <m:sSubPr>
            <m:ctrlPr>
              <w:rPr>
                <w:rFonts w:ascii="Cambria Math" w:hAnsi="Cambria Math"/>
              </w:rPr>
            </m:ctrlPr>
          </m:sSubPr>
          <m:e>
            <m:r>
              <w:rPr>
                <w:rFonts w:ascii="Cambria Math" w:hAnsi="Cambria Math"/>
              </w:rPr>
              <m:t>σ</m:t>
            </m:r>
          </m:e>
          <m:sub>
            <m:r>
              <w:rPr>
                <w:rFonts w:ascii="Cambria Math" w:hAnsi="Cambria Math"/>
              </w:rPr>
              <m:t>j</m:t>
            </m:r>
            <m:r>
              <m:rPr>
                <m:sty m:val="p"/>
              </m:rPr>
              <w:rPr>
                <w:rFonts w:ascii="Cambria Math" w:hAnsi="Cambria Math"/>
              </w:rPr>
              <m:t>,</m:t>
            </m:r>
            <m:r>
              <w:rPr>
                <w:rFonts w:ascii="Cambria Math" w:hAnsi="Cambria Math"/>
              </w:rPr>
              <m:t>SERA</m:t>
            </m:r>
          </m:sub>
        </m:sSub>
      </m:oMath>
      <w:r w:rsidRPr="00E53A43">
        <w:t xml:space="preserve"> will likely be large and the credibility factor </w:t>
      </w:r>
      <m:oMath>
        <m:sSub>
          <m:sSubPr>
            <m:ctrlPr>
              <w:rPr>
                <w:rFonts w:ascii="Cambria Math" w:hAnsi="Cambria Math"/>
              </w:rPr>
            </m:ctrlPr>
          </m:sSubPr>
          <m:e>
            <m:r>
              <w:rPr>
                <w:rFonts w:ascii="Cambria Math" w:hAnsi="Cambria Math"/>
              </w:rPr>
              <m:t>ϕ</m:t>
            </m:r>
          </m:e>
          <m:sub>
            <m:r>
              <w:rPr>
                <w:rFonts w:ascii="Cambria Math" w:hAnsi="Cambria Math"/>
              </w:rPr>
              <m:t>j</m:t>
            </m:r>
          </m:sub>
        </m:sSub>
      </m:oMath>
      <w:r w:rsidRPr="00E53A43">
        <w:t xml:space="preserve"> will be closer to 0. </w:t>
      </w:r>
    </w:p>
    <w:p w14:paraId="6A0F9194" w14:textId="6BFCAB8C" w:rsidR="004D66A8" w:rsidRPr="00E53A43" w:rsidRDefault="004D66A8" w:rsidP="00096303">
      <w:pPr>
        <w:pStyle w:val="BodyText"/>
      </w:pPr>
      <w:r w:rsidRPr="00E53A43" w:rsidDel="00805C5C">
        <w:t xml:space="preserve">The </w:t>
      </w:r>
      <w:r w:rsidRPr="00E53A43">
        <w:t xml:space="preserve">blended fill rate </w:t>
      </w:r>
      <w:r w:rsidRPr="00E53A43" w:rsidDel="00805C5C">
        <w:t xml:space="preserve">is </w:t>
      </w:r>
      <w:r w:rsidRPr="00E53A43">
        <w:t xml:space="preserve">then converted back into probability </w:t>
      </w:r>
      <w:r w:rsidR="00A51E53">
        <w:t>o</w:t>
      </w:r>
      <w:r w:rsidRPr="00E53A43">
        <w:t>r a proportion fill rate figure</w:t>
      </w:r>
      <w:r w:rsidR="002A53F5">
        <w:t>.</w:t>
      </w:r>
      <w:r w:rsidRPr="00E53A43">
        <w:t xml:space="preserve"> </w:t>
      </w:r>
    </w:p>
    <w:p w14:paraId="69B237B3" w14:textId="569E1BDB" w:rsidR="000D6599" w:rsidRPr="00E53A43" w:rsidRDefault="00BD1C98" w:rsidP="000D6599">
      <w:pPr>
        <w:pStyle w:val="Heading2"/>
      </w:pPr>
      <w:bookmarkStart w:id="114" w:name="_Ref208930273"/>
      <w:bookmarkStart w:id="115" w:name="_Toc175157210"/>
      <w:bookmarkStart w:id="116" w:name="_Toc204771911"/>
      <w:bookmarkStart w:id="117" w:name="_Hlk175128006"/>
      <w:bookmarkStart w:id="118" w:name="_Toc211425377"/>
      <w:r>
        <w:lastRenderedPageBreak/>
        <w:t xml:space="preserve">Appendix </w:t>
      </w:r>
      <w:r>
        <w:fldChar w:fldCharType="begin"/>
      </w:r>
      <w:r>
        <w:instrText xml:space="preserve"> SEQ Appendix \* ALPHABETIC </w:instrText>
      </w:r>
      <w:r>
        <w:fldChar w:fldCharType="separate"/>
      </w:r>
      <w:r w:rsidR="00F6227E">
        <w:rPr>
          <w:noProof/>
        </w:rPr>
        <w:t>E</w:t>
      </w:r>
      <w:r>
        <w:fldChar w:fldCharType="end"/>
      </w:r>
      <w:bookmarkEnd w:id="114"/>
      <w:r w:rsidR="002D19C4">
        <w:t>:</w:t>
      </w:r>
      <w:r w:rsidR="000D6599" w:rsidRPr="00E53A43">
        <w:t xml:space="preserve"> SERA</w:t>
      </w:r>
      <w:bookmarkEnd w:id="118"/>
      <w:r w:rsidR="000D6599" w:rsidRPr="00E53A43">
        <w:t xml:space="preserve"> </w:t>
      </w:r>
      <w:bookmarkEnd w:id="115"/>
      <w:bookmarkEnd w:id="116"/>
    </w:p>
    <w:bookmarkEnd w:id="117"/>
    <w:p w14:paraId="49D8E54F" w14:textId="59F7D2BC" w:rsidR="00960A13" w:rsidRDefault="001B4DF5" w:rsidP="001B4DF5">
      <w:pPr>
        <w:pStyle w:val="BodyText"/>
      </w:pPr>
      <w:r>
        <w:t xml:space="preserve">SERA </w:t>
      </w:r>
      <w:r w:rsidR="001F24BB">
        <w:t xml:space="preserve">is a </w:t>
      </w:r>
      <w:r w:rsidR="000D6599" w:rsidRPr="00E53A43">
        <w:t xml:space="preserve">structured, </w:t>
      </w:r>
      <w:r w:rsidR="006F0528">
        <w:t xml:space="preserve">monthly, </w:t>
      </w:r>
      <w:r w:rsidR="000D6599" w:rsidRPr="00E53A43">
        <w:t>telephone</w:t>
      </w:r>
      <w:r w:rsidR="00D7056A">
        <w:t xml:space="preserve"> and web</w:t>
      </w:r>
      <w:r w:rsidR="000D6599" w:rsidRPr="00E53A43">
        <w:t>-based survey</w:t>
      </w:r>
      <w:r w:rsidR="001F24BB">
        <w:t xml:space="preserve"> of employers</w:t>
      </w:r>
      <w:r w:rsidR="000D6599" w:rsidRPr="00E53A43">
        <w:t>. Employers are asked about their experiences recruiting for specific advertised vacancies in particular occupations</w:t>
      </w:r>
      <w:r>
        <w:t>.</w:t>
      </w:r>
      <w:r w:rsidR="000D6599" w:rsidRPr="00E53A43">
        <w:t xml:space="preserve"> </w:t>
      </w:r>
      <w:r w:rsidR="0001412F">
        <w:t xml:space="preserve">The survey </w:t>
      </w:r>
      <w:r w:rsidR="00357C4B">
        <w:t xml:space="preserve">includes </w:t>
      </w:r>
      <w:r w:rsidR="0001412F">
        <w:t xml:space="preserve">only skill level 1 to 4 occupations as defined by 2022 ANZSCO. </w:t>
      </w:r>
      <w:r w:rsidR="00D078A8">
        <w:t xml:space="preserve">Information is collected </w:t>
      </w:r>
      <w:r w:rsidR="002B4ED8">
        <w:t xml:space="preserve">for close to </w:t>
      </w:r>
      <w:r w:rsidR="00D078A8">
        <w:t>1</w:t>
      </w:r>
      <w:r w:rsidR="002B4ED8">
        <w:t>1</w:t>
      </w:r>
      <w:r w:rsidR="00D078A8">
        <w:t xml:space="preserve">,000 employers, annually, for 577 occupations. </w:t>
      </w:r>
    </w:p>
    <w:p w14:paraId="393E4247" w14:textId="6F829AD1" w:rsidR="00D078A8" w:rsidRDefault="00960A13" w:rsidP="00D078A8">
      <w:pPr>
        <w:pStyle w:val="BodyText"/>
      </w:pPr>
      <w:r>
        <w:t xml:space="preserve">Table E1 lists the questions </w:t>
      </w:r>
      <w:r w:rsidR="00DF1947">
        <w:t>in the SERA questionnaire.</w:t>
      </w:r>
    </w:p>
    <w:p w14:paraId="26D45134" w14:textId="1514AE94" w:rsidR="000D6599" w:rsidRPr="00E53A43" w:rsidRDefault="00D078A8" w:rsidP="00096303">
      <w:pPr>
        <w:pStyle w:val="BodyText"/>
      </w:pPr>
      <w:r>
        <w:t>For more information on SERA</w:t>
      </w:r>
      <w:r w:rsidR="00A43DB8">
        <w:t>,</w:t>
      </w:r>
      <w:r>
        <w:t xml:space="preserve"> including the survey methodology</w:t>
      </w:r>
      <w:r w:rsidR="00A43DB8">
        <w:t>,</w:t>
      </w:r>
      <w:r>
        <w:t xml:space="preserve"> please contact Jobs and Skills Australia</w:t>
      </w:r>
      <w:r w:rsidR="00767442">
        <w:t xml:space="preserve"> at</w:t>
      </w:r>
      <w:r w:rsidR="00A43DB8">
        <w:t>:</w:t>
      </w:r>
      <w:r w:rsidR="00B50887">
        <w:t xml:space="preserve"> </w:t>
      </w:r>
      <w:hyperlink r:id="rId22" w:history="1">
        <w:r w:rsidR="00170E88" w:rsidRPr="0034284A">
          <w:rPr>
            <w:rStyle w:val="Hyperlink"/>
          </w:rPr>
          <w:t>OccupationShortageList@jobsandskills.gov.au</w:t>
        </w:r>
      </w:hyperlink>
      <w:r w:rsidR="002B4ED8">
        <w:t>.</w:t>
      </w:r>
    </w:p>
    <w:p w14:paraId="3A3BEDC4" w14:textId="35163178" w:rsidR="000D6599" w:rsidRPr="00094083" w:rsidRDefault="002277E5" w:rsidP="002277E5">
      <w:pPr>
        <w:pStyle w:val="Caption"/>
      </w:pPr>
      <w:bookmarkStart w:id="119" w:name="_Toc204771913"/>
      <w:bookmarkStart w:id="120" w:name="_Toc211421407"/>
      <w:r>
        <w:t>Table E</w:t>
      </w:r>
      <w:r>
        <w:fldChar w:fldCharType="begin"/>
      </w:r>
      <w:r>
        <w:instrText xml:space="preserve"> SEQ Table_E \* ARABIC </w:instrText>
      </w:r>
      <w:r>
        <w:fldChar w:fldCharType="separate"/>
      </w:r>
      <w:r w:rsidR="00F6227E">
        <w:rPr>
          <w:noProof/>
        </w:rPr>
        <w:t>1</w:t>
      </w:r>
      <w:r>
        <w:fldChar w:fldCharType="end"/>
      </w:r>
      <w:r w:rsidR="005423C9" w:rsidRPr="00094083">
        <w:t xml:space="preserve">: </w:t>
      </w:r>
      <w:r w:rsidR="000D6599" w:rsidRPr="00094083">
        <w:t>SERA Questionnaire</w:t>
      </w:r>
      <w:bookmarkEnd w:id="119"/>
      <w:bookmarkEnd w:id="120"/>
    </w:p>
    <w:tbl>
      <w:tblPr>
        <w:tblStyle w:val="CustomTablebasic"/>
        <w:tblW w:w="0" w:type="auto"/>
        <w:tblLook w:val="04A0" w:firstRow="1" w:lastRow="0" w:firstColumn="1" w:lastColumn="0" w:noHBand="0" w:noVBand="1"/>
      </w:tblPr>
      <w:tblGrid>
        <w:gridCol w:w="9027"/>
      </w:tblGrid>
      <w:tr w:rsidR="00BE0A1C" w14:paraId="092DE79A" w14:textId="77777777" w:rsidTr="00C71FC2">
        <w:trPr>
          <w:cnfStyle w:val="100000000000" w:firstRow="1" w:lastRow="0" w:firstColumn="0" w:lastColumn="0" w:oddVBand="0" w:evenVBand="0" w:oddHBand="0" w:evenHBand="0" w:firstRowFirstColumn="0" w:firstRowLastColumn="0" w:lastRowFirstColumn="0" w:lastRowLastColumn="0"/>
          <w:tblHeader/>
        </w:trPr>
        <w:tc>
          <w:tcPr>
            <w:tcW w:w="9027" w:type="dxa"/>
          </w:tcPr>
          <w:p w14:paraId="02581BC4" w14:textId="77777777" w:rsidR="00BE0A1C" w:rsidRPr="00BE0A1C" w:rsidRDefault="00BE0A1C" w:rsidP="00650BF2">
            <w:pPr>
              <w:pStyle w:val="TableHeading1"/>
            </w:pPr>
            <w:r w:rsidRPr="00872B3A">
              <w:t>SERA Questionnaire</w:t>
            </w:r>
          </w:p>
        </w:tc>
      </w:tr>
      <w:tr w:rsidR="00BE0A1C" w14:paraId="3904F8D9" w14:textId="77777777">
        <w:tc>
          <w:tcPr>
            <w:tcW w:w="9027" w:type="dxa"/>
          </w:tcPr>
          <w:p w14:paraId="411AB7AB" w14:textId="77777777" w:rsidR="00BE0A1C" w:rsidRPr="00BE0A1C" w:rsidRDefault="00BE0A1C" w:rsidP="00BE0A1C">
            <w:pPr>
              <w:pStyle w:val="TableBodyText"/>
              <w:rPr>
                <w:rStyle w:val="Characterbold"/>
              </w:rPr>
            </w:pPr>
            <w:r>
              <w:rPr>
                <w:rStyle w:val="Characterbold"/>
              </w:rPr>
              <w:t xml:space="preserve">From this advertisement for a (job title) </w:t>
            </w:r>
            <w:r w:rsidRPr="00BE0A1C">
              <w:rPr>
                <w:rStyle w:val="Characterbold"/>
              </w:rPr>
              <w:t>how many positions were you attempting to fill?</w:t>
            </w:r>
          </w:p>
        </w:tc>
      </w:tr>
      <w:tr w:rsidR="00BE0A1C" w14:paraId="2DA02126"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0ECB704E" w14:textId="77777777" w:rsidR="00BE0A1C" w:rsidRPr="00BE0A1C" w:rsidRDefault="00BE0A1C" w:rsidP="00BE0A1C">
            <w:pPr>
              <w:pStyle w:val="TableBodyText"/>
              <w:rPr>
                <w:rStyle w:val="Characterbold"/>
              </w:rPr>
            </w:pPr>
            <w:r>
              <w:rPr>
                <w:rStyle w:val="Characterbold"/>
              </w:rPr>
              <w:t>How many positions were filled?</w:t>
            </w:r>
          </w:p>
        </w:tc>
      </w:tr>
      <w:tr w:rsidR="00BE0A1C" w14:paraId="5C4A4BB9" w14:textId="77777777">
        <w:tc>
          <w:tcPr>
            <w:tcW w:w="9027" w:type="dxa"/>
          </w:tcPr>
          <w:p w14:paraId="73248D36" w14:textId="77777777" w:rsidR="00BE0A1C" w:rsidRPr="00BE0A1C" w:rsidRDefault="00BE0A1C" w:rsidP="00BE0A1C">
            <w:pPr>
              <w:pStyle w:val="TableBodyText"/>
              <w:rPr>
                <w:rStyle w:val="Characterbold"/>
              </w:rPr>
            </w:pPr>
            <w:r>
              <w:rPr>
                <w:rStyle w:val="Characterbold"/>
              </w:rPr>
              <w:t xml:space="preserve">Are you still in the process </w:t>
            </w:r>
            <w:r w:rsidRPr="00BE0A1C">
              <w:rPr>
                <w:rStyle w:val="Characterbold"/>
              </w:rPr>
              <w:t>of hiring for this position?</w:t>
            </w:r>
          </w:p>
        </w:tc>
      </w:tr>
      <w:tr w:rsidR="00BE0A1C" w14:paraId="45D5CB10"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2947E2D5" w14:textId="77777777" w:rsidR="00BE0A1C" w:rsidRPr="00BE0A1C" w:rsidRDefault="00BE0A1C" w:rsidP="00BE0A1C">
            <w:pPr>
              <w:pStyle w:val="TableBodyText"/>
              <w:rPr>
                <w:rStyle w:val="Characterbold"/>
              </w:rPr>
            </w:pPr>
            <w:r>
              <w:rPr>
                <w:rStyle w:val="Characterbold"/>
              </w:rPr>
              <w:t xml:space="preserve">What is the expected date for completing </w:t>
            </w:r>
            <w:r w:rsidRPr="00BE0A1C">
              <w:rPr>
                <w:rStyle w:val="Characterbold"/>
              </w:rPr>
              <w:t>the hiring process for this position?</w:t>
            </w:r>
          </w:p>
        </w:tc>
      </w:tr>
      <w:tr w:rsidR="00A202E4" w14:paraId="358656D1" w14:textId="77777777">
        <w:tc>
          <w:tcPr>
            <w:tcW w:w="9027" w:type="dxa"/>
          </w:tcPr>
          <w:p w14:paraId="7DC97B26" w14:textId="227DF9DB" w:rsidR="00A202E4" w:rsidRPr="00A202E4" w:rsidRDefault="00A202E4" w:rsidP="00A202E4">
            <w:pPr>
              <w:pStyle w:val="TableBodyText"/>
              <w:rPr>
                <w:rStyle w:val="Characterbold"/>
              </w:rPr>
            </w:pPr>
            <w:r>
              <w:rPr>
                <w:rStyle w:val="Characterbold"/>
              </w:rPr>
              <w:t>You were attempting to fill (number of job title)</w:t>
            </w:r>
            <w:r w:rsidRPr="00A202E4">
              <w:rPr>
                <w:rStyle w:val="Characterbold"/>
              </w:rPr>
              <w:t xml:space="preserve"> position/s, but you ended up filling (number) position(s), is this correct?</w:t>
            </w:r>
          </w:p>
        </w:tc>
      </w:tr>
      <w:tr w:rsidR="00A202E4" w14:paraId="732E83E9"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5A9076E8" w14:textId="55E710E3" w:rsidR="00A202E4" w:rsidRPr="00A202E4" w:rsidRDefault="00A202E4" w:rsidP="00A202E4">
            <w:pPr>
              <w:pStyle w:val="TableBodyText"/>
              <w:rPr>
                <w:rStyle w:val="Characterbold"/>
              </w:rPr>
            </w:pPr>
            <w:r>
              <w:rPr>
                <w:rStyle w:val="Characterbold"/>
              </w:rPr>
              <w:t>How many people applied for the position</w:t>
            </w:r>
            <w:r w:rsidRPr="00A202E4">
              <w:rPr>
                <w:rStyle w:val="Characterbold"/>
              </w:rPr>
              <w:t>/s?</w:t>
            </w:r>
          </w:p>
        </w:tc>
      </w:tr>
      <w:tr w:rsidR="00A202E4" w14:paraId="35B10903" w14:textId="77777777">
        <w:tc>
          <w:tcPr>
            <w:tcW w:w="9027" w:type="dxa"/>
          </w:tcPr>
          <w:p w14:paraId="27F679F2" w14:textId="1C7FB580" w:rsidR="00A202E4" w:rsidRPr="00A202E4" w:rsidRDefault="00A202E4" w:rsidP="00A202E4">
            <w:pPr>
              <w:pStyle w:val="TableBodyText"/>
              <w:rPr>
                <w:rStyle w:val="Characterbold"/>
              </w:rPr>
            </w:pPr>
            <w:r>
              <w:rPr>
                <w:rStyle w:val="Characterbold"/>
              </w:rPr>
              <w:t>An exact number is not required. Can you please give us an idea of how many applicants</w:t>
            </w:r>
            <w:r w:rsidRPr="00A202E4">
              <w:rPr>
                <w:rStyle w:val="Characterbold"/>
              </w:rPr>
              <w:t xml:space="preserve"> there were? (Range of numbers)</w:t>
            </w:r>
          </w:p>
        </w:tc>
      </w:tr>
      <w:tr w:rsidR="00A202E4" w14:paraId="7BF1FD9F"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6B428CD6" w14:textId="77777777" w:rsidR="00663BED" w:rsidRPr="00663BED" w:rsidRDefault="00663BED" w:rsidP="00663BED">
            <w:pPr>
              <w:pStyle w:val="TableBodyText"/>
              <w:rPr>
                <w:rStyle w:val="Characterbold"/>
              </w:rPr>
            </w:pPr>
            <w:r>
              <w:rPr>
                <w:rStyle w:val="Characterbold"/>
              </w:rPr>
              <w:t>Which of the following statements best describes the qualifications required</w:t>
            </w:r>
            <w:r w:rsidRPr="00663BED">
              <w:rPr>
                <w:rStyle w:val="Characterbold"/>
              </w:rPr>
              <w:t xml:space="preserve"> for the position/s?</w:t>
            </w:r>
          </w:p>
          <w:p w14:paraId="7321E194" w14:textId="77777777" w:rsidR="00663BED" w:rsidRPr="00663BED" w:rsidRDefault="00663BED" w:rsidP="00663BED">
            <w:pPr>
              <w:pStyle w:val="TableListBullet"/>
              <w:rPr>
                <w:rStyle w:val="Characterbold"/>
                <w:b w:val="0"/>
              </w:rPr>
            </w:pPr>
            <w:r w:rsidRPr="00663BED">
              <w:rPr>
                <w:rStyle w:val="Characterbold"/>
                <w:b w:val="0"/>
              </w:rPr>
              <w:t>Formal qualifications are required</w:t>
            </w:r>
          </w:p>
          <w:p w14:paraId="75D7E412" w14:textId="77777777" w:rsidR="00663BED" w:rsidRPr="00663BED" w:rsidRDefault="00663BED" w:rsidP="00663BED">
            <w:pPr>
              <w:pStyle w:val="TableListBullet"/>
              <w:rPr>
                <w:rStyle w:val="Characterbold"/>
                <w:b w:val="0"/>
              </w:rPr>
            </w:pPr>
            <w:r w:rsidRPr="00663BED">
              <w:rPr>
                <w:rStyle w:val="Characterbold"/>
                <w:b w:val="0"/>
              </w:rPr>
              <w:t>Formal qualifications are preferred but not required</w:t>
            </w:r>
          </w:p>
          <w:p w14:paraId="63B39898" w14:textId="765589BC" w:rsidR="00A202E4" w:rsidRDefault="00663BED" w:rsidP="00663BED">
            <w:pPr>
              <w:pStyle w:val="TableListBullet"/>
              <w:rPr>
                <w:rStyle w:val="Characterbold"/>
              </w:rPr>
            </w:pPr>
            <w:r w:rsidRPr="00663BED">
              <w:rPr>
                <w:rStyle w:val="Characterbold"/>
                <w:b w:val="0"/>
              </w:rPr>
              <w:t>Formal qualifications are not required for the position</w:t>
            </w:r>
          </w:p>
        </w:tc>
      </w:tr>
      <w:tr w:rsidR="008A5920" w14:paraId="2B01698D" w14:textId="77777777">
        <w:tc>
          <w:tcPr>
            <w:tcW w:w="9027" w:type="dxa"/>
          </w:tcPr>
          <w:p w14:paraId="3A996D43" w14:textId="2774703A" w:rsidR="008A5920" w:rsidRPr="008A5920" w:rsidRDefault="008A5920" w:rsidP="008A5920">
            <w:pPr>
              <w:pStyle w:val="TableBodyText"/>
              <w:rPr>
                <w:rStyle w:val="Characterbold"/>
              </w:rPr>
            </w:pPr>
            <w:r>
              <w:rPr>
                <w:rStyle w:val="Characterbold"/>
              </w:rPr>
              <w:t>What qualifications were required?</w:t>
            </w:r>
          </w:p>
        </w:tc>
      </w:tr>
      <w:tr w:rsidR="008A5920" w14:paraId="22AC6CA4"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703B0143" w14:textId="3902246E" w:rsidR="008A5920" w:rsidRPr="008A5920" w:rsidRDefault="008A5920" w:rsidP="008A5920">
            <w:pPr>
              <w:pStyle w:val="TableBodyText"/>
              <w:rPr>
                <w:rStyle w:val="Characterbold"/>
              </w:rPr>
            </w:pPr>
            <w:r>
              <w:rPr>
                <w:rStyle w:val="Characterbold"/>
              </w:rPr>
              <w:t>Of the applicants, how many had the qualification/s required?</w:t>
            </w:r>
          </w:p>
        </w:tc>
      </w:tr>
      <w:tr w:rsidR="008A5920" w14:paraId="1A0F7873" w14:textId="77777777">
        <w:tc>
          <w:tcPr>
            <w:tcW w:w="9027" w:type="dxa"/>
          </w:tcPr>
          <w:p w14:paraId="4BD08873" w14:textId="223C751E" w:rsidR="008A5920" w:rsidRPr="008A5920" w:rsidRDefault="008A5920" w:rsidP="008A5920">
            <w:pPr>
              <w:pStyle w:val="TableBodyText"/>
              <w:rPr>
                <w:rStyle w:val="Characterbold"/>
              </w:rPr>
            </w:pPr>
            <w:r>
              <w:rPr>
                <w:rStyle w:val="Characterbold"/>
              </w:rPr>
              <w:t>Even though the position/s did not require a qualification</w:t>
            </w:r>
            <w:r w:rsidRPr="008A5920">
              <w:rPr>
                <w:rStyle w:val="Characterbold"/>
              </w:rPr>
              <w:t>, did you receive any applicants who held a relevant, formal qualification? If so, how many?</w:t>
            </w:r>
          </w:p>
        </w:tc>
      </w:tr>
      <w:tr w:rsidR="008A5920" w14:paraId="51A34979"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5E8C90FE" w14:textId="0465BB9F" w:rsidR="008A5920" w:rsidRPr="008A5920" w:rsidRDefault="008A5920" w:rsidP="008A5920">
            <w:pPr>
              <w:pStyle w:val="TableBodyText"/>
              <w:rPr>
                <w:rStyle w:val="Characterbold"/>
              </w:rPr>
            </w:pPr>
            <w:r>
              <w:rPr>
                <w:rStyle w:val="Characterbold"/>
              </w:rPr>
              <w:t xml:space="preserve">Did the </w:t>
            </w:r>
            <w:r w:rsidRPr="008A5920">
              <w:rPr>
                <w:rStyle w:val="Characterbold"/>
              </w:rPr>
              <w:t>applicant have the qualification/s required?</w:t>
            </w:r>
          </w:p>
        </w:tc>
      </w:tr>
      <w:tr w:rsidR="008A5920" w14:paraId="078ADA20" w14:textId="77777777">
        <w:tc>
          <w:tcPr>
            <w:tcW w:w="9027" w:type="dxa"/>
          </w:tcPr>
          <w:p w14:paraId="22A74EE8" w14:textId="4DDB6D52" w:rsidR="008A5920" w:rsidRPr="008A5920" w:rsidRDefault="008A5920" w:rsidP="008A5920">
            <w:pPr>
              <w:pStyle w:val="TableBodyText"/>
              <w:rPr>
                <w:rStyle w:val="Characterbold"/>
              </w:rPr>
            </w:pPr>
            <w:r>
              <w:rPr>
                <w:rStyle w:val="Characterbold"/>
              </w:rPr>
              <w:t>Eve</w:t>
            </w:r>
            <w:r w:rsidRPr="008A5920">
              <w:rPr>
                <w:rStyle w:val="Characterbold"/>
              </w:rPr>
              <w:t>n though it was not required for the position/s, did the applicant have the relevant, formal qualification/s?</w:t>
            </w:r>
          </w:p>
        </w:tc>
      </w:tr>
      <w:tr w:rsidR="008A5920" w14:paraId="1CD89428"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48F73BD6" w14:textId="77777777" w:rsidR="008A5920" w:rsidRPr="008A5920" w:rsidRDefault="008A5920" w:rsidP="008A5920">
            <w:pPr>
              <w:pStyle w:val="TableBodyText"/>
              <w:rPr>
                <w:rStyle w:val="Characterbold"/>
              </w:rPr>
            </w:pPr>
            <w:r>
              <w:rPr>
                <w:rStyle w:val="Characterbold"/>
              </w:rPr>
              <w:t xml:space="preserve">Thinking about the experience needed for the role, which of the following </w:t>
            </w:r>
            <w:r w:rsidRPr="008A5920">
              <w:rPr>
                <w:rStyle w:val="Characterbold"/>
              </w:rPr>
              <w:t>statements is the most accurate:</w:t>
            </w:r>
          </w:p>
          <w:p w14:paraId="4FBF6DD6" w14:textId="77777777" w:rsidR="008A5920" w:rsidRPr="00C05837" w:rsidRDefault="008A5920" w:rsidP="00C05837">
            <w:pPr>
              <w:pStyle w:val="TableListBullet"/>
              <w:rPr>
                <w:rStyle w:val="Characterbold"/>
                <w:b w:val="0"/>
              </w:rPr>
            </w:pPr>
            <w:r w:rsidRPr="00C05837">
              <w:rPr>
                <w:rStyle w:val="Characterbold"/>
                <w:b w:val="0"/>
              </w:rPr>
              <w:t>Relevant experience is required</w:t>
            </w:r>
          </w:p>
          <w:p w14:paraId="7DE5968F" w14:textId="77777777" w:rsidR="008A5920" w:rsidRPr="00C05837" w:rsidRDefault="008A5920" w:rsidP="00C05837">
            <w:pPr>
              <w:pStyle w:val="TableListBullet"/>
              <w:rPr>
                <w:rStyle w:val="Characterbold"/>
                <w:b w:val="0"/>
              </w:rPr>
            </w:pPr>
            <w:r w:rsidRPr="00C05837">
              <w:rPr>
                <w:rStyle w:val="Characterbold"/>
                <w:b w:val="0"/>
              </w:rPr>
              <w:t>Relevant experience is preferred but not required</w:t>
            </w:r>
          </w:p>
          <w:p w14:paraId="74DEA7CF" w14:textId="6BCDFAC3" w:rsidR="008A5920" w:rsidRDefault="008A5920" w:rsidP="00C05837">
            <w:pPr>
              <w:pStyle w:val="TableListBullet"/>
              <w:rPr>
                <w:rStyle w:val="Characterbold"/>
              </w:rPr>
            </w:pPr>
            <w:r w:rsidRPr="00C05837">
              <w:rPr>
                <w:rStyle w:val="Characterbold"/>
                <w:b w:val="0"/>
              </w:rPr>
              <w:t>Relevant experience is not required</w:t>
            </w:r>
          </w:p>
        </w:tc>
      </w:tr>
      <w:tr w:rsidR="008876E5" w14:paraId="4416BD25" w14:textId="77777777" w:rsidTr="008876E5">
        <w:tc>
          <w:tcPr>
            <w:tcW w:w="9027" w:type="dxa"/>
          </w:tcPr>
          <w:p w14:paraId="5028B0E2" w14:textId="77777777" w:rsidR="008876E5" w:rsidRPr="008876E5" w:rsidRDefault="008876E5" w:rsidP="008876E5">
            <w:pPr>
              <w:pStyle w:val="TableBodyText"/>
              <w:rPr>
                <w:rStyle w:val="Characterbold"/>
              </w:rPr>
            </w:pPr>
            <w:r w:rsidRPr="00762EFE">
              <w:rPr>
                <w:rStyle w:val="Characterbold"/>
              </w:rPr>
              <w:t xml:space="preserve">Did the position/s </w:t>
            </w:r>
            <w:r w:rsidRPr="008876E5">
              <w:rPr>
                <w:rStyle w:val="Characterbold"/>
              </w:rPr>
              <w:t>require the applicant/s to have relevant experience?</w:t>
            </w:r>
          </w:p>
        </w:tc>
      </w:tr>
      <w:tr w:rsidR="008876E5" w14:paraId="6F416527" w14:textId="77777777" w:rsidTr="008876E5">
        <w:trPr>
          <w:cnfStyle w:val="000000010000" w:firstRow="0" w:lastRow="0" w:firstColumn="0" w:lastColumn="0" w:oddVBand="0" w:evenVBand="0" w:oddHBand="0" w:evenHBand="1" w:firstRowFirstColumn="0" w:firstRowLastColumn="0" w:lastRowFirstColumn="0" w:lastRowLastColumn="0"/>
        </w:trPr>
        <w:tc>
          <w:tcPr>
            <w:tcW w:w="9027" w:type="dxa"/>
          </w:tcPr>
          <w:p w14:paraId="376315A0" w14:textId="77777777" w:rsidR="008876E5" w:rsidRPr="008876E5" w:rsidRDefault="008876E5" w:rsidP="008876E5">
            <w:pPr>
              <w:pStyle w:val="TableBodyText"/>
              <w:rPr>
                <w:rStyle w:val="Characterbold"/>
              </w:rPr>
            </w:pPr>
            <w:r>
              <w:rPr>
                <w:rStyle w:val="Characterbold"/>
              </w:rPr>
              <w:t xml:space="preserve">What is the </w:t>
            </w:r>
            <w:r w:rsidRPr="008876E5">
              <w:rPr>
                <w:rStyle w:val="Characterbold"/>
              </w:rPr>
              <w:t>minimum length of experience required for the position?</w:t>
            </w:r>
          </w:p>
        </w:tc>
      </w:tr>
      <w:tr w:rsidR="008876E5" w14:paraId="36D376F4" w14:textId="77777777" w:rsidTr="008876E5">
        <w:tc>
          <w:tcPr>
            <w:tcW w:w="9027" w:type="dxa"/>
          </w:tcPr>
          <w:p w14:paraId="3AD274B1" w14:textId="37CD88D2" w:rsidR="008876E5" w:rsidRPr="008876E5" w:rsidRDefault="008876E5" w:rsidP="008876E5">
            <w:pPr>
              <w:pStyle w:val="TableBodyText"/>
              <w:rPr>
                <w:rStyle w:val="Characterbold"/>
              </w:rPr>
            </w:pPr>
            <w:r>
              <w:rPr>
                <w:rStyle w:val="Characterbold"/>
              </w:rPr>
              <w:t xml:space="preserve">Was the applicant suitable? </w:t>
            </w:r>
            <w:r w:rsidR="00A071E9">
              <w:rPr>
                <w:rStyle w:val="Characterbold"/>
              </w:rPr>
              <w:t>T</w:t>
            </w:r>
            <w:r>
              <w:rPr>
                <w:rStyle w:val="Characterbold"/>
              </w:rPr>
              <w:t>hat is</w:t>
            </w:r>
            <w:r w:rsidRPr="008876E5">
              <w:rPr>
                <w:rStyle w:val="Characterbold"/>
              </w:rPr>
              <w:t xml:space="preserve">, they had the qualifications, </w:t>
            </w:r>
            <w:r w:rsidR="00847F61" w:rsidRPr="008876E5">
              <w:rPr>
                <w:rStyle w:val="Characterbold"/>
              </w:rPr>
              <w:t>skills,</w:t>
            </w:r>
            <w:r w:rsidRPr="008876E5">
              <w:rPr>
                <w:rStyle w:val="Characterbold"/>
              </w:rPr>
              <w:t xml:space="preserve"> and experience to do the job?</w:t>
            </w:r>
          </w:p>
        </w:tc>
      </w:tr>
      <w:tr w:rsidR="008A5920" w14:paraId="305FE7B5"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6DEA09D6" w14:textId="77777777" w:rsidR="00B4757D" w:rsidRDefault="00B4757D" w:rsidP="00B4757D">
            <w:pPr>
              <w:rPr>
                <w:rStyle w:val="Characterbold"/>
              </w:rPr>
            </w:pPr>
            <w:r>
              <w:rPr>
                <w:rStyle w:val="Characterbold"/>
              </w:rPr>
              <w:lastRenderedPageBreak/>
              <w:t xml:space="preserve">Now thinking about the applicants </w:t>
            </w:r>
            <w:r w:rsidRPr="00B4757D">
              <w:rPr>
                <w:rStyle w:val="Characterbold"/>
              </w:rPr>
              <w:t>who were not suitable, what were the main reasons the applicants were considered unsuitable for the position?</w:t>
            </w:r>
          </w:p>
          <w:p w14:paraId="26485112" w14:textId="77777777" w:rsidR="00B4757D" w:rsidRPr="00DB18AE" w:rsidRDefault="00B4757D" w:rsidP="00B4757D">
            <w:pPr>
              <w:pStyle w:val="TableListBullet"/>
              <w:numPr>
                <w:ilvl w:val="0"/>
                <w:numId w:val="6"/>
              </w:numPr>
            </w:pPr>
            <w:r w:rsidRPr="00DB18AE">
              <w:t xml:space="preserve">Lacked qualifications/registrations </w:t>
            </w:r>
          </w:p>
          <w:p w14:paraId="3F5AF7E1" w14:textId="6306AF69" w:rsidR="00B4757D" w:rsidRPr="00DB18AE" w:rsidRDefault="00B4757D" w:rsidP="00B4757D">
            <w:pPr>
              <w:pStyle w:val="TableListBullet"/>
              <w:numPr>
                <w:ilvl w:val="0"/>
                <w:numId w:val="6"/>
              </w:numPr>
            </w:pPr>
            <w:r w:rsidRPr="00DB18AE">
              <w:t>Lacked technical skills (</w:t>
            </w:r>
            <w:r w:rsidR="00152566" w:rsidRPr="00DB18AE">
              <w:t>e.g.</w:t>
            </w:r>
            <w:r w:rsidRPr="00DB18AE">
              <w:t xml:space="preserve"> specific tools, techniques, strategies)</w:t>
            </w:r>
          </w:p>
          <w:p w14:paraId="1FE45280" w14:textId="77777777" w:rsidR="00B4757D" w:rsidRPr="00DB18AE" w:rsidRDefault="00B4757D" w:rsidP="00B4757D">
            <w:pPr>
              <w:pStyle w:val="TableListBullet"/>
              <w:numPr>
                <w:ilvl w:val="0"/>
                <w:numId w:val="6"/>
              </w:numPr>
            </w:pPr>
            <w:r w:rsidRPr="00DB18AE">
              <w:t xml:space="preserve">Lacked experience in the occupation </w:t>
            </w:r>
          </w:p>
          <w:p w14:paraId="153DB139" w14:textId="77777777" w:rsidR="00B4757D" w:rsidRPr="00DB18AE" w:rsidRDefault="00B4757D" w:rsidP="00B4757D">
            <w:pPr>
              <w:pStyle w:val="TableListBullet"/>
              <w:numPr>
                <w:ilvl w:val="0"/>
                <w:numId w:val="6"/>
              </w:numPr>
            </w:pPr>
            <w:r w:rsidRPr="00DB18AE">
              <w:t xml:space="preserve">Poor application/interview </w:t>
            </w:r>
          </w:p>
          <w:p w14:paraId="7AC49E70" w14:textId="77777777" w:rsidR="00B4757D" w:rsidRPr="00DB18AE" w:rsidRDefault="00B4757D" w:rsidP="00B4757D">
            <w:pPr>
              <w:pStyle w:val="TableListBullet"/>
              <w:numPr>
                <w:ilvl w:val="0"/>
                <w:numId w:val="6"/>
              </w:numPr>
            </w:pPr>
            <w:r w:rsidRPr="00DB18AE">
              <w:t>Lacked required communication skills</w:t>
            </w:r>
          </w:p>
          <w:p w14:paraId="63FF1A82" w14:textId="77777777" w:rsidR="00B4757D" w:rsidRPr="00DB18AE" w:rsidRDefault="00B4757D" w:rsidP="00B4757D">
            <w:pPr>
              <w:pStyle w:val="TableListBullet"/>
              <w:numPr>
                <w:ilvl w:val="0"/>
                <w:numId w:val="6"/>
              </w:numPr>
            </w:pPr>
            <w:r w:rsidRPr="00DB18AE">
              <w:t>Remuneration (wage/salary/pay rate)</w:t>
            </w:r>
          </w:p>
          <w:p w14:paraId="2814B19B" w14:textId="12844828" w:rsidR="00B4757D" w:rsidRPr="00DB18AE" w:rsidRDefault="00B4757D" w:rsidP="00B4757D">
            <w:pPr>
              <w:pStyle w:val="TableListBullet"/>
              <w:numPr>
                <w:ilvl w:val="0"/>
                <w:numId w:val="6"/>
              </w:numPr>
            </w:pPr>
            <w:r w:rsidRPr="00DB18AE">
              <w:t>Location of applicant not suitable (</w:t>
            </w:r>
            <w:r w:rsidR="00152566" w:rsidRPr="00DB18AE">
              <w:t>e.g.</w:t>
            </w:r>
            <w:r w:rsidRPr="00DB18AE">
              <w:t xml:space="preserve"> lives too far away)</w:t>
            </w:r>
          </w:p>
          <w:p w14:paraId="3CEE44C0" w14:textId="77777777" w:rsidR="00B4757D" w:rsidRPr="00DB18AE" w:rsidRDefault="00B4757D" w:rsidP="00B4757D">
            <w:pPr>
              <w:pStyle w:val="TableListBullet"/>
              <w:numPr>
                <w:ilvl w:val="0"/>
                <w:numId w:val="6"/>
              </w:numPr>
            </w:pPr>
            <w:r w:rsidRPr="00DB18AE">
              <w:t xml:space="preserve">Applicant overseas/does not have Australian working rights </w:t>
            </w:r>
          </w:p>
          <w:p w14:paraId="1BD0517E" w14:textId="77777777" w:rsidR="00B4757D" w:rsidRPr="00DB18AE" w:rsidRDefault="00B4757D" w:rsidP="00B4757D">
            <w:pPr>
              <w:pStyle w:val="TableListBullet"/>
              <w:numPr>
                <w:ilvl w:val="0"/>
                <w:numId w:val="6"/>
              </w:numPr>
            </w:pPr>
            <w:r w:rsidRPr="00DB18AE">
              <w:t>Applying for Centrelink purposes only</w:t>
            </w:r>
          </w:p>
          <w:p w14:paraId="21D31D27" w14:textId="77777777" w:rsidR="00B4757D" w:rsidRPr="00DB18AE" w:rsidRDefault="00B4757D" w:rsidP="00B4757D">
            <w:pPr>
              <w:pStyle w:val="TableListBullet"/>
              <w:numPr>
                <w:ilvl w:val="0"/>
                <w:numId w:val="6"/>
              </w:numPr>
            </w:pPr>
            <w:r w:rsidRPr="00DB18AE">
              <w:t>Did not have required licence (e.g. driver's, forklift, etc)</w:t>
            </w:r>
          </w:p>
          <w:p w14:paraId="3B12147F" w14:textId="77777777" w:rsidR="00B4757D" w:rsidRPr="00DB18AE" w:rsidRDefault="00B4757D" w:rsidP="00B4757D">
            <w:pPr>
              <w:pStyle w:val="TableListBullet"/>
              <w:numPr>
                <w:ilvl w:val="0"/>
                <w:numId w:val="6"/>
              </w:numPr>
            </w:pPr>
            <w:r w:rsidRPr="00DB18AE">
              <w:t>Applicant/s did not show up (to interview or to work</w:t>
            </w:r>
          </w:p>
          <w:p w14:paraId="3FA90FDF" w14:textId="77777777" w:rsidR="00B4757D" w:rsidRPr="00DB18AE" w:rsidRDefault="00B4757D" w:rsidP="00B4757D">
            <w:pPr>
              <w:pStyle w:val="TableListBullet"/>
              <w:numPr>
                <w:ilvl w:val="0"/>
                <w:numId w:val="6"/>
              </w:numPr>
            </w:pPr>
            <w:r w:rsidRPr="00DB18AE">
              <w:t>Overqualified</w:t>
            </w:r>
          </w:p>
          <w:p w14:paraId="53D2BFA4" w14:textId="77777777" w:rsidR="00B4757D" w:rsidRPr="00DB18AE" w:rsidRDefault="00B4757D" w:rsidP="00B4757D">
            <w:pPr>
              <w:pStyle w:val="TableListBullet"/>
              <w:numPr>
                <w:ilvl w:val="0"/>
                <w:numId w:val="6"/>
              </w:numPr>
            </w:pPr>
            <w:r w:rsidRPr="00DB18AE">
              <w:t>Applicant/s did not want the hours/flexibility offered</w:t>
            </w:r>
          </w:p>
          <w:p w14:paraId="3BB881FF" w14:textId="53338573" w:rsidR="008A5920" w:rsidRPr="00B4757D" w:rsidRDefault="00B4757D" w:rsidP="00B4757D">
            <w:pPr>
              <w:pStyle w:val="TableListBullet"/>
              <w:rPr>
                <w:rStyle w:val="Characterbold"/>
                <w:b w:val="0"/>
              </w:rPr>
            </w:pPr>
            <w:r w:rsidRPr="00B4757D">
              <w:t>Poor references/work history</w:t>
            </w:r>
          </w:p>
        </w:tc>
      </w:tr>
      <w:tr w:rsidR="008A5920" w14:paraId="08513A16" w14:textId="77777777">
        <w:tc>
          <w:tcPr>
            <w:tcW w:w="9027" w:type="dxa"/>
          </w:tcPr>
          <w:p w14:paraId="3496B47D" w14:textId="77777777" w:rsidR="00B4757D" w:rsidRPr="00B4757D" w:rsidRDefault="00B4757D" w:rsidP="00B4757D">
            <w:pPr>
              <w:pStyle w:val="TableBodyText"/>
            </w:pPr>
            <w:r>
              <w:rPr>
                <w:rStyle w:val="Characterbold"/>
              </w:rPr>
              <w:t xml:space="preserve">How long have you been </w:t>
            </w:r>
            <w:r w:rsidRPr="00B4757D">
              <w:rPr>
                <w:rStyle w:val="Characterbold"/>
              </w:rPr>
              <w:t>trying to fill this vacancy/these vacancies?</w:t>
            </w:r>
          </w:p>
          <w:p w14:paraId="1496E625" w14:textId="77777777" w:rsidR="00B4757D" w:rsidRPr="00B4757D" w:rsidRDefault="00B4757D" w:rsidP="00B4757D">
            <w:pPr>
              <w:pStyle w:val="TableListBullet"/>
              <w:numPr>
                <w:ilvl w:val="0"/>
                <w:numId w:val="6"/>
              </w:numPr>
            </w:pPr>
            <w:r w:rsidRPr="006A225F">
              <w:t>Less than 4 weeks</w:t>
            </w:r>
          </w:p>
          <w:p w14:paraId="7C07DEE6" w14:textId="77777777" w:rsidR="00B4757D" w:rsidRPr="006A225F" w:rsidRDefault="00B4757D" w:rsidP="00B4757D">
            <w:pPr>
              <w:pStyle w:val="TableListBullet"/>
              <w:numPr>
                <w:ilvl w:val="0"/>
                <w:numId w:val="6"/>
              </w:numPr>
            </w:pPr>
            <w:r w:rsidRPr="006A225F">
              <w:t>4 to less than 6 weeks</w:t>
            </w:r>
          </w:p>
          <w:p w14:paraId="54FF0601" w14:textId="77777777" w:rsidR="00B4757D" w:rsidRPr="006A225F" w:rsidRDefault="00B4757D" w:rsidP="00B4757D">
            <w:pPr>
              <w:pStyle w:val="TableListBullet"/>
              <w:numPr>
                <w:ilvl w:val="0"/>
                <w:numId w:val="6"/>
              </w:numPr>
            </w:pPr>
            <w:r w:rsidRPr="006A225F">
              <w:t>6 weeks to less than 3 months</w:t>
            </w:r>
          </w:p>
          <w:p w14:paraId="5696364B" w14:textId="77777777" w:rsidR="00B4757D" w:rsidRPr="006A225F" w:rsidRDefault="00B4757D" w:rsidP="00B4757D">
            <w:pPr>
              <w:pStyle w:val="TableListBullet"/>
              <w:numPr>
                <w:ilvl w:val="0"/>
                <w:numId w:val="6"/>
              </w:numPr>
            </w:pPr>
            <w:r w:rsidRPr="006A225F">
              <w:t>3 to less than 6 months</w:t>
            </w:r>
          </w:p>
          <w:p w14:paraId="6A48DCF3" w14:textId="5BADC498" w:rsidR="008A5920" w:rsidRDefault="00B4757D" w:rsidP="00B4757D">
            <w:pPr>
              <w:pStyle w:val="TableListBullet"/>
              <w:rPr>
                <w:rStyle w:val="Characterbold"/>
              </w:rPr>
            </w:pPr>
            <w:r w:rsidRPr="006A225F">
              <w:t>6 months or more</w:t>
            </w:r>
          </w:p>
        </w:tc>
      </w:tr>
      <w:tr w:rsidR="008A5920" w14:paraId="15107DE4"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36A0B126" w14:textId="77777777" w:rsidR="00005933" w:rsidRPr="00005933" w:rsidRDefault="00005933" w:rsidP="00005933">
            <w:pPr>
              <w:pStyle w:val="TableBodyText"/>
              <w:rPr>
                <w:rStyle w:val="Characterbold"/>
              </w:rPr>
            </w:pPr>
            <w:r>
              <w:rPr>
                <w:rStyle w:val="Characterbold"/>
              </w:rPr>
              <w:t>Reflecting on your attempt</w:t>
            </w:r>
            <w:r w:rsidRPr="00005933">
              <w:rPr>
                <w:rStyle w:val="Characterbold"/>
              </w:rPr>
              <w:t xml:space="preserve"> to fill this position, why do you think there weren't any applications?</w:t>
            </w:r>
          </w:p>
          <w:p w14:paraId="4DB8D306" w14:textId="77777777" w:rsidR="00005933" w:rsidRPr="00005933" w:rsidRDefault="00005933" w:rsidP="00005933">
            <w:pPr>
              <w:pStyle w:val="TableListBullet"/>
              <w:rPr>
                <w:rStyle w:val="Charactersubscript"/>
                <w:vertAlign w:val="baseline"/>
              </w:rPr>
            </w:pPr>
            <w:r w:rsidRPr="00005933">
              <w:rPr>
                <w:rStyle w:val="Charactersubscript"/>
                <w:vertAlign w:val="baseline"/>
              </w:rPr>
              <w:t>Location e.g. remote or regional</w:t>
            </w:r>
          </w:p>
          <w:p w14:paraId="46846D50" w14:textId="77777777" w:rsidR="00005933" w:rsidRPr="00005933" w:rsidRDefault="00005933" w:rsidP="00005933">
            <w:pPr>
              <w:pStyle w:val="TableListBullet"/>
              <w:rPr>
                <w:rStyle w:val="Charactersubscript"/>
                <w:vertAlign w:val="baseline"/>
              </w:rPr>
            </w:pPr>
            <w:r w:rsidRPr="00005933">
              <w:rPr>
                <w:rStyle w:val="Charactersubscript"/>
                <w:vertAlign w:val="baseline"/>
              </w:rPr>
              <w:t>Specialist role</w:t>
            </w:r>
          </w:p>
          <w:p w14:paraId="616271A0" w14:textId="77777777" w:rsidR="00005933" w:rsidRPr="00005933" w:rsidRDefault="00005933" w:rsidP="00005933">
            <w:pPr>
              <w:pStyle w:val="TableListBullet"/>
              <w:rPr>
                <w:rStyle w:val="Charactersubscript"/>
                <w:vertAlign w:val="baseline"/>
              </w:rPr>
            </w:pPr>
            <w:r w:rsidRPr="00005933">
              <w:rPr>
                <w:rStyle w:val="Charactersubscript"/>
                <w:vertAlign w:val="baseline"/>
              </w:rPr>
              <w:t>Employment status (e.g. part-time, temporary/contract)</w:t>
            </w:r>
          </w:p>
          <w:p w14:paraId="18ADDF9E" w14:textId="77777777" w:rsidR="00005933" w:rsidRPr="00005933" w:rsidRDefault="00005933" w:rsidP="00005933">
            <w:pPr>
              <w:pStyle w:val="TableListBullet"/>
              <w:rPr>
                <w:rStyle w:val="Charactersubscript"/>
                <w:vertAlign w:val="baseline"/>
              </w:rPr>
            </w:pPr>
            <w:r w:rsidRPr="00005933">
              <w:rPr>
                <w:rStyle w:val="Charactersubscript"/>
                <w:vertAlign w:val="baseline"/>
              </w:rPr>
              <w:t xml:space="preserve">Remuneration (wage/salary/pay rate) </w:t>
            </w:r>
          </w:p>
          <w:p w14:paraId="616877BA" w14:textId="77777777" w:rsidR="00005933" w:rsidRPr="00005933" w:rsidRDefault="00005933" w:rsidP="00005933">
            <w:pPr>
              <w:pStyle w:val="TableListBullet"/>
              <w:rPr>
                <w:rStyle w:val="Charactersubscript"/>
                <w:vertAlign w:val="baseline"/>
              </w:rPr>
            </w:pPr>
            <w:r w:rsidRPr="00005933">
              <w:rPr>
                <w:rStyle w:val="Charactersubscript"/>
                <w:vertAlign w:val="baseline"/>
              </w:rPr>
              <w:t>Undesirable working conditions/hours/flexibility</w:t>
            </w:r>
          </w:p>
          <w:p w14:paraId="7FC617C6" w14:textId="77D0E76B" w:rsidR="00005933" w:rsidRPr="00005933" w:rsidRDefault="00005933" w:rsidP="00005933">
            <w:pPr>
              <w:pStyle w:val="TableListBullet"/>
              <w:rPr>
                <w:rStyle w:val="Charactersubscript"/>
                <w:vertAlign w:val="baseline"/>
              </w:rPr>
            </w:pPr>
            <w:r w:rsidRPr="00005933">
              <w:rPr>
                <w:rStyle w:val="Charactersubscript"/>
                <w:vertAlign w:val="baseline"/>
              </w:rPr>
              <w:t xml:space="preserve">Potential applicants’ preference for </w:t>
            </w:r>
            <w:r w:rsidR="00152566" w:rsidRPr="00005933">
              <w:rPr>
                <w:rStyle w:val="Charactersubscript"/>
                <w:vertAlign w:val="baseline"/>
              </w:rPr>
              <w:t>self-employment</w:t>
            </w:r>
            <w:r w:rsidRPr="00005933">
              <w:rPr>
                <w:rStyle w:val="Charactersubscript"/>
                <w:vertAlign w:val="baseline"/>
              </w:rPr>
              <w:t xml:space="preserve"> over wage or salary roles</w:t>
            </w:r>
          </w:p>
          <w:p w14:paraId="510CDBAB" w14:textId="77777777" w:rsidR="00005933" w:rsidRPr="00005933" w:rsidRDefault="00005933" w:rsidP="00005933">
            <w:pPr>
              <w:pStyle w:val="TableListBullet"/>
              <w:rPr>
                <w:rStyle w:val="Charactersubscript"/>
                <w:vertAlign w:val="baseline"/>
              </w:rPr>
            </w:pPr>
            <w:r w:rsidRPr="00005933">
              <w:rPr>
                <w:rStyle w:val="Charactersubscript"/>
                <w:vertAlign w:val="baseline"/>
              </w:rPr>
              <w:t>Not enough skilled workers available/skill shortage</w:t>
            </w:r>
          </w:p>
          <w:p w14:paraId="2F2E0F5F" w14:textId="75541CAA" w:rsidR="008A5920" w:rsidRDefault="00005933" w:rsidP="00005933">
            <w:pPr>
              <w:pStyle w:val="TableListBullet"/>
              <w:rPr>
                <w:rStyle w:val="Characterbold"/>
              </w:rPr>
            </w:pPr>
            <w:r w:rsidRPr="00005933">
              <w:rPr>
                <w:rStyle w:val="Charactersubscript"/>
                <w:vertAlign w:val="baseline"/>
              </w:rPr>
              <w:t>Other (please specify)</w:t>
            </w:r>
          </w:p>
        </w:tc>
      </w:tr>
      <w:tr w:rsidR="008A5920" w14:paraId="69488D44" w14:textId="77777777">
        <w:tc>
          <w:tcPr>
            <w:tcW w:w="9027" w:type="dxa"/>
          </w:tcPr>
          <w:p w14:paraId="32722886" w14:textId="77777777" w:rsidR="00005933" w:rsidRPr="00005933" w:rsidRDefault="00005933" w:rsidP="00005933">
            <w:pPr>
              <w:pStyle w:val="TableBodyText"/>
              <w:rPr>
                <w:rStyle w:val="Characterbold"/>
              </w:rPr>
            </w:pPr>
            <w:r>
              <w:rPr>
                <w:rStyle w:val="Characterbold"/>
              </w:rPr>
              <w:t>Reflecting on your attemp</w:t>
            </w:r>
            <w:r w:rsidRPr="00005933">
              <w:rPr>
                <w:rStyle w:val="Characterbold"/>
              </w:rPr>
              <w:t>t to fill this position, why do you think there were not many suitable applicants?</w:t>
            </w:r>
          </w:p>
          <w:p w14:paraId="60895DB7" w14:textId="77777777" w:rsidR="00005933" w:rsidRPr="00005933" w:rsidRDefault="00005933" w:rsidP="00005933">
            <w:pPr>
              <w:pStyle w:val="TableListBullet"/>
              <w:rPr>
                <w:rStyle w:val="Charactersubscript"/>
                <w:vertAlign w:val="baseline"/>
              </w:rPr>
            </w:pPr>
            <w:r w:rsidRPr="00005933">
              <w:rPr>
                <w:rStyle w:val="Charactersubscript"/>
                <w:vertAlign w:val="baseline"/>
              </w:rPr>
              <w:t>Location e.g. remote or regional</w:t>
            </w:r>
          </w:p>
          <w:p w14:paraId="10DD28CC" w14:textId="77777777" w:rsidR="00005933" w:rsidRPr="00005933" w:rsidRDefault="00005933" w:rsidP="00005933">
            <w:pPr>
              <w:pStyle w:val="TableListBullet"/>
              <w:rPr>
                <w:rStyle w:val="Charactersubscript"/>
                <w:vertAlign w:val="baseline"/>
              </w:rPr>
            </w:pPr>
            <w:r w:rsidRPr="00005933">
              <w:rPr>
                <w:rStyle w:val="Charactersubscript"/>
                <w:vertAlign w:val="baseline"/>
              </w:rPr>
              <w:t>Specialist role</w:t>
            </w:r>
          </w:p>
          <w:p w14:paraId="0F72E27E" w14:textId="77777777" w:rsidR="00005933" w:rsidRPr="00005933" w:rsidRDefault="00005933" w:rsidP="00005933">
            <w:pPr>
              <w:pStyle w:val="TableListBullet"/>
              <w:rPr>
                <w:rStyle w:val="Charactersubscript"/>
                <w:vertAlign w:val="baseline"/>
              </w:rPr>
            </w:pPr>
            <w:r w:rsidRPr="00005933">
              <w:rPr>
                <w:rStyle w:val="Charactersubscript"/>
                <w:vertAlign w:val="baseline"/>
              </w:rPr>
              <w:t>Employment status (e.g. part-time, temporary/contract)</w:t>
            </w:r>
          </w:p>
          <w:p w14:paraId="4567C115" w14:textId="77777777" w:rsidR="00005933" w:rsidRPr="00005933" w:rsidRDefault="00005933" w:rsidP="00005933">
            <w:pPr>
              <w:pStyle w:val="TableListBullet"/>
              <w:rPr>
                <w:rStyle w:val="Charactersubscript"/>
                <w:vertAlign w:val="baseline"/>
              </w:rPr>
            </w:pPr>
            <w:r w:rsidRPr="00005933">
              <w:rPr>
                <w:rStyle w:val="Charactersubscript"/>
                <w:vertAlign w:val="baseline"/>
              </w:rPr>
              <w:t xml:space="preserve">Remuneration (wage/salary/pay rate) </w:t>
            </w:r>
          </w:p>
          <w:p w14:paraId="38671D25" w14:textId="77777777" w:rsidR="00005933" w:rsidRDefault="00005933" w:rsidP="00005933">
            <w:pPr>
              <w:pStyle w:val="TableListBullet"/>
              <w:rPr>
                <w:rStyle w:val="Charactersubscript"/>
                <w:vertAlign w:val="baseline"/>
              </w:rPr>
            </w:pPr>
            <w:r w:rsidRPr="00005933">
              <w:rPr>
                <w:rStyle w:val="Charactersubscript"/>
                <w:vertAlign w:val="baseline"/>
              </w:rPr>
              <w:t>Undesirable working conditions/hours/flexibility</w:t>
            </w:r>
          </w:p>
          <w:p w14:paraId="2A5BB466" w14:textId="244AD940" w:rsidR="00005933" w:rsidRPr="00005933" w:rsidRDefault="00005933" w:rsidP="00005933">
            <w:pPr>
              <w:pStyle w:val="TableListBullet"/>
              <w:rPr>
                <w:rStyle w:val="Charactersubscript"/>
                <w:vertAlign w:val="baseline"/>
              </w:rPr>
            </w:pPr>
            <w:r w:rsidRPr="00005933">
              <w:rPr>
                <w:rStyle w:val="Charactersubscript"/>
                <w:vertAlign w:val="baseline"/>
              </w:rPr>
              <w:t xml:space="preserve">Potential applicants’ preference for </w:t>
            </w:r>
            <w:r w:rsidR="00152566" w:rsidRPr="00005933">
              <w:rPr>
                <w:rStyle w:val="Charactersubscript"/>
                <w:vertAlign w:val="baseline"/>
              </w:rPr>
              <w:t>self-employment</w:t>
            </w:r>
            <w:r w:rsidRPr="00005933">
              <w:rPr>
                <w:rStyle w:val="Charactersubscript"/>
                <w:vertAlign w:val="baseline"/>
              </w:rPr>
              <w:t xml:space="preserve"> over wage or salary roles</w:t>
            </w:r>
          </w:p>
          <w:p w14:paraId="1B248925" w14:textId="77777777" w:rsidR="00005933" w:rsidRPr="00005933" w:rsidRDefault="00005933" w:rsidP="00005933">
            <w:pPr>
              <w:pStyle w:val="TableListBullet"/>
              <w:rPr>
                <w:rStyle w:val="Charactersubscript"/>
                <w:vertAlign w:val="baseline"/>
              </w:rPr>
            </w:pPr>
            <w:r w:rsidRPr="00005933">
              <w:rPr>
                <w:rStyle w:val="Charactersubscript"/>
                <w:vertAlign w:val="baseline"/>
              </w:rPr>
              <w:t>Not enough skilled workers available/skill shortage</w:t>
            </w:r>
          </w:p>
          <w:p w14:paraId="34BA4728" w14:textId="44201498" w:rsidR="008A5920" w:rsidRDefault="00005933" w:rsidP="00402193">
            <w:pPr>
              <w:pStyle w:val="TableListBullet"/>
              <w:rPr>
                <w:rStyle w:val="Characterbold"/>
              </w:rPr>
            </w:pPr>
            <w:r w:rsidRPr="00005933">
              <w:rPr>
                <w:rStyle w:val="Charactersubscript"/>
                <w:vertAlign w:val="baseline"/>
              </w:rPr>
              <w:t>Other (please specify)</w:t>
            </w:r>
          </w:p>
        </w:tc>
      </w:tr>
      <w:tr w:rsidR="008A5920" w14:paraId="4C36EFB8"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42B99EDD" w14:textId="77777777" w:rsidR="00402193" w:rsidRPr="00402193" w:rsidRDefault="00402193" w:rsidP="00402193">
            <w:pPr>
              <w:pStyle w:val="TableBodyText"/>
              <w:rPr>
                <w:rStyle w:val="Characterbold"/>
              </w:rPr>
            </w:pPr>
            <w:r>
              <w:rPr>
                <w:rStyle w:val="Characterbold"/>
              </w:rPr>
              <w:lastRenderedPageBreak/>
              <w:t xml:space="preserve">Why </w:t>
            </w:r>
            <w:r w:rsidRPr="00402193">
              <w:rPr>
                <w:rStyle w:val="Characterbold"/>
              </w:rPr>
              <w:t>has/have the vacancy/vacancies remained unfilled even though there were enough suitable applicants?</w:t>
            </w:r>
          </w:p>
          <w:p w14:paraId="66105834" w14:textId="77777777" w:rsidR="00402193" w:rsidRPr="00402193" w:rsidRDefault="00402193" w:rsidP="00402193">
            <w:pPr>
              <w:pStyle w:val="TableListBullet"/>
            </w:pPr>
            <w:r w:rsidRPr="00DB18AE">
              <w:t>Suitable applicants chose to stay with current employer</w:t>
            </w:r>
          </w:p>
          <w:p w14:paraId="1C14AD84" w14:textId="77777777" w:rsidR="00402193" w:rsidRPr="00DB18AE" w:rsidRDefault="00402193" w:rsidP="00402193">
            <w:pPr>
              <w:pStyle w:val="TableListBullet"/>
            </w:pPr>
            <w:r w:rsidRPr="00DB18AE">
              <w:t>Suitable applicants found other work in the same occupation</w:t>
            </w:r>
          </w:p>
          <w:p w14:paraId="605166A3" w14:textId="77777777" w:rsidR="00402193" w:rsidRPr="00DB18AE" w:rsidRDefault="00402193" w:rsidP="00402193">
            <w:pPr>
              <w:pStyle w:val="TableListBullet"/>
            </w:pPr>
            <w:r w:rsidRPr="00DB18AE">
              <w:t>Could not agree remuneration (wage/salary/pay rate) with suitable applicant</w:t>
            </w:r>
          </w:p>
          <w:p w14:paraId="2DDB5235" w14:textId="77777777" w:rsidR="00402193" w:rsidRPr="00DB18AE" w:rsidRDefault="00402193" w:rsidP="00402193">
            <w:pPr>
              <w:pStyle w:val="TableListBullet"/>
            </w:pPr>
            <w:r w:rsidRPr="00DB18AE">
              <w:t>Suitable applicants were not offered the position because they were overqualified</w:t>
            </w:r>
          </w:p>
          <w:p w14:paraId="51ED90AC" w14:textId="77777777" w:rsidR="00402193" w:rsidRPr="00DB18AE" w:rsidRDefault="00402193" w:rsidP="00402193">
            <w:pPr>
              <w:pStyle w:val="TableListBullet"/>
            </w:pPr>
            <w:r w:rsidRPr="00DB18AE">
              <w:t>Suitable applicant was not willing to relocate</w:t>
            </w:r>
          </w:p>
          <w:p w14:paraId="21D3F306" w14:textId="77777777" w:rsidR="00402193" w:rsidRPr="00DB18AE" w:rsidRDefault="00402193" w:rsidP="00402193">
            <w:pPr>
              <w:pStyle w:val="TableListBullet"/>
            </w:pPr>
            <w:r w:rsidRPr="00DB18AE">
              <w:t>Suitable applicants’ preference for self-employment over wage or salary roles</w:t>
            </w:r>
          </w:p>
          <w:p w14:paraId="2118A158" w14:textId="77777777" w:rsidR="00402193" w:rsidRPr="00402193" w:rsidRDefault="00402193" w:rsidP="00402193">
            <w:pPr>
              <w:pStyle w:val="TableListBullet"/>
              <w:numPr>
                <w:ilvl w:val="0"/>
                <w:numId w:val="6"/>
              </w:numPr>
            </w:pPr>
            <w:r w:rsidRPr="00402193">
              <w:t>Still recruiting/still in process/pending</w:t>
            </w:r>
            <w:r w:rsidRPr="00402193">
              <w:tab/>
            </w:r>
          </w:p>
          <w:p w14:paraId="48F27ECA" w14:textId="77777777" w:rsidR="00402193" w:rsidRPr="00402193" w:rsidRDefault="00402193" w:rsidP="00402193">
            <w:pPr>
              <w:pStyle w:val="TableListBullet"/>
              <w:numPr>
                <w:ilvl w:val="0"/>
                <w:numId w:val="6"/>
              </w:numPr>
            </w:pPr>
            <w:r w:rsidRPr="00402193">
              <w:t>Suitable applicant did not agree with the flexible work condition (remote work, in-office work)</w:t>
            </w:r>
            <w:r w:rsidRPr="00402193">
              <w:tab/>
            </w:r>
          </w:p>
          <w:p w14:paraId="1F604B56" w14:textId="19F6F2B6" w:rsidR="008A5920" w:rsidRDefault="00402193" w:rsidP="00402193">
            <w:pPr>
              <w:pStyle w:val="TableListBullet"/>
              <w:rPr>
                <w:rStyle w:val="Characterbold"/>
              </w:rPr>
            </w:pPr>
            <w:r w:rsidRPr="00402193">
              <w:t>Other (please specify)</w:t>
            </w:r>
          </w:p>
        </w:tc>
      </w:tr>
      <w:tr w:rsidR="008A5920" w14:paraId="2E64BA67" w14:textId="77777777">
        <w:tc>
          <w:tcPr>
            <w:tcW w:w="9027" w:type="dxa"/>
          </w:tcPr>
          <w:p w14:paraId="729738A3" w14:textId="2F8D14D9" w:rsidR="008A5920" w:rsidRDefault="007B25B3" w:rsidP="008A5920">
            <w:pPr>
              <w:pStyle w:val="TableBodyText"/>
              <w:rPr>
                <w:rStyle w:val="Characterbold"/>
              </w:rPr>
            </w:pPr>
            <w:r>
              <w:rPr>
                <w:rStyle w:val="Characterbold"/>
              </w:rPr>
              <w:t>Are you confident that you will successfully fill the vacancy/vacancies in the current recruitment round?</w:t>
            </w:r>
          </w:p>
        </w:tc>
      </w:tr>
      <w:tr w:rsidR="008876E5" w14:paraId="40B85C66" w14:textId="77777777" w:rsidTr="00C71FC2">
        <w:trPr>
          <w:cnfStyle w:val="000000010000" w:firstRow="0" w:lastRow="0" w:firstColumn="0" w:lastColumn="0" w:oddVBand="0" w:evenVBand="0" w:oddHBand="0" w:evenHBand="1" w:firstRowFirstColumn="0" w:firstRowLastColumn="0" w:lastRowFirstColumn="0" w:lastRowLastColumn="0"/>
        </w:trPr>
        <w:tc>
          <w:tcPr>
            <w:tcW w:w="9027" w:type="dxa"/>
          </w:tcPr>
          <w:p w14:paraId="343A0B48" w14:textId="77777777" w:rsidR="007B25B3" w:rsidRPr="007B25B3" w:rsidRDefault="007B25B3" w:rsidP="007B25B3">
            <w:pPr>
              <w:pStyle w:val="TableBodyText"/>
              <w:rPr>
                <w:rStyle w:val="Characterbold"/>
              </w:rPr>
            </w:pPr>
            <w:r>
              <w:rPr>
                <w:rStyle w:val="Characterbold"/>
              </w:rPr>
              <w:t xml:space="preserve">Since one or more of the vacancies were not filled, what will </w:t>
            </w:r>
            <w:r w:rsidRPr="007B25B3">
              <w:rPr>
                <w:rStyle w:val="Characterbold"/>
              </w:rPr>
              <w:t>be done now?</w:t>
            </w:r>
          </w:p>
          <w:p w14:paraId="31CFA997" w14:textId="77777777" w:rsidR="007B25B3" w:rsidRPr="007B25B3" w:rsidRDefault="007B25B3" w:rsidP="007B25B3">
            <w:pPr>
              <w:pStyle w:val="TableListBullet"/>
            </w:pPr>
            <w:r w:rsidRPr="00230E4B">
              <w:t>Keep advertising/readvertise in same places/sites/areas</w:t>
            </w:r>
          </w:p>
          <w:p w14:paraId="06A9D6EF" w14:textId="77777777" w:rsidR="007B25B3" w:rsidRPr="00230E4B" w:rsidRDefault="007B25B3" w:rsidP="007B25B3">
            <w:pPr>
              <w:pStyle w:val="TableListBullet"/>
            </w:pPr>
            <w:r w:rsidRPr="00230E4B">
              <w:t>Advertise on different sites/areas</w:t>
            </w:r>
          </w:p>
          <w:p w14:paraId="3CA73078" w14:textId="77777777" w:rsidR="007B25B3" w:rsidRPr="00230E4B" w:rsidRDefault="007B25B3" w:rsidP="007B25B3">
            <w:pPr>
              <w:pStyle w:val="TableListBullet"/>
            </w:pPr>
            <w:r w:rsidRPr="00230E4B">
              <w:t>Seek candidates other than through advertising (e.g. word-of-mouth)</w:t>
            </w:r>
          </w:p>
          <w:p w14:paraId="74FB346C" w14:textId="77777777" w:rsidR="007B25B3" w:rsidRPr="00230E4B" w:rsidRDefault="007B25B3" w:rsidP="007B25B3">
            <w:pPr>
              <w:pStyle w:val="TableListBullet"/>
            </w:pPr>
            <w:r w:rsidRPr="00230E4B">
              <w:t>Change job advertisement</w:t>
            </w:r>
          </w:p>
          <w:p w14:paraId="6417025A" w14:textId="77777777" w:rsidR="007B25B3" w:rsidRPr="00230E4B" w:rsidRDefault="007B25B3" w:rsidP="007B25B3">
            <w:pPr>
              <w:pStyle w:val="TableListBullet"/>
            </w:pPr>
            <w:r w:rsidRPr="00230E4B">
              <w:t xml:space="preserve">Change position requirements including taking apprentices </w:t>
            </w:r>
          </w:p>
          <w:p w14:paraId="61C21EEB" w14:textId="77777777" w:rsidR="007B25B3" w:rsidRDefault="007B25B3" w:rsidP="007B25B3">
            <w:pPr>
              <w:pStyle w:val="TableListBullet"/>
            </w:pPr>
            <w:r w:rsidRPr="00230E4B">
              <w:t>Change remuneration</w:t>
            </w:r>
          </w:p>
          <w:p w14:paraId="63B05490" w14:textId="77777777" w:rsidR="007B25B3" w:rsidRPr="007B25B3" w:rsidRDefault="007B25B3" w:rsidP="007B25B3">
            <w:pPr>
              <w:pStyle w:val="TableListBullet"/>
              <w:numPr>
                <w:ilvl w:val="0"/>
                <w:numId w:val="6"/>
              </w:numPr>
            </w:pPr>
            <w:r w:rsidRPr="007B25B3">
              <w:t>Change the working conditions of the position</w:t>
            </w:r>
          </w:p>
          <w:p w14:paraId="7EA910B8" w14:textId="77777777" w:rsidR="007B25B3" w:rsidRPr="007B25B3" w:rsidRDefault="007B25B3" w:rsidP="007B25B3">
            <w:pPr>
              <w:pStyle w:val="TableListBullet"/>
              <w:numPr>
                <w:ilvl w:val="0"/>
                <w:numId w:val="6"/>
              </w:numPr>
            </w:pPr>
            <w:r w:rsidRPr="007B25B3">
              <w:t xml:space="preserve">Give up on filling the position </w:t>
            </w:r>
          </w:p>
          <w:p w14:paraId="36F36A8A" w14:textId="77777777" w:rsidR="007B25B3" w:rsidRPr="007B25B3" w:rsidRDefault="007B25B3" w:rsidP="007B25B3">
            <w:pPr>
              <w:pStyle w:val="TableListBullet"/>
              <w:numPr>
                <w:ilvl w:val="0"/>
                <w:numId w:val="6"/>
              </w:numPr>
            </w:pPr>
            <w:r w:rsidRPr="007B25B3">
              <w:t>Restructure the organisation</w:t>
            </w:r>
          </w:p>
          <w:p w14:paraId="334B082D" w14:textId="77777777" w:rsidR="007B25B3" w:rsidRPr="007B25B3" w:rsidRDefault="007B25B3" w:rsidP="007B25B3">
            <w:pPr>
              <w:pStyle w:val="TableListBullet"/>
              <w:numPr>
                <w:ilvl w:val="0"/>
                <w:numId w:val="6"/>
              </w:numPr>
            </w:pPr>
            <w:r w:rsidRPr="007B25B3">
              <w:t>Turn down work or cancel existing work</w:t>
            </w:r>
          </w:p>
          <w:p w14:paraId="60856A3B" w14:textId="77777777" w:rsidR="007B25B3" w:rsidRPr="007B25B3" w:rsidRDefault="007B25B3" w:rsidP="007B25B3">
            <w:pPr>
              <w:pStyle w:val="TableListBullet"/>
              <w:numPr>
                <w:ilvl w:val="0"/>
                <w:numId w:val="6"/>
              </w:numPr>
            </w:pPr>
            <w:r w:rsidRPr="007B25B3">
              <w:t>Keep the position on hold</w:t>
            </w:r>
          </w:p>
          <w:p w14:paraId="79494900" w14:textId="77777777" w:rsidR="007B25B3" w:rsidRPr="007B25B3" w:rsidRDefault="007B25B3" w:rsidP="007B25B3">
            <w:pPr>
              <w:pStyle w:val="TableListBullet"/>
              <w:numPr>
                <w:ilvl w:val="0"/>
                <w:numId w:val="6"/>
              </w:numPr>
            </w:pPr>
            <w:r w:rsidRPr="007B25B3">
              <w:t>Offer overseas sponsorships/take applicants from overseas</w:t>
            </w:r>
          </w:p>
          <w:p w14:paraId="0B82709A" w14:textId="77777777" w:rsidR="007B25B3" w:rsidRPr="007B25B3" w:rsidRDefault="007B25B3" w:rsidP="007B25B3">
            <w:pPr>
              <w:pStyle w:val="TableListBullet"/>
              <w:numPr>
                <w:ilvl w:val="0"/>
                <w:numId w:val="6"/>
              </w:numPr>
            </w:pPr>
            <w:r w:rsidRPr="007B25B3">
              <w:t>Use recruitment agency</w:t>
            </w:r>
          </w:p>
          <w:p w14:paraId="394254B4" w14:textId="0B63B4FF" w:rsidR="008876E5" w:rsidRPr="007B25B3" w:rsidRDefault="007B25B3" w:rsidP="007B25B3">
            <w:pPr>
              <w:pStyle w:val="TableListBullet"/>
              <w:rPr>
                <w:rStyle w:val="Characterbold"/>
                <w:b w:val="0"/>
              </w:rPr>
            </w:pPr>
            <w:r w:rsidRPr="007B25B3">
              <w:t>Outsource work</w:t>
            </w:r>
          </w:p>
        </w:tc>
      </w:tr>
    </w:tbl>
    <w:p w14:paraId="5EDE96B1" w14:textId="008F36B4" w:rsidR="0078203E" w:rsidRPr="00001225" w:rsidRDefault="00F60587" w:rsidP="00424280">
      <w:pPr>
        <w:pStyle w:val="Source"/>
      </w:pPr>
      <w:r>
        <w:t xml:space="preserve">Source: Jobs and Skills Australia. </w:t>
      </w:r>
    </w:p>
    <w:p w14:paraId="2A98C367" w14:textId="2A5450B4" w:rsidR="00ED55E7" w:rsidRPr="00E53A43" w:rsidRDefault="00BD1C98" w:rsidP="00ED55E7">
      <w:pPr>
        <w:pStyle w:val="Heading2"/>
      </w:pPr>
      <w:bookmarkStart w:id="121" w:name="_Toc175157213"/>
      <w:bookmarkStart w:id="122" w:name="_Toc204771916"/>
      <w:bookmarkStart w:id="123" w:name="_Toc211425378"/>
      <w:r>
        <w:t xml:space="preserve">Appendix </w:t>
      </w:r>
      <w:r>
        <w:fldChar w:fldCharType="begin"/>
      </w:r>
      <w:r>
        <w:instrText xml:space="preserve"> SEQ Appendix \* ALPHABETIC </w:instrText>
      </w:r>
      <w:r>
        <w:fldChar w:fldCharType="separate"/>
      </w:r>
      <w:r w:rsidR="00F6227E">
        <w:rPr>
          <w:noProof/>
        </w:rPr>
        <w:t>F</w:t>
      </w:r>
      <w:r>
        <w:fldChar w:fldCharType="end"/>
      </w:r>
      <w:r w:rsidR="000830EC">
        <w:t>:</w:t>
      </w:r>
      <w:r w:rsidR="00ED55E7" w:rsidRPr="00ED55E7">
        <w:t xml:space="preserve"> </w:t>
      </w:r>
      <w:r w:rsidR="00F66D43">
        <w:t xml:space="preserve">OSL </w:t>
      </w:r>
      <w:r w:rsidR="00ED55E7" w:rsidRPr="00E53A43">
        <w:t>Stakeholder Survey</w:t>
      </w:r>
      <w:bookmarkEnd w:id="121"/>
      <w:bookmarkEnd w:id="122"/>
      <w:bookmarkEnd w:id="123"/>
      <w:r w:rsidR="00ED55E7" w:rsidRPr="00E53A43">
        <w:t xml:space="preserve"> </w:t>
      </w:r>
    </w:p>
    <w:p w14:paraId="70A6C809" w14:textId="124349F8" w:rsidR="0010693C" w:rsidRPr="002A26AF" w:rsidRDefault="0010693C" w:rsidP="0010693C">
      <w:pPr>
        <w:pStyle w:val="BodyText"/>
      </w:pPr>
      <w:bookmarkStart w:id="124" w:name="_Toc204771917"/>
      <w:r w:rsidRPr="002A26AF">
        <w:t xml:space="preserve">The </w:t>
      </w:r>
      <w:r w:rsidR="00F60587">
        <w:t xml:space="preserve">OSL </w:t>
      </w:r>
      <w:r w:rsidR="00F66D43">
        <w:t>S</w:t>
      </w:r>
      <w:r>
        <w:t xml:space="preserve">takeholder </w:t>
      </w:r>
      <w:r w:rsidR="00F66D43">
        <w:t>S</w:t>
      </w:r>
      <w:r w:rsidRPr="002A26AF">
        <w:t xml:space="preserve">urvey </w:t>
      </w:r>
      <w:r w:rsidR="00F66D43">
        <w:t xml:space="preserve">(stakeholder survey) </w:t>
      </w:r>
      <w:r w:rsidRPr="002A26AF">
        <w:t xml:space="preserve">targets </w:t>
      </w:r>
      <w:r>
        <w:t>peak bodies</w:t>
      </w:r>
      <w:r w:rsidRPr="002A26AF">
        <w:t xml:space="preserve">, professional associations, unions, regional representative bodies, and education and training advisory bodies. </w:t>
      </w:r>
      <w:r>
        <w:t xml:space="preserve">Responses are also </w:t>
      </w:r>
      <w:r w:rsidRPr="002A26AF">
        <w:t>receive</w:t>
      </w:r>
      <w:r>
        <w:t>d</w:t>
      </w:r>
      <w:r w:rsidRPr="002A26AF">
        <w:t xml:space="preserve"> from government agencies, recruitment agencies/labour hire firms, employers and J</w:t>
      </w:r>
      <w:r w:rsidR="00A43DB8">
        <w:t>SCs</w:t>
      </w:r>
      <w:r w:rsidRPr="002A26AF">
        <w:t>.</w:t>
      </w:r>
    </w:p>
    <w:p w14:paraId="4954E8E5" w14:textId="77777777" w:rsidR="0010693C" w:rsidRPr="002A26AF" w:rsidRDefault="0010693C" w:rsidP="0010693C">
      <w:pPr>
        <w:pStyle w:val="BodyText"/>
      </w:pPr>
      <w:r w:rsidRPr="002A26AF">
        <w:t xml:space="preserve">The </w:t>
      </w:r>
      <w:r>
        <w:t>stakeholder s</w:t>
      </w:r>
      <w:r w:rsidRPr="002A26AF">
        <w:t xml:space="preserve">urvey </w:t>
      </w:r>
      <w:r>
        <w:t>can be completed</w:t>
      </w:r>
      <w:r w:rsidRPr="002A26AF">
        <w:t xml:space="preserve"> between November </w:t>
      </w:r>
      <w:r>
        <w:t xml:space="preserve">each year </w:t>
      </w:r>
      <w:r w:rsidRPr="002A26AF">
        <w:t xml:space="preserve">and </w:t>
      </w:r>
      <w:r>
        <w:t xml:space="preserve">March the following year. </w:t>
      </w:r>
    </w:p>
    <w:p w14:paraId="59777B1F" w14:textId="117ACC1E" w:rsidR="0010693C" w:rsidRPr="002A26AF" w:rsidRDefault="0010693C" w:rsidP="0010693C">
      <w:pPr>
        <w:pStyle w:val="BodyText"/>
      </w:pPr>
      <w:r w:rsidRPr="002A26AF">
        <w:t>Th</w:t>
      </w:r>
      <w:r>
        <w:t>is s</w:t>
      </w:r>
      <w:r w:rsidRPr="002A26AF">
        <w:t xml:space="preserve">urvey is different to </w:t>
      </w:r>
      <w:r>
        <w:t>Jobs and Skills Australia</w:t>
      </w:r>
      <w:r w:rsidR="00037206">
        <w:t xml:space="preserve"> </w:t>
      </w:r>
      <w:r w:rsidRPr="002A26AF">
        <w:t>SERA</w:t>
      </w:r>
      <w:r>
        <w:t>.</w:t>
      </w:r>
      <w:r w:rsidRPr="002A26AF">
        <w:t xml:space="preserve"> </w:t>
      </w:r>
      <w:r>
        <w:t xml:space="preserve">Compared to SERA, the stakeholder survey collects high level information on </w:t>
      </w:r>
      <w:r w:rsidR="00BA6AA1">
        <w:t>3</w:t>
      </w:r>
      <w:r w:rsidRPr="002A26AF">
        <w:t xml:space="preserve"> key areas</w:t>
      </w:r>
      <w:r>
        <w:t xml:space="preserve"> related to recruitment experience</w:t>
      </w:r>
      <w:r w:rsidRPr="002A26AF">
        <w:t>:</w:t>
      </w:r>
    </w:p>
    <w:p w14:paraId="57BB3D9C" w14:textId="5D966EE8" w:rsidR="0010693C" w:rsidRPr="002A26AF" w:rsidRDefault="0010693C" w:rsidP="0010693C">
      <w:pPr>
        <w:pStyle w:val="ListBullet"/>
      </w:pPr>
      <w:r w:rsidRPr="002A26AF">
        <w:t>Proportion of vacancies filled</w:t>
      </w:r>
      <w:r>
        <w:t xml:space="preserve"> </w:t>
      </w:r>
      <w:r w:rsidRPr="002A26AF">
        <w:t>by states/territories</w:t>
      </w:r>
      <w:r>
        <w:t xml:space="preserve"> and</w:t>
      </w:r>
      <w:r w:rsidRPr="002A26AF">
        <w:t xml:space="preserve"> metropolitan, regional or both </w:t>
      </w:r>
    </w:p>
    <w:p w14:paraId="45377259" w14:textId="6F29B35D" w:rsidR="0010693C" w:rsidRPr="002A26AF" w:rsidRDefault="0010693C" w:rsidP="0010693C">
      <w:pPr>
        <w:pStyle w:val="ListBullet"/>
      </w:pPr>
      <w:r w:rsidRPr="002A26AF">
        <w:t>Supply of workers</w:t>
      </w:r>
    </w:p>
    <w:p w14:paraId="7B2A90A7" w14:textId="77777777" w:rsidR="0010693C" w:rsidRPr="002A26AF" w:rsidRDefault="0010693C" w:rsidP="0010693C">
      <w:pPr>
        <w:pStyle w:val="ListBullet"/>
      </w:pPr>
      <w:r>
        <w:lastRenderedPageBreak/>
        <w:t>D</w:t>
      </w:r>
      <w:r w:rsidRPr="002A26AF">
        <w:t xml:space="preserve">emand for </w:t>
      </w:r>
      <w:r>
        <w:t xml:space="preserve">workers </w:t>
      </w:r>
      <w:r w:rsidRPr="002A26AF">
        <w:t>compared to the previous year.</w:t>
      </w:r>
    </w:p>
    <w:p w14:paraId="1A569145" w14:textId="6693DCA1" w:rsidR="0046265A" w:rsidRDefault="0010693C" w:rsidP="003E3B8E">
      <w:pPr>
        <w:pStyle w:val="BodyText"/>
      </w:pPr>
      <w:r>
        <w:t>I</w:t>
      </w:r>
      <w:r w:rsidRPr="0010693C">
        <w:t xml:space="preserve">nformation is collected at </w:t>
      </w:r>
      <w:r w:rsidR="0046265A">
        <w:t xml:space="preserve">2022 ANZSCO </w:t>
      </w:r>
      <w:r w:rsidRPr="0010693C">
        <w:t>occupation level</w:t>
      </w:r>
      <w:bookmarkEnd w:id="124"/>
      <w:r w:rsidR="0046265A">
        <w:t xml:space="preserve">. </w:t>
      </w:r>
    </w:p>
    <w:p w14:paraId="65FBABAE" w14:textId="1443AFF4" w:rsidR="00514C6F" w:rsidRDefault="00ED55E7" w:rsidP="0064281C">
      <w:pPr>
        <w:pStyle w:val="BodyText"/>
      </w:pPr>
      <w:r w:rsidRPr="00E53A43">
        <w:t xml:space="preserve">Table </w:t>
      </w:r>
      <w:r w:rsidR="005423C9">
        <w:t>F</w:t>
      </w:r>
      <w:r w:rsidR="005423C9" w:rsidRPr="00E53A43">
        <w:t xml:space="preserve">1 </w:t>
      </w:r>
      <w:r w:rsidRPr="00E53A43">
        <w:t>list</w:t>
      </w:r>
      <w:r w:rsidR="00001225">
        <w:t>s</w:t>
      </w:r>
      <w:r w:rsidRPr="00E53A43">
        <w:t xml:space="preserve"> the questions in the </w:t>
      </w:r>
      <w:r w:rsidR="00F01F4F">
        <w:t>s</w:t>
      </w:r>
      <w:r w:rsidRPr="00E53A43">
        <w:t xml:space="preserve">takeholder </w:t>
      </w:r>
      <w:r w:rsidR="00F01F4F">
        <w:t>s</w:t>
      </w:r>
      <w:r w:rsidRPr="00E53A43">
        <w:t>urvey.</w:t>
      </w:r>
    </w:p>
    <w:p w14:paraId="56225D79" w14:textId="795A63A5" w:rsidR="00ED55E7" w:rsidRPr="00E53A43" w:rsidRDefault="00547A67" w:rsidP="00547A67">
      <w:pPr>
        <w:pStyle w:val="Caption"/>
      </w:pPr>
      <w:bookmarkStart w:id="125" w:name="_Toc211421409"/>
      <w:r>
        <w:t>Table F</w:t>
      </w:r>
      <w:r>
        <w:fldChar w:fldCharType="begin"/>
      </w:r>
      <w:r>
        <w:instrText xml:space="preserve"> SEQ Table_F \* ARABIC </w:instrText>
      </w:r>
      <w:r>
        <w:fldChar w:fldCharType="separate"/>
      </w:r>
      <w:r w:rsidR="00F6227E">
        <w:rPr>
          <w:noProof/>
        </w:rPr>
        <w:t>1</w:t>
      </w:r>
      <w:r>
        <w:fldChar w:fldCharType="end"/>
      </w:r>
      <w:r w:rsidR="00ED55E7" w:rsidRPr="00E53A43">
        <w:t>: Stakeholder Survey Questionnaire</w:t>
      </w:r>
      <w:bookmarkEnd w:id="125"/>
    </w:p>
    <w:tbl>
      <w:tblPr>
        <w:tblStyle w:val="CustomTablebasic"/>
        <w:tblW w:w="0" w:type="auto"/>
        <w:tblLook w:val="04A0" w:firstRow="1" w:lastRow="0" w:firstColumn="1" w:lastColumn="0" w:noHBand="0" w:noVBand="1"/>
      </w:tblPr>
      <w:tblGrid>
        <w:gridCol w:w="9027"/>
      </w:tblGrid>
      <w:tr w:rsidR="00C4706B" w14:paraId="0076052E" w14:textId="77777777" w:rsidTr="00794870">
        <w:trPr>
          <w:cnfStyle w:val="100000000000" w:firstRow="1" w:lastRow="0" w:firstColumn="0" w:lastColumn="0" w:oddVBand="0" w:evenVBand="0" w:oddHBand="0" w:evenHBand="0" w:firstRowFirstColumn="0" w:firstRowLastColumn="0" w:lastRowFirstColumn="0" w:lastRowLastColumn="0"/>
          <w:tblHeader/>
        </w:trPr>
        <w:tc>
          <w:tcPr>
            <w:tcW w:w="9027" w:type="dxa"/>
          </w:tcPr>
          <w:p w14:paraId="27F86CE3" w14:textId="340E2638" w:rsidR="009C4A18" w:rsidRDefault="00112EC0" w:rsidP="00112EC0">
            <w:pPr>
              <w:pStyle w:val="TableHeading1"/>
              <w:rPr>
                <w:lang w:eastAsia="en-AU"/>
              </w:rPr>
            </w:pPr>
            <w:r w:rsidRPr="00E53A43">
              <w:t>Stakeholder Survey questionnaire</w:t>
            </w:r>
          </w:p>
        </w:tc>
      </w:tr>
      <w:tr w:rsidR="009C4A18" w14:paraId="109C24F4" w14:textId="77777777">
        <w:tc>
          <w:tcPr>
            <w:tcW w:w="9027" w:type="dxa"/>
            <w:vAlign w:val="center"/>
          </w:tcPr>
          <w:p w14:paraId="4AB1587A" w14:textId="37225E5D" w:rsidR="009C4A18" w:rsidRPr="009E637A" w:rsidRDefault="009E637A" w:rsidP="00D011ED">
            <w:pPr>
              <w:pStyle w:val="TableBodyText"/>
              <w:rPr>
                <w:rStyle w:val="Characterbold"/>
              </w:rPr>
            </w:pPr>
            <w:r w:rsidRPr="009E637A">
              <w:rPr>
                <w:rStyle w:val="Characterbold"/>
              </w:rPr>
              <w:t>About the organisation (Part A)</w:t>
            </w:r>
          </w:p>
        </w:tc>
      </w:tr>
      <w:tr w:rsidR="00CF588E" w14:paraId="7A9FB888"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51426168" w14:textId="3C8AE0DD" w:rsidR="009C4A18" w:rsidRDefault="009E637A" w:rsidP="00D011ED">
            <w:pPr>
              <w:pStyle w:val="TableBodyText"/>
              <w:rPr>
                <w:lang w:eastAsia="en-AU"/>
              </w:rPr>
            </w:pPr>
            <w:r w:rsidRPr="00E53A43">
              <w:t>What is the name of the organisation?</w:t>
            </w:r>
          </w:p>
        </w:tc>
      </w:tr>
      <w:tr w:rsidR="009C4A18" w14:paraId="63013D67" w14:textId="77777777">
        <w:tc>
          <w:tcPr>
            <w:tcW w:w="9027" w:type="dxa"/>
            <w:vAlign w:val="center"/>
          </w:tcPr>
          <w:p w14:paraId="5C772CDF" w14:textId="36E15846" w:rsidR="009C4A18" w:rsidRDefault="009E637A" w:rsidP="00D011ED">
            <w:pPr>
              <w:pStyle w:val="TableBodyText"/>
              <w:rPr>
                <w:lang w:eastAsia="en-AU"/>
              </w:rPr>
            </w:pPr>
            <w:r w:rsidRPr="00E53A43">
              <w:t>Which best describe your organisation?</w:t>
            </w:r>
          </w:p>
        </w:tc>
      </w:tr>
      <w:tr w:rsidR="00CF588E" w14:paraId="52B06311"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419D82D1" w14:textId="7E045509" w:rsidR="009C4A18" w:rsidRDefault="009E637A" w:rsidP="00D011ED">
            <w:pPr>
              <w:pStyle w:val="TableBodyText"/>
              <w:rPr>
                <w:lang w:eastAsia="en-AU"/>
              </w:rPr>
            </w:pPr>
            <w:r w:rsidRPr="00E53A43">
              <w:t>In regard to your organisation</w:t>
            </w:r>
            <w:r w:rsidRPr="009E637A">
              <w:t>, how many employees does it have?</w:t>
            </w:r>
          </w:p>
        </w:tc>
      </w:tr>
      <w:tr w:rsidR="009C4A18" w14:paraId="3CCB43B3" w14:textId="77777777">
        <w:tc>
          <w:tcPr>
            <w:tcW w:w="9027" w:type="dxa"/>
            <w:vAlign w:val="center"/>
          </w:tcPr>
          <w:p w14:paraId="53D56688" w14:textId="073F31C9" w:rsidR="009C4A18" w:rsidRDefault="009E637A" w:rsidP="00D011ED">
            <w:pPr>
              <w:pStyle w:val="TableBodyText"/>
              <w:rPr>
                <w:lang w:eastAsia="en-AU"/>
              </w:rPr>
            </w:pPr>
            <w:r w:rsidRPr="00E53A43">
              <w:t xml:space="preserve">In regard to your organisation, how many </w:t>
            </w:r>
            <w:r w:rsidRPr="009E637A">
              <w:t>members (individuals) does it represent?</w:t>
            </w:r>
          </w:p>
        </w:tc>
      </w:tr>
      <w:tr w:rsidR="00CF588E" w14:paraId="272AF66E"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5CF11121" w14:textId="1E6594B5" w:rsidR="009C4A18" w:rsidRDefault="009E637A" w:rsidP="00D011ED">
            <w:pPr>
              <w:pStyle w:val="TableBodyText"/>
              <w:rPr>
                <w:lang w:eastAsia="en-AU"/>
              </w:rPr>
            </w:pPr>
            <w:r w:rsidRPr="00E53A43">
              <w:t xml:space="preserve">In regard to your organisation, how many </w:t>
            </w:r>
            <w:r w:rsidRPr="009E637A">
              <w:t>other organisations does it represent?</w:t>
            </w:r>
          </w:p>
        </w:tc>
      </w:tr>
      <w:tr w:rsidR="009C4A18" w14:paraId="51A532D3" w14:textId="77777777">
        <w:tc>
          <w:tcPr>
            <w:tcW w:w="9027" w:type="dxa"/>
            <w:vAlign w:val="center"/>
          </w:tcPr>
          <w:p w14:paraId="363CB2D4" w14:textId="3A06AF6F" w:rsidR="009C4A18" w:rsidRPr="009E637A" w:rsidRDefault="009E637A" w:rsidP="00D011ED">
            <w:pPr>
              <w:pStyle w:val="TableBodyText"/>
              <w:rPr>
                <w:rStyle w:val="Characterbold"/>
              </w:rPr>
            </w:pPr>
            <w:r w:rsidRPr="009E637A">
              <w:rPr>
                <w:rStyle w:val="Characterbold"/>
              </w:rPr>
              <w:t>About the organisation (Part B)</w:t>
            </w:r>
          </w:p>
        </w:tc>
      </w:tr>
      <w:tr w:rsidR="00CF588E" w14:paraId="74EBD3F7"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499BB141" w14:textId="2D84FA56" w:rsidR="009C4A18" w:rsidRDefault="009E637A" w:rsidP="00D011ED">
            <w:pPr>
              <w:pStyle w:val="TableBodyText"/>
              <w:rPr>
                <w:lang w:eastAsia="en-AU"/>
              </w:rPr>
            </w:pPr>
            <w:r w:rsidRPr="00E53A43">
              <w:t>Which industr</w:t>
            </w:r>
            <w:r w:rsidRPr="009E637A">
              <w:t>ies does your organisation represent?</w:t>
            </w:r>
          </w:p>
        </w:tc>
      </w:tr>
      <w:tr w:rsidR="009C4A18" w14:paraId="3CBD9028" w14:textId="77777777">
        <w:tc>
          <w:tcPr>
            <w:tcW w:w="9027" w:type="dxa"/>
            <w:vAlign w:val="center"/>
          </w:tcPr>
          <w:p w14:paraId="162FA444" w14:textId="618473E1" w:rsidR="009C4A18" w:rsidRPr="009E637A" w:rsidRDefault="009E637A" w:rsidP="00D011ED">
            <w:pPr>
              <w:pStyle w:val="TableBodyText"/>
              <w:rPr>
                <w:rStyle w:val="Characterbold"/>
              </w:rPr>
            </w:pPr>
            <w:r w:rsidRPr="009E637A">
              <w:rPr>
                <w:rStyle w:val="Characterbold"/>
              </w:rPr>
              <w:t>About the organisation (Part C)</w:t>
            </w:r>
          </w:p>
        </w:tc>
      </w:tr>
      <w:tr w:rsidR="00CF588E" w14:paraId="50A83C01"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4F5024FF" w14:textId="315E793F" w:rsidR="009C4A18" w:rsidRDefault="009E637A" w:rsidP="00D011ED">
            <w:pPr>
              <w:pStyle w:val="TableBodyText"/>
              <w:rPr>
                <w:lang w:eastAsia="en-AU"/>
              </w:rPr>
            </w:pPr>
            <w:r w:rsidRPr="00E53A43">
              <w:t xml:space="preserve">Which states and territories </w:t>
            </w:r>
            <w:r w:rsidRPr="009E637A">
              <w:t>is your organisation active in?</w:t>
            </w:r>
          </w:p>
        </w:tc>
      </w:tr>
      <w:tr w:rsidR="009C4A18" w14:paraId="282B2455" w14:textId="77777777">
        <w:tc>
          <w:tcPr>
            <w:tcW w:w="9027" w:type="dxa"/>
            <w:vAlign w:val="center"/>
          </w:tcPr>
          <w:p w14:paraId="6112C562" w14:textId="105E3F0E" w:rsidR="009C4A18" w:rsidRDefault="009E637A" w:rsidP="00D011ED">
            <w:pPr>
              <w:pStyle w:val="TableBodyText"/>
              <w:rPr>
                <w:lang w:eastAsia="en-AU"/>
              </w:rPr>
            </w:pPr>
            <w:r w:rsidRPr="00E53A43">
              <w:t>What is the postcode of the primary location of your organisation</w:t>
            </w:r>
            <w:r w:rsidRPr="009E637A">
              <w:t>?</w:t>
            </w:r>
          </w:p>
        </w:tc>
      </w:tr>
      <w:tr w:rsidR="00CF588E" w14:paraId="7DCF5629"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1A1DA1A7" w14:textId="0AA5B569" w:rsidR="009C4A18" w:rsidRDefault="009E637A" w:rsidP="00D011ED">
            <w:pPr>
              <w:pStyle w:val="TableBodyText"/>
              <w:rPr>
                <w:lang w:eastAsia="en-AU"/>
              </w:rPr>
            </w:pPr>
            <w:r w:rsidRPr="00E53A43">
              <w:t>Which areas is your organisation active in?</w:t>
            </w:r>
          </w:p>
        </w:tc>
      </w:tr>
      <w:tr w:rsidR="009C4A18" w14:paraId="4CB768A9" w14:textId="77777777">
        <w:tc>
          <w:tcPr>
            <w:tcW w:w="9027" w:type="dxa"/>
            <w:vAlign w:val="center"/>
          </w:tcPr>
          <w:p w14:paraId="16296293" w14:textId="122D2EE6" w:rsidR="009C4A18" w:rsidRDefault="009E637A" w:rsidP="00D011ED">
            <w:pPr>
              <w:pStyle w:val="TableBodyText"/>
              <w:rPr>
                <w:lang w:eastAsia="en-AU"/>
              </w:rPr>
            </w:pPr>
            <w:r w:rsidRPr="00E53A43">
              <w:t>For metropolitan and regional areas, how would you like to respond</w:t>
            </w:r>
            <w:r w:rsidRPr="009E637A">
              <w:t>?</w:t>
            </w:r>
          </w:p>
        </w:tc>
      </w:tr>
      <w:tr w:rsidR="00CF588E" w14:paraId="5CEC81AB"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3336EB45" w14:textId="6A6CF868" w:rsidR="009C4A18" w:rsidRPr="009E637A" w:rsidRDefault="009E637A" w:rsidP="00D011ED">
            <w:pPr>
              <w:pStyle w:val="TableBodyText"/>
              <w:rPr>
                <w:rStyle w:val="Characterbold"/>
              </w:rPr>
            </w:pPr>
            <w:r w:rsidRPr="009E637A">
              <w:rPr>
                <w:rStyle w:val="Characterbold"/>
              </w:rPr>
              <w:t>About you</w:t>
            </w:r>
          </w:p>
        </w:tc>
      </w:tr>
      <w:tr w:rsidR="009C4A18" w14:paraId="7FA53ACD" w14:textId="77777777">
        <w:tc>
          <w:tcPr>
            <w:tcW w:w="9027" w:type="dxa"/>
            <w:vAlign w:val="center"/>
          </w:tcPr>
          <w:p w14:paraId="78376186" w14:textId="7182993A" w:rsidR="009C4A18" w:rsidRDefault="009E637A" w:rsidP="00D011ED">
            <w:pPr>
              <w:pStyle w:val="TableBodyText"/>
              <w:rPr>
                <w:lang w:eastAsia="en-AU"/>
              </w:rPr>
            </w:pPr>
            <w:r w:rsidRPr="00E53A43">
              <w:t>Name</w:t>
            </w:r>
          </w:p>
        </w:tc>
      </w:tr>
      <w:tr w:rsidR="00CF588E" w14:paraId="70FF2AF0"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00CDC4AF" w14:textId="3A3D320B" w:rsidR="009C4A18" w:rsidRDefault="009E637A" w:rsidP="00D011ED">
            <w:pPr>
              <w:pStyle w:val="TableBodyText"/>
              <w:rPr>
                <w:lang w:eastAsia="en-AU"/>
              </w:rPr>
            </w:pPr>
            <w:r w:rsidRPr="00E53A43">
              <w:t>Job title</w:t>
            </w:r>
          </w:p>
        </w:tc>
      </w:tr>
      <w:tr w:rsidR="009C4A18" w14:paraId="2F8DBE30" w14:textId="77777777">
        <w:tc>
          <w:tcPr>
            <w:tcW w:w="9027" w:type="dxa"/>
            <w:vAlign w:val="center"/>
          </w:tcPr>
          <w:p w14:paraId="081F3054" w14:textId="58B5A018" w:rsidR="009C4A18" w:rsidRDefault="009E637A" w:rsidP="00D011ED">
            <w:pPr>
              <w:pStyle w:val="TableBodyText"/>
              <w:rPr>
                <w:lang w:eastAsia="en-AU"/>
              </w:rPr>
            </w:pPr>
            <w:r w:rsidRPr="00E53A43">
              <w:t>Best contact</w:t>
            </w:r>
            <w:r w:rsidRPr="009E637A">
              <w:t xml:space="preserve"> number</w:t>
            </w:r>
          </w:p>
        </w:tc>
      </w:tr>
      <w:tr w:rsidR="00CF588E" w14:paraId="2855452F"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6BC60FB3" w14:textId="4ACB993A" w:rsidR="009C4A18" w:rsidRDefault="009E637A" w:rsidP="00D011ED">
            <w:pPr>
              <w:pStyle w:val="TableBodyText"/>
              <w:rPr>
                <w:lang w:eastAsia="en-AU"/>
              </w:rPr>
            </w:pPr>
            <w:r w:rsidRPr="00E53A43">
              <w:t>Work email</w:t>
            </w:r>
            <w:r w:rsidRPr="009E637A">
              <w:t xml:space="preserve"> address</w:t>
            </w:r>
          </w:p>
        </w:tc>
      </w:tr>
      <w:tr w:rsidR="009C4A18" w14:paraId="7AD05599" w14:textId="77777777">
        <w:tc>
          <w:tcPr>
            <w:tcW w:w="9027" w:type="dxa"/>
            <w:vAlign w:val="center"/>
          </w:tcPr>
          <w:p w14:paraId="6A4BD8FD" w14:textId="7FC21E1C" w:rsidR="009C4A18" w:rsidRPr="009E637A" w:rsidRDefault="009E637A" w:rsidP="00D011ED">
            <w:pPr>
              <w:pStyle w:val="TableBodyText"/>
              <w:rPr>
                <w:rStyle w:val="Characterbold"/>
              </w:rPr>
            </w:pPr>
            <w:r w:rsidRPr="009E637A">
              <w:rPr>
                <w:rStyle w:val="Characterbold"/>
              </w:rPr>
              <w:t>Which occupations will you report on?</w:t>
            </w:r>
          </w:p>
        </w:tc>
      </w:tr>
      <w:tr w:rsidR="00CF588E" w14:paraId="7094EAFA"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2570B9CE" w14:textId="550A026B" w:rsidR="009C4A18" w:rsidRDefault="009E637A" w:rsidP="00D011ED">
            <w:pPr>
              <w:pStyle w:val="TableBodyText"/>
              <w:rPr>
                <w:lang w:eastAsia="en-AU"/>
              </w:rPr>
            </w:pPr>
            <w:r w:rsidRPr="00E53A43">
              <w:t>Select at least</w:t>
            </w:r>
            <w:r w:rsidRPr="009E637A">
              <w:t xml:space="preserve"> one occupation you will report on</w:t>
            </w:r>
          </w:p>
        </w:tc>
      </w:tr>
      <w:tr w:rsidR="009C4A18" w14:paraId="6167FECA" w14:textId="77777777">
        <w:tc>
          <w:tcPr>
            <w:tcW w:w="9027" w:type="dxa"/>
            <w:vAlign w:val="center"/>
          </w:tcPr>
          <w:p w14:paraId="1C075C2E" w14:textId="7C0BB296" w:rsidR="009C4A18" w:rsidRDefault="009E637A" w:rsidP="00D011ED">
            <w:pPr>
              <w:pStyle w:val="TableBodyText"/>
              <w:rPr>
                <w:lang w:eastAsia="en-AU"/>
              </w:rPr>
            </w:pPr>
            <w:r w:rsidRPr="00E53A43">
              <w:t xml:space="preserve">Enter other occupations </w:t>
            </w:r>
            <w:r w:rsidRPr="009E637A">
              <w:t>(optional)</w:t>
            </w:r>
          </w:p>
        </w:tc>
      </w:tr>
      <w:tr w:rsidR="00CF588E" w14:paraId="27997E6F"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6DA6806B" w14:textId="67CF1E06" w:rsidR="009C4A18" w:rsidRPr="009E637A" w:rsidRDefault="009E637A" w:rsidP="00D011ED">
            <w:pPr>
              <w:pStyle w:val="TableBodyText"/>
              <w:rPr>
                <w:rStyle w:val="Characterbold"/>
              </w:rPr>
            </w:pPr>
            <w:r w:rsidRPr="009E637A">
              <w:rPr>
                <w:rStyle w:val="Characterbold"/>
              </w:rPr>
              <w:t>Your advice on occupations</w:t>
            </w:r>
          </w:p>
        </w:tc>
      </w:tr>
      <w:tr w:rsidR="009C4A18" w14:paraId="40B55730" w14:textId="77777777">
        <w:tc>
          <w:tcPr>
            <w:tcW w:w="9027" w:type="dxa"/>
            <w:vAlign w:val="center"/>
          </w:tcPr>
          <w:p w14:paraId="46944203" w14:textId="0FBFBE00" w:rsidR="009C4A18" w:rsidRDefault="009E637A" w:rsidP="00D011ED">
            <w:pPr>
              <w:pStyle w:val="TableBodyText"/>
              <w:rPr>
                <w:lang w:eastAsia="en-AU"/>
              </w:rPr>
            </w:pPr>
            <w:r w:rsidRPr="00E53A43">
              <w:t>How many vacancies were advertised?</w:t>
            </w:r>
          </w:p>
        </w:tc>
      </w:tr>
      <w:tr w:rsidR="00CF588E" w14:paraId="04C8B605"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07DEAE13" w14:textId="49E8B61B" w:rsidR="009C4A18" w:rsidRDefault="009E637A" w:rsidP="00D011ED">
            <w:pPr>
              <w:pStyle w:val="TableBodyText"/>
              <w:rPr>
                <w:lang w:eastAsia="en-AU"/>
              </w:rPr>
            </w:pPr>
            <w:r w:rsidRPr="00E53A43">
              <w:t>How many of the vacancies were filled?</w:t>
            </w:r>
          </w:p>
        </w:tc>
      </w:tr>
      <w:tr w:rsidR="009C4A18" w14:paraId="26F38814" w14:textId="77777777">
        <w:tc>
          <w:tcPr>
            <w:tcW w:w="9027" w:type="dxa"/>
            <w:vAlign w:val="center"/>
          </w:tcPr>
          <w:p w14:paraId="22FB8A40" w14:textId="42A4A79A" w:rsidR="009C4A18" w:rsidRDefault="009E637A" w:rsidP="00D011ED">
            <w:pPr>
              <w:pStyle w:val="TableBodyText"/>
              <w:rPr>
                <w:lang w:eastAsia="en-AU"/>
              </w:rPr>
            </w:pPr>
            <w:r w:rsidRPr="00E53A43">
              <w:t xml:space="preserve">If the </w:t>
            </w:r>
            <w:r w:rsidR="000316EF">
              <w:t>2</w:t>
            </w:r>
            <w:r w:rsidR="000316EF" w:rsidRPr="009E637A">
              <w:t xml:space="preserve"> </w:t>
            </w:r>
            <w:r w:rsidRPr="009E637A">
              <w:t>previous questions could not be answered, which percentage of the vacancies were</w:t>
            </w:r>
          </w:p>
        </w:tc>
      </w:tr>
      <w:tr w:rsidR="00CF588E" w14:paraId="1D653702"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1022A296" w14:textId="580DB627" w:rsidR="009E637A" w:rsidRPr="009E637A" w:rsidRDefault="009E637A" w:rsidP="009E637A">
            <w:pPr>
              <w:pStyle w:val="TableListBullet"/>
            </w:pPr>
            <w:r w:rsidRPr="009E637A">
              <w:t>Low % of vacancies filled (E.g. nil</w:t>
            </w:r>
            <w:r w:rsidR="004C5C80" w:rsidRPr="004231F3">
              <w:t>–</w:t>
            </w:r>
            <w:r w:rsidRPr="009E637A">
              <w:t>25%</w:t>
            </w:r>
            <w:r w:rsidR="00D011ED">
              <w:t>)</w:t>
            </w:r>
          </w:p>
          <w:p w14:paraId="1BC411DC" w14:textId="223CDD06" w:rsidR="009E637A" w:rsidRPr="009E637A" w:rsidRDefault="009E637A" w:rsidP="009E637A">
            <w:pPr>
              <w:pStyle w:val="TableListBullet"/>
            </w:pPr>
            <w:r w:rsidRPr="009E637A">
              <w:t>Moderate % of vacancies filled (E.g. 25</w:t>
            </w:r>
            <w:r w:rsidR="004C5C80" w:rsidRPr="004231F3">
              <w:t>–</w:t>
            </w:r>
            <w:r w:rsidRPr="009E637A">
              <w:t>50%)</w:t>
            </w:r>
          </w:p>
          <w:p w14:paraId="4BEDF5B2" w14:textId="1AB190FC" w:rsidR="009E637A" w:rsidRPr="009E637A" w:rsidRDefault="009E637A" w:rsidP="009E637A">
            <w:pPr>
              <w:pStyle w:val="TableListBullet"/>
            </w:pPr>
            <w:r w:rsidRPr="009E637A">
              <w:t>High % of vacancies filled (E.g. 50</w:t>
            </w:r>
            <w:r w:rsidR="004C5C80" w:rsidRPr="004231F3">
              <w:t>–</w:t>
            </w:r>
            <w:r w:rsidRPr="009E637A">
              <w:t>75%)</w:t>
            </w:r>
          </w:p>
          <w:p w14:paraId="67B81E09" w14:textId="105A1170" w:rsidR="009C4A18" w:rsidRDefault="009E637A" w:rsidP="009E637A">
            <w:pPr>
              <w:pStyle w:val="TableListBullet"/>
              <w:rPr>
                <w:lang w:eastAsia="en-AU"/>
              </w:rPr>
            </w:pPr>
            <w:r w:rsidRPr="009E637A">
              <w:t>Vacancies completely filled (E.g. 75</w:t>
            </w:r>
            <w:r w:rsidR="004C5C80" w:rsidRPr="004231F3">
              <w:t>–</w:t>
            </w:r>
            <w:r w:rsidRPr="009E637A">
              <w:t>100%)</w:t>
            </w:r>
          </w:p>
        </w:tc>
      </w:tr>
      <w:tr w:rsidR="009C4A18" w14:paraId="3561FA3C" w14:textId="77777777">
        <w:tc>
          <w:tcPr>
            <w:tcW w:w="9027" w:type="dxa"/>
            <w:vAlign w:val="center"/>
          </w:tcPr>
          <w:p w14:paraId="4EFC053E" w14:textId="6BFC7E35" w:rsidR="009C4A18" w:rsidRDefault="009E637A" w:rsidP="00D011ED">
            <w:pPr>
              <w:pStyle w:val="TableBodyText"/>
              <w:rPr>
                <w:lang w:eastAsia="en-AU"/>
              </w:rPr>
            </w:pPr>
            <w:r w:rsidRPr="00E53A43">
              <w:t xml:space="preserve">What was the supply of suitable skilled workers </w:t>
            </w:r>
            <w:r w:rsidRPr="009E637A">
              <w:t>who applied for vacancies?</w:t>
            </w:r>
          </w:p>
        </w:tc>
      </w:tr>
      <w:tr w:rsidR="00CF588E" w14:paraId="7327BEC9"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5082A4E0" w14:textId="77777777" w:rsidR="009E637A" w:rsidRPr="009E637A" w:rsidRDefault="009E637A" w:rsidP="009E637A">
            <w:pPr>
              <w:pStyle w:val="TableListBullet"/>
            </w:pPr>
            <w:r w:rsidRPr="009E637A">
              <w:t>Severe undersupply (Number of workers is critically insufficient to meet needs)</w:t>
            </w:r>
          </w:p>
          <w:p w14:paraId="3EFC0C40" w14:textId="77777777" w:rsidR="009E637A" w:rsidRPr="009E637A" w:rsidRDefault="009E637A" w:rsidP="009E637A">
            <w:pPr>
              <w:pStyle w:val="TableListBullet"/>
            </w:pPr>
            <w:r w:rsidRPr="009E637A">
              <w:t>Undersupply (Less workers than needed)</w:t>
            </w:r>
          </w:p>
          <w:p w14:paraId="666EDC26" w14:textId="77777777" w:rsidR="009E637A" w:rsidRPr="009E637A" w:rsidRDefault="009E637A" w:rsidP="009E637A">
            <w:pPr>
              <w:pStyle w:val="TableListBullet"/>
            </w:pPr>
            <w:r w:rsidRPr="009E637A">
              <w:lastRenderedPageBreak/>
              <w:t>About right (Enough workers to meet needs)</w:t>
            </w:r>
          </w:p>
          <w:p w14:paraId="0AC99A0E" w14:textId="46008308" w:rsidR="009C4A18" w:rsidRDefault="009E637A" w:rsidP="009E637A">
            <w:pPr>
              <w:pStyle w:val="TableListBullet"/>
              <w:rPr>
                <w:lang w:eastAsia="en-AU"/>
              </w:rPr>
            </w:pPr>
            <w:r w:rsidRPr="009E637A">
              <w:t>Oversupply (More workers than needed)</w:t>
            </w:r>
          </w:p>
        </w:tc>
      </w:tr>
      <w:tr w:rsidR="009C4A18" w14:paraId="5FFCB9AE" w14:textId="77777777">
        <w:tc>
          <w:tcPr>
            <w:tcW w:w="9027" w:type="dxa"/>
            <w:vAlign w:val="center"/>
          </w:tcPr>
          <w:p w14:paraId="56CF0B98" w14:textId="1CAFB2F5" w:rsidR="009C4A18" w:rsidRDefault="009E637A" w:rsidP="00D011ED">
            <w:pPr>
              <w:pStyle w:val="TableBodyText"/>
              <w:rPr>
                <w:lang w:eastAsia="en-AU"/>
              </w:rPr>
            </w:pPr>
            <w:r w:rsidRPr="00E53A43">
              <w:lastRenderedPageBreak/>
              <w:t>How much demand was there for the occu</w:t>
            </w:r>
            <w:r w:rsidRPr="009E637A">
              <w:t>pation compared to 2023?</w:t>
            </w:r>
          </w:p>
        </w:tc>
      </w:tr>
      <w:tr w:rsidR="00CF588E" w14:paraId="3D9BC242"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1B712DCF" w14:textId="77777777" w:rsidR="009E637A" w:rsidRPr="009E637A" w:rsidRDefault="009E637A" w:rsidP="009E637A">
            <w:pPr>
              <w:pStyle w:val="TableListBullet"/>
            </w:pPr>
            <w:r w:rsidRPr="009E637A">
              <w:t>Lower demand</w:t>
            </w:r>
          </w:p>
          <w:p w14:paraId="5FF718A4" w14:textId="77777777" w:rsidR="009E637A" w:rsidRPr="009E637A" w:rsidRDefault="009E637A" w:rsidP="009E637A">
            <w:pPr>
              <w:pStyle w:val="TableListBullet"/>
            </w:pPr>
            <w:r w:rsidRPr="009E637A">
              <w:t>About the same demand</w:t>
            </w:r>
          </w:p>
          <w:p w14:paraId="25793F7E" w14:textId="77777777" w:rsidR="009E637A" w:rsidRPr="009E637A" w:rsidRDefault="009E637A" w:rsidP="009E637A">
            <w:pPr>
              <w:pStyle w:val="TableListBullet"/>
            </w:pPr>
            <w:r w:rsidRPr="009E637A">
              <w:t>Higher demand</w:t>
            </w:r>
          </w:p>
          <w:p w14:paraId="7D6C44E3" w14:textId="37859E8A" w:rsidR="009C4A18" w:rsidRDefault="009E637A" w:rsidP="009E637A">
            <w:pPr>
              <w:pStyle w:val="TableListBullet"/>
              <w:rPr>
                <w:lang w:eastAsia="en-AU"/>
              </w:rPr>
            </w:pPr>
            <w:r w:rsidRPr="009E637A">
              <w:t>Much higher demand</w:t>
            </w:r>
          </w:p>
        </w:tc>
      </w:tr>
      <w:tr w:rsidR="009C4A18" w14:paraId="6E3B9C02" w14:textId="77777777">
        <w:tc>
          <w:tcPr>
            <w:tcW w:w="9027" w:type="dxa"/>
            <w:vAlign w:val="center"/>
          </w:tcPr>
          <w:p w14:paraId="1B783951" w14:textId="1C1FDED7" w:rsidR="009C4A18" w:rsidRDefault="009E637A" w:rsidP="00D011ED">
            <w:pPr>
              <w:pStyle w:val="TableBodyText"/>
              <w:rPr>
                <w:lang w:eastAsia="en-AU"/>
              </w:rPr>
            </w:pPr>
            <w:r w:rsidRPr="00E53A43">
              <w:t>What was the main challenge you found with job applicants</w:t>
            </w:r>
          </w:p>
        </w:tc>
      </w:tr>
      <w:tr w:rsidR="00CF588E" w14:paraId="5A5ADED0"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7FDCF2C8" w14:textId="0DB49542" w:rsidR="009C4A18" w:rsidRDefault="009E637A" w:rsidP="00D011ED">
            <w:pPr>
              <w:pStyle w:val="TableBodyText"/>
              <w:rPr>
                <w:lang w:eastAsia="en-AU"/>
              </w:rPr>
            </w:pPr>
            <w:r w:rsidRPr="00E53A43">
              <w:t xml:space="preserve">What were other (up to 4) challenges you found with job applicants? </w:t>
            </w:r>
          </w:p>
        </w:tc>
      </w:tr>
      <w:tr w:rsidR="009C4A18" w14:paraId="2BF9A162" w14:textId="77777777">
        <w:tc>
          <w:tcPr>
            <w:tcW w:w="9027" w:type="dxa"/>
            <w:vAlign w:val="center"/>
          </w:tcPr>
          <w:p w14:paraId="6B22AAA6" w14:textId="63CEAC76" w:rsidR="009C4A18" w:rsidRPr="009E637A" w:rsidRDefault="009E637A" w:rsidP="00D011ED">
            <w:pPr>
              <w:pStyle w:val="TableBodyText"/>
              <w:rPr>
                <w:rStyle w:val="Characterbold"/>
              </w:rPr>
            </w:pPr>
            <w:r w:rsidRPr="009E637A">
              <w:rPr>
                <w:rStyle w:val="Characterbold"/>
              </w:rPr>
              <w:t>Information sources</w:t>
            </w:r>
          </w:p>
        </w:tc>
      </w:tr>
      <w:tr w:rsidR="00CF588E" w14:paraId="7CACEA95"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22B108D7" w14:textId="0ABB2082" w:rsidR="009C4A18" w:rsidRDefault="009E637A" w:rsidP="00D011ED">
            <w:pPr>
              <w:pStyle w:val="TableBodyText"/>
              <w:rPr>
                <w:lang w:eastAsia="en-AU"/>
              </w:rPr>
            </w:pPr>
            <w:r w:rsidRPr="00E53A43">
              <w:t>Which information sources did you use to complete this survey?</w:t>
            </w:r>
          </w:p>
        </w:tc>
      </w:tr>
      <w:tr w:rsidR="009C4A18" w14:paraId="5557AA5F" w14:textId="77777777">
        <w:tc>
          <w:tcPr>
            <w:tcW w:w="9027" w:type="dxa"/>
            <w:vAlign w:val="center"/>
          </w:tcPr>
          <w:p w14:paraId="10B0451A" w14:textId="47DAD572" w:rsidR="009C4A18" w:rsidRPr="009E637A" w:rsidRDefault="009E637A" w:rsidP="00D011ED">
            <w:pPr>
              <w:pStyle w:val="TableBodyText"/>
              <w:rPr>
                <w:rStyle w:val="Characterbold"/>
              </w:rPr>
            </w:pPr>
            <w:r w:rsidRPr="009E637A">
              <w:rPr>
                <w:rStyle w:val="Characterbold"/>
              </w:rPr>
              <w:t>Comments</w:t>
            </w:r>
          </w:p>
        </w:tc>
      </w:tr>
      <w:tr w:rsidR="00CF588E" w14:paraId="08D6AE85" w14:textId="77777777">
        <w:trPr>
          <w:cnfStyle w:val="000000010000" w:firstRow="0" w:lastRow="0" w:firstColumn="0" w:lastColumn="0" w:oddVBand="0" w:evenVBand="0" w:oddHBand="0" w:evenHBand="1" w:firstRowFirstColumn="0" w:firstRowLastColumn="0" w:lastRowFirstColumn="0" w:lastRowLastColumn="0"/>
        </w:trPr>
        <w:tc>
          <w:tcPr>
            <w:tcW w:w="9027" w:type="dxa"/>
            <w:vAlign w:val="center"/>
          </w:tcPr>
          <w:p w14:paraId="1F2FD3A2" w14:textId="313B556D" w:rsidR="009C4A18" w:rsidRDefault="009E637A" w:rsidP="00D011ED">
            <w:pPr>
              <w:pStyle w:val="TableBodyText"/>
              <w:rPr>
                <w:lang w:eastAsia="en-AU"/>
              </w:rPr>
            </w:pPr>
            <w:r w:rsidRPr="00E53A43">
              <w:t>Please provide any additional information and/or emerging issues regarding the occupations you provided responses for.</w:t>
            </w:r>
          </w:p>
        </w:tc>
      </w:tr>
      <w:tr w:rsidR="009C4A18" w14:paraId="0D890896" w14:textId="77777777">
        <w:tc>
          <w:tcPr>
            <w:tcW w:w="9027" w:type="dxa"/>
            <w:vAlign w:val="center"/>
          </w:tcPr>
          <w:p w14:paraId="2EF1CE6D" w14:textId="4C48F65C" w:rsidR="009C4A18" w:rsidRDefault="009E637A" w:rsidP="00D011ED">
            <w:pPr>
              <w:pStyle w:val="TableBodyText"/>
              <w:rPr>
                <w:lang w:eastAsia="en-AU"/>
              </w:rPr>
            </w:pPr>
            <w:r w:rsidRPr="00E53A43">
              <w:t>How can we improve this survey experience for next year?</w:t>
            </w:r>
          </w:p>
        </w:tc>
      </w:tr>
    </w:tbl>
    <w:p w14:paraId="1208C7E8" w14:textId="718D927B" w:rsidR="008719E7" w:rsidRDefault="00016932" w:rsidP="00001225">
      <w:pPr>
        <w:pStyle w:val="Source"/>
      </w:pPr>
      <w:r>
        <w:t xml:space="preserve">Source: Jobs and Skills Australia. </w:t>
      </w:r>
    </w:p>
    <w:p w14:paraId="6B17BED1" w14:textId="77777777" w:rsidR="000E49C4" w:rsidRPr="00EF35E9" w:rsidRDefault="000E49C4" w:rsidP="00212010">
      <w:pPr>
        <w:rPr>
          <w:lang w:eastAsia="en-AU"/>
        </w:rPr>
      </w:pPr>
    </w:p>
    <w:sectPr w:rsidR="000E49C4" w:rsidRPr="00EF35E9" w:rsidSect="000F5CD2">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6A0D" w14:textId="77777777" w:rsidR="00F7381F" w:rsidRDefault="00F7381F" w:rsidP="00E12845">
      <w:pPr>
        <w:spacing w:before="0" w:after="0"/>
      </w:pPr>
      <w:r>
        <w:separator/>
      </w:r>
    </w:p>
  </w:endnote>
  <w:endnote w:type="continuationSeparator" w:id="0">
    <w:p w14:paraId="4F548C56" w14:textId="77777777" w:rsidR="00F7381F" w:rsidRDefault="00F7381F"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5585BBD" w14:textId="24269A88" w:rsidR="00BA4D1C" w:rsidRDefault="00BA4D1C">
        <w:pPr>
          <w:pStyle w:val="Footer"/>
        </w:pPr>
        <w:r w:rsidRPr="00835A0D">
          <w:t>Jobs and Skills Australia –</w:t>
        </w:r>
        <w:r>
          <w:t xml:space="preserve"> </w:t>
        </w:r>
        <w:fldSimple w:instr=" STYLEREF  Title  \* MERGEFORMAT ">
          <w:r w:rsidR="00F6227E">
            <w:rPr>
              <w:noProof/>
            </w:rPr>
            <w:t>2025 Occupation Shortage List Methodology</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1B20BFA" w14:textId="4C060C9C" w:rsidR="000F5CD2" w:rsidRDefault="000F5CD2">
        <w:pPr>
          <w:pStyle w:val="Footer"/>
        </w:pPr>
        <w:r w:rsidRPr="00835A0D">
          <w:t>Jobs and Skills Australia –</w:t>
        </w:r>
        <w:r>
          <w:t xml:space="preserve"> </w:t>
        </w:r>
        <w:fldSimple w:instr=" STYLEREF  Title  \* MERGEFORMAT ">
          <w:r w:rsidR="00F6227E">
            <w:rPr>
              <w:noProof/>
            </w:rPr>
            <w:t>2025 Occupation Shortage List Methodology</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E805" w14:textId="77777777" w:rsidR="006D762C" w:rsidRDefault="006D7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4A6D"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B1C0" w14:textId="77777777" w:rsidR="00F7381F" w:rsidRDefault="00F7381F" w:rsidP="00E12845">
      <w:pPr>
        <w:spacing w:before="0" w:after="0"/>
      </w:pPr>
      <w:r>
        <w:separator/>
      </w:r>
    </w:p>
  </w:footnote>
  <w:footnote w:type="continuationSeparator" w:id="0">
    <w:p w14:paraId="38D089BE" w14:textId="77777777" w:rsidR="00F7381F" w:rsidRDefault="00F7381F" w:rsidP="00E12845">
      <w:pPr>
        <w:spacing w:before="0" w:after="0"/>
      </w:pPr>
      <w:r>
        <w:continuationSeparator/>
      </w:r>
    </w:p>
  </w:footnote>
  <w:footnote w:id="1">
    <w:p w14:paraId="4797D491" w14:textId="1DD4E566" w:rsidR="00375A16" w:rsidRPr="00E269C9" w:rsidRDefault="00375A16" w:rsidP="00375A16">
      <w:pPr>
        <w:pStyle w:val="FootnoteText"/>
      </w:pPr>
      <w:r w:rsidRPr="00E53A43">
        <w:rPr>
          <w:rStyle w:val="FootnoteReference"/>
          <w:rFonts w:asciiTheme="minorHAnsi" w:hAnsiTheme="minorHAnsi" w:cstheme="minorHAnsi"/>
        </w:rPr>
        <w:footnoteRef/>
      </w:r>
      <w:r w:rsidRPr="00E53A43">
        <w:t xml:space="preserve"> </w:t>
      </w:r>
      <w:r w:rsidR="00A82AD9">
        <w:t xml:space="preserve">OSCA and </w:t>
      </w:r>
      <w:r w:rsidRPr="00E269C9">
        <w:t xml:space="preserve">ANZSCO </w:t>
      </w:r>
      <w:r w:rsidR="00453B4E">
        <w:t xml:space="preserve">are </w:t>
      </w:r>
      <w:r w:rsidRPr="00E269C9">
        <w:t xml:space="preserve">skill-based </w:t>
      </w:r>
      <w:r w:rsidR="0021053A">
        <w:t>framework</w:t>
      </w:r>
      <w:r w:rsidR="00453B4E">
        <w:t>s</w:t>
      </w:r>
      <w:r w:rsidRPr="00E269C9">
        <w:t xml:space="preserve"> used to classify all occupations and jobs in the Australian</w:t>
      </w:r>
      <w:r w:rsidR="009C4191">
        <w:t xml:space="preserve"> </w:t>
      </w:r>
      <w:r w:rsidR="000D0741">
        <w:t xml:space="preserve">and New Zealand </w:t>
      </w:r>
      <w:r w:rsidR="009C4191">
        <w:t>labour market</w:t>
      </w:r>
      <w:r w:rsidRPr="00E269C9">
        <w:t xml:space="preserve">. </w:t>
      </w:r>
      <w:r w:rsidR="009C4191">
        <w:t>OSCA is an update to the ANZSCO and was released in Dece</w:t>
      </w:r>
      <w:r w:rsidR="000D0741">
        <w:t xml:space="preserve">mber 2024. The framework </w:t>
      </w:r>
      <w:r w:rsidR="00224F58">
        <w:t xml:space="preserve">only includes Australian occupations. </w:t>
      </w:r>
      <w:r w:rsidR="000D0741">
        <w:t xml:space="preserve">Both </w:t>
      </w:r>
      <w:r w:rsidR="00224F58">
        <w:t xml:space="preserve">classifications are </w:t>
      </w:r>
      <w:r w:rsidRPr="00E269C9">
        <w:t>organised into a 5</w:t>
      </w:r>
      <w:r w:rsidR="002705EA">
        <w:t xml:space="preserve"> </w:t>
      </w:r>
      <w:r w:rsidRPr="00E269C9">
        <w:t xml:space="preserve">level hierarchy: major groups, sub-major groups, minor groups, unit groups and occupations. Occupation </w:t>
      </w:r>
      <w:r w:rsidR="00961A46">
        <w:t>is</w:t>
      </w:r>
      <w:r w:rsidRPr="00E269C9">
        <w:t xml:space="preserve"> the most granular</w:t>
      </w:r>
      <w:r w:rsidR="00961A46">
        <w:t xml:space="preserve"> level, which is represented by</w:t>
      </w:r>
      <w:r w:rsidRPr="00E269C9">
        <w:t xml:space="preserve"> 6 digit </w:t>
      </w:r>
      <w:r w:rsidR="0024500D">
        <w:t xml:space="preserve">OSCA and </w:t>
      </w:r>
      <w:r w:rsidRPr="00E269C9">
        <w:t>ANZSCO</w:t>
      </w:r>
      <w:r w:rsidR="00FC4C30">
        <w:t xml:space="preserve"> code</w:t>
      </w:r>
      <w:r w:rsidR="00DC511D">
        <w:t xml:space="preserve">. This is </w:t>
      </w:r>
      <w:r w:rsidRPr="00E269C9">
        <w:t xml:space="preserve">the level that the report refers to. </w:t>
      </w:r>
    </w:p>
  </w:footnote>
  <w:footnote w:id="2">
    <w:p w14:paraId="70EF62B4" w14:textId="6E45E55C" w:rsidR="00724CAA" w:rsidRDefault="00724CAA" w:rsidP="00A64D55">
      <w:pPr>
        <w:pStyle w:val="FootnoteText"/>
      </w:pPr>
      <w:r>
        <w:rPr>
          <w:rStyle w:val="FootnoteReference"/>
        </w:rPr>
        <w:footnoteRef/>
      </w:r>
      <w:r>
        <w:t xml:space="preserve"> </w:t>
      </w:r>
      <w:r w:rsidR="00667D36" w:rsidRPr="00A64D55">
        <w:t xml:space="preserve">Skill Level 5 occupations </w:t>
      </w:r>
      <w:r w:rsidR="00A05790">
        <w:t>are</w:t>
      </w:r>
      <w:r w:rsidR="00667D36" w:rsidRPr="00A64D55">
        <w:t xml:space="preserve"> commensurate with Australian Qualifications Framework Certificate I or compulsory secondary education. For some occupations a short period of on-the-job training may be required in addition to or instead of the formal qualification. Skill Level 5 occupations have fewer barriers to entry and unlike other in-scope occupations, generally do not require significant post-school education and training</w:t>
      </w:r>
      <w:r w:rsidR="000417FF" w:rsidRPr="00A64D55">
        <w:t>.</w:t>
      </w:r>
    </w:p>
  </w:footnote>
  <w:footnote w:id="3">
    <w:p w14:paraId="0C2DEDCC" w14:textId="31CC28AB" w:rsidR="00724CAA" w:rsidRDefault="00724CAA">
      <w:pPr>
        <w:pStyle w:val="FootnoteText"/>
      </w:pPr>
      <w:r w:rsidRPr="00B24A16">
        <w:rPr>
          <w:rStyle w:val="FootnoteReference"/>
        </w:rPr>
        <w:footnoteRef/>
      </w:r>
      <w:r>
        <w:t xml:space="preserve"> </w:t>
      </w:r>
      <w:r w:rsidR="00A64D55" w:rsidRPr="00A64D55">
        <w:t>Māori occupations are examples of New Zealand-based occupations only.</w:t>
      </w:r>
    </w:p>
  </w:footnote>
  <w:footnote w:id="4">
    <w:p w14:paraId="52D04F00" w14:textId="50BFDAD0" w:rsidR="00724CAA" w:rsidRDefault="00724CAA">
      <w:pPr>
        <w:pStyle w:val="FootnoteText"/>
      </w:pPr>
      <w:r w:rsidRPr="00B24A16">
        <w:rPr>
          <w:rStyle w:val="FootnoteReference"/>
        </w:rPr>
        <w:footnoteRef/>
      </w:r>
      <w:r>
        <w:t xml:space="preserve"> </w:t>
      </w:r>
      <w:r w:rsidR="00A64D55" w:rsidRPr="00A64D55">
        <w:t>The definition of open and contestable labour market used is based on job titles</w:t>
      </w:r>
      <w:r w:rsidR="00DE0585">
        <w:t xml:space="preserve">, </w:t>
      </w:r>
      <w:r w:rsidR="00A64D55" w:rsidRPr="00A64D55">
        <w:t>descriptions</w:t>
      </w:r>
      <w:r w:rsidR="00DE0585">
        <w:t>,</w:t>
      </w:r>
      <w:r w:rsidR="00A64D55" w:rsidRPr="00A64D55">
        <w:t xml:space="preserve"> tasks performed and specialisations within the occupations. </w:t>
      </w:r>
    </w:p>
  </w:footnote>
  <w:footnote w:id="5">
    <w:p w14:paraId="474F42B6" w14:textId="050FA2E6" w:rsidR="00375A16" w:rsidRDefault="00375A16" w:rsidP="00CB2ED0">
      <w:pPr>
        <w:pStyle w:val="FootnoteText"/>
      </w:pPr>
      <w:r w:rsidRPr="00B24A16">
        <w:rPr>
          <w:rStyle w:val="FootnoteReference"/>
        </w:rPr>
        <w:footnoteRef/>
      </w:r>
      <w:r>
        <w:t xml:space="preserve"> More details on the state ratings are in </w:t>
      </w:r>
      <w:r w:rsidR="00410D0F">
        <w:t xml:space="preserve">the </w:t>
      </w:r>
      <w:r w:rsidR="000A7168">
        <w:t>Stage 3</w:t>
      </w:r>
      <w:r w:rsidR="002951C1">
        <w:t>:</w:t>
      </w:r>
      <w:r w:rsidR="000A7168">
        <w:t xml:space="preserve"> Incorporating </w:t>
      </w:r>
      <w:r w:rsidR="00C82608">
        <w:t>stakeholder feedback</w:t>
      </w:r>
      <w:r w:rsidR="00153518">
        <w:t xml:space="preserve"> section</w:t>
      </w:r>
      <w:r w:rsidR="002951C1">
        <w:t xml:space="preserve"> of the report</w:t>
      </w:r>
      <w:r w:rsidR="00304C31">
        <w:rPr>
          <w:sz w:val="22"/>
        </w:rPr>
        <w:fldChar w:fldCharType="begin"/>
      </w:r>
      <w:r w:rsidR="00304C31">
        <w:instrText xml:space="preserve"> REF _Ref207368594 \h </w:instrText>
      </w:r>
      <w:r w:rsidR="00304C31">
        <w:rPr>
          <w:sz w:val="22"/>
        </w:rPr>
        <w:fldChar w:fldCharType="separate"/>
      </w:r>
      <w:r w:rsidR="00F6227E" w:rsidRPr="00E53A43">
        <w:t>Stage 3: Incorporat</w:t>
      </w:r>
      <w:r w:rsidR="00F6227E">
        <w:t xml:space="preserve">ing </w:t>
      </w:r>
      <w:r w:rsidR="00F6227E" w:rsidRPr="00E53A43">
        <w:t>stakeholder feedback</w:t>
      </w:r>
      <w:r w:rsidR="00304C31">
        <w:fldChar w:fldCharType="end"/>
      </w:r>
      <w:r>
        <w:t>.</w:t>
      </w:r>
    </w:p>
  </w:footnote>
  <w:footnote w:id="6">
    <w:p w14:paraId="12A8127C" w14:textId="5206F024" w:rsidR="00B36703" w:rsidRDefault="00B36703" w:rsidP="00B36703">
      <w:pPr>
        <w:pStyle w:val="FootnoteText"/>
      </w:pPr>
      <w:r>
        <w:rPr>
          <w:rStyle w:val="FootnoteReference"/>
        </w:rPr>
        <w:footnoteRef/>
      </w:r>
      <w:r>
        <w:t xml:space="preserve"> </w:t>
      </w:r>
      <w:r w:rsidRPr="00501A2C">
        <w:t>Metropolitan area refers to Capital City, while Regional area refers to Rest of State locations. Capital City and Rest of State areas are defined by the Australian Statistical Geography Standard (ASGS)</w:t>
      </w:r>
      <w:r>
        <w:t xml:space="preserve"> Edition 3 - Reference period July 2021 </w:t>
      </w:r>
      <w:r w:rsidR="002705EA">
        <w:t>to</w:t>
      </w:r>
      <w:r>
        <w:t xml:space="preserve"> June 2026</w:t>
      </w:r>
      <w:r w:rsidRPr="00501A2C">
        <w:t>.</w:t>
      </w:r>
      <w:r>
        <w:t xml:space="preserve"> </w:t>
      </w:r>
      <w:hyperlink r:id="rId1" w:history="1">
        <w:r w:rsidRPr="00983B4F">
          <w:rPr>
            <w:rStyle w:val="Hyperlink"/>
          </w:rPr>
          <w:t>https://www.abs.gov.au/statistics/statistical-geography/australian-statistical-geography-standard-asgs</w:t>
        </w:r>
      </w:hyperlink>
    </w:p>
  </w:footnote>
  <w:footnote w:id="7">
    <w:p w14:paraId="56DCA829" w14:textId="18E6E323" w:rsidR="00BF342E" w:rsidRPr="00E53A43" w:rsidRDefault="00BF342E" w:rsidP="00BF342E">
      <w:pPr>
        <w:pStyle w:val="FootnoteText"/>
      </w:pPr>
      <w:r>
        <w:rPr>
          <w:rStyle w:val="FootnoteReference"/>
        </w:rPr>
        <w:footnoteRef/>
      </w:r>
      <w:r w:rsidRPr="00E53A43">
        <w:t xml:space="preserve"> </w:t>
      </w:r>
      <w:r w:rsidRPr="00990FDC">
        <w:t xml:space="preserve">More information on GBMs is available online, including high level introductions. An example is: </w:t>
      </w:r>
      <w:hyperlink r:id="rId2" w:history="1">
        <w:r w:rsidR="00E56DF0" w:rsidRPr="00E56DF0">
          <w:rPr>
            <w:rStyle w:val="Hyperlink"/>
          </w:rPr>
          <w:t>Introduction to Boosted Trees —</w:t>
        </w:r>
      </w:hyperlink>
      <w:r w:rsidR="00E56DF0">
        <w:t xml:space="preserve"> </w:t>
      </w:r>
      <w:hyperlink r:id="rId3" w:history="1">
        <w:r w:rsidR="00E56DF0" w:rsidRPr="0095534A">
          <w:rPr>
            <w:rStyle w:val="Hyperlink"/>
          </w:rPr>
          <w:t>https://xgboost.readthedocs.io/en/stable/tutorials/model.html</w:t>
        </w:r>
      </w:hyperlink>
      <w:r w:rsidR="00E56DF0" w:rsidRPr="00990FDC">
        <w:t>.</w:t>
      </w:r>
    </w:p>
  </w:footnote>
  <w:footnote w:id="8">
    <w:p w14:paraId="09DBAA56" w14:textId="5F298EFF" w:rsidR="00397153" w:rsidRDefault="00397153">
      <w:pPr>
        <w:pStyle w:val="FootnoteText"/>
      </w:pPr>
      <w:r>
        <w:rPr>
          <w:rStyle w:val="FootnoteReference"/>
        </w:rPr>
        <w:footnoteRef/>
      </w:r>
      <w:r>
        <w:t xml:space="preserve"> Refer to </w:t>
      </w:r>
      <w:r>
        <w:fldChar w:fldCharType="begin"/>
      </w:r>
      <w:r>
        <w:instrText xml:space="preserve"> REF _Ref207569505 \h </w:instrText>
      </w:r>
      <w:r>
        <w:fldChar w:fldCharType="separate"/>
      </w:r>
      <w:r w:rsidR="00F6227E">
        <w:t xml:space="preserve">Appendix </w:t>
      </w:r>
      <w:r w:rsidR="00F6227E">
        <w:rPr>
          <w:noProof/>
        </w:rPr>
        <w:t>D</w:t>
      </w:r>
      <w:r>
        <w:fldChar w:fldCharType="end"/>
      </w:r>
      <w:r>
        <w:t xml:space="preserve"> for further detail</w:t>
      </w:r>
      <w:r w:rsidR="00902F86">
        <w:t>s</w:t>
      </w:r>
      <w:r w:rsidR="004310FA">
        <w:t xml:space="preserve"> on the </w:t>
      </w:r>
      <w:r w:rsidR="00A41693">
        <w:t xml:space="preserve">Blending </w:t>
      </w:r>
      <w:r w:rsidR="00FC58F2">
        <w:t xml:space="preserve">process </w:t>
      </w:r>
      <w:r w:rsidR="00A41693">
        <w:t xml:space="preserve">and to </w:t>
      </w:r>
      <w:r w:rsidR="004F5F14">
        <w:fldChar w:fldCharType="begin"/>
      </w:r>
      <w:r w:rsidR="004F5F14">
        <w:instrText xml:space="preserve"> REF _Ref208930273 \h </w:instrText>
      </w:r>
      <w:r w:rsidR="004F5F14">
        <w:fldChar w:fldCharType="separate"/>
      </w:r>
      <w:r w:rsidR="00F6227E">
        <w:t xml:space="preserve">Appendix </w:t>
      </w:r>
      <w:r w:rsidR="00F6227E">
        <w:rPr>
          <w:noProof/>
        </w:rPr>
        <w:t>E</w:t>
      </w:r>
      <w:r w:rsidR="004F5F14">
        <w:fldChar w:fldCharType="end"/>
      </w:r>
      <w:r w:rsidR="00A41693">
        <w:t xml:space="preserve"> for </w:t>
      </w:r>
      <w:r w:rsidR="000E6DE5">
        <w:t>further details on SERA</w:t>
      </w:r>
      <w:r w:rsidRPr="00E53A43">
        <w:t>.</w:t>
      </w:r>
    </w:p>
  </w:footnote>
  <w:footnote w:id="9">
    <w:p w14:paraId="09EF2891" w14:textId="0F6BDBB8" w:rsidR="00493194" w:rsidRDefault="00493194">
      <w:pPr>
        <w:pStyle w:val="FootnoteText"/>
      </w:pPr>
      <w:r>
        <w:rPr>
          <w:rStyle w:val="FootnoteReference"/>
        </w:rPr>
        <w:footnoteRef/>
      </w:r>
      <w:r>
        <w:t xml:space="preserve"> There are </w:t>
      </w:r>
      <w:r w:rsidR="00506EC0">
        <w:t xml:space="preserve">additional </w:t>
      </w:r>
      <w:r w:rsidR="00BA5983">
        <w:t>rules. Due to their complex nature</w:t>
      </w:r>
      <w:r w:rsidR="0031679E">
        <w:t xml:space="preserve"> and ensure ease of understanding the key elements of the OSL methodology</w:t>
      </w:r>
      <w:r w:rsidR="00BA5983">
        <w:t xml:space="preserve">, they were not </w:t>
      </w:r>
      <w:r w:rsidR="00EE0BC6">
        <w:t>included</w:t>
      </w:r>
      <w:r w:rsidR="0031679E">
        <w:t xml:space="preserve"> in the table. </w:t>
      </w:r>
    </w:p>
  </w:footnote>
  <w:footnote w:id="10">
    <w:p w14:paraId="6D6FC935" w14:textId="180B480E" w:rsidR="00407F59" w:rsidRDefault="00407F59">
      <w:pPr>
        <w:pStyle w:val="FootnoteText"/>
      </w:pPr>
      <w:r>
        <w:rPr>
          <w:rStyle w:val="FootnoteReference"/>
        </w:rPr>
        <w:footnoteRef/>
      </w:r>
      <w:r>
        <w:t xml:space="preserve"> Refer to Appendix B for the approach used. </w:t>
      </w:r>
    </w:p>
  </w:footnote>
  <w:footnote w:id="11">
    <w:p w14:paraId="15331AAD" w14:textId="77777777" w:rsidR="00BE0F0F" w:rsidRDefault="00BE0F0F" w:rsidP="00BE0F0F">
      <w:pPr>
        <w:pStyle w:val="FootnoteText"/>
      </w:pPr>
      <w:r>
        <w:rPr>
          <w:rStyle w:val="FootnoteReference"/>
        </w:rPr>
        <w:footnoteRef/>
      </w:r>
      <w:r>
        <w:t xml:space="preserve"> Ibid.</w:t>
      </w:r>
    </w:p>
  </w:footnote>
  <w:footnote w:id="12">
    <w:p w14:paraId="593C8FC1" w14:textId="40D78DB9" w:rsidR="00C41005" w:rsidRPr="00E53A43" w:rsidRDefault="00C41005" w:rsidP="00C41005">
      <w:pPr>
        <w:pStyle w:val="FootnoteText"/>
      </w:pPr>
      <w:r w:rsidRPr="004814BC">
        <w:rPr>
          <w:rStyle w:val="FootnoteReference"/>
        </w:rPr>
        <w:footnoteRef/>
      </w:r>
      <w:r w:rsidRPr="00E53A43">
        <w:t xml:space="preserve"> </w:t>
      </w:r>
      <w:r>
        <w:t xml:space="preserve">Refer to Appendix </w:t>
      </w:r>
      <w:r w:rsidR="007D06F3">
        <w:t>F</w:t>
      </w:r>
      <w:r>
        <w:t xml:space="preserve"> and the 2025 OSL Stakeholder Survey for more information. </w:t>
      </w:r>
    </w:p>
  </w:footnote>
  <w:footnote w:id="13">
    <w:p w14:paraId="6BD95A27" w14:textId="5CDEA1E2" w:rsidR="00F724F5" w:rsidRDefault="00F724F5" w:rsidP="00F724F5">
      <w:pPr>
        <w:pStyle w:val="FootnoteText"/>
      </w:pPr>
      <w:r>
        <w:rPr>
          <w:rStyle w:val="FootnoteReference"/>
        </w:rPr>
        <w:footnoteRef/>
      </w:r>
      <w:r>
        <w:t xml:space="preserve"> O</w:t>
      </w:r>
      <w:r w:rsidRPr="004D7064">
        <w:t xml:space="preserve">ccupation similarity scores from the </w:t>
      </w:r>
      <w:r>
        <w:t xml:space="preserve">ASC </w:t>
      </w:r>
      <w:r w:rsidR="000669BC">
        <w:t>are used</w:t>
      </w:r>
      <w:r>
        <w:t xml:space="preserve"> to increase the sample size of SERA data. The ASC w</w:t>
      </w:r>
      <w:r w:rsidRPr="004D7064">
        <w:t xml:space="preserve">as developed to provide a common language of skills to increase understanding and recognition of skills across occupations, </w:t>
      </w:r>
      <w:r w:rsidR="009D2841" w:rsidRPr="004D7064">
        <w:t>sectors,</w:t>
      </w:r>
      <w:r w:rsidRPr="004D7064">
        <w:t xml:space="preserve"> and contexts. More information on the ASC is available on the Jobs and Skills Australia </w:t>
      </w:r>
      <w:hyperlink r:id="rId4" w:history="1">
        <w:r w:rsidRPr="004D7064">
          <w:rPr>
            <w:rStyle w:val="Hyperlink"/>
          </w:rPr>
          <w:t>webpage</w:t>
        </w:r>
      </w:hyperlink>
      <w:r w:rsidRPr="004D7064">
        <w:t>.</w:t>
      </w:r>
    </w:p>
  </w:footnote>
  <w:footnote w:id="14">
    <w:p w14:paraId="7AEA797D" w14:textId="72693CF8" w:rsidR="000C052C" w:rsidRDefault="000C052C">
      <w:pPr>
        <w:pStyle w:val="FootnoteText"/>
      </w:pPr>
      <w:r>
        <w:rPr>
          <w:rStyle w:val="FootnoteReference"/>
        </w:rPr>
        <w:footnoteRef/>
      </w:r>
      <w:r>
        <w:t xml:space="preserve"> </w:t>
      </w:r>
      <w:r w:rsidR="00280358">
        <w:t xml:space="preserve">One feature used by the GBM model is </w:t>
      </w:r>
      <w:r>
        <w:t>an estimate of the current year</w:t>
      </w:r>
      <w:r w:rsidR="00541F2A">
        <w:t>'s</w:t>
      </w:r>
      <w:r>
        <w:t xml:space="preserve"> employment</w:t>
      </w:r>
      <w:r w:rsidR="00280358">
        <w:t xml:space="preserve"> </w:t>
      </w:r>
      <w:r w:rsidR="00541F2A">
        <w:t xml:space="preserve">size </w:t>
      </w:r>
      <w:r w:rsidR="00280358">
        <w:t xml:space="preserve">based on Census 2021 employment sizes and updated information from the </w:t>
      </w:r>
      <w:r w:rsidR="003B47CC">
        <w:t xml:space="preserve">ABS </w:t>
      </w:r>
      <w:r w:rsidR="00280358">
        <w:t>L</w:t>
      </w:r>
      <w:r w:rsidR="003B47CC">
        <w:t xml:space="preserve">abour </w:t>
      </w:r>
      <w:r w:rsidR="00280358">
        <w:t>F</w:t>
      </w:r>
      <w:r w:rsidR="003B47CC">
        <w:t>or</w:t>
      </w:r>
      <w:r w:rsidR="007A449E">
        <w:t>c</w:t>
      </w:r>
      <w:r w:rsidR="003B47CC">
        <w:t xml:space="preserve">e </w:t>
      </w:r>
      <w:r w:rsidR="00280358">
        <w:t>S</w:t>
      </w:r>
      <w:r w:rsidR="003B47CC">
        <w:t xml:space="preserve">urvey </w:t>
      </w:r>
      <w:r w:rsidR="00280358">
        <w:t xml:space="preserve">and </w:t>
      </w:r>
      <w:r w:rsidR="003B47CC">
        <w:t>Jobs and Skill</w:t>
      </w:r>
      <w:r w:rsidR="007A449E">
        <w:t>s</w:t>
      </w:r>
      <w:r w:rsidR="003B47CC">
        <w:t xml:space="preserve"> Australia </w:t>
      </w:r>
      <w:r w:rsidR="00541F2A">
        <w:t>N</w:t>
      </w:r>
      <w:r w:rsidR="003B47CC">
        <w:t xml:space="preserve">owcast of </w:t>
      </w:r>
      <w:r w:rsidR="00541F2A">
        <w:t>E</w:t>
      </w:r>
      <w:r w:rsidR="003268A2">
        <w:t xml:space="preserve">mployment by </w:t>
      </w:r>
      <w:r w:rsidR="00541F2A">
        <w:t>R</w:t>
      </w:r>
      <w:r w:rsidR="003268A2">
        <w:t xml:space="preserve">egion and </w:t>
      </w:r>
      <w:r w:rsidR="00541F2A">
        <w:t>O</w:t>
      </w:r>
      <w:r w:rsidR="003268A2">
        <w:t>ccupation</w:t>
      </w:r>
      <w:r w:rsidR="00297A96">
        <w:t xml:space="preserve"> (NERO)</w:t>
      </w:r>
      <w:r>
        <w:t>.</w:t>
      </w:r>
      <w:r w:rsidR="00541F2A">
        <w:t xml:space="preserve"> </w:t>
      </w:r>
      <w:r w:rsidR="00297A96">
        <w:t xml:space="preserve">For more information on NERO, refer to </w:t>
      </w:r>
      <w:hyperlink r:id="rId5" w:history="1">
        <w:r w:rsidR="00297A96" w:rsidRPr="00297A96">
          <w:rPr>
            <w:rStyle w:val="Hyperlink"/>
          </w:rPr>
          <w:t>Nowcast of Employment by Region and Occupation (NERO) | Jobs and Skills Australia</w:t>
        </w:r>
      </w:hyperlink>
      <w:r w:rsidR="00297A96">
        <w:t>.</w:t>
      </w:r>
    </w:p>
  </w:footnote>
  <w:footnote w:id="15">
    <w:p w14:paraId="06E1D517" w14:textId="587A80D8" w:rsidR="00FE4580" w:rsidRDefault="00FE4580" w:rsidP="00FE4580">
      <w:pPr>
        <w:pStyle w:val="FootnoteText"/>
      </w:pPr>
      <w:r>
        <w:rPr>
          <w:rStyle w:val="FootnoteReference"/>
        </w:rPr>
        <w:footnoteRef/>
      </w:r>
      <w:r>
        <w:t xml:space="preserve"> </w:t>
      </w:r>
      <w:r w:rsidR="00906D2A">
        <w:t>For more information, r</w:t>
      </w:r>
      <w:r>
        <w:t xml:space="preserve">efer to </w:t>
      </w:r>
      <w:hyperlink r:id="rId6" w:history="1">
        <w:r w:rsidR="0052553C" w:rsidRPr="0052553C">
          <w:rPr>
            <w:rStyle w:val="Hyperlink"/>
          </w:rPr>
          <w:t>Recruitment Experiences and Outlook Survey | Jobs and Skills Australia</w:t>
        </w:r>
      </w:hyperlink>
      <w:r w:rsidR="00906D2A">
        <w:t>.</w:t>
      </w:r>
    </w:p>
  </w:footnote>
  <w:footnote w:id="16">
    <w:p w14:paraId="6FB366AF" w14:textId="77777777" w:rsidR="00FE4580" w:rsidRDefault="00FE4580" w:rsidP="00FE4580">
      <w:pPr>
        <w:pStyle w:val="FootnoteText"/>
      </w:pPr>
      <w:r>
        <w:rPr>
          <w:rStyle w:val="FootnoteReference"/>
        </w:rPr>
        <w:footnoteRef/>
      </w:r>
      <w:r>
        <w:t xml:space="preserve"> </w:t>
      </w:r>
      <w:r w:rsidRPr="0035004D">
        <w:t>The LSI measures how far the applicants per vacancy for a specific unit group deviates from the overall average as a measure of how oversupplied or undersupplied the unit group is. A large negative LSI indicates an undersupply of applicants, while a large positive LSI indicates an oversupply.</w:t>
      </w:r>
      <w:r>
        <w:t xml:space="preserve"> For more information on the LSI, refer to the </w:t>
      </w:r>
      <w:hyperlink r:id="rId7" w:history="1">
        <w:r w:rsidRPr="00144844">
          <w:rPr>
            <w:rStyle w:val="Hyperlink"/>
          </w:rPr>
          <w:t>Occupation Shortage Report – March 2025</w:t>
        </w:r>
      </w:hyperlink>
      <w:r>
        <w:t xml:space="preserve">. </w:t>
      </w:r>
    </w:p>
  </w:footnote>
  <w:footnote w:id="17">
    <w:p w14:paraId="0C0E112C" w14:textId="6EADC87D" w:rsidR="002957AB" w:rsidRDefault="002957AB" w:rsidP="002957AB">
      <w:pPr>
        <w:pStyle w:val="FootnoteText"/>
      </w:pPr>
      <w:r>
        <w:rPr>
          <w:rStyle w:val="FootnoteReference"/>
        </w:rPr>
        <w:footnoteRef/>
      </w:r>
      <w:r>
        <w:t xml:space="preserve"> In some instances, feedback that score</w:t>
      </w:r>
      <w:r w:rsidR="00F47DC1">
        <w:t>s</w:t>
      </w:r>
      <w:r>
        <w:t xml:space="preserve"> below the acceptance benchmark may still be considered if it presents strong qualitative evidence, based on judgement. </w:t>
      </w:r>
    </w:p>
  </w:footnote>
  <w:footnote w:id="18">
    <w:p w14:paraId="27DE8CA5" w14:textId="32D65A56" w:rsidR="00601DE3" w:rsidRDefault="00601DE3">
      <w:pPr>
        <w:pStyle w:val="FootnoteText"/>
      </w:pPr>
      <w:r>
        <w:rPr>
          <w:rStyle w:val="FootnoteReference"/>
        </w:rPr>
        <w:footnoteRef/>
      </w:r>
      <w:r>
        <w:t xml:space="preserve"> </w:t>
      </w:r>
      <w:r w:rsidR="00DC3C95">
        <w:t xml:space="preserve">The </w:t>
      </w:r>
      <w:r w:rsidR="00F37D9D">
        <w:t>occupation</w:t>
      </w:r>
      <w:r w:rsidR="00DC3C95">
        <w:t xml:space="preserve"> employment </w:t>
      </w:r>
      <w:r w:rsidR="00F37D9D">
        <w:t xml:space="preserve">level </w:t>
      </w:r>
      <w:r w:rsidR="00A64AE0">
        <w:t>is based on</w:t>
      </w:r>
      <w:r w:rsidR="00DC3C95" w:rsidRPr="00DC3C95">
        <w:t xml:space="preserve"> the 2021 ABS Census.</w:t>
      </w:r>
    </w:p>
  </w:footnote>
  <w:footnote w:id="19">
    <w:p w14:paraId="60B1D37B" w14:textId="25D4F1A4" w:rsidR="00E823EE" w:rsidRDefault="00E823EE">
      <w:pPr>
        <w:pStyle w:val="FootnoteText"/>
      </w:pPr>
      <w:r>
        <w:rPr>
          <w:rStyle w:val="FootnoteReference"/>
        </w:rPr>
        <w:footnoteRef/>
      </w:r>
      <w:r>
        <w:t xml:space="preserve"> In some cases,</w:t>
      </w:r>
      <w:r w:rsidRPr="007D43AE">
        <w:t xml:space="preserve"> the </w:t>
      </w:r>
      <w:r>
        <w:t xml:space="preserve">collective employment share of states where the rating has been accepted is marginally short of </w:t>
      </w:r>
      <w:r w:rsidR="000316EF">
        <w:t>2</w:t>
      </w:r>
      <w:r w:rsidR="004C5C80">
        <w:t xml:space="preserve"> </w:t>
      </w:r>
      <w:r>
        <w:t xml:space="preserve">thirds share of national level employment. For those cases, </w:t>
      </w:r>
      <w:r w:rsidRPr="007D43AE">
        <w:t>judgement is applied to determine whether the national level rating should be adjusted.</w:t>
      </w:r>
    </w:p>
  </w:footnote>
  <w:footnote w:id="20">
    <w:p w14:paraId="59CAF0C9" w14:textId="7AA1E069" w:rsidR="00267C1D" w:rsidRDefault="00B75CD1" w:rsidP="0064281C">
      <w:pPr>
        <w:pStyle w:val="FootnoteText"/>
        <w:ind w:left="0" w:firstLine="0"/>
      </w:pPr>
      <w:r>
        <w:rPr>
          <w:rStyle w:val="FootnoteReference"/>
        </w:rPr>
        <w:footnoteRef/>
      </w:r>
      <w:r>
        <w:t xml:space="preserve"> </w:t>
      </w:r>
      <w:r w:rsidR="009272C0">
        <w:t xml:space="preserve">For </w:t>
      </w:r>
      <w:r w:rsidR="00F8251F">
        <w:t xml:space="preserve">the </w:t>
      </w:r>
      <w:r w:rsidR="009272C0">
        <w:t>OSCA</w:t>
      </w:r>
      <w:r w:rsidR="00F8251F">
        <w:t xml:space="preserve"> classification</w:t>
      </w:r>
      <w:r w:rsidR="00A73A31">
        <w:t xml:space="preserve">, </w:t>
      </w:r>
      <w:r w:rsidR="00F8251F">
        <w:t>consult the</w:t>
      </w:r>
      <w:r w:rsidR="003022C6">
        <w:t xml:space="preserve"> </w:t>
      </w:r>
      <w:r w:rsidR="00F8251F">
        <w:t>webpage</w:t>
      </w:r>
      <w:r w:rsidR="00514E74">
        <w:t xml:space="preserve">: </w:t>
      </w:r>
      <w:hyperlink r:id="rId8" w:history="1">
        <w:r w:rsidR="00E006F4" w:rsidRPr="00E006F4">
          <w:rPr>
            <w:rStyle w:val="Hyperlink"/>
          </w:rPr>
          <w:t>OSCA - Occupation Standard Classification for Australia, 2024, Version 1.0 | Australian Bureau of Statistics</w:t>
        </w:r>
      </w:hyperlink>
      <w:r w:rsidR="00021FCE">
        <w:t>.</w:t>
      </w:r>
      <w:r w:rsidR="004352B7">
        <w:br/>
      </w:r>
      <w:r w:rsidR="00A71B7B">
        <w:t xml:space="preserve">For </w:t>
      </w:r>
      <w:r w:rsidR="00514E74">
        <w:t xml:space="preserve">the </w:t>
      </w:r>
      <w:r w:rsidR="00A71B7B">
        <w:t>ANZSCO</w:t>
      </w:r>
      <w:r w:rsidR="00514E74">
        <w:t xml:space="preserve"> classification, consult the webpage</w:t>
      </w:r>
      <w:r w:rsidR="006819C3">
        <w:t>:</w:t>
      </w:r>
      <w:r w:rsidR="00A71B7B">
        <w:t xml:space="preserve"> </w:t>
      </w:r>
      <w:hyperlink r:id="rId9" w:history="1">
        <w:r w:rsidR="00021FCE" w:rsidRPr="00021FCE">
          <w:rPr>
            <w:rStyle w:val="Hyperlink"/>
          </w:rPr>
          <w:t>ANZSCO - Australian and New Zealand Standard Classification of Occupations, 2022 | Australian Bureau of Statistics</w:t>
        </w:r>
      </w:hyperlink>
      <w:r w:rsidR="00021FCE">
        <w:t>.</w:t>
      </w:r>
    </w:p>
    <w:p w14:paraId="4809D4A5" w14:textId="77777777" w:rsidR="006819C3" w:rsidRDefault="006819C3" w:rsidP="009272C0">
      <w:pPr>
        <w:pStyle w:val="FootnoteText"/>
      </w:pPr>
    </w:p>
  </w:footnote>
  <w:footnote w:id="21">
    <w:p w14:paraId="2407D91B" w14:textId="3D5ED02F" w:rsidR="009357B5" w:rsidRDefault="009357B5">
      <w:pPr>
        <w:pStyle w:val="FootnoteText"/>
      </w:pPr>
      <w:r>
        <w:rPr>
          <w:rStyle w:val="FootnoteReference"/>
        </w:rPr>
        <w:footnoteRef/>
      </w:r>
      <w:r>
        <w:t xml:space="preserve"> </w:t>
      </w:r>
      <w:r w:rsidR="00702E00">
        <w:t>nec stands for ‘not elsewhere classified’.</w:t>
      </w:r>
    </w:p>
  </w:footnote>
  <w:footnote w:id="22">
    <w:p w14:paraId="70FE69F4" w14:textId="77777777" w:rsidR="008442C1" w:rsidRDefault="008442C1" w:rsidP="008442C1">
      <w:pPr>
        <w:pStyle w:val="FootnoteText"/>
      </w:pPr>
      <w:r>
        <w:rPr>
          <w:rStyle w:val="FootnoteReference"/>
        </w:rPr>
        <w:footnoteRef/>
      </w:r>
      <w:r>
        <w:t xml:space="preserve"> </w:t>
      </w:r>
      <w:r w:rsidRPr="00180C90">
        <w:t>ABS Census of Population and Housing 2021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1811" w14:textId="77777777" w:rsidR="006D762C" w:rsidRDefault="006D7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5754" w14:textId="77777777" w:rsidR="006D762C" w:rsidRDefault="006D7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9639" w14:textId="2608B6AF" w:rsidR="00A67B12" w:rsidRPr="0030592C" w:rsidRDefault="00A67B12" w:rsidP="00A67B12">
    <w:pPr>
      <w:pStyle w:val="Header"/>
    </w:pPr>
  </w:p>
  <w:p w14:paraId="250058C9" w14:textId="77777777" w:rsidR="00A67B12" w:rsidRDefault="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906EA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28FB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A0299"/>
    <w:multiLevelType w:val="multilevel"/>
    <w:tmpl w:val="0D96AACA"/>
    <w:numStyleLink w:val="AppendixHeadingmaster"/>
  </w:abstractNum>
  <w:abstractNum w:abstractNumId="3" w15:restartNumberingAfterBreak="0">
    <w:nsid w:val="01C46ACD"/>
    <w:multiLevelType w:val="hybridMultilevel"/>
    <w:tmpl w:val="5784DB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45550B2"/>
    <w:multiLevelType w:val="multilevel"/>
    <w:tmpl w:val="F970046A"/>
    <w:numStyleLink w:val="ListBulletmaster"/>
  </w:abstractNum>
  <w:abstractNum w:abstractNumId="5" w15:restartNumberingAfterBreak="0">
    <w:nsid w:val="084F7801"/>
    <w:multiLevelType w:val="multilevel"/>
    <w:tmpl w:val="EAA2F742"/>
    <w:numStyleLink w:val="TableListNumbermaster"/>
  </w:abstractNum>
  <w:abstractNum w:abstractNumId="6"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2E010B"/>
    <w:multiLevelType w:val="multilevel"/>
    <w:tmpl w:val="0D96AACA"/>
    <w:numStyleLink w:val="AppendixHeadingmaster"/>
  </w:abstractNum>
  <w:abstractNum w:abstractNumId="8" w15:restartNumberingAfterBreak="0">
    <w:nsid w:val="14913431"/>
    <w:multiLevelType w:val="multilevel"/>
    <w:tmpl w:val="28F46D40"/>
    <w:numStyleLink w:val="ListNumbermaster"/>
  </w:abstractNum>
  <w:abstractNum w:abstractNumId="9" w15:restartNumberingAfterBreak="0">
    <w:nsid w:val="158C4C46"/>
    <w:multiLevelType w:val="multilevel"/>
    <w:tmpl w:val="6AAE0996"/>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0" w:hanging="340"/>
      </w:pPr>
      <w:rPr>
        <w:rFonts w:ascii="Times New Roman" w:hAnsi="Times New Roman" w:cs="Times New Roman" w:hint="default"/>
        <w:color w:val="auto"/>
      </w:rPr>
    </w:lvl>
    <w:lvl w:ilvl="3">
      <w:start w:val="1"/>
      <w:numFmt w:val="bullet"/>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17A434C9"/>
    <w:multiLevelType w:val="multilevel"/>
    <w:tmpl w:val="113457F2"/>
    <w:numStyleLink w:val="Headingsmaster"/>
  </w:abstractNum>
  <w:abstractNum w:abstractNumId="11"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B76778"/>
    <w:multiLevelType w:val="multilevel"/>
    <w:tmpl w:val="56043EA4"/>
    <w:numStyleLink w:val="TableListBulletmaster"/>
  </w:abstractNum>
  <w:abstractNum w:abstractNumId="13" w15:restartNumberingAfterBreak="0">
    <w:nsid w:val="1E1304D0"/>
    <w:multiLevelType w:val="multilevel"/>
    <w:tmpl w:val="56043EA4"/>
    <w:numStyleLink w:val="TableListBulletmaster"/>
  </w:abstractNum>
  <w:abstractNum w:abstractNumId="14"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3E2182"/>
    <w:multiLevelType w:val="hybridMultilevel"/>
    <w:tmpl w:val="5518D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95D78"/>
    <w:multiLevelType w:val="multilevel"/>
    <w:tmpl w:val="EAA2F742"/>
    <w:numStyleLink w:val="TableListNumbermaster"/>
  </w:abstractNum>
  <w:abstractNum w:abstractNumId="17" w15:restartNumberingAfterBreak="0">
    <w:nsid w:val="23A47C05"/>
    <w:multiLevelType w:val="hybridMultilevel"/>
    <w:tmpl w:val="2958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2839DB"/>
    <w:multiLevelType w:val="multilevel"/>
    <w:tmpl w:val="14B26A8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60235C"/>
    <w:multiLevelType w:val="hybridMultilevel"/>
    <w:tmpl w:val="5824AF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0E4DE9"/>
    <w:multiLevelType w:val="multilevel"/>
    <w:tmpl w:val="56043EA4"/>
    <w:numStyleLink w:val="TableListBulletmaster"/>
  </w:abstractNum>
  <w:abstractNum w:abstractNumId="21"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272F11"/>
    <w:multiLevelType w:val="multilevel"/>
    <w:tmpl w:val="6AAE0996"/>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0" w:hanging="340"/>
      </w:pPr>
      <w:rPr>
        <w:rFonts w:ascii="Times New Roman" w:hAnsi="Times New Roman" w:cs="Times New Roman" w:hint="default"/>
        <w:color w:val="auto"/>
      </w:rPr>
    </w:lvl>
    <w:lvl w:ilvl="3">
      <w:start w:val="1"/>
      <w:numFmt w:val="bullet"/>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23" w15:restartNumberingAfterBreak="0">
    <w:nsid w:val="30C415FF"/>
    <w:multiLevelType w:val="multilevel"/>
    <w:tmpl w:val="113457F2"/>
    <w:numStyleLink w:val="Headingsmaster"/>
  </w:abstractNum>
  <w:abstractNum w:abstractNumId="24" w15:restartNumberingAfterBreak="0">
    <w:nsid w:val="311066B6"/>
    <w:multiLevelType w:val="multilevel"/>
    <w:tmpl w:val="113457F2"/>
    <w:numStyleLink w:val="Headingsmaster"/>
  </w:abstractNum>
  <w:abstractNum w:abstractNumId="25" w15:restartNumberingAfterBreak="0">
    <w:nsid w:val="34666B61"/>
    <w:multiLevelType w:val="multilevel"/>
    <w:tmpl w:val="113457F2"/>
    <w:numStyleLink w:val="Headingsmaster"/>
  </w:abstractNum>
  <w:abstractNum w:abstractNumId="26" w15:restartNumberingAfterBreak="0">
    <w:nsid w:val="36B75813"/>
    <w:multiLevelType w:val="multilevel"/>
    <w:tmpl w:val="0D96AACA"/>
    <w:numStyleLink w:val="AppendixHeadingmaster"/>
  </w:abstractNum>
  <w:abstractNum w:abstractNumId="27" w15:restartNumberingAfterBreak="0">
    <w:nsid w:val="3C9723CF"/>
    <w:multiLevelType w:val="multilevel"/>
    <w:tmpl w:val="56043EA4"/>
    <w:numStyleLink w:val="TableListBulletmaster"/>
  </w:abstractNum>
  <w:abstractNum w:abstractNumId="28" w15:restartNumberingAfterBreak="0">
    <w:nsid w:val="3C9F68FB"/>
    <w:multiLevelType w:val="multilevel"/>
    <w:tmpl w:val="113457F2"/>
    <w:numStyleLink w:val="Headingsmaster"/>
  </w:abstractNum>
  <w:abstractNum w:abstractNumId="29" w15:restartNumberingAfterBreak="0">
    <w:nsid w:val="444728F6"/>
    <w:multiLevelType w:val="hybridMultilevel"/>
    <w:tmpl w:val="2B1055AC"/>
    <w:lvl w:ilvl="0" w:tplc="3BB862B6">
      <w:start w:val="5"/>
      <w:numFmt w:val="decimal"/>
      <w:lvlText w:val="%1."/>
      <w:lvlJc w:val="left"/>
      <w:pPr>
        <w:ind w:left="23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84D764C"/>
    <w:multiLevelType w:val="multilevel"/>
    <w:tmpl w:val="EAA2F742"/>
    <w:numStyleLink w:val="TableListNumbermaster"/>
  </w:abstractNum>
  <w:abstractNum w:abstractNumId="32" w15:restartNumberingAfterBreak="0">
    <w:nsid w:val="51910100"/>
    <w:multiLevelType w:val="multilevel"/>
    <w:tmpl w:val="113457F2"/>
    <w:numStyleLink w:val="Headingsmaster"/>
  </w:abstractNum>
  <w:abstractNum w:abstractNumId="33"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4910F1B"/>
    <w:multiLevelType w:val="hybridMultilevel"/>
    <w:tmpl w:val="47AC2708"/>
    <w:lvl w:ilvl="0" w:tplc="C5C49A0A">
      <w:start w:val="1"/>
      <w:numFmt w:val="bullet"/>
      <w:lvlText w:val=""/>
      <w:lvlJc w:val="left"/>
      <w:pPr>
        <w:ind w:left="1080" w:hanging="360"/>
      </w:pPr>
      <w:rPr>
        <w:rFonts w:ascii="Symbol" w:hAnsi="Symbol"/>
      </w:rPr>
    </w:lvl>
    <w:lvl w:ilvl="1" w:tplc="092C4EA4">
      <w:start w:val="1"/>
      <w:numFmt w:val="bullet"/>
      <w:lvlText w:val=""/>
      <w:lvlJc w:val="left"/>
      <w:pPr>
        <w:ind w:left="1080" w:hanging="360"/>
      </w:pPr>
      <w:rPr>
        <w:rFonts w:ascii="Symbol" w:hAnsi="Symbol"/>
      </w:rPr>
    </w:lvl>
    <w:lvl w:ilvl="2" w:tplc="48B0DEDE">
      <w:start w:val="1"/>
      <w:numFmt w:val="bullet"/>
      <w:lvlText w:val=""/>
      <w:lvlJc w:val="left"/>
      <w:pPr>
        <w:ind w:left="1080" w:hanging="360"/>
      </w:pPr>
      <w:rPr>
        <w:rFonts w:ascii="Symbol" w:hAnsi="Symbol"/>
      </w:rPr>
    </w:lvl>
    <w:lvl w:ilvl="3" w:tplc="A6FECAE4">
      <w:start w:val="1"/>
      <w:numFmt w:val="bullet"/>
      <w:lvlText w:val=""/>
      <w:lvlJc w:val="left"/>
      <w:pPr>
        <w:ind w:left="1080" w:hanging="360"/>
      </w:pPr>
      <w:rPr>
        <w:rFonts w:ascii="Symbol" w:hAnsi="Symbol"/>
      </w:rPr>
    </w:lvl>
    <w:lvl w:ilvl="4" w:tplc="0E6A4ECA">
      <w:start w:val="1"/>
      <w:numFmt w:val="bullet"/>
      <w:lvlText w:val=""/>
      <w:lvlJc w:val="left"/>
      <w:pPr>
        <w:ind w:left="1080" w:hanging="360"/>
      </w:pPr>
      <w:rPr>
        <w:rFonts w:ascii="Symbol" w:hAnsi="Symbol"/>
      </w:rPr>
    </w:lvl>
    <w:lvl w:ilvl="5" w:tplc="F3C8F970">
      <w:start w:val="1"/>
      <w:numFmt w:val="bullet"/>
      <w:lvlText w:val=""/>
      <w:lvlJc w:val="left"/>
      <w:pPr>
        <w:ind w:left="1080" w:hanging="360"/>
      </w:pPr>
      <w:rPr>
        <w:rFonts w:ascii="Symbol" w:hAnsi="Symbol"/>
      </w:rPr>
    </w:lvl>
    <w:lvl w:ilvl="6" w:tplc="DFA8DBEC">
      <w:start w:val="1"/>
      <w:numFmt w:val="bullet"/>
      <w:lvlText w:val=""/>
      <w:lvlJc w:val="left"/>
      <w:pPr>
        <w:ind w:left="1080" w:hanging="360"/>
      </w:pPr>
      <w:rPr>
        <w:rFonts w:ascii="Symbol" w:hAnsi="Symbol"/>
      </w:rPr>
    </w:lvl>
    <w:lvl w:ilvl="7" w:tplc="A11C2D7A">
      <w:start w:val="1"/>
      <w:numFmt w:val="bullet"/>
      <w:lvlText w:val=""/>
      <w:lvlJc w:val="left"/>
      <w:pPr>
        <w:ind w:left="1080" w:hanging="360"/>
      </w:pPr>
      <w:rPr>
        <w:rFonts w:ascii="Symbol" w:hAnsi="Symbol"/>
      </w:rPr>
    </w:lvl>
    <w:lvl w:ilvl="8" w:tplc="E8CC88E6">
      <w:start w:val="1"/>
      <w:numFmt w:val="bullet"/>
      <w:lvlText w:val=""/>
      <w:lvlJc w:val="left"/>
      <w:pPr>
        <w:ind w:left="1080" w:hanging="360"/>
      </w:pPr>
      <w:rPr>
        <w:rFonts w:ascii="Symbol" w:hAnsi="Symbol"/>
      </w:rPr>
    </w:lvl>
  </w:abstractNum>
  <w:abstractNum w:abstractNumId="35" w15:restartNumberingAfterBreak="0">
    <w:nsid w:val="55167A18"/>
    <w:multiLevelType w:val="hybridMultilevel"/>
    <w:tmpl w:val="639E23A6"/>
    <w:lvl w:ilvl="0" w:tplc="DE68F712">
      <w:start w:val="1"/>
      <w:numFmt w:val="decimal"/>
      <w:lvlText w:val="%1."/>
      <w:lvlJc w:val="left"/>
      <w:pPr>
        <w:ind w:left="1020" w:hanging="360"/>
      </w:pPr>
    </w:lvl>
    <w:lvl w:ilvl="1" w:tplc="14DCC26C">
      <w:start w:val="1"/>
      <w:numFmt w:val="decimal"/>
      <w:lvlText w:val="%2."/>
      <w:lvlJc w:val="left"/>
      <w:pPr>
        <w:ind w:left="1020" w:hanging="360"/>
      </w:pPr>
    </w:lvl>
    <w:lvl w:ilvl="2" w:tplc="26B67398">
      <w:start w:val="1"/>
      <w:numFmt w:val="decimal"/>
      <w:lvlText w:val="%3."/>
      <w:lvlJc w:val="left"/>
      <w:pPr>
        <w:ind w:left="1020" w:hanging="360"/>
      </w:pPr>
    </w:lvl>
    <w:lvl w:ilvl="3" w:tplc="2CF2BA22">
      <w:start w:val="1"/>
      <w:numFmt w:val="decimal"/>
      <w:lvlText w:val="%4."/>
      <w:lvlJc w:val="left"/>
      <w:pPr>
        <w:ind w:left="1020" w:hanging="360"/>
      </w:pPr>
    </w:lvl>
    <w:lvl w:ilvl="4" w:tplc="610A40C2">
      <w:start w:val="1"/>
      <w:numFmt w:val="decimal"/>
      <w:lvlText w:val="%5."/>
      <w:lvlJc w:val="left"/>
      <w:pPr>
        <w:ind w:left="1020" w:hanging="360"/>
      </w:pPr>
    </w:lvl>
    <w:lvl w:ilvl="5" w:tplc="B4BE67D2">
      <w:start w:val="1"/>
      <w:numFmt w:val="decimal"/>
      <w:lvlText w:val="%6."/>
      <w:lvlJc w:val="left"/>
      <w:pPr>
        <w:ind w:left="1020" w:hanging="360"/>
      </w:pPr>
    </w:lvl>
    <w:lvl w:ilvl="6" w:tplc="7BAA8FB8">
      <w:start w:val="1"/>
      <w:numFmt w:val="decimal"/>
      <w:lvlText w:val="%7."/>
      <w:lvlJc w:val="left"/>
      <w:pPr>
        <w:ind w:left="1020" w:hanging="360"/>
      </w:pPr>
    </w:lvl>
    <w:lvl w:ilvl="7" w:tplc="E97AA6E6">
      <w:start w:val="1"/>
      <w:numFmt w:val="decimal"/>
      <w:lvlText w:val="%8."/>
      <w:lvlJc w:val="left"/>
      <w:pPr>
        <w:ind w:left="1020" w:hanging="360"/>
      </w:pPr>
    </w:lvl>
    <w:lvl w:ilvl="8" w:tplc="2FC887FA">
      <w:start w:val="1"/>
      <w:numFmt w:val="decimal"/>
      <w:lvlText w:val="%9."/>
      <w:lvlJc w:val="left"/>
      <w:pPr>
        <w:ind w:left="1020" w:hanging="360"/>
      </w:pPr>
    </w:lvl>
  </w:abstractNum>
  <w:abstractNum w:abstractNumId="36"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0526290"/>
    <w:multiLevelType w:val="multilevel"/>
    <w:tmpl w:val="FDD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2BB7034"/>
    <w:multiLevelType w:val="hybridMultilevel"/>
    <w:tmpl w:val="862A7BD2"/>
    <w:lvl w:ilvl="0" w:tplc="9A16BB88">
      <w:start w:val="1"/>
      <w:numFmt w:val="decimal"/>
      <w:lvlText w:val="%1."/>
      <w:lvlJc w:val="left"/>
      <w:pPr>
        <w:ind w:left="1020" w:hanging="360"/>
      </w:pPr>
    </w:lvl>
    <w:lvl w:ilvl="1" w:tplc="EFD8DA06">
      <w:start w:val="1"/>
      <w:numFmt w:val="decimal"/>
      <w:lvlText w:val="%2."/>
      <w:lvlJc w:val="left"/>
      <w:pPr>
        <w:ind w:left="1020" w:hanging="360"/>
      </w:pPr>
    </w:lvl>
    <w:lvl w:ilvl="2" w:tplc="D9C4C20E">
      <w:start w:val="1"/>
      <w:numFmt w:val="decimal"/>
      <w:lvlText w:val="%3."/>
      <w:lvlJc w:val="left"/>
      <w:pPr>
        <w:ind w:left="1020" w:hanging="360"/>
      </w:pPr>
    </w:lvl>
    <w:lvl w:ilvl="3" w:tplc="4D0AE99E">
      <w:start w:val="1"/>
      <w:numFmt w:val="decimal"/>
      <w:lvlText w:val="%4."/>
      <w:lvlJc w:val="left"/>
      <w:pPr>
        <w:ind w:left="1020" w:hanging="360"/>
      </w:pPr>
    </w:lvl>
    <w:lvl w:ilvl="4" w:tplc="0840DE92">
      <w:start w:val="1"/>
      <w:numFmt w:val="decimal"/>
      <w:lvlText w:val="%5."/>
      <w:lvlJc w:val="left"/>
      <w:pPr>
        <w:ind w:left="1020" w:hanging="360"/>
      </w:pPr>
    </w:lvl>
    <w:lvl w:ilvl="5" w:tplc="06D21DEA">
      <w:start w:val="1"/>
      <w:numFmt w:val="decimal"/>
      <w:lvlText w:val="%6."/>
      <w:lvlJc w:val="left"/>
      <w:pPr>
        <w:ind w:left="1020" w:hanging="360"/>
      </w:pPr>
    </w:lvl>
    <w:lvl w:ilvl="6" w:tplc="DBC491D8">
      <w:start w:val="1"/>
      <w:numFmt w:val="decimal"/>
      <w:lvlText w:val="%7."/>
      <w:lvlJc w:val="left"/>
      <w:pPr>
        <w:ind w:left="1020" w:hanging="360"/>
      </w:pPr>
    </w:lvl>
    <w:lvl w:ilvl="7" w:tplc="6EBA6532">
      <w:start w:val="1"/>
      <w:numFmt w:val="decimal"/>
      <w:lvlText w:val="%8."/>
      <w:lvlJc w:val="left"/>
      <w:pPr>
        <w:ind w:left="1020" w:hanging="360"/>
      </w:pPr>
    </w:lvl>
    <w:lvl w:ilvl="8" w:tplc="92FC65C4">
      <w:start w:val="1"/>
      <w:numFmt w:val="decimal"/>
      <w:lvlText w:val="%9."/>
      <w:lvlJc w:val="left"/>
      <w:pPr>
        <w:ind w:left="1020" w:hanging="360"/>
      </w:pPr>
    </w:lvl>
  </w:abstractNum>
  <w:abstractNum w:abstractNumId="40" w15:restartNumberingAfterBreak="0">
    <w:nsid w:val="632D74CC"/>
    <w:multiLevelType w:val="multilevel"/>
    <w:tmpl w:val="0D96AACA"/>
    <w:numStyleLink w:val="AppendixHeadingmaster"/>
  </w:abstractNum>
  <w:abstractNum w:abstractNumId="41" w15:restartNumberingAfterBreak="0">
    <w:nsid w:val="648E6CBA"/>
    <w:multiLevelType w:val="multilevel"/>
    <w:tmpl w:val="F970046A"/>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E659CA"/>
    <w:multiLevelType w:val="multilevel"/>
    <w:tmpl w:val="F970046A"/>
    <w:numStyleLink w:val="ListBulletmaster"/>
  </w:abstractNum>
  <w:abstractNum w:abstractNumId="43" w15:restartNumberingAfterBreak="0">
    <w:nsid w:val="6B4C12B8"/>
    <w:multiLevelType w:val="multilevel"/>
    <w:tmpl w:val="113457F2"/>
    <w:numStyleLink w:val="Headingsmaster"/>
  </w:abstractNum>
  <w:abstractNum w:abstractNumId="44" w15:restartNumberingAfterBreak="0">
    <w:nsid w:val="6C3F031A"/>
    <w:multiLevelType w:val="multilevel"/>
    <w:tmpl w:val="14B26A8E"/>
    <w:numStyleLink w:val="ListLegalmaster"/>
  </w:abstractNum>
  <w:abstractNum w:abstractNumId="45" w15:restartNumberingAfterBreak="0">
    <w:nsid w:val="79F8707D"/>
    <w:multiLevelType w:val="multilevel"/>
    <w:tmpl w:val="14B26A8E"/>
    <w:numStyleLink w:val="ListLegalmaster"/>
  </w:abstractNum>
  <w:abstractNum w:abstractNumId="46" w15:restartNumberingAfterBreak="0">
    <w:nsid w:val="7AC52330"/>
    <w:multiLevelType w:val="multilevel"/>
    <w:tmpl w:val="3B0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6D1012"/>
    <w:multiLevelType w:val="multilevel"/>
    <w:tmpl w:val="EAA2F742"/>
    <w:numStyleLink w:val="TableListNumbermaster"/>
  </w:abstractNum>
  <w:abstractNum w:abstractNumId="48" w15:restartNumberingAfterBreak="0">
    <w:nsid w:val="7D881735"/>
    <w:multiLevelType w:val="multilevel"/>
    <w:tmpl w:val="113457F2"/>
    <w:numStyleLink w:val="Headingsmaster"/>
  </w:abstractNum>
  <w:num w:numId="1" w16cid:durableId="328336156">
    <w:abstractNumId w:val="6"/>
  </w:num>
  <w:num w:numId="2" w16cid:durableId="1950045772">
    <w:abstractNumId w:val="38"/>
  </w:num>
  <w:num w:numId="3" w16cid:durableId="290287643">
    <w:abstractNumId w:val="11"/>
  </w:num>
  <w:num w:numId="4" w16cid:durableId="1869679674">
    <w:abstractNumId w:val="41"/>
  </w:num>
  <w:num w:numId="5" w16cid:durableId="2032871560">
    <w:abstractNumId w:val="21"/>
  </w:num>
  <w:num w:numId="6" w16cid:durableId="310910324">
    <w:abstractNumId w:val="36"/>
  </w:num>
  <w:num w:numId="7" w16cid:durableId="753476416">
    <w:abstractNumId w:val="14"/>
  </w:num>
  <w:num w:numId="8" w16cid:durableId="1722048815">
    <w:abstractNumId w:val="5"/>
  </w:num>
  <w:num w:numId="9" w16cid:durableId="1790736337">
    <w:abstractNumId w:val="30"/>
  </w:num>
  <w:num w:numId="10" w16cid:durableId="1926304350">
    <w:abstractNumId w:val="8"/>
  </w:num>
  <w:num w:numId="11" w16cid:durableId="874537139">
    <w:abstractNumId w:val="42"/>
  </w:num>
  <w:num w:numId="12" w16cid:durableId="759377971">
    <w:abstractNumId w:val="12"/>
  </w:num>
  <w:num w:numId="13" w16cid:durableId="107823657">
    <w:abstractNumId w:val="18"/>
  </w:num>
  <w:num w:numId="14" w16cid:durableId="1930505832">
    <w:abstractNumId w:val="45"/>
  </w:num>
  <w:num w:numId="15" w16cid:durableId="1858039008">
    <w:abstractNumId w:val="43"/>
  </w:num>
  <w:num w:numId="16" w16cid:durableId="1409770210">
    <w:abstractNumId w:val="40"/>
  </w:num>
  <w:num w:numId="17" w16cid:durableId="95685893">
    <w:abstractNumId w:val="44"/>
  </w:num>
  <w:num w:numId="18" w16cid:durableId="770515265">
    <w:abstractNumId w:val="18"/>
  </w:num>
  <w:num w:numId="19" w16cid:durableId="713041904">
    <w:abstractNumId w:val="44"/>
  </w:num>
  <w:num w:numId="20" w16cid:durableId="2057582421">
    <w:abstractNumId w:val="44"/>
  </w:num>
  <w:num w:numId="21" w16cid:durableId="2062821214">
    <w:abstractNumId w:val="32"/>
  </w:num>
  <w:num w:numId="22" w16cid:durableId="618410884">
    <w:abstractNumId w:val="48"/>
  </w:num>
  <w:num w:numId="23" w16cid:durableId="1320232845">
    <w:abstractNumId w:val="4"/>
  </w:num>
  <w:num w:numId="24" w16cid:durableId="1249077048">
    <w:abstractNumId w:val="13"/>
  </w:num>
  <w:num w:numId="25" w16cid:durableId="1552837590">
    <w:abstractNumId w:val="27"/>
  </w:num>
  <w:num w:numId="26" w16cid:durableId="734856478">
    <w:abstractNumId w:val="47"/>
  </w:num>
  <w:num w:numId="27" w16cid:durableId="1136530311">
    <w:abstractNumId w:val="31"/>
  </w:num>
  <w:num w:numId="28" w16cid:durableId="1221482542">
    <w:abstractNumId w:val="20"/>
  </w:num>
  <w:num w:numId="29" w16cid:durableId="2087678997">
    <w:abstractNumId w:val="16"/>
  </w:num>
  <w:num w:numId="30" w16cid:durableId="963854149">
    <w:abstractNumId w:val="2"/>
  </w:num>
  <w:num w:numId="31" w16cid:durableId="2035225280">
    <w:abstractNumId w:val="7"/>
  </w:num>
  <w:num w:numId="32" w16cid:durableId="1742405919">
    <w:abstractNumId w:val="26"/>
    <w:lvlOverride w:ilvl="0">
      <w:lvl w:ilvl="0">
        <w:start w:val="1"/>
        <w:numFmt w:val="upperLetter"/>
        <w:pStyle w:val="AppendixHeading1"/>
        <w:lvlText w:val="Appendix %1"/>
        <w:lvlJc w:val="left"/>
        <w:pPr>
          <w:ind w:left="2268" w:hanging="2268"/>
        </w:pPr>
      </w:lvl>
    </w:lvlOverride>
  </w:num>
  <w:num w:numId="33" w16cid:durableId="411391810">
    <w:abstractNumId w:val="28"/>
  </w:num>
  <w:num w:numId="34" w16cid:durableId="1442914095">
    <w:abstractNumId w:val="10"/>
  </w:num>
  <w:num w:numId="35" w16cid:durableId="691956747">
    <w:abstractNumId w:val="25"/>
  </w:num>
  <w:num w:numId="36" w16cid:durableId="1156337329">
    <w:abstractNumId w:val="23"/>
  </w:num>
  <w:num w:numId="37" w16cid:durableId="1349261214">
    <w:abstractNumId w:val="24"/>
  </w:num>
  <w:num w:numId="38" w16cid:durableId="634800952">
    <w:abstractNumId w:val="4"/>
  </w:num>
  <w:num w:numId="39" w16cid:durableId="10790551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6333820">
    <w:abstractNumId w:val="9"/>
  </w:num>
  <w:num w:numId="41" w16cid:durableId="1372151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0208043">
    <w:abstractNumId w:val="19"/>
  </w:num>
  <w:num w:numId="43" w16cid:durableId="1267496328">
    <w:abstractNumId w:val="22"/>
  </w:num>
  <w:num w:numId="44" w16cid:durableId="1823153130">
    <w:abstractNumId w:val="15"/>
  </w:num>
  <w:num w:numId="45" w16cid:durableId="1044715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90031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6099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7891027">
    <w:abstractNumId w:val="17"/>
  </w:num>
  <w:num w:numId="49" w16cid:durableId="6175677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9594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407544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866757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0472888">
    <w:abstractNumId w:val="1"/>
  </w:num>
  <w:num w:numId="54" w16cid:durableId="803931072">
    <w:abstractNumId w:val="0"/>
  </w:num>
  <w:num w:numId="55" w16cid:durableId="526917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8165979">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66847877">
    <w:abstractNumId w:val="34"/>
  </w:num>
  <w:num w:numId="58" w16cid:durableId="1931266">
    <w:abstractNumId w:val="35"/>
  </w:num>
  <w:num w:numId="59" w16cid:durableId="1156724507">
    <w:abstractNumId w:val="39"/>
  </w:num>
  <w:num w:numId="60" w16cid:durableId="107970217">
    <w:abstractNumId w:val="46"/>
  </w:num>
  <w:num w:numId="61" w16cid:durableId="250357757">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defaultTableStyle w:val="CustomTable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0C629D"/>
    <w:rsid w:val="000002B0"/>
    <w:rsid w:val="0000094F"/>
    <w:rsid w:val="00001225"/>
    <w:rsid w:val="0000176C"/>
    <w:rsid w:val="00001893"/>
    <w:rsid w:val="000025AE"/>
    <w:rsid w:val="00002A58"/>
    <w:rsid w:val="00003665"/>
    <w:rsid w:val="0000367B"/>
    <w:rsid w:val="00003D38"/>
    <w:rsid w:val="00003FA9"/>
    <w:rsid w:val="00004205"/>
    <w:rsid w:val="00004687"/>
    <w:rsid w:val="00004CBF"/>
    <w:rsid w:val="00004F8D"/>
    <w:rsid w:val="00005261"/>
    <w:rsid w:val="00005933"/>
    <w:rsid w:val="00005ECE"/>
    <w:rsid w:val="00005EE7"/>
    <w:rsid w:val="000068F1"/>
    <w:rsid w:val="00006940"/>
    <w:rsid w:val="00006A2E"/>
    <w:rsid w:val="00006CC8"/>
    <w:rsid w:val="00006D4B"/>
    <w:rsid w:val="000074E8"/>
    <w:rsid w:val="000075FE"/>
    <w:rsid w:val="0001021A"/>
    <w:rsid w:val="0001028B"/>
    <w:rsid w:val="00010366"/>
    <w:rsid w:val="00010BC1"/>
    <w:rsid w:val="00011665"/>
    <w:rsid w:val="000118D1"/>
    <w:rsid w:val="00011AD1"/>
    <w:rsid w:val="00011DB1"/>
    <w:rsid w:val="000126F6"/>
    <w:rsid w:val="00012AE0"/>
    <w:rsid w:val="000130B4"/>
    <w:rsid w:val="000134F8"/>
    <w:rsid w:val="0001365E"/>
    <w:rsid w:val="000136A0"/>
    <w:rsid w:val="0001412F"/>
    <w:rsid w:val="00015826"/>
    <w:rsid w:val="00015A1A"/>
    <w:rsid w:val="00016138"/>
    <w:rsid w:val="00016932"/>
    <w:rsid w:val="00016FEF"/>
    <w:rsid w:val="00020006"/>
    <w:rsid w:val="00021246"/>
    <w:rsid w:val="000219DD"/>
    <w:rsid w:val="00021E2E"/>
    <w:rsid w:val="00021FCE"/>
    <w:rsid w:val="00022055"/>
    <w:rsid w:val="00022EF2"/>
    <w:rsid w:val="000234B5"/>
    <w:rsid w:val="000238BB"/>
    <w:rsid w:val="000246A1"/>
    <w:rsid w:val="00024A62"/>
    <w:rsid w:val="00024DCC"/>
    <w:rsid w:val="000257E5"/>
    <w:rsid w:val="00025ADB"/>
    <w:rsid w:val="00025EB9"/>
    <w:rsid w:val="000263D1"/>
    <w:rsid w:val="000264F0"/>
    <w:rsid w:val="0002738A"/>
    <w:rsid w:val="00027AD5"/>
    <w:rsid w:val="00027D70"/>
    <w:rsid w:val="00030934"/>
    <w:rsid w:val="000316EF"/>
    <w:rsid w:val="00032762"/>
    <w:rsid w:val="00032C35"/>
    <w:rsid w:val="00033461"/>
    <w:rsid w:val="00033BF2"/>
    <w:rsid w:val="00034B90"/>
    <w:rsid w:val="00034ECB"/>
    <w:rsid w:val="00034F51"/>
    <w:rsid w:val="00035152"/>
    <w:rsid w:val="000362A7"/>
    <w:rsid w:val="000364C5"/>
    <w:rsid w:val="00036E45"/>
    <w:rsid w:val="00037206"/>
    <w:rsid w:val="00037448"/>
    <w:rsid w:val="00037738"/>
    <w:rsid w:val="00037874"/>
    <w:rsid w:val="00037BA4"/>
    <w:rsid w:val="000407C8"/>
    <w:rsid w:val="0004096F"/>
    <w:rsid w:val="000410AF"/>
    <w:rsid w:val="000417FF"/>
    <w:rsid w:val="00041930"/>
    <w:rsid w:val="000419F4"/>
    <w:rsid w:val="00041AB2"/>
    <w:rsid w:val="00041B44"/>
    <w:rsid w:val="00042099"/>
    <w:rsid w:val="0004369A"/>
    <w:rsid w:val="00043F79"/>
    <w:rsid w:val="0004427B"/>
    <w:rsid w:val="0004497B"/>
    <w:rsid w:val="00044C20"/>
    <w:rsid w:val="00044E38"/>
    <w:rsid w:val="000455CC"/>
    <w:rsid w:val="00045FF5"/>
    <w:rsid w:val="00046067"/>
    <w:rsid w:val="00046435"/>
    <w:rsid w:val="00047618"/>
    <w:rsid w:val="000476E1"/>
    <w:rsid w:val="00047B2A"/>
    <w:rsid w:val="00047CBC"/>
    <w:rsid w:val="00047E02"/>
    <w:rsid w:val="000505EA"/>
    <w:rsid w:val="00050795"/>
    <w:rsid w:val="00050806"/>
    <w:rsid w:val="00051441"/>
    <w:rsid w:val="000517F1"/>
    <w:rsid w:val="00051941"/>
    <w:rsid w:val="00052477"/>
    <w:rsid w:val="0005328E"/>
    <w:rsid w:val="0005434E"/>
    <w:rsid w:val="000549CC"/>
    <w:rsid w:val="00054C86"/>
    <w:rsid w:val="00055204"/>
    <w:rsid w:val="00055A42"/>
    <w:rsid w:val="00055AC5"/>
    <w:rsid w:val="0005618E"/>
    <w:rsid w:val="000567C6"/>
    <w:rsid w:val="00056868"/>
    <w:rsid w:val="00056A10"/>
    <w:rsid w:val="00056E34"/>
    <w:rsid w:val="000578AC"/>
    <w:rsid w:val="00057975"/>
    <w:rsid w:val="00060A49"/>
    <w:rsid w:val="00060A88"/>
    <w:rsid w:val="000613A7"/>
    <w:rsid w:val="0006163F"/>
    <w:rsid w:val="00061B12"/>
    <w:rsid w:val="000624C2"/>
    <w:rsid w:val="000638A1"/>
    <w:rsid w:val="00063B52"/>
    <w:rsid w:val="00064C2C"/>
    <w:rsid w:val="00064DDC"/>
    <w:rsid w:val="000657D9"/>
    <w:rsid w:val="00066394"/>
    <w:rsid w:val="00066855"/>
    <w:rsid w:val="000669BC"/>
    <w:rsid w:val="00066B58"/>
    <w:rsid w:val="00066DC0"/>
    <w:rsid w:val="00067CE5"/>
    <w:rsid w:val="00067E69"/>
    <w:rsid w:val="00067EB9"/>
    <w:rsid w:val="00070290"/>
    <w:rsid w:val="000703A4"/>
    <w:rsid w:val="00070696"/>
    <w:rsid w:val="00070E3B"/>
    <w:rsid w:val="00071482"/>
    <w:rsid w:val="000723A4"/>
    <w:rsid w:val="000724C9"/>
    <w:rsid w:val="000725C7"/>
    <w:rsid w:val="0007280F"/>
    <w:rsid w:val="000735C3"/>
    <w:rsid w:val="00075052"/>
    <w:rsid w:val="000758B0"/>
    <w:rsid w:val="000764FE"/>
    <w:rsid w:val="000766F3"/>
    <w:rsid w:val="000770CD"/>
    <w:rsid w:val="0007715A"/>
    <w:rsid w:val="00077EE4"/>
    <w:rsid w:val="000803B6"/>
    <w:rsid w:val="0008187E"/>
    <w:rsid w:val="00081BA9"/>
    <w:rsid w:val="00081D09"/>
    <w:rsid w:val="00081E46"/>
    <w:rsid w:val="0008202E"/>
    <w:rsid w:val="0008234F"/>
    <w:rsid w:val="000828E6"/>
    <w:rsid w:val="00082BA6"/>
    <w:rsid w:val="00082CC7"/>
    <w:rsid w:val="000830EC"/>
    <w:rsid w:val="00084ACB"/>
    <w:rsid w:val="0008531A"/>
    <w:rsid w:val="00085756"/>
    <w:rsid w:val="000857F0"/>
    <w:rsid w:val="00085ABC"/>
    <w:rsid w:val="0008605E"/>
    <w:rsid w:val="000862ED"/>
    <w:rsid w:val="000866D6"/>
    <w:rsid w:val="000867DD"/>
    <w:rsid w:val="00086987"/>
    <w:rsid w:val="00087388"/>
    <w:rsid w:val="000873C2"/>
    <w:rsid w:val="00090306"/>
    <w:rsid w:val="00090387"/>
    <w:rsid w:val="00091BDF"/>
    <w:rsid w:val="00092205"/>
    <w:rsid w:val="00092328"/>
    <w:rsid w:val="0009265A"/>
    <w:rsid w:val="00092970"/>
    <w:rsid w:val="00092FF4"/>
    <w:rsid w:val="00093021"/>
    <w:rsid w:val="0009334D"/>
    <w:rsid w:val="0009335C"/>
    <w:rsid w:val="00093639"/>
    <w:rsid w:val="00093826"/>
    <w:rsid w:val="00093E98"/>
    <w:rsid w:val="00093F4D"/>
    <w:rsid w:val="00094083"/>
    <w:rsid w:val="00094409"/>
    <w:rsid w:val="00094AF6"/>
    <w:rsid w:val="0009513F"/>
    <w:rsid w:val="000954D2"/>
    <w:rsid w:val="000955DB"/>
    <w:rsid w:val="000956F1"/>
    <w:rsid w:val="00095B39"/>
    <w:rsid w:val="00095E5B"/>
    <w:rsid w:val="0009609F"/>
    <w:rsid w:val="00096303"/>
    <w:rsid w:val="00096410"/>
    <w:rsid w:val="0009644B"/>
    <w:rsid w:val="00096951"/>
    <w:rsid w:val="00096E74"/>
    <w:rsid w:val="00097286"/>
    <w:rsid w:val="00097577"/>
    <w:rsid w:val="000A030F"/>
    <w:rsid w:val="000A0794"/>
    <w:rsid w:val="000A144F"/>
    <w:rsid w:val="000A2624"/>
    <w:rsid w:val="000A2D4D"/>
    <w:rsid w:val="000A2DA4"/>
    <w:rsid w:val="000A2E18"/>
    <w:rsid w:val="000A3F10"/>
    <w:rsid w:val="000A425D"/>
    <w:rsid w:val="000A43D1"/>
    <w:rsid w:val="000A4D2F"/>
    <w:rsid w:val="000A53F7"/>
    <w:rsid w:val="000A5546"/>
    <w:rsid w:val="000A577E"/>
    <w:rsid w:val="000A5FFF"/>
    <w:rsid w:val="000A7091"/>
    <w:rsid w:val="000A7168"/>
    <w:rsid w:val="000A72DC"/>
    <w:rsid w:val="000B0F55"/>
    <w:rsid w:val="000B166D"/>
    <w:rsid w:val="000B22EE"/>
    <w:rsid w:val="000B292E"/>
    <w:rsid w:val="000B2EB0"/>
    <w:rsid w:val="000B36F7"/>
    <w:rsid w:val="000B3762"/>
    <w:rsid w:val="000B465D"/>
    <w:rsid w:val="000B4AFA"/>
    <w:rsid w:val="000B56C1"/>
    <w:rsid w:val="000B60B1"/>
    <w:rsid w:val="000B6F51"/>
    <w:rsid w:val="000C03BE"/>
    <w:rsid w:val="000C041B"/>
    <w:rsid w:val="000C052C"/>
    <w:rsid w:val="000C0624"/>
    <w:rsid w:val="000C0763"/>
    <w:rsid w:val="000C1231"/>
    <w:rsid w:val="000C25AA"/>
    <w:rsid w:val="000C268B"/>
    <w:rsid w:val="000C2E16"/>
    <w:rsid w:val="000C3003"/>
    <w:rsid w:val="000C369D"/>
    <w:rsid w:val="000C3BB3"/>
    <w:rsid w:val="000C3E1F"/>
    <w:rsid w:val="000C4015"/>
    <w:rsid w:val="000C466C"/>
    <w:rsid w:val="000C490D"/>
    <w:rsid w:val="000C4B6A"/>
    <w:rsid w:val="000C4BD6"/>
    <w:rsid w:val="000C4F59"/>
    <w:rsid w:val="000C629D"/>
    <w:rsid w:val="000C6899"/>
    <w:rsid w:val="000C6B1C"/>
    <w:rsid w:val="000C6C3F"/>
    <w:rsid w:val="000C7F76"/>
    <w:rsid w:val="000D02FA"/>
    <w:rsid w:val="000D0741"/>
    <w:rsid w:val="000D0D36"/>
    <w:rsid w:val="000D0DD4"/>
    <w:rsid w:val="000D1438"/>
    <w:rsid w:val="000D1D0C"/>
    <w:rsid w:val="000D2284"/>
    <w:rsid w:val="000D2797"/>
    <w:rsid w:val="000D320F"/>
    <w:rsid w:val="000D336E"/>
    <w:rsid w:val="000D39C9"/>
    <w:rsid w:val="000D3A9B"/>
    <w:rsid w:val="000D481C"/>
    <w:rsid w:val="000D54FF"/>
    <w:rsid w:val="000D5711"/>
    <w:rsid w:val="000D5800"/>
    <w:rsid w:val="000D60CD"/>
    <w:rsid w:val="000D647E"/>
    <w:rsid w:val="000D6599"/>
    <w:rsid w:val="000D6F88"/>
    <w:rsid w:val="000D7ECB"/>
    <w:rsid w:val="000E0267"/>
    <w:rsid w:val="000E1286"/>
    <w:rsid w:val="000E1C5C"/>
    <w:rsid w:val="000E2B24"/>
    <w:rsid w:val="000E3D68"/>
    <w:rsid w:val="000E47F2"/>
    <w:rsid w:val="000E49C4"/>
    <w:rsid w:val="000E5D2B"/>
    <w:rsid w:val="000E5EF1"/>
    <w:rsid w:val="000E6232"/>
    <w:rsid w:val="000E639C"/>
    <w:rsid w:val="000E6415"/>
    <w:rsid w:val="000E66FC"/>
    <w:rsid w:val="000E6DE5"/>
    <w:rsid w:val="000E7177"/>
    <w:rsid w:val="000E74C9"/>
    <w:rsid w:val="000E7BC3"/>
    <w:rsid w:val="000E7F4A"/>
    <w:rsid w:val="000F00EA"/>
    <w:rsid w:val="000F0118"/>
    <w:rsid w:val="000F0B27"/>
    <w:rsid w:val="000F0B2A"/>
    <w:rsid w:val="000F1BD0"/>
    <w:rsid w:val="000F1E27"/>
    <w:rsid w:val="000F2A39"/>
    <w:rsid w:val="000F2E2C"/>
    <w:rsid w:val="000F36BA"/>
    <w:rsid w:val="000F3B8E"/>
    <w:rsid w:val="000F3D13"/>
    <w:rsid w:val="000F4B6A"/>
    <w:rsid w:val="000F52BD"/>
    <w:rsid w:val="000F5C04"/>
    <w:rsid w:val="000F5CD2"/>
    <w:rsid w:val="000F66E0"/>
    <w:rsid w:val="000F6AFA"/>
    <w:rsid w:val="000F7EE8"/>
    <w:rsid w:val="00100577"/>
    <w:rsid w:val="00100886"/>
    <w:rsid w:val="00100C32"/>
    <w:rsid w:val="00101901"/>
    <w:rsid w:val="00101DC1"/>
    <w:rsid w:val="00101F4E"/>
    <w:rsid w:val="0010238D"/>
    <w:rsid w:val="00102542"/>
    <w:rsid w:val="001033AA"/>
    <w:rsid w:val="00104034"/>
    <w:rsid w:val="00104139"/>
    <w:rsid w:val="00104306"/>
    <w:rsid w:val="00104441"/>
    <w:rsid w:val="00104750"/>
    <w:rsid w:val="00104849"/>
    <w:rsid w:val="00104AC2"/>
    <w:rsid w:val="00104BBB"/>
    <w:rsid w:val="00104D7B"/>
    <w:rsid w:val="00104FBE"/>
    <w:rsid w:val="001057A3"/>
    <w:rsid w:val="00105DE2"/>
    <w:rsid w:val="0010691D"/>
    <w:rsid w:val="0010693C"/>
    <w:rsid w:val="00106C3C"/>
    <w:rsid w:val="00106D2A"/>
    <w:rsid w:val="00106E26"/>
    <w:rsid w:val="00106F69"/>
    <w:rsid w:val="001075DB"/>
    <w:rsid w:val="001105DA"/>
    <w:rsid w:val="001111EF"/>
    <w:rsid w:val="001127FC"/>
    <w:rsid w:val="00112EC0"/>
    <w:rsid w:val="00112FDD"/>
    <w:rsid w:val="00113243"/>
    <w:rsid w:val="001134AC"/>
    <w:rsid w:val="001138B9"/>
    <w:rsid w:val="00113ADB"/>
    <w:rsid w:val="00114066"/>
    <w:rsid w:val="00114589"/>
    <w:rsid w:val="001153A0"/>
    <w:rsid w:val="0011548F"/>
    <w:rsid w:val="0011557C"/>
    <w:rsid w:val="00115F5A"/>
    <w:rsid w:val="00116E3D"/>
    <w:rsid w:val="001179DF"/>
    <w:rsid w:val="0012068A"/>
    <w:rsid w:val="00121943"/>
    <w:rsid w:val="00121950"/>
    <w:rsid w:val="001226CA"/>
    <w:rsid w:val="0012285C"/>
    <w:rsid w:val="001228CB"/>
    <w:rsid w:val="00122BAA"/>
    <w:rsid w:val="00123456"/>
    <w:rsid w:val="0012382E"/>
    <w:rsid w:val="00123A2E"/>
    <w:rsid w:val="0012433C"/>
    <w:rsid w:val="001243B0"/>
    <w:rsid w:val="00124B67"/>
    <w:rsid w:val="00125446"/>
    <w:rsid w:val="0012604D"/>
    <w:rsid w:val="00126F87"/>
    <w:rsid w:val="0012739C"/>
    <w:rsid w:val="001275D6"/>
    <w:rsid w:val="00127F9F"/>
    <w:rsid w:val="001305D4"/>
    <w:rsid w:val="0013084B"/>
    <w:rsid w:val="00130A1E"/>
    <w:rsid w:val="00130A38"/>
    <w:rsid w:val="00131082"/>
    <w:rsid w:val="00131220"/>
    <w:rsid w:val="00131C8E"/>
    <w:rsid w:val="00133009"/>
    <w:rsid w:val="001335F9"/>
    <w:rsid w:val="001336B4"/>
    <w:rsid w:val="00133CFA"/>
    <w:rsid w:val="001346AE"/>
    <w:rsid w:val="00134C89"/>
    <w:rsid w:val="00134DA7"/>
    <w:rsid w:val="00135B35"/>
    <w:rsid w:val="00135C88"/>
    <w:rsid w:val="00135CE1"/>
    <w:rsid w:val="00135DB9"/>
    <w:rsid w:val="00136669"/>
    <w:rsid w:val="00136D45"/>
    <w:rsid w:val="00136EA0"/>
    <w:rsid w:val="00137B28"/>
    <w:rsid w:val="00137DEC"/>
    <w:rsid w:val="00137E20"/>
    <w:rsid w:val="00140D54"/>
    <w:rsid w:val="00140E45"/>
    <w:rsid w:val="0014127C"/>
    <w:rsid w:val="00141790"/>
    <w:rsid w:val="001424B4"/>
    <w:rsid w:val="0014302F"/>
    <w:rsid w:val="00143290"/>
    <w:rsid w:val="001438E9"/>
    <w:rsid w:val="00143FF2"/>
    <w:rsid w:val="001444B2"/>
    <w:rsid w:val="00144844"/>
    <w:rsid w:val="00144B44"/>
    <w:rsid w:val="00144D5E"/>
    <w:rsid w:val="00144D5F"/>
    <w:rsid w:val="00145302"/>
    <w:rsid w:val="00145696"/>
    <w:rsid w:val="00145F53"/>
    <w:rsid w:val="00146653"/>
    <w:rsid w:val="00146D12"/>
    <w:rsid w:val="00147BE1"/>
    <w:rsid w:val="0015022E"/>
    <w:rsid w:val="001503C8"/>
    <w:rsid w:val="001505CD"/>
    <w:rsid w:val="0015072D"/>
    <w:rsid w:val="00150C97"/>
    <w:rsid w:val="00151563"/>
    <w:rsid w:val="001517F6"/>
    <w:rsid w:val="00152566"/>
    <w:rsid w:val="001528F7"/>
    <w:rsid w:val="00152A54"/>
    <w:rsid w:val="00153412"/>
    <w:rsid w:val="00153518"/>
    <w:rsid w:val="00153C1C"/>
    <w:rsid w:val="0015419E"/>
    <w:rsid w:val="00154DCA"/>
    <w:rsid w:val="0015533D"/>
    <w:rsid w:val="00156F86"/>
    <w:rsid w:val="00157567"/>
    <w:rsid w:val="00157B14"/>
    <w:rsid w:val="00157DED"/>
    <w:rsid w:val="00160748"/>
    <w:rsid w:val="00160B56"/>
    <w:rsid w:val="00160E9F"/>
    <w:rsid w:val="00160F32"/>
    <w:rsid w:val="001615A8"/>
    <w:rsid w:val="001615F6"/>
    <w:rsid w:val="00162243"/>
    <w:rsid w:val="00162E34"/>
    <w:rsid w:val="001630BC"/>
    <w:rsid w:val="001643FC"/>
    <w:rsid w:val="001646CD"/>
    <w:rsid w:val="00164B7E"/>
    <w:rsid w:val="00164C03"/>
    <w:rsid w:val="00165213"/>
    <w:rsid w:val="001657BE"/>
    <w:rsid w:val="00166566"/>
    <w:rsid w:val="00166918"/>
    <w:rsid w:val="00166DBE"/>
    <w:rsid w:val="00166FB3"/>
    <w:rsid w:val="00167756"/>
    <w:rsid w:val="001677FC"/>
    <w:rsid w:val="00167833"/>
    <w:rsid w:val="00170334"/>
    <w:rsid w:val="001706F2"/>
    <w:rsid w:val="00170E88"/>
    <w:rsid w:val="00171513"/>
    <w:rsid w:val="00171D7C"/>
    <w:rsid w:val="00171E7C"/>
    <w:rsid w:val="00172538"/>
    <w:rsid w:val="001729C8"/>
    <w:rsid w:val="0017601A"/>
    <w:rsid w:val="00176345"/>
    <w:rsid w:val="001764F8"/>
    <w:rsid w:val="00176EF5"/>
    <w:rsid w:val="001772A8"/>
    <w:rsid w:val="0017735E"/>
    <w:rsid w:val="00177437"/>
    <w:rsid w:val="00177663"/>
    <w:rsid w:val="00177BAA"/>
    <w:rsid w:val="00177D36"/>
    <w:rsid w:val="001806A5"/>
    <w:rsid w:val="00180C90"/>
    <w:rsid w:val="00181495"/>
    <w:rsid w:val="001816CC"/>
    <w:rsid w:val="0018232A"/>
    <w:rsid w:val="00182A69"/>
    <w:rsid w:val="00183310"/>
    <w:rsid w:val="00183A9C"/>
    <w:rsid w:val="00183E1F"/>
    <w:rsid w:val="00184006"/>
    <w:rsid w:val="001848B9"/>
    <w:rsid w:val="00184A81"/>
    <w:rsid w:val="00184F24"/>
    <w:rsid w:val="0018547A"/>
    <w:rsid w:val="00185849"/>
    <w:rsid w:val="00185D09"/>
    <w:rsid w:val="00186429"/>
    <w:rsid w:val="0018671B"/>
    <w:rsid w:val="00186D93"/>
    <w:rsid w:val="001873F9"/>
    <w:rsid w:val="00190DB2"/>
    <w:rsid w:val="00190F28"/>
    <w:rsid w:val="001913D3"/>
    <w:rsid w:val="001926D6"/>
    <w:rsid w:val="00192CBB"/>
    <w:rsid w:val="00193222"/>
    <w:rsid w:val="001939B1"/>
    <w:rsid w:val="00193AF4"/>
    <w:rsid w:val="00194DC9"/>
    <w:rsid w:val="001961B0"/>
    <w:rsid w:val="001966F6"/>
    <w:rsid w:val="00196B41"/>
    <w:rsid w:val="00197AC5"/>
    <w:rsid w:val="001A0216"/>
    <w:rsid w:val="001A0481"/>
    <w:rsid w:val="001A0A25"/>
    <w:rsid w:val="001A0CF7"/>
    <w:rsid w:val="001A0D26"/>
    <w:rsid w:val="001A0FFC"/>
    <w:rsid w:val="001A1852"/>
    <w:rsid w:val="001A19A0"/>
    <w:rsid w:val="001A28FC"/>
    <w:rsid w:val="001A29B3"/>
    <w:rsid w:val="001A3529"/>
    <w:rsid w:val="001A3690"/>
    <w:rsid w:val="001A381A"/>
    <w:rsid w:val="001A4E4E"/>
    <w:rsid w:val="001A650D"/>
    <w:rsid w:val="001A7033"/>
    <w:rsid w:val="001A7048"/>
    <w:rsid w:val="001A706B"/>
    <w:rsid w:val="001A7239"/>
    <w:rsid w:val="001A74A9"/>
    <w:rsid w:val="001A7A1C"/>
    <w:rsid w:val="001A7E36"/>
    <w:rsid w:val="001B080C"/>
    <w:rsid w:val="001B0DE4"/>
    <w:rsid w:val="001B1162"/>
    <w:rsid w:val="001B12D4"/>
    <w:rsid w:val="001B1D42"/>
    <w:rsid w:val="001B2267"/>
    <w:rsid w:val="001B28C7"/>
    <w:rsid w:val="001B3953"/>
    <w:rsid w:val="001B3DEE"/>
    <w:rsid w:val="001B4DF5"/>
    <w:rsid w:val="001B507B"/>
    <w:rsid w:val="001B51FC"/>
    <w:rsid w:val="001B75D9"/>
    <w:rsid w:val="001B7641"/>
    <w:rsid w:val="001B78C1"/>
    <w:rsid w:val="001B7942"/>
    <w:rsid w:val="001B7ABA"/>
    <w:rsid w:val="001C05D8"/>
    <w:rsid w:val="001C104F"/>
    <w:rsid w:val="001C1CF7"/>
    <w:rsid w:val="001C1E80"/>
    <w:rsid w:val="001C2033"/>
    <w:rsid w:val="001C23D8"/>
    <w:rsid w:val="001C2507"/>
    <w:rsid w:val="001C27DC"/>
    <w:rsid w:val="001C2A95"/>
    <w:rsid w:val="001C2AA0"/>
    <w:rsid w:val="001C3069"/>
    <w:rsid w:val="001C30E2"/>
    <w:rsid w:val="001C3144"/>
    <w:rsid w:val="001C4183"/>
    <w:rsid w:val="001C4C6E"/>
    <w:rsid w:val="001C4E1A"/>
    <w:rsid w:val="001C51F4"/>
    <w:rsid w:val="001C570B"/>
    <w:rsid w:val="001C580F"/>
    <w:rsid w:val="001C5BF2"/>
    <w:rsid w:val="001C5F64"/>
    <w:rsid w:val="001C678F"/>
    <w:rsid w:val="001C6DD0"/>
    <w:rsid w:val="001C75A2"/>
    <w:rsid w:val="001C761B"/>
    <w:rsid w:val="001D02D6"/>
    <w:rsid w:val="001D0793"/>
    <w:rsid w:val="001D0BD8"/>
    <w:rsid w:val="001D1308"/>
    <w:rsid w:val="001D1E20"/>
    <w:rsid w:val="001D2DB6"/>
    <w:rsid w:val="001D36BD"/>
    <w:rsid w:val="001D37FD"/>
    <w:rsid w:val="001D450D"/>
    <w:rsid w:val="001D46F9"/>
    <w:rsid w:val="001D4B5D"/>
    <w:rsid w:val="001D4C5C"/>
    <w:rsid w:val="001D519D"/>
    <w:rsid w:val="001D5230"/>
    <w:rsid w:val="001D535E"/>
    <w:rsid w:val="001D5408"/>
    <w:rsid w:val="001D77B0"/>
    <w:rsid w:val="001D7A94"/>
    <w:rsid w:val="001E00A9"/>
    <w:rsid w:val="001E01E5"/>
    <w:rsid w:val="001E13E2"/>
    <w:rsid w:val="001E14EF"/>
    <w:rsid w:val="001E1F42"/>
    <w:rsid w:val="001E2378"/>
    <w:rsid w:val="001E287B"/>
    <w:rsid w:val="001E2CB8"/>
    <w:rsid w:val="001E4DE1"/>
    <w:rsid w:val="001E55FE"/>
    <w:rsid w:val="001E621B"/>
    <w:rsid w:val="001E6449"/>
    <w:rsid w:val="001E78BA"/>
    <w:rsid w:val="001E7E1C"/>
    <w:rsid w:val="001F00AA"/>
    <w:rsid w:val="001F03B9"/>
    <w:rsid w:val="001F08C5"/>
    <w:rsid w:val="001F0962"/>
    <w:rsid w:val="001F0D99"/>
    <w:rsid w:val="001F164D"/>
    <w:rsid w:val="001F1727"/>
    <w:rsid w:val="001F18B6"/>
    <w:rsid w:val="001F1B8D"/>
    <w:rsid w:val="001F1DFB"/>
    <w:rsid w:val="001F20F2"/>
    <w:rsid w:val="001F2216"/>
    <w:rsid w:val="001F22C8"/>
    <w:rsid w:val="001F24BB"/>
    <w:rsid w:val="001F30D6"/>
    <w:rsid w:val="001F30E7"/>
    <w:rsid w:val="001F433F"/>
    <w:rsid w:val="001F4513"/>
    <w:rsid w:val="001F55AD"/>
    <w:rsid w:val="001F5C0C"/>
    <w:rsid w:val="001F60C9"/>
    <w:rsid w:val="001F666C"/>
    <w:rsid w:val="001F6ACD"/>
    <w:rsid w:val="001F6E5D"/>
    <w:rsid w:val="001F6ED2"/>
    <w:rsid w:val="001F7AA8"/>
    <w:rsid w:val="001F7B8F"/>
    <w:rsid w:val="001F7C17"/>
    <w:rsid w:val="00200B6C"/>
    <w:rsid w:val="00200E7E"/>
    <w:rsid w:val="0020139C"/>
    <w:rsid w:val="00201609"/>
    <w:rsid w:val="00201C47"/>
    <w:rsid w:val="00202719"/>
    <w:rsid w:val="0020271E"/>
    <w:rsid w:val="0020273D"/>
    <w:rsid w:val="00202AFE"/>
    <w:rsid w:val="00202EDC"/>
    <w:rsid w:val="00202EFF"/>
    <w:rsid w:val="00203207"/>
    <w:rsid w:val="002032F7"/>
    <w:rsid w:val="00203567"/>
    <w:rsid w:val="00203BC1"/>
    <w:rsid w:val="00203F12"/>
    <w:rsid w:val="002041FD"/>
    <w:rsid w:val="002042A0"/>
    <w:rsid w:val="00204F8D"/>
    <w:rsid w:val="00205294"/>
    <w:rsid w:val="00205E32"/>
    <w:rsid w:val="00206366"/>
    <w:rsid w:val="002069A2"/>
    <w:rsid w:val="0021035B"/>
    <w:rsid w:val="0021053A"/>
    <w:rsid w:val="002115DA"/>
    <w:rsid w:val="0021183B"/>
    <w:rsid w:val="0021198C"/>
    <w:rsid w:val="00211ED2"/>
    <w:rsid w:val="00211F16"/>
    <w:rsid w:val="00212010"/>
    <w:rsid w:val="00212517"/>
    <w:rsid w:val="00213905"/>
    <w:rsid w:val="00213A94"/>
    <w:rsid w:val="002141C4"/>
    <w:rsid w:val="002143E9"/>
    <w:rsid w:val="0021448B"/>
    <w:rsid w:val="00214770"/>
    <w:rsid w:val="002148F2"/>
    <w:rsid w:val="002148F8"/>
    <w:rsid w:val="0021511D"/>
    <w:rsid w:val="00215537"/>
    <w:rsid w:val="00215FBB"/>
    <w:rsid w:val="00216178"/>
    <w:rsid w:val="002161F8"/>
    <w:rsid w:val="00216472"/>
    <w:rsid w:val="00216492"/>
    <w:rsid w:val="002167A8"/>
    <w:rsid w:val="00216F5B"/>
    <w:rsid w:val="00217179"/>
    <w:rsid w:val="00217B26"/>
    <w:rsid w:val="00217B4A"/>
    <w:rsid w:val="002201DC"/>
    <w:rsid w:val="00220985"/>
    <w:rsid w:val="002209D0"/>
    <w:rsid w:val="002211DA"/>
    <w:rsid w:val="00221748"/>
    <w:rsid w:val="00222C9D"/>
    <w:rsid w:val="00223923"/>
    <w:rsid w:val="00224772"/>
    <w:rsid w:val="002248DE"/>
    <w:rsid w:val="00224F58"/>
    <w:rsid w:val="00225049"/>
    <w:rsid w:val="0022546E"/>
    <w:rsid w:val="00225474"/>
    <w:rsid w:val="00225A20"/>
    <w:rsid w:val="00225BD3"/>
    <w:rsid w:val="00226C48"/>
    <w:rsid w:val="00227186"/>
    <w:rsid w:val="002277E5"/>
    <w:rsid w:val="00227FC0"/>
    <w:rsid w:val="00230213"/>
    <w:rsid w:val="0023088B"/>
    <w:rsid w:val="00230C83"/>
    <w:rsid w:val="00230E4B"/>
    <w:rsid w:val="00231DC7"/>
    <w:rsid w:val="00232162"/>
    <w:rsid w:val="00232854"/>
    <w:rsid w:val="0023337F"/>
    <w:rsid w:val="00234EE4"/>
    <w:rsid w:val="00235269"/>
    <w:rsid w:val="00235B08"/>
    <w:rsid w:val="00235B9C"/>
    <w:rsid w:val="00235CEE"/>
    <w:rsid w:val="00236C87"/>
    <w:rsid w:val="0023754A"/>
    <w:rsid w:val="002376C1"/>
    <w:rsid w:val="002376E4"/>
    <w:rsid w:val="00237ABA"/>
    <w:rsid w:val="00240266"/>
    <w:rsid w:val="00240D98"/>
    <w:rsid w:val="00240F18"/>
    <w:rsid w:val="002411BF"/>
    <w:rsid w:val="00241524"/>
    <w:rsid w:val="0024188E"/>
    <w:rsid w:val="00241F1B"/>
    <w:rsid w:val="00242109"/>
    <w:rsid w:val="002423BF"/>
    <w:rsid w:val="00242522"/>
    <w:rsid w:val="00242680"/>
    <w:rsid w:val="002429A0"/>
    <w:rsid w:val="00242A3D"/>
    <w:rsid w:val="00243412"/>
    <w:rsid w:val="00243CD1"/>
    <w:rsid w:val="0024419E"/>
    <w:rsid w:val="0024442A"/>
    <w:rsid w:val="00244E9A"/>
    <w:rsid w:val="0024500D"/>
    <w:rsid w:val="00245344"/>
    <w:rsid w:val="00245A2B"/>
    <w:rsid w:val="002461F7"/>
    <w:rsid w:val="0024739C"/>
    <w:rsid w:val="00250309"/>
    <w:rsid w:val="00251145"/>
    <w:rsid w:val="00251899"/>
    <w:rsid w:val="00252197"/>
    <w:rsid w:val="00252287"/>
    <w:rsid w:val="002522A9"/>
    <w:rsid w:val="0025252F"/>
    <w:rsid w:val="00252BFF"/>
    <w:rsid w:val="00253C35"/>
    <w:rsid w:val="002547F4"/>
    <w:rsid w:val="00254B39"/>
    <w:rsid w:val="00254CD4"/>
    <w:rsid w:val="00254E71"/>
    <w:rsid w:val="00255C68"/>
    <w:rsid w:val="00255D71"/>
    <w:rsid w:val="00256322"/>
    <w:rsid w:val="00256EA0"/>
    <w:rsid w:val="00257D1A"/>
    <w:rsid w:val="00257E1A"/>
    <w:rsid w:val="00257ECC"/>
    <w:rsid w:val="00257F11"/>
    <w:rsid w:val="00260AD8"/>
    <w:rsid w:val="00261155"/>
    <w:rsid w:val="00261D4F"/>
    <w:rsid w:val="00262E87"/>
    <w:rsid w:val="00262EAF"/>
    <w:rsid w:val="00262FE2"/>
    <w:rsid w:val="002634E9"/>
    <w:rsid w:val="00263745"/>
    <w:rsid w:val="00263789"/>
    <w:rsid w:val="002639B8"/>
    <w:rsid w:val="00263C21"/>
    <w:rsid w:val="00263CCF"/>
    <w:rsid w:val="00264A51"/>
    <w:rsid w:val="00264E62"/>
    <w:rsid w:val="00265098"/>
    <w:rsid w:val="00265363"/>
    <w:rsid w:val="00265764"/>
    <w:rsid w:val="002658FC"/>
    <w:rsid w:val="00266339"/>
    <w:rsid w:val="00266472"/>
    <w:rsid w:val="00266477"/>
    <w:rsid w:val="0026660D"/>
    <w:rsid w:val="0026679E"/>
    <w:rsid w:val="00267727"/>
    <w:rsid w:val="00267C1D"/>
    <w:rsid w:val="002700D7"/>
    <w:rsid w:val="002702A5"/>
    <w:rsid w:val="002705EA"/>
    <w:rsid w:val="002707FE"/>
    <w:rsid w:val="00270BD5"/>
    <w:rsid w:val="00270C45"/>
    <w:rsid w:val="00270F34"/>
    <w:rsid w:val="002715B8"/>
    <w:rsid w:val="002717F8"/>
    <w:rsid w:val="00271BCA"/>
    <w:rsid w:val="0027271A"/>
    <w:rsid w:val="00272D4B"/>
    <w:rsid w:val="0027335C"/>
    <w:rsid w:val="002739A1"/>
    <w:rsid w:val="002751BE"/>
    <w:rsid w:val="00275BBE"/>
    <w:rsid w:val="0027627D"/>
    <w:rsid w:val="00276F8C"/>
    <w:rsid w:val="00277407"/>
    <w:rsid w:val="0027763F"/>
    <w:rsid w:val="00280358"/>
    <w:rsid w:val="0028053E"/>
    <w:rsid w:val="00280911"/>
    <w:rsid w:val="00280A7E"/>
    <w:rsid w:val="00281D65"/>
    <w:rsid w:val="00281EB2"/>
    <w:rsid w:val="002825E9"/>
    <w:rsid w:val="00282A0A"/>
    <w:rsid w:val="00282A66"/>
    <w:rsid w:val="00282D61"/>
    <w:rsid w:val="002830D6"/>
    <w:rsid w:val="00283607"/>
    <w:rsid w:val="00283A11"/>
    <w:rsid w:val="00283A43"/>
    <w:rsid w:val="00283C89"/>
    <w:rsid w:val="0028539D"/>
    <w:rsid w:val="0028547F"/>
    <w:rsid w:val="002859BA"/>
    <w:rsid w:val="00285A44"/>
    <w:rsid w:val="00285CE2"/>
    <w:rsid w:val="00285F5D"/>
    <w:rsid w:val="002866C0"/>
    <w:rsid w:val="00286CA2"/>
    <w:rsid w:val="00286FDC"/>
    <w:rsid w:val="0029031F"/>
    <w:rsid w:val="00290B1A"/>
    <w:rsid w:val="00290BB8"/>
    <w:rsid w:val="0029121E"/>
    <w:rsid w:val="00291313"/>
    <w:rsid w:val="00291470"/>
    <w:rsid w:val="00291525"/>
    <w:rsid w:val="00292059"/>
    <w:rsid w:val="002925F2"/>
    <w:rsid w:val="002928F4"/>
    <w:rsid w:val="0029290B"/>
    <w:rsid w:val="00293057"/>
    <w:rsid w:val="00293161"/>
    <w:rsid w:val="002934DB"/>
    <w:rsid w:val="00293A1A"/>
    <w:rsid w:val="002940E8"/>
    <w:rsid w:val="00294839"/>
    <w:rsid w:val="002951C1"/>
    <w:rsid w:val="00295333"/>
    <w:rsid w:val="002953DE"/>
    <w:rsid w:val="002957AB"/>
    <w:rsid w:val="002966D1"/>
    <w:rsid w:val="0029698E"/>
    <w:rsid w:val="00296AB8"/>
    <w:rsid w:val="00297776"/>
    <w:rsid w:val="00297A96"/>
    <w:rsid w:val="00297BB0"/>
    <w:rsid w:val="002A0A12"/>
    <w:rsid w:val="002A1084"/>
    <w:rsid w:val="002A1179"/>
    <w:rsid w:val="002A13A9"/>
    <w:rsid w:val="002A1456"/>
    <w:rsid w:val="002A15C6"/>
    <w:rsid w:val="002A1AFB"/>
    <w:rsid w:val="002A2561"/>
    <w:rsid w:val="002A2D88"/>
    <w:rsid w:val="002A3D96"/>
    <w:rsid w:val="002A3E98"/>
    <w:rsid w:val="002A3F06"/>
    <w:rsid w:val="002A4246"/>
    <w:rsid w:val="002A4318"/>
    <w:rsid w:val="002A44CC"/>
    <w:rsid w:val="002A4857"/>
    <w:rsid w:val="002A50F4"/>
    <w:rsid w:val="002A51E7"/>
    <w:rsid w:val="002A53F5"/>
    <w:rsid w:val="002A5E42"/>
    <w:rsid w:val="002A6A3B"/>
    <w:rsid w:val="002A6CEC"/>
    <w:rsid w:val="002A7543"/>
    <w:rsid w:val="002A7866"/>
    <w:rsid w:val="002A7889"/>
    <w:rsid w:val="002B014C"/>
    <w:rsid w:val="002B03FD"/>
    <w:rsid w:val="002B07F0"/>
    <w:rsid w:val="002B0EAB"/>
    <w:rsid w:val="002B1034"/>
    <w:rsid w:val="002B18A8"/>
    <w:rsid w:val="002B2437"/>
    <w:rsid w:val="002B2CAC"/>
    <w:rsid w:val="002B2D7A"/>
    <w:rsid w:val="002B2EB8"/>
    <w:rsid w:val="002B2FC5"/>
    <w:rsid w:val="002B369A"/>
    <w:rsid w:val="002B3BCD"/>
    <w:rsid w:val="002B412C"/>
    <w:rsid w:val="002B47EF"/>
    <w:rsid w:val="002B4ED8"/>
    <w:rsid w:val="002B5107"/>
    <w:rsid w:val="002B543D"/>
    <w:rsid w:val="002B5AA2"/>
    <w:rsid w:val="002B6294"/>
    <w:rsid w:val="002B64BD"/>
    <w:rsid w:val="002B6579"/>
    <w:rsid w:val="002B7EFE"/>
    <w:rsid w:val="002C07E7"/>
    <w:rsid w:val="002C202F"/>
    <w:rsid w:val="002C2B5A"/>
    <w:rsid w:val="002C30E0"/>
    <w:rsid w:val="002C3231"/>
    <w:rsid w:val="002C3285"/>
    <w:rsid w:val="002C3C97"/>
    <w:rsid w:val="002C3D69"/>
    <w:rsid w:val="002C4988"/>
    <w:rsid w:val="002C5587"/>
    <w:rsid w:val="002C565F"/>
    <w:rsid w:val="002C5EF2"/>
    <w:rsid w:val="002C6252"/>
    <w:rsid w:val="002C6CCC"/>
    <w:rsid w:val="002C7010"/>
    <w:rsid w:val="002C78D5"/>
    <w:rsid w:val="002C79FA"/>
    <w:rsid w:val="002C7C95"/>
    <w:rsid w:val="002D004D"/>
    <w:rsid w:val="002D04B0"/>
    <w:rsid w:val="002D0B34"/>
    <w:rsid w:val="002D1692"/>
    <w:rsid w:val="002D19C4"/>
    <w:rsid w:val="002D19C8"/>
    <w:rsid w:val="002D1CD1"/>
    <w:rsid w:val="002D1DA1"/>
    <w:rsid w:val="002D2D49"/>
    <w:rsid w:val="002D3EDE"/>
    <w:rsid w:val="002D4389"/>
    <w:rsid w:val="002D44AE"/>
    <w:rsid w:val="002D4903"/>
    <w:rsid w:val="002D5623"/>
    <w:rsid w:val="002D6551"/>
    <w:rsid w:val="002D7C4A"/>
    <w:rsid w:val="002D7C8E"/>
    <w:rsid w:val="002D7DAA"/>
    <w:rsid w:val="002E0257"/>
    <w:rsid w:val="002E04CE"/>
    <w:rsid w:val="002E0ECD"/>
    <w:rsid w:val="002E0F2D"/>
    <w:rsid w:val="002E16B6"/>
    <w:rsid w:val="002E1994"/>
    <w:rsid w:val="002E1C73"/>
    <w:rsid w:val="002E1C76"/>
    <w:rsid w:val="002E21FE"/>
    <w:rsid w:val="002E2472"/>
    <w:rsid w:val="002E2D38"/>
    <w:rsid w:val="002E3077"/>
    <w:rsid w:val="002E316C"/>
    <w:rsid w:val="002E320D"/>
    <w:rsid w:val="002E35B1"/>
    <w:rsid w:val="002E3943"/>
    <w:rsid w:val="002E43CF"/>
    <w:rsid w:val="002E4497"/>
    <w:rsid w:val="002E5397"/>
    <w:rsid w:val="002E543F"/>
    <w:rsid w:val="002E594C"/>
    <w:rsid w:val="002E5BAA"/>
    <w:rsid w:val="002E5E64"/>
    <w:rsid w:val="002E654C"/>
    <w:rsid w:val="002E6B6F"/>
    <w:rsid w:val="002E6BA4"/>
    <w:rsid w:val="002E70A2"/>
    <w:rsid w:val="002E70F1"/>
    <w:rsid w:val="002E7340"/>
    <w:rsid w:val="002E766B"/>
    <w:rsid w:val="002E7777"/>
    <w:rsid w:val="002E77EA"/>
    <w:rsid w:val="002E7B34"/>
    <w:rsid w:val="002E7F50"/>
    <w:rsid w:val="002F06EB"/>
    <w:rsid w:val="002F0D1E"/>
    <w:rsid w:val="002F0DCB"/>
    <w:rsid w:val="002F1131"/>
    <w:rsid w:val="002F1673"/>
    <w:rsid w:val="002F18D9"/>
    <w:rsid w:val="002F1B8F"/>
    <w:rsid w:val="002F1BEA"/>
    <w:rsid w:val="002F1EC7"/>
    <w:rsid w:val="002F22D3"/>
    <w:rsid w:val="002F249F"/>
    <w:rsid w:val="002F2B0E"/>
    <w:rsid w:val="002F2BEE"/>
    <w:rsid w:val="002F32B9"/>
    <w:rsid w:val="002F34F8"/>
    <w:rsid w:val="002F46C1"/>
    <w:rsid w:val="002F48F5"/>
    <w:rsid w:val="002F5115"/>
    <w:rsid w:val="002F5701"/>
    <w:rsid w:val="002F5F06"/>
    <w:rsid w:val="002F5F0C"/>
    <w:rsid w:val="002F6FBC"/>
    <w:rsid w:val="002F70AA"/>
    <w:rsid w:val="002F751D"/>
    <w:rsid w:val="002F76CD"/>
    <w:rsid w:val="002F78E3"/>
    <w:rsid w:val="0030050F"/>
    <w:rsid w:val="00300517"/>
    <w:rsid w:val="00300713"/>
    <w:rsid w:val="003013BB"/>
    <w:rsid w:val="00301495"/>
    <w:rsid w:val="003016C5"/>
    <w:rsid w:val="00301DCB"/>
    <w:rsid w:val="003022C6"/>
    <w:rsid w:val="003025C7"/>
    <w:rsid w:val="00302A3C"/>
    <w:rsid w:val="00303882"/>
    <w:rsid w:val="00304C31"/>
    <w:rsid w:val="003050A6"/>
    <w:rsid w:val="003053A0"/>
    <w:rsid w:val="0030592C"/>
    <w:rsid w:val="00305FE4"/>
    <w:rsid w:val="003067DD"/>
    <w:rsid w:val="00306FA8"/>
    <w:rsid w:val="00307219"/>
    <w:rsid w:val="00307477"/>
    <w:rsid w:val="0030776B"/>
    <w:rsid w:val="00307E11"/>
    <w:rsid w:val="00310040"/>
    <w:rsid w:val="0031063D"/>
    <w:rsid w:val="0031125D"/>
    <w:rsid w:val="003112CD"/>
    <w:rsid w:val="00312507"/>
    <w:rsid w:val="00312560"/>
    <w:rsid w:val="00312E77"/>
    <w:rsid w:val="0031358B"/>
    <w:rsid w:val="003136EB"/>
    <w:rsid w:val="00313845"/>
    <w:rsid w:val="00313A03"/>
    <w:rsid w:val="00313A04"/>
    <w:rsid w:val="0031484F"/>
    <w:rsid w:val="0031488D"/>
    <w:rsid w:val="00314C07"/>
    <w:rsid w:val="00314E43"/>
    <w:rsid w:val="003156A3"/>
    <w:rsid w:val="00315A0A"/>
    <w:rsid w:val="00315ABC"/>
    <w:rsid w:val="00315BE7"/>
    <w:rsid w:val="0031679E"/>
    <w:rsid w:val="00316DAD"/>
    <w:rsid w:val="00316E6C"/>
    <w:rsid w:val="003170C0"/>
    <w:rsid w:val="0031757C"/>
    <w:rsid w:val="0031775D"/>
    <w:rsid w:val="00317934"/>
    <w:rsid w:val="003203C8"/>
    <w:rsid w:val="00320D8F"/>
    <w:rsid w:val="00321160"/>
    <w:rsid w:val="00321BED"/>
    <w:rsid w:val="003220C4"/>
    <w:rsid w:val="003224AD"/>
    <w:rsid w:val="00322549"/>
    <w:rsid w:val="00322E5B"/>
    <w:rsid w:val="003233AB"/>
    <w:rsid w:val="00323771"/>
    <w:rsid w:val="00323A24"/>
    <w:rsid w:val="0032437A"/>
    <w:rsid w:val="00324BCD"/>
    <w:rsid w:val="003254F1"/>
    <w:rsid w:val="00325A0F"/>
    <w:rsid w:val="00325A99"/>
    <w:rsid w:val="003261B3"/>
    <w:rsid w:val="003268A2"/>
    <w:rsid w:val="00326CC3"/>
    <w:rsid w:val="00327315"/>
    <w:rsid w:val="003308E7"/>
    <w:rsid w:val="00330909"/>
    <w:rsid w:val="003309F1"/>
    <w:rsid w:val="00330D3A"/>
    <w:rsid w:val="0033100B"/>
    <w:rsid w:val="00331E11"/>
    <w:rsid w:val="00331FC5"/>
    <w:rsid w:val="00332718"/>
    <w:rsid w:val="00333125"/>
    <w:rsid w:val="00333750"/>
    <w:rsid w:val="003339D9"/>
    <w:rsid w:val="00334ECB"/>
    <w:rsid w:val="0033504A"/>
    <w:rsid w:val="00335684"/>
    <w:rsid w:val="00336100"/>
    <w:rsid w:val="0033641A"/>
    <w:rsid w:val="00337540"/>
    <w:rsid w:val="00340417"/>
    <w:rsid w:val="003407BB"/>
    <w:rsid w:val="00340AB4"/>
    <w:rsid w:val="00340DDF"/>
    <w:rsid w:val="00341B13"/>
    <w:rsid w:val="00342051"/>
    <w:rsid w:val="00342A96"/>
    <w:rsid w:val="00343288"/>
    <w:rsid w:val="003438D9"/>
    <w:rsid w:val="00344310"/>
    <w:rsid w:val="00344333"/>
    <w:rsid w:val="0034459F"/>
    <w:rsid w:val="0034460A"/>
    <w:rsid w:val="00344669"/>
    <w:rsid w:val="0034573A"/>
    <w:rsid w:val="00346339"/>
    <w:rsid w:val="00346F13"/>
    <w:rsid w:val="00347287"/>
    <w:rsid w:val="0035019C"/>
    <w:rsid w:val="00350646"/>
    <w:rsid w:val="00350BF5"/>
    <w:rsid w:val="00350D46"/>
    <w:rsid w:val="0035218D"/>
    <w:rsid w:val="003528E4"/>
    <w:rsid w:val="003531B8"/>
    <w:rsid w:val="00353641"/>
    <w:rsid w:val="00353B0E"/>
    <w:rsid w:val="00355334"/>
    <w:rsid w:val="003553D7"/>
    <w:rsid w:val="0035564B"/>
    <w:rsid w:val="00355733"/>
    <w:rsid w:val="00355810"/>
    <w:rsid w:val="00355DCC"/>
    <w:rsid w:val="00356029"/>
    <w:rsid w:val="00356631"/>
    <w:rsid w:val="00356A35"/>
    <w:rsid w:val="003574B8"/>
    <w:rsid w:val="00357504"/>
    <w:rsid w:val="00357970"/>
    <w:rsid w:val="00357C4B"/>
    <w:rsid w:val="00360324"/>
    <w:rsid w:val="00360B7D"/>
    <w:rsid w:val="00361047"/>
    <w:rsid w:val="00361289"/>
    <w:rsid w:val="003612C4"/>
    <w:rsid w:val="0036176D"/>
    <w:rsid w:val="00362FAD"/>
    <w:rsid w:val="00363DF5"/>
    <w:rsid w:val="00363E39"/>
    <w:rsid w:val="00364806"/>
    <w:rsid w:val="003659A8"/>
    <w:rsid w:val="003660FA"/>
    <w:rsid w:val="0036702A"/>
    <w:rsid w:val="00367332"/>
    <w:rsid w:val="00367490"/>
    <w:rsid w:val="00367AA9"/>
    <w:rsid w:val="00367D09"/>
    <w:rsid w:val="0037059E"/>
    <w:rsid w:val="0037066A"/>
    <w:rsid w:val="00371464"/>
    <w:rsid w:val="00371544"/>
    <w:rsid w:val="003718A6"/>
    <w:rsid w:val="00372212"/>
    <w:rsid w:val="00372848"/>
    <w:rsid w:val="00372AA9"/>
    <w:rsid w:val="00372E03"/>
    <w:rsid w:val="00373476"/>
    <w:rsid w:val="0037520C"/>
    <w:rsid w:val="003752A1"/>
    <w:rsid w:val="00375A16"/>
    <w:rsid w:val="00376693"/>
    <w:rsid w:val="00376715"/>
    <w:rsid w:val="00376759"/>
    <w:rsid w:val="003768D2"/>
    <w:rsid w:val="00376A9E"/>
    <w:rsid w:val="0037786D"/>
    <w:rsid w:val="00377DCA"/>
    <w:rsid w:val="00377E57"/>
    <w:rsid w:val="003801D3"/>
    <w:rsid w:val="00380EE2"/>
    <w:rsid w:val="00381067"/>
    <w:rsid w:val="0038188F"/>
    <w:rsid w:val="00381DB7"/>
    <w:rsid w:val="00382527"/>
    <w:rsid w:val="00382969"/>
    <w:rsid w:val="0038355E"/>
    <w:rsid w:val="00383834"/>
    <w:rsid w:val="00384297"/>
    <w:rsid w:val="003842D3"/>
    <w:rsid w:val="00384DA2"/>
    <w:rsid w:val="0038579A"/>
    <w:rsid w:val="00387055"/>
    <w:rsid w:val="0038728C"/>
    <w:rsid w:val="00390F47"/>
    <w:rsid w:val="00391234"/>
    <w:rsid w:val="00391282"/>
    <w:rsid w:val="003918A1"/>
    <w:rsid w:val="0039242A"/>
    <w:rsid w:val="00392E7D"/>
    <w:rsid w:val="003932A4"/>
    <w:rsid w:val="00393EB6"/>
    <w:rsid w:val="003942BE"/>
    <w:rsid w:val="003946C1"/>
    <w:rsid w:val="00396898"/>
    <w:rsid w:val="00397153"/>
    <w:rsid w:val="00397446"/>
    <w:rsid w:val="003974A6"/>
    <w:rsid w:val="00397F40"/>
    <w:rsid w:val="003A00C8"/>
    <w:rsid w:val="003A19B6"/>
    <w:rsid w:val="003A1E2A"/>
    <w:rsid w:val="003A225C"/>
    <w:rsid w:val="003A2FF0"/>
    <w:rsid w:val="003A32D5"/>
    <w:rsid w:val="003A4D20"/>
    <w:rsid w:val="003A533C"/>
    <w:rsid w:val="003A5814"/>
    <w:rsid w:val="003A597D"/>
    <w:rsid w:val="003A5DD1"/>
    <w:rsid w:val="003A6435"/>
    <w:rsid w:val="003A6574"/>
    <w:rsid w:val="003A6F97"/>
    <w:rsid w:val="003A6F9D"/>
    <w:rsid w:val="003A72F4"/>
    <w:rsid w:val="003A78B9"/>
    <w:rsid w:val="003A78C0"/>
    <w:rsid w:val="003A7E2B"/>
    <w:rsid w:val="003A7FC3"/>
    <w:rsid w:val="003B0322"/>
    <w:rsid w:val="003B03E3"/>
    <w:rsid w:val="003B0A3E"/>
    <w:rsid w:val="003B0B55"/>
    <w:rsid w:val="003B1035"/>
    <w:rsid w:val="003B23E5"/>
    <w:rsid w:val="003B2768"/>
    <w:rsid w:val="003B2A6B"/>
    <w:rsid w:val="003B305E"/>
    <w:rsid w:val="003B3535"/>
    <w:rsid w:val="003B4489"/>
    <w:rsid w:val="003B45FE"/>
    <w:rsid w:val="003B47CC"/>
    <w:rsid w:val="003B4E58"/>
    <w:rsid w:val="003B4E5C"/>
    <w:rsid w:val="003B513E"/>
    <w:rsid w:val="003B57BC"/>
    <w:rsid w:val="003B6163"/>
    <w:rsid w:val="003B6E90"/>
    <w:rsid w:val="003B7653"/>
    <w:rsid w:val="003B7B3B"/>
    <w:rsid w:val="003B7C86"/>
    <w:rsid w:val="003B7FFE"/>
    <w:rsid w:val="003C08B0"/>
    <w:rsid w:val="003C0E17"/>
    <w:rsid w:val="003C168C"/>
    <w:rsid w:val="003C185F"/>
    <w:rsid w:val="003C19DE"/>
    <w:rsid w:val="003C1C41"/>
    <w:rsid w:val="003C2434"/>
    <w:rsid w:val="003C282F"/>
    <w:rsid w:val="003C418A"/>
    <w:rsid w:val="003C4304"/>
    <w:rsid w:val="003C49C7"/>
    <w:rsid w:val="003C4E90"/>
    <w:rsid w:val="003C4F19"/>
    <w:rsid w:val="003C571D"/>
    <w:rsid w:val="003C58D1"/>
    <w:rsid w:val="003C5FCC"/>
    <w:rsid w:val="003C655D"/>
    <w:rsid w:val="003C6609"/>
    <w:rsid w:val="003C6C06"/>
    <w:rsid w:val="003C7246"/>
    <w:rsid w:val="003C736C"/>
    <w:rsid w:val="003C797D"/>
    <w:rsid w:val="003C7DDD"/>
    <w:rsid w:val="003D06CF"/>
    <w:rsid w:val="003D09AA"/>
    <w:rsid w:val="003D153D"/>
    <w:rsid w:val="003D15A0"/>
    <w:rsid w:val="003D25F5"/>
    <w:rsid w:val="003D2ADC"/>
    <w:rsid w:val="003D2B56"/>
    <w:rsid w:val="003D2E4E"/>
    <w:rsid w:val="003D3398"/>
    <w:rsid w:val="003D363C"/>
    <w:rsid w:val="003D3D50"/>
    <w:rsid w:val="003D41FD"/>
    <w:rsid w:val="003D462D"/>
    <w:rsid w:val="003D4BF5"/>
    <w:rsid w:val="003D4CDB"/>
    <w:rsid w:val="003D5466"/>
    <w:rsid w:val="003D5739"/>
    <w:rsid w:val="003D6336"/>
    <w:rsid w:val="003D6B5E"/>
    <w:rsid w:val="003D6D65"/>
    <w:rsid w:val="003D7084"/>
    <w:rsid w:val="003D75B9"/>
    <w:rsid w:val="003D7653"/>
    <w:rsid w:val="003D7DD5"/>
    <w:rsid w:val="003D7F99"/>
    <w:rsid w:val="003E03A6"/>
    <w:rsid w:val="003E0B73"/>
    <w:rsid w:val="003E1AD9"/>
    <w:rsid w:val="003E1CE9"/>
    <w:rsid w:val="003E1EFD"/>
    <w:rsid w:val="003E3576"/>
    <w:rsid w:val="003E36EC"/>
    <w:rsid w:val="003E3B8E"/>
    <w:rsid w:val="003E4031"/>
    <w:rsid w:val="003E415D"/>
    <w:rsid w:val="003E4351"/>
    <w:rsid w:val="003E4946"/>
    <w:rsid w:val="003E4D3C"/>
    <w:rsid w:val="003E4DBC"/>
    <w:rsid w:val="003E4F4E"/>
    <w:rsid w:val="003E5D37"/>
    <w:rsid w:val="003E6125"/>
    <w:rsid w:val="003E65B6"/>
    <w:rsid w:val="003E6643"/>
    <w:rsid w:val="003E6856"/>
    <w:rsid w:val="003E76AA"/>
    <w:rsid w:val="003F0B9B"/>
    <w:rsid w:val="003F0F0F"/>
    <w:rsid w:val="003F1EA2"/>
    <w:rsid w:val="003F212D"/>
    <w:rsid w:val="003F2BCB"/>
    <w:rsid w:val="003F2D1A"/>
    <w:rsid w:val="003F3073"/>
    <w:rsid w:val="003F31CD"/>
    <w:rsid w:val="003F3496"/>
    <w:rsid w:val="003F366F"/>
    <w:rsid w:val="003F37EE"/>
    <w:rsid w:val="003F4717"/>
    <w:rsid w:val="003F4A6C"/>
    <w:rsid w:val="003F4C8F"/>
    <w:rsid w:val="003F56D0"/>
    <w:rsid w:val="003F56F4"/>
    <w:rsid w:val="003F7972"/>
    <w:rsid w:val="00400171"/>
    <w:rsid w:val="0040091B"/>
    <w:rsid w:val="00400CBC"/>
    <w:rsid w:val="00401326"/>
    <w:rsid w:val="00402193"/>
    <w:rsid w:val="00402789"/>
    <w:rsid w:val="00402931"/>
    <w:rsid w:val="00402E7E"/>
    <w:rsid w:val="00402F2B"/>
    <w:rsid w:val="00403406"/>
    <w:rsid w:val="00404612"/>
    <w:rsid w:val="00405038"/>
    <w:rsid w:val="00405149"/>
    <w:rsid w:val="00405774"/>
    <w:rsid w:val="0040592F"/>
    <w:rsid w:val="00405A26"/>
    <w:rsid w:val="00405A8E"/>
    <w:rsid w:val="00405EE2"/>
    <w:rsid w:val="00406C7E"/>
    <w:rsid w:val="004075E9"/>
    <w:rsid w:val="00407A6E"/>
    <w:rsid w:val="00407F59"/>
    <w:rsid w:val="0041055E"/>
    <w:rsid w:val="00410D0F"/>
    <w:rsid w:val="00410E8B"/>
    <w:rsid w:val="00410EC5"/>
    <w:rsid w:val="00411014"/>
    <w:rsid w:val="004111AC"/>
    <w:rsid w:val="00411332"/>
    <w:rsid w:val="0041134F"/>
    <w:rsid w:val="004114E3"/>
    <w:rsid w:val="00411A1A"/>
    <w:rsid w:val="00413771"/>
    <w:rsid w:val="00413F8B"/>
    <w:rsid w:val="0041462F"/>
    <w:rsid w:val="00415063"/>
    <w:rsid w:val="00416463"/>
    <w:rsid w:val="004167ED"/>
    <w:rsid w:val="00416D29"/>
    <w:rsid w:val="00417285"/>
    <w:rsid w:val="00417455"/>
    <w:rsid w:val="004178A7"/>
    <w:rsid w:val="00417A45"/>
    <w:rsid w:val="00417FBF"/>
    <w:rsid w:val="00420F67"/>
    <w:rsid w:val="0042109B"/>
    <w:rsid w:val="004215FE"/>
    <w:rsid w:val="00422512"/>
    <w:rsid w:val="004229A8"/>
    <w:rsid w:val="004231F3"/>
    <w:rsid w:val="004237F0"/>
    <w:rsid w:val="00424280"/>
    <w:rsid w:val="00424BAE"/>
    <w:rsid w:val="004257DE"/>
    <w:rsid w:val="00425CF1"/>
    <w:rsid w:val="00425D52"/>
    <w:rsid w:val="00425DD9"/>
    <w:rsid w:val="004261CF"/>
    <w:rsid w:val="004263DF"/>
    <w:rsid w:val="00426A07"/>
    <w:rsid w:val="004277FB"/>
    <w:rsid w:val="00427FEB"/>
    <w:rsid w:val="0043070F"/>
    <w:rsid w:val="004310C7"/>
    <w:rsid w:val="004310FA"/>
    <w:rsid w:val="00431188"/>
    <w:rsid w:val="004316EB"/>
    <w:rsid w:val="00431A2F"/>
    <w:rsid w:val="00431B7B"/>
    <w:rsid w:val="004320C5"/>
    <w:rsid w:val="0043291C"/>
    <w:rsid w:val="00432DE6"/>
    <w:rsid w:val="00433546"/>
    <w:rsid w:val="0043394E"/>
    <w:rsid w:val="004339AF"/>
    <w:rsid w:val="00433A4B"/>
    <w:rsid w:val="00433A9F"/>
    <w:rsid w:val="00433E05"/>
    <w:rsid w:val="004348BB"/>
    <w:rsid w:val="0043491D"/>
    <w:rsid w:val="00434ACE"/>
    <w:rsid w:val="00434CCF"/>
    <w:rsid w:val="004352B7"/>
    <w:rsid w:val="00437416"/>
    <w:rsid w:val="00437D43"/>
    <w:rsid w:val="00437EC7"/>
    <w:rsid w:val="00440976"/>
    <w:rsid w:val="00440A67"/>
    <w:rsid w:val="004412CD"/>
    <w:rsid w:val="00441811"/>
    <w:rsid w:val="004419CE"/>
    <w:rsid w:val="00442283"/>
    <w:rsid w:val="004422D2"/>
    <w:rsid w:val="0044243A"/>
    <w:rsid w:val="00442836"/>
    <w:rsid w:val="00442E9C"/>
    <w:rsid w:val="00442EB8"/>
    <w:rsid w:val="004435EF"/>
    <w:rsid w:val="00443679"/>
    <w:rsid w:val="00443E8C"/>
    <w:rsid w:val="004440FE"/>
    <w:rsid w:val="00444B69"/>
    <w:rsid w:val="00444FE6"/>
    <w:rsid w:val="0044526E"/>
    <w:rsid w:val="00445CFC"/>
    <w:rsid w:val="004460E5"/>
    <w:rsid w:val="004464DA"/>
    <w:rsid w:val="004467A5"/>
    <w:rsid w:val="0044698B"/>
    <w:rsid w:val="00447174"/>
    <w:rsid w:val="00447553"/>
    <w:rsid w:val="004475FE"/>
    <w:rsid w:val="0044791E"/>
    <w:rsid w:val="00447FC7"/>
    <w:rsid w:val="004501A7"/>
    <w:rsid w:val="00451310"/>
    <w:rsid w:val="004519E0"/>
    <w:rsid w:val="00451A8B"/>
    <w:rsid w:val="00451C9B"/>
    <w:rsid w:val="00452A9D"/>
    <w:rsid w:val="00453B4E"/>
    <w:rsid w:val="0045429F"/>
    <w:rsid w:val="0045431D"/>
    <w:rsid w:val="00454497"/>
    <w:rsid w:val="00454B02"/>
    <w:rsid w:val="0045575E"/>
    <w:rsid w:val="004559BB"/>
    <w:rsid w:val="00455AF5"/>
    <w:rsid w:val="00455CBA"/>
    <w:rsid w:val="00455E05"/>
    <w:rsid w:val="004561CD"/>
    <w:rsid w:val="00456CCE"/>
    <w:rsid w:val="0045709A"/>
    <w:rsid w:val="004602E3"/>
    <w:rsid w:val="0046046C"/>
    <w:rsid w:val="00460B4B"/>
    <w:rsid w:val="00460DB9"/>
    <w:rsid w:val="004619ED"/>
    <w:rsid w:val="00461E5D"/>
    <w:rsid w:val="0046215D"/>
    <w:rsid w:val="00462591"/>
    <w:rsid w:val="0046265A"/>
    <w:rsid w:val="0046277B"/>
    <w:rsid w:val="004628B4"/>
    <w:rsid w:val="00463436"/>
    <w:rsid w:val="00463DF5"/>
    <w:rsid w:val="00465AA6"/>
    <w:rsid w:val="00465FB4"/>
    <w:rsid w:val="0046666E"/>
    <w:rsid w:val="004668CF"/>
    <w:rsid w:val="00466A0B"/>
    <w:rsid w:val="00466ADA"/>
    <w:rsid w:val="00467ECA"/>
    <w:rsid w:val="00470735"/>
    <w:rsid w:val="00470C78"/>
    <w:rsid w:val="00470E78"/>
    <w:rsid w:val="004714FB"/>
    <w:rsid w:val="004718E0"/>
    <w:rsid w:val="004733E9"/>
    <w:rsid w:val="00473980"/>
    <w:rsid w:val="00474489"/>
    <w:rsid w:val="00474CCD"/>
    <w:rsid w:val="00474DC7"/>
    <w:rsid w:val="00475027"/>
    <w:rsid w:val="0047523B"/>
    <w:rsid w:val="004755FE"/>
    <w:rsid w:val="00475689"/>
    <w:rsid w:val="00475729"/>
    <w:rsid w:val="00476675"/>
    <w:rsid w:val="004775C5"/>
    <w:rsid w:val="004775F7"/>
    <w:rsid w:val="00477AA1"/>
    <w:rsid w:val="00477FA5"/>
    <w:rsid w:val="004800A4"/>
    <w:rsid w:val="00480390"/>
    <w:rsid w:val="00481002"/>
    <w:rsid w:val="004814BC"/>
    <w:rsid w:val="0048194E"/>
    <w:rsid w:val="004819B0"/>
    <w:rsid w:val="0048242D"/>
    <w:rsid w:val="00483248"/>
    <w:rsid w:val="0048470A"/>
    <w:rsid w:val="00484C04"/>
    <w:rsid w:val="00484F58"/>
    <w:rsid w:val="00485345"/>
    <w:rsid w:val="00485902"/>
    <w:rsid w:val="00485AE5"/>
    <w:rsid w:val="00486277"/>
    <w:rsid w:val="00486EFE"/>
    <w:rsid w:val="00487828"/>
    <w:rsid w:val="00490FD1"/>
    <w:rsid w:val="00491770"/>
    <w:rsid w:val="00491973"/>
    <w:rsid w:val="00492B0F"/>
    <w:rsid w:val="00493194"/>
    <w:rsid w:val="0049342C"/>
    <w:rsid w:val="004935E3"/>
    <w:rsid w:val="00493888"/>
    <w:rsid w:val="00493BA6"/>
    <w:rsid w:val="0049425C"/>
    <w:rsid w:val="00494E4C"/>
    <w:rsid w:val="00495109"/>
    <w:rsid w:val="00495A6B"/>
    <w:rsid w:val="00495D8D"/>
    <w:rsid w:val="00496315"/>
    <w:rsid w:val="004965B0"/>
    <w:rsid w:val="00496A75"/>
    <w:rsid w:val="00496B64"/>
    <w:rsid w:val="00496BF0"/>
    <w:rsid w:val="00496E05"/>
    <w:rsid w:val="00497952"/>
    <w:rsid w:val="00497B8E"/>
    <w:rsid w:val="004A0D08"/>
    <w:rsid w:val="004A0E99"/>
    <w:rsid w:val="004A1D14"/>
    <w:rsid w:val="004A20AA"/>
    <w:rsid w:val="004A248D"/>
    <w:rsid w:val="004A26E4"/>
    <w:rsid w:val="004A2B24"/>
    <w:rsid w:val="004A3784"/>
    <w:rsid w:val="004A37CA"/>
    <w:rsid w:val="004A3CC6"/>
    <w:rsid w:val="004A40B7"/>
    <w:rsid w:val="004A4408"/>
    <w:rsid w:val="004A5A94"/>
    <w:rsid w:val="004A5C0C"/>
    <w:rsid w:val="004A5E40"/>
    <w:rsid w:val="004A6003"/>
    <w:rsid w:val="004A69CF"/>
    <w:rsid w:val="004A6B4E"/>
    <w:rsid w:val="004A6F5B"/>
    <w:rsid w:val="004A6F6D"/>
    <w:rsid w:val="004A78A0"/>
    <w:rsid w:val="004A7A9E"/>
    <w:rsid w:val="004A7AC6"/>
    <w:rsid w:val="004A7D40"/>
    <w:rsid w:val="004B0BA7"/>
    <w:rsid w:val="004B0D11"/>
    <w:rsid w:val="004B0DF2"/>
    <w:rsid w:val="004B1BE5"/>
    <w:rsid w:val="004B2233"/>
    <w:rsid w:val="004B2435"/>
    <w:rsid w:val="004B35A0"/>
    <w:rsid w:val="004B3B5A"/>
    <w:rsid w:val="004B3B89"/>
    <w:rsid w:val="004B4103"/>
    <w:rsid w:val="004B42EA"/>
    <w:rsid w:val="004B4E6D"/>
    <w:rsid w:val="004B55BB"/>
    <w:rsid w:val="004B5693"/>
    <w:rsid w:val="004B5731"/>
    <w:rsid w:val="004B5B4A"/>
    <w:rsid w:val="004B64A8"/>
    <w:rsid w:val="004B65B1"/>
    <w:rsid w:val="004B6A37"/>
    <w:rsid w:val="004B6A39"/>
    <w:rsid w:val="004B744E"/>
    <w:rsid w:val="004C02BA"/>
    <w:rsid w:val="004C1047"/>
    <w:rsid w:val="004C153E"/>
    <w:rsid w:val="004C1A07"/>
    <w:rsid w:val="004C2D7F"/>
    <w:rsid w:val="004C4457"/>
    <w:rsid w:val="004C4E34"/>
    <w:rsid w:val="004C5C80"/>
    <w:rsid w:val="004C5E10"/>
    <w:rsid w:val="004C6930"/>
    <w:rsid w:val="004C7276"/>
    <w:rsid w:val="004C79AC"/>
    <w:rsid w:val="004D0070"/>
    <w:rsid w:val="004D0DFE"/>
    <w:rsid w:val="004D1024"/>
    <w:rsid w:val="004D12C8"/>
    <w:rsid w:val="004D1E1D"/>
    <w:rsid w:val="004D2322"/>
    <w:rsid w:val="004D319D"/>
    <w:rsid w:val="004D3652"/>
    <w:rsid w:val="004D3C10"/>
    <w:rsid w:val="004D3CB9"/>
    <w:rsid w:val="004D42E8"/>
    <w:rsid w:val="004D4568"/>
    <w:rsid w:val="004D4C0C"/>
    <w:rsid w:val="004D4F0A"/>
    <w:rsid w:val="004D5B65"/>
    <w:rsid w:val="004D66A8"/>
    <w:rsid w:val="004D7064"/>
    <w:rsid w:val="004D7761"/>
    <w:rsid w:val="004E050F"/>
    <w:rsid w:val="004E0978"/>
    <w:rsid w:val="004E0BF7"/>
    <w:rsid w:val="004E0D0F"/>
    <w:rsid w:val="004E138D"/>
    <w:rsid w:val="004E15F8"/>
    <w:rsid w:val="004E1B55"/>
    <w:rsid w:val="004E1DBD"/>
    <w:rsid w:val="004E29EC"/>
    <w:rsid w:val="004E29F1"/>
    <w:rsid w:val="004E2A6B"/>
    <w:rsid w:val="004E2B93"/>
    <w:rsid w:val="004E2EEA"/>
    <w:rsid w:val="004E3894"/>
    <w:rsid w:val="004E39CA"/>
    <w:rsid w:val="004E3BDA"/>
    <w:rsid w:val="004E4011"/>
    <w:rsid w:val="004E43CD"/>
    <w:rsid w:val="004E444D"/>
    <w:rsid w:val="004E4533"/>
    <w:rsid w:val="004E4F69"/>
    <w:rsid w:val="004E53C3"/>
    <w:rsid w:val="004E549C"/>
    <w:rsid w:val="004E570A"/>
    <w:rsid w:val="004E57CD"/>
    <w:rsid w:val="004E5A05"/>
    <w:rsid w:val="004E61BD"/>
    <w:rsid w:val="004E6378"/>
    <w:rsid w:val="004E6B7C"/>
    <w:rsid w:val="004E6F2C"/>
    <w:rsid w:val="004E7D59"/>
    <w:rsid w:val="004E7EFA"/>
    <w:rsid w:val="004F1243"/>
    <w:rsid w:val="004F12E3"/>
    <w:rsid w:val="004F1616"/>
    <w:rsid w:val="004F2296"/>
    <w:rsid w:val="004F2A8D"/>
    <w:rsid w:val="004F2C04"/>
    <w:rsid w:val="004F3332"/>
    <w:rsid w:val="004F3D52"/>
    <w:rsid w:val="004F40CF"/>
    <w:rsid w:val="004F4DEA"/>
    <w:rsid w:val="004F55A0"/>
    <w:rsid w:val="004F5C48"/>
    <w:rsid w:val="004F5F14"/>
    <w:rsid w:val="004F72B0"/>
    <w:rsid w:val="004F76D2"/>
    <w:rsid w:val="004F7A85"/>
    <w:rsid w:val="005000EE"/>
    <w:rsid w:val="005002B4"/>
    <w:rsid w:val="00500BCD"/>
    <w:rsid w:val="00500C3B"/>
    <w:rsid w:val="00500D06"/>
    <w:rsid w:val="005012B2"/>
    <w:rsid w:val="00501626"/>
    <w:rsid w:val="00501C25"/>
    <w:rsid w:val="00502197"/>
    <w:rsid w:val="005026DB"/>
    <w:rsid w:val="00503419"/>
    <w:rsid w:val="005037B7"/>
    <w:rsid w:val="0050432C"/>
    <w:rsid w:val="0050436B"/>
    <w:rsid w:val="00504A82"/>
    <w:rsid w:val="00504E79"/>
    <w:rsid w:val="005058E6"/>
    <w:rsid w:val="00505B8D"/>
    <w:rsid w:val="00505F55"/>
    <w:rsid w:val="00506124"/>
    <w:rsid w:val="00506B40"/>
    <w:rsid w:val="00506EC0"/>
    <w:rsid w:val="0050724D"/>
    <w:rsid w:val="00507458"/>
    <w:rsid w:val="00511125"/>
    <w:rsid w:val="00511918"/>
    <w:rsid w:val="00511979"/>
    <w:rsid w:val="00512B3A"/>
    <w:rsid w:val="00512CB2"/>
    <w:rsid w:val="00513942"/>
    <w:rsid w:val="005140DD"/>
    <w:rsid w:val="0051442E"/>
    <w:rsid w:val="00514A56"/>
    <w:rsid w:val="00514C6F"/>
    <w:rsid w:val="00514E74"/>
    <w:rsid w:val="005153DA"/>
    <w:rsid w:val="00515680"/>
    <w:rsid w:val="0051663B"/>
    <w:rsid w:val="00516F52"/>
    <w:rsid w:val="00517049"/>
    <w:rsid w:val="005172F4"/>
    <w:rsid w:val="00517725"/>
    <w:rsid w:val="00517B67"/>
    <w:rsid w:val="00517BFB"/>
    <w:rsid w:val="005212AD"/>
    <w:rsid w:val="005213AB"/>
    <w:rsid w:val="005213F1"/>
    <w:rsid w:val="00521FD6"/>
    <w:rsid w:val="0052217B"/>
    <w:rsid w:val="005222C9"/>
    <w:rsid w:val="005224B2"/>
    <w:rsid w:val="005225A3"/>
    <w:rsid w:val="005236B1"/>
    <w:rsid w:val="00523A15"/>
    <w:rsid w:val="00523E5C"/>
    <w:rsid w:val="005240BF"/>
    <w:rsid w:val="00524BE5"/>
    <w:rsid w:val="00524C33"/>
    <w:rsid w:val="00524E10"/>
    <w:rsid w:val="0052553C"/>
    <w:rsid w:val="0052594A"/>
    <w:rsid w:val="00526035"/>
    <w:rsid w:val="00526255"/>
    <w:rsid w:val="00526327"/>
    <w:rsid w:val="00526DCE"/>
    <w:rsid w:val="00530C67"/>
    <w:rsid w:val="00531ABF"/>
    <w:rsid w:val="00531BFC"/>
    <w:rsid w:val="00531E1A"/>
    <w:rsid w:val="00531EF5"/>
    <w:rsid w:val="0053223B"/>
    <w:rsid w:val="00532674"/>
    <w:rsid w:val="00533252"/>
    <w:rsid w:val="0053337F"/>
    <w:rsid w:val="005336BF"/>
    <w:rsid w:val="00533B2E"/>
    <w:rsid w:val="00534227"/>
    <w:rsid w:val="00534F5D"/>
    <w:rsid w:val="00534F72"/>
    <w:rsid w:val="00535636"/>
    <w:rsid w:val="0053564D"/>
    <w:rsid w:val="0053566C"/>
    <w:rsid w:val="00536347"/>
    <w:rsid w:val="005367D5"/>
    <w:rsid w:val="005373CF"/>
    <w:rsid w:val="0053798F"/>
    <w:rsid w:val="00537A06"/>
    <w:rsid w:val="00537E7E"/>
    <w:rsid w:val="005400FA"/>
    <w:rsid w:val="005401A3"/>
    <w:rsid w:val="005402DE"/>
    <w:rsid w:val="005408B1"/>
    <w:rsid w:val="005410D5"/>
    <w:rsid w:val="00541585"/>
    <w:rsid w:val="00541843"/>
    <w:rsid w:val="0054188B"/>
    <w:rsid w:val="00541F2A"/>
    <w:rsid w:val="00542064"/>
    <w:rsid w:val="005423C9"/>
    <w:rsid w:val="00542602"/>
    <w:rsid w:val="00542A24"/>
    <w:rsid w:val="00542A9A"/>
    <w:rsid w:val="005438E4"/>
    <w:rsid w:val="0054420D"/>
    <w:rsid w:val="0054454E"/>
    <w:rsid w:val="00544654"/>
    <w:rsid w:val="00544EC5"/>
    <w:rsid w:val="005453A3"/>
    <w:rsid w:val="00545E2C"/>
    <w:rsid w:val="0054604E"/>
    <w:rsid w:val="00546AC1"/>
    <w:rsid w:val="00547911"/>
    <w:rsid w:val="00547A67"/>
    <w:rsid w:val="00547C60"/>
    <w:rsid w:val="00550137"/>
    <w:rsid w:val="005504DD"/>
    <w:rsid w:val="00550858"/>
    <w:rsid w:val="0055094F"/>
    <w:rsid w:val="005514C2"/>
    <w:rsid w:val="00551624"/>
    <w:rsid w:val="005526B9"/>
    <w:rsid w:val="00552C4C"/>
    <w:rsid w:val="00553049"/>
    <w:rsid w:val="00553131"/>
    <w:rsid w:val="00553FA1"/>
    <w:rsid w:val="005542CD"/>
    <w:rsid w:val="00554C1C"/>
    <w:rsid w:val="00555131"/>
    <w:rsid w:val="00555175"/>
    <w:rsid w:val="0055665E"/>
    <w:rsid w:val="00556DC4"/>
    <w:rsid w:val="00557A30"/>
    <w:rsid w:val="00560DD9"/>
    <w:rsid w:val="005611DF"/>
    <w:rsid w:val="00561238"/>
    <w:rsid w:val="00561EBF"/>
    <w:rsid w:val="00562ADD"/>
    <w:rsid w:val="00562FFF"/>
    <w:rsid w:val="00563241"/>
    <w:rsid w:val="00565188"/>
    <w:rsid w:val="00565423"/>
    <w:rsid w:val="00566455"/>
    <w:rsid w:val="00566852"/>
    <w:rsid w:val="00567B9A"/>
    <w:rsid w:val="005704A9"/>
    <w:rsid w:val="005705D3"/>
    <w:rsid w:val="005707DE"/>
    <w:rsid w:val="00570CCB"/>
    <w:rsid w:val="0057112A"/>
    <w:rsid w:val="005715D3"/>
    <w:rsid w:val="00571771"/>
    <w:rsid w:val="00571ACB"/>
    <w:rsid w:val="00572BBC"/>
    <w:rsid w:val="00572E3B"/>
    <w:rsid w:val="00573561"/>
    <w:rsid w:val="00573FD7"/>
    <w:rsid w:val="00574361"/>
    <w:rsid w:val="005743E6"/>
    <w:rsid w:val="00574764"/>
    <w:rsid w:val="00574D81"/>
    <w:rsid w:val="005759BB"/>
    <w:rsid w:val="00575A23"/>
    <w:rsid w:val="00575DC6"/>
    <w:rsid w:val="0057609B"/>
    <w:rsid w:val="0057653B"/>
    <w:rsid w:val="00576BAF"/>
    <w:rsid w:val="005772C5"/>
    <w:rsid w:val="00577921"/>
    <w:rsid w:val="0057797F"/>
    <w:rsid w:val="00577C1C"/>
    <w:rsid w:val="00577DD2"/>
    <w:rsid w:val="00577DD3"/>
    <w:rsid w:val="00577E22"/>
    <w:rsid w:val="00580349"/>
    <w:rsid w:val="00580657"/>
    <w:rsid w:val="00580CB8"/>
    <w:rsid w:val="00580DE9"/>
    <w:rsid w:val="00580E09"/>
    <w:rsid w:val="00581D5C"/>
    <w:rsid w:val="0058238C"/>
    <w:rsid w:val="00582A7E"/>
    <w:rsid w:val="00582BAF"/>
    <w:rsid w:val="005830F5"/>
    <w:rsid w:val="00583483"/>
    <w:rsid w:val="00583D4C"/>
    <w:rsid w:val="00583D9F"/>
    <w:rsid w:val="00584D72"/>
    <w:rsid w:val="0058515B"/>
    <w:rsid w:val="0058566E"/>
    <w:rsid w:val="00586622"/>
    <w:rsid w:val="00586755"/>
    <w:rsid w:val="00586BDE"/>
    <w:rsid w:val="00587115"/>
    <w:rsid w:val="00587617"/>
    <w:rsid w:val="00587D98"/>
    <w:rsid w:val="00590299"/>
    <w:rsid w:val="00591968"/>
    <w:rsid w:val="00592081"/>
    <w:rsid w:val="00592243"/>
    <w:rsid w:val="005927EC"/>
    <w:rsid w:val="00592AC1"/>
    <w:rsid w:val="00592C0C"/>
    <w:rsid w:val="005939FA"/>
    <w:rsid w:val="00594105"/>
    <w:rsid w:val="0059524A"/>
    <w:rsid w:val="00595252"/>
    <w:rsid w:val="005957D1"/>
    <w:rsid w:val="00595924"/>
    <w:rsid w:val="00595AE8"/>
    <w:rsid w:val="00595E1B"/>
    <w:rsid w:val="0059628D"/>
    <w:rsid w:val="00596490"/>
    <w:rsid w:val="0059734D"/>
    <w:rsid w:val="00597CA1"/>
    <w:rsid w:val="005A01A1"/>
    <w:rsid w:val="005A070A"/>
    <w:rsid w:val="005A0837"/>
    <w:rsid w:val="005A19FE"/>
    <w:rsid w:val="005A23B6"/>
    <w:rsid w:val="005A275C"/>
    <w:rsid w:val="005A2972"/>
    <w:rsid w:val="005A2EFF"/>
    <w:rsid w:val="005A33B5"/>
    <w:rsid w:val="005A33D2"/>
    <w:rsid w:val="005A453C"/>
    <w:rsid w:val="005A55A9"/>
    <w:rsid w:val="005A5D62"/>
    <w:rsid w:val="005A6EB7"/>
    <w:rsid w:val="005A7D42"/>
    <w:rsid w:val="005B04E8"/>
    <w:rsid w:val="005B058C"/>
    <w:rsid w:val="005B0E44"/>
    <w:rsid w:val="005B0F30"/>
    <w:rsid w:val="005B18B9"/>
    <w:rsid w:val="005B1C20"/>
    <w:rsid w:val="005B1ED2"/>
    <w:rsid w:val="005B1F30"/>
    <w:rsid w:val="005B20BA"/>
    <w:rsid w:val="005B2521"/>
    <w:rsid w:val="005B2C22"/>
    <w:rsid w:val="005B303E"/>
    <w:rsid w:val="005B3439"/>
    <w:rsid w:val="005B4373"/>
    <w:rsid w:val="005B516A"/>
    <w:rsid w:val="005B567B"/>
    <w:rsid w:val="005B5A83"/>
    <w:rsid w:val="005B5D02"/>
    <w:rsid w:val="005B5D13"/>
    <w:rsid w:val="005B5E23"/>
    <w:rsid w:val="005B6A04"/>
    <w:rsid w:val="005B6CC9"/>
    <w:rsid w:val="005C076F"/>
    <w:rsid w:val="005C0927"/>
    <w:rsid w:val="005C123E"/>
    <w:rsid w:val="005C1536"/>
    <w:rsid w:val="005C2078"/>
    <w:rsid w:val="005C22C8"/>
    <w:rsid w:val="005C23ED"/>
    <w:rsid w:val="005C4305"/>
    <w:rsid w:val="005C450B"/>
    <w:rsid w:val="005C48B4"/>
    <w:rsid w:val="005C4B70"/>
    <w:rsid w:val="005C53A5"/>
    <w:rsid w:val="005C5A54"/>
    <w:rsid w:val="005C6738"/>
    <w:rsid w:val="005C685D"/>
    <w:rsid w:val="005C7859"/>
    <w:rsid w:val="005C7D21"/>
    <w:rsid w:val="005C7F09"/>
    <w:rsid w:val="005D1234"/>
    <w:rsid w:val="005D132D"/>
    <w:rsid w:val="005D260F"/>
    <w:rsid w:val="005D28AA"/>
    <w:rsid w:val="005D2A2C"/>
    <w:rsid w:val="005D2DF1"/>
    <w:rsid w:val="005D39B6"/>
    <w:rsid w:val="005D39C5"/>
    <w:rsid w:val="005D3F05"/>
    <w:rsid w:val="005D429E"/>
    <w:rsid w:val="005D4D30"/>
    <w:rsid w:val="005D5EBF"/>
    <w:rsid w:val="005D5FAA"/>
    <w:rsid w:val="005D64E9"/>
    <w:rsid w:val="005D6579"/>
    <w:rsid w:val="005D65E4"/>
    <w:rsid w:val="005D69D7"/>
    <w:rsid w:val="005D6A8E"/>
    <w:rsid w:val="005D6B26"/>
    <w:rsid w:val="005D70A0"/>
    <w:rsid w:val="005D71CF"/>
    <w:rsid w:val="005D7432"/>
    <w:rsid w:val="005E07AB"/>
    <w:rsid w:val="005E0AA3"/>
    <w:rsid w:val="005E0D12"/>
    <w:rsid w:val="005E0F4A"/>
    <w:rsid w:val="005E16F6"/>
    <w:rsid w:val="005E23AD"/>
    <w:rsid w:val="005E26EF"/>
    <w:rsid w:val="005E321F"/>
    <w:rsid w:val="005E33FA"/>
    <w:rsid w:val="005E34B3"/>
    <w:rsid w:val="005E4939"/>
    <w:rsid w:val="005E4AAD"/>
    <w:rsid w:val="005E5275"/>
    <w:rsid w:val="005E53E5"/>
    <w:rsid w:val="005E54C1"/>
    <w:rsid w:val="005E5A18"/>
    <w:rsid w:val="005E5AB8"/>
    <w:rsid w:val="005E5BFC"/>
    <w:rsid w:val="005E5C0E"/>
    <w:rsid w:val="005E6297"/>
    <w:rsid w:val="005E62D4"/>
    <w:rsid w:val="005E69C5"/>
    <w:rsid w:val="005E6AE8"/>
    <w:rsid w:val="005E6D54"/>
    <w:rsid w:val="005E7104"/>
    <w:rsid w:val="005E7D0C"/>
    <w:rsid w:val="005E7D72"/>
    <w:rsid w:val="005F0A1E"/>
    <w:rsid w:val="005F16E8"/>
    <w:rsid w:val="005F1753"/>
    <w:rsid w:val="005F1FF7"/>
    <w:rsid w:val="005F242C"/>
    <w:rsid w:val="005F24D3"/>
    <w:rsid w:val="005F2ADE"/>
    <w:rsid w:val="005F403B"/>
    <w:rsid w:val="005F4062"/>
    <w:rsid w:val="005F4B64"/>
    <w:rsid w:val="005F57FE"/>
    <w:rsid w:val="005F5F52"/>
    <w:rsid w:val="005F77EC"/>
    <w:rsid w:val="005F7B64"/>
    <w:rsid w:val="00600004"/>
    <w:rsid w:val="00600E74"/>
    <w:rsid w:val="00600F61"/>
    <w:rsid w:val="00601C0B"/>
    <w:rsid w:val="00601DE3"/>
    <w:rsid w:val="006020A7"/>
    <w:rsid w:val="006025E1"/>
    <w:rsid w:val="00602C50"/>
    <w:rsid w:val="00603E37"/>
    <w:rsid w:val="00603E3F"/>
    <w:rsid w:val="00604B75"/>
    <w:rsid w:val="00606093"/>
    <w:rsid w:val="0060797A"/>
    <w:rsid w:val="00611897"/>
    <w:rsid w:val="00611C5D"/>
    <w:rsid w:val="0061255F"/>
    <w:rsid w:val="006125E1"/>
    <w:rsid w:val="00612D46"/>
    <w:rsid w:val="00614092"/>
    <w:rsid w:val="0061597D"/>
    <w:rsid w:val="006166A3"/>
    <w:rsid w:val="006167E9"/>
    <w:rsid w:val="00616ACC"/>
    <w:rsid w:val="00616C70"/>
    <w:rsid w:val="00617047"/>
    <w:rsid w:val="006172B5"/>
    <w:rsid w:val="00617C47"/>
    <w:rsid w:val="0062017D"/>
    <w:rsid w:val="00621089"/>
    <w:rsid w:val="00621F38"/>
    <w:rsid w:val="0062279B"/>
    <w:rsid w:val="006232BE"/>
    <w:rsid w:val="006235AA"/>
    <w:rsid w:val="006236AC"/>
    <w:rsid w:val="00623755"/>
    <w:rsid w:val="00623D93"/>
    <w:rsid w:val="00624691"/>
    <w:rsid w:val="00624846"/>
    <w:rsid w:val="0062499C"/>
    <w:rsid w:val="0062541D"/>
    <w:rsid w:val="00625944"/>
    <w:rsid w:val="00625D6E"/>
    <w:rsid w:val="0062635D"/>
    <w:rsid w:val="00626AD4"/>
    <w:rsid w:val="00626BDF"/>
    <w:rsid w:val="00626D4F"/>
    <w:rsid w:val="00627961"/>
    <w:rsid w:val="00627EDE"/>
    <w:rsid w:val="00630C2B"/>
    <w:rsid w:val="00631082"/>
    <w:rsid w:val="00631652"/>
    <w:rsid w:val="00631A6E"/>
    <w:rsid w:val="006327E7"/>
    <w:rsid w:val="006328AE"/>
    <w:rsid w:val="00632BEC"/>
    <w:rsid w:val="00633E48"/>
    <w:rsid w:val="006345C2"/>
    <w:rsid w:val="00634675"/>
    <w:rsid w:val="00634DB3"/>
    <w:rsid w:val="006351C5"/>
    <w:rsid w:val="00635AC7"/>
    <w:rsid w:val="00635B6D"/>
    <w:rsid w:val="00635E03"/>
    <w:rsid w:val="0063645F"/>
    <w:rsid w:val="006368C7"/>
    <w:rsid w:val="00636D2C"/>
    <w:rsid w:val="00637CFD"/>
    <w:rsid w:val="00640616"/>
    <w:rsid w:val="00640EF1"/>
    <w:rsid w:val="00640F48"/>
    <w:rsid w:val="00640F8F"/>
    <w:rsid w:val="00641277"/>
    <w:rsid w:val="0064203B"/>
    <w:rsid w:val="0064281C"/>
    <w:rsid w:val="00642F5E"/>
    <w:rsid w:val="0064334B"/>
    <w:rsid w:val="00643380"/>
    <w:rsid w:val="00643869"/>
    <w:rsid w:val="00644C64"/>
    <w:rsid w:val="00644EAC"/>
    <w:rsid w:val="00645605"/>
    <w:rsid w:val="00646685"/>
    <w:rsid w:val="006469EC"/>
    <w:rsid w:val="00646F4C"/>
    <w:rsid w:val="00647230"/>
    <w:rsid w:val="00647281"/>
    <w:rsid w:val="00647289"/>
    <w:rsid w:val="00650BF2"/>
    <w:rsid w:val="0065138C"/>
    <w:rsid w:val="006517FE"/>
    <w:rsid w:val="00651896"/>
    <w:rsid w:val="00651950"/>
    <w:rsid w:val="00651FD5"/>
    <w:rsid w:val="0065226E"/>
    <w:rsid w:val="006524BF"/>
    <w:rsid w:val="0065278B"/>
    <w:rsid w:val="00653207"/>
    <w:rsid w:val="00653521"/>
    <w:rsid w:val="00653DEA"/>
    <w:rsid w:val="00653E69"/>
    <w:rsid w:val="00654097"/>
    <w:rsid w:val="0065525F"/>
    <w:rsid w:val="0065614C"/>
    <w:rsid w:val="00660C01"/>
    <w:rsid w:val="00660E35"/>
    <w:rsid w:val="00660FC7"/>
    <w:rsid w:val="00661298"/>
    <w:rsid w:val="006629BD"/>
    <w:rsid w:val="00663058"/>
    <w:rsid w:val="00663824"/>
    <w:rsid w:val="00663BED"/>
    <w:rsid w:val="00663C75"/>
    <w:rsid w:val="00663F65"/>
    <w:rsid w:val="006644DA"/>
    <w:rsid w:val="006644E5"/>
    <w:rsid w:val="0066476F"/>
    <w:rsid w:val="0066496F"/>
    <w:rsid w:val="00664CA9"/>
    <w:rsid w:val="006654E1"/>
    <w:rsid w:val="006660DA"/>
    <w:rsid w:val="006668C1"/>
    <w:rsid w:val="00666CDC"/>
    <w:rsid w:val="00667D1A"/>
    <w:rsid w:val="00667D36"/>
    <w:rsid w:val="00670134"/>
    <w:rsid w:val="00670936"/>
    <w:rsid w:val="00671014"/>
    <w:rsid w:val="006711CB"/>
    <w:rsid w:val="0067143A"/>
    <w:rsid w:val="0067154C"/>
    <w:rsid w:val="00672176"/>
    <w:rsid w:val="006722C0"/>
    <w:rsid w:val="00673D7A"/>
    <w:rsid w:val="00674349"/>
    <w:rsid w:val="00674545"/>
    <w:rsid w:val="00675D8D"/>
    <w:rsid w:val="00675F4B"/>
    <w:rsid w:val="00676315"/>
    <w:rsid w:val="006764F6"/>
    <w:rsid w:val="0067713A"/>
    <w:rsid w:val="006774AD"/>
    <w:rsid w:val="006779CC"/>
    <w:rsid w:val="00677AAD"/>
    <w:rsid w:val="00677E6A"/>
    <w:rsid w:val="0068071C"/>
    <w:rsid w:val="0068137B"/>
    <w:rsid w:val="006819C3"/>
    <w:rsid w:val="006819D3"/>
    <w:rsid w:val="00681BB0"/>
    <w:rsid w:val="00681D2C"/>
    <w:rsid w:val="00682485"/>
    <w:rsid w:val="00682D87"/>
    <w:rsid w:val="00683234"/>
    <w:rsid w:val="00683293"/>
    <w:rsid w:val="0068469D"/>
    <w:rsid w:val="00684989"/>
    <w:rsid w:val="00684CAB"/>
    <w:rsid w:val="006853E2"/>
    <w:rsid w:val="00685C63"/>
    <w:rsid w:val="00685EB9"/>
    <w:rsid w:val="00686262"/>
    <w:rsid w:val="00686432"/>
    <w:rsid w:val="006864B9"/>
    <w:rsid w:val="0069007A"/>
    <w:rsid w:val="00690237"/>
    <w:rsid w:val="0069066D"/>
    <w:rsid w:val="00690708"/>
    <w:rsid w:val="00690867"/>
    <w:rsid w:val="00690B2A"/>
    <w:rsid w:val="006915ED"/>
    <w:rsid w:val="00691B9E"/>
    <w:rsid w:val="00691D88"/>
    <w:rsid w:val="00691DDF"/>
    <w:rsid w:val="0069220E"/>
    <w:rsid w:val="006929D7"/>
    <w:rsid w:val="00692EDF"/>
    <w:rsid w:val="00693222"/>
    <w:rsid w:val="00693951"/>
    <w:rsid w:val="00693D86"/>
    <w:rsid w:val="0069559D"/>
    <w:rsid w:val="0069561B"/>
    <w:rsid w:val="006957A3"/>
    <w:rsid w:val="00695A46"/>
    <w:rsid w:val="00696E95"/>
    <w:rsid w:val="0069701B"/>
    <w:rsid w:val="0069713C"/>
    <w:rsid w:val="00697C19"/>
    <w:rsid w:val="006A0960"/>
    <w:rsid w:val="006A0DD1"/>
    <w:rsid w:val="006A0EDD"/>
    <w:rsid w:val="006A1374"/>
    <w:rsid w:val="006A14F4"/>
    <w:rsid w:val="006A1DC4"/>
    <w:rsid w:val="006A225F"/>
    <w:rsid w:val="006A229C"/>
    <w:rsid w:val="006A2C4E"/>
    <w:rsid w:val="006A338E"/>
    <w:rsid w:val="006A3578"/>
    <w:rsid w:val="006A3E55"/>
    <w:rsid w:val="006A47B6"/>
    <w:rsid w:val="006A4858"/>
    <w:rsid w:val="006A5402"/>
    <w:rsid w:val="006A5405"/>
    <w:rsid w:val="006A5EC3"/>
    <w:rsid w:val="006A60B8"/>
    <w:rsid w:val="006A61AE"/>
    <w:rsid w:val="006A6269"/>
    <w:rsid w:val="006A62E9"/>
    <w:rsid w:val="006A662E"/>
    <w:rsid w:val="006A68A0"/>
    <w:rsid w:val="006A699D"/>
    <w:rsid w:val="006A6A1F"/>
    <w:rsid w:val="006A71FC"/>
    <w:rsid w:val="006A72D7"/>
    <w:rsid w:val="006A7801"/>
    <w:rsid w:val="006A79D4"/>
    <w:rsid w:val="006B0E96"/>
    <w:rsid w:val="006B0FDC"/>
    <w:rsid w:val="006B1889"/>
    <w:rsid w:val="006B1F40"/>
    <w:rsid w:val="006B24EF"/>
    <w:rsid w:val="006B251B"/>
    <w:rsid w:val="006B2CCE"/>
    <w:rsid w:val="006B2E9E"/>
    <w:rsid w:val="006B33ED"/>
    <w:rsid w:val="006B3C33"/>
    <w:rsid w:val="006B3CB5"/>
    <w:rsid w:val="006B40EA"/>
    <w:rsid w:val="006B456C"/>
    <w:rsid w:val="006B4917"/>
    <w:rsid w:val="006B4D91"/>
    <w:rsid w:val="006B4F14"/>
    <w:rsid w:val="006B5388"/>
    <w:rsid w:val="006B5A6F"/>
    <w:rsid w:val="006B60CF"/>
    <w:rsid w:val="006B6391"/>
    <w:rsid w:val="006B6939"/>
    <w:rsid w:val="006B69D8"/>
    <w:rsid w:val="006B7048"/>
    <w:rsid w:val="006B7517"/>
    <w:rsid w:val="006C01D0"/>
    <w:rsid w:val="006C054A"/>
    <w:rsid w:val="006C0FF4"/>
    <w:rsid w:val="006C15A8"/>
    <w:rsid w:val="006C15CD"/>
    <w:rsid w:val="006C30D9"/>
    <w:rsid w:val="006C336D"/>
    <w:rsid w:val="006C339E"/>
    <w:rsid w:val="006C368D"/>
    <w:rsid w:val="006C36D7"/>
    <w:rsid w:val="006C4A81"/>
    <w:rsid w:val="006C554D"/>
    <w:rsid w:val="006C5700"/>
    <w:rsid w:val="006C7E55"/>
    <w:rsid w:val="006C7F38"/>
    <w:rsid w:val="006D0A1B"/>
    <w:rsid w:val="006D0E0F"/>
    <w:rsid w:val="006D106E"/>
    <w:rsid w:val="006D18BF"/>
    <w:rsid w:val="006D1ACE"/>
    <w:rsid w:val="006D1DA5"/>
    <w:rsid w:val="006D1F11"/>
    <w:rsid w:val="006D1F2C"/>
    <w:rsid w:val="006D26D8"/>
    <w:rsid w:val="006D2BD0"/>
    <w:rsid w:val="006D2DCB"/>
    <w:rsid w:val="006D2EB5"/>
    <w:rsid w:val="006D31DA"/>
    <w:rsid w:val="006D37E9"/>
    <w:rsid w:val="006D3BE8"/>
    <w:rsid w:val="006D3C63"/>
    <w:rsid w:val="006D3E4D"/>
    <w:rsid w:val="006D46A3"/>
    <w:rsid w:val="006D4BB7"/>
    <w:rsid w:val="006D4D79"/>
    <w:rsid w:val="006D50B9"/>
    <w:rsid w:val="006D5465"/>
    <w:rsid w:val="006D553E"/>
    <w:rsid w:val="006D5674"/>
    <w:rsid w:val="006D58A8"/>
    <w:rsid w:val="006D5BDA"/>
    <w:rsid w:val="006D5D64"/>
    <w:rsid w:val="006D61FA"/>
    <w:rsid w:val="006D6313"/>
    <w:rsid w:val="006D689F"/>
    <w:rsid w:val="006D6ABF"/>
    <w:rsid w:val="006D71F1"/>
    <w:rsid w:val="006D762C"/>
    <w:rsid w:val="006D7BDD"/>
    <w:rsid w:val="006D7FC6"/>
    <w:rsid w:val="006E0BF6"/>
    <w:rsid w:val="006E1338"/>
    <w:rsid w:val="006E18E5"/>
    <w:rsid w:val="006E18E7"/>
    <w:rsid w:val="006E236B"/>
    <w:rsid w:val="006E2CA0"/>
    <w:rsid w:val="006E2CC6"/>
    <w:rsid w:val="006E3720"/>
    <w:rsid w:val="006E38FA"/>
    <w:rsid w:val="006E3CB4"/>
    <w:rsid w:val="006E3F30"/>
    <w:rsid w:val="006E4935"/>
    <w:rsid w:val="006E4A5C"/>
    <w:rsid w:val="006E4C0F"/>
    <w:rsid w:val="006E4F12"/>
    <w:rsid w:val="006E5308"/>
    <w:rsid w:val="006E5903"/>
    <w:rsid w:val="006E5A83"/>
    <w:rsid w:val="006E6D2F"/>
    <w:rsid w:val="006E75BB"/>
    <w:rsid w:val="006F0010"/>
    <w:rsid w:val="006F0528"/>
    <w:rsid w:val="006F0CB9"/>
    <w:rsid w:val="006F1546"/>
    <w:rsid w:val="006F208C"/>
    <w:rsid w:val="006F2096"/>
    <w:rsid w:val="006F3DCE"/>
    <w:rsid w:val="006F411F"/>
    <w:rsid w:val="006F4C3E"/>
    <w:rsid w:val="006F6124"/>
    <w:rsid w:val="006F6D92"/>
    <w:rsid w:val="006F6FD0"/>
    <w:rsid w:val="006F71A3"/>
    <w:rsid w:val="006F7378"/>
    <w:rsid w:val="006F7561"/>
    <w:rsid w:val="006F7875"/>
    <w:rsid w:val="006F7C75"/>
    <w:rsid w:val="006F7EA7"/>
    <w:rsid w:val="00700239"/>
    <w:rsid w:val="007002D0"/>
    <w:rsid w:val="007006CF"/>
    <w:rsid w:val="00701117"/>
    <w:rsid w:val="0070111E"/>
    <w:rsid w:val="007011C4"/>
    <w:rsid w:val="00701719"/>
    <w:rsid w:val="00701798"/>
    <w:rsid w:val="00701B28"/>
    <w:rsid w:val="00702A5A"/>
    <w:rsid w:val="00702E00"/>
    <w:rsid w:val="00703BE4"/>
    <w:rsid w:val="00703F9A"/>
    <w:rsid w:val="00704580"/>
    <w:rsid w:val="00704F00"/>
    <w:rsid w:val="00706A82"/>
    <w:rsid w:val="00706D2D"/>
    <w:rsid w:val="007074A8"/>
    <w:rsid w:val="00707F97"/>
    <w:rsid w:val="0071060E"/>
    <w:rsid w:val="0071107B"/>
    <w:rsid w:val="00711908"/>
    <w:rsid w:val="0071261D"/>
    <w:rsid w:val="007126F0"/>
    <w:rsid w:val="007127DF"/>
    <w:rsid w:val="007131EC"/>
    <w:rsid w:val="00713506"/>
    <w:rsid w:val="00713561"/>
    <w:rsid w:val="00714284"/>
    <w:rsid w:val="0071457A"/>
    <w:rsid w:val="0071467C"/>
    <w:rsid w:val="007170E3"/>
    <w:rsid w:val="00717564"/>
    <w:rsid w:val="007211A3"/>
    <w:rsid w:val="00721415"/>
    <w:rsid w:val="007219CB"/>
    <w:rsid w:val="00721B70"/>
    <w:rsid w:val="00722014"/>
    <w:rsid w:val="007220DA"/>
    <w:rsid w:val="007227A6"/>
    <w:rsid w:val="007228D0"/>
    <w:rsid w:val="00722B34"/>
    <w:rsid w:val="007239E2"/>
    <w:rsid w:val="00723D1A"/>
    <w:rsid w:val="007240FC"/>
    <w:rsid w:val="007247AF"/>
    <w:rsid w:val="00724CAA"/>
    <w:rsid w:val="00724DDD"/>
    <w:rsid w:val="00724DE9"/>
    <w:rsid w:val="00725034"/>
    <w:rsid w:val="00725198"/>
    <w:rsid w:val="00725424"/>
    <w:rsid w:val="007254C1"/>
    <w:rsid w:val="00725655"/>
    <w:rsid w:val="007257BE"/>
    <w:rsid w:val="007258B2"/>
    <w:rsid w:val="007262E4"/>
    <w:rsid w:val="007264BE"/>
    <w:rsid w:val="0072664A"/>
    <w:rsid w:val="007273F6"/>
    <w:rsid w:val="0072750E"/>
    <w:rsid w:val="00727838"/>
    <w:rsid w:val="00727A3F"/>
    <w:rsid w:val="00730746"/>
    <w:rsid w:val="00730BC4"/>
    <w:rsid w:val="00731363"/>
    <w:rsid w:val="0073169E"/>
    <w:rsid w:val="00731758"/>
    <w:rsid w:val="00731CA9"/>
    <w:rsid w:val="00732022"/>
    <w:rsid w:val="00732448"/>
    <w:rsid w:val="0073253F"/>
    <w:rsid w:val="0073366F"/>
    <w:rsid w:val="007340DF"/>
    <w:rsid w:val="00734605"/>
    <w:rsid w:val="007349EB"/>
    <w:rsid w:val="007352F6"/>
    <w:rsid w:val="00735558"/>
    <w:rsid w:val="007355E8"/>
    <w:rsid w:val="00735B41"/>
    <w:rsid w:val="00735D90"/>
    <w:rsid w:val="00735EE2"/>
    <w:rsid w:val="00736140"/>
    <w:rsid w:val="00736736"/>
    <w:rsid w:val="00736A3F"/>
    <w:rsid w:val="00736D0E"/>
    <w:rsid w:val="00737B26"/>
    <w:rsid w:val="00740A3E"/>
    <w:rsid w:val="007410A8"/>
    <w:rsid w:val="00741186"/>
    <w:rsid w:val="007418F4"/>
    <w:rsid w:val="00741FFC"/>
    <w:rsid w:val="00742BEE"/>
    <w:rsid w:val="007433EF"/>
    <w:rsid w:val="00743BBD"/>
    <w:rsid w:val="00743CFB"/>
    <w:rsid w:val="0074457B"/>
    <w:rsid w:val="007447C0"/>
    <w:rsid w:val="00744D2C"/>
    <w:rsid w:val="00745229"/>
    <w:rsid w:val="007459FA"/>
    <w:rsid w:val="00746A1C"/>
    <w:rsid w:val="00746A39"/>
    <w:rsid w:val="00747133"/>
    <w:rsid w:val="00747AD3"/>
    <w:rsid w:val="007509C4"/>
    <w:rsid w:val="00750DD8"/>
    <w:rsid w:val="00750E70"/>
    <w:rsid w:val="00750F61"/>
    <w:rsid w:val="007514DA"/>
    <w:rsid w:val="0075216C"/>
    <w:rsid w:val="00752204"/>
    <w:rsid w:val="007528E9"/>
    <w:rsid w:val="0075294E"/>
    <w:rsid w:val="00753000"/>
    <w:rsid w:val="00753405"/>
    <w:rsid w:val="0075368C"/>
    <w:rsid w:val="00753849"/>
    <w:rsid w:val="00753AC6"/>
    <w:rsid w:val="007545A8"/>
    <w:rsid w:val="00754B07"/>
    <w:rsid w:val="00754E7D"/>
    <w:rsid w:val="0075699B"/>
    <w:rsid w:val="00756A2E"/>
    <w:rsid w:val="00756E37"/>
    <w:rsid w:val="00757297"/>
    <w:rsid w:val="00757AB6"/>
    <w:rsid w:val="00757BFB"/>
    <w:rsid w:val="00760052"/>
    <w:rsid w:val="0076068C"/>
    <w:rsid w:val="00760A00"/>
    <w:rsid w:val="00760D19"/>
    <w:rsid w:val="00761577"/>
    <w:rsid w:val="00761767"/>
    <w:rsid w:val="007619DB"/>
    <w:rsid w:val="00761D54"/>
    <w:rsid w:val="00761F4E"/>
    <w:rsid w:val="00762958"/>
    <w:rsid w:val="007629E3"/>
    <w:rsid w:val="00762AA0"/>
    <w:rsid w:val="00762EFE"/>
    <w:rsid w:val="007633EB"/>
    <w:rsid w:val="0076395F"/>
    <w:rsid w:val="00763A8D"/>
    <w:rsid w:val="00763E12"/>
    <w:rsid w:val="0076409F"/>
    <w:rsid w:val="00764B48"/>
    <w:rsid w:val="00765E2E"/>
    <w:rsid w:val="00766073"/>
    <w:rsid w:val="007660D4"/>
    <w:rsid w:val="007661A9"/>
    <w:rsid w:val="007665C8"/>
    <w:rsid w:val="007673EC"/>
    <w:rsid w:val="00767442"/>
    <w:rsid w:val="0076748D"/>
    <w:rsid w:val="00767964"/>
    <w:rsid w:val="00767A0D"/>
    <w:rsid w:val="007710F2"/>
    <w:rsid w:val="007714DC"/>
    <w:rsid w:val="007714F4"/>
    <w:rsid w:val="007716D9"/>
    <w:rsid w:val="00771A90"/>
    <w:rsid w:val="00772265"/>
    <w:rsid w:val="00772F01"/>
    <w:rsid w:val="0077317C"/>
    <w:rsid w:val="007742C1"/>
    <w:rsid w:val="007743A2"/>
    <w:rsid w:val="0077455D"/>
    <w:rsid w:val="00774951"/>
    <w:rsid w:val="007749EA"/>
    <w:rsid w:val="0077507B"/>
    <w:rsid w:val="00775767"/>
    <w:rsid w:val="00775A3B"/>
    <w:rsid w:val="0077754E"/>
    <w:rsid w:val="007802B2"/>
    <w:rsid w:val="00780D55"/>
    <w:rsid w:val="0078203E"/>
    <w:rsid w:val="00782DC2"/>
    <w:rsid w:val="0078322E"/>
    <w:rsid w:val="0078339B"/>
    <w:rsid w:val="00783AEB"/>
    <w:rsid w:val="00783BA9"/>
    <w:rsid w:val="0078435A"/>
    <w:rsid w:val="00785AB3"/>
    <w:rsid w:val="00785C4A"/>
    <w:rsid w:val="007860EA"/>
    <w:rsid w:val="0078678D"/>
    <w:rsid w:val="00786B15"/>
    <w:rsid w:val="007874B1"/>
    <w:rsid w:val="00787630"/>
    <w:rsid w:val="0078783E"/>
    <w:rsid w:val="00787ADA"/>
    <w:rsid w:val="00790449"/>
    <w:rsid w:val="007904AF"/>
    <w:rsid w:val="007904C0"/>
    <w:rsid w:val="007904E4"/>
    <w:rsid w:val="00790831"/>
    <w:rsid w:val="00790FD1"/>
    <w:rsid w:val="007911D3"/>
    <w:rsid w:val="00791B4F"/>
    <w:rsid w:val="007921B4"/>
    <w:rsid w:val="00792532"/>
    <w:rsid w:val="0079291D"/>
    <w:rsid w:val="00792F79"/>
    <w:rsid w:val="00793430"/>
    <w:rsid w:val="007935DB"/>
    <w:rsid w:val="007945AD"/>
    <w:rsid w:val="00794870"/>
    <w:rsid w:val="00794F9C"/>
    <w:rsid w:val="00795595"/>
    <w:rsid w:val="00795AD4"/>
    <w:rsid w:val="007961E3"/>
    <w:rsid w:val="00796253"/>
    <w:rsid w:val="007964C8"/>
    <w:rsid w:val="00796C5C"/>
    <w:rsid w:val="007971A6"/>
    <w:rsid w:val="00797E9D"/>
    <w:rsid w:val="007A06AA"/>
    <w:rsid w:val="007A09AB"/>
    <w:rsid w:val="007A0D59"/>
    <w:rsid w:val="007A0D62"/>
    <w:rsid w:val="007A1176"/>
    <w:rsid w:val="007A11E9"/>
    <w:rsid w:val="007A171C"/>
    <w:rsid w:val="007A1F82"/>
    <w:rsid w:val="007A3B09"/>
    <w:rsid w:val="007A42E0"/>
    <w:rsid w:val="007A449E"/>
    <w:rsid w:val="007A4B84"/>
    <w:rsid w:val="007A56EC"/>
    <w:rsid w:val="007A5A9A"/>
    <w:rsid w:val="007A60C4"/>
    <w:rsid w:val="007A6359"/>
    <w:rsid w:val="007A65E9"/>
    <w:rsid w:val="007A6D0F"/>
    <w:rsid w:val="007A700D"/>
    <w:rsid w:val="007A78A0"/>
    <w:rsid w:val="007A79DD"/>
    <w:rsid w:val="007A7BA1"/>
    <w:rsid w:val="007A7D2F"/>
    <w:rsid w:val="007A7E83"/>
    <w:rsid w:val="007B006E"/>
    <w:rsid w:val="007B02B7"/>
    <w:rsid w:val="007B19CA"/>
    <w:rsid w:val="007B1A29"/>
    <w:rsid w:val="007B1D13"/>
    <w:rsid w:val="007B25B3"/>
    <w:rsid w:val="007B280F"/>
    <w:rsid w:val="007B2E85"/>
    <w:rsid w:val="007B309D"/>
    <w:rsid w:val="007B312B"/>
    <w:rsid w:val="007B336C"/>
    <w:rsid w:val="007B3DED"/>
    <w:rsid w:val="007B4504"/>
    <w:rsid w:val="007B503A"/>
    <w:rsid w:val="007B51B1"/>
    <w:rsid w:val="007B5855"/>
    <w:rsid w:val="007B6203"/>
    <w:rsid w:val="007B627B"/>
    <w:rsid w:val="007B66E4"/>
    <w:rsid w:val="007B6767"/>
    <w:rsid w:val="007C0D7D"/>
    <w:rsid w:val="007C1A44"/>
    <w:rsid w:val="007C21F4"/>
    <w:rsid w:val="007C2CD7"/>
    <w:rsid w:val="007C35FF"/>
    <w:rsid w:val="007C3CF4"/>
    <w:rsid w:val="007C41BA"/>
    <w:rsid w:val="007C43EE"/>
    <w:rsid w:val="007C59E2"/>
    <w:rsid w:val="007C7033"/>
    <w:rsid w:val="007C74BB"/>
    <w:rsid w:val="007C7814"/>
    <w:rsid w:val="007C7FC5"/>
    <w:rsid w:val="007D056C"/>
    <w:rsid w:val="007D0631"/>
    <w:rsid w:val="007D06F3"/>
    <w:rsid w:val="007D1A66"/>
    <w:rsid w:val="007D1C13"/>
    <w:rsid w:val="007D31D3"/>
    <w:rsid w:val="007D3584"/>
    <w:rsid w:val="007D3A21"/>
    <w:rsid w:val="007D3F2F"/>
    <w:rsid w:val="007D4205"/>
    <w:rsid w:val="007D43AE"/>
    <w:rsid w:val="007D4F99"/>
    <w:rsid w:val="007D51F2"/>
    <w:rsid w:val="007D6015"/>
    <w:rsid w:val="007D75A6"/>
    <w:rsid w:val="007D7838"/>
    <w:rsid w:val="007E022A"/>
    <w:rsid w:val="007E0C02"/>
    <w:rsid w:val="007E0CBA"/>
    <w:rsid w:val="007E0D4E"/>
    <w:rsid w:val="007E11D9"/>
    <w:rsid w:val="007E2013"/>
    <w:rsid w:val="007E24AE"/>
    <w:rsid w:val="007E2C6C"/>
    <w:rsid w:val="007E3D32"/>
    <w:rsid w:val="007E56D2"/>
    <w:rsid w:val="007E6692"/>
    <w:rsid w:val="007E79F5"/>
    <w:rsid w:val="007E7CCB"/>
    <w:rsid w:val="007E7F80"/>
    <w:rsid w:val="007F0851"/>
    <w:rsid w:val="007F153A"/>
    <w:rsid w:val="007F1B54"/>
    <w:rsid w:val="007F1C80"/>
    <w:rsid w:val="007F2297"/>
    <w:rsid w:val="007F2309"/>
    <w:rsid w:val="007F2429"/>
    <w:rsid w:val="007F2B51"/>
    <w:rsid w:val="007F2B94"/>
    <w:rsid w:val="007F421E"/>
    <w:rsid w:val="007F4834"/>
    <w:rsid w:val="007F4C30"/>
    <w:rsid w:val="007F52FD"/>
    <w:rsid w:val="007F531D"/>
    <w:rsid w:val="007F5B33"/>
    <w:rsid w:val="007F701E"/>
    <w:rsid w:val="007F7481"/>
    <w:rsid w:val="007F7A68"/>
    <w:rsid w:val="008002C4"/>
    <w:rsid w:val="00801470"/>
    <w:rsid w:val="008020E4"/>
    <w:rsid w:val="0080240C"/>
    <w:rsid w:val="008028BE"/>
    <w:rsid w:val="00802C77"/>
    <w:rsid w:val="00803171"/>
    <w:rsid w:val="008036AC"/>
    <w:rsid w:val="008036B8"/>
    <w:rsid w:val="00803E7C"/>
    <w:rsid w:val="0080409D"/>
    <w:rsid w:val="008040F4"/>
    <w:rsid w:val="0080454C"/>
    <w:rsid w:val="00804DE3"/>
    <w:rsid w:val="008053EC"/>
    <w:rsid w:val="0080568E"/>
    <w:rsid w:val="0080582A"/>
    <w:rsid w:val="00805C5C"/>
    <w:rsid w:val="00805EF2"/>
    <w:rsid w:val="0080641A"/>
    <w:rsid w:val="008068B6"/>
    <w:rsid w:val="008068C7"/>
    <w:rsid w:val="008076EF"/>
    <w:rsid w:val="0081069E"/>
    <w:rsid w:val="00810B3F"/>
    <w:rsid w:val="00810BE9"/>
    <w:rsid w:val="00810C64"/>
    <w:rsid w:val="008118E8"/>
    <w:rsid w:val="00811E4A"/>
    <w:rsid w:val="00813600"/>
    <w:rsid w:val="008142D4"/>
    <w:rsid w:val="00815564"/>
    <w:rsid w:val="00815616"/>
    <w:rsid w:val="0081687F"/>
    <w:rsid w:val="00816A36"/>
    <w:rsid w:val="008177EF"/>
    <w:rsid w:val="00817A2E"/>
    <w:rsid w:val="00817F5F"/>
    <w:rsid w:val="00820224"/>
    <w:rsid w:val="00820401"/>
    <w:rsid w:val="0082099D"/>
    <w:rsid w:val="00820B1D"/>
    <w:rsid w:val="00820E9E"/>
    <w:rsid w:val="00820FC7"/>
    <w:rsid w:val="00821061"/>
    <w:rsid w:val="0082152E"/>
    <w:rsid w:val="008216F1"/>
    <w:rsid w:val="008217EF"/>
    <w:rsid w:val="008226E8"/>
    <w:rsid w:val="0082369E"/>
    <w:rsid w:val="00823884"/>
    <w:rsid w:val="00823D1A"/>
    <w:rsid w:val="0082400C"/>
    <w:rsid w:val="00824CDB"/>
    <w:rsid w:val="008251B1"/>
    <w:rsid w:val="008259A0"/>
    <w:rsid w:val="0082610E"/>
    <w:rsid w:val="008262A7"/>
    <w:rsid w:val="0082682B"/>
    <w:rsid w:val="00826CA1"/>
    <w:rsid w:val="008272E3"/>
    <w:rsid w:val="00827306"/>
    <w:rsid w:val="00827C03"/>
    <w:rsid w:val="00830189"/>
    <w:rsid w:val="0083086F"/>
    <w:rsid w:val="00830B78"/>
    <w:rsid w:val="00830B95"/>
    <w:rsid w:val="00830FB1"/>
    <w:rsid w:val="0083228B"/>
    <w:rsid w:val="008324FF"/>
    <w:rsid w:val="00832971"/>
    <w:rsid w:val="008329CA"/>
    <w:rsid w:val="00832A7F"/>
    <w:rsid w:val="008331A3"/>
    <w:rsid w:val="008344AD"/>
    <w:rsid w:val="00834BDE"/>
    <w:rsid w:val="00835A0D"/>
    <w:rsid w:val="00835FC9"/>
    <w:rsid w:val="008364A9"/>
    <w:rsid w:val="008365AA"/>
    <w:rsid w:val="008367FA"/>
    <w:rsid w:val="00836C03"/>
    <w:rsid w:val="00837522"/>
    <w:rsid w:val="00837B21"/>
    <w:rsid w:val="00837E21"/>
    <w:rsid w:val="008401CB"/>
    <w:rsid w:val="008403A7"/>
    <w:rsid w:val="008404DE"/>
    <w:rsid w:val="00840D39"/>
    <w:rsid w:val="00841588"/>
    <w:rsid w:val="008416B1"/>
    <w:rsid w:val="00841D1A"/>
    <w:rsid w:val="00841DD8"/>
    <w:rsid w:val="00842001"/>
    <w:rsid w:val="00842DEF"/>
    <w:rsid w:val="00843577"/>
    <w:rsid w:val="0084386D"/>
    <w:rsid w:val="00843940"/>
    <w:rsid w:val="00843A1A"/>
    <w:rsid w:val="00843C7A"/>
    <w:rsid w:val="008442C1"/>
    <w:rsid w:val="00844B33"/>
    <w:rsid w:val="0084597E"/>
    <w:rsid w:val="0084637D"/>
    <w:rsid w:val="00846ECB"/>
    <w:rsid w:val="00846EEA"/>
    <w:rsid w:val="00846F8A"/>
    <w:rsid w:val="00847BDF"/>
    <w:rsid w:val="00847C8F"/>
    <w:rsid w:val="00847F61"/>
    <w:rsid w:val="00847F8C"/>
    <w:rsid w:val="00850580"/>
    <w:rsid w:val="0085160D"/>
    <w:rsid w:val="0085174C"/>
    <w:rsid w:val="008518E6"/>
    <w:rsid w:val="0085195F"/>
    <w:rsid w:val="008519E0"/>
    <w:rsid w:val="00851B2F"/>
    <w:rsid w:val="008527DB"/>
    <w:rsid w:val="00852E33"/>
    <w:rsid w:val="00852F59"/>
    <w:rsid w:val="00853060"/>
    <w:rsid w:val="008533FA"/>
    <w:rsid w:val="00853F8A"/>
    <w:rsid w:val="00853FC5"/>
    <w:rsid w:val="00854498"/>
    <w:rsid w:val="00855164"/>
    <w:rsid w:val="00855682"/>
    <w:rsid w:val="0085591E"/>
    <w:rsid w:val="00855DBD"/>
    <w:rsid w:val="008560B6"/>
    <w:rsid w:val="0085683A"/>
    <w:rsid w:val="00856C36"/>
    <w:rsid w:val="00857274"/>
    <w:rsid w:val="008607B7"/>
    <w:rsid w:val="0086091B"/>
    <w:rsid w:val="00861844"/>
    <w:rsid w:val="00861A52"/>
    <w:rsid w:val="008627C4"/>
    <w:rsid w:val="00862853"/>
    <w:rsid w:val="00862B6F"/>
    <w:rsid w:val="008639BF"/>
    <w:rsid w:val="00863CE5"/>
    <w:rsid w:val="00864149"/>
    <w:rsid w:val="00864ED7"/>
    <w:rsid w:val="00864FC6"/>
    <w:rsid w:val="008650A6"/>
    <w:rsid w:val="00866E07"/>
    <w:rsid w:val="00866FCE"/>
    <w:rsid w:val="00867810"/>
    <w:rsid w:val="00867AB7"/>
    <w:rsid w:val="008709F3"/>
    <w:rsid w:val="00870BF1"/>
    <w:rsid w:val="0087191C"/>
    <w:rsid w:val="008719E7"/>
    <w:rsid w:val="00872394"/>
    <w:rsid w:val="00872B3A"/>
    <w:rsid w:val="0087396D"/>
    <w:rsid w:val="00873E1D"/>
    <w:rsid w:val="00873E79"/>
    <w:rsid w:val="00874C69"/>
    <w:rsid w:val="00874EF4"/>
    <w:rsid w:val="00875379"/>
    <w:rsid w:val="00876063"/>
    <w:rsid w:val="00876991"/>
    <w:rsid w:val="008769F5"/>
    <w:rsid w:val="00876BE6"/>
    <w:rsid w:val="00881219"/>
    <w:rsid w:val="008818F8"/>
    <w:rsid w:val="00881B0C"/>
    <w:rsid w:val="00881DBB"/>
    <w:rsid w:val="008827CA"/>
    <w:rsid w:val="00883509"/>
    <w:rsid w:val="00884049"/>
    <w:rsid w:val="00884D87"/>
    <w:rsid w:val="00885307"/>
    <w:rsid w:val="00885B7E"/>
    <w:rsid w:val="0088627E"/>
    <w:rsid w:val="00886547"/>
    <w:rsid w:val="00886609"/>
    <w:rsid w:val="00886A31"/>
    <w:rsid w:val="0088766B"/>
    <w:rsid w:val="008876AA"/>
    <w:rsid w:val="008876E5"/>
    <w:rsid w:val="00890144"/>
    <w:rsid w:val="00890A60"/>
    <w:rsid w:val="00890EC1"/>
    <w:rsid w:val="008917E0"/>
    <w:rsid w:val="00891E50"/>
    <w:rsid w:val="0089203B"/>
    <w:rsid w:val="008923EB"/>
    <w:rsid w:val="0089263C"/>
    <w:rsid w:val="00892724"/>
    <w:rsid w:val="00892A71"/>
    <w:rsid w:val="00892B7A"/>
    <w:rsid w:val="00892BBE"/>
    <w:rsid w:val="00893403"/>
    <w:rsid w:val="00893459"/>
    <w:rsid w:val="008938EF"/>
    <w:rsid w:val="00893FAE"/>
    <w:rsid w:val="00894462"/>
    <w:rsid w:val="0089495F"/>
    <w:rsid w:val="008951E1"/>
    <w:rsid w:val="00896094"/>
    <w:rsid w:val="00896210"/>
    <w:rsid w:val="00896D23"/>
    <w:rsid w:val="008970A9"/>
    <w:rsid w:val="00897694"/>
    <w:rsid w:val="008977E1"/>
    <w:rsid w:val="00897BCE"/>
    <w:rsid w:val="008A009D"/>
    <w:rsid w:val="008A0B65"/>
    <w:rsid w:val="008A1185"/>
    <w:rsid w:val="008A19E4"/>
    <w:rsid w:val="008A22BF"/>
    <w:rsid w:val="008A3540"/>
    <w:rsid w:val="008A3A56"/>
    <w:rsid w:val="008A3BD9"/>
    <w:rsid w:val="008A44D5"/>
    <w:rsid w:val="008A4F8A"/>
    <w:rsid w:val="008A5324"/>
    <w:rsid w:val="008A54FD"/>
    <w:rsid w:val="008A5920"/>
    <w:rsid w:val="008A6015"/>
    <w:rsid w:val="008A65F5"/>
    <w:rsid w:val="008A6A33"/>
    <w:rsid w:val="008A6A43"/>
    <w:rsid w:val="008A6C3A"/>
    <w:rsid w:val="008A7617"/>
    <w:rsid w:val="008B07DA"/>
    <w:rsid w:val="008B0FA0"/>
    <w:rsid w:val="008B1448"/>
    <w:rsid w:val="008B16F7"/>
    <w:rsid w:val="008B19B3"/>
    <w:rsid w:val="008B3985"/>
    <w:rsid w:val="008B3B11"/>
    <w:rsid w:val="008B3BB6"/>
    <w:rsid w:val="008B3D48"/>
    <w:rsid w:val="008B40EA"/>
    <w:rsid w:val="008B4593"/>
    <w:rsid w:val="008B461F"/>
    <w:rsid w:val="008B554B"/>
    <w:rsid w:val="008B746F"/>
    <w:rsid w:val="008B7E56"/>
    <w:rsid w:val="008B7EA4"/>
    <w:rsid w:val="008C0110"/>
    <w:rsid w:val="008C0AF2"/>
    <w:rsid w:val="008C109A"/>
    <w:rsid w:val="008C1EF4"/>
    <w:rsid w:val="008C2005"/>
    <w:rsid w:val="008C2410"/>
    <w:rsid w:val="008C2FB4"/>
    <w:rsid w:val="008C306F"/>
    <w:rsid w:val="008C3B95"/>
    <w:rsid w:val="008C3C6B"/>
    <w:rsid w:val="008C3DAC"/>
    <w:rsid w:val="008C3FF4"/>
    <w:rsid w:val="008C4428"/>
    <w:rsid w:val="008C4E05"/>
    <w:rsid w:val="008C528A"/>
    <w:rsid w:val="008C5619"/>
    <w:rsid w:val="008C6CA8"/>
    <w:rsid w:val="008C7985"/>
    <w:rsid w:val="008C7A66"/>
    <w:rsid w:val="008C7D4C"/>
    <w:rsid w:val="008D078D"/>
    <w:rsid w:val="008D087C"/>
    <w:rsid w:val="008D0E58"/>
    <w:rsid w:val="008D17D7"/>
    <w:rsid w:val="008D1C67"/>
    <w:rsid w:val="008D229C"/>
    <w:rsid w:val="008D253B"/>
    <w:rsid w:val="008D2CEB"/>
    <w:rsid w:val="008D2DA0"/>
    <w:rsid w:val="008D307E"/>
    <w:rsid w:val="008D384B"/>
    <w:rsid w:val="008D3DA2"/>
    <w:rsid w:val="008D3ED8"/>
    <w:rsid w:val="008D3F70"/>
    <w:rsid w:val="008D4109"/>
    <w:rsid w:val="008D45B8"/>
    <w:rsid w:val="008D465E"/>
    <w:rsid w:val="008D475C"/>
    <w:rsid w:val="008D51D3"/>
    <w:rsid w:val="008D56EC"/>
    <w:rsid w:val="008D60D3"/>
    <w:rsid w:val="008D6F20"/>
    <w:rsid w:val="008D7069"/>
    <w:rsid w:val="008D7140"/>
    <w:rsid w:val="008D7BD0"/>
    <w:rsid w:val="008D7F80"/>
    <w:rsid w:val="008E01E8"/>
    <w:rsid w:val="008E0561"/>
    <w:rsid w:val="008E1025"/>
    <w:rsid w:val="008E138E"/>
    <w:rsid w:val="008E1B26"/>
    <w:rsid w:val="008E1BC0"/>
    <w:rsid w:val="008E24C4"/>
    <w:rsid w:val="008E275C"/>
    <w:rsid w:val="008E27AD"/>
    <w:rsid w:val="008E28A7"/>
    <w:rsid w:val="008E295C"/>
    <w:rsid w:val="008E2CCC"/>
    <w:rsid w:val="008E35B2"/>
    <w:rsid w:val="008E4EA3"/>
    <w:rsid w:val="008E5264"/>
    <w:rsid w:val="008E5A42"/>
    <w:rsid w:val="008E6679"/>
    <w:rsid w:val="008E67C3"/>
    <w:rsid w:val="008E73AE"/>
    <w:rsid w:val="008E79CE"/>
    <w:rsid w:val="008E7A01"/>
    <w:rsid w:val="008F006C"/>
    <w:rsid w:val="008F01DF"/>
    <w:rsid w:val="008F07B0"/>
    <w:rsid w:val="008F08B3"/>
    <w:rsid w:val="008F1248"/>
    <w:rsid w:val="008F127C"/>
    <w:rsid w:val="008F1D2B"/>
    <w:rsid w:val="008F3047"/>
    <w:rsid w:val="008F3934"/>
    <w:rsid w:val="008F3996"/>
    <w:rsid w:val="008F39AB"/>
    <w:rsid w:val="008F3A33"/>
    <w:rsid w:val="008F511D"/>
    <w:rsid w:val="008F51D0"/>
    <w:rsid w:val="008F55DB"/>
    <w:rsid w:val="008F595D"/>
    <w:rsid w:val="008F5D4A"/>
    <w:rsid w:val="008F71FA"/>
    <w:rsid w:val="008F76CF"/>
    <w:rsid w:val="008F7BDF"/>
    <w:rsid w:val="00900001"/>
    <w:rsid w:val="00900526"/>
    <w:rsid w:val="00900569"/>
    <w:rsid w:val="00900846"/>
    <w:rsid w:val="009017A6"/>
    <w:rsid w:val="00902D27"/>
    <w:rsid w:val="00902F7B"/>
    <w:rsid w:val="00902F86"/>
    <w:rsid w:val="00903199"/>
    <w:rsid w:val="0090321E"/>
    <w:rsid w:val="009035BE"/>
    <w:rsid w:val="009045DD"/>
    <w:rsid w:val="00904639"/>
    <w:rsid w:val="009046F4"/>
    <w:rsid w:val="00904709"/>
    <w:rsid w:val="00904C77"/>
    <w:rsid w:val="00904E37"/>
    <w:rsid w:val="00905788"/>
    <w:rsid w:val="009058DE"/>
    <w:rsid w:val="00905B30"/>
    <w:rsid w:val="00905C9E"/>
    <w:rsid w:val="00905FAF"/>
    <w:rsid w:val="009060F0"/>
    <w:rsid w:val="00906D2A"/>
    <w:rsid w:val="00906E84"/>
    <w:rsid w:val="00907250"/>
    <w:rsid w:val="00907476"/>
    <w:rsid w:val="009076A0"/>
    <w:rsid w:val="009076EA"/>
    <w:rsid w:val="009101A0"/>
    <w:rsid w:val="00910202"/>
    <w:rsid w:val="00910691"/>
    <w:rsid w:val="00910928"/>
    <w:rsid w:val="00910969"/>
    <w:rsid w:val="00911940"/>
    <w:rsid w:val="00911AB6"/>
    <w:rsid w:val="00911E16"/>
    <w:rsid w:val="009120B0"/>
    <w:rsid w:val="00912350"/>
    <w:rsid w:val="009126B2"/>
    <w:rsid w:val="00912A1B"/>
    <w:rsid w:val="00913DB6"/>
    <w:rsid w:val="009142D2"/>
    <w:rsid w:val="009144E2"/>
    <w:rsid w:val="0091456A"/>
    <w:rsid w:val="00914BB2"/>
    <w:rsid w:val="0091564F"/>
    <w:rsid w:val="00916B08"/>
    <w:rsid w:val="00916F96"/>
    <w:rsid w:val="00917037"/>
    <w:rsid w:val="00917125"/>
    <w:rsid w:val="009175F2"/>
    <w:rsid w:val="00917FE0"/>
    <w:rsid w:val="00920428"/>
    <w:rsid w:val="00920530"/>
    <w:rsid w:val="00920A8E"/>
    <w:rsid w:val="00920C53"/>
    <w:rsid w:val="00920CEB"/>
    <w:rsid w:val="00921387"/>
    <w:rsid w:val="009213AA"/>
    <w:rsid w:val="00921AB8"/>
    <w:rsid w:val="00923331"/>
    <w:rsid w:val="009236BB"/>
    <w:rsid w:val="0092384B"/>
    <w:rsid w:val="0092431D"/>
    <w:rsid w:val="00924A82"/>
    <w:rsid w:val="00925717"/>
    <w:rsid w:val="00925D48"/>
    <w:rsid w:val="00925DB3"/>
    <w:rsid w:val="009272C0"/>
    <w:rsid w:val="0092731E"/>
    <w:rsid w:val="009274C5"/>
    <w:rsid w:val="0092775A"/>
    <w:rsid w:val="009279DF"/>
    <w:rsid w:val="00930932"/>
    <w:rsid w:val="00930D83"/>
    <w:rsid w:val="009312F0"/>
    <w:rsid w:val="00932109"/>
    <w:rsid w:val="00932CFA"/>
    <w:rsid w:val="00933166"/>
    <w:rsid w:val="0093396C"/>
    <w:rsid w:val="00933C2A"/>
    <w:rsid w:val="009342EB"/>
    <w:rsid w:val="0093567C"/>
    <w:rsid w:val="009357B5"/>
    <w:rsid w:val="0093595C"/>
    <w:rsid w:val="00935A25"/>
    <w:rsid w:val="00935AF4"/>
    <w:rsid w:val="00936AE6"/>
    <w:rsid w:val="00936D91"/>
    <w:rsid w:val="009375B7"/>
    <w:rsid w:val="009377F0"/>
    <w:rsid w:val="0093789B"/>
    <w:rsid w:val="00937A7B"/>
    <w:rsid w:val="00937F00"/>
    <w:rsid w:val="00937F15"/>
    <w:rsid w:val="0094015A"/>
    <w:rsid w:val="0094096E"/>
    <w:rsid w:val="00941887"/>
    <w:rsid w:val="00941EEE"/>
    <w:rsid w:val="00942A78"/>
    <w:rsid w:val="00942C60"/>
    <w:rsid w:val="00942EDB"/>
    <w:rsid w:val="00942F5B"/>
    <w:rsid w:val="0094332B"/>
    <w:rsid w:val="00943508"/>
    <w:rsid w:val="00943851"/>
    <w:rsid w:val="00944951"/>
    <w:rsid w:val="00944BB0"/>
    <w:rsid w:val="00944D02"/>
    <w:rsid w:val="00944E7E"/>
    <w:rsid w:val="00944F48"/>
    <w:rsid w:val="00945D4C"/>
    <w:rsid w:val="00945ED7"/>
    <w:rsid w:val="0094660E"/>
    <w:rsid w:val="00946B81"/>
    <w:rsid w:val="00947009"/>
    <w:rsid w:val="0094736C"/>
    <w:rsid w:val="009500C9"/>
    <w:rsid w:val="0095030A"/>
    <w:rsid w:val="009508A5"/>
    <w:rsid w:val="009508E1"/>
    <w:rsid w:val="00950C73"/>
    <w:rsid w:val="009517A2"/>
    <w:rsid w:val="00951AD3"/>
    <w:rsid w:val="009521D1"/>
    <w:rsid w:val="00952932"/>
    <w:rsid w:val="00952D65"/>
    <w:rsid w:val="00953B9F"/>
    <w:rsid w:val="00953CAC"/>
    <w:rsid w:val="00954512"/>
    <w:rsid w:val="00954854"/>
    <w:rsid w:val="00954B4B"/>
    <w:rsid w:val="00954F9C"/>
    <w:rsid w:val="0095511E"/>
    <w:rsid w:val="0095528A"/>
    <w:rsid w:val="00955D85"/>
    <w:rsid w:val="009560C8"/>
    <w:rsid w:val="00956509"/>
    <w:rsid w:val="00956A5F"/>
    <w:rsid w:val="009574A1"/>
    <w:rsid w:val="009575E5"/>
    <w:rsid w:val="00957690"/>
    <w:rsid w:val="009579E1"/>
    <w:rsid w:val="00957D5E"/>
    <w:rsid w:val="00960A13"/>
    <w:rsid w:val="00960CD9"/>
    <w:rsid w:val="00960E81"/>
    <w:rsid w:val="00961409"/>
    <w:rsid w:val="00961A46"/>
    <w:rsid w:val="009622A7"/>
    <w:rsid w:val="0096233A"/>
    <w:rsid w:val="0096265C"/>
    <w:rsid w:val="00962B8C"/>
    <w:rsid w:val="00962C79"/>
    <w:rsid w:val="00962CB5"/>
    <w:rsid w:val="00962DC5"/>
    <w:rsid w:val="0096427B"/>
    <w:rsid w:val="00965405"/>
    <w:rsid w:val="00966451"/>
    <w:rsid w:val="00966BE5"/>
    <w:rsid w:val="00966F3E"/>
    <w:rsid w:val="009678CB"/>
    <w:rsid w:val="009679E8"/>
    <w:rsid w:val="00967BD3"/>
    <w:rsid w:val="0097034D"/>
    <w:rsid w:val="00970D7D"/>
    <w:rsid w:val="00971973"/>
    <w:rsid w:val="00971A76"/>
    <w:rsid w:val="00971D1A"/>
    <w:rsid w:val="00971DB8"/>
    <w:rsid w:val="00972676"/>
    <w:rsid w:val="00972D72"/>
    <w:rsid w:val="00972F1C"/>
    <w:rsid w:val="009730F3"/>
    <w:rsid w:val="00974757"/>
    <w:rsid w:val="009747C7"/>
    <w:rsid w:val="00974B30"/>
    <w:rsid w:val="0097588B"/>
    <w:rsid w:val="00976305"/>
    <w:rsid w:val="00976699"/>
    <w:rsid w:val="0097709F"/>
    <w:rsid w:val="009772A0"/>
    <w:rsid w:val="009777B4"/>
    <w:rsid w:val="00977CC7"/>
    <w:rsid w:val="009812C3"/>
    <w:rsid w:val="00981A1B"/>
    <w:rsid w:val="00981C44"/>
    <w:rsid w:val="009822B8"/>
    <w:rsid w:val="00982963"/>
    <w:rsid w:val="00982B06"/>
    <w:rsid w:val="00982C84"/>
    <w:rsid w:val="00982CF4"/>
    <w:rsid w:val="009847AE"/>
    <w:rsid w:val="00985059"/>
    <w:rsid w:val="0098508D"/>
    <w:rsid w:val="00985152"/>
    <w:rsid w:val="00985368"/>
    <w:rsid w:val="00985C48"/>
    <w:rsid w:val="00986AD9"/>
    <w:rsid w:val="00986BC0"/>
    <w:rsid w:val="0098750B"/>
    <w:rsid w:val="00987B2D"/>
    <w:rsid w:val="0099018C"/>
    <w:rsid w:val="00991689"/>
    <w:rsid w:val="009916A7"/>
    <w:rsid w:val="00991734"/>
    <w:rsid w:val="0099233A"/>
    <w:rsid w:val="00992737"/>
    <w:rsid w:val="0099297A"/>
    <w:rsid w:val="00992BC1"/>
    <w:rsid w:val="009930CB"/>
    <w:rsid w:val="00993A03"/>
    <w:rsid w:val="00995763"/>
    <w:rsid w:val="00995C4C"/>
    <w:rsid w:val="00996537"/>
    <w:rsid w:val="009974F4"/>
    <w:rsid w:val="00997ADA"/>
    <w:rsid w:val="009A02DF"/>
    <w:rsid w:val="009A07C3"/>
    <w:rsid w:val="009A09B9"/>
    <w:rsid w:val="009A0C8D"/>
    <w:rsid w:val="009A1C04"/>
    <w:rsid w:val="009A2DF7"/>
    <w:rsid w:val="009A2EB8"/>
    <w:rsid w:val="009A3C32"/>
    <w:rsid w:val="009A3C64"/>
    <w:rsid w:val="009A4008"/>
    <w:rsid w:val="009A4CDD"/>
    <w:rsid w:val="009A5B47"/>
    <w:rsid w:val="009A5BE4"/>
    <w:rsid w:val="009A61B9"/>
    <w:rsid w:val="009A6F5E"/>
    <w:rsid w:val="009A7392"/>
    <w:rsid w:val="009A755C"/>
    <w:rsid w:val="009A7846"/>
    <w:rsid w:val="009B0F4D"/>
    <w:rsid w:val="009B1D69"/>
    <w:rsid w:val="009B2436"/>
    <w:rsid w:val="009B2DCF"/>
    <w:rsid w:val="009B3208"/>
    <w:rsid w:val="009B3C10"/>
    <w:rsid w:val="009B452D"/>
    <w:rsid w:val="009B4638"/>
    <w:rsid w:val="009B50E1"/>
    <w:rsid w:val="009B51D2"/>
    <w:rsid w:val="009B53FD"/>
    <w:rsid w:val="009B5BF9"/>
    <w:rsid w:val="009B617B"/>
    <w:rsid w:val="009B6716"/>
    <w:rsid w:val="009B6B41"/>
    <w:rsid w:val="009B6DE5"/>
    <w:rsid w:val="009B77DA"/>
    <w:rsid w:val="009B7E67"/>
    <w:rsid w:val="009C00A8"/>
    <w:rsid w:val="009C059D"/>
    <w:rsid w:val="009C0720"/>
    <w:rsid w:val="009C20B1"/>
    <w:rsid w:val="009C2789"/>
    <w:rsid w:val="009C28B4"/>
    <w:rsid w:val="009C32DB"/>
    <w:rsid w:val="009C3639"/>
    <w:rsid w:val="009C3B73"/>
    <w:rsid w:val="009C3CE4"/>
    <w:rsid w:val="009C417F"/>
    <w:rsid w:val="009C4191"/>
    <w:rsid w:val="009C46BE"/>
    <w:rsid w:val="009C47BF"/>
    <w:rsid w:val="009C47F6"/>
    <w:rsid w:val="009C4A18"/>
    <w:rsid w:val="009C4AFD"/>
    <w:rsid w:val="009C4BFA"/>
    <w:rsid w:val="009C4E87"/>
    <w:rsid w:val="009C50AE"/>
    <w:rsid w:val="009C554B"/>
    <w:rsid w:val="009C5607"/>
    <w:rsid w:val="009C57C4"/>
    <w:rsid w:val="009C6092"/>
    <w:rsid w:val="009C67BB"/>
    <w:rsid w:val="009C687A"/>
    <w:rsid w:val="009D0209"/>
    <w:rsid w:val="009D11A4"/>
    <w:rsid w:val="009D1B76"/>
    <w:rsid w:val="009D1FF5"/>
    <w:rsid w:val="009D226A"/>
    <w:rsid w:val="009D2841"/>
    <w:rsid w:val="009D2C7E"/>
    <w:rsid w:val="009D338B"/>
    <w:rsid w:val="009D33F6"/>
    <w:rsid w:val="009D38A2"/>
    <w:rsid w:val="009D3C71"/>
    <w:rsid w:val="009D4587"/>
    <w:rsid w:val="009D52C9"/>
    <w:rsid w:val="009D64F7"/>
    <w:rsid w:val="009D6835"/>
    <w:rsid w:val="009D6AC1"/>
    <w:rsid w:val="009D6C1C"/>
    <w:rsid w:val="009D7327"/>
    <w:rsid w:val="009D7CB5"/>
    <w:rsid w:val="009E02DB"/>
    <w:rsid w:val="009E0402"/>
    <w:rsid w:val="009E05BD"/>
    <w:rsid w:val="009E0A25"/>
    <w:rsid w:val="009E0A9B"/>
    <w:rsid w:val="009E0CC6"/>
    <w:rsid w:val="009E12EC"/>
    <w:rsid w:val="009E1AA7"/>
    <w:rsid w:val="009E2732"/>
    <w:rsid w:val="009E2994"/>
    <w:rsid w:val="009E32BD"/>
    <w:rsid w:val="009E5398"/>
    <w:rsid w:val="009E578F"/>
    <w:rsid w:val="009E61A1"/>
    <w:rsid w:val="009E637A"/>
    <w:rsid w:val="009E651B"/>
    <w:rsid w:val="009E6CE9"/>
    <w:rsid w:val="009E703F"/>
    <w:rsid w:val="009E7250"/>
    <w:rsid w:val="009E7784"/>
    <w:rsid w:val="009E778F"/>
    <w:rsid w:val="009E77B1"/>
    <w:rsid w:val="009E78BF"/>
    <w:rsid w:val="009E79CF"/>
    <w:rsid w:val="009E79EF"/>
    <w:rsid w:val="009E7A74"/>
    <w:rsid w:val="009F0467"/>
    <w:rsid w:val="009F0D53"/>
    <w:rsid w:val="009F1A03"/>
    <w:rsid w:val="009F1C93"/>
    <w:rsid w:val="009F2071"/>
    <w:rsid w:val="009F232F"/>
    <w:rsid w:val="009F27B6"/>
    <w:rsid w:val="009F2D79"/>
    <w:rsid w:val="009F3354"/>
    <w:rsid w:val="009F3551"/>
    <w:rsid w:val="009F3B74"/>
    <w:rsid w:val="009F40F3"/>
    <w:rsid w:val="009F4301"/>
    <w:rsid w:val="009F53CE"/>
    <w:rsid w:val="009F6826"/>
    <w:rsid w:val="009F6BB7"/>
    <w:rsid w:val="009F6F10"/>
    <w:rsid w:val="009F6F89"/>
    <w:rsid w:val="009F7703"/>
    <w:rsid w:val="00A00204"/>
    <w:rsid w:val="00A02225"/>
    <w:rsid w:val="00A02333"/>
    <w:rsid w:val="00A0271F"/>
    <w:rsid w:val="00A02C02"/>
    <w:rsid w:val="00A03152"/>
    <w:rsid w:val="00A0335D"/>
    <w:rsid w:val="00A03403"/>
    <w:rsid w:val="00A03876"/>
    <w:rsid w:val="00A03C0F"/>
    <w:rsid w:val="00A03D43"/>
    <w:rsid w:val="00A040BE"/>
    <w:rsid w:val="00A045C8"/>
    <w:rsid w:val="00A054A3"/>
    <w:rsid w:val="00A05790"/>
    <w:rsid w:val="00A05857"/>
    <w:rsid w:val="00A060E6"/>
    <w:rsid w:val="00A06393"/>
    <w:rsid w:val="00A06BC6"/>
    <w:rsid w:val="00A071E9"/>
    <w:rsid w:val="00A07488"/>
    <w:rsid w:val="00A1078F"/>
    <w:rsid w:val="00A10AF6"/>
    <w:rsid w:val="00A10FFA"/>
    <w:rsid w:val="00A11487"/>
    <w:rsid w:val="00A11639"/>
    <w:rsid w:val="00A123F1"/>
    <w:rsid w:val="00A1246B"/>
    <w:rsid w:val="00A12702"/>
    <w:rsid w:val="00A12E34"/>
    <w:rsid w:val="00A13A61"/>
    <w:rsid w:val="00A13DB9"/>
    <w:rsid w:val="00A13F6E"/>
    <w:rsid w:val="00A1478F"/>
    <w:rsid w:val="00A14863"/>
    <w:rsid w:val="00A14891"/>
    <w:rsid w:val="00A14E07"/>
    <w:rsid w:val="00A14FEF"/>
    <w:rsid w:val="00A15085"/>
    <w:rsid w:val="00A15CEE"/>
    <w:rsid w:val="00A1617D"/>
    <w:rsid w:val="00A1651C"/>
    <w:rsid w:val="00A16A37"/>
    <w:rsid w:val="00A16F5E"/>
    <w:rsid w:val="00A17329"/>
    <w:rsid w:val="00A202E4"/>
    <w:rsid w:val="00A2052C"/>
    <w:rsid w:val="00A20536"/>
    <w:rsid w:val="00A20D96"/>
    <w:rsid w:val="00A214CB"/>
    <w:rsid w:val="00A2159F"/>
    <w:rsid w:val="00A21FD8"/>
    <w:rsid w:val="00A2256E"/>
    <w:rsid w:val="00A22570"/>
    <w:rsid w:val="00A2261B"/>
    <w:rsid w:val="00A22734"/>
    <w:rsid w:val="00A243D8"/>
    <w:rsid w:val="00A24E96"/>
    <w:rsid w:val="00A25329"/>
    <w:rsid w:val="00A25404"/>
    <w:rsid w:val="00A25652"/>
    <w:rsid w:val="00A259C3"/>
    <w:rsid w:val="00A25B21"/>
    <w:rsid w:val="00A25B94"/>
    <w:rsid w:val="00A260B6"/>
    <w:rsid w:val="00A26AD7"/>
    <w:rsid w:val="00A26AF3"/>
    <w:rsid w:val="00A27E81"/>
    <w:rsid w:val="00A308E3"/>
    <w:rsid w:val="00A31AAA"/>
    <w:rsid w:val="00A31D3D"/>
    <w:rsid w:val="00A329A6"/>
    <w:rsid w:val="00A33249"/>
    <w:rsid w:val="00A3467D"/>
    <w:rsid w:val="00A346F6"/>
    <w:rsid w:val="00A34D3F"/>
    <w:rsid w:val="00A34D5E"/>
    <w:rsid w:val="00A3569D"/>
    <w:rsid w:val="00A35C36"/>
    <w:rsid w:val="00A35FF7"/>
    <w:rsid w:val="00A36011"/>
    <w:rsid w:val="00A373DB"/>
    <w:rsid w:val="00A37E60"/>
    <w:rsid w:val="00A40C7A"/>
    <w:rsid w:val="00A41380"/>
    <w:rsid w:val="00A41693"/>
    <w:rsid w:val="00A418B1"/>
    <w:rsid w:val="00A421E0"/>
    <w:rsid w:val="00A42A04"/>
    <w:rsid w:val="00A42A41"/>
    <w:rsid w:val="00A42DCA"/>
    <w:rsid w:val="00A4324E"/>
    <w:rsid w:val="00A43C89"/>
    <w:rsid w:val="00A43DB8"/>
    <w:rsid w:val="00A43F51"/>
    <w:rsid w:val="00A44B4B"/>
    <w:rsid w:val="00A44C9F"/>
    <w:rsid w:val="00A44FF7"/>
    <w:rsid w:val="00A453DE"/>
    <w:rsid w:val="00A45515"/>
    <w:rsid w:val="00A458D1"/>
    <w:rsid w:val="00A45B46"/>
    <w:rsid w:val="00A470BD"/>
    <w:rsid w:val="00A472C0"/>
    <w:rsid w:val="00A47AF0"/>
    <w:rsid w:val="00A50D55"/>
    <w:rsid w:val="00A50DD0"/>
    <w:rsid w:val="00A51E53"/>
    <w:rsid w:val="00A5233A"/>
    <w:rsid w:val="00A53C2B"/>
    <w:rsid w:val="00A540C3"/>
    <w:rsid w:val="00A545E5"/>
    <w:rsid w:val="00A54C52"/>
    <w:rsid w:val="00A550CA"/>
    <w:rsid w:val="00A5557B"/>
    <w:rsid w:val="00A5559B"/>
    <w:rsid w:val="00A55837"/>
    <w:rsid w:val="00A5586F"/>
    <w:rsid w:val="00A558B0"/>
    <w:rsid w:val="00A55BC7"/>
    <w:rsid w:val="00A55C5F"/>
    <w:rsid w:val="00A55D22"/>
    <w:rsid w:val="00A5720D"/>
    <w:rsid w:val="00A57A70"/>
    <w:rsid w:val="00A607DA"/>
    <w:rsid w:val="00A60E78"/>
    <w:rsid w:val="00A61103"/>
    <w:rsid w:val="00A61542"/>
    <w:rsid w:val="00A61835"/>
    <w:rsid w:val="00A61BED"/>
    <w:rsid w:val="00A61FD5"/>
    <w:rsid w:val="00A62250"/>
    <w:rsid w:val="00A62B5F"/>
    <w:rsid w:val="00A62B8C"/>
    <w:rsid w:val="00A6363D"/>
    <w:rsid w:val="00A636EE"/>
    <w:rsid w:val="00A63AEA"/>
    <w:rsid w:val="00A64AAE"/>
    <w:rsid w:val="00A64AE0"/>
    <w:rsid w:val="00A64D55"/>
    <w:rsid w:val="00A65049"/>
    <w:rsid w:val="00A651F6"/>
    <w:rsid w:val="00A661CF"/>
    <w:rsid w:val="00A66659"/>
    <w:rsid w:val="00A667A0"/>
    <w:rsid w:val="00A66CDC"/>
    <w:rsid w:val="00A67B12"/>
    <w:rsid w:val="00A67E1E"/>
    <w:rsid w:val="00A70B32"/>
    <w:rsid w:val="00A70EB9"/>
    <w:rsid w:val="00A71B7B"/>
    <w:rsid w:val="00A721F6"/>
    <w:rsid w:val="00A727E2"/>
    <w:rsid w:val="00A7295B"/>
    <w:rsid w:val="00A729B1"/>
    <w:rsid w:val="00A73409"/>
    <w:rsid w:val="00A73A31"/>
    <w:rsid w:val="00A7453F"/>
    <w:rsid w:val="00A748BE"/>
    <w:rsid w:val="00A74900"/>
    <w:rsid w:val="00A74F7F"/>
    <w:rsid w:val="00A75A4D"/>
    <w:rsid w:val="00A75D9D"/>
    <w:rsid w:val="00A75E5F"/>
    <w:rsid w:val="00A76D3A"/>
    <w:rsid w:val="00A7702A"/>
    <w:rsid w:val="00A773CC"/>
    <w:rsid w:val="00A77D31"/>
    <w:rsid w:val="00A80939"/>
    <w:rsid w:val="00A80B01"/>
    <w:rsid w:val="00A80EC0"/>
    <w:rsid w:val="00A8143A"/>
    <w:rsid w:val="00A815EC"/>
    <w:rsid w:val="00A821C2"/>
    <w:rsid w:val="00A82296"/>
    <w:rsid w:val="00A82398"/>
    <w:rsid w:val="00A8242E"/>
    <w:rsid w:val="00A8251A"/>
    <w:rsid w:val="00A82AD9"/>
    <w:rsid w:val="00A834E5"/>
    <w:rsid w:val="00A83B57"/>
    <w:rsid w:val="00A84011"/>
    <w:rsid w:val="00A8406D"/>
    <w:rsid w:val="00A849A1"/>
    <w:rsid w:val="00A84F82"/>
    <w:rsid w:val="00A854D6"/>
    <w:rsid w:val="00A85528"/>
    <w:rsid w:val="00A85566"/>
    <w:rsid w:val="00A85603"/>
    <w:rsid w:val="00A85BA5"/>
    <w:rsid w:val="00A85D36"/>
    <w:rsid w:val="00A85F9C"/>
    <w:rsid w:val="00A860E5"/>
    <w:rsid w:val="00A864D3"/>
    <w:rsid w:val="00A864FF"/>
    <w:rsid w:val="00A8652F"/>
    <w:rsid w:val="00A866A1"/>
    <w:rsid w:val="00A86905"/>
    <w:rsid w:val="00A86EF3"/>
    <w:rsid w:val="00A86F29"/>
    <w:rsid w:val="00A8719F"/>
    <w:rsid w:val="00A87AB8"/>
    <w:rsid w:val="00A87C7B"/>
    <w:rsid w:val="00A904C1"/>
    <w:rsid w:val="00A90560"/>
    <w:rsid w:val="00A909CB"/>
    <w:rsid w:val="00A90FC9"/>
    <w:rsid w:val="00A9107C"/>
    <w:rsid w:val="00A91143"/>
    <w:rsid w:val="00A91ECA"/>
    <w:rsid w:val="00A926A2"/>
    <w:rsid w:val="00A9312E"/>
    <w:rsid w:val="00A936F5"/>
    <w:rsid w:val="00A93806"/>
    <w:rsid w:val="00A93823"/>
    <w:rsid w:val="00A93984"/>
    <w:rsid w:val="00A93B6B"/>
    <w:rsid w:val="00A94597"/>
    <w:rsid w:val="00A947D2"/>
    <w:rsid w:val="00A94CDA"/>
    <w:rsid w:val="00A94F5A"/>
    <w:rsid w:val="00A952FD"/>
    <w:rsid w:val="00A95E68"/>
    <w:rsid w:val="00A96604"/>
    <w:rsid w:val="00A96679"/>
    <w:rsid w:val="00A96871"/>
    <w:rsid w:val="00A96DC3"/>
    <w:rsid w:val="00A9706D"/>
    <w:rsid w:val="00A97799"/>
    <w:rsid w:val="00A97888"/>
    <w:rsid w:val="00AA0ECD"/>
    <w:rsid w:val="00AA0F7F"/>
    <w:rsid w:val="00AA1C4B"/>
    <w:rsid w:val="00AA1E17"/>
    <w:rsid w:val="00AA2370"/>
    <w:rsid w:val="00AA262D"/>
    <w:rsid w:val="00AA280E"/>
    <w:rsid w:val="00AA2AE1"/>
    <w:rsid w:val="00AA2EED"/>
    <w:rsid w:val="00AA32C6"/>
    <w:rsid w:val="00AA394A"/>
    <w:rsid w:val="00AA394F"/>
    <w:rsid w:val="00AA39CA"/>
    <w:rsid w:val="00AA41C8"/>
    <w:rsid w:val="00AA468D"/>
    <w:rsid w:val="00AA487E"/>
    <w:rsid w:val="00AA498A"/>
    <w:rsid w:val="00AA53FD"/>
    <w:rsid w:val="00AA5442"/>
    <w:rsid w:val="00AA5A3F"/>
    <w:rsid w:val="00AA620F"/>
    <w:rsid w:val="00AA6774"/>
    <w:rsid w:val="00AA68C1"/>
    <w:rsid w:val="00AA6A81"/>
    <w:rsid w:val="00AA6CDE"/>
    <w:rsid w:val="00AA70EF"/>
    <w:rsid w:val="00AA73EF"/>
    <w:rsid w:val="00AB054F"/>
    <w:rsid w:val="00AB0911"/>
    <w:rsid w:val="00AB1797"/>
    <w:rsid w:val="00AB18A7"/>
    <w:rsid w:val="00AB1EF7"/>
    <w:rsid w:val="00AB1F39"/>
    <w:rsid w:val="00AB1F6D"/>
    <w:rsid w:val="00AB2868"/>
    <w:rsid w:val="00AB2918"/>
    <w:rsid w:val="00AB29A3"/>
    <w:rsid w:val="00AB2AE4"/>
    <w:rsid w:val="00AB2CC2"/>
    <w:rsid w:val="00AB47B2"/>
    <w:rsid w:val="00AB4A18"/>
    <w:rsid w:val="00AB4A1E"/>
    <w:rsid w:val="00AB5087"/>
    <w:rsid w:val="00AB53C0"/>
    <w:rsid w:val="00AB5458"/>
    <w:rsid w:val="00AB626E"/>
    <w:rsid w:val="00AB7374"/>
    <w:rsid w:val="00AC03F2"/>
    <w:rsid w:val="00AC09BC"/>
    <w:rsid w:val="00AC0C77"/>
    <w:rsid w:val="00AC2176"/>
    <w:rsid w:val="00AC2B28"/>
    <w:rsid w:val="00AC2CEF"/>
    <w:rsid w:val="00AC2DBC"/>
    <w:rsid w:val="00AC2FBE"/>
    <w:rsid w:val="00AC33C3"/>
    <w:rsid w:val="00AC35BD"/>
    <w:rsid w:val="00AC44CB"/>
    <w:rsid w:val="00AC486B"/>
    <w:rsid w:val="00AC4C2C"/>
    <w:rsid w:val="00AC4DBD"/>
    <w:rsid w:val="00AC5225"/>
    <w:rsid w:val="00AC581B"/>
    <w:rsid w:val="00AC644D"/>
    <w:rsid w:val="00AC6A2A"/>
    <w:rsid w:val="00AC6BBC"/>
    <w:rsid w:val="00AC6DE6"/>
    <w:rsid w:val="00AC6FE1"/>
    <w:rsid w:val="00AC7336"/>
    <w:rsid w:val="00AC77AC"/>
    <w:rsid w:val="00AC7AF4"/>
    <w:rsid w:val="00AD0BEB"/>
    <w:rsid w:val="00AD17F4"/>
    <w:rsid w:val="00AD1F2E"/>
    <w:rsid w:val="00AD27E7"/>
    <w:rsid w:val="00AD29FF"/>
    <w:rsid w:val="00AD3345"/>
    <w:rsid w:val="00AD4071"/>
    <w:rsid w:val="00AD5765"/>
    <w:rsid w:val="00AD5A1E"/>
    <w:rsid w:val="00AD5E41"/>
    <w:rsid w:val="00AD6205"/>
    <w:rsid w:val="00AD6E8B"/>
    <w:rsid w:val="00AD7068"/>
    <w:rsid w:val="00AD78FD"/>
    <w:rsid w:val="00AD7C72"/>
    <w:rsid w:val="00AD7E9D"/>
    <w:rsid w:val="00AE0185"/>
    <w:rsid w:val="00AE0F6A"/>
    <w:rsid w:val="00AE126C"/>
    <w:rsid w:val="00AE1649"/>
    <w:rsid w:val="00AE1766"/>
    <w:rsid w:val="00AE1BAA"/>
    <w:rsid w:val="00AE2FAF"/>
    <w:rsid w:val="00AE3083"/>
    <w:rsid w:val="00AE3504"/>
    <w:rsid w:val="00AE375D"/>
    <w:rsid w:val="00AE3C02"/>
    <w:rsid w:val="00AE3D05"/>
    <w:rsid w:val="00AE46A4"/>
    <w:rsid w:val="00AE4DBA"/>
    <w:rsid w:val="00AE570D"/>
    <w:rsid w:val="00AE572E"/>
    <w:rsid w:val="00AE5932"/>
    <w:rsid w:val="00AE5CC5"/>
    <w:rsid w:val="00AE5D33"/>
    <w:rsid w:val="00AE5F36"/>
    <w:rsid w:val="00AE62DF"/>
    <w:rsid w:val="00AE6659"/>
    <w:rsid w:val="00AE70C0"/>
    <w:rsid w:val="00AE782D"/>
    <w:rsid w:val="00AE79AF"/>
    <w:rsid w:val="00AE7E61"/>
    <w:rsid w:val="00AF0277"/>
    <w:rsid w:val="00AF060F"/>
    <w:rsid w:val="00AF07FD"/>
    <w:rsid w:val="00AF0AA4"/>
    <w:rsid w:val="00AF10D1"/>
    <w:rsid w:val="00AF1EF9"/>
    <w:rsid w:val="00AF25C4"/>
    <w:rsid w:val="00AF2956"/>
    <w:rsid w:val="00AF2F89"/>
    <w:rsid w:val="00AF41B2"/>
    <w:rsid w:val="00AF58EA"/>
    <w:rsid w:val="00AF59B4"/>
    <w:rsid w:val="00AF6601"/>
    <w:rsid w:val="00AF6D6B"/>
    <w:rsid w:val="00AF6DD9"/>
    <w:rsid w:val="00AF71DF"/>
    <w:rsid w:val="00AF75DF"/>
    <w:rsid w:val="00B007F0"/>
    <w:rsid w:val="00B01153"/>
    <w:rsid w:val="00B0119B"/>
    <w:rsid w:val="00B011E1"/>
    <w:rsid w:val="00B02381"/>
    <w:rsid w:val="00B0261F"/>
    <w:rsid w:val="00B02A12"/>
    <w:rsid w:val="00B03267"/>
    <w:rsid w:val="00B03A3E"/>
    <w:rsid w:val="00B03D72"/>
    <w:rsid w:val="00B05A47"/>
    <w:rsid w:val="00B05D98"/>
    <w:rsid w:val="00B06DE2"/>
    <w:rsid w:val="00B06ED0"/>
    <w:rsid w:val="00B072F0"/>
    <w:rsid w:val="00B10954"/>
    <w:rsid w:val="00B11DB6"/>
    <w:rsid w:val="00B12DBD"/>
    <w:rsid w:val="00B12DF5"/>
    <w:rsid w:val="00B13218"/>
    <w:rsid w:val="00B132FF"/>
    <w:rsid w:val="00B138E2"/>
    <w:rsid w:val="00B13A53"/>
    <w:rsid w:val="00B13B92"/>
    <w:rsid w:val="00B14438"/>
    <w:rsid w:val="00B1463F"/>
    <w:rsid w:val="00B151F9"/>
    <w:rsid w:val="00B152C5"/>
    <w:rsid w:val="00B15CE8"/>
    <w:rsid w:val="00B176C5"/>
    <w:rsid w:val="00B177CB"/>
    <w:rsid w:val="00B17F32"/>
    <w:rsid w:val="00B212EA"/>
    <w:rsid w:val="00B2134B"/>
    <w:rsid w:val="00B214CA"/>
    <w:rsid w:val="00B21564"/>
    <w:rsid w:val="00B21D05"/>
    <w:rsid w:val="00B21F39"/>
    <w:rsid w:val="00B222C5"/>
    <w:rsid w:val="00B227A8"/>
    <w:rsid w:val="00B22CA8"/>
    <w:rsid w:val="00B23167"/>
    <w:rsid w:val="00B2356F"/>
    <w:rsid w:val="00B2419B"/>
    <w:rsid w:val="00B24A16"/>
    <w:rsid w:val="00B24FF6"/>
    <w:rsid w:val="00B25644"/>
    <w:rsid w:val="00B256D3"/>
    <w:rsid w:val="00B27714"/>
    <w:rsid w:val="00B279DA"/>
    <w:rsid w:val="00B30B0C"/>
    <w:rsid w:val="00B30C64"/>
    <w:rsid w:val="00B32056"/>
    <w:rsid w:val="00B320F0"/>
    <w:rsid w:val="00B32181"/>
    <w:rsid w:val="00B33024"/>
    <w:rsid w:val="00B3442B"/>
    <w:rsid w:val="00B3595A"/>
    <w:rsid w:val="00B36703"/>
    <w:rsid w:val="00B36BAE"/>
    <w:rsid w:val="00B375CD"/>
    <w:rsid w:val="00B37BAF"/>
    <w:rsid w:val="00B37D21"/>
    <w:rsid w:val="00B37D92"/>
    <w:rsid w:val="00B41452"/>
    <w:rsid w:val="00B41A0E"/>
    <w:rsid w:val="00B42517"/>
    <w:rsid w:val="00B42B34"/>
    <w:rsid w:val="00B43568"/>
    <w:rsid w:val="00B4491F"/>
    <w:rsid w:val="00B4757D"/>
    <w:rsid w:val="00B47815"/>
    <w:rsid w:val="00B47BC2"/>
    <w:rsid w:val="00B47E6F"/>
    <w:rsid w:val="00B50193"/>
    <w:rsid w:val="00B50821"/>
    <w:rsid w:val="00B50887"/>
    <w:rsid w:val="00B50A24"/>
    <w:rsid w:val="00B50C49"/>
    <w:rsid w:val="00B510B6"/>
    <w:rsid w:val="00B51950"/>
    <w:rsid w:val="00B52088"/>
    <w:rsid w:val="00B52D98"/>
    <w:rsid w:val="00B532D5"/>
    <w:rsid w:val="00B53908"/>
    <w:rsid w:val="00B53D26"/>
    <w:rsid w:val="00B53F3D"/>
    <w:rsid w:val="00B5457E"/>
    <w:rsid w:val="00B5495E"/>
    <w:rsid w:val="00B55271"/>
    <w:rsid w:val="00B5582B"/>
    <w:rsid w:val="00B5591A"/>
    <w:rsid w:val="00B5596A"/>
    <w:rsid w:val="00B563AF"/>
    <w:rsid w:val="00B5669F"/>
    <w:rsid w:val="00B5685B"/>
    <w:rsid w:val="00B56CFF"/>
    <w:rsid w:val="00B56D85"/>
    <w:rsid w:val="00B574D7"/>
    <w:rsid w:val="00B57C97"/>
    <w:rsid w:val="00B603B5"/>
    <w:rsid w:val="00B605A9"/>
    <w:rsid w:val="00B60ACE"/>
    <w:rsid w:val="00B60C43"/>
    <w:rsid w:val="00B60EF9"/>
    <w:rsid w:val="00B61918"/>
    <w:rsid w:val="00B61931"/>
    <w:rsid w:val="00B62069"/>
    <w:rsid w:val="00B63558"/>
    <w:rsid w:val="00B63ADC"/>
    <w:rsid w:val="00B63C3A"/>
    <w:rsid w:val="00B6430A"/>
    <w:rsid w:val="00B64C43"/>
    <w:rsid w:val="00B65221"/>
    <w:rsid w:val="00B6526D"/>
    <w:rsid w:val="00B6532E"/>
    <w:rsid w:val="00B66CE2"/>
    <w:rsid w:val="00B66FF8"/>
    <w:rsid w:val="00B70899"/>
    <w:rsid w:val="00B708B8"/>
    <w:rsid w:val="00B70B6D"/>
    <w:rsid w:val="00B71139"/>
    <w:rsid w:val="00B711B2"/>
    <w:rsid w:val="00B71451"/>
    <w:rsid w:val="00B7147F"/>
    <w:rsid w:val="00B7148E"/>
    <w:rsid w:val="00B71B2D"/>
    <w:rsid w:val="00B71DA6"/>
    <w:rsid w:val="00B71F65"/>
    <w:rsid w:val="00B73A53"/>
    <w:rsid w:val="00B7407F"/>
    <w:rsid w:val="00B74170"/>
    <w:rsid w:val="00B74938"/>
    <w:rsid w:val="00B75837"/>
    <w:rsid w:val="00B75A65"/>
    <w:rsid w:val="00B75CD1"/>
    <w:rsid w:val="00B7624E"/>
    <w:rsid w:val="00B76761"/>
    <w:rsid w:val="00B76792"/>
    <w:rsid w:val="00B76A25"/>
    <w:rsid w:val="00B76C61"/>
    <w:rsid w:val="00B76C6F"/>
    <w:rsid w:val="00B77525"/>
    <w:rsid w:val="00B77F80"/>
    <w:rsid w:val="00B8019E"/>
    <w:rsid w:val="00B803A1"/>
    <w:rsid w:val="00B80EB7"/>
    <w:rsid w:val="00B80FF3"/>
    <w:rsid w:val="00B8159E"/>
    <w:rsid w:val="00B818CE"/>
    <w:rsid w:val="00B824E2"/>
    <w:rsid w:val="00B83293"/>
    <w:rsid w:val="00B844DF"/>
    <w:rsid w:val="00B8503B"/>
    <w:rsid w:val="00B854B3"/>
    <w:rsid w:val="00B85BF2"/>
    <w:rsid w:val="00B85E05"/>
    <w:rsid w:val="00B864EF"/>
    <w:rsid w:val="00B87453"/>
    <w:rsid w:val="00B878D1"/>
    <w:rsid w:val="00B911F2"/>
    <w:rsid w:val="00B91992"/>
    <w:rsid w:val="00B91BA8"/>
    <w:rsid w:val="00B921AF"/>
    <w:rsid w:val="00B9281B"/>
    <w:rsid w:val="00B92BC3"/>
    <w:rsid w:val="00B9323A"/>
    <w:rsid w:val="00B935F0"/>
    <w:rsid w:val="00B93B29"/>
    <w:rsid w:val="00B949EB"/>
    <w:rsid w:val="00B9515B"/>
    <w:rsid w:val="00B96396"/>
    <w:rsid w:val="00B973F0"/>
    <w:rsid w:val="00B9761E"/>
    <w:rsid w:val="00BA01C7"/>
    <w:rsid w:val="00BA0D02"/>
    <w:rsid w:val="00BA14D7"/>
    <w:rsid w:val="00BA1E0B"/>
    <w:rsid w:val="00BA1FFF"/>
    <w:rsid w:val="00BA280F"/>
    <w:rsid w:val="00BA30D6"/>
    <w:rsid w:val="00BA3336"/>
    <w:rsid w:val="00BA38BD"/>
    <w:rsid w:val="00BA3AA3"/>
    <w:rsid w:val="00BA4466"/>
    <w:rsid w:val="00BA47FE"/>
    <w:rsid w:val="00BA4D1C"/>
    <w:rsid w:val="00BA54B0"/>
    <w:rsid w:val="00BA5983"/>
    <w:rsid w:val="00BA5F56"/>
    <w:rsid w:val="00BA605B"/>
    <w:rsid w:val="00BA63B3"/>
    <w:rsid w:val="00BA657D"/>
    <w:rsid w:val="00BA65E5"/>
    <w:rsid w:val="00BA691B"/>
    <w:rsid w:val="00BA6973"/>
    <w:rsid w:val="00BA6AA1"/>
    <w:rsid w:val="00BA716C"/>
    <w:rsid w:val="00BA799E"/>
    <w:rsid w:val="00BA7D57"/>
    <w:rsid w:val="00BA7E77"/>
    <w:rsid w:val="00BB0231"/>
    <w:rsid w:val="00BB141B"/>
    <w:rsid w:val="00BB23E1"/>
    <w:rsid w:val="00BB2644"/>
    <w:rsid w:val="00BB269A"/>
    <w:rsid w:val="00BB2A2F"/>
    <w:rsid w:val="00BB2E37"/>
    <w:rsid w:val="00BB3A57"/>
    <w:rsid w:val="00BB49D9"/>
    <w:rsid w:val="00BB52EA"/>
    <w:rsid w:val="00BB539E"/>
    <w:rsid w:val="00BB568B"/>
    <w:rsid w:val="00BB6063"/>
    <w:rsid w:val="00BB671B"/>
    <w:rsid w:val="00BB6CDF"/>
    <w:rsid w:val="00BB71A1"/>
    <w:rsid w:val="00BB71FF"/>
    <w:rsid w:val="00BB721B"/>
    <w:rsid w:val="00BB7CE5"/>
    <w:rsid w:val="00BB7D01"/>
    <w:rsid w:val="00BB7F10"/>
    <w:rsid w:val="00BC0E2F"/>
    <w:rsid w:val="00BC1110"/>
    <w:rsid w:val="00BC1213"/>
    <w:rsid w:val="00BC127B"/>
    <w:rsid w:val="00BC15AE"/>
    <w:rsid w:val="00BC1956"/>
    <w:rsid w:val="00BC199A"/>
    <w:rsid w:val="00BC1B34"/>
    <w:rsid w:val="00BC1E12"/>
    <w:rsid w:val="00BC1F3F"/>
    <w:rsid w:val="00BC2993"/>
    <w:rsid w:val="00BC2CF3"/>
    <w:rsid w:val="00BC2D2C"/>
    <w:rsid w:val="00BC2D2E"/>
    <w:rsid w:val="00BC310C"/>
    <w:rsid w:val="00BC356B"/>
    <w:rsid w:val="00BC37E6"/>
    <w:rsid w:val="00BC407A"/>
    <w:rsid w:val="00BC426A"/>
    <w:rsid w:val="00BC484A"/>
    <w:rsid w:val="00BC490C"/>
    <w:rsid w:val="00BC55A1"/>
    <w:rsid w:val="00BC5686"/>
    <w:rsid w:val="00BC5EE1"/>
    <w:rsid w:val="00BC5F7A"/>
    <w:rsid w:val="00BC60A9"/>
    <w:rsid w:val="00BC6AD4"/>
    <w:rsid w:val="00BC6B75"/>
    <w:rsid w:val="00BC6D16"/>
    <w:rsid w:val="00BC71B0"/>
    <w:rsid w:val="00BC7501"/>
    <w:rsid w:val="00BC7913"/>
    <w:rsid w:val="00BD0396"/>
    <w:rsid w:val="00BD0945"/>
    <w:rsid w:val="00BD0961"/>
    <w:rsid w:val="00BD0F2A"/>
    <w:rsid w:val="00BD1C98"/>
    <w:rsid w:val="00BD1D3D"/>
    <w:rsid w:val="00BD21BD"/>
    <w:rsid w:val="00BD2508"/>
    <w:rsid w:val="00BD46BB"/>
    <w:rsid w:val="00BD4E5A"/>
    <w:rsid w:val="00BD54DB"/>
    <w:rsid w:val="00BD577A"/>
    <w:rsid w:val="00BD5A6E"/>
    <w:rsid w:val="00BD5FB3"/>
    <w:rsid w:val="00BD6921"/>
    <w:rsid w:val="00BD70E7"/>
    <w:rsid w:val="00BE0080"/>
    <w:rsid w:val="00BE0490"/>
    <w:rsid w:val="00BE0946"/>
    <w:rsid w:val="00BE0A1C"/>
    <w:rsid w:val="00BE0AD4"/>
    <w:rsid w:val="00BE0C34"/>
    <w:rsid w:val="00BE0F0F"/>
    <w:rsid w:val="00BE18E6"/>
    <w:rsid w:val="00BE1B8A"/>
    <w:rsid w:val="00BE1FED"/>
    <w:rsid w:val="00BE2802"/>
    <w:rsid w:val="00BE3793"/>
    <w:rsid w:val="00BE3A82"/>
    <w:rsid w:val="00BE3FE2"/>
    <w:rsid w:val="00BE4617"/>
    <w:rsid w:val="00BE4DB9"/>
    <w:rsid w:val="00BE4E02"/>
    <w:rsid w:val="00BE529F"/>
    <w:rsid w:val="00BE53EE"/>
    <w:rsid w:val="00BE545C"/>
    <w:rsid w:val="00BE61A0"/>
    <w:rsid w:val="00BE65D1"/>
    <w:rsid w:val="00BE691B"/>
    <w:rsid w:val="00BE70D9"/>
    <w:rsid w:val="00BE7341"/>
    <w:rsid w:val="00BE73F8"/>
    <w:rsid w:val="00BF0D72"/>
    <w:rsid w:val="00BF0E94"/>
    <w:rsid w:val="00BF0FCE"/>
    <w:rsid w:val="00BF11A7"/>
    <w:rsid w:val="00BF1549"/>
    <w:rsid w:val="00BF1A07"/>
    <w:rsid w:val="00BF1FB7"/>
    <w:rsid w:val="00BF2B9F"/>
    <w:rsid w:val="00BF342E"/>
    <w:rsid w:val="00BF37ED"/>
    <w:rsid w:val="00BF43F4"/>
    <w:rsid w:val="00BF4558"/>
    <w:rsid w:val="00BF49FF"/>
    <w:rsid w:val="00BF56AF"/>
    <w:rsid w:val="00BF5723"/>
    <w:rsid w:val="00BF5F0F"/>
    <w:rsid w:val="00BF605E"/>
    <w:rsid w:val="00BF681F"/>
    <w:rsid w:val="00C0083F"/>
    <w:rsid w:val="00C019D6"/>
    <w:rsid w:val="00C01B32"/>
    <w:rsid w:val="00C01FE8"/>
    <w:rsid w:val="00C02949"/>
    <w:rsid w:val="00C034A6"/>
    <w:rsid w:val="00C04227"/>
    <w:rsid w:val="00C0531E"/>
    <w:rsid w:val="00C05488"/>
    <w:rsid w:val="00C05837"/>
    <w:rsid w:val="00C05E48"/>
    <w:rsid w:val="00C06FD8"/>
    <w:rsid w:val="00C0785E"/>
    <w:rsid w:val="00C07A0F"/>
    <w:rsid w:val="00C07A3A"/>
    <w:rsid w:val="00C07ECE"/>
    <w:rsid w:val="00C101A8"/>
    <w:rsid w:val="00C108C9"/>
    <w:rsid w:val="00C10933"/>
    <w:rsid w:val="00C10F03"/>
    <w:rsid w:val="00C11582"/>
    <w:rsid w:val="00C11844"/>
    <w:rsid w:val="00C125C7"/>
    <w:rsid w:val="00C12C86"/>
    <w:rsid w:val="00C12CEE"/>
    <w:rsid w:val="00C12E95"/>
    <w:rsid w:val="00C130D6"/>
    <w:rsid w:val="00C13883"/>
    <w:rsid w:val="00C13918"/>
    <w:rsid w:val="00C13D0C"/>
    <w:rsid w:val="00C1432B"/>
    <w:rsid w:val="00C14B7C"/>
    <w:rsid w:val="00C14BA6"/>
    <w:rsid w:val="00C14BC0"/>
    <w:rsid w:val="00C15446"/>
    <w:rsid w:val="00C154A7"/>
    <w:rsid w:val="00C1595D"/>
    <w:rsid w:val="00C15D5E"/>
    <w:rsid w:val="00C15DF1"/>
    <w:rsid w:val="00C15E84"/>
    <w:rsid w:val="00C1637A"/>
    <w:rsid w:val="00C17653"/>
    <w:rsid w:val="00C17D21"/>
    <w:rsid w:val="00C17DD1"/>
    <w:rsid w:val="00C20C02"/>
    <w:rsid w:val="00C20D5D"/>
    <w:rsid w:val="00C20F26"/>
    <w:rsid w:val="00C215A8"/>
    <w:rsid w:val="00C229F2"/>
    <w:rsid w:val="00C2355C"/>
    <w:rsid w:val="00C2433A"/>
    <w:rsid w:val="00C2441A"/>
    <w:rsid w:val="00C24ED9"/>
    <w:rsid w:val="00C255AA"/>
    <w:rsid w:val="00C26FD0"/>
    <w:rsid w:val="00C3012F"/>
    <w:rsid w:val="00C3018E"/>
    <w:rsid w:val="00C31197"/>
    <w:rsid w:val="00C31B47"/>
    <w:rsid w:val="00C321AA"/>
    <w:rsid w:val="00C3380A"/>
    <w:rsid w:val="00C33811"/>
    <w:rsid w:val="00C33D83"/>
    <w:rsid w:val="00C34184"/>
    <w:rsid w:val="00C3430E"/>
    <w:rsid w:val="00C3516C"/>
    <w:rsid w:val="00C360BB"/>
    <w:rsid w:val="00C361EA"/>
    <w:rsid w:val="00C3672B"/>
    <w:rsid w:val="00C373C7"/>
    <w:rsid w:val="00C3784C"/>
    <w:rsid w:val="00C409B0"/>
    <w:rsid w:val="00C40CDF"/>
    <w:rsid w:val="00C41005"/>
    <w:rsid w:val="00C41409"/>
    <w:rsid w:val="00C414E0"/>
    <w:rsid w:val="00C417A1"/>
    <w:rsid w:val="00C419CA"/>
    <w:rsid w:val="00C43308"/>
    <w:rsid w:val="00C43321"/>
    <w:rsid w:val="00C4401F"/>
    <w:rsid w:val="00C44195"/>
    <w:rsid w:val="00C4421D"/>
    <w:rsid w:val="00C4441F"/>
    <w:rsid w:val="00C44CEF"/>
    <w:rsid w:val="00C4504C"/>
    <w:rsid w:val="00C45699"/>
    <w:rsid w:val="00C4650E"/>
    <w:rsid w:val="00C46572"/>
    <w:rsid w:val="00C4677B"/>
    <w:rsid w:val="00C4706B"/>
    <w:rsid w:val="00C47B44"/>
    <w:rsid w:val="00C47D80"/>
    <w:rsid w:val="00C5024C"/>
    <w:rsid w:val="00C504C5"/>
    <w:rsid w:val="00C507F3"/>
    <w:rsid w:val="00C513EC"/>
    <w:rsid w:val="00C51BD9"/>
    <w:rsid w:val="00C526A1"/>
    <w:rsid w:val="00C52DB0"/>
    <w:rsid w:val="00C52EC2"/>
    <w:rsid w:val="00C533AF"/>
    <w:rsid w:val="00C5364E"/>
    <w:rsid w:val="00C53692"/>
    <w:rsid w:val="00C53CC8"/>
    <w:rsid w:val="00C5465D"/>
    <w:rsid w:val="00C546E1"/>
    <w:rsid w:val="00C54B95"/>
    <w:rsid w:val="00C54D0B"/>
    <w:rsid w:val="00C5501E"/>
    <w:rsid w:val="00C55392"/>
    <w:rsid w:val="00C553AB"/>
    <w:rsid w:val="00C554C1"/>
    <w:rsid w:val="00C5572E"/>
    <w:rsid w:val="00C558DB"/>
    <w:rsid w:val="00C558EB"/>
    <w:rsid w:val="00C55A4D"/>
    <w:rsid w:val="00C55D53"/>
    <w:rsid w:val="00C55F41"/>
    <w:rsid w:val="00C55F7F"/>
    <w:rsid w:val="00C56A66"/>
    <w:rsid w:val="00C574DC"/>
    <w:rsid w:val="00C57B63"/>
    <w:rsid w:val="00C61773"/>
    <w:rsid w:val="00C61CCE"/>
    <w:rsid w:val="00C620CF"/>
    <w:rsid w:val="00C62882"/>
    <w:rsid w:val="00C629E4"/>
    <w:rsid w:val="00C637AE"/>
    <w:rsid w:val="00C63982"/>
    <w:rsid w:val="00C63F17"/>
    <w:rsid w:val="00C6423C"/>
    <w:rsid w:val="00C646BF"/>
    <w:rsid w:val="00C64A9D"/>
    <w:rsid w:val="00C64BB2"/>
    <w:rsid w:val="00C64DB2"/>
    <w:rsid w:val="00C66182"/>
    <w:rsid w:val="00C66D85"/>
    <w:rsid w:val="00C67CA0"/>
    <w:rsid w:val="00C7025D"/>
    <w:rsid w:val="00C70BAB"/>
    <w:rsid w:val="00C70C1B"/>
    <w:rsid w:val="00C7129E"/>
    <w:rsid w:val="00C71FC2"/>
    <w:rsid w:val="00C72169"/>
    <w:rsid w:val="00C722B0"/>
    <w:rsid w:val="00C725AE"/>
    <w:rsid w:val="00C729C0"/>
    <w:rsid w:val="00C730A8"/>
    <w:rsid w:val="00C73E69"/>
    <w:rsid w:val="00C74137"/>
    <w:rsid w:val="00C7479D"/>
    <w:rsid w:val="00C747B0"/>
    <w:rsid w:val="00C7552E"/>
    <w:rsid w:val="00C75F21"/>
    <w:rsid w:val="00C76581"/>
    <w:rsid w:val="00C765FB"/>
    <w:rsid w:val="00C774F9"/>
    <w:rsid w:val="00C77676"/>
    <w:rsid w:val="00C77A8D"/>
    <w:rsid w:val="00C77D0F"/>
    <w:rsid w:val="00C805E9"/>
    <w:rsid w:val="00C807DA"/>
    <w:rsid w:val="00C80FD7"/>
    <w:rsid w:val="00C8149A"/>
    <w:rsid w:val="00C819E3"/>
    <w:rsid w:val="00C82437"/>
    <w:rsid w:val="00C82608"/>
    <w:rsid w:val="00C8262D"/>
    <w:rsid w:val="00C830DF"/>
    <w:rsid w:val="00C83490"/>
    <w:rsid w:val="00C83649"/>
    <w:rsid w:val="00C8364C"/>
    <w:rsid w:val="00C83BAD"/>
    <w:rsid w:val="00C84AE2"/>
    <w:rsid w:val="00C85565"/>
    <w:rsid w:val="00C85AC1"/>
    <w:rsid w:val="00C860D0"/>
    <w:rsid w:val="00C8614E"/>
    <w:rsid w:val="00C86DC0"/>
    <w:rsid w:val="00C87F7C"/>
    <w:rsid w:val="00C9052B"/>
    <w:rsid w:val="00C90A1C"/>
    <w:rsid w:val="00C91150"/>
    <w:rsid w:val="00C914C3"/>
    <w:rsid w:val="00C916E2"/>
    <w:rsid w:val="00C9189C"/>
    <w:rsid w:val="00C92434"/>
    <w:rsid w:val="00C92752"/>
    <w:rsid w:val="00C92E54"/>
    <w:rsid w:val="00C92F4B"/>
    <w:rsid w:val="00C9300A"/>
    <w:rsid w:val="00C93617"/>
    <w:rsid w:val="00C93815"/>
    <w:rsid w:val="00C93BFC"/>
    <w:rsid w:val="00C93DEB"/>
    <w:rsid w:val="00C941A9"/>
    <w:rsid w:val="00C94519"/>
    <w:rsid w:val="00C948E5"/>
    <w:rsid w:val="00C9499A"/>
    <w:rsid w:val="00C95420"/>
    <w:rsid w:val="00C95B7E"/>
    <w:rsid w:val="00C96B20"/>
    <w:rsid w:val="00C97055"/>
    <w:rsid w:val="00C97A6D"/>
    <w:rsid w:val="00C97AC0"/>
    <w:rsid w:val="00C97B18"/>
    <w:rsid w:val="00CA019C"/>
    <w:rsid w:val="00CA06FF"/>
    <w:rsid w:val="00CA12E4"/>
    <w:rsid w:val="00CA1A8C"/>
    <w:rsid w:val="00CA1C18"/>
    <w:rsid w:val="00CA2BBD"/>
    <w:rsid w:val="00CA2DFB"/>
    <w:rsid w:val="00CA2EAA"/>
    <w:rsid w:val="00CA39F0"/>
    <w:rsid w:val="00CA4F05"/>
    <w:rsid w:val="00CA539A"/>
    <w:rsid w:val="00CA53F4"/>
    <w:rsid w:val="00CA5480"/>
    <w:rsid w:val="00CA568A"/>
    <w:rsid w:val="00CA59AF"/>
    <w:rsid w:val="00CA6406"/>
    <w:rsid w:val="00CA65C4"/>
    <w:rsid w:val="00CA68A3"/>
    <w:rsid w:val="00CA6E49"/>
    <w:rsid w:val="00CA70F4"/>
    <w:rsid w:val="00CA7879"/>
    <w:rsid w:val="00CA7E42"/>
    <w:rsid w:val="00CB0957"/>
    <w:rsid w:val="00CB0A9B"/>
    <w:rsid w:val="00CB14B1"/>
    <w:rsid w:val="00CB1682"/>
    <w:rsid w:val="00CB1D4E"/>
    <w:rsid w:val="00CB25CD"/>
    <w:rsid w:val="00CB29BF"/>
    <w:rsid w:val="00CB2EA6"/>
    <w:rsid w:val="00CB2ED0"/>
    <w:rsid w:val="00CB39FC"/>
    <w:rsid w:val="00CB408A"/>
    <w:rsid w:val="00CB4925"/>
    <w:rsid w:val="00CB577E"/>
    <w:rsid w:val="00CB5980"/>
    <w:rsid w:val="00CB7193"/>
    <w:rsid w:val="00CB7232"/>
    <w:rsid w:val="00CB764A"/>
    <w:rsid w:val="00CB77A9"/>
    <w:rsid w:val="00CB7815"/>
    <w:rsid w:val="00CB7CD2"/>
    <w:rsid w:val="00CC0210"/>
    <w:rsid w:val="00CC032D"/>
    <w:rsid w:val="00CC0E60"/>
    <w:rsid w:val="00CC0F56"/>
    <w:rsid w:val="00CC1C46"/>
    <w:rsid w:val="00CC26E8"/>
    <w:rsid w:val="00CC2710"/>
    <w:rsid w:val="00CC3555"/>
    <w:rsid w:val="00CC38F8"/>
    <w:rsid w:val="00CC391E"/>
    <w:rsid w:val="00CC3DAC"/>
    <w:rsid w:val="00CC40C4"/>
    <w:rsid w:val="00CC469D"/>
    <w:rsid w:val="00CC4766"/>
    <w:rsid w:val="00CC4CDF"/>
    <w:rsid w:val="00CC4E38"/>
    <w:rsid w:val="00CC4F46"/>
    <w:rsid w:val="00CC5000"/>
    <w:rsid w:val="00CC559C"/>
    <w:rsid w:val="00CC6102"/>
    <w:rsid w:val="00CC61D9"/>
    <w:rsid w:val="00CC6356"/>
    <w:rsid w:val="00CC6CBC"/>
    <w:rsid w:val="00CC6EA7"/>
    <w:rsid w:val="00CC6F27"/>
    <w:rsid w:val="00CC6F79"/>
    <w:rsid w:val="00CC7A39"/>
    <w:rsid w:val="00CD07C2"/>
    <w:rsid w:val="00CD2042"/>
    <w:rsid w:val="00CD22BB"/>
    <w:rsid w:val="00CD2BB3"/>
    <w:rsid w:val="00CD328E"/>
    <w:rsid w:val="00CD3410"/>
    <w:rsid w:val="00CD36ED"/>
    <w:rsid w:val="00CD4202"/>
    <w:rsid w:val="00CD42AF"/>
    <w:rsid w:val="00CD517F"/>
    <w:rsid w:val="00CD532D"/>
    <w:rsid w:val="00CD547C"/>
    <w:rsid w:val="00CD57ED"/>
    <w:rsid w:val="00CD5CCE"/>
    <w:rsid w:val="00CD69C6"/>
    <w:rsid w:val="00CD6CA7"/>
    <w:rsid w:val="00CD6D5F"/>
    <w:rsid w:val="00CD7185"/>
    <w:rsid w:val="00CD7529"/>
    <w:rsid w:val="00CE076F"/>
    <w:rsid w:val="00CE0A41"/>
    <w:rsid w:val="00CE0D15"/>
    <w:rsid w:val="00CE1615"/>
    <w:rsid w:val="00CE28ED"/>
    <w:rsid w:val="00CE302B"/>
    <w:rsid w:val="00CE411F"/>
    <w:rsid w:val="00CE49B6"/>
    <w:rsid w:val="00CE4ED8"/>
    <w:rsid w:val="00CE50E3"/>
    <w:rsid w:val="00CE52DA"/>
    <w:rsid w:val="00CE5695"/>
    <w:rsid w:val="00CE647E"/>
    <w:rsid w:val="00CE72BD"/>
    <w:rsid w:val="00CE79F6"/>
    <w:rsid w:val="00CF01E5"/>
    <w:rsid w:val="00CF07AC"/>
    <w:rsid w:val="00CF137B"/>
    <w:rsid w:val="00CF1581"/>
    <w:rsid w:val="00CF1806"/>
    <w:rsid w:val="00CF1934"/>
    <w:rsid w:val="00CF1A47"/>
    <w:rsid w:val="00CF1A90"/>
    <w:rsid w:val="00CF1F01"/>
    <w:rsid w:val="00CF2438"/>
    <w:rsid w:val="00CF24F2"/>
    <w:rsid w:val="00CF255A"/>
    <w:rsid w:val="00CF2866"/>
    <w:rsid w:val="00CF28A1"/>
    <w:rsid w:val="00CF3002"/>
    <w:rsid w:val="00CF3183"/>
    <w:rsid w:val="00CF39AF"/>
    <w:rsid w:val="00CF3A4D"/>
    <w:rsid w:val="00CF52BD"/>
    <w:rsid w:val="00CF558A"/>
    <w:rsid w:val="00CF588E"/>
    <w:rsid w:val="00CF5D38"/>
    <w:rsid w:val="00CF5E70"/>
    <w:rsid w:val="00CF6974"/>
    <w:rsid w:val="00CF6B33"/>
    <w:rsid w:val="00CF7038"/>
    <w:rsid w:val="00CF7AFE"/>
    <w:rsid w:val="00D00565"/>
    <w:rsid w:val="00D007D9"/>
    <w:rsid w:val="00D011ED"/>
    <w:rsid w:val="00D0164B"/>
    <w:rsid w:val="00D01FC0"/>
    <w:rsid w:val="00D025AC"/>
    <w:rsid w:val="00D025BC"/>
    <w:rsid w:val="00D02BEC"/>
    <w:rsid w:val="00D03B80"/>
    <w:rsid w:val="00D04201"/>
    <w:rsid w:val="00D04278"/>
    <w:rsid w:val="00D04547"/>
    <w:rsid w:val="00D048F4"/>
    <w:rsid w:val="00D05345"/>
    <w:rsid w:val="00D061BF"/>
    <w:rsid w:val="00D064E2"/>
    <w:rsid w:val="00D0666C"/>
    <w:rsid w:val="00D078A8"/>
    <w:rsid w:val="00D079E7"/>
    <w:rsid w:val="00D07A24"/>
    <w:rsid w:val="00D07AFF"/>
    <w:rsid w:val="00D07F57"/>
    <w:rsid w:val="00D1107D"/>
    <w:rsid w:val="00D11311"/>
    <w:rsid w:val="00D11613"/>
    <w:rsid w:val="00D11D40"/>
    <w:rsid w:val="00D11EFB"/>
    <w:rsid w:val="00D12359"/>
    <w:rsid w:val="00D1281F"/>
    <w:rsid w:val="00D12D0B"/>
    <w:rsid w:val="00D14724"/>
    <w:rsid w:val="00D14871"/>
    <w:rsid w:val="00D14D54"/>
    <w:rsid w:val="00D14FE5"/>
    <w:rsid w:val="00D150CD"/>
    <w:rsid w:val="00D15194"/>
    <w:rsid w:val="00D15E6C"/>
    <w:rsid w:val="00D16A29"/>
    <w:rsid w:val="00D1710C"/>
    <w:rsid w:val="00D17662"/>
    <w:rsid w:val="00D1776D"/>
    <w:rsid w:val="00D20CB2"/>
    <w:rsid w:val="00D21632"/>
    <w:rsid w:val="00D21C51"/>
    <w:rsid w:val="00D21C7A"/>
    <w:rsid w:val="00D220D1"/>
    <w:rsid w:val="00D22469"/>
    <w:rsid w:val="00D23374"/>
    <w:rsid w:val="00D2362A"/>
    <w:rsid w:val="00D24269"/>
    <w:rsid w:val="00D2428C"/>
    <w:rsid w:val="00D24ACD"/>
    <w:rsid w:val="00D24F6D"/>
    <w:rsid w:val="00D250C2"/>
    <w:rsid w:val="00D2550F"/>
    <w:rsid w:val="00D260EF"/>
    <w:rsid w:val="00D2647C"/>
    <w:rsid w:val="00D26DE3"/>
    <w:rsid w:val="00D27013"/>
    <w:rsid w:val="00D270D7"/>
    <w:rsid w:val="00D275C8"/>
    <w:rsid w:val="00D2785D"/>
    <w:rsid w:val="00D27A5F"/>
    <w:rsid w:val="00D27C0C"/>
    <w:rsid w:val="00D3000F"/>
    <w:rsid w:val="00D30491"/>
    <w:rsid w:val="00D31887"/>
    <w:rsid w:val="00D31F2F"/>
    <w:rsid w:val="00D3242E"/>
    <w:rsid w:val="00D32F3C"/>
    <w:rsid w:val="00D33BDF"/>
    <w:rsid w:val="00D33E79"/>
    <w:rsid w:val="00D34498"/>
    <w:rsid w:val="00D362DD"/>
    <w:rsid w:val="00D36473"/>
    <w:rsid w:val="00D36AD3"/>
    <w:rsid w:val="00D36FA2"/>
    <w:rsid w:val="00D37146"/>
    <w:rsid w:val="00D371F0"/>
    <w:rsid w:val="00D37869"/>
    <w:rsid w:val="00D40758"/>
    <w:rsid w:val="00D408E4"/>
    <w:rsid w:val="00D40CCF"/>
    <w:rsid w:val="00D41273"/>
    <w:rsid w:val="00D41C66"/>
    <w:rsid w:val="00D42FBD"/>
    <w:rsid w:val="00D43379"/>
    <w:rsid w:val="00D43409"/>
    <w:rsid w:val="00D43E4B"/>
    <w:rsid w:val="00D43EAD"/>
    <w:rsid w:val="00D441DF"/>
    <w:rsid w:val="00D447FD"/>
    <w:rsid w:val="00D45483"/>
    <w:rsid w:val="00D459A9"/>
    <w:rsid w:val="00D45E2F"/>
    <w:rsid w:val="00D46307"/>
    <w:rsid w:val="00D464D9"/>
    <w:rsid w:val="00D46A2E"/>
    <w:rsid w:val="00D46A94"/>
    <w:rsid w:val="00D506EB"/>
    <w:rsid w:val="00D508F7"/>
    <w:rsid w:val="00D50C29"/>
    <w:rsid w:val="00D50C94"/>
    <w:rsid w:val="00D50E87"/>
    <w:rsid w:val="00D51649"/>
    <w:rsid w:val="00D5174A"/>
    <w:rsid w:val="00D5210D"/>
    <w:rsid w:val="00D523CD"/>
    <w:rsid w:val="00D526BD"/>
    <w:rsid w:val="00D529E7"/>
    <w:rsid w:val="00D52C86"/>
    <w:rsid w:val="00D53767"/>
    <w:rsid w:val="00D537AB"/>
    <w:rsid w:val="00D53FA8"/>
    <w:rsid w:val="00D54873"/>
    <w:rsid w:val="00D556F5"/>
    <w:rsid w:val="00D5571E"/>
    <w:rsid w:val="00D56077"/>
    <w:rsid w:val="00D561E7"/>
    <w:rsid w:val="00D5621B"/>
    <w:rsid w:val="00D565E4"/>
    <w:rsid w:val="00D56BF2"/>
    <w:rsid w:val="00D57909"/>
    <w:rsid w:val="00D60002"/>
    <w:rsid w:val="00D6071D"/>
    <w:rsid w:val="00D609E3"/>
    <w:rsid w:val="00D60C40"/>
    <w:rsid w:val="00D61FB0"/>
    <w:rsid w:val="00D6322D"/>
    <w:rsid w:val="00D634E8"/>
    <w:rsid w:val="00D63BA9"/>
    <w:rsid w:val="00D63BF7"/>
    <w:rsid w:val="00D63C82"/>
    <w:rsid w:val="00D64950"/>
    <w:rsid w:val="00D64DDC"/>
    <w:rsid w:val="00D66867"/>
    <w:rsid w:val="00D668AA"/>
    <w:rsid w:val="00D66C5A"/>
    <w:rsid w:val="00D66F62"/>
    <w:rsid w:val="00D67DCC"/>
    <w:rsid w:val="00D67F5C"/>
    <w:rsid w:val="00D7056A"/>
    <w:rsid w:val="00D70F20"/>
    <w:rsid w:val="00D713C6"/>
    <w:rsid w:val="00D716DF"/>
    <w:rsid w:val="00D722D7"/>
    <w:rsid w:val="00D724F5"/>
    <w:rsid w:val="00D725FE"/>
    <w:rsid w:val="00D728C4"/>
    <w:rsid w:val="00D7294E"/>
    <w:rsid w:val="00D72B07"/>
    <w:rsid w:val="00D734E9"/>
    <w:rsid w:val="00D740A3"/>
    <w:rsid w:val="00D74A11"/>
    <w:rsid w:val="00D7544D"/>
    <w:rsid w:val="00D758B9"/>
    <w:rsid w:val="00D75AB4"/>
    <w:rsid w:val="00D75C5A"/>
    <w:rsid w:val="00D7608B"/>
    <w:rsid w:val="00D764DD"/>
    <w:rsid w:val="00D76EDA"/>
    <w:rsid w:val="00D76EEA"/>
    <w:rsid w:val="00D772FC"/>
    <w:rsid w:val="00D77455"/>
    <w:rsid w:val="00D77879"/>
    <w:rsid w:val="00D778C6"/>
    <w:rsid w:val="00D80931"/>
    <w:rsid w:val="00D80AB3"/>
    <w:rsid w:val="00D80B0C"/>
    <w:rsid w:val="00D80B69"/>
    <w:rsid w:val="00D80EAD"/>
    <w:rsid w:val="00D819BE"/>
    <w:rsid w:val="00D81E29"/>
    <w:rsid w:val="00D824EC"/>
    <w:rsid w:val="00D82CAD"/>
    <w:rsid w:val="00D8353C"/>
    <w:rsid w:val="00D83599"/>
    <w:rsid w:val="00D841A9"/>
    <w:rsid w:val="00D841F0"/>
    <w:rsid w:val="00D84A5A"/>
    <w:rsid w:val="00D8529C"/>
    <w:rsid w:val="00D856BA"/>
    <w:rsid w:val="00D857F5"/>
    <w:rsid w:val="00D85AC7"/>
    <w:rsid w:val="00D8614A"/>
    <w:rsid w:val="00D86877"/>
    <w:rsid w:val="00D87113"/>
    <w:rsid w:val="00D873F6"/>
    <w:rsid w:val="00D8765E"/>
    <w:rsid w:val="00D87739"/>
    <w:rsid w:val="00D87D30"/>
    <w:rsid w:val="00D87DCE"/>
    <w:rsid w:val="00D9037A"/>
    <w:rsid w:val="00D90493"/>
    <w:rsid w:val="00D909F7"/>
    <w:rsid w:val="00D91078"/>
    <w:rsid w:val="00D91100"/>
    <w:rsid w:val="00D913A4"/>
    <w:rsid w:val="00D914C5"/>
    <w:rsid w:val="00D916DD"/>
    <w:rsid w:val="00D918B7"/>
    <w:rsid w:val="00D924A1"/>
    <w:rsid w:val="00D92686"/>
    <w:rsid w:val="00D92809"/>
    <w:rsid w:val="00D92819"/>
    <w:rsid w:val="00D92BAC"/>
    <w:rsid w:val="00D92F86"/>
    <w:rsid w:val="00D93296"/>
    <w:rsid w:val="00D93EBC"/>
    <w:rsid w:val="00D94189"/>
    <w:rsid w:val="00D942D3"/>
    <w:rsid w:val="00D9449E"/>
    <w:rsid w:val="00D95992"/>
    <w:rsid w:val="00D96001"/>
    <w:rsid w:val="00D961F9"/>
    <w:rsid w:val="00D967D0"/>
    <w:rsid w:val="00D9762A"/>
    <w:rsid w:val="00D9787C"/>
    <w:rsid w:val="00D979BA"/>
    <w:rsid w:val="00D97F22"/>
    <w:rsid w:val="00DA0494"/>
    <w:rsid w:val="00DA04BF"/>
    <w:rsid w:val="00DA06C1"/>
    <w:rsid w:val="00DA0720"/>
    <w:rsid w:val="00DA113D"/>
    <w:rsid w:val="00DA144D"/>
    <w:rsid w:val="00DA1611"/>
    <w:rsid w:val="00DA1CAD"/>
    <w:rsid w:val="00DA1D02"/>
    <w:rsid w:val="00DA1FC3"/>
    <w:rsid w:val="00DA2C66"/>
    <w:rsid w:val="00DA2D72"/>
    <w:rsid w:val="00DA319B"/>
    <w:rsid w:val="00DA360A"/>
    <w:rsid w:val="00DA38B5"/>
    <w:rsid w:val="00DA3E61"/>
    <w:rsid w:val="00DA41AA"/>
    <w:rsid w:val="00DA508E"/>
    <w:rsid w:val="00DA5459"/>
    <w:rsid w:val="00DA5962"/>
    <w:rsid w:val="00DA6068"/>
    <w:rsid w:val="00DA64ED"/>
    <w:rsid w:val="00DA6CFA"/>
    <w:rsid w:val="00DA70ED"/>
    <w:rsid w:val="00DA7439"/>
    <w:rsid w:val="00DA75D6"/>
    <w:rsid w:val="00DA7CDE"/>
    <w:rsid w:val="00DB0721"/>
    <w:rsid w:val="00DB07F5"/>
    <w:rsid w:val="00DB0AE6"/>
    <w:rsid w:val="00DB0FB4"/>
    <w:rsid w:val="00DB18AE"/>
    <w:rsid w:val="00DB1E02"/>
    <w:rsid w:val="00DB262E"/>
    <w:rsid w:val="00DB31DF"/>
    <w:rsid w:val="00DB36A1"/>
    <w:rsid w:val="00DB3A70"/>
    <w:rsid w:val="00DB4055"/>
    <w:rsid w:val="00DB42B0"/>
    <w:rsid w:val="00DB42D6"/>
    <w:rsid w:val="00DB457D"/>
    <w:rsid w:val="00DB539A"/>
    <w:rsid w:val="00DB587F"/>
    <w:rsid w:val="00DB6166"/>
    <w:rsid w:val="00DB6DE4"/>
    <w:rsid w:val="00DB6FF8"/>
    <w:rsid w:val="00DB7173"/>
    <w:rsid w:val="00DB7367"/>
    <w:rsid w:val="00DB7497"/>
    <w:rsid w:val="00DB7582"/>
    <w:rsid w:val="00DC0D5E"/>
    <w:rsid w:val="00DC0D8A"/>
    <w:rsid w:val="00DC1529"/>
    <w:rsid w:val="00DC18EB"/>
    <w:rsid w:val="00DC192D"/>
    <w:rsid w:val="00DC1D0E"/>
    <w:rsid w:val="00DC1EB0"/>
    <w:rsid w:val="00DC2454"/>
    <w:rsid w:val="00DC25CF"/>
    <w:rsid w:val="00DC28EE"/>
    <w:rsid w:val="00DC3126"/>
    <w:rsid w:val="00DC3C95"/>
    <w:rsid w:val="00DC4602"/>
    <w:rsid w:val="00DC4612"/>
    <w:rsid w:val="00DC4E82"/>
    <w:rsid w:val="00DC511D"/>
    <w:rsid w:val="00DC57EF"/>
    <w:rsid w:val="00DC6196"/>
    <w:rsid w:val="00DC6990"/>
    <w:rsid w:val="00DC6A42"/>
    <w:rsid w:val="00DC6BD7"/>
    <w:rsid w:val="00DC6D89"/>
    <w:rsid w:val="00DC71B8"/>
    <w:rsid w:val="00DC74A2"/>
    <w:rsid w:val="00DC75F0"/>
    <w:rsid w:val="00DC7BD9"/>
    <w:rsid w:val="00DD0233"/>
    <w:rsid w:val="00DD02DF"/>
    <w:rsid w:val="00DD0378"/>
    <w:rsid w:val="00DD03FD"/>
    <w:rsid w:val="00DD05EC"/>
    <w:rsid w:val="00DD0D18"/>
    <w:rsid w:val="00DD1D65"/>
    <w:rsid w:val="00DD2666"/>
    <w:rsid w:val="00DD34CE"/>
    <w:rsid w:val="00DD35E1"/>
    <w:rsid w:val="00DD3EEC"/>
    <w:rsid w:val="00DD4040"/>
    <w:rsid w:val="00DD4068"/>
    <w:rsid w:val="00DD43F1"/>
    <w:rsid w:val="00DD49A7"/>
    <w:rsid w:val="00DD49C8"/>
    <w:rsid w:val="00DD4A95"/>
    <w:rsid w:val="00DD4B8A"/>
    <w:rsid w:val="00DD4C12"/>
    <w:rsid w:val="00DD4D85"/>
    <w:rsid w:val="00DD5815"/>
    <w:rsid w:val="00DD5AE0"/>
    <w:rsid w:val="00DD7A70"/>
    <w:rsid w:val="00DD7A9C"/>
    <w:rsid w:val="00DD7BF3"/>
    <w:rsid w:val="00DD7E5F"/>
    <w:rsid w:val="00DD7E69"/>
    <w:rsid w:val="00DE03AB"/>
    <w:rsid w:val="00DE0585"/>
    <w:rsid w:val="00DE11D6"/>
    <w:rsid w:val="00DE1649"/>
    <w:rsid w:val="00DE1F28"/>
    <w:rsid w:val="00DE238B"/>
    <w:rsid w:val="00DE30C3"/>
    <w:rsid w:val="00DE31A5"/>
    <w:rsid w:val="00DE3944"/>
    <w:rsid w:val="00DE3B90"/>
    <w:rsid w:val="00DE5260"/>
    <w:rsid w:val="00DE56F7"/>
    <w:rsid w:val="00DE66E2"/>
    <w:rsid w:val="00DE6C18"/>
    <w:rsid w:val="00DF0133"/>
    <w:rsid w:val="00DF0BFA"/>
    <w:rsid w:val="00DF0D08"/>
    <w:rsid w:val="00DF1947"/>
    <w:rsid w:val="00DF1D80"/>
    <w:rsid w:val="00DF26C9"/>
    <w:rsid w:val="00DF2877"/>
    <w:rsid w:val="00DF3065"/>
    <w:rsid w:val="00DF37B9"/>
    <w:rsid w:val="00DF4355"/>
    <w:rsid w:val="00DF4514"/>
    <w:rsid w:val="00DF465E"/>
    <w:rsid w:val="00DF4DF0"/>
    <w:rsid w:val="00DF4E7F"/>
    <w:rsid w:val="00DF5384"/>
    <w:rsid w:val="00DF5BB1"/>
    <w:rsid w:val="00DF5BE8"/>
    <w:rsid w:val="00DF684E"/>
    <w:rsid w:val="00DF68F1"/>
    <w:rsid w:val="00DF68F3"/>
    <w:rsid w:val="00DF6A2B"/>
    <w:rsid w:val="00DF71C1"/>
    <w:rsid w:val="00DF7553"/>
    <w:rsid w:val="00DF7AE0"/>
    <w:rsid w:val="00DF7DF0"/>
    <w:rsid w:val="00DF7E64"/>
    <w:rsid w:val="00DF7ED5"/>
    <w:rsid w:val="00E006F4"/>
    <w:rsid w:val="00E007E9"/>
    <w:rsid w:val="00E00955"/>
    <w:rsid w:val="00E00CD5"/>
    <w:rsid w:val="00E01570"/>
    <w:rsid w:val="00E01965"/>
    <w:rsid w:val="00E03298"/>
    <w:rsid w:val="00E03B0F"/>
    <w:rsid w:val="00E03F06"/>
    <w:rsid w:val="00E04AF7"/>
    <w:rsid w:val="00E04B45"/>
    <w:rsid w:val="00E04DDD"/>
    <w:rsid w:val="00E05737"/>
    <w:rsid w:val="00E06BF3"/>
    <w:rsid w:val="00E078D0"/>
    <w:rsid w:val="00E07B8A"/>
    <w:rsid w:val="00E07E82"/>
    <w:rsid w:val="00E10A47"/>
    <w:rsid w:val="00E12717"/>
    <w:rsid w:val="00E12845"/>
    <w:rsid w:val="00E12A02"/>
    <w:rsid w:val="00E13655"/>
    <w:rsid w:val="00E136C9"/>
    <w:rsid w:val="00E13C3E"/>
    <w:rsid w:val="00E13DF8"/>
    <w:rsid w:val="00E1428B"/>
    <w:rsid w:val="00E1428C"/>
    <w:rsid w:val="00E1438D"/>
    <w:rsid w:val="00E14660"/>
    <w:rsid w:val="00E148BA"/>
    <w:rsid w:val="00E1490A"/>
    <w:rsid w:val="00E14A54"/>
    <w:rsid w:val="00E14D30"/>
    <w:rsid w:val="00E14F3F"/>
    <w:rsid w:val="00E14F83"/>
    <w:rsid w:val="00E1504B"/>
    <w:rsid w:val="00E15156"/>
    <w:rsid w:val="00E1567A"/>
    <w:rsid w:val="00E157B6"/>
    <w:rsid w:val="00E15FE6"/>
    <w:rsid w:val="00E1613A"/>
    <w:rsid w:val="00E1656E"/>
    <w:rsid w:val="00E1672F"/>
    <w:rsid w:val="00E16C87"/>
    <w:rsid w:val="00E176D9"/>
    <w:rsid w:val="00E17E3E"/>
    <w:rsid w:val="00E20874"/>
    <w:rsid w:val="00E21A07"/>
    <w:rsid w:val="00E2284F"/>
    <w:rsid w:val="00E22F9E"/>
    <w:rsid w:val="00E236EE"/>
    <w:rsid w:val="00E23C2C"/>
    <w:rsid w:val="00E23D0A"/>
    <w:rsid w:val="00E24805"/>
    <w:rsid w:val="00E24AC0"/>
    <w:rsid w:val="00E24CFE"/>
    <w:rsid w:val="00E250A0"/>
    <w:rsid w:val="00E25B79"/>
    <w:rsid w:val="00E2606C"/>
    <w:rsid w:val="00E26406"/>
    <w:rsid w:val="00E269C9"/>
    <w:rsid w:val="00E26A5B"/>
    <w:rsid w:val="00E26CBB"/>
    <w:rsid w:val="00E27B19"/>
    <w:rsid w:val="00E30DA3"/>
    <w:rsid w:val="00E3113C"/>
    <w:rsid w:val="00E315AE"/>
    <w:rsid w:val="00E321E8"/>
    <w:rsid w:val="00E33448"/>
    <w:rsid w:val="00E3349D"/>
    <w:rsid w:val="00E33FDC"/>
    <w:rsid w:val="00E340AF"/>
    <w:rsid w:val="00E357CE"/>
    <w:rsid w:val="00E35F30"/>
    <w:rsid w:val="00E36E1E"/>
    <w:rsid w:val="00E37832"/>
    <w:rsid w:val="00E378B9"/>
    <w:rsid w:val="00E402B0"/>
    <w:rsid w:val="00E4199E"/>
    <w:rsid w:val="00E41E09"/>
    <w:rsid w:val="00E42D74"/>
    <w:rsid w:val="00E43153"/>
    <w:rsid w:val="00E432F0"/>
    <w:rsid w:val="00E43566"/>
    <w:rsid w:val="00E441AB"/>
    <w:rsid w:val="00E44219"/>
    <w:rsid w:val="00E443F7"/>
    <w:rsid w:val="00E4471E"/>
    <w:rsid w:val="00E44D0D"/>
    <w:rsid w:val="00E45514"/>
    <w:rsid w:val="00E45C49"/>
    <w:rsid w:val="00E462EF"/>
    <w:rsid w:val="00E46652"/>
    <w:rsid w:val="00E46A56"/>
    <w:rsid w:val="00E46D2A"/>
    <w:rsid w:val="00E478BE"/>
    <w:rsid w:val="00E50280"/>
    <w:rsid w:val="00E50B0F"/>
    <w:rsid w:val="00E50FCB"/>
    <w:rsid w:val="00E513AF"/>
    <w:rsid w:val="00E5184A"/>
    <w:rsid w:val="00E51B50"/>
    <w:rsid w:val="00E528AE"/>
    <w:rsid w:val="00E52A63"/>
    <w:rsid w:val="00E531D1"/>
    <w:rsid w:val="00E5341D"/>
    <w:rsid w:val="00E5369E"/>
    <w:rsid w:val="00E53967"/>
    <w:rsid w:val="00E53B5E"/>
    <w:rsid w:val="00E54491"/>
    <w:rsid w:val="00E545EF"/>
    <w:rsid w:val="00E5475D"/>
    <w:rsid w:val="00E54C0E"/>
    <w:rsid w:val="00E54D20"/>
    <w:rsid w:val="00E54EA0"/>
    <w:rsid w:val="00E553F8"/>
    <w:rsid w:val="00E556C4"/>
    <w:rsid w:val="00E55BC1"/>
    <w:rsid w:val="00E56675"/>
    <w:rsid w:val="00E5670E"/>
    <w:rsid w:val="00E56DF0"/>
    <w:rsid w:val="00E57245"/>
    <w:rsid w:val="00E5724D"/>
    <w:rsid w:val="00E57409"/>
    <w:rsid w:val="00E574B2"/>
    <w:rsid w:val="00E57C83"/>
    <w:rsid w:val="00E607E1"/>
    <w:rsid w:val="00E607FE"/>
    <w:rsid w:val="00E60832"/>
    <w:rsid w:val="00E60C3D"/>
    <w:rsid w:val="00E60C9B"/>
    <w:rsid w:val="00E615B7"/>
    <w:rsid w:val="00E61786"/>
    <w:rsid w:val="00E6226F"/>
    <w:rsid w:val="00E62785"/>
    <w:rsid w:val="00E63043"/>
    <w:rsid w:val="00E63B0E"/>
    <w:rsid w:val="00E646E2"/>
    <w:rsid w:val="00E65498"/>
    <w:rsid w:val="00E65BED"/>
    <w:rsid w:val="00E65CF0"/>
    <w:rsid w:val="00E65DC8"/>
    <w:rsid w:val="00E66BF3"/>
    <w:rsid w:val="00E66FC0"/>
    <w:rsid w:val="00E674E2"/>
    <w:rsid w:val="00E67C18"/>
    <w:rsid w:val="00E70C4D"/>
    <w:rsid w:val="00E70E98"/>
    <w:rsid w:val="00E715DF"/>
    <w:rsid w:val="00E718D7"/>
    <w:rsid w:val="00E71A84"/>
    <w:rsid w:val="00E72020"/>
    <w:rsid w:val="00E721F5"/>
    <w:rsid w:val="00E722F1"/>
    <w:rsid w:val="00E725FD"/>
    <w:rsid w:val="00E728E6"/>
    <w:rsid w:val="00E72A6D"/>
    <w:rsid w:val="00E72B9C"/>
    <w:rsid w:val="00E7334C"/>
    <w:rsid w:val="00E73838"/>
    <w:rsid w:val="00E73961"/>
    <w:rsid w:val="00E73A29"/>
    <w:rsid w:val="00E73D41"/>
    <w:rsid w:val="00E7444A"/>
    <w:rsid w:val="00E74956"/>
    <w:rsid w:val="00E74BD9"/>
    <w:rsid w:val="00E751AE"/>
    <w:rsid w:val="00E75E2D"/>
    <w:rsid w:val="00E7606B"/>
    <w:rsid w:val="00E76CF5"/>
    <w:rsid w:val="00E76E20"/>
    <w:rsid w:val="00E76FEA"/>
    <w:rsid w:val="00E7741C"/>
    <w:rsid w:val="00E774F1"/>
    <w:rsid w:val="00E77B5D"/>
    <w:rsid w:val="00E77BCF"/>
    <w:rsid w:val="00E77C5B"/>
    <w:rsid w:val="00E77E35"/>
    <w:rsid w:val="00E800E0"/>
    <w:rsid w:val="00E805A1"/>
    <w:rsid w:val="00E80724"/>
    <w:rsid w:val="00E8074A"/>
    <w:rsid w:val="00E80AFF"/>
    <w:rsid w:val="00E8176A"/>
    <w:rsid w:val="00E82233"/>
    <w:rsid w:val="00E8226D"/>
    <w:rsid w:val="00E823EE"/>
    <w:rsid w:val="00E82B70"/>
    <w:rsid w:val="00E82C8E"/>
    <w:rsid w:val="00E82D5B"/>
    <w:rsid w:val="00E83196"/>
    <w:rsid w:val="00E83459"/>
    <w:rsid w:val="00E83CE1"/>
    <w:rsid w:val="00E83EE9"/>
    <w:rsid w:val="00E83F79"/>
    <w:rsid w:val="00E845AB"/>
    <w:rsid w:val="00E8531A"/>
    <w:rsid w:val="00E85726"/>
    <w:rsid w:val="00E85CF8"/>
    <w:rsid w:val="00E862FE"/>
    <w:rsid w:val="00E864E7"/>
    <w:rsid w:val="00E868BA"/>
    <w:rsid w:val="00E86A08"/>
    <w:rsid w:val="00E86D34"/>
    <w:rsid w:val="00E87092"/>
    <w:rsid w:val="00E87D68"/>
    <w:rsid w:val="00E90A7F"/>
    <w:rsid w:val="00E90A98"/>
    <w:rsid w:val="00E92EF1"/>
    <w:rsid w:val="00E93114"/>
    <w:rsid w:val="00E93555"/>
    <w:rsid w:val="00E9368E"/>
    <w:rsid w:val="00E95979"/>
    <w:rsid w:val="00E964CA"/>
    <w:rsid w:val="00E96E43"/>
    <w:rsid w:val="00E97533"/>
    <w:rsid w:val="00EA03D8"/>
    <w:rsid w:val="00EA09AE"/>
    <w:rsid w:val="00EA0F45"/>
    <w:rsid w:val="00EA2281"/>
    <w:rsid w:val="00EA2629"/>
    <w:rsid w:val="00EA2953"/>
    <w:rsid w:val="00EA2D42"/>
    <w:rsid w:val="00EA2F70"/>
    <w:rsid w:val="00EA3628"/>
    <w:rsid w:val="00EA39EA"/>
    <w:rsid w:val="00EA3DD7"/>
    <w:rsid w:val="00EA3FF1"/>
    <w:rsid w:val="00EA4926"/>
    <w:rsid w:val="00EA4C58"/>
    <w:rsid w:val="00EA4D00"/>
    <w:rsid w:val="00EA4D79"/>
    <w:rsid w:val="00EA5287"/>
    <w:rsid w:val="00EA5694"/>
    <w:rsid w:val="00EA594D"/>
    <w:rsid w:val="00EA59D4"/>
    <w:rsid w:val="00EA62A5"/>
    <w:rsid w:val="00EA65A1"/>
    <w:rsid w:val="00EA6BA7"/>
    <w:rsid w:val="00EA6BC5"/>
    <w:rsid w:val="00EA741A"/>
    <w:rsid w:val="00EA7BF8"/>
    <w:rsid w:val="00EA7EDC"/>
    <w:rsid w:val="00EB04F8"/>
    <w:rsid w:val="00EB0AC8"/>
    <w:rsid w:val="00EB0C63"/>
    <w:rsid w:val="00EB120D"/>
    <w:rsid w:val="00EB1B28"/>
    <w:rsid w:val="00EB2373"/>
    <w:rsid w:val="00EB2754"/>
    <w:rsid w:val="00EB31D8"/>
    <w:rsid w:val="00EB367B"/>
    <w:rsid w:val="00EB3962"/>
    <w:rsid w:val="00EB48C8"/>
    <w:rsid w:val="00EB4A93"/>
    <w:rsid w:val="00EB5105"/>
    <w:rsid w:val="00EB527F"/>
    <w:rsid w:val="00EB53B7"/>
    <w:rsid w:val="00EB58D5"/>
    <w:rsid w:val="00EB67FB"/>
    <w:rsid w:val="00EB6B9F"/>
    <w:rsid w:val="00EB6E42"/>
    <w:rsid w:val="00EC0386"/>
    <w:rsid w:val="00EC0B7C"/>
    <w:rsid w:val="00EC1B6F"/>
    <w:rsid w:val="00EC1F9D"/>
    <w:rsid w:val="00EC2B4B"/>
    <w:rsid w:val="00EC2BED"/>
    <w:rsid w:val="00EC2E4E"/>
    <w:rsid w:val="00EC3109"/>
    <w:rsid w:val="00EC371F"/>
    <w:rsid w:val="00EC3DA5"/>
    <w:rsid w:val="00EC4B69"/>
    <w:rsid w:val="00EC52F8"/>
    <w:rsid w:val="00EC5397"/>
    <w:rsid w:val="00EC5E50"/>
    <w:rsid w:val="00EC67A0"/>
    <w:rsid w:val="00EC69CB"/>
    <w:rsid w:val="00EC6B4F"/>
    <w:rsid w:val="00EC6DF9"/>
    <w:rsid w:val="00EC755C"/>
    <w:rsid w:val="00EC79D6"/>
    <w:rsid w:val="00EC7B21"/>
    <w:rsid w:val="00EC7C19"/>
    <w:rsid w:val="00ED10EF"/>
    <w:rsid w:val="00ED1866"/>
    <w:rsid w:val="00ED1A1A"/>
    <w:rsid w:val="00ED1B9B"/>
    <w:rsid w:val="00ED207C"/>
    <w:rsid w:val="00ED2264"/>
    <w:rsid w:val="00ED2C01"/>
    <w:rsid w:val="00ED32BA"/>
    <w:rsid w:val="00ED3931"/>
    <w:rsid w:val="00ED3CEB"/>
    <w:rsid w:val="00ED43FC"/>
    <w:rsid w:val="00ED4761"/>
    <w:rsid w:val="00ED47D5"/>
    <w:rsid w:val="00ED4FA6"/>
    <w:rsid w:val="00ED5045"/>
    <w:rsid w:val="00ED55E7"/>
    <w:rsid w:val="00ED61DC"/>
    <w:rsid w:val="00ED6428"/>
    <w:rsid w:val="00ED65A6"/>
    <w:rsid w:val="00ED660D"/>
    <w:rsid w:val="00ED6870"/>
    <w:rsid w:val="00ED696A"/>
    <w:rsid w:val="00ED6CFD"/>
    <w:rsid w:val="00ED724B"/>
    <w:rsid w:val="00ED7E2C"/>
    <w:rsid w:val="00ED7E79"/>
    <w:rsid w:val="00ED7E7E"/>
    <w:rsid w:val="00EE0363"/>
    <w:rsid w:val="00EE0BC6"/>
    <w:rsid w:val="00EE11CB"/>
    <w:rsid w:val="00EE1244"/>
    <w:rsid w:val="00EE2460"/>
    <w:rsid w:val="00EE2558"/>
    <w:rsid w:val="00EE2F1D"/>
    <w:rsid w:val="00EE32EC"/>
    <w:rsid w:val="00EE3834"/>
    <w:rsid w:val="00EE4A89"/>
    <w:rsid w:val="00EE5216"/>
    <w:rsid w:val="00EE5265"/>
    <w:rsid w:val="00EE5ABC"/>
    <w:rsid w:val="00EE5EC5"/>
    <w:rsid w:val="00EE5F86"/>
    <w:rsid w:val="00EE67ED"/>
    <w:rsid w:val="00EE757F"/>
    <w:rsid w:val="00EE75A7"/>
    <w:rsid w:val="00EE7CE4"/>
    <w:rsid w:val="00EF07DB"/>
    <w:rsid w:val="00EF0BA4"/>
    <w:rsid w:val="00EF2532"/>
    <w:rsid w:val="00EF2B70"/>
    <w:rsid w:val="00EF35E9"/>
    <w:rsid w:val="00EF3703"/>
    <w:rsid w:val="00EF4528"/>
    <w:rsid w:val="00EF4595"/>
    <w:rsid w:val="00EF4F1C"/>
    <w:rsid w:val="00EF593A"/>
    <w:rsid w:val="00EF5ABE"/>
    <w:rsid w:val="00EF610C"/>
    <w:rsid w:val="00EF611C"/>
    <w:rsid w:val="00EF6169"/>
    <w:rsid w:val="00EF62CC"/>
    <w:rsid w:val="00EF6C47"/>
    <w:rsid w:val="00EF6DBA"/>
    <w:rsid w:val="00EF6F2F"/>
    <w:rsid w:val="00EF7341"/>
    <w:rsid w:val="00EF7890"/>
    <w:rsid w:val="00F007A3"/>
    <w:rsid w:val="00F00FF9"/>
    <w:rsid w:val="00F012D7"/>
    <w:rsid w:val="00F0156D"/>
    <w:rsid w:val="00F015B2"/>
    <w:rsid w:val="00F01866"/>
    <w:rsid w:val="00F01A4C"/>
    <w:rsid w:val="00F01F4F"/>
    <w:rsid w:val="00F025A0"/>
    <w:rsid w:val="00F0284D"/>
    <w:rsid w:val="00F032D9"/>
    <w:rsid w:val="00F03C54"/>
    <w:rsid w:val="00F04196"/>
    <w:rsid w:val="00F049AB"/>
    <w:rsid w:val="00F05653"/>
    <w:rsid w:val="00F05B53"/>
    <w:rsid w:val="00F07441"/>
    <w:rsid w:val="00F0751E"/>
    <w:rsid w:val="00F0752F"/>
    <w:rsid w:val="00F07BEA"/>
    <w:rsid w:val="00F07FDA"/>
    <w:rsid w:val="00F1018B"/>
    <w:rsid w:val="00F1048C"/>
    <w:rsid w:val="00F10E91"/>
    <w:rsid w:val="00F11065"/>
    <w:rsid w:val="00F13416"/>
    <w:rsid w:val="00F138EA"/>
    <w:rsid w:val="00F1398A"/>
    <w:rsid w:val="00F1430D"/>
    <w:rsid w:val="00F146D4"/>
    <w:rsid w:val="00F146F5"/>
    <w:rsid w:val="00F14BD3"/>
    <w:rsid w:val="00F15017"/>
    <w:rsid w:val="00F1648C"/>
    <w:rsid w:val="00F16A17"/>
    <w:rsid w:val="00F16BE8"/>
    <w:rsid w:val="00F1720A"/>
    <w:rsid w:val="00F1728C"/>
    <w:rsid w:val="00F172B5"/>
    <w:rsid w:val="00F172BA"/>
    <w:rsid w:val="00F1755A"/>
    <w:rsid w:val="00F17757"/>
    <w:rsid w:val="00F17DF5"/>
    <w:rsid w:val="00F20005"/>
    <w:rsid w:val="00F2041F"/>
    <w:rsid w:val="00F209C0"/>
    <w:rsid w:val="00F20BA9"/>
    <w:rsid w:val="00F21AAD"/>
    <w:rsid w:val="00F21AFA"/>
    <w:rsid w:val="00F21EBB"/>
    <w:rsid w:val="00F222A2"/>
    <w:rsid w:val="00F2239E"/>
    <w:rsid w:val="00F223F5"/>
    <w:rsid w:val="00F22542"/>
    <w:rsid w:val="00F23854"/>
    <w:rsid w:val="00F2398E"/>
    <w:rsid w:val="00F23C2F"/>
    <w:rsid w:val="00F23C8B"/>
    <w:rsid w:val="00F23CBE"/>
    <w:rsid w:val="00F23CD8"/>
    <w:rsid w:val="00F23DF3"/>
    <w:rsid w:val="00F23E37"/>
    <w:rsid w:val="00F23FEA"/>
    <w:rsid w:val="00F24256"/>
    <w:rsid w:val="00F243F3"/>
    <w:rsid w:val="00F24879"/>
    <w:rsid w:val="00F24BFD"/>
    <w:rsid w:val="00F24DB2"/>
    <w:rsid w:val="00F24F00"/>
    <w:rsid w:val="00F25129"/>
    <w:rsid w:val="00F254F8"/>
    <w:rsid w:val="00F25916"/>
    <w:rsid w:val="00F25D67"/>
    <w:rsid w:val="00F2689D"/>
    <w:rsid w:val="00F26FB5"/>
    <w:rsid w:val="00F30765"/>
    <w:rsid w:val="00F30928"/>
    <w:rsid w:val="00F30AF6"/>
    <w:rsid w:val="00F3100C"/>
    <w:rsid w:val="00F312DE"/>
    <w:rsid w:val="00F313D6"/>
    <w:rsid w:val="00F316A5"/>
    <w:rsid w:val="00F318A2"/>
    <w:rsid w:val="00F32810"/>
    <w:rsid w:val="00F33B2E"/>
    <w:rsid w:val="00F3414D"/>
    <w:rsid w:val="00F34223"/>
    <w:rsid w:val="00F34C07"/>
    <w:rsid w:val="00F351CB"/>
    <w:rsid w:val="00F362B2"/>
    <w:rsid w:val="00F36680"/>
    <w:rsid w:val="00F37530"/>
    <w:rsid w:val="00F37D9D"/>
    <w:rsid w:val="00F40908"/>
    <w:rsid w:val="00F4121F"/>
    <w:rsid w:val="00F41A34"/>
    <w:rsid w:val="00F421C7"/>
    <w:rsid w:val="00F42593"/>
    <w:rsid w:val="00F42700"/>
    <w:rsid w:val="00F42CB4"/>
    <w:rsid w:val="00F42D66"/>
    <w:rsid w:val="00F43CAA"/>
    <w:rsid w:val="00F44B84"/>
    <w:rsid w:val="00F45154"/>
    <w:rsid w:val="00F4588C"/>
    <w:rsid w:val="00F467BA"/>
    <w:rsid w:val="00F46890"/>
    <w:rsid w:val="00F472A7"/>
    <w:rsid w:val="00F476C2"/>
    <w:rsid w:val="00F47DC1"/>
    <w:rsid w:val="00F5050E"/>
    <w:rsid w:val="00F50CFF"/>
    <w:rsid w:val="00F510CF"/>
    <w:rsid w:val="00F51436"/>
    <w:rsid w:val="00F5199E"/>
    <w:rsid w:val="00F52010"/>
    <w:rsid w:val="00F5271C"/>
    <w:rsid w:val="00F52878"/>
    <w:rsid w:val="00F53107"/>
    <w:rsid w:val="00F53123"/>
    <w:rsid w:val="00F5342D"/>
    <w:rsid w:val="00F535D9"/>
    <w:rsid w:val="00F53B53"/>
    <w:rsid w:val="00F53C16"/>
    <w:rsid w:val="00F54984"/>
    <w:rsid w:val="00F5521B"/>
    <w:rsid w:val="00F5540E"/>
    <w:rsid w:val="00F555A6"/>
    <w:rsid w:val="00F55EA1"/>
    <w:rsid w:val="00F55EB3"/>
    <w:rsid w:val="00F56AB4"/>
    <w:rsid w:val="00F57308"/>
    <w:rsid w:val="00F578DC"/>
    <w:rsid w:val="00F57C9C"/>
    <w:rsid w:val="00F57D11"/>
    <w:rsid w:val="00F60152"/>
    <w:rsid w:val="00F60587"/>
    <w:rsid w:val="00F6114F"/>
    <w:rsid w:val="00F614C1"/>
    <w:rsid w:val="00F61BF5"/>
    <w:rsid w:val="00F6227E"/>
    <w:rsid w:val="00F62464"/>
    <w:rsid w:val="00F6247E"/>
    <w:rsid w:val="00F624B6"/>
    <w:rsid w:val="00F628BB"/>
    <w:rsid w:val="00F62F27"/>
    <w:rsid w:val="00F6303E"/>
    <w:rsid w:val="00F63485"/>
    <w:rsid w:val="00F64638"/>
    <w:rsid w:val="00F64EEE"/>
    <w:rsid w:val="00F65275"/>
    <w:rsid w:val="00F652D9"/>
    <w:rsid w:val="00F66D43"/>
    <w:rsid w:val="00F66F75"/>
    <w:rsid w:val="00F67173"/>
    <w:rsid w:val="00F673F5"/>
    <w:rsid w:val="00F67616"/>
    <w:rsid w:val="00F676DB"/>
    <w:rsid w:val="00F704D4"/>
    <w:rsid w:val="00F709A6"/>
    <w:rsid w:val="00F70BE5"/>
    <w:rsid w:val="00F71374"/>
    <w:rsid w:val="00F716B1"/>
    <w:rsid w:val="00F71C61"/>
    <w:rsid w:val="00F724F5"/>
    <w:rsid w:val="00F725C8"/>
    <w:rsid w:val="00F72A68"/>
    <w:rsid w:val="00F7309C"/>
    <w:rsid w:val="00F735F1"/>
    <w:rsid w:val="00F7381F"/>
    <w:rsid w:val="00F739CB"/>
    <w:rsid w:val="00F74318"/>
    <w:rsid w:val="00F75629"/>
    <w:rsid w:val="00F76180"/>
    <w:rsid w:val="00F763A8"/>
    <w:rsid w:val="00F76987"/>
    <w:rsid w:val="00F76E90"/>
    <w:rsid w:val="00F7794B"/>
    <w:rsid w:val="00F77BE8"/>
    <w:rsid w:val="00F80ADF"/>
    <w:rsid w:val="00F810AB"/>
    <w:rsid w:val="00F81847"/>
    <w:rsid w:val="00F8251F"/>
    <w:rsid w:val="00F82AD1"/>
    <w:rsid w:val="00F82FD3"/>
    <w:rsid w:val="00F83168"/>
    <w:rsid w:val="00F83252"/>
    <w:rsid w:val="00F832AC"/>
    <w:rsid w:val="00F83ADC"/>
    <w:rsid w:val="00F83E2F"/>
    <w:rsid w:val="00F844CE"/>
    <w:rsid w:val="00F8489D"/>
    <w:rsid w:val="00F85F85"/>
    <w:rsid w:val="00F86158"/>
    <w:rsid w:val="00F86F80"/>
    <w:rsid w:val="00F871A7"/>
    <w:rsid w:val="00F879FB"/>
    <w:rsid w:val="00F87ACF"/>
    <w:rsid w:val="00F87CA3"/>
    <w:rsid w:val="00F90584"/>
    <w:rsid w:val="00F909B3"/>
    <w:rsid w:val="00F912C1"/>
    <w:rsid w:val="00F91652"/>
    <w:rsid w:val="00F91C8F"/>
    <w:rsid w:val="00F92040"/>
    <w:rsid w:val="00F92CFC"/>
    <w:rsid w:val="00F93306"/>
    <w:rsid w:val="00F93450"/>
    <w:rsid w:val="00F934C2"/>
    <w:rsid w:val="00F93D90"/>
    <w:rsid w:val="00F93FD4"/>
    <w:rsid w:val="00F94512"/>
    <w:rsid w:val="00F9500B"/>
    <w:rsid w:val="00F9522B"/>
    <w:rsid w:val="00F96448"/>
    <w:rsid w:val="00F964BD"/>
    <w:rsid w:val="00F967A8"/>
    <w:rsid w:val="00F975BC"/>
    <w:rsid w:val="00F976C8"/>
    <w:rsid w:val="00FA0107"/>
    <w:rsid w:val="00FA017E"/>
    <w:rsid w:val="00FA0979"/>
    <w:rsid w:val="00FA0CA0"/>
    <w:rsid w:val="00FA1076"/>
    <w:rsid w:val="00FA1226"/>
    <w:rsid w:val="00FA1889"/>
    <w:rsid w:val="00FA1C41"/>
    <w:rsid w:val="00FA1CCB"/>
    <w:rsid w:val="00FA1DEB"/>
    <w:rsid w:val="00FA22BB"/>
    <w:rsid w:val="00FA35D0"/>
    <w:rsid w:val="00FA36A3"/>
    <w:rsid w:val="00FA522B"/>
    <w:rsid w:val="00FA5350"/>
    <w:rsid w:val="00FA6091"/>
    <w:rsid w:val="00FA6491"/>
    <w:rsid w:val="00FA7654"/>
    <w:rsid w:val="00FA76DF"/>
    <w:rsid w:val="00FA7D00"/>
    <w:rsid w:val="00FB015F"/>
    <w:rsid w:val="00FB09B2"/>
    <w:rsid w:val="00FB0A0D"/>
    <w:rsid w:val="00FB0EC2"/>
    <w:rsid w:val="00FB130B"/>
    <w:rsid w:val="00FB19DD"/>
    <w:rsid w:val="00FB1F3D"/>
    <w:rsid w:val="00FB204D"/>
    <w:rsid w:val="00FB2570"/>
    <w:rsid w:val="00FB276A"/>
    <w:rsid w:val="00FB30F4"/>
    <w:rsid w:val="00FB3596"/>
    <w:rsid w:val="00FB44F2"/>
    <w:rsid w:val="00FB4E9E"/>
    <w:rsid w:val="00FB6136"/>
    <w:rsid w:val="00FB6CFD"/>
    <w:rsid w:val="00FB6EFD"/>
    <w:rsid w:val="00FB723A"/>
    <w:rsid w:val="00FB76FD"/>
    <w:rsid w:val="00FB7B9A"/>
    <w:rsid w:val="00FB7C44"/>
    <w:rsid w:val="00FB7C4B"/>
    <w:rsid w:val="00FC020C"/>
    <w:rsid w:val="00FC06B5"/>
    <w:rsid w:val="00FC1443"/>
    <w:rsid w:val="00FC196A"/>
    <w:rsid w:val="00FC1E94"/>
    <w:rsid w:val="00FC277D"/>
    <w:rsid w:val="00FC2F47"/>
    <w:rsid w:val="00FC3F6B"/>
    <w:rsid w:val="00FC458C"/>
    <w:rsid w:val="00FC4611"/>
    <w:rsid w:val="00FC489E"/>
    <w:rsid w:val="00FC4BE6"/>
    <w:rsid w:val="00FC4C30"/>
    <w:rsid w:val="00FC4C53"/>
    <w:rsid w:val="00FC4E57"/>
    <w:rsid w:val="00FC556D"/>
    <w:rsid w:val="00FC58F2"/>
    <w:rsid w:val="00FC5EA6"/>
    <w:rsid w:val="00FC5ED5"/>
    <w:rsid w:val="00FC615D"/>
    <w:rsid w:val="00FC64F7"/>
    <w:rsid w:val="00FC6507"/>
    <w:rsid w:val="00FC66A2"/>
    <w:rsid w:val="00FC68D7"/>
    <w:rsid w:val="00FC6A9A"/>
    <w:rsid w:val="00FC728C"/>
    <w:rsid w:val="00FC7482"/>
    <w:rsid w:val="00FC7A01"/>
    <w:rsid w:val="00FC7D81"/>
    <w:rsid w:val="00FD03D2"/>
    <w:rsid w:val="00FD0F64"/>
    <w:rsid w:val="00FD2111"/>
    <w:rsid w:val="00FD27B8"/>
    <w:rsid w:val="00FD2ADC"/>
    <w:rsid w:val="00FD38FF"/>
    <w:rsid w:val="00FD3D09"/>
    <w:rsid w:val="00FD3EE1"/>
    <w:rsid w:val="00FD404D"/>
    <w:rsid w:val="00FD448C"/>
    <w:rsid w:val="00FD4D03"/>
    <w:rsid w:val="00FD54B4"/>
    <w:rsid w:val="00FD6672"/>
    <w:rsid w:val="00FD6818"/>
    <w:rsid w:val="00FD6ADD"/>
    <w:rsid w:val="00FD6CC6"/>
    <w:rsid w:val="00FD6D52"/>
    <w:rsid w:val="00FD6FB7"/>
    <w:rsid w:val="00FD7592"/>
    <w:rsid w:val="00FE0151"/>
    <w:rsid w:val="00FE07B8"/>
    <w:rsid w:val="00FE0991"/>
    <w:rsid w:val="00FE0EE6"/>
    <w:rsid w:val="00FE11A4"/>
    <w:rsid w:val="00FE249A"/>
    <w:rsid w:val="00FE24D4"/>
    <w:rsid w:val="00FE28FB"/>
    <w:rsid w:val="00FE2D79"/>
    <w:rsid w:val="00FE2E1A"/>
    <w:rsid w:val="00FE3387"/>
    <w:rsid w:val="00FE3412"/>
    <w:rsid w:val="00FE3528"/>
    <w:rsid w:val="00FE4332"/>
    <w:rsid w:val="00FE4477"/>
    <w:rsid w:val="00FE4580"/>
    <w:rsid w:val="00FE4A1D"/>
    <w:rsid w:val="00FE50C6"/>
    <w:rsid w:val="00FE5889"/>
    <w:rsid w:val="00FE5B0E"/>
    <w:rsid w:val="00FE660D"/>
    <w:rsid w:val="00FE699A"/>
    <w:rsid w:val="00FE7795"/>
    <w:rsid w:val="00FF01D7"/>
    <w:rsid w:val="00FF0AC6"/>
    <w:rsid w:val="00FF1598"/>
    <w:rsid w:val="00FF2147"/>
    <w:rsid w:val="00FF23BE"/>
    <w:rsid w:val="00FF247F"/>
    <w:rsid w:val="00FF263A"/>
    <w:rsid w:val="00FF2B29"/>
    <w:rsid w:val="00FF38D2"/>
    <w:rsid w:val="00FF3BCF"/>
    <w:rsid w:val="00FF3E1E"/>
    <w:rsid w:val="00FF3F97"/>
    <w:rsid w:val="00FF461E"/>
    <w:rsid w:val="00FF4861"/>
    <w:rsid w:val="00FF4BCB"/>
    <w:rsid w:val="00FF559C"/>
    <w:rsid w:val="00FF5755"/>
    <w:rsid w:val="00FF5849"/>
    <w:rsid w:val="00FF6C8A"/>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17F4"/>
  <w15:docId w15:val="{DC0A8D52-DF3B-4ACE-B6C5-04A52023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qFormat="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0" w:unhideWhenUsed="1" w:qFormat="1"/>
    <w:lsdException w:name="List Bullet 3" w:locked="0" w:semiHidden="1" w:uiPriority="4" w:unhideWhenUsed="1" w:qFormat="1"/>
    <w:lsdException w:name="List Bullet 4" w:locked="0" w:semiHidden="1" w:uiPriority="0"/>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A1D14"/>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4"/>
      </w:numPr>
      <w:spacing w:before="120" w:after="120" w:line="276" w:lineRule="auto"/>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qFormat/>
    <w:rsid w:val="005002B4"/>
    <w:pPr>
      <w:numPr>
        <w:ilvl w:val="1"/>
        <w:numId w:val="4"/>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4"/>
      </w:numPr>
      <w:spacing w:before="120" w:after="120" w:line="276" w:lineRule="auto"/>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rsid w:val="004714FB"/>
    <w:pPr>
      <w:tabs>
        <w:tab w:val="right" w:pos="14629"/>
      </w:tabs>
      <w:spacing w:line="276" w:lineRule="auto"/>
    </w:pPr>
    <w:rPr>
      <w:sz w:val="16"/>
    </w:rPr>
  </w:style>
  <w:style w:type="character" w:customStyle="1" w:styleId="FooterChar">
    <w:name w:val="Footer Char"/>
    <w:basedOn w:val="DefaultParagraphFont"/>
    <w:link w:val="Footer"/>
    <w:uiPriority w:val="24"/>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qFormat/>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8"/>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18"/>
      </w:numPr>
      <w:tabs>
        <w:tab w:val="left" w:pos="1077"/>
      </w:tabs>
    </w:pPr>
  </w:style>
  <w:style w:type="paragraph" w:customStyle="1" w:styleId="ListLegal3">
    <w:name w:val="List Legal 3"/>
    <w:basedOn w:val="ListLegal2"/>
    <w:uiPriority w:val="8"/>
    <w:semiHidden/>
    <w:qFormat/>
    <w:rsid w:val="00291313"/>
    <w:pPr>
      <w:numPr>
        <w:ilvl w:val="2"/>
        <w:numId w:val="20"/>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qFormat/>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BF342E"/>
    <w:rPr>
      <w:sz w:val="16"/>
      <w:szCs w:val="16"/>
    </w:rPr>
  </w:style>
  <w:style w:type="paragraph" w:styleId="CommentText">
    <w:name w:val="annotation text"/>
    <w:basedOn w:val="Normal"/>
    <w:link w:val="CommentTextChar"/>
    <w:uiPriority w:val="99"/>
    <w:unhideWhenUsed/>
    <w:rsid w:val="00BF342E"/>
    <w:pPr>
      <w:spacing w:before="0" w:after="100"/>
    </w:pPr>
    <w:rPr>
      <w:sz w:val="20"/>
    </w:rPr>
  </w:style>
  <w:style w:type="character" w:customStyle="1" w:styleId="CommentTextChar">
    <w:name w:val="Comment Text Char"/>
    <w:basedOn w:val="DefaultParagraphFont"/>
    <w:link w:val="CommentText"/>
    <w:uiPriority w:val="99"/>
    <w:rsid w:val="00BF342E"/>
    <w:rPr>
      <w:rFonts w:ascii="Arial" w:hAnsi="Arial"/>
      <w:lang w:val="en-AU"/>
    </w:rPr>
  </w:style>
  <w:style w:type="paragraph" w:styleId="ListBullet4">
    <w:name w:val="List Bullet 4"/>
    <w:basedOn w:val="ListBullet3"/>
    <w:semiHidden/>
    <w:rsid w:val="002A6A3B"/>
    <w:pPr>
      <w:spacing w:before="0" w:after="100" w:line="240" w:lineRule="atLeast"/>
      <w:ind w:left="0" w:firstLine="0"/>
    </w:pPr>
    <w:rPr>
      <w:rFonts w:eastAsia="SimSun"/>
      <w:spacing w:val="-1"/>
      <w:szCs w:val="20"/>
      <w:lang w:val="en-GB"/>
    </w:rPr>
  </w:style>
  <w:style w:type="paragraph" w:styleId="CommentSubject">
    <w:name w:val="annotation subject"/>
    <w:basedOn w:val="CommentText"/>
    <w:next w:val="CommentText"/>
    <w:link w:val="CommentSubjectChar"/>
    <w:uiPriority w:val="99"/>
    <w:semiHidden/>
    <w:rsid w:val="00183A9C"/>
    <w:pPr>
      <w:spacing w:before="40" w:after="40"/>
    </w:pPr>
    <w:rPr>
      <w:b/>
      <w:bCs/>
    </w:rPr>
  </w:style>
  <w:style w:type="character" w:customStyle="1" w:styleId="CommentSubjectChar">
    <w:name w:val="Comment Subject Char"/>
    <w:basedOn w:val="CommentTextChar"/>
    <w:link w:val="CommentSubject"/>
    <w:uiPriority w:val="99"/>
    <w:semiHidden/>
    <w:rsid w:val="00183A9C"/>
    <w:rPr>
      <w:rFonts w:ascii="Arial" w:hAnsi="Arial"/>
      <w:b/>
      <w:bCs/>
      <w:lang w:val="en-AU"/>
    </w:rPr>
  </w:style>
  <w:style w:type="paragraph" w:styleId="Revision">
    <w:name w:val="Revision"/>
    <w:hidden/>
    <w:uiPriority w:val="99"/>
    <w:semiHidden/>
    <w:rsid w:val="00B818CE"/>
    <w:pPr>
      <w:spacing w:after="0" w:line="240" w:lineRule="auto"/>
    </w:pPr>
    <w:rPr>
      <w:rFonts w:ascii="Arial" w:hAnsi="Arial"/>
      <w:sz w:val="22"/>
      <w:lang w:val="en-AU"/>
    </w:rPr>
  </w:style>
  <w:style w:type="character" w:styleId="Mention">
    <w:name w:val="Mention"/>
    <w:basedOn w:val="DefaultParagraphFont"/>
    <w:uiPriority w:val="99"/>
    <w:unhideWhenUsed/>
    <w:rsid w:val="004237F0"/>
    <w:rPr>
      <w:color w:val="2B579A"/>
      <w:shd w:val="clear" w:color="auto" w:fill="E1DFDD"/>
    </w:rPr>
  </w:style>
  <w:style w:type="character" w:customStyle="1" w:styleId="cf01">
    <w:name w:val="cf01"/>
    <w:basedOn w:val="DefaultParagraphFont"/>
    <w:rsid w:val="00CC26E8"/>
    <w:rPr>
      <w:rFonts w:ascii="Segoe UI" w:hAnsi="Segoe UI" w:cs="Segoe UI" w:hint="default"/>
      <w:sz w:val="18"/>
      <w:szCs w:val="18"/>
    </w:rPr>
  </w:style>
  <w:style w:type="character" w:styleId="FollowedHyperlink">
    <w:name w:val="FollowedHyperlink"/>
    <w:basedOn w:val="DefaultParagraphFont"/>
    <w:uiPriority w:val="99"/>
    <w:semiHidden/>
    <w:rsid w:val="00E006F4"/>
    <w:rPr>
      <w:color w:val="800080" w:themeColor="followedHyperlink"/>
      <w:u w:val="single"/>
    </w:rPr>
  </w:style>
  <w:style w:type="paragraph" w:customStyle="1" w:styleId="paragraph">
    <w:name w:val="paragraph"/>
    <w:basedOn w:val="Normal"/>
    <w:rsid w:val="005B5A83"/>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B5A83"/>
  </w:style>
  <w:style w:type="character" w:customStyle="1" w:styleId="eop">
    <w:name w:val="eop"/>
    <w:basedOn w:val="DefaultParagraphFont"/>
    <w:rsid w:val="005B5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967">
      <w:bodyDiv w:val="1"/>
      <w:marLeft w:val="0"/>
      <w:marRight w:val="0"/>
      <w:marTop w:val="0"/>
      <w:marBottom w:val="0"/>
      <w:divBdr>
        <w:top w:val="none" w:sz="0" w:space="0" w:color="auto"/>
        <w:left w:val="none" w:sz="0" w:space="0" w:color="auto"/>
        <w:bottom w:val="none" w:sz="0" w:space="0" w:color="auto"/>
        <w:right w:val="none" w:sz="0" w:space="0" w:color="auto"/>
      </w:divBdr>
    </w:div>
    <w:div w:id="396130361">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730999400">
      <w:bodyDiv w:val="1"/>
      <w:marLeft w:val="0"/>
      <w:marRight w:val="0"/>
      <w:marTop w:val="0"/>
      <w:marBottom w:val="0"/>
      <w:divBdr>
        <w:top w:val="none" w:sz="0" w:space="0" w:color="auto"/>
        <w:left w:val="none" w:sz="0" w:space="0" w:color="auto"/>
        <w:bottom w:val="none" w:sz="0" w:space="0" w:color="auto"/>
        <w:right w:val="none" w:sz="0" w:space="0" w:color="auto"/>
      </w:divBdr>
    </w:div>
    <w:div w:id="869953498">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96123122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09774753">
      <w:bodyDiv w:val="1"/>
      <w:marLeft w:val="0"/>
      <w:marRight w:val="0"/>
      <w:marTop w:val="0"/>
      <w:marBottom w:val="0"/>
      <w:divBdr>
        <w:top w:val="none" w:sz="0" w:space="0" w:color="auto"/>
        <w:left w:val="none" w:sz="0" w:space="0" w:color="auto"/>
        <w:bottom w:val="none" w:sz="0" w:space="0" w:color="auto"/>
        <w:right w:val="none" w:sz="0" w:space="0" w:color="auto"/>
      </w:divBdr>
    </w:div>
    <w:div w:id="1705138064">
      <w:bodyDiv w:val="1"/>
      <w:marLeft w:val="0"/>
      <w:marRight w:val="0"/>
      <w:marTop w:val="0"/>
      <w:marBottom w:val="0"/>
      <w:divBdr>
        <w:top w:val="none" w:sz="0" w:space="0" w:color="auto"/>
        <w:left w:val="none" w:sz="0" w:space="0" w:color="auto"/>
        <w:bottom w:val="none" w:sz="0" w:space="0" w:color="auto"/>
        <w:right w:val="none" w:sz="0" w:space="0" w:color="auto"/>
      </w:divBdr>
    </w:div>
    <w:div w:id="171122331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2008945354">
      <w:bodyDiv w:val="1"/>
      <w:marLeft w:val="0"/>
      <w:marRight w:val="0"/>
      <w:marTop w:val="0"/>
      <w:marBottom w:val="0"/>
      <w:divBdr>
        <w:top w:val="none" w:sz="0" w:space="0" w:color="auto"/>
        <w:left w:val="none" w:sz="0" w:space="0" w:color="auto"/>
        <w:bottom w:val="none" w:sz="0" w:space="0" w:color="auto"/>
        <w:right w:val="none" w:sz="0" w:space="0" w:color="auto"/>
      </w:divBdr>
    </w:div>
    <w:div w:id="20856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OccupationShortageList@jobsandskills.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statistics/classifications/osca-occupation-standard-classification-australia/latest-release" TargetMode="External"/><Relationship Id="rId3" Type="http://schemas.openxmlformats.org/officeDocument/2006/relationships/hyperlink" Target="https://xgboost.readthedocs.io/en/stable/tutorials/model.html" TargetMode="External"/><Relationship Id="rId7" Type="http://schemas.openxmlformats.org/officeDocument/2006/relationships/hyperlink" Target="https://www.jobsandskills.gov.au/publications/occupation-shortage-report-march-2025" TargetMode="External"/><Relationship Id="rId2" Type="http://schemas.openxmlformats.org/officeDocument/2006/relationships/hyperlink" Target="https://xgboost.readthedocs.io/en/stable/tutorials/model.html" TargetMode="External"/><Relationship Id="rId1" Type="http://schemas.openxmlformats.org/officeDocument/2006/relationships/hyperlink" Target="https://www.abs.gov.au/statistics/statistical-geography/australian-statistical-geography-standard-asgs" TargetMode="External"/><Relationship Id="rId6" Type="http://schemas.openxmlformats.org/officeDocument/2006/relationships/hyperlink" Target="https://www.jobsandskills.gov.au/data/recruitment-experiences-and-outlook-survey" TargetMode="External"/><Relationship Id="rId5" Type="http://schemas.openxmlformats.org/officeDocument/2006/relationships/hyperlink" Target="https://www.jobsandskills.gov.au/data/nero" TargetMode="External"/><Relationship Id="rId4" Type="http://schemas.openxmlformats.org/officeDocument/2006/relationships/hyperlink" Target="https://www.jobsandskills.gov.au/australian-skills-classification" TargetMode="External"/><Relationship Id="rId9" Type="http://schemas.openxmlformats.org/officeDocument/2006/relationships/hyperlink" Target="https://www.abs.gov.au/statistics/classifications/anzsco-australian-and-new-zealand-standard-classification-occupations/202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800" b="0">
                <a:solidFill>
                  <a:sysClr val="windowText" lastClr="000000"/>
                </a:solidFill>
                <a:latin typeface="Arial" panose="020B0604020202020204" pitchFamily="34" charset="0"/>
                <a:cs typeface="Arial" panose="020B0604020202020204" pitchFamily="34" charset="0"/>
              </a:rPr>
              <a:t>Relative contribution (%)</a:t>
            </a:r>
          </a:p>
        </c:rich>
      </c:tx>
      <c:layout>
        <c:manualLayout>
          <c:xMode val="edge"/>
          <c:yMode val="edge"/>
          <c:x val="0.66153230126092433"/>
          <c:y val="2.5972399719668554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AU"/>
        </a:p>
      </c:txPr>
    </c:title>
    <c:autoTitleDeleted val="0"/>
    <c:plotArea>
      <c:layout>
        <c:manualLayout>
          <c:layoutTarget val="inner"/>
          <c:xMode val="edge"/>
          <c:yMode val="edge"/>
          <c:x val="0.55866070876071883"/>
          <c:y val="7.5810752655603802E-2"/>
          <c:w val="0.40184628846688508"/>
          <c:h val="0.89586832788141568"/>
        </c:manualLayout>
      </c:layout>
      <c:barChart>
        <c:barDir val="bar"/>
        <c:grouping val="clustered"/>
        <c:varyColors val="0"/>
        <c:ser>
          <c:idx val="0"/>
          <c:order val="0"/>
          <c:spPr>
            <a:solidFill>
              <a:srgbClr val="4B0985"/>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18E6-425F-AC65-A2C14C938E20}"/>
                </c:ext>
              </c:extLst>
            </c:dLbl>
            <c:dLbl>
              <c:idx val="1"/>
              <c:layout>
                <c:manualLayout>
                  <c:x val="-9.6751357015943239E-3"/>
                  <c:y val="0"/>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E6-425F-AC65-A2C14C938E20}"/>
                </c:ext>
              </c:extLst>
            </c:dLbl>
            <c:dLbl>
              <c:idx val="2"/>
              <c:layout>
                <c:manualLayout>
                  <c:x val="-2.815401177002221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E6-425F-AC65-A2C14C938E20}"/>
                </c:ext>
              </c:extLst>
            </c:dLbl>
            <c:dLbl>
              <c:idx val="3"/>
              <c:layout>
                <c:manualLayout>
                  <c:x val="-2.8154011770022212E-2"/>
                  <c:y val="-1.1998116196039783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E6-425F-AC65-A2C14C938E2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influence_individual!$D$3:$D$25</c:f>
              <c:strCache>
                <c:ptCount val="23"/>
                <c:pt idx="0">
                  <c:v>Proportion of hours worked by people aged 55 and over</c:v>
                </c:pt>
                <c:pt idx="1">
                  <c:v>Proportion employed in metro areas</c:v>
                </c:pt>
                <c:pt idx="2">
                  <c:v>Employed 3 year change</c:v>
                </c:pt>
                <c:pt idx="3">
                  <c:v>Unemployment rate 1 year change</c:v>
                </c:pt>
                <c:pt idx="4">
                  <c:v>Inflow yearly change</c:v>
                </c:pt>
                <c:pt idx="5">
                  <c:v>Proportion of unemployment flows into occupation</c:v>
                </c:pt>
                <c:pt idx="6">
                  <c:v>Seek weeks 3 year change</c:v>
                </c:pt>
                <c:pt idx="7">
                  <c:v>Outflow diversity</c:v>
                </c:pt>
                <c:pt idx="8">
                  <c:v>REOS - Scaled fill rate at ANZSCO unit group</c:v>
                </c:pt>
                <c:pt idx="9">
                  <c:v>Number employed</c:v>
                </c:pt>
                <c:pt idx="10">
                  <c:v>Whether the SA4 is in a metro or non-metro area</c:v>
                </c:pt>
                <c:pt idx="11">
                  <c:v>Proportion of hours worked by people aged under 25</c:v>
                </c:pt>
                <c:pt idx="12">
                  <c:v>% of hours worked by females</c:v>
                </c:pt>
                <c:pt idx="13">
                  <c:v>Mean similarity across top 3 most similar occupations</c:v>
                </c:pt>
                <c:pt idx="14">
                  <c:v>State/territory</c:v>
                </c:pt>
                <c:pt idx="15">
                  <c:v>IVI vacancies per employed</c:v>
                </c:pt>
                <c:pt idx="16">
                  <c:v>Visas granted per employed</c:v>
                </c:pt>
                <c:pt idx="17">
                  <c:v>Inflow size to the occupation</c:v>
                </c:pt>
                <c:pt idx="18">
                  <c:v>% of job ads requiring bachelors and above</c:v>
                </c:pt>
                <c:pt idx="19">
                  <c:v>Skill level</c:v>
                </c:pt>
                <c:pt idx="20">
                  <c:v>IVI vacancies per employed 3 year change</c:v>
                </c:pt>
                <c:pt idx="21">
                  <c:v>Unemployment rate</c:v>
                </c:pt>
                <c:pt idx="22">
                  <c:v>Study diversity</c:v>
                </c:pt>
              </c:strCache>
            </c:strRef>
          </c:cat>
          <c:val>
            <c:numRef>
              <c:f>influence_individual!$E$3:$E$25</c:f>
              <c:numCache>
                <c:formatCode>0</c:formatCode>
                <c:ptCount val="23"/>
                <c:pt idx="0">
                  <c:v>2.7824779089999998</c:v>
                </c:pt>
                <c:pt idx="1">
                  <c:v>4.060913706</c:v>
                </c:pt>
                <c:pt idx="2">
                  <c:v>5.9033652940000003</c:v>
                </c:pt>
                <c:pt idx="3">
                  <c:v>5.9033652940000003</c:v>
                </c:pt>
                <c:pt idx="4">
                  <c:v>8.3286332020000007</c:v>
                </c:pt>
                <c:pt idx="5">
                  <c:v>9.4754653130000008</c:v>
                </c:pt>
                <c:pt idx="6">
                  <c:v>9.5694679449999995</c:v>
                </c:pt>
                <c:pt idx="7">
                  <c:v>11.41191953</c:v>
                </c:pt>
                <c:pt idx="8">
                  <c:v>11.71272796</c:v>
                </c:pt>
                <c:pt idx="9">
                  <c:v>11.93833427</c:v>
                </c:pt>
                <c:pt idx="10">
                  <c:v>13.310772699999999</c:v>
                </c:pt>
                <c:pt idx="11">
                  <c:v>13.44237639</c:v>
                </c:pt>
                <c:pt idx="12">
                  <c:v>15.2284264</c:v>
                </c:pt>
                <c:pt idx="13">
                  <c:v>15.284827979999999</c:v>
                </c:pt>
                <c:pt idx="14">
                  <c:v>16.356457979999998</c:v>
                </c:pt>
                <c:pt idx="15">
                  <c:v>16.582064299999999</c:v>
                </c:pt>
                <c:pt idx="16">
                  <c:v>20.304568530000001</c:v>
                </c:pt>
                <c:pt idx="17">
                  <c:v>20.699379579999999</c:v>
                </c:pt>
                <c:pt idx="18">
                  <c:v>21.15059222</c:v>
                </c:pt>
                <c:pt idx="19">
                  <c:v>32.017296479999999</c:v>
                </c:pt>
                <c:pt idx="20">
                  <c:v>32.130099639999997</c:v>
                </c:pt>
                <c:pt idx="21">
                  <c:v>60.29328821</c:v>
                </c:pt>
                <c:pt idx="22">
                  <c:v>100</c:v>
                </c:pt>
              </c:numCache>
            </c:numRef>
          </c:val>
          <c:extLst>
            <c:ext xmlns:c16="http://schemas.microsoft.com/office/drawing/2014/chart" uri="{C3380CC4-5D6E-409C-BE32-E72D297353CC}">
              <c16:uniqueId val="{00000004-18E6-425F-AC65-A2C14C938E20}"/>
            </c:ext>
          </c:extLst>
        </c:ser>
        <c:dLbls>
          <c:showLegendKey val="0"/>
          <c:showVal val="0"/>
          <c:showCatName val="0"/>
          <c:showSerName val="0"/>
          <c:showPercent val="0"/>
          <c:showBubbleSize val="0"/>
        </c:dLbls>
        <c:gapWidth val="32"/>
        <c:overlap val="10"/>
        <c:axId val="775699232"/>
        <c:axId val="775644816"/>
      </c:barChart>
      <c:catAx>
        <c:axId val="775699232"/>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5644816"/>
        <c:crosses val="autoZero"/>
        <c:auto val="1"/>
        <c:lblAlgn val="ctr"/>
        <c:lblOffset val="100"/>
        <c:noMultiLvlLbl val="0"/>
      </c:catAx>
      <c:valAx>
        <c:axId val="775644816"/>
        <c:scaling>
          <c:orientation val="minMax"/>
          <c:max val="100"/>
        </c:scaling>
        <c:delete val="1"/>
        <c:axPos val="b"/>
        <c:numFmt formatCode="0" sourceLinked="1"/>
        <c:majorTickMark val="none"/>
        <c:minorTickMark val="none"/>
        <c:tickLblPos val="nextTo"/>
        <c:crossAx val="775699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BBE2E515E547ED82721B8EC8957CAF"/>
        <w:category>
          <w:name w:val="General"/>
          <w:gallery w:val="placeholder"/>
        </w:category>
        <w:types>
          <w:type w:val="bbPlcHdr"/>
        </w:types>
        <w:behaviors>
          <w:behavior w:val="content"/>
        </w:behaviors>
        <w:guid w:val="{0573574F-1AD0-4B80-85AA-4AA2D123457E}"/>
      </w:docPartPr>
      <w:docPartBody>
        <w:p w:rsidR="00F9490D" w:rsidRDefault="003A0AF3" w:rsidP="003A0AF3">
          <w:pPr>
            <w:pStyle w:val="85BBE2E515E547ED82721B8EC8957CAF1"/>
          </w:pPr>
          <w:r w:rsidRPr="004C16A2">
            <w:rPr>
              <w:rStyle w:val="PlaceholderText"/>
            </w:rPr>
            <w:t>[Title]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EA8" w:rsidRDefault="00B41EA8">
      <w:pPr>
        <w:spacing w:after="0" w:line="240" w:lineRule="auto"/>
      </w:pPr>
      <w:r>
        <w:separator/>
      </w:r>
    </w:p>
  </w:endnote>
  <w:endnote w:type="continuationSeparator" w:id="0">
    <w:p w:rsidR="00B41EA8" w:rsidRDefault="00B41EA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EA8" w:rsidRDefault="00B41EA8">
      <w:pPr>
        <w:spacing w:after="0" w:line="240" w:lineRule="auto"/>
      </w:pPr>
      <w:r>
        <w:separator/>
      </w:r>
    </w:p>
  </w:footnote>
  <w:footnote w:type="continuationSeparator" w:id="0">
    <w:p w:rsidR="00B41EA8" w:rsidRDefault="00B41EA8">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0B2"/>
    <w:multiLevelType w:val="multilevel"/>
    <w:tmpl w:val="9F703E2E"/>
    <w:numStyleLink w:val="ListBulletmaster"/>
  </w:abstractNum>
  <w:abstractNum w:abstractNumId="1" w15:restartNumberingAfterBreak="0">
    <w:nsid w:val="17A434C9"/>
    <w:multiLevelType w:val="multilevel"/>
    <w:tmpl w:val="113457F2"/>
    <w:numStyleLink w:val="Headingsmaster"/>
  </w:abstractNum>
  <w:abstractNum w:abstractNumId="2" w15:restartNumberingAfterBreak="0">
    <w:nsid w:val="1A753D77"/>
    <w:multiLevelType w:val="multilevel"/>
    <w:tmpl w:val="113457F2"/>
    <w:styleLink w:val="Headingsmaster"/>
    <w:lvl w:ilvl="0">
      <w:start w:val="1"/>
      <w:numFmt w:val="decimal"/>
      <w:pStyle w:val="Heading1"/>
      <w:lvlText w:val="Chapter %1"/>
      <w:lvlJc w:val="left"/>
      <w:pPr>
        <w:ind w:left="0" w:firstLine="0"/>
      </w:pPr>
      <w:rPr>
        <w:rFonts w:hint="default"/>
      </w:rPr>
    </w:lvl>
    <w:lvl w:ilvl="1">
      <w:start w:val="1"/>
      <w:numFmt w:val="decimal"/>
      <w:pStyle w:val="Heading2"/>
      <w:lvlText w:val="%1.%2"/>
      <w:lvlJc w:val="left"/>
      <w:pPr>
        <w:ind w:left="1072" w:hanging="1072"/>
      </w:pPr>
      <w:rPr>
        <w:rFonts w:hint="default"/>
      </w:rPr>
    </w:lvl>
    <w:lvl w:ilvl="2">
      <w:start w:val="1"/>
      <w:numFmt w:val="decimal"/>
      <w:pStyle w:val="Heading3"/>
      <w:lvlText w:val="%1.%2.%3"/>
      <w:lvlJc w:val="left"/>
      <w:pPr>
        <w:ind w:left="1072" w:hanging="1072"/>
      </w:pPr>
      <w:rPr>
        <w:rFonts w:hint="default"/>
      </w:rPr>
    </w:lvl>
    <w:lvl w:ilvl="3">
      <w:start w:val="1"/>
      <w:numFmt w:val="decimal"/>
      <w:pStyle w:val="Heading4"/>
      <w:lvlText w:val="%1.%2.%3.%4"/>
      <w:lvlJc w:val="left"/>
      <w:pPr>
        <w:ind w:left="1072" w:hanging="1072"/>
      </w:pPr>
      <w:rPr>
        <w:rFonts w:hint="default"/>
      </w:rPr>
    </w:lvl>
    <w:lvl w:ilvl="4">
      <w:start w:val="1"/>
      <w:numFmt w:val="decimal"/>
      <w:pStyle w:val="Heading5"/>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1066B6"/>
    <w:multiLevelType w:val="multilevel"/>
    <w:tmpl w:val="113457F2"/>
    <w:numStyleLink w:val="Headingsmaster"/>
  </w:abstractNum>
  <w:abstractNum w:abstractNumId="4" w15:restartNumberingAfterBreak="0">
    <w:nsid w:val="4D2C5E75"/>
    <w:multiLevelType w:val="multilevel"/>
    <w:tmpl w:val="0C56A4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0287643">
    <w:abstractNumId w:val="2"/>
  </w:num>
  <w:num w:numId="2" w16cid:durableId="1869679674">
    <w:abstractNumId w:val="6"/>
  </w:num>
  <w:num w:numId="3" w16cid:durableId="1320232845">
    <w:abstractNumId w:val="0"/>
  </w:num>
  <w:num w:numId="4" w16cid:durableId="1442914095">
    <w:abstractNumId w:val="1"/>
  </w:num>
  <w:num w:numId="5" w16cid:durableId="1349261214">
    <w:abstractNumId w:val="3"/>
  </w:num>
  <w:num w:numId="6" w16cid:durableId="1421415029">
    <w:abstractNumId w:val="5"/>
  </w:num>
  <w:num w:numId="7" w16cid:durableId="1079055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986171">
    <w:abstractNumId w:val="4"/>
  </w:num>
  <w:num w:numId="9" w16cid:durableId="1251507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5513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5E"/>
    <w:rsid w:val="00006940"/>
    <w:rsid w:val="000567C6"/>
    <w:rsid w:val="000A72DC"/>
    <w:rsid w:val="00100B87"/>
    <w:rsid w:val="00131C8E"/>
    <w:rsid w:val="00132215"/>
    <w:rsid w:val="00184F24"/>
    <w:rsid w:val="001A223B"/>
    <w:rsid w:val="001D0AD6"/>
    <w:rsid w:val="001D4B5D"/>
    <w:rsid w:val="00200E7E"/>
    <w:rsid w:val="002041FD"/>
    <w:rsid w:val="002442F1"/>
    <w:rsid w:val="002825E9"/>
    <w:rsid w:val="002A7866"/>
    <w:rsid w:val="002E5BAA"/>
    <w:rsid w:val="00324A28"/>
    <w:rsid w:val="00331155"/>
    <w:rsid w:val="00367332"/>
    <w:rsid w:val="00374CA2"/>
    <w:rsid w:val="00391866"/>
    <w:rsid w:val="003974A6"/>
    <w:rsid w:val="003A0AF3"/>
    <w:rsid w:val="003B4E58"/>
    <w:rsid w:val="003C2434"/>
    <w:rsid w:val="003F040F"/>
    <w:rsid w:val="0047523B"/>
    <w:rsid w:val="00483A6C"/>
    <w:rsid w:val="004B0DF2"/>
    <w:rsid w:val="00553049"/>
    <w:rsid w:val="00553131"/>
    <w:rsid w:val="0055762A"/>
    <w:rsid w:val="0056433F"/>
    <w:rsid w:val="005E0CA2"/>
    <w:rsid w:val="00645BA2"/>
    <w:rsid w:val="00660F87"/>
    <w:rsid w:val="006774AD"/>
    <w:rsid w:val="006A229C"/>
    <w:rsid w:val="006C554D"/>
    <w:rsid w:val="0070514A"/>
    <w:rsid w:val="00725424"/>
    <w:rsid w:val="00763A8D"/>
    <w:rsid w:val="007742C1"/>
    <w:rsid w:val="0078435A"/>
    <w:rsid w:val="007904AF"/>
    <w:rsid w:val="007D1E9B"/>
    <w:rsid w:val="00807751"/>
    <w:rsid w:val="008251A2"/>
    <w:rsid w:val="008D078D"/>
    <w:rsid w:val="00930932"/>
    <w:rsid w:val="0093573C"/>
    <w:rsid w:val="00936D91"/>
    <w:rsid w:val="00960698"/>
    <w:rsid w:val="00962DC5"/>
    <w:rsid w:val="0098508D"/>
    <w:rsid w:val="009B018D"/>
    <w:rsid w:val="009C0AE2"/>
    <w:rsid w:val="009C7751"/>
    <w:rsid w:val="009D52C0"/>
    <w:rsid w:val="00A20A66"/>
    <w:rsid w:val="00A27E81"/>
    <w:rsid w:val="00A43663"/>
    <w:rsid w:val="00A5557B"/>
    <w:rsid w:val="00A90D6C"/>
    <w:rsid w:val="00AB1831"/>
    <w:rsid w:val="00AD393C"/>
    <w:rsid w:val="00B36206"/>
    <w:rsid w:val="00B41EA8"/>
    <w:rsid w:val="00B55271"/>
    <w:rsid w:val="00B82A7F"/>
    <w:rsid w:val="00BA525E"/>
    <w:rsid w:val="00BC505F"/>
    <w:rsid w:val="00BF0FCE"/>
    <w:rsid w:val="00BF5F0F"/>
    <w:rsid w:val="00C13883"/>
    <w:rsid w:val="00C2331B"/>
    <w:rsid w:val="00C660F0"/>
    <w:rsid w:val="00CB0A9B"/>
    <w:rsid w:val="00D00565"/>
    <w:rsid w:val="00D11613"/>
    <w:rsid w:val="00D26E06"/>
    <w:rsid w:val="00D66867"/>
    <w:rsid w:val="00D80357"/>
    <w:rsid w:val="00DE4826"/>
    <w:rsid w:val="00E13DF8"/>
    <w:rsid w:val="00E22F9E"/>
    <w:rsid w:val="00E44172"/>
    <w:rsid w:val="00E7179A"/>
    <w:rsid w:val="00E83196"/>
    <w:rsid w:val="00E86722"/>
    <w:rsid w:val="00E964CA"/>
    <w:rsid w:val="00EA03D8"/>
    <w:rsid w:val="00EC3109"/>
    <w:rsid w:val="00ED600A"/>
    <w:rsid w:val="00EE059A"/>
    <w:rsid w:val="00EF5829"/>
    <w:rsid w:val="00F55127"/>
    <w:rsid w:val="00F83E4B"/>
    <w:rsid w:val="00F91C8F"/>
    <w:rsid w:val="00F9490D"/>
    <w:rsid w:val="00FC02B7"/>
    <w:rsid w:val="00FC66A2"/>
    <w:rsid w:val="00FE36D8"/>
    <w:rsid w:val="00FF6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EF5829"/>
    <w:pPr>
      <w:keepNext/>
      <w:pageBreakBefore/>
      <w:numPr>
        <w:numId w:val="5"/>
      </w:numPr>
      <w:pBdr>
        <w:top w:val="single" w:sz="6" w:space="31" w:color="FFFFFF" w:themeColor="background1"/>
      </w:pBdr>
      <w:spacing w:before="240" w:after="3000"/>
      <w:outlineLvl w:val="0"/>
    </w:pPr>
    <w:rPr>
      <w:rFonts w:eastAsia="Times New Roman" w:cs="Arial"/>
      <w:b/>
      <w:bCs/>
      <w:color w:val="4B0985"/>
      <w:sz w:val="56"/>
      <w:szCs w:val="32"/>
      <w:lang w:eastAsia="en-AU"/>
    </w:rPr>
  </w:style>
  <w:style w:type="paragraph" w:styleId="Heading2">
    <w:name w:val="heading 2"/>
    <w:basedOn w:val="Heading1"/>
    <w:next w:val="BodyText"/>
    <w:link w:val="Heading2Char"/>
    <w:uiPriority w:val="9"/>
    <w:qFormat/>
    <w:rsid w:val="00EF5829"/>
    <w:pPr>
      <w:pageBreakBefore w:val="0"/>
      <w:numPr>
        <w:ilvl w:val="1"/>
      </w:numPr>
      <w:pBdr>
        <w:top w:val="none" w:sz="0" w:space="0" w:color="auto"/>
      </w:pBdr>
      <w:tabs>
        <w:tab w:val="clear" w:pos="357"/>
        <w:tab w:val="clear" w:pos="714"/>
        <w:tab w:val="clear" w:pos="1429"/>
      </w:tabs>
      <w:spacing w:after="0"/>
      <w:outlineLvl w:val="1"/>
    </w:pPr>
    <w:rPr>
      <w:bCs w:val="0"/>
      <w:iCs/>
      <w:color w:val="012749"/>
      <w:sz w:val="32"/>
      <w:szCs w:val="28"/>
    </w:rPr>
  </w:style>
  <w:style w:type="paragraph" w:styleId="Heading3">
    <w:name w:val="heading 3"/>
    <w:basedOn w:val="Heading1"/>
    <w:next w:val="BodyText"/>
    <w:link w:val="Heading3Char"/>
    <w:uiPriority w:val="9"/>
    <w:qFormat/>
    <w:rsid w:val="00EF5829"/>
    <w:pPr>
      <w:pageBreakBefore w:val="0"/>
      <w:numPr>
        <w:ilvl w:val="2"/>
      </w:numPr>
      <w:pBdr>
        <w:top w:val="none" w:sz="0" w:space="0" w:color="auto"/>
      </w:pBdr>
      <w:tabs>
        <w:tab w:val="clear" w:pos="357"/>
        <w:tab w:val="clear" w:pos="714"/>
        <w:tab w:val="clear" w:pos="1429"/>
      </w:tabs>
      <w:spacing w:after="0"/>
      <w:outlineLvl w:val="2"/>
    </w:pPr>
    <w:rPr>
      <w:bCs w:val="0"/>
      <w:sz w:val="26"/>
      <w:szCs w:val="26"/>
    </w:rPr>
  </w:style>
  <w:style w:type="paragraph" w:styleId="Heading4">
    <w:name w:val="heading 4"/>
    <w:basedOn w:val="Heading1"/>
    <w:next w:val="BodyText"/>
    <w:link w:val="Heading4Char"/>
    <w:uiPriority w:val="9"/>
    <w:qFormat/>
    <w:rsid w:val="00EF5829"/>
    <w:pPr>
      <w:pageBreakBefore w:val="0"/>
      <w:numPr>
        <w:ilvl w:val="3"/>
      </w:numPr>
      <w:pBdr>
        <w:top w:val="none" w:sz="0" w:space="0" w:color="auto"/>
      </w:pBdr>
      <w:tabs>
        <w:tab w:val="clear" w:pos="357"/>
        <w:tab w:val="clear" w:pos="714"/>
        <w:tab w:val="clear" w:pos="1429"/>
      </w:tabs>
      <w:spacing w:after="0"/>
      <w:outlineLvl w:val="3"/>
    </w:pPr>
    <w:rPr>
      <w:bCs w:val="0"/>
      <w:color w:val="012749"/>
      <w:sz w:val="22"/>
      <w:szCs w:val="21"/>
    </w:rPr>
  </w:style>
  <w:style w:type="paragraph" w:styleId="Heading5">
    <w:name w:val="heading 5"/>
    <w:basedOn w:val="Normal"/>
    <w:next w:val="Normal"/>
    <w:link w:val="Heading5Char"/>
    <w:uiPriority w:val="9"/>
    <w:qFormat/>
    <w:rsid w:val="00EF5829"/>
    <w:pPr>
      <w:numPr>
        <w:ilvl w:val="4"/>
        <w:numId w:val="5"/>
      </w:numPr>
      <w:tabs>
        <w:tab w:val="left" w:pos="1072"/>
      </w:tabs>
      <w:spacing w:before="240" w:after="0" w:line="276" w:lineRule="auto"/>
      <w:outlineLvl w:val="4"/>
    </w:pPr>
    <w:rPr>
      <w:rFonts w:ascii="Arial" w:eastAsia="Times New Roman" w:hAnsi="Arial" w:cs="Times New Roman"/>
      <w:bCs/>
      <w:iCs/>
      <w:color w:val="4B0885"/>
      <w:kern w:val="0"/>
      <w:sz w:val="19"/>
      <w:szCs w:val="20"/>
      <w:lang w:val="en-GB"/>
      <w14:ligatures w14:val="none"/>
    </w:rPr>
  </w:style>
  <w:style w:type="paragraph" w:styleId="Heading6">
    <w:name w:val="heading 6"/>
    <w:basedOn w:val="Normal"/>
    <w:next w:val="Normal"/>
    <w:link w:val="Heading6Char"/>
    <w:uiPriority w:val="9"/>
    <w:qFormat/>
    <w:rsid w:val="00EF5829"/>
    <w:pPr>
      <w:keepNext/>
      <w:keepLines/>
      <w:spacing w:before="240" w:after="0" w:line="276" w:lineRule="auto"/>
      <w:outlineLvl w:val="5"/>
    </w:pPr>
    <w:rPr>
      <w:rFonts w:ascii="Arial" w:eastAsiaTheme="majorEastAsia" w:hAnsi="Arial" w:cstheme="majorBidi"/>
      <w:color w:val="4B0885"/>
      <w:kern w:val="0"/>
      <w:sz w:val="19"/>
      <w:szCs w:val="2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0AF3"/>
    <w:rPr>
      <w:color w:val="C00000"/>
    </w:rPr>
  </w:style>
  <w:style w:type="table" w:customStyle="1" w:styleId="CustomTablepulloutbox2">
    <w:name w:val="Custom Table (pullout box 2)"/>
    <w:basedOn w:val="CustomTablepulloutbox"/>
    <w:uiPriority w:val="99"/>
    <w:rsid w:val="00A20A66"/>
    <w:tblPr/>
    <w:tcPr>
      <w:shd w:val="clear" w:color="auto" w:fill="E0D1F5"/>
    </w:tcPr>
  </w:style>
  <w:style w:type="character" w:customStyle="1" w:styleId="Heading1Char">
    <w:name w:val="Heading 1 Char"/>
    <w:basedOn w:val="DefaultParagraphFont"/>
    <w:link w:val="Heading1"/>
    <w:uiPriority w:val="9"/>
    <w:rsid w:val="00EF5829"/>
    <w:rPr>
      <w:rFonts w:ascii="Arial" w:eastAsia="Times New Roman" w:hAnsi="Arial" w:cs="Arial"/>
      <w:b/>
      <w:bCs/>
      <w:color w:val="4B0985"/>
      <w:kern w:val="0"/>
      <w:sz w:val="56"/>
      <w:szCs w:val="32"/>
      <w14:ligatures w14:val="none"/>
    </w:rPr>
  </w:style>
  <w:style w:type="character" w:customStyle="1" w:styleId="Heading2Char">
    <w:name w:val="Heading 2 Char"/>
    <w:basedOn w:val="DefaultParagraphFont"/>
    <w:link w:val="Heading2"/>
    <w:uiPriority w:val="9"/>
    <w:rsid w:val="00331155"/>
    <w:rPr>
      <w:rFonts w:ascii="Arial" w:eastAsia="Times New Roman" w:hAnsi="Arial" w:cs="Arial"/>
      <w:b/>
      <w:iCs/>
      <w:color w:val="012749"/>
      <w:kern w:val="0"/>
      <w:sz w:val="32"/>
      <w:szCs w:val="28"/>
      <w14:ligatures w14:val="none"/>
    </w:rPr>
  </w:style>
  <w:style w:type="character" w:customStyle="1" w:styleId="Heading3Char">
    <w:name w:val="Heading 3 Char"/>
    <w:basedOn w:val="DefaultParagraphFont"/>
    <w:link w:val="Heading3"/>
    <w:uiPriority w:val="9"/>
    <w:rsid w:val="00331155"/>
    <w:rPr>
      <w:rFonts w:ascii="Arial" w:eastAsia="Times New Roman" w:hAnsi="Arial" w:cs="Arial"/>
      <w:b/>
      <w:color w:val="4B0985"/>
      <w:kern w:val="0"/>
      <w:sz w:val="26"/>
      <w:szCs w:val="26"/>
      <w14:ligatures w14:val="none"/>
    </w:rPr>
  </w:style>
  <w:style w:type="paragraph" w:styleId="ListBullet">
    <w:name w:val="List Bullet"/>
    <w:basedOn w:val="Normal"/>
    <w:uiPriority w:val="4"/>
    <w:qFormat/>
    <w:rsid w:val="00EF5829"/>
    <w:pPr>
      <w:numPr>
        <w:numId w:val="3"/>
      </w:numPr>
      <w:spacing w:before="120" w:after="120" w:line="276" w:lineRule="auto"/>
      <w:ind w:left="357" w:hanging="357"/>
    </w:pPr>
    <w:rPr>
      <w:rFonts w:ascii="Arial" w:eastAsia="Times New Roman" w:hAnsi="Arial" w:cs="Times New Roman"/>
      <w:kern w:val="0"/>
      <w:sz w:val="22"/>
      <w:lang w:eastAsia="en-GB"/>
      <w14:ligatures w14:val="none"/>
    </w:rPr>
  </w:style>
  <w:style w:type="numbering" w:customStyle="1" w:styleId="ListBulletmaster">
    <w:name w:val="List Bullet (master)"/>
    <w:rsid w:val="00EF5829"/>
    <w:pPr>
      <w:numPr>
        <w:numId w:val="2"/>
      </w:numPr>
    </w:pPr>
  </w:style>
  <w:style w:type="paragraph" w:styleId="ListBullet2">
    <w:name w:val="List Bullet 2"/>
    <w:basedOn w:val="Normal"/>
    <w:uiPriority w:val="4"/>
    <w:qFormat/>
    <w:rsid w:val="00EF5829"/>
    <w:pPr>
      <w:numPr>
        <w:ilvl w:val="1"/>
        <w:numId w:val="3"/>
      </w:numPr>
      <w:spacing w:before="120" w:after="120" w:line="276" w:lineRule="auto"/>
    </w:pPr>
    <w:rPr>
      <w:rFonts w:ascii="Arial" w:eastAsia="Times New Roman" w:hAnsi="Arial" w:cs="Times New Roman"/>
      <w:kern w:val="0"/>
      <w:sz w:val="22"/>
      <w:lang w:eastAsia="en-GB"/>
      <w14:ligatures w14:val="none"/>
    </w:rPr>
  </w:style>
  <w:style w:type="paragraph" w:styleId="ListBullet3">
    <w:name w:val="List Bullet 3"/>
    <w:basedOn w:val="Normal"/>
    <w:uiPriority w:val="4"/>
    <w:qFormat/>
    <w:rsid w:val="00EF5829"/>
    <w:pPr>
      <w:numPr>
        <w:ilvl w:val="2"/>
        <w:numId w:val="3"/>
      </w:numPr>
      <w:spacing w:before="120" w:after="120" w:line="276" w:lineRule="auto"/>
      <w:ind w:left="1071" w:hanging="357"/>
    </w:pPr>
    <w:rPr>
      <w:rFonts w:ascii="Arial" w:eastAsia="Times New Roman" w:hAnsi="Arial" w:cs="Times New Roman"/>
      <w:kern w:val="0"/>
      <w:sz w:val="22"/>
      <w:lang w:eastAsia="en-GB"/>
      <w14:ligatures w14:val="none"/>
    </w:rPr>
  </w:style>
  <w:style w:type="numbering" w:customStyle="1" w:styleId="Headingsmaster">
    <w:name w:val="Headings (master)"/>
    <w:uiPriority w:val="99"/>
    <w:rsid w:val="00EF5829"/>
    <w:pPr>
      <w:numPr>
        <w:numId w:val="1"/>
      </w:numPr>
    </w:pPr>
  </w:style>
  <w:style w:type="table" w:customStyle="1" w:styleId="CustomTablekeythemes">
    <w:name w:val="Custom Table (key themes)"/>
    <w:basedOn w:val="TableNormal"/>
    <w:uiPriority w:val="99"/>
    <w:rsid w:val="00EF5829"/>
    <w:pPr>
      <w:spacing w:after="0" w:line="240" w:lineRule="auto"/>
    </w:pPr>
    <w:rPr>
      <w:rFonts w:eastAsiaTheme="minorHAnsi"/>
      <w:kern w:val="0"/>
      <w:sz w:val="20"/>
      <w:szCs w:val="20"/>
      <w:lang w:val="en-US" w:eastAsia="en-US"/>
      <w14:ligatures w14:val="none"/>
    </w:r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styleId="BodyText">
    <w:name w:val="Body Text"/>
    <w:basedOn w:val="Normal"/>
    <w:link w:val="BodyTextChar"/>
    <w:qFormat/>
    <w:rsid w:val="00A20A66"/>
    <w:pPr>
      <w:tabs>
        <w:tab w:val="left" w:pos="357"/>
        <w:tab w:val="left" w:pos="714"/>
        <w:tab w:val="left" w:pos="1072"/>
        <w:tab w:val="left" w:pos="1429"/>
      </w:tabs>
      <w:spacing w:before="120" w:after="120" w:line="276" w:lineRule="auto"/>
    </w:pPr>
    <w:rPr>
      <w:rFonts w:ascii="Arial" w:eastAsiaTheme="minorHAnsi" w:hAnsi="Arial"/>
      <w:kern w:val="0"/>
      <w:sz w:val="22"/>
      <w:szCs w:val="20"/>
      <w:lang w:eastAsia="en-US"/>
      <w14:ligatures w14:val="none"/>
    </w:rPr>
  </w:style>
  <w:style w:type="character" w:customStyle="1" w:styleId="BodyTextChar">
    <w:name w:val="Body Text Char"/>
    <w:basedOn w:val="DefaultParagraphFont"/>
    <w:link w:val="BodyText"/>
    <w:rsid w:val="00A20A66"/>
    <w:rPr>
      <w:rFonts w:ascii="Arial" w:eastAsiaTheme="minorHAnsi" w:hAnsi="Arial"/>
      <w:kern w:val="0"/>
      <w:sz w:val="22"/>
      <w:szCs w:val="20"/>
      <w:lang w:eastAsia="en-US"/>
      <w14:ligatures w14:val="none"/>
    </w:rPr>
  </w:style>
  <w:style w:type="paragraph" w:styleId="Header">
    <w:name w:val="header"/>
    <w:basedOn w:val="Normal"/>
    <w:link w:val="HeaderChar"/>
    <w:uiPriority w:val="24"/>
    <w:rsid w:val="00EF5829"/>
    <w:pPr>
      <w:tabs>
        <w:tab w:val="right" w:pos="0"/>
        <w:tab w:val="center" w:pos="4680"/>
        <w:tab w:val="right" w:pos="9360"/>
      </w:tabs>
      <w:spacing w:before="40" w:after="40" w:line="276" w:lineRule="auto"/>
    </w:pPr>
    <w:rPr>
      <w:rFonts w:ascii="Arial" w:eastAsiaTheme="minorHAnsi" w:hAnsi="Arial"/>
      <w:kern w:val="0"/>
      <w:sz w:val="16"/>
      <w:szCs w:val="20"/>
      <w:lang w:eastAsia="en-US"/>
      <w14:ligatures w14:val="none"/>
    </w:rPr>
  </w:style>
  <w:style w:type="character" w:customStyle="1" w:styleId="HeaderChar">
    <w:name w:val="Header Char"/>
    <w:basedOn w:val="DefaultParagraphFont"/>
    <w:link w:val="Header"/>
    <w:uiPriority w:val="24"/>
    <w:rsid w:val="00EF5829"/>
    <w:rPr>
      <w:rFonts w:ascii="Arial" w:eastAsiaTheme="minorHAnsi" w:hAnsi="Arial"/>
      <w:kern w:val="0"/>
      <w:sz w:val="16"/>
      <w:szCs w:val="20"/>
      <w:lang w:eastAsia="en-US"/>
      <w14:ligatures w14:val="none"/>
    </w:rPr>
  </w:style>
  <w:style w:type="character" w:customStyle="1" w:styleId="Heading4Char">
    <w:name w:val="Heading 4 Char"/>
    <w:basedOn w:val="DefaultParagraphFont"/>
    <w:link w:val="Heading4"/>
    <w:uiPriority w:val="9"/>
    <w:rsid w:val="00EF5829"/>
    <w:rPr>
      <w:rFonts w:ascii="Arial" w:eastAsia="Times New Roman" w:hAnsi="Arial" w:cs="Arial"/>
      <w:b/>
      <w:color w:val="012749"/>
      <w:kern w:val="0"/>
      <w:sz w:val="22"/>
      <w:szCs w:val="21"/>
      <w14:ligatures w14:val="none"/>
    </w:rPr>
  </w:style>
  <w:style w:type="character" w:customStyle="1" w:styleId="Heading5Char">
    <w:name w:val="Heading 5 Char"/>
    <w:basedOn w:val="DefaultParagraphFont"/>
    <w:link w:val="Heading5"/>
    <w:uiPriority w:val="9"/>
    <w:rsid w:val="00EF5829"/>
    <w:rPr>
      <w:rFonts w:ascii="Arial" w:eastAsia="Times New Roman" w:hAnsi="Arial" w:cs="Times New Roman"/>
      <w:bCs/>
      <w:iCs/>
      <w:color w:val="4B0885"/>
      <w:kern w:val="0"/>
      <w:sz w:val="19"/>
      <w:szCs w:val="20"/>
      <w:lang w:val="en-GB"/>
      <w14:ligatures w14:val="none"/>
    </w:rPr>
  </w:style>
  <w:style w:type="character" w:customStyle="1" w:styleId="Heading6Char">
    <w:name w:val="Heading 6 Char"/>
    <w:basedOn w:val="DefaultParagraphFont"/>
    <w:link w:val="Heading6"/>
    <w:uiPriority w:val="9"/>
    <w:rsid w:val="00EF5829"/>
    <w:rPr>
      <w:rFonts w:ascii="Arial" w:eastAsiaTheme="majorEastAsia" w:hAnsi="Arial" w:cstheme="majorBidi"/>
      <w:color w:val="4B0885"/>
      <w:kern w:val="0"/>
      <w:sz w:val="19"/>
      <w:szCs w:val="20"/>
      <w:lang w:eastAsia="en-US"/>
      <w14:ligatures w14:val="none"/>
    </w:rPr>
  </w:style>
  <w:style w:type="table" w:customStyle="1" w:styleId="CustomTablepulloutbox">
    <w:name w:val="Custom Table (pullout box)"/>
    <w:basedOn w:val="TableNormal"/>
    <w:uiPriority w:val="99"/>
    <w:rsid w:val="00A20A66"/>
    <w:pPr>
      <w:spacing w:after="0" w:line="240" w:lineRule="auto"/>
    </w:pPr>
    <w:rPr>
      <w:rFonts w:eastAsiaTheme="minorHAnsi"/>
      <w:kern w:val="0"/>
      <w:sz w:val="20"/>
      <w:szCs w:val="20"/>
      <w:lang w:val="en-US" w:eastAsia="en-US"/>
      <w14:ligatures w14:val="none"/>
    </w:r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paragraph" w:customStyle="1" w:styleId="85BBE2E515E547ED82721B8EC8957CAF1">
    <w:name w:val="85BBE2E515E547ED82721B8EC8957CAF1"/>
    <w:rsid w:val="003A0AF3"/>
    <w:pPr>
      <w:spacing w:before="2600" w:after="400" w:line="276" w:lineRule="auto"/>
    </w:pPr>
    <w:rPr>
      <w:rFonts w:ascii="Arial" w:eastAsiaTheme="majorEastAsia" w:hAnsi="Arial" w:cs="Arial"/>
      <w:b/>
      <w:color w:val="FFFFFF" w:themeColor="background1"/>
      <w:kern w:val="28"/>
      <w:sz w:val="80"/>
      <w:szCs w:val="5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2.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3.xml><?xml version="1.0" encoding="utf-8"?>
<ds:datastoreItem xmlns:ds="http://schemas.openxmlformats.org/officeDocument/2006/customXml" ds:itemID="{E04F9C6D-6FF5-41B1-8675-76D009073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8bdf61f-9621-4102-acf0-32ab8de1ada4"/>
    <ds:schemaRef ds:uri="2346c79d-bae1-4214-a8f2-95f62bc64ea6"/>
  </ds:schemaRefs>
</ds:datastoreItem>
</file>

<file path=docProps/app.xml><?xml version="1.0" encoding="utf-8"?>
<Properties xmlns="http://schemas.openxmlformats.org/officeDocument/2006/extended-properties" xmlns:vt="http://schemas.openxmlformats.org/officeDocument/2006/docPropsVTypes">
  <Template>Normal.dotm</Template>
  <TotalTime>3452</TotalTime>
  <Pages>27</Pages>
  <Words>7386</Words>
  <Characters>40406</Characters>
  <Application>Microsoft Office Word</Application>
  <DocSecurity>0</DocSecurity>
  <Lines>1063</Lines>
  <Paragraphs>868</Paragraphs>
  <ScaleCrop>false</ScaleCrop>
  <HeadingPairs>
    <vt:vector size="2" baseType="variant">
      <vt:variant>
        <vt:lpstr>Title</vt:lpstr>
      </vt:variant>
      <vt:variant>
        <vt:i4>1</vt:i4>
      </vt:variant>
    </vt:vector>
  </HeadingPairs>
  <TitlesOfParts>
    <vt:vector size="1" baseType="lpstr">
      <vt:lpstr>2025 Occupation Shortage List Methodology</vt:lpstr>
    </vt:vector>
  </TitlesOfParts>
  <Company/>
  <LinksUpToDate>false</LinksUpToDate>
  <CharactersWithSpaces>46924</CharactersWithSpaces>
  <SharedDoc>false</SharedDoc>
  <HLinks>
    <vt:vector size="300" baseType="variant">
      <vt:variant>
        <vt:i4>4915248</vt:i4>
      </vt:variant>
      <vt:variant>
        <vt:i4>405</vt:i4>
      </vt:variant>
      <vt:variant>
        <vt:i4>0</vt:i4>
      </vt:variant>
      <vt:variant>
        <vt:i4>5</vt:i4>
      </vt:variant>
      <vt:variant>
        <vt:lpwstr>mailto:OccupationShortageList@jobsandskills.gov.au</vt:lpwstr>
      </vt:variant>
      <vt:variant>
        <vt:lpwstr/>
      </vt:variant>
      <vt:variant>
        <vt:i4>1441847</vt:i4>
      </vt:variant>
      <vt:variant>
        <vt:i4>293</vt:i4>
      </vt:variant>
      <vt:variant>
        <vt:i4>0</vt:i4>
      </vt:variant>
      <vt:variant>
        <vt:i4>5</vt:i4>
      </vt:variant>
      <vt:variant>
        <vt:lpwstr/>
      </vt:variant>
      <vt:variant>
        <vt:lpwstr>_Toc211341023</vt:lpwstr>
      </vt:variant>
      <vt:variant>
        <vt:i4>1376311</vt:i4>
      </vt:variant>
      <vt:variant>
        <vt:i4>284</vt:i4>
      </vt:variant>
      <vt:variant>
        <vt:i4>0</vt:i4>
      </vt:variant>
      <vt:variant>
        <vt:i4>5</vt:i4>
      </vt:variant>
      <vt:variant>
        <vt:lpwstr/>
      </vt:variant>
      <vt:variant>
        <vt:lpwstr>_Toc211341014</vt:lpwstr>
      </vt:variant>
      <vt:variant>
        <vt:i4>1376311</vt:i4>
      </vt:variant>
      <vt:variant>
        <vt:i4>278</vt:i4>
      </vt:variant>
      <vt:variant>
        <vt:i4>0</vt:i4>
      </vt:variant>
      <vt:variant>
        <vt:i4>5</vt:i4>
      </vt:variant>
      <vt:variant>
        <vt:lpwstr/>
      </vt:variant>
      <vt:variant>
        <vt:lpwstr>_Toc211341013</vt:lpwstr>
      </vt:variant>
      <vt:variant>
        <vt:i4>1376311</vt:i4>
      </vt:variant>
      <vt:variant>
        <vt:i4>272</vt:i4>
      </vt:variant>
      <vt:variant>
        <vt:i4>0</vt:i4>
      </vt:variant>
      <vt:variant>
        <vt:i4>5</vt:i4>
      </vt:variant>
      <vt:variant>
        <vt:lpwstr/>
      </vt:variant>
      <vt:variant>
        <vt:lpwstr>_Toc211341012</vt:lpwstr>
      </vt:variant>
      <vt:variant>
        <vt:i4>1245246</vt:i4>
      </vt:variant>
      <vt:variant>
        <vt:i4>248</vt:i4>
      </vt:variant>
      <vt:variant>
        <vt:i4>0</vt:i4>
      </vt:variant>
      <vt:variant>
        <vt:i4>5</vt:i4>
      </vt:variant>
      <vt:variant>
        <vt:lpwstr/>
      </vt:variant>
      <vt:variant>
        <vt:lpwstr>_Toc211340965</vt:lpwstr>
      </vt:variant>
      <vt:variant>
        <vt:i4>1245246</vt:i4>
      </vt:variant>
      <vt:variant>
        <vt:i4>239</vt:i4>
      </vt:variant>
      <vt:variant>
        <vt:i4>0</vt:i4>
      </vt:variant>
      <vt:variant>
        <vt:i4>5</vt:i4>
      </vt:variant>
      <vt:variant>
        <vt:lpwstr/>
      </vt:variant>
      <vt:variant>
        <vt:lpwstr>_Toc211340960</vt:lpwstr>
      </vt:variant>
      <vt:variant>
        <vt:i4>1048638</vt:i4>
      </vt:variant>
      <vt:variant>
        <vt:i4>230</vt:i4>
      </vt:variant>
      <vt:variant>
        <vt:i4>0</vt:i4>
      </vt:variant>
      <vt:variant>
        <vt:i4>5</vt:i4>
      </vt:variant>
      <vt:variant>
        <vt:lpwstr/>
      </vt:variant>
      <vt:variant>
        <vt:lpwstr>_Toc211340955</vt:lpwstr>
      </vt:variant>
      <vt:variant>
        <vt:i4>1114174</vt:i4>
      </vt:variant>
      <vt:variant>
        <vt:i4>221</vt:i4>
      </vt:variant>
      <vt:variant>
        <vt:i4>0</vt:i4>
      </vt:variant>
      <vt:variant>
        <vt:i4>5</vt:i4>
      </vt:variant>
      <vt:variant>
        <vt:lpwstr/>
      </vt:variant>
      <vt:variant>
        <vt:lpwstr>_Toc211340948</vt:lpwstr>
      </vt:variant>
      <vt:variant>
        <vt:i4>1114174</vt:i4>
      </vt:variant>
      <vt:variant>
        <vt:i4>212</vt:i4>
      </vt:variant>
      <vt:variant>
        <vt:i4>0</vt:i4>
      </vt:variant>
      <vt:variant>
        <vt:i4>5</vt:i4>
      </vt:variant>
      <vt:variant>
        <vt:lpwstr/>
      </vt:variant>
      <vt:variant>
        <vt:lpwstr>_Toc211340945</vt:lpwstr>
      </vt:variant>
      <vt:variant>
        <vt:i4>1114174</vt:i4>
      </vt:variant>
      <vt:variant>
        <vt:i4>206</vt:i4>
      </vt:variant>
      <vt:variant>
        <vt:i4>0</vt:i4>
      </vt:variant>
      <vt:variant>
        <vt:i4>5</vt:i4>
      </vt:variant>
      <vt:variant>
        <vt:lpwstr/>
      </vt:variant>
      <vt:variant>
        <vt:lpwstr>_Toc211340944</vt:lpwstr>
      </vt:variant>
      <vt:variant>
        <vt:i4>1114174</vt:i4>
      </vt:variant>
      <vt:variant>
        <vt:i4>200</vt:i4>
      </vt:variant>
      <vt:variant>
        <vt:i4>0</vt:i4>
      </vt:variant>
      <vt:variant>
        <vt:i4>5</vt:i4>
      </vt:variant>
      <vt:variant>
        <vt:lpwstr/>
      </vt:variant>
      <vt:variant>
        <vt:lpwstr>_Toc211340943</vt:lpwstr>
      </vt:variant>
      <vt:variant>
        <vt:i4>1114174</vt:i4>
      </vt:variant>
      <vt:variant>
        <vt:i4>194</vt:i4>
      </vt:variant>
      <vt:variant>
        <vt:i4>0</vt:i4>
      </vt:variant>
      <vt:variant>
        <vt:i4>5</vt:i4>
      </vt:variant>
      <vt:variant>
        <vt:lpwstr/>
      </vt:variant>
      <vt:variant>
        <vt:lpwstr>_Toc211340942</vt:lpwstr>
      </vt:variant>
      <vt:variant>
        <vt:i4>1441854</vt:i4>
      </vt:variant>
      <vt:variant>
        <vt:i4>164</vt:i4>
      </vt:variant>
      <vt:variant>
        <vt:i4>0</vt:i4>
      </vt:variant>
      <vt:variant>
        <vt:i4>5</vt:i4>
      </vt:variant>
      <vt:variant>
        <vt:lpwstr/>
      </vt:variant>
      <vt:variant>
        <vt:lpwstr>_Toc211340935</vt:lpwstr>
      </vt:variant>
      <vt:variant>
        <vt:i4>1441854</vt:i4>
      </vt:variant>
      <vt:variant>
        <vt:i4>158</vt:i4>
      </vt:variant>
      <vt:variant>
        <vt:i4>0</vt:i4>
      </vt:variant>
      <vt:variant>
        <vt:i4>5</vt:i4>
      </vt:variant>
      <vt:variant>
        <vt:lpwstr/>
      </vt:variant>
      <vt:variant>
        <vt:lpwstr>_Toc211340934</vt:lpwstr>
      </vt:variant>
      <vt:variant>
        <vt:i4>1441854</vt:i4>
      </vt:variant>
      <vt:variant>
        <vt:i4>152</vt:i4>
      </vt:variant>
      <vt:variant>
        <vt:i4>0</vt:i4>
      </vt:variant>
      <vt:variant>
        <vt:i4>5</vt:i4>
      </vt:variant>
      <vt:variant>
        <vt:lpwstr/>
      </vt:variant>
      <vt:variant>
        <vt:lpwstr>_Toc211340933</vt:lpwstr>
      </vt:variant>
      <vt:variant>
        <vt:i4>1441854</vt:i4>
      </vt:variant>
      <vt:variant>
        <vt:i4>146</vt:i4>
      </vt:variant>
      <vt:variant>
        <vt:i4>0</vt:i4>
      </vt:variant>
      <vt:variant>
        <vt:i4>5</vt:i4>
      </vt:variant>
      <vt:variant>
        <vt:lpwstr/>
      </vt:variant>
      <vt:variant>
        <vt:lpwstr>_Toc211340932</vt:lpwstr>
      </vt:variant>
      <vt:variant>
        <vt:i4>1441854</vt:i4>
      </vt:variant>
      <vt:variant>
        <vt:i4>140</vt:i4>
      </vt:variant>
      <vt:variant>
        <vt:i4>0</vt:i4>
      </vt:variant>
      <vt:variant>
        <vt:i4>5</vt:i4>
      </vt:variant>
      <vt:variant>
        <vt:lpwstr/>
      </vt:variant>
      <vt:variant>
        <vt:lpwstr>_Toc211340931</vt:lpwstr>
      </vt:variant>
      <vt:variant>
        <vt:i4>1441854</vt:i4>
      </vt:variant>
      <vt:variant>
        <vt:i4>134</vt:i4>
      </vt:variant>
      <vt:variant>
        <vt:i4>0</vt:i4>
      </vt:variant>
      <vt:variant>
        <vt:i4>5</vt:i4>
      </vt:variant>
      <vt:variant>
        <vt:lpwstr/>
      </vt:variant>
      <vt:variant>
        <vt:lpwstr>_Toc211340930</vt:lpwstr>
      </vt:variant>
      <vt:variant>
        <vt:i4>1507390</vt:i4>
      </vt:variant>
      <vt:variant>
        <vt:i4>128</vt:i4>
      </vt:variant>
      <vt:variant>
        <vt:i4>0</vt:i4>
      </vt:variant>
      <vt:variant>
        <vt:i4>5</vt:i4>
      </vt:variant>
      <vt:variant>
        <vt:lpwstr/>
      </vt:variant>
      <vt:variant>
        <vt:lpwstr>_Toc211340929</vt:lpwstr>
      </vt:variant>
      <vt:variant>
        <vt:i4>1507390</vt:i4>
      </vt:variant>
      <vt:variant>
        <vt:i4>122</vt:i4>
      </vt:variant>
      <vt:variant>
        <vt:i4>0</vt:i4>
      </vt:variant>
      <vt:variant>
        <vt:i4>5</vt:i4>
      </vt:variant>
      <vt:variant>
        <vt:lpwstr/>
      </vt:variant>
      <vt:variant>
        <vt:lpwstr>_Toc211340928</vt:lpwstr>
      </vt:variant>
      <vt:variant>
        <vt:i4>1507390</vt:i4>
      </vt:variant>
      <vt:variant>
        <vt:i4>116</vt:i4>
      </vt:variant>
      <vt:variant>
        <vt:i4>0</vt:i4>
      </vt:variant>
      <vt:variant>
        <vt:i4>5</vt:i4>
      </vt:variant>
      <vt:variant>
        <vt:lpwstr/>
      </vt:variant>
      <vt:variant>
        <vt:lpwstr>_Toc211340927</vt:lpwstr>
      </vt:variant>
      <vt:variant>
        <vt:i4>1507390</vt:i4>
      </vt:variant>
      <vt:variant>
        <vt:i4>110</vt:i4>
      </vt:variant>
      <vt:variant>
        <vt:i4>0</vt:i4>
      </vt:variant>
      <vt:variant>
        <vt:i4>5</vt:i4>
      </vt:variant>
      <vt:variant>
        <vt:lpwstr/>
      </vt:variant>
      <vt:variant>
        <vt:lpwstr>_Toc211340926</vt:lpwstr>
      </vt:variant>
      <vt:variant>
        <vt:i4>1507390</vt:i4>
      </vt:variant>
      <vt:variant>
        <vt:i4>104</vt:i4>
      </vt:variant>
      <vt:variant>
        <vt:i4>0</vt:i4>
      </vt:variant>
      <vt:variant>
        <vt:i4>5</vt:i4>
      </vt:variant>
      <vt:variant>
        <vt:lpwstr/>
      </vt:variant>
      <vt:variant>
        <vt:lpwstr>_Toc211340925</vt:lpwstr>
      </vt:variant>
      <vt:variant>
        <vt:i4>1507390</vt:i4>
      </vt:variant>
      <vt:variant>
        <vt:i4>98</vt:i4>
      </vt:variant>
      <vt:variant>
        <vt:i4>0</vt:i4>
      </vt:variant>
      <vt:variant>
        <vt:i4>5</vt:i4>
      </vt:variant>
      <vt:variant>
        <vt:lpwstr/>
      </vt:variant>
      <vt:variant>
        <vt:lpwstr>_Toc211340924</vt:lpwstr>
      </vt:variant>
      <vt:variant>
        <vt:i4>1507390</vt:i4>
      </vt:variant>
      <vt:variant>
        <vt:i4>92</vt:i4>
      </vt:variant>
      <vt:variant>
        <vt:i4>0</vt:i4>
      </vt:variant>
      <vt:variant>
        <vt:i4>5</vt:i4>
      </vt:variant>
      <vt:variant>
        <vt:lpwstr/>
      </vt:variant>
      <vt:variant>
        <vt:lpwstr>_Toc211340923</vt:lpwstr>
      </vt:variant>
      <vt:variant>
        <vt:i4>1507390</vt:i4>
      </vt:variant>
      <vt:variant>
        <vt:i4>86</vt:i4>
      </vt:variant>
      <vt:variant>
        <vt:i4>0</vt:i4>
      </vt:variant>
      <vt:variant>
        <vt:i4>5</vt:i4>
      </vt:variant>
      <vt:variant>
        <vt:lpwstr/>
      </vt:variant>
      <vt:variant>
        <vt:lpwstr>_Toc211340922</vt:lpwstr>
      </vt:variant>
      <vt:variant>
        <vt:i4>1507390</vt:i4>
      </vt:variant>
      <vt:variant>
        <vt:i4>80</vt:i4>
      </vt:variant>
      <vt:variant>
        <vt:i4>0</vt:i4>
      </vt:variant>
      <vt:variant>
        <vt:i4>5</vt:i4>
      </vt:variant>
      <vt:variant>
        <vt:lpwstr/>
      </vt:variant>
      <vt:variant>
        <vt:lpwstr>_Toc211340921</vt:lpwstr>
      </vt:variant>
      <vt:variant>
        <vt:i4>1507390</vt:i4>
      </vt:variant>
      <vt:variant>
        <vt:i4>74</vt:i4>
      </vt:variant>
      <vt:variant>
        <vt:i4>0</vt:i4>
      </vt:variant>
      <vt:variant>
        <vt:i4>5</vt:i4>
      </vt:variant>
      <vt:variant>
        <vt:lpwstr/>
      </vt:variant>
      <vt:variant>
        <vt:lpwstr>_Toc211340920</vt:lpwstr>
      </vt:variant>
      <vt:variant>
        <vt:i4>1310782</vt:i4>
      </vt:variant>
      <vt:variant>
        <vt:i4>68</vt:i4>
      </vt:variant>
      <vt:variant>
        <vt:i4>0</vt:i4>
      </vt:variant>
      <vt:variant>
        <vt:i4>5</vt:i4>
      </vt:variant>
      <vt:variant>
        <vt:lpwstr/>
      </vt:variant>
      <vt:variant>
        <vt:lpwstr>_Toc211340919</vt:lpwstr>
      </vt:variant>
      <vt:variant>
        <vt:i4>1310782</vt:i4>
      </vt:variant>
      <vt:variant>
        <vt:i4>62</vt:i4>
      </vt:variant>
      <vt:variant>
        <vt:i4>0</vt:i4>
      </vt:variant>
      <vt:variant>
        <vt:i4>5</vt:i4>
      </vt:variant>
      <vt:variant>
        <vt:lpwstr/>
      </vt:variant>
      <vt:variant>
        <vt:lpwstr>_Toc211340918</vt:lpwstr>
      </vt:variant>
      <vt:variant>
        <vt:i4>1310782</vt:i4>
      </vt:variant>
      <vt:variant>
        <vt:i4>56</vt:i4>
      </vt:variant>
      <vt:variant>
        <vt:i4>0</vt:i4>
      </vt:variant>
      <vt:variant>
        <vt:i4>5</vt:i4>
      </vt:variant>
      <vt:variant>
        <vt:lpwstr/>
      </vt:variant>
      <vt:variant>
        <vt:lpwstr>_Toc211340917</vt:lpwstr>
      </vt:variant>
      <vt:variant>
        <vt:i4>1310782</vt:i4>
      </vt:variant>
      <vt:variant>
        <vt:i4>50</vt:i4>
      </vt:variant>
      <vt:variant>
        <vt:i4>0</vt:i4>
      </vt:variant>
      <vt:variant>
        <vt:i4>5</vt:i4>
      </vt:variant>
      <vt:variant>
        <vt:lpwstr/>
      </vt:variant>
      <vt:variant>
        <vt:lpwstr>_Toc211340916</vt:lpwstr>
      </vt:variant>
      <vt:variant>
        <vt:i4>1310782</vt:i4>
      </vt:variant>
      <vt:variant>
        <vt:i4>44</vt:i4>
      </vt:variant>
      <vt:variant>
        <vt:i4>0</vt:i4>
      </vt:variant>
      <vt:variant>
        <vt:i4>5</vt:i4>
      </vt:variant>
      <vt:variant>
        <vt:lpwstr/>
      </vt:variant>
      <vt:variant>
        <vt:lpwstr>_Toc211340915</vt:lpwstr>
      </vt:variant>
      <vt:variant>
        <vt:i4>1310782</vt:i4>
      </vt:variant>
      <vt:variant>
        <vt:i4>38</vt:i4>
      </vt:variant>
      <vt:variant>
        <vt:i4>0</vt:i4>
      </vt:variant>
      <vt:variant>
        <vt:i4>5</vt:i4>
      </vt:variant>
      <vt:variant>
        <vt:lpwstr/>
      </vt:variant>
      <vt:variant>
        <vt:lpwstr>_Toc211340914</vt:lpwstr>
      </vt:variant>
      <vt:variant>
        <vt:i4>1310782</vt:i4>
      </vt:variant>
      <vt:variant>
        <vt:i4>32</vt:i4>
      </vt:variant>
      <vt:variant>
        <vt:i4>0</vt:i4>
      </vt:variant>
      <vt:variant>
        <vt:i4>5</vt:i4>
      </vt:variant>
      <vt:variant>
        <vt:lpwstr/>
      </vt:variant>
      <vt:variant>
        <vt:lpwstr>_Toc211340913</vt:lpwstr>
      </vt:variant>
      <vt:variant>
        <vt:i4>1310782</vt:i4>
      </vt:variant>
      <vt:variant>
        <vt:i4>26</vt:i4>
      </vt:variant>
      <vt:variant>
        <vt:i4>0</vt:i4>
      </vt:variant>
      <vt:variant>
        <vt:i4>5</vt:i4>
      </vt:variant>
      <vt:variant>
        <vt:lpwstr/>
      </vt:variant>
      <vt:variant>
        <vt:lpwstr>_Toc211340912</vt:lpwstr>
      </vt:variant>
      <vt:variant>
        <vt:i4>1310782</vt:i4>
      </vt:variant>
      <vt:variant>
        <vt:i4>20</vt:i4>
      </vt:variant>
      <vt:variant>
        <vt:i4>0</vt:i4>
      </vt:variant>
      <vt:variant>
        <vt:i4>5</vt:i4>
      </vt:variant>
      <vt:variant>
        <vt:lpwstr/>
      </vt:variant>
      <vt:variant>
        <vt:lpwstr>_Toc211340911</vt:lpwstr>
      </vt:variant>
      <vt:variant>
        <vt:i4>1310782</vt:i4>
      </vt:variant>
      <vt:variant>
        <vt:i4>14</vt:i4>
      </vt:variant>
      <vt:variant>
        <vt:i4>0</vt:i4>
      </vt:variant>
      <vt:variant>
        <vt:i4>5</vt:i4>
      </vt:variant>
      <vt:variant>
        <vt:lpwstr/>
      </vt:variant>
      <vt:variant>
        <vt:lpwstr>_Toc211340910</vt:lpwstr>
      </vt:variant>
      <vt:variant>
        <vt:i4>1376318</vt:i4>
      </vt:variant>
      <vt:variant>
        <vt:i4>8</vt:i4>
      </vt:variant>
      <vt:variant>
        <vt:i4>0</vt:i4>
      </vt:variant>
      <vt:variant>
        <vt:i4>5</vt:i4>
      </vt:variant>
      <vt:variant>
        <vt:lpwstr/>
      </vt:variant>
      <vt:variant>
        <vt:lpwstr>_Toc211340909</vt:lpwstr>
      </vt:variant>
      <vt:variant>
        <vt:i4>1376318</vt:i4>
      </vt:variant>
      <vt:variant>
        <vt:i4>2</vt:i4>
      </vt:variant>
      <vt:variant>
        <vt:i4>0</vt:i4>
      </vt:variant>
      <vt:variant>
        <vt:i4>5</vt:i4>
      </vt:variant>
      <vt:variant>
        <vt:lpwstr/>
      </vt:variant>
      <vt:variant>
        <vt:lpwstr>_Toc211340908</vt:lpwstr>
      </vt:variant>
      <vt:variant>
        <vt:i4>5636108</vt:i4>
      </vt:variant>
      <vt:variant>
        <vt:i4>33</vt:i4>
      </vt:variant>
      <vt:variant>
        <vt:i4>0</vt:i4>
      </vt:variant>
      <vt:variant>
        <vt:i4>5</vt:i4>
      </vt:variant>
      <vt:variant>
        <vt:lpwstr>https://www.abs.gov.au/statistics/classifications/anzsco-australian-and-new-zealand-standard-classification-occupations/2022</vt:lpwstr>
      </vt:variant>
      <vt:variant>
        <vt:lpwstr/>
      </vt:variant>
      <vt:variant>
        <vt:i4>7077921</vt:i4>
      </vt:variant>
      <vt:variant>
        <vt:i4>30</vt:i4>
      </vt:variant>
      <vt:variant>
        <vt:i4>0</vt:i4>
      </vt:variant>
      <vt:variant>
        <vt:i4>5</vt:i4>
      </vt:variant>
      <vt:variant>
        <vt:lpwstr>https://www.abs.gov.au/statistics/classifications/osca-occupation-standard-classification-australia/latest-release</vt:lpwstr>
      </vt:variant>
      <vt:variant>
        <vt:lpwstr/>
      </vt:variant>
      <vt:variant>
        <vt:i4>4128866</vt:i4>
      </vt:variant>
      <vt:variant>
        <vt:i4>27</vt:i4>
      </vt:variant>
      <vt:variant>
        <vt:i4>0</vt:i4>
      </vt:variant>
      <vt:variant>
        <vt:i4>5</vt:i4>
      </vt:variant>
      <vt:variant>
        <vt:lpwstr>https://www.jobsandskills.gov.au/publications/occupation-shortage-report-march-2025</vt:lpwstr>
      </vt:variant>
      <vt:variant>
        <vt:lpwstr/>
      </vt:variant>
      <vt:variant>
        <vt:i4>589835</vt:i4>
      </vt:variant>
      <vt:variant>
        <vt:i4>24</vt:i4>
      </vt:variant>
      <vt:variant>
        <vt:i4>0</vt:i4>
      </vt:variant>
      <vt:variant>
        <vt:i4>5</vt:i4>
      </vt:variant>
      <vt:variant>
        <vt:lpwstr>https://www.jobsandskills.gov.au/data/recruitment-experiences-and-outlook-survey</vt:lpwstr>
      </vt:variant>
      <vt:variant>
        <vt:lpwstr/>
      </vt:variant>
      <vt:variant>
        <vt:i4>6488186</vt:i4>
      </vt:variant>
      <vt:variant>
        <vt:i4>21</vt:i4>
      </vt:variant>
      <vt:variant>
        <vt:i4>0</vt:i4>
      </vt:variant>
      <vt:variant>
        <vt:i4>5</vt:i4>
      </vt:variant>
      <vt:variant>
        <vt:lpwstr>https://www.jobsandskills.gov.au/data/nero</vt:lpwstr>
      </vt:variant>
      <vt:variant>
        <vt:lpwstr/>
      </vt:variant>
      <vt:variant>
        <vt:i4>852045</vt:i4>
      </vt:variant>
      <vt:variant>
        <vt:i4>18</vt:i4>
      </vt:variant>
      <vt:variant>
        <vt:i4>0</vt:i4>
      </vt:variant>
      <vt:variant>
        <vt:i4>5</vt:i4>
      </vt:variant>
      <vt:variant>
        <vt:lpwstr>https://www.jobsandskills.gov.au/australian-skills-classification</vt:lpwstr>
      </vt:variant>
      <vt:variant>
        <vt:lpwstr/>
      </vt:variant>
      <vt:variant>
        <vt:i4>5374022</vt:i4>
      </vt:variant>
      <vt:variant>
        <vt:i4>9</vt:i4>
      </vt:variant>
      <vt:variant>
        <vt:i4>0</vt:i4>
      </vt:variant>
      <vt:variant>
        <vt:i4>5</vt:i4>
      </vt:variant>
      <vt:variant>
        <vt:lpwstr>https://xgboost.readthedocs.io/en/stable/tutorials/model.html</vt:lpwstr>
      </vt:variant>
      <vt:variant>
        <vt:lpwstr/>
      </vt:variant>
      <vt:variant>
        <vt:i4>5374022</vt:i4>
      </vt:variant>
      <vt:variant>
        <vt:i4>6</vt:i4>
      </vt:variant>
      <vt:variant>
        <vt:i4>0</vt:i4>
      </vt:variant>
      <vt:variant>
        <vt:i4>5</vt:i4>
      </vt:variant>
      <vt:variant>
        <vt:lpwstr>https://xgboost.readthedocs.io/en/stable/tutorials/model.html</vt:lpwstr>
      </vt:variant>
      <vt:variant>
        <vt:lpwstr/>
      </vt:variant>
      <vt:variant>
        <vt:i4>3932222</vt:i4>
      </vt:variant>
      <vt:variant>
        <vt:i4>3</vt:i4>
      </vt:variant>
      <vt:variant>
        <vt:i4>0</vt:i4>
      </vt:variant>
      <vt:variant>
        <vt:i4>5</vt:i4>
      </vt:variant>
      <vt:variant>
        <vt:lpwstr>https://www.abs.gov.au/statistics/statistical-geography/australian-statistical-geography-standard-asgs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Occupation Shortage List Methodology</dc:title>
  <dc:subject/>
  <dc:creator>Jobs and Skills Australia</dc:creator>
  <cp:keywords/>
  <dc:description/>
  <cp:lastModifiedBy>Roy Soliman</cp:lastModifiedBy>
  <cp:revision>2272</cp:revision>
  <cp:lastPrinted>2025-10-15T02:03:00Z</cp:lastPrinted>
  <dcterms:created xsi:type="dcterms:W3CDTF">2025-08-30T05:24:00Z</dcterms:created>
  <dcterms:modified xsi:type="dcterms:W3CDTF">2025-10-15T02:04:00Z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y fmtid="{D5CDD505-2E9C-101B-9397-08002B2CF9AE}" pid="11" name="docLang">
    <vt:lpwstr>en</vt:lpwstr>
  </property>
</Properties>
</file>