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552B4" w14:textId="5BB69EBB" w:rsidR="00665863" w:rsidRDefault="00665863" w:rsidP="00B11937">
      <w:pPr>
        <w:rPr>
          <w:noProof/>
        </w:rPr>
      </w:pPr>
      <w:bookmarkStart w:id="0" w:name="_Hlk205565405"/>
      <w:bookmarkStart w:id="1" w:name="_Toc118443202"/>
      <w:bookmarkStart w:id="2" w:name="_Toc119418020"/>
      <w:bookmarkEnd w:id="0"/>
    </w:p>
    <w:p w14:paraId="01804EBB" w14:textId="5F4EEA09" w:rsidR="00665863" w:rsidRDefault="00665863" w:rsidP="00B11937">
      <w:pPr>
        <w:rPr>
          <w:noProof/>
        </w:rPr>
      </w:pPr>
    </w:p>
    <w:p w14:paraId="4BCC52F1" w14:textId="3FC9C460" w:rsidR="003E0B70" w:rsidRPr="00B11937" w:rsidRDefault="00093F7D" w:rsidP="00B11937">
      <w:r>
        <w:rPr>
          <w:noProof/>
        </w:rPr>
        <w:drawing>
          <wp:anchor distT="0" distB="0" distL="114300" distR="114300" simplePos="0" relativeHeight="251637760" behindDoc="0" locked="0" layoutInCell="1" allowOverlap="1" wp14:anchorId="0CBAD37C" wp14:editId="621E7C2B">
            <wp:simplePos x="0" y="0"/>
            <wp:positionH relativeFrom="page">
              <wp:align>right</wp:align>
            </wp:positionH>
            <wp:positionV relativeFrom="paragraph">
              <wp:posOffset>-1348740</wp:posOffset>
            </wp:positionV>
            <wp:extent cx="7550596" cy="1624330"/>
            <wp:effectExtent l="0" t="0" r="0" b="0"/>
            <wp:wrapNone/>
            <wp:docPr id="709284876"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284876" name="Graphic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550596" cy="1624330"/>
                    </a:xfrm>
                    <a:prstGeom prst="rect">
                      <a:avLst/>
                    </a:prstGeom>
                  </pic:spPr>
                </pic:pic>
              </a:graphicData>
            </a:graphic>
            <wp14:sizeRelH relativeFrom="page">
              <wp14:pctWidth>0</wp14:pctWidth>
            </wp14:sizeRelH>
            <wp14:sizeRelV relativeFrom="page">
              <wp14:pctHeight>0</wp14:pctHeight>
            </wp14:sizeRelV>
          </wp:anchor>
        </w:drawing>
      </w:r>
    </w:p>
    <w:p w14:paraId="65CE7F50" w14:textId="002B231E" w:rsidR="004F2369" w:rsidRDefault="00220F11" w:rsidP="00665863">
      <w:pPr>
        <w:pStyle w:val="Heading1"/>
        <w:keepNext w:val="0"/>
      </w:pPr>
      <w:sdt>
        <w:sdtPr>
          <w:alias w:val="Title"/>
          <w:tag w:val=""/>
          <w:id w:val="1539707718"/>
          <w:placeholder>
            <w:docPart w:val="62C445EDE30F41718968622BBF37206F"/>
          </w:placeholder>
          <w:dataBinding w:prefixMappings="xmlns:ns0='http://purl.org/dc/elements/1.1/' xmlns:ns1='http://schemas.openxmlformats.org/package/2006/metadata/core-properties' " w:xpath="/ns1:coreProperties[1]/ns0:title[1]" w:storeItemID="{6C3C8BC8-F283-45AE-878A-BAB7291924A1}"/>
          <w:text/>
        </w:sdtPr>
        <w:sdtEndPr/>
        <w:sdtContent>
          <w:r w:rsidR="00F367BE">
            <w:t>RLMI Re</w:t>
          </w:r>
          <w:r w:rsidR="00FA030B">
            <w:t>sults</w:t>
          </w:r>
          <w:r w:rsidR="00E531E7">
            <w:t xml:space="preserve"> – </w:t>
          </w:r>
          <w:r w:rsidR="00904962">
            <w:t>June</w:t>
          </w:r>
          <w:r w:rsidR="005240E7">
            <w:t xml:space="preserve"> 2025</w:t>
          </w:r>
        </w:sdtContent>
      </w:sdt>
    </w:p>
    <w:p w14:paraId="24281DA5" w14:textId="4858B735" w:rsidR="00DC6534" w:rsidRDefault="00DE597E" w:rsidP="00665863">
      <w:pPr>
        <w:pStyle w:val="Heading2"/>
        <w:keepNext w:val="0"/>
      </w:pPr>
      <w:r>
        <w:t>Key Findings</w:t>
      </w:r>
    </w:p>
    <w:p w14:paraId="1F68669A" w14:textId="5FC811A6" w:rsidR="005F0409" w:rsidRDefault="00523A10" w:rsidP="00CC32B2">
      <w:pPr>
        <w:pStyle w:val="ListParagraph"/>
        <w:numPr>
          <w:ilvl w:val="0"/>
          <w:numId w:val="35"/>
        </w:numPr>
      </w:pPr>
      <w:r>
        <w:t>R</w:t>
      </w:r>
      <w:r w:rsidR="00CF49DF" w:rsidRPr="000C2A53">
        <w:t xml:space="preserve">egional and remote areas </w:t>
      </w:r>
      <w:r w:rsidR="002F36BC">
        <w:t>continue to be</w:t>
      </w:r>
      <w:r w:rsidR="002F36BC" w:rsidRPr="000C2A53">
        <w:t xml:space="preserve"> </w:t>
      </w:r>
      <w:r w:rsidR="00CF49DF" w:rsidRPr="000C2A53">
        <w:t xml:space="preserve">more likely to experience </w:t>
      </w:r>
      <w:r w:rsidR="00755ADC">
        <w:t xml:space="preserve">relatively </w:t>
      </w:r>
      <w:r w:rsidR="00CF49DF" w:rsidRPr="000C2A53">
        <w:t xml:space="preserve">weaker labour market conditions than their </w:t>
      </w:r>
      <w:r w:rsidR="009564A5" w:rsidRPr="000C2A53">
        <w:t>major</w:t>
      </w:r>
      <w:r w:rsidR="00CF49DF" w:rsidRPr="000C2A53">
        <w:t xml:space="preserve"> city counterparts. </w:t>
      </w:r>
    </w:p>
    <w:p w14:paraId="4EC64F60" w14:textId="38144D62" w:rsidR="005F0409" w:rsidRDefault="003E717A" w:rsidP="009564A5">
      <w:pPr>
        <w:pStyle w:val="ListParagraph"/>
        <w:numPr>
          <w:ilvl w:val="0"/>
          <w:numId w:val="35"/>
        </w:numPr>
      </w:pPr>
      <w:r w:rsidRPr="000C2A53">
        <w:t>With that said, the</w:t>
      </w:r>
      <w:r w:rsidR="00581780">
        <w:t xml:space="preserve"> June</w:t>
      </w:r>
      <w:r w:rsidR="005240E7" w:rsidRPr="000C2A53">
        <w:t xml:space="preserve"> 2025</w:t>
      </w:r>
      <w:r w:rsidRPr="000C2A53">
        <w:t xml:space="preserve"> </w:t>
      </w:r>
      <w:r w:rsidR="00B16D43" w:rsidRPr="000C2A53">
        <w:t>Regional Labour Market Indicator (</w:t>
      </w:r>
      <w:r w:rsidRPr="000C2A53">
        <w:t>RLMI</w:t>
      </w:r>
      <w:r w:rsidR="00B16D43" w:rsidRPr="000C2A53">
        <w:t>)</w:t>
      </w:r>
      <w:r w:rsidRPr="000C2A53">
        <w:t xml:space="preserve"> results </w:t>
      </w:r>
      <w:r w:rsidR="005D78A7">
        <w:t xml:space="preserve">highlight </w:t>
      </w:r>
      <w:r w:rsidR="002F36BC">
        <w:t>some</w:t>
      </w:r>
      <w:r w:rsidR="00941773">
        <w:t xml:space="preserve"> current</w:t>
      </w:r>
      <w:r w:rsidR="002F36BC">
        <w:t xml:space="preserve"> </w:t>
      </w:r>
      <w:r w:rsidR="00581780">
        <w:t xml:space="preserve">areas </w:t>
      </w:r>
      <w:r w:rsidR="00581780">
        <w:t xml:space="preserve">of considerable labour market strength in parts of regional Australia, including in </w:t>
      </w:r>
      <w:r w:rsidR="005F0409">
        <w:t xml:space="preserve">regional </w:t>
      </w:r>
      <w:r w:rsidR="005863D9">
        <w:t>Queensland</w:t>
      </w:r>
      <w:r w:rsidR="0053485E">
        <w:t xml:space="preserve"> and southern regional N</w:t>
      </w:r>
      <w:r w:rsidR="005D743E">
        <w:t>ew South Wales</w:t>
      </w:r>
      <w:r w:rsidR="005863D9">
        <w:t xml:space="preserve">. </w:t>
      </w:r>
    </w:p>
    <w:p w14:paraId="53A8D2DB" w14:textId="23EC9ADC" w:rsidR="005F0409" w:rsidRDefault="005F0409" w:rsidP="00CC32B2">
      <w:pPr>
        <w:pStyle w:val="ListParagraph"/>
        <w:numPr>
          <w:ilvl w:val="0"/>
          <w:numId w:val="35"/>
        </w:numPr>
      </w:pPr>
      <w:r>
        <w:t>All six remote regions</w:t>
      </w:r>
      <w:r w:rsidR="00F064E5">
        <w:t xml:space="preserve"> covered in the JSA RLMI</w:t>
      </w:r>
      <w:r>
        <w:t xml:space="preserve"> continue to be rated as either ‘below average’ or ‘poor’, reflecting </w:t>
      </w:r>
      <w:r w:rsidR="00941773">
        <w:t xml:space="preserve">more </w:t>
      </w:r>
      <w:r w:rsidR="005D743E">
        <w:t>pronounced</w:t>
      </w:r>
      <w:r>
        <w:t xml:space="preserve"> labour market challenges</w:t>
      </w:r>
      <w:r w:rsidR="00F064E5">
        <w:t xml:space="preserve"> experien</w:t>
      </w:r>
      <w:r w:rsidR="00927604">
        <w:t>ce</w:t>
      </w:r>
      <w:r w:rsidR="00F064E5">
        <w:t>d</w:t>
      </w:r>
      <w:r>
        <w:t xml:space="preserve"> in remote areas.</w:t>
      </w:r>
    </w:p>
    <w:tbl>
      <w:tblPr>
        <w:tblStyle w:val="CustomTablepulloutbox"/>
        <w:tblW w:w="0" w:type="auto"/>
        <w:tblLook w:val="04A0" w:firstRow="1" w:lastRow="0" w:firstColumn="1" w:lastColumn="0" w:noHBand="0" w:noVBand="1"/>
      </w:tblPr>
      <w:tblGrid>
        <w:gridCol w:w="8996"/>
      </w:tblGrid>
      <w:tr w:rsidR="007E2E53" w14:paraId="5F78B64C" w14:textId="77777777" w:rsidTr="005B1C80">
        <w:tc>
          <w:tcPr>
            <w:tcW w:w="8997" w:type="dxa"/>
          </w:tcPr>
          <w:p w14:paraId="29219218" w14:textId="6C461068" w:rsidR="007E2E53" w:rsidRPr="001E6F4E" w:rsidRDefault="009A36DF" w:rsidP="005B1C80">
            <w:pPr>
              <w:pStyle w:val="BoxHeading"/>
            </w:pPr>
            <w:r>
              <w:t xml:space="preserve">Update to methodology: Inclusion of </w:t>
            </w:r>
            <w:r w:rsidR="007E2E53">
              <w:t>ABS Modelled Estimates</w:t>
            </w:r>
          </w:p>
          <w:p w14:paraId="07EE63D6" w14:textId="29821AAD" w:rsidR="007E2E53" w:rsidRPr="00702267" w:rsidRDefault="007E2E53" w:rsidP="005B1C80">
            <w:pPr>
              <w:pStyle w:val="BodyText"/>
              <w:rPr>
                <w:sz w:val="22"/>
                <w:szCs w:val="22"/>
              </w:rPr>
            </w:pPr>
            <w:r w:rsidRPr="007E2E53">
              <w:rPr>
                <w:sz w:val="22"/>
                <w:szCs w:val="22"/>
              </w:rPr>
              <w:t>In June 2025, the ABS modelled estimates of employment rates (working age) were incorporated into the RLMI model</w:t>
            </w:r>
            <w:r w:rsidR="005F3A9E">
              <w:rPr>
                <w:sz w:val="22"/>
                <w:szCs w:val="22"/>
              </w:rPr>
              <w:t>,</w:t>
            </w:r>
            <w:r w:rsidRPr="007E2E53">
              <w:rPr>
                <w:sz w:val="22"/>
                <w:szCs w:val="22"/>
              </w:rPr>
              <w:t xml:space="preserve"> replacing the ABS direct survey unemployment rate estimates that were previously used. The modelled estimates are more stable and reliable than the direct survey estimates.</w:t>
            </w:r>
            <w:r w:rsidR="00790EA4">
              <w:rPr>
                <w:rStyle w:val="FootnoteReference"/>
                <w:sz w:val="22"/>
                <w:szCs w:val="22"/>
              </w:rPr>
              <w:footnoteReference w:id="2"/>
            </w:r>
          </w:p>
        </w:tc>
      </w:tr>
    </w:tbl>
    <w:p w14:paraId="05D074E8" w14:textId="77777777" w:rsidR="007E2E53" w:rsidRDefault="007E2E53" w:rsidP="009564A5"/>
    <w:p w14:paraId="329F06EE" w14:textId="77777777" w:rsidR="00CC68E9" w:rsidRPr="00A070B7" w:rsidRDefault="00CC68E9" w:rsidP="00CC68E9">
      <w:pPr>
        <w:pStyle w:val="Heading3"/>
        <w:keepNext w:val="0"/>
        <w:keepLines w:val="0"/>
      </w:pPr>
      <w:r>
        <w:t>Labour market challenges are more pronounced in many regional areas</w:t>
      </w:r>
    </w:p>
    <w:p w14:paraId="68BF35B5" w14:textId="6174242B" w:rsidR="00897E41" w:rsidRDefault="00CD452F" w:rsidP="004302C6">
      <w:pPr>
        <w:pStyle w:val="Bodycopy"/>
      </w:pPr>
      <w:r>
        <w:t xml:space="preserve">The </w:t>
      </w:r>
      <w:r w:rsidR="00AA311A">
        <w:t>June</w:t>
      </w:r>
      <w:r w:rsidR="005240E7">
        <w:t xml:space="preserve"> 2025</w:t>
      </w:r>
      <w:r>
        <w:t xml:space="preserve"> RLMI results </w:t>
      </w:r>
      <w:r w:rsidR="00036C69">
        <w:t xml:space="preserve">continue to show </w:t>
      </w:r>
      <w:r>
        <w:t xml:space="preserve">that regional and remote </w:t>
      </w:r>
      <w:r w:rsidR="007D3239">
        <w:t xml:space="preserve">areas </w:t>
      </w:r>
      <w:r>
        <w:t xml:space="preserve">are more likely to experience weaker labour market conditions than their </w:t>
      </w:r>
      <w:r w:rsidR="00EB66A5">
        <w:t>major</w:t>
      </w:r>
      <w:r>
        <w:t xml:space="preserve"> city counterparts, highlight</w:t>
      </w:r>
      <w:r w:rsidR="00B15249">
        <w:t>ing</w:t>
      </w:r>
      <w:r>
        <w:t xml:space="preserve"> the additional challenges face</w:t>
      </w:r>
      <w:r w:rsidR="007D3239">
        <w:t>d</w:t>
      </w:r>
      <w:r>
        <w:t xml:space="preserve"> in many region</w:t>
      </w:r>
      <w:r w:rsidR="007D3239">
        <w:t>al</w:t>
      </w:r>
      <w:r>
        <w:t xml:space="preserve"> areas by both employers and jobseekers (see Chart </w:t>
      </w:r>
      <w:r w:rsidR="0033423B">
        <w:t>1</w:t>
      </w:r>
      <w:r w:rsidR="00FD3BD4">
        <w:t>, below</w:t>
      </w:r>
      <w:r>
        <w:t xml:space="preserve">). </w:t>
      </w:r>
    </w:p>
    <w:p w14:paraId="55856B84" w14:textId="166F2837" w:rsidR="005D78A7" w:rsidRDefault="004923E9" w:rsidP="00D2244E">
      <w:pPr>
        <w:pStyle w:val="Bodycopy"/>
        <w:numPr>
          <w:ilvl w:val="0"/>
          <w:numId w:val="31"/>
        </w:numPr>
      </w:pPr>
      <w:r>
        <w:t>Around</w:t>
      </w:r>
      <w:r w:rsidR="00D2244E">
        <w:t xml:space="preserve"> half of the SA4’s (1</w:t>
      </w:r>
      <w:r w:rsidR="00AA311A">
        <w:t>3</w:t>
      </w:r>
      <w:r w:rsidR="00D2244E">
        <w:t xml:space="preserve"> out of 2</w:t>
      </w:r>
      <w:r w:rsidR="007E5F2E">
        <w:t>8</w:t>
      </w:r>
      <w:r w:rsidR="00D2244E">
        <w:t xml:space="preserve">) located in regional areas were rated either ‘below average’ or ‘poor’ in </w:t>
      </w:r>
      <w:r w:rsidR="00581780">
        <w:t>June</w:t>
      </w:r>
      <w:r w:rsidR="00DF46C2">
        <w:t xml:space="preserve"> 2025, while </w:t>
      </w:r>
      <w:r w:rsidR="00D2244E">
        <w:t xml:space="preserve">all </w:t>
      </w:r>
      <w:r w:rsidR="00AA311A">
        <w:t>six</w:t>
      </w:r>
      <w:r w:rsidR="00D2244E">
        <w:t xml:space="preserve"> (or 100%) remote areas were rated either ‘below average’ or ‘poor’</w:t>
      </w:r>
      <w:r w:rsidR="00DF46C2">
        <w:t xml:space="preserve">. </w:t>
      </w:r>
    </w:p>
    <w:p w14:paraId="70702A80" w14:textId="780D5C5A" w:rsidR="00D2244E" w:rsidRDefault="005D78A7" w:rsidP="00D2244E">
      <w:pPr>
        <w:pStyle w:val="Bodycopy"/>
        <w:numPr>
          <w:ilvl w:val="0"/>
          <w:numId w:val="31"/>
        </w:numPr>
      </w:pPr>
      <w:r>
        <w:t>A</w:t>
      </w:r>
      <w:r w:rsidR="00DF46C2">
        <w:t>lmost two-thirds of the SA4’s (2</w:t>
      </w:r>
      <w:r w:rsidR="006E4BED">
        <w:t>8</w:t>
      </w:r>
      <w:r w:rsidR="00DF46C2">
        <w:t xml:space="preserve"> out of 44) located in major city areas were rated either ‘strong’ or ‘above average’ in </w:t>
      </w:r>
      <w:r w:rsidR="00581780">
        <w:t>June</w:t>
      </w:r>
      <w:r w:rsidR="00DF46C2">
        <w:t xml:space="preserve"> 2025. </w:t>
      </w:r>
    </w:p>
    <w:p w14:paraId="7004A699" w14:textId="7DB179CA" w:rsidR="00324789" w:rsidRPr="00400336" w:rsidRDefault="00324789" w:rsidP="007E2E53">
      <w:pPr>
        <w:pStyle w:val="Caption"/>
        <w:spacing w:before="0" w:after="0"/>
        <w:rPr>
          <w:sz w:val="20"/>
          <w:szCs w:val="20"/>
        </w:rPr>
      </w:pPr>
      <w:r w:rsidRPr="004923E9">
        <w:rPr>
          <w:sz w:val="20"/>
          <w:szCs w:val="20"/>
        </w:rPr>
        <w:lastRenderedPageBreak/>
        <w:t xml:space="preserve">Chart 1: RLMI ratings of relative labour market performance, </w:t>
      </w:r>
      <w:r w:rsidR="00904962">
        <w:rPr>
          <w:sz w:val="20"/>
          <w:szCs w:val="20"/>
        </w:rPr>
        <w:t>June</w:t>
      </w:r>
      <w:r w:rsidR="00AA0260" w:rsidRPr="004923E9">
        <w:rPr>
          <w:sz w:val="20"/>
          <w:szCs w:val="20"/>
        </w:rPr>
        <w:t xml:space="preserve"> 2025</w:t>
      </w:r>
    </w:p>
    <w:p w14:paraId="723B9831" w14:textId="7635DF4F" w:rsidR="00400336" w:rsidRPr="00324789" w:rsidRDefault="00400336" w:rsidP="007E2E53">
      <w:pPr>
        <w:keepNext/>
        <w:spacing w:after="0"/>
        <w:jc w:val="center"/>
      </w:pPr>
      <w:r w:rsidRPr="00400336">
        <w:rPr>
          <w:noProof/>
        </w:rPr>
        <w:drawing>
          <wp:inline distT="0" distB="0" distL="0" distR="0" wp14:anchorId="0BC4D556" wp14:editId="79D9B66E">
            <wp:extent cx="3756662" cy="3479470"/>
            <wp:effectExtent l="0" t="0" r="0" b="6985"/>
            <wp:docPr id="1329459933" name="Picture 1" descr="A map of Australia displaying the RLMI ratings of labour market performance (strong, above average, average, below average, poor) by SA4. The map shows that regional and remote regions are more likely to experience weaker labour market conditions than major city are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459933" name="Picture 1" descr="A map of Australia displaying the RLMI ratings of labour market performance (strong, above average, average, below average, poor) by SA4. The map shows that regional and remote regions are more likely to experience weaker labour market conditions than major city areas. "/>
                    <pic:cNvPicPr/>
                  </pic:nvPicPr>
                  <pic:blipFill>
                    <a:blip r:embed="rId13"/>
                    <a:stretch>
                      <a:fillRect/>
                    </a:stretch>
                  </pic:blipFill>
                  <pic:spPr>
                    <a:xfrm>
                      <a:off x="0" y="0"/>
                      <a:ext cx="3800654" cy="3520216"/>
                    </a:xfrm>
                    <a:prstGeom prst="rect">
                      <a:avLst/>
                    </a:prstGeom>
                  </pic:spPr>
                </pic:pic>
              </a:graphicData>
            </a:graphic>
          </wp:inline>
        </w:drawing>
      </w:r>
    </w:p>
    <w:p w14:paraId="0AAE604E" w14:textId="5F3B2DDD" w:rsidR="00324789" w:rsidRDefault="00324789" w:rsidP="007E2E53">
      <w:pPr>
        <w:pStyle w:val="Source"/>
        <w:keepNext/>
        <w:spacing w:before="0" w:after="0"/>
      </w:pPr>
      <w:r>
        <w:t xml:space="preserve">Source: JSA, </w:t>
      </w:r>
      <w:r w:rsidRPr="007D069F">
        <w:rPr>
          <w:i/>
          <w:iCs/>
        </w:rPr>
        <w:t>Regional Labour Market Indicator (RLMI)</w:t>
      </w:r>
      <w:r>
        <w:t xml:space="preserve">, </w:t>
      </w:r>
      <w:r w:rsidR="00904962">
        <w:t>June</w:t>
      </w:r>
      <w:r w:rsidR="005240E7">
        <w:t xml:space="preserve"> 2025</w:t>
      </w:r>
    </w:p>
    <w:p w14:paraId="35A814D0" w14:textId="68305047" w:rsidR="00A17299" w:rsidRPr="004923E9" w:rsidRDefault="00A17299" w:rsidP="00A17299">
      <w:pPr>
        <w:pStyle w:val="Caption"/>
        <w:keepNext w:val="0"/>
        <w:rPr>
          <w:sz w:val="20"/>
          <w:szCs w:val="20"/>
        </w:rPr>
      </w:pPr>
      <w:r w:rsidRPr="004923E9">
        <w:rPr>
          <w:sz w:val="20"/>
          <w:szCs w:val="20"/>
        </w:rPr>
        <w:t xml:space="preserve">Chart 2: RLMI ratings of relative labour market performance, by selected Capital Cities, </w:t>
      </w:r>
      <w:r w:rsidR="00215C7C">
        <w:rPr>
          <w:sz w:val="20"/>
          <w:szCs w:val="20"/>
        </w:rPr>
        <w:t>June</w:t>
      </w:r>
      <w:r w:rsidRPr="004923E9">
        <w:rPr>
          <w:sz w:val="20"/>
          <w:szCs w:val="20"/>
        </w:rPr>
        <w:t xml:space="preserve"> 2025</w:t>
      </w:r>
    </w:p>
    <w:p w14:paraId="47FA1234" w14:textId="23449178" w:rsidR="003F013C" w:rsidRPr="003F013C" w:rsidRDefault="00215C7C" w:rsidP="005D78A7">
      <w:pPr>
        <w:jc w:val="center"/>
      </w:pPr>
      <w:r w:rsidRPr="00215C7C">
        <w:rPr>
          <w:noProof/>
        </w:rPr>
        <w:drawing>
          <wp:inline distT="0" distB="0" distL="0" distR="0" wp14:anchorId="188D78EB" wp14:editId="439647FA">
            <wp:extent cx="5557652" cy="4614957"/>
            <wp:effectExtent l="0" t="0" r="5080" b="0"/>
            <wp:docPr id="971651382" name="Picture 1" descr="A map of Australia's major cities displaying the RLMI ratings of labour market performance (strong, above average, average, below average, poor) by SA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651382" name="Picture 1" descr="A map of Australia's major cities displaying the RLMI ratings of labour market performance (strong, above average, average, below average, poor) by SA4. "/>
                    <pic:cNvPicPr/>
                  </pic:nvPicPr>
                  <pic:blipFill>
                    <a:blip r:embed="rId14"/>
                    <a:stretch>
                      <a:fillRect/>
                    </a:stretch>
                  </pic:blipFill>
                  <pic:spPr>
                    <a:xfrm>
                      <a:off x="0" y="0"/>
                      <a:ext cx="5563426" cy="4619751"/>
                    </a:xfrm>
                    <a:prstGeom prst="rect">
                      <a:avLst/>
                    </a:prstGeom>
                  </pic:spPr>
                </pic:pic>
              </a:graphicData>
            </a:graphic>
          </wp:inline>
        </w:drawing>
      </w:r>
    </w:p>
    <w:p w14:paraId="0688AD7D" w14:textId="77777777" w:rsidR="00A17299" w:rsidRDefault="00A17299" w:rsidP="00806934">
      <w:pPr>
        <w:pStyle w:val="Heading3"/>
        <w:keepLines w:val="0"/>
        <w:sectPr w:rsidR="00A17299" w:rsidSect="00A17299">
          <w:footerReference w:type="default" r:id="rId15"/>
          <w:footerReference w:type="first" r:id="rId16"/>
          <w:type w:val="continuous"/>
          <w:pgSz w:w="11906" w:h="16838"/>
          <w:pgMar w:top="993" w:right="1440" w:bottom="1134" w:left="1440" w:header="0" w:footer="539" w:gutter="0"/>
          <w:cols w:space="708"/>
          <w:titlePg/>
          <w:docGrid w:linePitch="360"/>
        </w:sectPr>
      </w:pPr>
    </w:p>
    <w:p w14:paraId="0745A1A6" w14:textId="487656F7" w:rsidR="00215C7C" w:rsidRDefault="00215C7C" w:rsidP="00215C7C">
      <w:pPr>
        <w:pStyle w:val="Source"/>
        <w:spacing w:before="0" w:after="0"/>
      </w:pPr>
      <w:r>
        <w:t xml:space="preserve">Source: JSA, </w:t>
      </w:r>
      <w:r w:rsidRPr="007D069F">
        <w:rPr>
          <w:i/>
          <w:iCs/>
        </w:rPr>
        <w:t>Regional Labour Market Indicator (RLMI)</w:t>
      </w:r>
      <w:r>
        <w:t>, June 2025</w:t>
      </w:r>
    </w:p>
    <w:p w14:paraId="40106F4E" w14:textId="77777777" w:rsidR="002A23A7" w:rsidRDefault="002A23A7" w:rsidP="002A23A7">
      <w:pPr>
        <w:pStyle w:val="Heading3"/>
        <w:keepLines w:val="0"/>
      </w:pPr>
      <w:r>
        <w:lastRenderedPageBreak/>
        <w:t>Recent trends in regional labour market performance</w:t>
      </w:r>
    </w:p>
    <w:p w14:paraId="518AD741" w14:textId="0B234E1B" w:rsidR="002A23A7" w:rsidRDefault="002A23A7" w:rsidP="002A23A7">
      <w:r>
        <w:t xml:space="preserve">Although labour market challenges are typically more pronounced in many regional and remote areas, the latest RLMI results help to highlight </w:t>
      </w:r>
      <w:r w:rsidR="001F5927">
        <w:t xml:space="preserve">some </w:t>
      </w:r>
      <w:r w:rsidR="002F1B75">
        <w:t xml:space="preserve">current </w:t>
      </w:r>
      <w:r>
        <w:t xml:space="preserve">areas of considerable labour market strength in parts of regional Australia. </w:t>
      </w:r>
    </w:p>
    <w:p w14:paraId="325B7AFF" w14:textId="6E8D676E" w:rsidR="00E83FAD" w:rsidRPr="00AC0C2F" w:rsidRDefault="002A23A7" w:rsidP="00AC0C2F">
      <w:pPr>
        <w:pStyle w:val="Heading5"/>
        <w:rPr>
          <w:color w:val="auto"/>
          <w:sz w:val="22"/>
          <w:szCs w:val="22"/>
        </w:rPr>
      </w:pPr>
      <w:r>
        <w:rPr>
          <w:sz w:val="24"/>
          <w:szCs w:val="24"/>
        </w:rPr>
        <w:t xml:space="preserve">Spotlight: </w:t>
      </w:r>
      <w:r w:rsidR="00AB27A1">
        <w:rPr>
          <w:sz w:val="24"/>
          <w:szCs w:val="24"/>
        </w:rPr>
        <w:t>Regional areas surrounding Greater Brisbane</w:t>
      </w:r>
      <w:r w:rsidRPr="00D02BA0">
        <w:rPr>
          <w:rStyle w:val="FootnoteReference"/>
          <w:rFonts w:asciiTheme="majorHAnsi" w:hAnsiTheme="majorHAnsi" w:cstheme="majorHAnsi"/>
          <w:sz w:val="22"/>
          <w:szCs w:val="22"/>
        </w:rPr>
        <w:footnoteReference w:id="3"/>
      </w:r>
      <w:r w:rsidR="00F8542C">
        <w:rPr>
          <w:sz w:val="24"/>
          <w:szCs w:val="24"/>
        </w:rPr>
        <w:br/>
      </w:r>
      <w:r w:rsidR="00F8542C">
        <w:rPr>
          <w:color w:val="auto"/>
          <w:sz w:val="22"/>
          <w:szCs w:val="22"/>
        </w:rPr>
        <w:t>One example of strong labour market conditions in regional Australia is in the cluster of region</w:t>
      </w:r>
      <w:r w:rsidR="00AB27A1">
        <w:rPr>
          <w:color w:val="auto"/>
          <w:sz w:val="22"/>
          <w:szCs w:val="22"/>
        </w:rPr>
        <w:t>al areas</w:t>
      </w:r>
      <w:r w:rsidR="00F8542C">
        <w:rPr>
          <w:color w:val="auto"/>
          <w:sz w:val="22"/>
          <w:szCs w:val="22"/>
        </w:rPr>
        <w:t xml:space="preserve"> that surround Greater </w:t>
      </w:r>
      <w:r w:rsidR="00F8542C">
        <w:rPr>
          <w:color w:val="auto"/>
          <w:sz w:val="22"/>
          <w:szCs w:val="22"/>
        </w:rPr>
        <w:t xml:space="preserve">Brisbane. </w:t>
      </w:r>
      <w:r w:rsidR="00E46597">
        <w:rPr>
          <w:color w:val="auto"/>
          <w:sz w:val="22"/>
          <w:szCs w:val="22"/>
        </w:rPr>
        <w:t>T</w:t>
      </w:r>
      <w:r w:rsidR="00AB27A1">
        <w:rPr>
          <w:color w:val="auto"/>
          <w:sz w:val="22"/>
          <w:szCs w:val="22"/>
        </w:rPr>
        <w:t>he regional areas surrounding Greater Brisbane cover</w:t>
      </w:r>
      <w:r w:rsidR="00B15DF5">
        <w:rPr>
          <w:color w:val="auto"/>
          <w:sz w:val="22"/>
          <w:szCs w:val="22"/>
        </w:rPr>
        <w:t xml:space="preserve"> a vast area and make a substantial contribution </w:t>
      </w:r>
      <w:r w:rsidR="00B15DF5">
        <w:rPr>
          <w:color w:val="auto"/>
          <w:sz w:val="22"/>
          <w:szCs w:val="22"/>
        </w:rPr>
        <w:t xml:space="preserve">to the </w:t>
      </w:r>
      <w:r w:rsidR="005818E7">
        <w:rPr>
          <w:color w:val="auto"/>
          <w:sz w:val="22"/>
          <w:szCs w:val="22"/>
        </w:rPr>
        <w:t>social</w:t>
      </w:r>
      <w:r w:rsidR="00B15DF5">
        <w:rPr>
          <w:color w:val="auto"/>
          <w:sz w:val="22"/>
          <w:szCs w:val="22"/>
        </w:rPr>
        <w:t xml:space="preserve"> and </w:t>
      </w:r>
      <w:r w:rsidR="005818E7">
        <w:rPr>
          <w:color w:val="auto"/>
          <w:sz w:val="22"/>
          <w:szCs w:val="22"/>
        </w:rPr>
        <w:t xml:space="preserve">economic </w:t>
      </w:r>
      <w:r w:rsidR="00B15DF5">
        <w:rPr>
          <w:color w:val="auto"/>
          <w:sz w:val="22"/>
          <w:szCs w:val="22"/>
        </w:rPr>
        <w:t xml:space="preserve">wellbeing of Australia through key sectors such as agriculture, mining, construction, manufacturing, health care and transport. </w:t>
      </w:r>
    </w:p>
    <w:p w14:paraId="3C78752A" w14:textId="7314EFB5" w:rsidR="005818E7" w:rsidRPr="00E83FAD" w:rsidRDefault="005818E7" w:rsidP="00AC0C2F">
      <w:pPr>
        <w:spacing w:before="100"/>
      </w:pPr>
      <w:r>
        <w:t xml:space="preserve">The latest RLMI results show that labour market conditions have improved in the region over the last year. </w:t>
      </w:r>
    </w:p>
    <w:p w14:paraId="76EAD1E0" w14:textId="0478778F" w:rsidR="005818E7" w:rsidRDefault="005818E7" w:rsidP="005818E7">
      <w:pPr>
        <w:pStyle w:val="ListParagraph"/>
        <w:numPr>
          <w:ilvl w:val="0"/>
          <w:numId w:val="33"/>
        </w:numPr>
        <w:ind w:left="714" w:hanging="357"/>
        <w:contextualSpacing w:val="0"/>
      </w:pPr>
      <w:r>
        <w:t xml:space="preserve">For instance, labour market conditions in the Central Queensland and Darling Downs – Maranoa SA4 regions were rated ‘above average’ in June 2025, up from their rating of ‘average’ a year ago (see Chart 3, below). </w:t>
      </w:r>
    </w:p>
    <w:p w14:paraId="5670C33C" w14:textId="12E940CA" w:rsidR="002A23A7" w:rsidRPr="005818E7" w:rsidRDefault="005818E7" w:rsidP="002A23A7">
      <w:pPr>
        <w:pStyle w:val="ListParagraph"/>
        <w:numPr>
          <w:ilvl w:val="0"/>
          <w:numId w:val="33"/>
        </w:numPr>
        <w:ind w:left="714" w:hanging="357"/>
        <w:contextualSpacing w:val="0"/>
      </w:pPr>
      <w:r>
        <w:t xml:space="preserve">Furthermore, labour market conditions were rated ‘average’ in Toowoomba and the Richmond – Tweed SA4 regions in June 2025, </w:t>
      </w:r>
      <w:r w:rsidR="00A3639C">
        <w:t xml:space="preserve">improving </w:t>
      </w:r>
      <w:r>
        <w:t xml:space="preserve">from their rating of ‘below average’ 12-months prior. </w:t>
      </w:r>
    </w:p>
    <w:p w14:paraId="75816779" w14:textId="6135D614" w:rsidR="002A23A7" w:rsidRPr="00D10B90" w:rsidRDefault="00493EE9" w:rsidP="002A23A7">
      <w:pPr>
        <w:keepNext/>
        <w:rPr>
          <w:b/>
          <w:bCs/>
          <w:sz w:val="18"/>
          <w:szCs w:val="18"/>
        </w:rPr>
      </w:pPr>
      <w:r w:rsidRPr="00493EE9">
        <w:rPr>
          <w:b/>
          <w:bCs/>
          <w:sz w:val="20"/>
          <w:szCs w:val="20"/>
        </w:rPr>
        <w:t>C</w:t>
      </w:r>
      <w:r w:rsidR="002A23A7" w:rsidRPr="00493EE9">
        <w:rPr>
          <w:b/>
          <w:bCs/>
          <w:sz w:val="20"/>
          <w:szCs w:val="20"/>
        </w:rPr>
        <w:t xml:space="preserve">hart 3: RLMI ratings of relative labour market performance for </w:t>
      </w:r>
      <w:r w:rsidR="00105C9C">
        <w:rPr>
          <w:b/>
          <w:bCs/>
          <w:sz w:val="20"/>
          <w:szCs w:val="20"/>
        </w:rPr>
        <w:t>the</w:t>
      </w:r>
      <w:r w:rsidR="002A23A7" w:rsidRPr="00493EE9">
        <w:rPr>
          <w:b/>
          <w:bCs/>
          <w:sz w:val="20"/>
          <w:szCs w:val="20"/>
        </w:rPr>
        <w:t xml:space="preserve"> region</w:t>
      </w:r>
      <w:r w:rsidR="00AB27A1">
        <w:rPr>
          <w:b/>
          <w:bCs/>
          <w:sz w:val="20"/>
          <w:szCs w:val="20"/>
        </w:rPr>
        <w:t>al areas surrounding Greater Brisbane</w:t>
      </w:r>
      <w:r w:rsidRPr="00493EE9">
        <w:rPr>
          <w:b/>
          <w:bCs/>
          <w:noProof/>
          <w:sz w:val="18"/>
          <w:szCs w:val="18"/>
        </w:rPr>
        <w:drawing>
          <wp:inline distT="0" distB="0" distL="0" distR="0" wp14:anchorId="52BD1687" wp14:editId="11A80DF4">
            <wp:extent cx="5731510" cy="3477895"/>
            <wp:effectExtent l="0" t="0" r="2540" b="8255"/>
            <wp:docPr id="916693786" name="Picture 1" descr="A map of the regional areas surrounding Greater Brisbane displaying the RLMI ratings of labour market performance (strong, above average, average, below average and poor). The map shows the improvement in labour market rating in the Central Queensland, Darling Downs - Maranoa, Toowoomba and Richmond - Tweed (NSW) over the year to June 202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693786" name="Picture 1" descr="A map of the regional areas surrounding Greater Brisbane displaying the RLMI ratings of labour market performance (strong, above average, average, below average and poor). The map shows the improvement in labour market rating in the Central Queensland, Darling Downs - Maranoa, Toowoomba and Richmond - Tweed (NSW) over the year to June 2025. "/>
                    <pic:cNvPicPr/>
                  </pic:nvPicPr>
                  <pic:blipFill>
                    <a:blip r:embed="rId17"/>
                    <a:stretch>
                      <a:fillRect/>
                    </a:stretch>
                  </pic:blipFill>
                  <pic:spPr>
                    <a:xfrm>
                      <a:off x="0" y="0"/>
                      <a:ext cx="5731510" cy="3477895"/>
                    </a:xfrm>
                    <a:prstGeom prst="rect">
                      <a:avLst/>
                    </a:prstGeom>
                  </pic:spPr>
                </pic:pic>
              </a:graphicData>
            </a:graphic>
          </wp:inline>
        </w:drawing>
      </w:r>
    </w:p>
    <w:p w14:paraId="2046FD8A" w14:textId="77777777" w:rsidR="00493EE9" w:rsidRDefault="00493EE9" w:rsidP="00493EE9">
      <w:pPr>
        <w:pStyle w:val="Source"/>
        <w:spacing w:before="0" w:after="0"/>
      </w:pPr>
      <w:r>
        <w:t xml:space="preserve">Source: JSA, </w:t>
      </w:r>
      <w:r w:rsidRPr="007D069F">
        <w:rPr>
          <w:i/>
          <w:iCs/>
        </w:rPr>
        <w:t>Regional Labour Market Indicator (RLMI)</w:t>
      </w:r>
      <w:r>
        <w:t>, June 2025</w:t>
      </w:r>
    </w:p>
    <w:p w14:paraId="37ED300F" w14:textId="1BDBDEF5" w:rsidR="005818E7" w:rsidRDefault="005818E7" w:rsidP="005818E7"/>
    <w:p w14:paraId="64BE3287" w14:textId="3581A608" w:rsidR="00DF6668" w:rsidRPr="007E2E53" w:rsidRDefault="0058794E" w:rsidP="005818E7">
      <w:r>
        <w:t xml:space="preserve">Contributing to improved labour market conditions in </w:t>
      </w:r>
      <w:r w:rsidR="00AB27A1">
        <w:t>the regional areas surrounding Greater Brisbane</w:t>
      </w:r>
      <w:r>
        <w:t xml:space="preserve"> is a number of key labour market indicators which have strengthened over the last year. </w:t>
      </w:r>
    </w:p>
    <w:p w14:paraId="22FFC966" w14:textId="6B82F393" w:rsidR="0058794E" w:rsidRDefault="0058794E" w:rsidP="005818E7">
      <w:r>
        <w:rPr>
          <w:b/>
          <w:bCs/>
          <w:sz w:val="20"/>
          <w:szCs w:val="20"/>
        </w:rPr>
        <w:lastRenderedPageBreak/>
        <w:t>Table 1</w:t>
      </w:r>
      <w:r w:rsidRPr="00493EE9">
        <w:rPr>
          <w:b/>
          <w:bCs/>
          <w:sz w:val="20"/>
          <w:szCs w:val="20"/>
        </w:rPr>
        <w:t xml:space="preserve">: </w:t>
      </w:r>
      <w:r>
        <w:rPr>
          <w:b/>
          <w:bCs/>
          <w:sz w:val="20"/>
          <w:szCs w:val="20"/>
        </w:rPr>
        <w:t xml:space="preserve">Key labour market indicators for </w:t>
      </w:r>
      <w:r w:rsidR="00AB27A1">
        <w:rPr>
          <w:b/>
          <w:bCs/>
          <w:sz w:val="20"/>
          <w:szCs w:val="20"/>
        </w:rPr>
        <w:t>the regional areas surrounding Greater Brisbane</w:t>
      </w:r>
    </w:p>
    <w:tbl>
      <w:tblPr>
        <w:tblW w:w="9220" w:type="dxa"/>
        <w:tblLook w:val="04A0" w:firstRow="1" w:lastRow="0" w:firstColumn="1" w:lastColumn="0" w:noHBand="0" w:noVBand="1"/>
      </w:tblPr>
      <w:tblGrid>
        <w:gridCol w:w="4840"/>
        <w:gridCol w:w="1460"/>
        <w:gridCol w:w="1460"/>
        <w:gridCol w:w="1460"/>
      </w:tblGrid>
      <w:tr w:rsidR="0077524B" w:rsidRPr="0077524B" w14:paraId="17750FA3" w14:textId="77777777" w:rsidTr="0077524B">
        <w:trPr>
          <w:trHeight w:val="340"/>
        </w:trPr>
        <w:tc>
          <w:tcPr>
            <w:tcW w:w="4840" w:type="dxa"/>
            <w:tcBorders>
              <w:top w:val="single" w:sz="4" w:space="0" w:color="auto"/>
              <w:left w:val="single" w:sz="4" w:space="0" w:color="auto"/>
              <w:bottom w:val="single" w:sz="4" w:space="0" w:color="auto"/>
              <w:right w:val="single" w:sz="4" w:space="0" w:color="auto"/>
            </w:tcBorders>
            <w:shd w:val="clear" w:color="000000" w:fill="4B0985"/>
            <w:vAlign w:val="center"/>
            <w:hideMark/>
          </w:tcPr>
          <w:p w14:paraId="25C38924" w14:textId="77777777" w:rsidR="0077524B" w:rsidRPr="0077524B" w:rsidRDefault="0077524B" w:rsidP="0077524B">
            <w:pPr>
              <w:spacing w:after="0" w:line="240" w:lineRule="auto"/>
              <w:jc w:val="center"/>
              <w:rPr>
                <w:rFonts w:eastAsia="Times New Roman" w:cs="Arial"/>
                <w:b/>
                <w:bCs/>
                <w:color w:val="FFFFFF"/>
                <w:lang w:eastAsia="en-AU"/>
              </w:rPr>
            </w:pPr>
            <w:r w:rsidRPr="0077524B">
              <w:rPr>
                <w:rFonts w:eastAsia="Times New Roman" w:cs="Arial"/>
                <w:b/>
                <w:bCs/>
                <w:color w:val="FFFFFF"/>
                <w:lang w:eastAsia="en-AU"/>
              </w:rPr>
              <w:t> </w:t>
            </w:r>
          </w:p>
        </w:tc>
        <w:tc>
          <w:tcPr>
            <w:tcW w:w="1460" w:type="dxa"/>
            <w:tcBorders>
              <w:top w:val="single" w:sz="4" w:space="0" w:color="auto"/>
              <w:left w:val="nil"/>
              <w:bottom w:val="single" w:sz="4" w:space="0" w:color="auto"/>
              <w:right w:val="nil"/>
            </w:tcBorders>
            <w:shd w:val="clear" w:color="000000" w:fill="4B0985"/>
            <w:vAlign w:val="center"/>
            <w:hideMark/>
          </w:tcPr>
          <w:p w14:paraId="5970EF63" w14:textId="6049B3EE" w:rsidR="0077524B" w:rsidRPr="0077524B" w:rsidRDefault="0077524B" w:rsidP="0077524B">
            <w:pPr>
              <w:spacing w:after="0" w:line="240" w:lineRule="auto"/>
              <w:jc w:val="center"/>
              <w:rPr>
                <w:rFonts w:eastAsia="Times New Roman" w:cs="Arial"/>
                <w:b/>
                <w:bCs/>
                <w:color w:val="FFFFFF"/>
                <w:lang w:eastAsia="en-AU"/>
              </w:rPr>
            </w:pPr>
            <w:r w:rsidRPr="0077524B">
              <w:rPr>
                <w:rFonts w:eastAsia="Times New Roman" w:cs="Arial"/>
                <w:b/>
                <w:bCs/>
                <w:color w:val="FFFFFF"/>
                <w:lang w:eastAsia="en-AU"/>
              </w:rPr>
              <w:t>Jun-24</w:t>
            </w:r>
          </w:p>
        </w:tc>
        <w:tc>
          <w:tcPr>
            <w:tcW w:w="1460" w:type="dxa"/>
            <w:tcBorders>
              <w:top w:val="single" w:sz="4" w:space="0" w:color="auto"/>
              <w:left w:val="single" w:sz="4" w:space="0" w:color="auto"/>
              <w:bottom w:val="single" w:sz="4" w:space="0" w:color="auto"/>
              <w:right w:val="single" w:sz="4" w:space="0" w:color="auto"/>
            </w:tcBorders>
            <w:shd w:val="clear" w:color="000000" w:fill="4B0985"/>
            <w:noWrap/>
            <w:vAlign w:val="center"/>
            <w:hideMark/>
          </w:tcPr>
          <w:p w14:paraId="5C9C837A" w14:textId="77777777" w:rsidR="0077524B" w:rsidRPr="0077524B" w:rsidRDefault="0077524B" w:rsidP="0077524B">
            <w:pPr>
              <w:spacing w:after="0" w:line="240" w:lineRule="auto"/>
              <w:jc w:val="center"/>
              <w:rPr>
                <w:rFonts w:eastAsia="Times New Roman" w:cs="Arial"/>
                <w:b/>
                <w:bCs/>
                <w:color w:val="FFFFFF"/>
                <w:lang w:eastAsia="en-AU"/>
              </w:rPr>
            </w:pPr>
            <w:r w:rsidRPr="0077524B">
              <w:rPr>
                <w:rFonts w:eastAsia="Times New Roman" w:cs="Arial"/>
                <w:b/>
                <w:bCs/>
                <w:color w:val="FFFFFF"/>
                <w:lang w:eastAsia="en-AU"/>
              </w:rPr>
              <w:t>Jun-25</w:t>
            </w:r>
          </w:p>
        </w:tc>
        <w:tc>
          <w:tcPr>
            <w:tcW w:w="1460" w:type="dxa"/>
            <w:tcBorders>
              <w:top w:val="nil"/>
              <w:left w:val="nil"/>
              <w:bottom w:val="single" w:sz="4" w:space="0" w:color="auto"/>
              <w:right w:val="nil"/>
            </w:tcBorders>
            <w:shd w:val="clear" w:color="000000" w:fill="4B0985"/>
            <w:noWrap/>
            <w:vAlign w:val="center"/>
            <w:hideMark/>
          </w:tcPr>
          <w:p w14:paraId="7B6CC957" w14:textId="0713C44F" w:rsidR="0077524B" w:rsidRPr="0077524B" w:rsidRDefault="0077524B" w:rsidP="0077524B">
            <w:pPr>
              <w:spacing w:after="0" w:line="240" w:lineRule="auto"/>
              <w:jc w:val="center"/>
              <w:rPr>
                <w:rFonts w:eastAsia="Times New Roman" w:cs="Arial"/>
                <w:b/>
                <w:bCs/>
                <w:color w:val="FFFFFF"/>
                <w:lang w:eastAsia="en-AU"/>
              </w:rPr>
            </w:pPr>
            <w:r w:rsidRPr="0077524B">
              <w:rPr>
                <w:rFonts w:eastAsia="Times New Roman" w:cs="Arial"/>
                <w:b/>
                <w:bCs/>
                <w:color w:val="FFFFFF"/>
                <w:lang w:eastAsia="en-AU"/>
              </w:rPr>
              <w:t> </w:t>
            </w:r>
            <w:r w:rsidR="00266C5E">
              <w:rPr>
                <w:rFonts w:eastAsia="Times New Roman" w:cs="Arial"/>
                <w:b/>
                <w:bCs/>
                <w:color w:val="FFFFFF"/>
                <w:lang w:eastAsia="en-AU"/>
              </w:rPr>
              <w:t>Change</w:t>
            </w:r>
          </w:p>
        </w:tc>
      </w:tr>
      <w:tr w:rsidR="0077524B" w:rsidRPr="0077524B" w14:paraId="56AC627F" w14:textId="77777777" w:rsidTr="0077524B">
        <w:trPr>
          <w:trHeight w:val="340"/>
        </w:trPr>
        <w:tc>
          <w:tcPr>
            <w:tcW w:w="4840" w:type="dxa"/>
            <w:tcBorders>
              <w:top w:val="nil"/>
              <w:left w:val="single" w:sz="4" w:space="0" w:color="auto"/>
              <w:bottom w:val="nil"/>
              <w:right w:val="single" w:sz="4" w:space="0" w:color="auto"/>
            </w:tcBorders>
            <w:shd w:val="clear" w:color="auto" w:fill="auto"/>
            <w:noWrap/>
            <w:vAlign w:val="bottom"/>
            <w:hideMark/>
          </w:tcPr>
          <w:p w14:paraId="00E58B9A" w14:textId="77777777" w:rsidR="0077524B" w:rsidRPr="0077524B" w:rsidRDefault="0077524B" w:rsidP="0077524B">
            <w:pPr>
              <w:spacing w:after="0" w:line="240" w:lineRule="auto"/>
              <w:rPr>
                <w:rFonts w:eastAsia="Times New Roman" w:cs="Arial"/>
                <w:color w:val="000000"/>
                <w:lang w:eastAsia="en-AU"/>
              </w:rPr>
            </w:pPr>
            <w:r w:rsidRPr="0077524B">
              <w:rPr>
                <w:rFonts w:eastAsia="Times New Roman" w:cs="Arial"/>
                <w:color w:val="000000"/>
                <w:lang w:eastAsia="en-AU"/>
              </w:rPr>
              <w:t>Employment Rate (15-64 years) (%)</w:t>
            </w:r>
          </w:p>
        </w:tc>
        <w:tc>
          <w:tcPr>
            <w:tcW w:w="1460" w:type="dxa"/>
            <w:tcBorders>
              <w:top w:val="nil"/>
              <w:left w:val="nil"/>
              <w:bottom w:val="nil"/>
              <w:right w:val="nil"/>
            </w:tcBorders>
            <w:shd w:val="clear" w:color="auto" w:fill="auto"/>
            <w:noWrap/>
            <w:vAlign w:val="bottom"/>
            <w:hideMark/>
          </w:tcPr>
          <w:p w14:paraId="01294CF2" w14:textId="77777777" w:rsidR="0077524B" w:rsidRPr="0077524B" w:rsidRDefault="0077524B" w:rsidP="0077524B">
            <w:pPr>
              <w:spacing w:after="0" w:line="240" w:lineRule="auto"/>
              <w:jc w:val="center"/>
              <w:rPr>
                <w:rFonts w:eastAsia="Times New Roman" w:cs="Arial"/>
                <w:color w:val="000000"/>
                <w:lang w:eastAsia="en-AU"/>
              </w:rPr>
            </w:pPr>
            <w:r w:rsidRPr="0077524B">
              <w:rPr>
                <w:rFonts w:eastAsia="Times New Roman" w:cs="Arial"/>
                <w:color w:val="000000"/>
                <w:lang w:eastAsia="en-AU"/>
              </w:rPr>
              <w:t>77.4</w:t>
            </w:r>
          </w:p>
        </w:tc>
        <w:tc>
          <w:tcPr>
            <w:tcW w:w="1460" w:type="dxa"/>
            <w:tcBorders>
              <w:top w:val="nil"/>
              <w:left w:val="nil"/>
              <w:bottom w:val="nil"/>
              <w:right w:val="nil"/>
            </w:tcBorders>
            <w:shd w:val="clear" w:color="auto" w:fill="auto"/>
            <w:noWrap/>
            <w:vAlign w:val="bottom"/>
            <w:hideMark/>
          </w:tcPr>
          <w:p w14:paraId="287983A8" w14:textId="32C4B236" w:rsidR="0077524B" w:rsidRPr="0077524B" w:rsidRDefault="0077524B" w:rsidP="0077524B">
            <w:pPr>
              <w:spacing w:after="0" w:line="240" w:lineRule="auto"/>
              <w:jc w:val="center"/>
              <w:rPr>
                <w:rFonts w:eastAsia="Times New Roman" w:cs="Arial"/>
                <w:color w:val="000000"/>
                <w:lang w:eastAsia="en-AU"/>
              </w:rPr>
            </w:pPr>
            <w:r w:rsidRPr="0077524B">
              <w:rPr>
                <w:rFonts w:eastAsia="Times New Roman" w:cs="Arial"/>
                <w:color w:val="000000"/>
                <w:lang w:eastAsia="en-AU"/>
              </w:rPr>
              <w:t>78.1</w:t>
            </w:r>
          </w:p>
        </w:tc>
        <w:tc>
          <w:tcPr>
            <w:tcW w:w="1460" w:type="dxa"/>
            <w:tcBorders>
              <w:top w:val="nil"/>
              <w:left w:val="nil"/>
              <w:bottom w:val="nil"/>
              <w:right w:val="single" w:sz="4" w:space="0" w:color="auto"/>
            </w:tcBorders>
            <w:shd w:val="clear" w:color="auto" w:fill="auto"/>
            <w:noWrap/>
            <w:vAlign w:val="bottom"/>
            <w:hideMark/>
          </w:tcPr>
          <w:p w14:paraId="58BC9BA8" w14:textId="0E65AB31" w:rsidR="0077524B" w:rsidRPr="002E487D" w:rsidRDefault="00EA34EE" w:rsidP="00555157">
            <w:pPr>
              <w:spacing w:after="0" w:line="240" w:lineRule="auto"/>
              <w:jc w:val="center"/>
              <w:rPr>
                <w:rFonts w:eastAsia="Times New Roman" w:cs="Arial"/>
                <w:b/>
                <w:bCs/>
                <w:color w:val="00B050"/>
                <w:lang w:eastAsia="en-AU"/>
              </w:rPr>
            </w:pPr>
            <w:r w:rsidRPr="002E487D">
              <w:rPr>
                <w:rFonts w:eastAsia="Times New Roman" w:cs="Arial"/>
                <w:b/>
                <w:bCs/>
                <w:color w:val="00B050"/>
                <w:lang w:eastAsia="en-AU"/>
              </w:rPr>
              <w:t>Improved</w:t>
            </w:r>
          </w:p>
        </w:tc>
      </w:tr>
      <w:tr w:rsidR="0077524B" w:rsidRPr="0077524B" w14:paraId="4A87D681" w14:textId="77777777" w:rsidTr="0077524B">
        <w:trPr>
          <w:trHeight w:val="340"/>
        </w:trPr>
        <w:tc>
          <w:tcPr>
            <w:tcW w:w="4840" w:type="dxa"/>
            <w:tcBorders>
              <w:top w:val="nil"/>
              <w:left w:val="single" w:sz="4" w:space="0" w:color="auto"/>
              <w:bottom w:val="nil"/>
              <w:right w:val="single" w:sz="4" w:space="0" w:color="auto"/>
            </w:tcBorders>
            <w:shd w:val="clear" w:color="auto" w:fill="auto"/>
            <w:noWrap/>
            <w:vAlign w:val="bottom"/>
            <w:hideMark/>
          </w:tcPr>
          <w:p w14:paraId="2E4B77DB" w14:textId="77777777" w:rsidR="0077524B" w:rsidRPr="0077524B" w:rsidRDefault="0077524B" w:rsidP="0077524B">
            <w:pPr>
              <w:spacing w:after="0" w:line="240" w:lineRule="auto"/>
              <w:rPr>
                <w:rFonts w:eastAsia="Times New Roman" w:cs="Arial"/>
                <w:color w:val="000000"/>
                <w:lang w:eastAsia="en-AU"/>
              </w:rPr>
            </w:pPr>
            <w:r w:rsidRPr="0077524B">
              <w:rPr>
                <w:rFonts w:eastAsia="Times New Roman" w:cs="Arial"/>
                <w:color w:val="000000"/>
                <w:lang w:eastAsia="en-AU"/>
              </w:rPr>
              <w:t>Prop. on JobSeeker Income Support (%)</w:t>
            </w:r>
          </w:p>
        </w:tc>
        <w:tc>
          <w:tcPr>
            <w:tcW w:w="1460" w:type="dxa"/>
            <w:tcBorders>
              <w:top w:val="nil"/>
              <w:left w:val="nil"/>
              <w:bottom w:val="nil"/>
              <w:right w:val="nil"/>
            </w:tcBorders>
            <w:shd w:val="clear" w:color="auto" w:fill="auto"/>
            <w:noWrap/>
            <w:vAlign w:val="bottom"/>
            <w:hideMark/>
          </w:tcPr>
          <w:p w14:paraId="2041DE9B" w14:textId="77777777" w:rsidR="0077524B" w:rsidRPr="0077524B" w:rsidRDefault="0077524B" w:rsidP="0077524B">
            <w:pPr>
              <w:spacing w:after="0" w:line="240" w:lineRule="auto"/>
              <w:jc w:val="center"/>
              <w:rPr>
                <w:rFonts w:eastAsia="Times New Roman" w:cs="Arial"/>
                <w:color w:val="000000"/>
                <w:lang w:eastAsia="en-AU"/>
              </w:rPr>
            </w:pPr>
            <w:r w:rsidRPr="0077524B">
              <w:rPr>
                <w:rFonts w:eastAsia="Times New Roman" w:cs="Arial"/>
                <w:color w:val="000000"/>
                <w:lang w:eastAsia="en-AU"/>
              </w:rPr>
              <w:t>7.1</w:t>
            </w:r>
          </w:p>
        </w:tc>
        <w:tc>
          <w:tcPr>
            <w:tcW w:w="1460" w:type="dxa"/>
            <w:tcBorders>
              <w:top w:val="nil"/>
              <w:left w:val="nil"/>
              <w:bottom w:val="nil"/>
              <w:right w:val="nil"/>
            </w:tcBorders>
            <w:shd w:val="clear" w:color="auto" w:fill="auto"/>
            <w:noWrap/>
            <w:vAlign w:val="bottom"/>
            <w:hideMark/>
          </w:tcPr>
          <w:p w14:paraId="1A05B62E" w14:textId="77777777" w:rsidR="0077524B" w:rsidRPr="0077524B" w:rsidRDefault="0077524B" w:rsidP="0077524B">
            <w:pPr>
              <w:spacing w:after="0" w:line="240" w:lineRule="auto"/>
              <w:jc w:val="center"/>
              <w:rPr>
                <w:rFonts w:eastAsia="Times New Roman" w:cs="Arial"/>
                <w:color w:val="000000"/>
                <w:lang w:eastAsia="en-AU"/>
              </w:rPr>
            </w:pPr>
            <w:r w:rsidRPr="0077524B">
              <w:rPr>
                <w:rFonts w:eastAsia="Times New Roman" w:cs="Arial"/>
                <w:color w:val="000000"/>
                <w:lang w:eastAsia="en-AU"/>
              </w:rPr>
              <w:t>7.5</w:t>
            </w:r>
          </w:p>
        </w:tc>
        <w:tc>
          <w:tcPr>
            <w:tcW w:w="1460" w:type="dxa"/>
            <w:tcBorders>
              <w:top w:val="nil"/>
              <w:left w:val="nil"/>
              <w:bottom w:val="nil"/>
              <w:right w:val="single" w:sz="4" w:space="0" w:color="auto"/>
            </w:tcBorders>
            <w:shd w:val="clear" w:color="auto" w:fill="auto"/>
            <w:noWrap/>
            <w:vAlign w:val="bottom"/>
            <w:hideMark/>
          </w:tcPr>
          <w:p w14:paraId="682ABC54" w14:textId="6D6535BD" w:rsidR="0077524B" w:rsidRPr="002E487D" w:rsidRDefault="00EA34EE" w:rsidP="00555157">
            <w:pPr>
              <w:spacing w:after="0" w:line="240" w:lineRule="auto"/>
              <w:jc w:val="center"/>
              <w:rPr>
                <w:rFonts w:eastAsia="Times New Roman" w:cs="Arial"/>
                <w:b/>
                <w:bCs/>
                <w:color w:val="000000"/>
                <w:lang w:eastAsia="en-AU"/>
              </w:rPr>
            </w:pPr>
            <w:r w:rsidRPr="002E487D">
              <w:rPr>
                <w:rFonts w:eastAsia="Times New Roman" w:cs="Arial"/>
                <w:b/>
                <w:bCs/>
                <w:color w:val="FF0000"/>
                <w:lang w:eastAsia="en-AU"/>
              </w:rPr>
              <w:t>Softened</w:t>
            </w:r>
          </w:p>
        </w:tc>
      </w:tr>
      <w:tr w:rsidR="0077524B" w:rsidRPr="0077524B" w14:paraId="5F9B5F99" w14:textId="77777777" w:rsidTr="0077524B">
        <w:trPr>
          <w:trHeight w:val="340"/>
        </w:trPr>
        <w:tc>
          <w:tcPr>
            <w:tcW w:w="4840" w:type="dxa"/>
            <w:tcBorders>
              <w:top w:val="nil"/>
              <w:left w:val="single" w:sz="4" w:space="0" w:color="auto"/>
              <w:bottom w:val="nil"/>
              <w:right w:val="single" w:sz="4" w:space="0" w:color="auto"/>
            </w:tcBorders>
            <w:shd w:val="clear" w:color="auto" w:fill="auto"/>
            <w:noWrap/>
            <w:vAlign w:val="bottom"/>
            <w:hideMark/>
          </w:tcPr>
          <w:p w14:paraId="583CF398" w14:textId="77777777" w:rsidR="0077524B" w:rsidRPr="0077524B" w:rsidRDefault="0077524B" w:rsidP="0077524B">
            <w:pPr>
              <w:spacing w:after="0" w:line="240" w:lineRule="auto"/>
              <w:rPr>
                <w:rFonts w:eastAsia="Times New Roman" w:cs="Arial"/>
                <w:color w:val="000000"/>
                <w:lang w:eastAsia="en-AU"/>
              </w:rPr>
            </w:pPr>
            <w:r w:rsidRPr="0077524B">
              <w:rPr>
                <w:rFonts w:eastAsia="Times New Roman" w:cs="Arial"/>
                <w:color w:val="000000"/>
                <w:lang w:eastAsia="en-AU"/>
              </w:rPr>
              <w:t>Unemployment Rate (%)</w:t>
            </w:r>
          </w:p>
        </w:tc>
        <w:tc>
          <w:tcPr>
            <w:tcW w:w="1460" w:type="dxa"/>
            <w:tcBorders>
              <w:top w:val="nil"/>
              <w:left w:val="nil"/>
              <w:bottom w:val="nil"/>
              <w:right w:val="nil"/>
            </w:tcBorders>
            <w:shd w:val="clear" w:color="auto" w:fill="auto"/>
            <w:noWrap/>
            <w:vAlign w:val="bottom"/>
            <w:hideMark/>
          </w:tcPr>
          <w:p w14:paraId="3559FB2A" w14:textId="77777777" w:rsidR="0077524B" w:rsidRPr="0077524B" w:rsidRDefault="0077524B" w:rsidP="0077524B">
            <w:pPr>
              <w:spacing w:after="0" w:line="240" w:lineRule="auto"/>
              <w:jc w:val="center"/>
              <w:rPr>
                <w:rFonts w:eastAsia="Times New Roman" w:cs="Arial"/>
                <w:color w:val="000000"/>
                <w:lang w:eastAsia="en-AU"/>
              </w:rPr>
            </w:pPr>
            <w:r w:rsidRPr="0077524B">
              <w:rPr>
                <w:rFonts w:eastAsia="Times New Roman" w:cs="Arial"/>
                <w:color w:val="000000"/>
                <w:lang w:eastAsia="en-AU"/>
              </w:rPr>
              <w:t>3.8</w:t>
            </w:r>
          </w:p>
        </w:tc>
        <w:tc>
          <w:tcPr>
            <w:tcW w:w="1460" w:type="dxa"/>
            <w:tcBorders>
              <w:top w:val="nil"/>
              <w:left w:val="nil"/>
              <w:bottom w:val="nil"/>
              <w:right w:val="nil"/>
            </w:tcBorders>
            <w:shd w:val="clear" w:color="auto" w:fill="auto"/>
            <w:noWrap/>
            <w:vAlign w:val="bottom"/>
            <w:hideMark/>
          </w:tcPr>
          <w:p w14:paraId="58055824" w14:textId="77777777" w:rsidR="0077524B" w:rsidRPr="0077524B" w:rsidRDefault="0077524B" w:rsidP="0077524B">
            <w:pPr>
              <w:spacing w:after="0" w:line="240" w:lineRule="auto"/>
              <w:jc w:val="center"/>
              <w:rPr>
                <w:rFonts w:eastAsia="Times New Roman" w:cs="Arial"/>
                <w:color w:val="000000"/>
                <w:lang w:eastAsia="en-AU"/>
              </w:rPr>
            </w:pPr>
            <w:r w:rsidRPr="0077524B">
              <w:rPr>
                <w:rFonts w:eastAsia="Times New Roman" w:cs="Arial"/>
                <w:color w:val="000000"/>
                <w:lang w:eastAsia="en-AU"/>
              </w:rPr>
              <w:t>3.8</w:t>
            </w:r>
          </w:p>
        </w:tc>
        <w:tc>
          <w:tcPr>
            <w:tcW w:w="1460" w:type="dxa"/>
            <w:tcBorders>
              <w:top w:val="nil"/>
              <w:left w:val="nil"/>
              <w:bottom w:val="nil"/>
              <w:right w:val="single" w:sz="4" w:space="0" w:color="auto"/>
            </w:tcBorders>
            <w:shd w:val="clear" w:color="auto" w:fill="auto"/>
            <w:noWrap/>
            <w:vAlign w:val="bottom"/>
            <w:hideMark/>
          </w:tcPr>
          <w:p w14:paraId="60134DC5" w14:textId="5ECB83AD" w:rsidR="0077524B" w:rsidRPr="002E487D" w:rsidRDefault="00EA34EE" w:rsidP="00555157">
            <w:pPr>
              <w:spacing w:after="0" w:line="240" w:lineRule="auto"/>
              <w:jc w:val="center"/>
              <w:rPr>
                <w:rFonts w:eastAsia="Times New Roman" w:cs="Arial"/>
                <w:b/>
                <w:bCs/>
                <w:color w:val="000000"/>
                <w:lang w:eastAsia="en-AU"/>
              </w:rPr>
            </w:pPr>
            <w:r w:rsidRPr="00941773">
              <w:rPr>
                <w:rFonts w:eastAsia="Times New Roman" w:cs="Arial"/>
                <w:b/>
                <w:bCs/>
                <w:color w:val="404040" w:themeColor="text1" w:themeTint="BF"/>
                <w:lang w:eastAsia="en-AU"/>
              </w:rPr>
              <w:t>Stable</w:t>
            </w:r>
          </w:p>
        </w:tc>
      </w:tr>
      <w:tr w:rsidR="0077524B" w:rsidRPr="0077524B" w14:paraId="1A22444F" w14:textId="77777777" w:rsidTr="0077524B">
        <w:trPr>
          <w:trHeight w:val="340"/>
        </w:trPr>
        <w:tc>
          <w:tcPr>
            <w:tcW w:w="4840" w:type="dxa"/>
            <w:tcBorders>
              <w:top w:val="nil"/>
              <w:left w:val="single" w:sz="4" w:space="0" w:color="auto"/>
              <w:bottom w:val="nil"/>
              <w:right w:val="single" w:sz="4" w:space="0" w:color="auto"/>
            </w:tcBorders>
            <w:shd w:val="clear" w:color="auto" w:fill="auto"/>
            <w:noWrap/>
            <w:vAlign w:val="bottom"/>
            <w:hideMark/>
          </w:tcPr>
          <w:p w14:paraId="66AF5309" w14:textId="77777777" w:rsidR="0077524B" w:rsidRPr="0077524B" w:rsidRDefault="0077524B" w:rsidP="0077524B">
            <w:pPr>
              <w:spacing w:after="0" w:line="240" w:lineRule="auto"/>
              <w:rPr>
                <w:rFonts w:eastAsia="Times New Roman" w:cs="Arial"/>
                <w:color w:val="000000"/>
                <w:lang w:eastAsia="en-AU"/>
              </w:rPr>
            </w:pPr>
            <w:r w:rsidRPr="0077524B">
              <w:rPr>
                <w:rFonts w:eastAsia="Times New Roman" w:cs="Arial"/>
                <w:color w:val="000000"/>
                <w:lang w:eastAsia="en-AU"/>
              </w:rPr>
              <w:t>Vacancy Fill Rate (%)</w:t>
            </w:r>
          </w:p>
        </w:tc>
        <w:tc>
          <w:tcPr>
            <w:tcW w:w="1460" w:type="dxa"/>
            <w:tcBorders>
              <w:top w:val="nil"/>
              <w:left w:val="nil"/>
              <w:bottom w:val="nil"/>
              <w:right w:val="nil"/>
            </w:tcBorders>
            <w:shd w:val="clear" w:color="auto" w:fill="auto"/>
            <w:noWrap/>
            <w:vAlign w:val="bottom"/>
            <w:hideMark/>
          </w:tcPr>
          <w:p w14:paraId="6F117408" w14:textId="77777777" w:rsidR="0077524B" w:rsidRPr="0077524B" w:rsidRDefault="0077524B" w:rsidP="0077524B">
            <w:pPr>
              <w:spacing w:after="0" w:line="240" w:lineRule="auto"/>
              <w:jc w:val="center"/>
              <w:rPr>
                <w:rFonts w:eastAsia="Times New Roman" w:cs="Arial"/>
                <w:color w:val="000000"/>
                <w:lang w:eastAsia="en-AU"/>
              </w:rPr>
            </w:pPr>
            <w:r w:rsidRPr="0077524B">
              <w:rPr>
                <w:rFonts w:eastAsia="Times New Roman" w:cs="Arial"/>
                <w:color w:val="000000"/>
                <w:lang w:eastAsia="en-AU"/>
              </w:rPr>
              <w:t>61.4</w:t>
            </w:r>
          </w:p>
        </w:tc>
        <w:tc>
          <w:tcPr>
            <w:tcW w:w="1460" w:type="dxa"/>
            <w:tcBorders>
              <w:top w:val="nil"/>
              <w:left w:val="nil"/>
              <w:bottom w:val="nil"/>
              <w:right w:val="nil"/>
            </w:tcBorders>
            <w:shd w:val="clear" w:color="auto" w:fill="auto"/>
            <w:noWrap/>
            <w:vAlign w:val="bottom"/>
            <w:hideMark/>
          </w:tcPr>
          <w:p w14:paraId="0B9D491A" w14:textId="642D6E6B" w:rsidR="0077524B" w:rsidRPr="0077524B" w:rsidRDefault="0077524B" w:rsidP="0077524B">
            <w:pPr>
              <w:spacing w:after="0" w:line="240" w:lineRule="auto"/>
              <w:jc w:val="center"/>
              <w:rPr>
                <w:rFonts w:eastAsia="Times New Roman" w:cs="Arial"/>
                <w:color w:val="000000"/>
                <w:lang w:eastAsia="en-AU"/>
              </w:rPr>
            </w:pPr>
            <w:r w:rsidRPr="0077524B">
              <w:rPr>
                <w:rFonts w:eastAsia="Times New Roman" w:cs="Arial"/>
                <w:color w:val="000000"/>
                <w:lang w:eastAsia="en-AU"/>
              </w:rPr>
              <w:t>67.4</w:t>
            </w:r>
          </w:p>
        </w:tc>
        <w:tc>
          <w:tcPr>
            <w:tcW w:w="1460" w:type="dxa"/>
            <w:tcBorders>
              <w:top w:val="nil"/>
              <w:left w:val="nil"/>
              <w:bottom w:val="nil"/>
              <w:right w:val="single" w:sz="4" w:space="0" w:color="auto"/>
            </w:tcBorders>
            <w:shd w:val="clear" w:color="auto" w:fill="auto"/>
            <w:noWrap/>
            <w:vAlign w:val="bottom"/>
            <w:hideMark/>
          </w:tcPr>
          <w:p w14:paraId="2C0A1707" w14:textId="408772F7" w:rsidR="0077524B" w:rsidRPr="002E487D" w:rsidRDefault="00EA34EE" w:rsidP="00555157">
            <w:pPr>
              <w:spacing w:after="0" w:line="240" w:lineRule="auto"/>
              <w:jc w:val="center"/>
              <w:rPr>
                <w:rFonts w:eastAsia="Times New Roman" w:cs="Arial"/>
                <w:b/>
                <w:bCs/>
                <w:color w:val="00B050"/>
                <w:lang w:eastAsia="en-AU"/>
              </w:rPr>
            </w:pPr>
            <w:r w:rsidRPr="002E487D">
              <w:rPr>
                <w:rFonts w:eastAsia="Times New Roman" w:cs="Arial"/>
                <w:b/>
                <w:bCs/>
                <w:color w:val="00B050"/>
                <w:lang w:eastAsia="en-AU"/>
              </w:rPr>
              <w:t>Improved</w:t>
            </w:r>
          </w:p>
        </w:tc>
      </w:tr>
      <w:tr w:rsidR="0077524B" w:rsidRPr="0077524B" w14:paraId="1146A616" w14:textId="77777777" w:rsidTr="0077524B">
        <w:trPr>
          <w:trHeight w:val="340"/>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14:paraId="2FA3393B" w14:textId="77777777" w:rsidR="0077524B" w:rsidRPr="0077524B" w:rsidRDefault="0077524B" w:rsidP="0077524B">
            <w:pPr>
              <w:spacing w:after="0" w:line="240" w:lineRule="auto"/>
              <w:rPr>
                <w:rFonts w:eastAsia="Times New Roman" w:cs="Arial"/>
                <w:color w:val="000000"/>
                <w:lang w:eastAsia="en-AU"/>
              </w:rPr>
            </w:pPr>
            <w:r w:rsidRPr="0077524B">
              <w:rPr>
                <w:rFonts w:eastAsia="Times New Roman" w:cs="Arial"/>
                <w:color w:val="000000"/>
                <w:lang w:eastAsia="en-AU"/>
              </w:rPr>
              <w:t>Underemployment Rate (%)</w:t>
            </w:r>
          </w:p>
        </w:tc>
        <w:tc>
          <w:tcPr>
            <w:tcW w:w="1460" w:type="dxa"/>
            <w:tcBorders>
              <w:top w:val="nil"/>
              <w:left w:val="nil"/>
              <w:bottom w:val="single" w:sz="4" w:space="0" w:color="auto"/>
              <w:right w:val="nil"/>
            </w:tcBorders>
            <w:shd w:val="clear" w:color="auto" w:fill="auto"/>
            <w:noWrap/>
            <w:vAlign w:val="bottom"/>
            <w:hideMark/>
          </w:tcPr>
          <w:p w14:paraId="23D75E8F" w14:textId="77777777" w:rsidR="0077524B" w:rsidRPr="0077524B" w:rsidRDefault="0077524B" w:rsidP="0077524B">
            <w:pPr>
              <w:spacing w:after="0" w:line="240" w:lineRule="auto"/>
              <w:jc w:val="center"/>
              <w:rPr>
                <w:rFonts w:eastAsia="Times New Roman" w:cs="Arial"/>
                <w:color w:val="000000"/>
                <w:lang w:eastAsia="en-AU"/>
              </w:rPr>
            </w:pPr>
            <w:r w:rsidRPr="0077524B">
              <w:rPr>
                <w:rFonts w:eastAsia="Times New Roman" w:cs="Arial"/>
                <w:color w:val="000000"/>
                <w:lang w:eastAsia="en-AU"/>
              </w:rPr>
              <w:t>6.9</w:t>
            </w:r>
          </w:p>
        </w:tc>
        <w:tc>
          <w:tcPr>
            <w:tcW w:w="1460" w:type="dxa"/>
            <w:tcBorders>
              <w:top w:val="nil"/>
              <w:left w:val="nil"/>
              <w:bottom w:val="single" w:sz="4" w:space="0" w:color="auto"/>
              <w:right w:val="nil"/>
            </w:tcBorders>
            <w:shd w:val="clear" w:color="auto" w:fill="auto"/>
            <w:noWrap/>
            <w:vAlign w:val="bottom"/>
            <w:hideMark/>
          </w:tcPr>
          <w:p w14:paraId="18534A6D" w14:textId="77777777" w:rsidR="0077524B" w:rsidRPr="0077524B" w:rsidRDefault="0077524B" w:rsidP="0077524B">
            <w:pPr>
              <w:spacing w:after="0" w:line="240" w:lineRule="auto"/>
              <w:jc w:val="center"/>
              <w:rPr>
                <w:rFonts w:eastAsia="Times New Roman" w:cs="Arial"/>
                <w:color w:val="000000"/>
                <w:lang w:eastAsia="en-AU"/>
              </w:rPr>
            </w:pPr>
            <w:r w:rsidRPr="0077524B">
              <w:rPr>
                <w:rFonts w:eastAsia="Times New Roman" w:cs="Arial"/>
                <w:color w:val="000000"/>
                <w:lang w:eastAsia="en-AU"/>
              </w:rPr>
              <w:t>6.3</w:t>
            </w:r>
          </w:p>
        </w:tc>
        <w:tc>
          <w:tcPr>
            <w:tcW w:w="1460" w:type="dxa"/>
            <w:tcBorders>
              <w:top w:val="nil"/>
              <w:left w:val="nil"/>
              <w:bottom w:val="single" w:sz="4" w:space="0" w:color="auto"/>
              <w:right w:val="single" w:sz="4" w:space="0" w:color="auto"/>
            </w:tcBorders>
            <w:shd w:val="clear" w:color="auto" w:fill="auto"/>
            <w:noWrap/>
            <w:vAlign w:val="bottom"/>
            <w:hideMark/>
          </w:tcPr>
          <w:p w14:paraId="4E5AED19" w14:textId="275255E2" w:rsidR="0077524B" w:rsidRPr="00003363" w:rsidRDefault="00EA34EE" w:rsidP="00555157">
            <w:pPr>
              <w:spacing w:after="0" w:line="240" w:lineRule="auto"/>
              <w:jc w:val="center"/>
              <w:rPr>
                <w:rFonts w:eastAsia="Times New Roman" w:cs="Arial"/>
                <w:b/>
                <w:bCs/>
                <w:color w:val="000000"/>
                <w:lang w:eastAsia="en-AU"/>
              </w:rPr>
            </w:pPr>
            <w:r w:rsidRPr="00003363">
              <w:rPr>
                <w:rFonts w:eastAsia="Times New Roman" w:cs="Arial"/>
                <w:b/>
                <w:bCs/>
                <w:color w:val="00B050"/>
                <w:lang w:eastAsia="en-AU"/>
              </w:rPr>
              <w:t>Improved</w:t>
            </w:r>
          </w:p>
        </w:tc>
      </w:tr>
    </w:tbl>
    <w:p w14:paraId="0A8AA27B" w14:textId="21933402" w:rsidR="00806934" w:rsidRDefault="00653BDD" w:rsidP="00806934">
      <w:pPr>
        <w:pStyle w:val="Heading3"/>
        <w:keepLines w:val="0"/>
      </w:pPr>
      <w:r>
        <w:t xml:space="preserve">In focus: </w:t>
      </w:r>
      <w:r w:rsidR="00B0699C">
        <w:t>Northern Queensland</w:t>
      </w:r>
      <w:bookmarkStart w:id="3" w:name="_Hlk205651381"/>
      <w:r w:rsidR="00DF6668" w:rsidRPr="00D02BA0">
        <w:rPr>
          <w:rStyle w:val="FootnoteReference"/>
          <w:rFonts w:asciiTheme="majorHAnsi" w:hAnsiTheme="majorHAnsi" w:cstheme="majorHAnsi"/>
          <w:sz w:val="22"/>
          <w:szCs w:val="22"/>
        </w:rPr>
        <w:footnoteReference w:id="4"/>
      </w:r>
      <w:bookmarkEnd w:id="3"/>
    </w:p>
    <w:p w14:paraId="76815F4F" w14:textId="77777777" w:rsidR="00DF6668" w:rsidRDefault="001E2D03" w:rsidP="0085597D">
      <w:r>
        <w:t>North</w:t>
      </w:r>
      <w:r w:rsidR="001E6F09">
        <w:t>ern</w:t>
      </w:r>
      <w:r>
        <w:t xml:space="preserve"> Queensland enjoys a stunning natural environment of reef, rainforest and outback which provides an attractive lifestyle for its residents. The region also contributes significantly towards the Australian economy through key industries such as manufacturing, construction, mining and defence. </w:t>
      </w:r>
      <w:r w:rsidR="00DF6668">
        <w:t>The latest RLMI results</w:t>
      </w:r>
      <w:r>
        <w:t xml:space="preserve"> show, however, that labour market conditions vary significantly within North</w:t>
      </w:r>
      <w:r w:rsidR="00032906">
        <w:t>ern</w:t>
      </w:r>
      <w:r>
        <w:t xml:space="preserve"> Queensland</w:t>
      </w:r>
      <w:r w:rsidR="00032906">
        <w:t>, highlighting the importance of granular, region-specific data that identifies areas of relative strength and weakness.</w:t>
      </w:r>
      <w:r>
        <w:t xml:space="preserve"> </w:t>
      </w:r>
    </w:p>
    <w:p w14:paraId="015303F4" w14:textId="47CEB318" w:rsidR="00AC0C2F" w:rsidRDefault="00AC0C2F" w:rsidP="0085597D">
      <w:pPr>
        <w:sectPr w:rsidR="00AC0C2F" w:rsidSect="001918A6">
          <w:type w:val="continuous"/>
          <w:pgSz w:w="11906" w:h="16838"/>
          <w:pgMar w:top="1276" w:right="1440" w:bottom="1134" w:left="1440" w:header="0" w:footer="539" w:gutter="0"/>
          <w:cols w:space="708"/>
          <w:titlePg/>
          <w:docGrid w:linePitch="360"/>
        </w:sectPr>
      </w:pPr>
    </w:p>
    <w:p w14:paraId="5BDE431E" w14:textId="66726DF5" w:rsidR="009708AE" w:rsidRDefault="009708AE" w:rsidP="0085597D">
      <w:r w:rsidRPr="00493EE9">
        <w:rPr>
          <w:b/>
          <w:bCs/>
          <w:sz w:val="20"/>
          <w:szCs w:val="20"/>
        </w:rPr>
        <w:t xml:space="preserve">Chart </w:t>
      </w:r>
      <w:r>
        <w:rPr>
          <w:b/>
          <w:bCs/>
          <w:sz w:val="20"/>
          <w:szCs w:val="20"/>
        </w:rPr>
        <w:t>4</w:t>
      </w:r>
      <w:r w:rsidRPr="00493EE9">
        <w:rPr>
          <w:b/>
          <w:bCs/>
          <w:sz w:val="20"/>
          <w:szCs w:val="20"/>
        </w:rPr>
        <w:t>: RLMI ratings of relative labour market performance</w:t>
      </w:r>
      <w:r>
        <w:rPr>
          <w:b/>
          <w:bCs/>
          <w:sz w:val="20"/>
          <w:szCs w:val="20"/>
        </w:rPr>
        <w:t>, June 2025</w:t>
      </w:r>
    </w:p>
    <w:p w14:paraId="31F50AC7" w14:textId="5F4C3A54" w:rsidR="009708AE" w:rsidRPr="00DF6668" w:rsidRDefault="009708AE" w:rsidP="00DF6668">
      <w:pPr>
        <w:pStyle w:val="Heading2"/>
        <w:keepNext w:val="0"/>
        <w:keepLines w:val="0"/>
        <w:rPr>
          <w:b w:val="0"/>
          <w:bCs/>
          <w:i/>
          <w:iCs/>
          <w:sz w:val="18"/>
          <w:szCs w:val="18"/>
          <w:highlight w:val="yellow"/>
        </w:rPr>
      </w:pPr>
      <w:r w:rsidRPr="009708AE">
        <w:rPr>
          <w:noProof/>
        </w:rPr>
        <w:drawing>
          <wp:inline distT="0" distB="0" distL="0" distR="0" wp14:anchorId="79F7055A" wp14:editId="72A48EF1">
            <wp:extent cx="2879786" cy="2933205"/>
            <wp:effectExtent l="0" t="0" r="0" b="635"/>
            <wp:docPr id="1531680131" name="Picture 1" descr="A map of Cairns, Townsville and Mackay - Isaac - Whitsunday SA4 regions displaying the RLMI ratings of labour market performance (strong, above average, average, below average and poor). The map shows that labour market conditions vary significantly across the three regions in Northern Queensl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680131" name="Picture 1" descr="A map of Cairns, Townsville and Mackay - Isaac - Whitsunday SA4 regions displaying the RLMI ratings of labour market performance (strong, above average, average, below average and poor). The map shows that labour market conditions vary significantly across the three regions in Northern Queensland. "/>
                    <pic:cNvPicPr/>
                  </pic:nvPicPr>
                  <pic:blipFill>
                    <a:blip r:embed="rId18"/>
                    <a:stretch>
                      <a:fillRect/>
                    </a:stretch>
                  </pic:blipFill>
                  <pic:spPr>
                    <a:xfrm>
                      <a:off x="0" y="0"/>
                      <a:ext cx="2908232" cy="2962178"/>
                    </a:xfrm>
                    <a:prstGeom prst="rect">
                      <a:avLst/>
                    </a:prstGeom>
                  </pic:spPr>
                </pic:pic>
              </a:graphicData>
            </a:graphic>
          </wp:inline>
        </w:drawing>
      </w:r>
      <w:r w:rsidRPr="00DF6668">
        <w:rPr>
          <w:b w:val="0"/>
          <w:bCs/>
          <w:i/>
          <w:iCs/>
          <w:sz w:val="18"/>
          <w:szCs w:val="18"/>
        </w:rPr>
        <w:t>Source: JSA, Regional Labour Market Indicator (RLMI), June 2025</w:t>
      </w:r>
    </w:p>
    <w:p w14:paraId="5AF3D0C5" w14:textId="77777777" w:rsidR="00E83FAD" w:rsidRDefault="00E83FAD" w:rsidP="00DF6668"/>
    <w:p w14:paraId="5CD00381" w14:textId="77777777" w:rsidR="00E83FAD" w:rsidRDefault="00E83FAD" w:rsidP="00DF6668"/>
    <w:p w14:paraId="6E213A6F" w14:textId="77777777" w:rsidR="00E83FAD" w:rsidRDefault="00E83FAD" w:rsidP="00DF6668"/>
    <w:p w14:paraId="212FACEA" w14:textId="77777777" w:rsidR="00E83FAD" w:rsidRDefault="00E83FAD" w:rsidP="00DF6668"/>
    <w:p w14:paraId="26AE0A36" w14:textId="77777777" w:rsidR="00E83FAD" w:rsidRDefault="00E83FAD" w:rsidP="00DF6668"/>
    <w:p w14:paraId="5EE3E88C" w14:textId="77777777" w:rsidR="00E83FAD" w:rsidRDefault="00E83FAD" w:rsidP="00DF6668"/>
    <w:p w14:paraId="2A4F5D55" w14:textId="7DCA8F2F" w:rsidR="00DF6668" w:rsidRDefault="001E2D03" w:rsidP="00DF6668">
      <w:r>
        <w:t>For instance, labour market conditions in Cairns and Townsville were rated ‘average’ and ‘below average’</w:t>
      </w:r>
      <w:r w:rsidR="003C2BD7">
        <w:t>,</w:t>
      </w:r>
      <w:r>
        <w:t xml:space="preserve"> respectively</w:t>
      </w:r>
      <w:r w:rsidR="003C2BD7">
        <w:t>,</w:t>
      </w:r>
      <w:r>
        <w:t xml:space="preserve"> in June 202</w:t>
      </w:r>
      <w:r w:rsidR="000945B2">
        <w:t>5</w:t>
      </w:r>
      <w:r>
        <w:t>, highlighting the additional challenges faced by employers and jobseekers in the</w:t>
      </w:r>
      <w:r w:rsidR="001E6F09">
        <w:t>se</w:t>
      </w:r>
      <w:r>
        <w:t xml:space="preserve"> region</w:t>
      </w:r>
      <w:r w:rsidR="001E6F09">
        <w:t>s</w:t>
      </w:r>
      <w:r>
        <w:t xml:space="preserve">. </w:t>
      </w:r>
    </w:p>
    <w:p w14:paraId="12F50999" w14:textId="6A39DDB1" w:rsidR="001E2D03" w:rsidRDefault="001E2D03" w:rsidP="00DF6668">
      <w:r>
        <w:t xml:space="preserve">By contrast, Mackay – Isaac – Whitsunday </w:t>
      </w:r>
      <w:r w:rsidR="00E06E6B">
        <w:t xml:space="preserve">was rated ‘strong’ </w:t>
      </w:r>
      <w:r>
        <w:t>in June 202</w:t>
      </w:r>
      <w:r w:rsidR="000945B2">
        <w:t>5</w:t>
      </w:r>
      <w:r>
        <w:t>,</w:t>
      </w:r>
      <w:r w:rsidR="003C2BD7">
        <w:t xml:space="preserve"> indicating that </w:t>
      </w:r>
      <w:r w:rsidR="00E06E6B">
        <w:t xml:space="preserve">labour market </w:t>
      </w:r>
      <w:r w:rsidR="003C2BD7">
        <w:t xml:space="preserve">conditions are reasonably tight when compared to the national average. </w:t>
      </w:r>
    </w:p>
    <w:p w14:paraId="3341E2CD" w14:textId="4CC9F488" w:rsidR="002827D8" w:rsidRPr="00DF6668" w:rsidRDefault="001E6F09" w:rsidP="00DF6668">
      <w:r>
        <w:t xml:space="preserve">Although Cairns, Townsville and the Mackay – Isaac – Whitsunday SA4 regions might be considered as part of the broader the Northern Queensland region, the workforce needs vary significantly between regions. </w:t>
      </w:r>
    </w:p>
    <w:p w14:paraId="3E87FAFC" w14:textId="77777777" w:rsidR="009708AE" w:rsidRDefault="009708AE" w:rsidP="009708AE">
      <w:pPr>
        <w:rPr>
          <w:highlight w:val="yellow"/>
        </w:rPr>
      </w:pPr>
    </w:p>
    <w:p w14:paraId="49A2E112" w14:textId="77777777" w:rsidR="00DF6668" w:rsidRDefault="00DF6668" w:rsidP="009708AE">
      <w:pPr>
        <w:rPr>
          <w:highlight w:val="yellow"/>
        </w:rPr>
      </w:pPr>
    </w:p>
    <w:p w14:paraId="677CC419" w14:textId="77777777" w:rsidR="007E2E53" w:rsidRDefault="007E2E53" w:rsidP="009708AE">
      <w:pPr>
        <w:rPr>
          <w:highlight w:val="yellow"/>
        </w:rPr>
      </w:pPr>
    </w:p>
    <w:p w14:paraId="022357E2" w14:textId="77777777" w:rsidR="007E2E53" w:rsidRDefault="007E2E53" w:rsidP="009708AE">
      <w:pPr>
        <w:rPr>
          <w:highlight w:val="yellow"/>
        </w:rPr>
      </w:pPr>
    </w:p>
    <w:p w14:paraId="1137EAD5" w14:textId="77777777" w:rsidR="007E2E53" w:rsidRDefault="007E2E53" w:rsidP="009708AE">
      <w:pPr>
        <w:rPr>
          <w:highlight w:val="yellow"/>
        </w:rPr>
      </w:pPr>
    </w:p>
    <w:p w14:paraId="7EA1EAA8" w14:textId="77777777" w:rsidR="007E2E53" w:rsidRDefault="007E2E53" w:rsidP="009708AE">
      <w:pPr>
        <w:rPr>
          <w:highlight w:val="yellow"/>
        </w:rPr>
      </w:pPr>
    </w:p>
    <w:p w14:paraId="36EFC5DE" w14:textId="77777777" w:rsidR="007E2E53" w:rsidRDefault="007E2E53" w:rsidP="009708AE">
      <w:pPr>
        <w:rPr>
          <w:highlight w:val="yellow"/>
        </w:rPr>
      </w:pPr>
    </w:p>
    <w:p w14:paraId="2F607636" w14:textId="77777777" w:rsidR="00D34692" w:rsidRDefault="00D34692" w:rsidP="009708AE">
      <w:pPr>
        <w:rPr>
          <w:highlight w:val="yellow"/>
        </w:rPr>
      </w:pPr>
    </w:p>
    <w:p w14:paraId="01B469FF" w14:textId="77777777" w:rsidR="00AC0C2F" w:rsidRDefault="00AC0C2F" w:rsidP="009708AE">
      <w:pPr>
        <w:rPr>
          <w:highlight w:val="yellow"/>
        </w:rPr>
        <w:sectPr w:rsidR="00AC0C2F" w:rsidSect="00DF6668">
          <w:type w:val="continuous"/>
          <w:pgSz w:w="11906" w:h="16838"/>
          <w:pgMar w:top="1276" w:right="1440" w:bottom="1134" w:left="1440" w:header="0" w:footer="539" w:gutter="0"/>
          <w:cols w:num="2" w:space="708"/>
          <w:titlePg/>
          <w:docGrid w:linePitch="360"/>
        </w:sectPr>
      </w:pPr>
    </w:p>
    <w:p w14:paraId="54F5F3BC" w14:textId="5B40FAE3" w:rsidR="00DF6668" w:rsidRPr="002827D8" w:rsidRDefault="002827D8" w:rsidP="009708AE">
      <w:pPr>
        <w:rPr>
          <w:b/>
          <w:bCs/>
          <w:sz w:val="20"/>
          <w:szCs w:val="20"/>
        </w:rPr>
      </w:pPr>
      <w:r w:rsidRPr="002827D8">
        <w:rPr>
          <w:b/>
          <w:bCs/>
          <w:sz w:val="20"/>
          <w:szCs w:val="20"/>
        </w:rPr>
        <w:lastRenderedPageBreak/>
        <w:t>Chart 5: Employment by type of occupation</w:t>
      </w:r>
      <w:r w:rsidR="00AC0C2F">
        <w:rPr>
          <w:rStyle w:val="FootnoteReference"/>
          <w:b/>
          <w:bCs/>
          <w:sz w:val="20"/>
          <w:szCs w:val="20"/>
        </w:rPr>
        <w:footnoteReference w:id="5"/>
      </w:r>
      <w:r w:rsidRPr="002827D8">
        <w:rPr>
          <w:b/>
          <w:bCs/>
          <w:sz w:val="20"/>
          <w:szCs w:val="20"/>
        </w:rPr>
        <w:t>, May 2025</w:t>
      </w:r>
    </w:p>
    <w:p w14:paraId="271FC8E8" w14:textId="787D25DE" w:rsidR="00B86033" w:rsidRDefault="00B86033" w:rsidP="009708AE">
      <w:pPr>
        <w:rPr>
          <w:noProof/>
        </w:rPr>
      </w:pPr>
      <w:r>
        <w:rPr>
          <w:noProof/>
        </w:rPr>
        <w:drawing>
          <wp:inline distT="0" distB="0" distL="0" distR="0" wp14:anchorId="2C7B5907" wp14:editId="52B2A007">
            <wp:extent cx="2897945" cy="1771975"/>
            <wp:effectExtent l="0" t="0" r="0" b="0"/>
            <wp:docPr id="1566297297" name="Picture 2" descr="A column chart that does the share of employment by occupation type (knowledge jobs, care and service jobs and industry jobs). The results show that industry jobs accounted for almost half of total employment in Mackay - Isaac - Whitsunday SA4 in May 2025, well above the rate recorded for Cairns and Townsvil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297297" name="Picture 2" descr="A column chart that does the share of employment by occupation type (knowledge jobs, care and service jobs and industry jobs). The results show that industry jobs accounted for almost half of total employment in Mackay - Isaac - Whitsunday SA4 in May 2025, well above the rate recorded for Cairns and Townsville.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59460" cy="1809589"/>
                    </a:xfrm>
                    <a:prstGeom prst="rect">
                      <a:avLst/>
                    </a:prstGeom>
                    <a:noFill/>
                  </pic:spPr>
                </pic:pic>
              </a:graphicData>
            </a:graphic>
          </wp:inline>
        </w:drawing>
      </w:r>
    </w:p>
    <w:p w14:paraId="0C5B866B" w14:textId="0331C358" w:rsidR="006C77DE" w:rsidRPr="006C77DE" w:rsidRDefault="002827D8" w:rsidP="009708AE">
      <w:r w:rsidRPr="002827D8">
        <w:rPr>
          <w:i/>
          <w:iCs/>
          <w:sz w:val="18"/>
          <w:szCs w:val="18"/>
        </w:rPr>
        <w:t>Source: ABS, 2025</w:t>
      </w:r>
    </w:p>
    <w:p w14:paraId="77FF75FA" w14:textId="0FF96F01" w:rsidR="006C77DE" w:rsidRPr="002827D8" w:rsidRDefault="006C77DE" w:rsidP="006C77DE">
      <w:pPr>
        <w:rPr>
          <w:b/>
          <w:bCs/>
          <w:sz w:val="20"/>
          <w:szCs w:val="20"/>
        </w:rPr>
      </w:pPr>
      <w:r w:rsidRPr="002827D8">
        <w:rPr>
          <w:b/>
          <w:bCs/>
          <w:sz w:val="20"/>
          <w:szCs w:val="20"/>
        </w:rPr>
        <w:t xml:space="preserve">Chart </w:t>
      </w:r>
      <w:r>
        <w:rPr>
          <w:b/>
          <w:bCs/>
          <w:sz w:val="20"/>
          <w:szCs w:val="20"/>
        </w:rPr>
        <w:t>6</w:t>
      </w:r>
      <w:r w:rsidRPr="002827D8">
        <w:rPr>
          <w:b/>
          <w:bCs/>
          <w:sz w:val="20"/>
          <w:szCs w:val="20"/>
        </w:rPr>
        <w:t xml:space="preserve">: Employment by type of </w:t>
      </w:r>
      <w:r>
        <w:rPr>
          <w:b/>
          <w:bCs/>
          <w:sz w:val="20"/>
          <w:szCs w:val="20"/>
        </w:rPr>
        <w:t>Industry</w:t>
      </w:r>
      <w:r w:rsidRPr="002827D8">
        <w:rPr>
          <w:b/>
          <w:bCs/>
          <w:sz w:val="20"/>
          <w:szCs w:val="20"/>
        </w:rPr>
        <w:t>, May 2025</w:t>
      </w:r>
    </w:p>
    <w:p w14:paraId="60249F48" w14:textId="30FF4D83" w:rsidR="006C77DE" w:rsidRDefault="00B86033" w:rsidP="009708AE">
      <w:pPr>
        <w:rPr>
          <w:i/>
          <w:iCs/>
          <w:sz w:val="18"/>
          <w:szCs w:val="18"/>
        </w:rPr>
      </w:pPr>
      <w:r>
        <w:rPr>
          <w:i/>
          <w:iCs/>
          <w:noProof/>
          <w:sz w:val="18"/>
          <w:szCs w:val="18"/>
        </w:rPr>
        <w:drawing>
          <wp:inline distT="0" distB="0" distL="0" distR="0" wp14:anchorId="124C814A" wp14:editId="35863BE2">
            <wp:extent cx="2870219" cy="1751428"/>
            <wp:effectExtent l="0" t="0" r="6350" b="1270"/>
            <wp:docPr id="905464393" name="Picture 1" descr="A column chart that does the share of employment by industry type. The results show that mining is the largest employing industry in the Mackay - Isaac Whitsunday SA4, accounting for 14% of total employment in May 202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464393" name="Picture 1" descr="A column chart that does the share of employment by industry type. The results show that mining is the largest employing industry in the Mackay - Isaac Whitsunday SA4, accounting for 14% of total employment in May 2025. "/>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0535" cy="1763825"/>
                    </a:xfrm>
                    <a:prstGeom prst="rect">
                      <a:avLst/>
                    </a:prstGeom>
                    <a:noFill/>
                  </pic:spPr>
                </pic:pic>
              </a:graphicData>
            </a:graphic>
          </wp:inline>
        </w:drawing>
      </w:r>
    </w:p>
    <w:p w14:paraId="111F18FC" w14:textId="3B95D929" w:rsidR="006C77DE" w:rsidRDefault="006C77DE" w:rsidP="009708AE">
      <w:pPr>
        <w:rPr>
          <w:i/>
          <w:iCs/>
          <w:sz w:val="18"/>
          <w:szCs w:val="18"/>
        </w:rPr>
      </w:pPr>
      <w:r>
        <w:rPr>
          <w:i/>
          <w:iCs/>
          <w:sz w:val="18"/>
          <w:szCs w:val="18"/>
        </w:rPr>
        <w:t>Source: ABS, 2025</w:t>
      </w:r>
    </w:p>
    <w:p w14:paraId="423DA652" w14:textId="77777777" w:rsidR="00E83FAD" w:rsidRDefault="00E83FAD" w:rsidP="009708AE">
      <w:pPr>
        <w:rPr>
          <w:i/>
          <w:iCs/>
          <w:sz w:val="18"/>
          <w:szCs w:val="18"/>
        </w:rPr>
      </w:pPr>
    </w:p>
    <w:p w14:paraId="7EB8BB61" w14:textId="77777777" w:rsidR="00E83FAD" w:rsidRDefault="00E83FAD" w:rsidP="009708AE">
      <w:pPr>
        <w:rPr>
          <w:i/>
          <w:iCs/>
          <w:sz w:val="18"/>
          <w:szCs w:val="18"/>
        </w:rPr>
        <w:sectPr w:rsidR="00E83FAD" w:rsidSect="002827D8">
          <w:type w:val="continuous"/>
          <w:pgSz w:w="11906" w:h="16838"/>
          <w:pgMar w:top="1276" w:right="1440" w:bottom="1134" w:left="1440" w:header="0" w:footer="539" w:gutter="0"/>
          <w:cols w:num="2" w:space="708"/>
          <w:titlePg/>
          <w:docGrid w:linePitch="360"/>
          <w15:footnoteColumns w:val="1"/>
        </w:sectPr>
      </w:pPr>
    </w:p>
    <w:p w14:paraId="757205C8" w14:textId="0D26FE3E" w:rsidR="00D34692" w:rsidRDefault="00D34692" w:rsidP="009708AE">
      <w:r>
        <w:t>For instance, industry jobs accounted for almost half (48%) of total employment in the Mackay – Isaac – Whitsunday SA4 in May 2025, well above the rate recorded for Cairns (29%) and Townsville (38%)</w:t>
      </w:r>
      <w:r w:rsidR="000945B2">
        <w:t xml:space="preserve"> (see Chart 5, above)</w:t>
      </w:r>
      <w:r>
        <w:t xml:space="preserve">. </w:t>
      </w:r>
    </w:p>
    <w:p w14:paraId="02D5116B" w14:textId="77777777" w:rsidR="000945B2" w:rsidRDefault="00D34692" w:rsidP="00D34692">
      <w:pPr>
        <w:pStyle w:val="ListParagraph"/>
        <w:numPr>
          <w:ilvl w:val="0"/>
          <w:numId w:val="34"/>
        </w:numPr>
      </w:pPr>
      <w:r>
        <w:t>Mining is the largest employing industry in the Mackay – Isaac – Whitsunday SA4, accounting for 14% of total employment in May 2025</w:t>
      </w:r>
      <w:r w:rsidR="000945B2">
        <w:t xml:space="preserve"> (see Chart 6, above)</w:t>
      </w:r>
      <w:r>
        <w:t>.</w:t>
      </w:r>
    </w:p>
    <w:p w14:paraId="4A3DE7F0" w14:textId="5F9139ED" w:rsidR="000945B2" w:rsidRDefault="000945B2" w:rsidP="000945B2">
      <w:r>
        <w:t>The importance of key industries, most notably mining, in the Mackay – Isaac – Whitsunday SA4 region has enabled more employment opportunities for its residents, as well as residents from other regions (</w:t>
      </w:r>
      <w:r w:rsidR="00263BEE">
        <w:t>‘</w:t>
      </w:r>
      <w:r>
        <w:t>fly-in-fly</w:t>
      </w:r>
      <w:r w:rsidR="00263BEE">
        <w:t>-</w:t>
      </w:r>
      <w:r>
        <w:t>out</w:t>
      </w:r>
      <w:r w:rsidR="00263BEE">
        <w:t>’</w:t>
      </w:r>
      <w:r>
        <w:t xml:space="preserve"> </w:t>
      </w:r>
      <w:r w:rsidR="00F0494E">
        <w:t xml:space="preserve">or ‘drive-in-drive out’ </w:t>
      </w:r>
      <w:r>
        <w:t xml:space="preserve">workers). </w:t>
      </w:r>
    </w:p>
    <w:p w14:paraId="2FDD852F" w14:textId="02B7D58B" w:rsidR="00263BEE" w:rsidRDefault="00263BEE" w:rsidP="00263BEE">
      <w:pPr>
        <w:pStyle w:val="ListParagraph"/>
        <w:numPr>
          <w:ilvl w:val="0"/>
          <w:numId w:val="34"/>
        </w:numPr>
        <w:ind w:left="714" w:hanging="357"/>
        <w:contextualSpacing w:val="0"/>
      </w:pPr>
      <w:r>
        <w:t xml:space="preserve">97% of </w:t>
      </w:r>
      <w:r w:rsidRPr="00941773">
        <w:rPr>
          <w:b/>
          <w:bCs/>
        </w:rPr>
        <w:t>residents</w:t>
      </w:r>
      <w:r>
        <w:t xml:space="preserve"> in the Mackay – Isaac – Whitsunday SA4 region </w:t>
      </w:r>
      <w:r w:rsidRPr="00941773">
        <w:rPr>
          <w:b/>
          <w:bCs/>
        </w:rPr>
        <w:t>work in the region</w:t>
      </w:r>
      <w:r>
        <w:t>.</w:t>
      </w:r>
    </w:p>
    <w:p w14:paraId="760BDACF" w14:textId="0DD1A563" w:rsidR="00FE45CE" w:rsidRDefault="00263BEE" w:rsidP="00FE45CE">
      <w:pPr>
        <w:pStyle w:val="ListParagraph"/>
        <w:numPr>
          <w:ilvl w:val="0"/>
          <w:numId w:val="34"/>
        </w:numPr>
        <w:ind w:left="714" w:hanging="357"/>
        <w:contextualSpacing w:val="0"/>
      </w:pPr>
      <w:r>
        <w:t xml:space="preserve">12% of the </w:t>
      </w:r>
      <w:r w:rsidRPr="00941773">
        <w:rPr>
          <w:b/>
          <w:bCs/>
        </w:rPr>
        <w:t>workforce</w:t>
      </w:r>
      <w:r>
        <w:t xml:space="preserve"> in the Mackay – Isaac – Whitsunday SA4 </w:t>
      </w:r>
      <w:r w:rsidRPr="00941773">
        <w:rPr>
          <w:b/>
          <w:bCs/>
        </w:rPr>
        <w:t>region live in another region</w:t>
      </w:r>
      <w:r>
        <w:t xml:space="preserve"> (‘fly-in-fly-out’</w:t>
      </w:r>
      <w:r w:rsidR="00E3106D">
        <w:t xml:space="preserve"> or ‘drive-in-drive-out’</w:t>
      </w:r>
      <w:r>
        <w:t xml:space="preserve"> workers).</w:t>
      </w:r>
    </w:p>
    <w:p w14:paraId="6A7D01E9" w14:textId="1831F96A" w:rsidR="00FE45CE" w:rsidRDefault="00FE45CE" w:rsidP="00FE45CE">
      <w:r w:rsidRPr="00FE45CE">
        <w:rPr>
          <w:b/>
          <w:bCs/>
          <w:sz w:val="20"/>
          <w:szCs w:val="20"/>
        </w:rPr>
        <w:t xml:space="preserve">Table </w:t>
      </w:r>
      <w:r>
        <w:rPr>
          <w:b/>
          <w:bCs/>
          <w:sz w:val="20"/>
          <w:szCs w:val="20"/>
        </w:rPr>
        <w:t>2</w:t>
      </w:r>
      <w:r w:rsidRPr="00FE45CE">
        <w:rPr>
          <w:b/>
          <w:bCs/>
          <w:sz w:val="20"/>
          <w:szCs w:val="20"/>
        </w:rPr>
        <w:t xml:space="preserve">: </w:t>
      </w:r>
      <w:r w:rsidR="00220F11">
        <w:rPr>
          <w:b/>
          <w:bCs/>
          <w:sz w:val="20"/>
          <w:szCs w:val="20"/>
        </w:rPr>
        <w:t>‘Fly-in-fly-out’ or ‘drive-in-drive-out’ workforce</w:t>
      </w:r>
      <w:r>
        <w:rPr>
          <w:b/>
          <w:bCs/>
          <w:sz w:val="20"/>
          <w:szCs w:val="20"/>
        </w:rPr>
        <w:t xml:space="preserve">, 2021 </w:t>
      </w:r>
    </w:p>
    <w:tbl>
      <w:tblPr>
        <w:tblW w:w="9240" w:type="dxa"/>
        <w:tblLook w:val="04A0" w:firstRow="1" w:lastRow="0" w:firstColumn="1" w:lastColumn="0" w:noHBand="0" w:noVBand="1"/>
      </w:tblPr>
      <w:tblGrid>
        <w:gridCol w:w="3325"/>
        <w:gridCol w:w="1460"/>
        <w:gridCol w:w="1460"/>
        <w:gridCol w:w="1463"/>
        <w:gridCol w:w="1532"/>
      </w:tblGrid>
      <w:tr w:rsidR="00263BEE" w:rsidRPr="00263BEE" w14:paraId="604E5AA2" w14:textId="77777777" w:rsidTr="005D743E">
        <w:trPr>
          <w:trHeight w:val="840"/>
        </w:trPr>
        <w:tc>
          <w:tcPr>
            <w:tcW w:w="3325" w:type="dxa"/>
            <w:tcBorders>
              <w:top w:val="single" w:sz="4" w:space="0" w:color="auto"/>
              <w:left w:val="single" w:sz="4" w:space="0" w:color="auto"/>
              <w:bottom w:val="single" w:sz="4" w:space="0" w:color="auto"/>
              <w:right w:val="single" w:sz="4" w:space="0" w:color="auto"/>
            </w:tcBorders>
            <w:shd w:val="clear" w:color="000000" w:fill="4B0985"/>
            <w:vAlign w:val="center"/>
            <w:hideMark/>
          </w:tcPr>
          <w:p w14:paraId="2C30682D" w14:textId="77777777" w:rsidR="00263BEE" w:rsidRPr="00263BEE" w:rsidRDefault="00263BEE" w:rsidP="00263BEE">
            <w:pPr>
              <w:spacing w:after="0" w:line="240" w:lineRule="auto"/>
              <w:jc w:val="center"/>
              <w:rPr>
                <w:rFonts w:eastAsia="Times New Roman" w:cs="Arial"/>
                <w:b/>
                <w:bCs/>
                <w:color w:val="FFFFFF"/>
                <w:lang w:eastAsia="en-AU"/>
              </w:rPr>
            </w:pPr>
            <w:r w:rsidRPr="00263BEE">
              <w:rPr>
                <w:rFonts w:eastAsia="Times New Roman" w:cs="Arial"/>
                <w:b/>
                <w:bCs/>
                <w:color w:val="FFFFFF"/>
                <w:lang w:eastAsia="en-AU"/>
              </w:rPr>
              <w:t> </w:t>
            </w:r>
          </w:p>
        </w:tc>
        <w:tc>
          <w:tcPr>
            <w:tcW w:w="1460" w:type="dxa"/>
            <w:tcBorders>
              <w:top w:val="single" w:sz="4" w:space="0" w:color="auto"/>
              <w:left w:val="nil"/>
              <w:bottom w:val="single" w:sz="4" w:space="0" w:color="auto"/>
              <w:right w:val="nil"/>
            </w:tcBorders>
            <w:shd w:val="clear" w:color="000000" w:fill="4B0985"/>
            <w:vAlign w:val="center"/>
            <w:hideMark/>
          </w:tcPr>
          <w:p w14:paraId="58195BD7" w14:textId="77777777" w:rsidR="00263BEE" w:rsidRPr="00263BEE" w:rsidRDefault="00263BEE" w:rsidP="00263BEE">
            <w:pPr>
              <w:spacing w:after="0" w:line="240" w:lineRule="auto"/>
              <w:jc w:val="center"/>
              <w:rPr>
                <w:rFonts w:eastAsia="Times New Roman" w:cs="Arial"/>
                <w:b/>
                <w:bCs/>
                <w:color w:val="FFFFFF"/>
                <w:lang w:eastAsia="en-AU"/>
              </w:rPr>
            </w:pPr>
            <w:r w:rsidRPr="00263BEE">
              <w:rPr>
                <w:rFonts w:eastAsia="Times New Roman" w:cs="Arial"/>
                <w:b/>
                <w:bCs/>
                <w:color w:val="FFFFFF"/>
                <w:lang w:eastAsia="en-AU"/>
              </w:rPr>
              <w:t>Cairns</w:t>
            </w:r>
          </w:p>
        </w:tc>
        <w:tc>
          <w:tcPr>
            <w:tcW w:w="1460" w:type="dxa"/>
            <w:tcBorders>
              <w:top w:val="single" w:sz="4" w:space="0" w:color="auto"/>
              <w:left w:val="single" w:sz="4" w:space="0" w:color="auto"/>
              <w:bottom w:val="single" w:sz="4" w:space="0" w:color="auto"/>
              <w:right w:val="single" w:sz="4" w:space="0" w:color="auto"/>
            </w:tcBorders>
            <w:shd w:val="clear" w:color="000000" w:fill="4B0985"/>
            <w:vAlign w:val="center"/>
            <w:hideMark/>
          </w:tcPr>
          <w:p w14:paraId="5FE52A9C" w14:textId="77777777" w:rsidR="00263BEE" w:rsidRPr="00263BEE" w:rsidRDefault="00263BEE" w:rsidP="00263BEE">
            <w:pPr>
              <w:spacing w:after="0" w:line="240" w:lineRule="auto"/>
              <w:jc w:val="center"/>
              <w:rPr>
                <w:rFonts w:eastAsia="Times New Roman" w:cs="Arial"/>
                <w:b/>
                <w:bCs/>
                <w:color w:val="FFFFFF"/>
                <w:lang w:eastAsia="en-AU"/>
              </w:rPr>
            </w:pPr>
            <w:r w:rsidRPr="00263BEE">
              <w:rPr>
                <w:rFonts w:eastAsia="Times New Roman" w:cs="Arial"/>
                <w:b/>
                <w:bCs/>
                <w:color w:val="FFFFFF"/>
                <w:lang w:eastAsia="en-AU"/>
              </w:rPr>
              <w:t>Townsville</w:t>
            </w:r>
          </w:p>
        </w:tc>
        <w:tc>
          <w:tcPr>
            <w:tcW w:w="1463" w:type="dxa"/>
            <w:tcBorders>
              <w:top w:val="single" w:sz="4" w:space="0" w:color="auto"/>
              <w:left w:val="nil"/>
              <w:bottom w:val="single" w:sz="4" w:space="0" w:color="auto"/>
              <w:right w:val="single" w:sz="4" w:space="0" w:color="auto"/>
            </w:tcBorders>
            <w:shd w:val="clear" w:color="000000" w:fill="4B0985"/>
            <w:vAlign w:val="center"/>
            <w:hideMark/>
          </w:tcPr>
          <w:p w14:paraId="75A084E6" w14:textId="77777777" w:rsidR="00263BEE" w:rsidRPr="00263BEE" w:rsidRDefault="00263BEE" w:rsidP="00263BEE">
            <w:pPr>
              <w:spacing w:after="0" w:line="240" w:lineRule="auto"/>
              <w:jc w:val="center"/>
              <w:rPr>
                <w:rFonts w:eastAsia="Times New Roman" w:cs="Arial"/>
                <w:b/>
                <w:bCs/>
                <w:color w:val="FFFFFF"/>
                <w:lang w:eastAsia="en-AU"/>
              </w:rPr>
            </w:pPr>
            <w:r w:rsidRPr="00263BEE">
              <w:rPr>
                <w:rFonts w:eastAsia="Times New Roman" w:cs="Arial"/>
                <w:b/>
                <w:bCs/>
                <w:color w:val="FFFFFF"/>
                <w:lang w:eastAsia="en-AU"/>
              </w:rPr>
              <w:t>Mackay - Isaac - Whitsunday</w:t>
            </w:r>
          </w:p>
        </w:tc>
        <w:tc>
          <w:tcPr>
            <w:tcW w:w="1532" w:type="dxa"/>
            <w:tcBorders>
              <w:top w:val="nil"/>
              <w:left w:val="nil"/>
              <w:bottom w:val="single" w:sz="4" w:space="0" w:color="auto"/>
              <w:right w:val="single" w:sz="4" w:space="0" w:color="auto"/>
            </w:tcBorders>
            <w:shd w:val="clear" w:color="000000" w:fill="4B0985"/>
            <w:vAlign w:val="center"/>
            <w:hideMark/>
          </w:tcPr>
          <w:p w14:paraId="2A1770C7" w14:textId="2DFD6E3B" w:rsidR="00263BEE" w:rsidRPr="00263BEE" w:rsidRDefault="002F644E" w:rsidP="00263BEE">
            <w:pPr>
              <w:spacing w:after="0" w:line="240" w:lineRule="auto"/>
              <w:jc w:val="center"/>
              <w:rPr>
                <w:rFonts w:eastAsia="Times New Roman" w:cs="Arial"/>
                <w:b/>
                <w:bCs/>
                <w:color w:val="FFFFFF"/>
                <w:lang w:eastAsia="en-AU"/>
              </w:rPr>
            </w:pPr>
            <w:r>
              <w:rPr>
                <w:rFonts w:eastAsia="Times New Roman" w:cs="Arial"/>
                <w:b/>
                <w:bCs/>
                <w:color w:val="FFFFFF"/>
                <w:lang w:eastAsia="en-AU"/>
              </w:rPr>
              <w:t xml:space="preserve">Regional </w:t>
            </w:r>
            <w:r w:rsidR="00263BEE" w:rsidRPr="00263BEE">
              <w:rPr>
                <w:rFonts w:eastAsia="Times New Roman" w:cs="Arial"/>
                <w:b/>
                <w:bCs/>
                <w:color w:val="FFFFFF"/>
                <w:lang w:eastAsia="en-AU"/>
              </w:rPr>
              <w:t>Australia</w:t>
            </w:r>
          </w:p>
        </w:tc>
      </w:tr>
      <w:tr w:rsidR="00263BEE" w:rsidRPr="00263BEE" w14:paraId="503631FF" w14:textId="77777777" w:rsidTr="005D743E">
        <w:trPr>
          <w:trHeight w:val="880"/>
        </w:trPr>
        <w:tc>
          <w:tcPr>
            <w:tcW w:w="33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2B7BC" w14:textId="047B6D3D" w:rsidR="00263BEE" w:rsidRPr="00263BEE" w:rsidRDefault="00263BEE" w:rsidP="00263BEE">
            <w:pPr>
              <w:spacing w:after="0" w:line="240" w:lineRule="auto"/>
              <w:rPr>
                <w:rFonts w:eastAsia="Times New Roman" w:cs="Arial"/>
                <w:color w:val="000000"/>
                <w:lang w:eastAsia="en-AU"/>
              </w:rPr>
            </w:pPr>
            <w:r w:rsidRPr="00263BEE">
              <w:rPr>
                <w:rFonts w:eastAsia="Times New Roman" w:cs="Arial"/>
                <w:color w:val="000000"/>
                <w:lang w:eastAsia="en-AU"/>
              </w:rPr>
              <w:t xml:space="preserve">Prop. of the </w:t>
            </w:r>
            <w:r w:rsidR="00003363">
              <w:rPr>
                <w:rFonts w:eastAsia="Times New Roman" w:cs="Arial"/>
                <w:color w:val="000000"/>
                <w:lang w:eastAsia="en-AU"/>
              </w:rPr>
              <w:t xml:space="preserve">local </w:t>
            </w:r>
            <w:r w:rsidRPr="00263BEE">
              <w:rPr>
                <w:rFonts w:eastAsia="Times New Roman" w:cs="Arial"/>
                <w:color w:val="000000"/>
                <w:lang w:eastAsia="en-AU"/>
              </w:rPr>
              <w:t>workforce that live in another region ('fly-in-fly</w:t>
            </w:r>
            <w:r w:rsidR="00FE45CE">
              <w:rPr>
                <w:rFonts w:eastAsia="Times New Roman" w:cs="Arial"/>
                <w:color w:val="000000"/>
                <w:lang w:eastAsia="en-AU"/>
              </w:rPr>
              <w:t>-</w:t>
            </w:r>
            <w:r w:rsidRPr="00263BEE">
              <w:rPr>
                <w:rFonts w:eastAsia="Times New Roman" w:cs="Arial"/>
                <w:color w:val="000000"/>
                <w:lang w:eastAsia="en-AU"/>
              </w:rPr>
              <w:t xml:space="preserve">out' </w:t>
            </w:r>
            <w:r w:rsidR="00E4494F">
              <w:rPr>
                <w:rFonts w:eastAsia="Times New Roman" w:cs="Arial"/>
                <w:color w:val="000000"/>
                <w:lang w:eastAsia="en-AU"/>
              </w:rPr>
              <w:t xml:space="preserve">or ‘drive-in-drive-out’ </w:t>
            </w:r>
            <w:r w:rsidRPr="00263BEE">
              <w:rPr>
                <w:rFonts w:eastAsia="Times New Roman" w:cs="Arial"/>
                <w:color w:val="000000"/>
                <w:lang w:eastAsia="en-AU"/>
              </w:rPr>
              <w:t>workers) (%)</w:t>
            </w:r>
          </w:p>
        </w:tc>
        <w:tc>
          <w:tcPr>
            <w:tcW w:w="1460" w:type="dxa"/>
            <w:tcBorders>
              <w:top w:val="single" w:sz="4" w:space="0" w:color="auto"/>
              <w:left w:val="nil"/>
              <w:bottom w:val="single" w:sz="4" w:space="0" w:color="auto"/>
              <w:right w:val="nil"/>
            </w:tcBorders>
            <w:shd w:val="clear" w:color="auto" w:fill="auto"/>
            <w:noWrap/>
            <w:vAlign w:val="center"/>
            <w:hideMark/>
          </w:tcPr>
          <w:p w14:paraId="5B9F71D9" w14:textId="0F2E9053" w:rsidR="00263BEE" w:rsidRPr="00263BEE" w:rsidRDefault="00263BEE" w:rsidP="00263BEE">
            <w:pPr>
              <w:spacing w:after="0" w:line="240" w:lineRule="auto"/>
              <w:jc w:val="center"/>
              <w:rPr>
                <w:rFonts w:eastAsia="Times New Roman" w:cs="Arial"/>
                <w:color w:val="000000"/>
                <w:lang w:eastAsia="en-AU"/>
              </w:rPr>
            </w:pPr>
            <w:r w:rsidRPr="00263BEE">
              <w:rPr>
                <w:rFonts w:eastAsia="Times New Roman" w:cs="Arial"/>
                <w:color w:val="000000"/>
                <w:lang w:eastAsia="en-AU"/>
              </w:rPr>
              <w:t>3</w:t>
            </w:r>
            <w:r w:rsidR="00915F44">
              <w:rPr>
                <w:rFonts w:eastAsia="Times New Roman" w:cs="Arial"/>
                <w:color w:val="000000"/>
                <w:lang w:eastAsia="en-AU"/>
              </w:rPr>
              <w:t>%</w:t>
            </w:r>
          </w:p>
        </w:tc>
        <w:tc>
          <w:tcPr>
            <w:tcW w:w="1460" w:type="dxa"/>
            <w:tcBorders>
              <w:top w:val="nil"/>
              <w:left w:val="nil"/>
              <w:bottom w:val="single" w:sz="4" w:space="0" w:color="auto"/>
              <w:right w:val="nil"/>
            </w:tcBorders>
            <w:shd w:val="clear" w:color="auto" w:fill="auto"/>
            <w:noWrap/>
            <w:vAlign w:val="center"/>
            <w:hideMark/>
          </w:tcPr>
          <w:p w14:paraId="0EDF87C6" w14:textId="76625950" w:rsidR="00263BEE" w:rsidRPr="00263BEE" w:rsidRDefault="00263BEE" w:rsidP="00263BEE">
            <w:pPr>
              <w:spacing w:after="0" w:line="240" w:lineRule="auto"/>
              <w:jc w:val="center"/>
              <w:rPr>
                <w:rFonts w:eastAsia="Times New Roman" w:cs="Arial"/>
                <w:color w:val="000000"/>
                <w:lang w:eastAsia="en-AU"/>
              </w:rPr>
            </w:pPr>
            <w:r w:rsidRPr="00263BEE">
              <w:rPr>
                <w:rFonts w:eastAsia="Times New Roman" w:cs="Arial"/>
                <w:color w:val="000000"/>
                <w:lang w:eastAsia="en-AU"/>
              </w:rPr>
              <w:t>2</w:t>
            </w:r>
            <w:r w:rsidR="00915F44">
              <w:rPr>
                <w:rFonts w:eastAsia="Times New Roman" w:cs="Arial"/>
                <w:color w:val="000000"/>
                <w:lang w:eastAsia="en-AU"/>
              </w:rPr>
              <w:t>%</w:t>
            </w:r>
          </w:p>
        </w:tc>
        <w:tc>
          <w:tcPr>
            <w:tcW w:w="1463" w:type="dxa"/>
            <w:tcBorders>
              <w:top w:val="nil"/>
              <w:left w:val="nil"/>
              <w:bottom w:val="single" w:sz="4" w:space="0" w:color="auto"/>
              <w:right w:val="dotted" w:sz="4" w:space="0" w:color="auto"/>
            </w:tcBorders>
            <w:shd w:val="clear" w:color="auto" w:fill="auto"/>
            <w:noWrap/>
            <w:vAlign w:val="center"/>
            <w:hideMark/>
          </w:tcPr>
          <w:p w14:paraId="306866A9" w14:textId="083C2832" w:rsidR="00263BEE" w:rsidRPr="00263BEE" w:rsidRDefault="00263BEE" w:rsidP="00263BEE">
            <w:pPr>
              <w:spacing w:after="0" w:line="240" w:lineRule="auto"/>
              <w:jc w:val="center"/>
              <w:rPr>
                <w:rFonts w:eastAsia="Times New Roman" w:cs="Arial"/>
                <w:color w:val="000000"/>
                <w:lang w:eastAsia="en-AU"/>
              </w:rPr>
            </w:pPr>
            <w:r w:rsidRPr="00263BEE">
              <w:rPr>
                <w:rFonts w:eastAsia="Times New Roman" w:cs="Arial"/>
                <w:color w:val="000000"/>
                <w:lang w:eastAsia="en-AU"/>
              </w:rPr>
              <w:t>12</w:t>
            </w:r>
            <w:r w:rsidR="00915F44">
              <w:rPr>
                <w:rFonts w:eastAsia="Times New Roman" w:cs="Arial"/>
                <w:color w:val="000000"/>
                <w:lang w:eastAsia="en-AU"/>
              </w:rPr>
              <w:t>%</w:t>
            </w:r>
          </w:p>
        </w:tc>
        <w:tc>
          <w:tcPr>
            <w:tcW w:w="1532" w:type="dxa"/>
            <w:tcBorders>
              <w:top w:val="nil"/>
              <w:left w:val="nil"/>
              <w:bottom w:val="single" w:sz="4" w:space="0" w:color="auto"/>
              <w:right w:val="single" w:sz="4" w:space="0" w:color="auto"/>
            </w:tcBorders>
            <w:shd w:val="clear" w:color="auto" w:fill="auto"/>
            <w:noWrap/>
            <w:vAlign w:val="center"/>
            <w:hideMark/>
          </w:tcPr>
          <w:p w14:paraId="30372FEC" w14:textId="2D61ED98" w:rsidR="00263BEE" w:rsidRPr="00263BEE" w:rsidRDefault="00263BEE" w:rsidP="00263BEE">
            <w:pPr>
              <w:spacing w:after="0" w:line="240" w:lineRule="auto"/>
              <w:jc w:val="center"/>
              <w:rPr>
                <w:rFonts w:eastAsia="Times New Roman" w:cs="Arial"/>
                <w:color w:val="000000"/>
                <w:lang w:eastAsia="en-AU"/>
              </w:rPr>
            </w:pPr>
            <w:r w:rsidRPr="00263BEE">
              <w:rPr>
                <w:rFonts w:eastAsia="Times New Roman" w:cs="Arial"/>
                <w:color w:val="000000"/>
                <w:lang w:eastAsia="en-AU"/>
              </w:rPr>
              <w:t>9</w:t>
            </w:r>
            <w:r w:rsidR="00915F44">
              <w:rPr>
                <w:rFonts w:eastAsia="Times New Roman" w:cs="Arial"/>
                <w:color w:val="000000"/>
                <w:lang w:eastAsia="en-AU"/>
              </w:rPr>
              <w:t>%</w:t>
            </w:r>
          </w:p>
        </w:tc>
      </w:tr>
    </w:tbl>
    <w:p w14:paraId="1D2A2B86" w14:textId="72E79FC9" w:rsidR="00AC0C2F" w:rsidRDefault="00FE45CE" w:rsidP="00AC0C2F">
      <w:pPr>
        <w:sectPr w:rsidR="00AC0C2F" w:rsidSect="001918A6">
          <w:type w:val="continuous"/>
          <w:pgSz w:w="11906" w:h="16838"/>
          <w:pgMar w:top="1276" w:right="1440" w:bottom="1134" w:left="1440" w:header="0" w:footer="539" w:gutter="0"/>
          <w:cols w:space="708"/>
          <w:titlePg/>
          <w:docGrid w:linePitch="360"/>
        </w:sectPr>
      </w:pPr>
      <w:r>
        <w:rPr>
          <w:i/>
          <w:iCs/>
          <w:sz w:val="18"/>
          <w:szCs w:val="18"/>
        </w:rPr>
        <w:t>Source: ABS Census, 2021</w:t>
      </w:r>
      <w:r w:rsidR="00AC0C2F">
        <w:rPr>
          <w:i/>
          <w:iCs/>
          <w:sz w:val="18"/>
          <w:szCs w:val="18"/>
        </w:rPr>
        <w:t>.</w:t>
      </w:r>
    </w:p>
    <w:p w14:paraId="46439288" w14:textId="2D37F98C" w:rsidR="00FF2A2C" w:rsidRPr="00BC1B66" w:rsidRDefault="00FF2A2C" w:rsidP="00FF2A2C">
      <w:pPr>
        <w:pStyle w:val="Heading2"/>
        <w:keepNext w:val="0"/>
        <w:keepLines w:val="0"/>
      </w:pPr>
      <w:r w:rsidRPr="00BC1B66">
        <w:lastRenderedPageBreak/>
        <w:t xml:space="preserve">Labour Market Rating by SA4, </w:t>
      </w:r>
      <w:r w:rsidR="005B548E">
        <w:t>June</w:t>
      </w:r>
      <w:r w:rsidR="00653BDD" w:rsidRPr="00BC1B66">
        <w:t xml:space="preserve"> 2025</w:t>
      </w:r>
    </w:p>
    <w:tbl>
      <w:tblPr>
        <w:tblW w:w="9600" w:type="dxa"/>
        <w:tblLook w:val="04A0" w:firstRow="1" w:lastRow="0" w:firstColumn="1" w:lastColumn="0" w:noHBand="0" w:noVBand="1"/>
      </w:tblPr>
      <w:tblGrid>
        <w:gridCol w:w="3320"/>
        <w:gridCol w:w="2200"/>
        <w:gridCol w:w="1460"/>
        <w:gridCol w:w="1460"/>
        <w:gridCol w:w="1160"/>
      </w:tblGrid>
      <w:tr w:rsidR="005B548E" w:rsidRPr="005B548E" w14:paraId="71957DD4" w14:textId="77777777" w:rsidTr="005B548E">
        <w:trPr>
          <w:trHeight w:val="280"/>
        </w:trPr>
        <w:tc>
          <w:tcPr>
            <w:tcW w:w="3320" w:type="dxa"/>
            <w:tcBorders>
              <w:top w:val="single" w:sz="4" w:space="0" w:color="auto"/>
              <w:left w:val="single" w:sz="4" w:space="0" w:color="auto"/>
              <w:bottom w:val="nil"/>
              <w:right w:val="single" w:sz="4" w:space="0" w:color="auto"/>
            </w:tcBorders>
            <w:shd w:val="clear" w:color="000000" w:fill="4B0985"/>
            <w:vAlign w:val="center"/>
            <w:hideMark/>
          </w:tcPr>
          <w:p w14:paraId="7C36C446" w14:textId="77777777" w:rsidR="005B548E" w:rsidRPr="005B548E" w:rsidRDefault="005B548E" w:rsidP="005B548E">
            <w:pPr>
              <w:spacing w:after="0" w:line="240" w:lineRule="auto"/>
              <w:jc w:val="center"/>
              <w:rPr>
                <w:rFonts w:eastAsia="Times New Roman" w:cs="Arial"/>
                <w:b/>
                <w:bCs/>
                <w:color w:val="FFFFFF"/>
                <w:sz w:val="18"/>
                <w:szCs w:val="18"/>
                <w:lang w:eastAsia="en-AU"/>
              </w:rPr>
            </w:pPr>
            <w:r w:rsidRPr="005B548E">
              <w:rPr>
                <w:rFonts w:eastAsia="Times New Roman" w:cs="Arial"/>
                <w:b/>
                <w:bCs/>
                <w:color w:val="FFFFFF"/>
                <w:sz w:val="18"/>
                <w:szCs w:val="18"/>
                <w:lang w:eastAsia="en-AU"/>
              </w:rPr>
              <w:t>Statistical Area Level 4 (SA4)</w:t>
            </w:r>
          </w:p>
        </w:tc>
        <w:tc>
          <w:tcPr>
            <w:tcW w:w="2200" w:type="dxa"/>
            <w:tcBorders>
              <w:top w:val="single" w:sz="4" w:space="0" w:color="auto"/>
              <w:left w:val="nil"/>
              <w:bottom w:val="nil"/>
              <w:right w:val="nil"/>
            </w:tcBorders>
            <w:shd w:val="clear" w:color="000000" w:fill="4B0985"/>
            <w:vAlign w:val="center"/>
            <w:hideMark/>
          </w:tcPr>
          <w:p w14:paraId="5C14995B" w14:textId="77777777" w:rsidR="005B548E" w:rsidRPr="005B548E" w:rsidRDefault="005B548E" w:rsidP="005B548E">
            <w:pPr>
              <w:spacing w:after="0" w:line="240" w:lineRule="auto"/>
              <w:jc w:val="center"/>
              <w:rPr>
                <w:rFonts w:eastAsia="Times New Roman" w:cs="Arial"/>
                <w:b/>
                <w:bCs/>
                <w:color w:val="FFFFFF"/>
                <w:sz w:val="18"/>
                <w:szCs w:val="18"/>
                <w:lang w:eastAsia="en-AU"/>
              </w:rPr>
            </w:pPr>
            <w:r w:rsidRPr="005B548E">
              <w:rPr>
                <w:rFonts w:eastAsia="Times New Roman" w:cs="Arial"/>
                <w:b/>
                <w:bCs/>
                <w:color w:val="FFFFFF"/>
                <w:sz w:val="18"/>
                <w:szCs w:val="18"/>
                <w:lang w:eastAsia="en-AU"/>
              </w:rPr>
              <w:t>Remoteness</w:t>
            </w:r>
          </w:p>
        </w:tc>
        <w:tc>
          <w:tcPr>
            <w:tcW w:w="1460" w:type="dxa"/>
            <w:tcBorders>
              <w:top w:val="single" w:sz="4" w:space="0" w:color="auto"/>
              <w:left w:val="single" w:sz="4" w:space="0" w:color="auto"/>
              <w:bottom w:val="single" w:sz="4" w:space="0" w:color="auto"/>
              <w:right w:val="single" w:sz="4" w:space="0" w:color="auto"/>
            </w:tcBorders>
            <w:shd w:val="clear" w:color="000000" w:fill="4B0985"/>
            <w:noWrap/>
            <w:vAlign w:val="center"/>
            <w:hideMark/>
          </w:tcPr>
          <w:p w14:paraId="1D4C1B0B" w14:textId="77777777" w:rsidR="005B548E" w:rsidRPr="005B548E" w:rsidRDefault="005B548E" w:rsidP="005B548E">
            <w:pPr>
              <w:spacing w:after="0" w:line="240" w:lineRule="auto"/>
              <w:jc w:val="center"/>
              <w:rPr>
                <w:rFonts w:eastAsia="Times New Roman" w:cs="Arial"/>
                <w:b/>
                <w:bCs/>
                <w:color w:val="FFFFFF"/>
                <w:sz w:val="18"/>
                <w:szCs w:val="18"/>
                <w:lang w:eastAsia="en-AU"/>
              </w:rPr>
            </w:pPr>
            <w:r w:rsidRPr="005B548E">
              <w:rPr>
                <w:rFonts w:eastAsia="Times New Roman" w:cs="Arial"/>
                <w:b/>
                <w:bCs/>
                <w:color w:val="FFFFFF"/>
                <w:sz w:val="18"/>
                <w:szCs w:val="18"/>
                <w:lang w:eastAsia="en-AU"/>
              </w:rPr>
              <w:t>Jun-24</w:t>
            </w:r>
          </w:p>
        </w:tc>
        <w:tc>
          <w:tcPr>
            <w:tcW w:w="1460" w:type="dxa"/>
            <w:tcBorders>
              <w:top w:val="single" w:sz="4" w:space="0" w:color="auto"/>
              <w:left w:val="nil"/>
              <w:bottom w:val="single" w:sz="4" w:space="0" w:color="auto"/>
              <w:right w:val="single" w:sz="4" w:space="0" w:color="auto"/>
            </w:tcBorders>
            <w:shd w:val="clear" w:color="000000" w:fill="4B0985"/>
            <w:noWrap/>
            <w:vAlign w:val="center"/>
            <w:hideMark/>
          </w:tcPr>
          <w:p w14:paraId="0BB62674" w14:textId="77777777" w:rsidR="005B548E" w:rsidRPr="005B548E" w:rsidRDefault="005B548E" w:rsidP="005B548E">
            <w:pPr>
              <w:spacing w:after="0" w:line="240" w:lineRule="auto"/>
              <w:jc w:val="center"/>
              <w:rPr>
                <w:rFonts w:eastAsia="Times New Roman" w:cs="Arial"/>
                <w:b/>
                <w:bCs/>
                <w:color w:val="FFFFFF"/>
                <w:sz w:val="18"/>
                <w:szCs w:val="18"/>
                <w:lang w:eastAsia="en-AU"/>
              </w:rPr>
            </w:pPr>
            <w:r w:rsidRPr="005B548E">
              <w:rPr>
                <w:rFonts w:eastAsia="Times New Roman" w:cs="Arial"/>
                <w:b/>
                <w:bCs/>
                <w:color w:val="FFFFFF"/>
                <w:sz w:val="18"/>
                <w:szCs w:val="18"/>
                <w:lang w:eastAsia="en-AU"/>
              </w:rPr>
              <w:t>Jun-25</w:t>
            </w:r>
          </w:p>
        </w:tc>
        <w:tc>
          <w:tcPr>
            <w:tcW w:w="1160" w:type="dxa"/>
            <w:tcBorders>
              <w:top w:val="single" w:sz="4" w:space="0" w:color="auto"/>
              <w:left w:val="nil"/>
              <w:bottom w:val="single" w:sz="4" w:space="0" w:color="auto"/>
              <w:right w:val="single" w:sz="4" w:space="0" w:color="auto"/>
            </w:tcBorders>
            <w:shd w:val="clear" w:color="000000" w:fill="4B0985"/>
            <w:noWrap/>
            <w:vAlign w:val="center"/>
            <w:hideMark/>
          </w:tcPr>
          <w:p w14:paraId="65EDDF1E" w14:textId="77777777" w:rsidR="005B548E" w:rsidRPr="005B548E" w:rsidRDefault="005B548E" w:rsidP="005B548E">
            <w:pPr>
              <w:spacing w:after="0" w:line="240" w:lineRule="auto"/>
              <w:jc w:val="center"/>
              <w:rPr>
                <w:rFonts w:eastAsia="Times New Roman" w:cs="Arial"/>
                <w:b/>
                <w:bCs/>
                <w:color w:val="FFFFFF"/>
                <w:sz w:val="18"/>
                <w:szCs w:val="18"/>
                <w:lang w:eastAsia="en-AU"/>
              </w:rPr>
            </w:pPr>
            <w:r w:rsidRPr="005B548E">
              <w:rPr>
                <w:rFonts w:eastAsia="Times New Roman" w:cs="Arial"/>
                <w:b/>
                <w:bCs/>
                <w:color w:val="FFFFFF"/>
                <w:sz w:val="18"/>
                <w:szCs w:val="18"/>
                <w:lang w:eastAsia="en-AU"/>
              </w:rPr>
              <w:t>Direction</w:t>
            </w:r>
          </w:p>
        </w:tc>
      </w:tr>
      <w:tr w:rsidR="005B548E" w:rsidRPr="005B548E" w14:paraId="2BA5EB5A" w14:textId="77777777" w:rsidTr="005B548E">
        <w:trPr>
          <w:trHeight w:val="283"/>
        </w:trPr>
        <w:tc>
          <w:tcPr>
            <w:tcW w:w="3320" w:type="dxa"/>
            <w:tcBorders>
              <w:top w:val="single" w:sz="4" w:space="0" w:color="auto"/>
              <w:left w:val="single" w:sz="4" w:space="0" w:color="auto"/>
              <w:bottom w:val="nil"/>
              <w:right w:val="single" w:sz="4" w:space="0" w:color="auto"/>
            </w:tcBorders>
            <w:shd w:val="clear" w:color="auto" w:fill="auto"/>
            <w:noWrap/>
            <w:vAlign w:val="bottom"/>
            <w:hideMark/>
          </w:tcPr>
          <w:p w14:paraId="0F09187E"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Central Coast</w:t>
            </w:r>
          </w:p>
        </w:tc>
        <w:tc>
          <w:tcPr>
            <w:tcW w:w="2200" w:type="dxa"/>
            <w:tcBorders>
              <w:top w:val="single" w:sz="4" w:space="0" w:color="auto"/>
              <w:left w:val="nil"/>
              <w:bottom w:val="nil"/>
              <w:right w:val="nil"/>
            </w:tcBorders>
            <w:shd w:val="clear" w:color="auto" w:fill="auto"/>
            <w:noWrap/>
            <w:vAlign w:val="bottom"/>
            <w:hideMark/>
          </w:tcPr>
          <w:p w14:paraId="6AFD5198"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bottom"/>
            <w:hideMark/>
          </w:tcPr>
          <w:p w14:paraId="13301A6D"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Average</w:t>
            </w:r>
          </w:p>
        </w:tc>
        <w:tc>
          <w:tcPr>
            <w:tcW w:w="1460" w:type="dxa"/>
            <w:tcBorders>
              <w:top w:val="nil"/>
              <w:left w:val="nil"/>
              <w:bottom w:val="nil"/>
              <w:right w:val="single" w:sz="4" w:space="0" w:color="auto"/>
            </w:tcBorders>
            <w:shd w:val="clear" w:color="auto" w:fill="auto"/>
            <w:noWrap/>
            <w:vAlign w:val="bottom"/>
            <w:hideMark/>
          </w:tcPr>
          <w:p w14:paraId="377271C8"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Average</w:t>
            </w:r>
          </w:p>
        </w:tc>
        <w:tc>
          <w:tcPr>
            <w:tcW w:w="1160" w:type="dxa"/>
            <w:tcBorders>
              <w:top w:val="nil"/>
              <w:left w:val="nil"/>
              <w:bottom w:val="nil"/>
              <w:right w:val="single" w:sz="4" w:space="0" w:color="auto"/>
            </w:tcBorders>
            <w:shd w:val="clear" w:color="auto" w:fill="auto"/>
            <w:noWrap/>
            <w:vAlign w:val="bottom"/>
            <w:hideMark/>
          </w:tcPr>
          <w:p w14:paraId="3C83E99C"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r w:rsidR="005B548E" w:rsidRPr="005B548E" w14:paraId="0B0AB83A" w14:textId="77777777" w:rsidTr="005B548E">
        <w:trPr>
          <w:trHeight w:val="283"/>
        </w:trPr>
        <w:tc>
          <w:tcPr>
            <w:tcW w:w="3320" w:type="dxa"/>
            <w:tcBorders>
              <w:top w:val="nil"/>
              <w:left w:val="single" w:sz="4" w:space="0" w:color="auto"/>
              <w:bottom w:val="nil"/>
              <w:right w:val="single" w:sz="4" w:space="0" w:color="auto"/>
            </w:tcBorders>
            <w:shd w:val="clear" w:color="auto" w:fill="auto"/>
            <w:noWrap/>
            <w:vAlign w:val="bottom"/>
            <w:hideMark/>
          </w:tcPr>
          <w:p w14:paraId="1742A1D5"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Sydney - Baulkham Hills and Hawkesbury</w:t>
            </w:r>
          </w:p>
        </w:tc>
        <w:tc>
          <w:tcPr>
            <w:tcW w:w="2200" w:type="dxa"/>
            <w:tcBorders>
              <w:top w:val="nil"/>
              <w:left w:val="nil"/>
              <w:bottom w:val="nil"/>
              <w:right w:val="nil"/>
            </w:tcBorders>
            <w:shd w:val="clear" w:color="auto" w:fill="auto"/>
            <w:noWrap/>
            <w:vAlign w:val="bottom"/>
            <w:hideMark/>
          </w:tcPr>
          <w:p w14:paraId="72471C74"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bottom"/>
            <w:hideMark/>
          </w:tcPr>
          <w:p w14:paraId="2D1B7133"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Strong</w:t>
            </w:r>
          </w:p>
        </w:tc>
        <w:tc>
          <w:tcPr>
            <w:tcW w:w="1460" w:type="dxa"/>
            <w:tcBorders>
              <w:top w:val="nil"/>
              <w:left w:val="nil"/>
              <w:bottom w:val="nil"/>
              <w:right w:val="single" w:sz="4" w:space="0" w:color="auto"/>
            </w:tcBorders>
            <w:shd w:val="clear" w:color="auto" w:fill="auto"/>
            <w:noWrap/>
            <w:vAlign w:val="bottom"/>
            <w:hideMark/>
          </w:tcPr>
          <w:p w14:paraId="10D26A1A"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Strong</w:t>
            </w:r>
          </w:p>
        </w:tc>
        <w:tc>
          <w:tcPr>
            <w:tcW w:w="1160" w:type="dxa"/>
            <w:tcBorders>
              <w:top w:val="nil"/>
              <w:left w:val="nil"/>
              <w:bottom w:val="nil"/>
              <w:right w:val="single" w:sz="4" w:space="0" w:color="auto"/>
            </w:tcBorders>
            <w:shd w:val="clear" w:color="auto" w:fill="auto"/>
            <w:noWrap/>
            <w:vAlign w:val="bottom"/>
            <w:hideMark/>
          </w:tcPr>
          <w:p w14:paraId="733D203D"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r w:rsidR="005B548E" w:rsidRPr="005B548E" w14:paraId="7347D91A" w14:textId="77777777" w:rsidTr="005B548E">
        <w:trPr>
          <w:trHeight w:val="283"/>
        </w:trPr>
        <w:tc>
          <w:tcPr>
            <w:tcW w:w="3320" w:type="dxa"/>
            <w:tcBorders>
              <w:top w:val="nil"/>
              <w:left w:val="single" w:sz="4" w:space="0" w:color="auto"/>
              <w:bottom w:val="nil"/>
              <w:right w:val="single" w:sz="4" w:space="0" w:color="auto"/>
            </w:tcBorders>
            <w:shd w:val="clear" w:color="auto" w:fill="auto"/>
            <w:noWrap/>
            <w:vAlign w:val="bottom"/>
            <w:hideMark/>
          </w:tcPr>
          <w:p w14:paraId="354A4A7C"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Sydney - Blacktown</w:t>
            </w:r>
          </w:p>
        </w:tc>
        <w:tc>
          <w:tcPr>
            <w:tcW w:w="2200" w:type="dxa"/>
            <w:tcBorders>
              <w:top w:val="nil"/>
              <w:left w:val="nil"/>
              <w:bottom w:val="nil"/>
              <w:right w:val="nil"/>
            </w:tcBorders>
            <w:shd w:val="clear" w:color="auto" w:fill="auto"/>
            <w:noWrap/>
            <w:vAlign w:val="bottom"/>
            <w:hideMark/>
          </w:tcPr>
          <w:p w14:paraId="7E184079"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bottom"/>
            <w:hideMark/>
          </w:tcPr>
          <w:p w14:paraId="036E6277"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Average</w:t>
            </w:r>
          </w:p>
        </w:tc>
        <w:tc>
          <w:tcPr>
            <w:tcW w:w="1460" w:type="dxa"/>
            <w:tcBorders>
              <w:top w:val="nil"/>
              <w:left w:val="nil"/>
              <w:bottom w:val="nil"/>
              <w:right w:val="single" w:sz="4" w:space="0" w:color="auto"/>
            </w:tcBorders>
            <w:shd w:val="clear" w:color="auto" w:fill="auto"/>
            <w:noWrap/>
            <w:vAlign w:val="bottom"/>
            <w:hideMark/>
          </w:tcPr>
          <w:p w14:paraId="3CC41020"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Average</w:t>
            </w:r>
          </w:p>
        </w:tc>
        <w:tc>
          <w:tcPr>
            <w:tcW w:w="1160" w:type="dxa"/>
            <w:tcBorders>
              <w:top w:val="nil"/>
              <w:left w:val="nil"/>
              <w:bottom w:val="nil"/>
              <w:right w:val="single" w:sz="4" w:space="0" w:color="auto"/>
            </w:tcBorders>
            <w:shd w:val="clear" w:color="auto" w:fill="auto"/>
            <w:noWrap/>
            <w:vAlign w:val="bottom"/>
            <w:hideMark/>
          </w:tcPr>
          <w:p w14:paraId="48AB6B80"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r w:rsidR="005B548E" w:rsidRPr="005B548E" w14:paraId="049BB266" w14:textId="77777777" w:rsidTr="005B548E">
        <w:trPr>
          <w:trHeight w:val="283"/>
        </w:trPr>
        <w:tc>
          <w:tcPr>
            <w:tcW w:w="3320" w:type="dxa"/>
            <w:tcBorders>
              <w:top w:val="nil"/>
              <w:left w:val="single" w:sz="4" w:space="0" w:color="auto"/>
              <w:bottom w:val="nil"/>
              <w:right w:val="single" w:sz="4" w:space="0" w:color="auto"/>
            </w:tcBorders>
            <w:shd w:val="clear" w:color="auto" w:fill="auto"/>
            <w:noWrap/>
            <w:vAlign w:val="bottom"/>
            <w:hideMark/>
          </w:tcPr>
          <w:p w14:paraId="26609EDA"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Sydney - City and Inner South</w:t>
            </w:r>
          </w:p>
        </w:tc>
        <w:tc>
          <w:tcPr>
            <w:tcW w:w="2200" w:type="dxa"/>
            <w:tcBorders>
              <w:top w:val="nil"/>
              <w:left w:val="nil"/>
              <w:bottom w:val="nil"/>
              <w:right w:val="nil"/>
            </w:tcBorders>
            <w:shd w:val="clear" w:color="auto" w:fill="auto"/>
            <w:noWrap/>
            <w:vAlign w:val="bottom"/>
            <w:hideMark/>
          </w:tcPr>
          <w:p w14:paraId="63BAD3F4"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bottom"/>
            <w:hideMark/>
          </w:tcPr>
          <w:p w14:paraId="116231C7"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Above average</w:t>
            </w:r>
          </w:p>
        </w:tc>
        <w:tc>
          <w:tcPr>
            <w:tcW w:w="1460" w:type="dxa"/>
            <w:tcBorders>
              <w:top w:val="nil"/>
              <w:left w:val="nil"/>
              <w:bottom w:val="nil"/>
              <w:right w:val="single" w:sz="4" w:space="0" w:color="auto"/>
            </w:tcBorders>
            <w:shd w:val="clear" w:color="auto" w:fill="auto"/>
            <w:noWrap/>
            <w:vAlign w:val="bottom"/>
            <w:hideMark/>
          </w:tcPr>
          <w:p w14:paraId="7F1C559D"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Above average</w:t>
            </w:r>
          </w:p>
        </w:tc>
        <w:tc>
          <w:tcPr>
            <w:tcW w:w="1160" w:type="dxa"/>
            <w:tcBorders>
              <w:top w:val="nil"/>
              <w:left w:val="nil"/>
              <w:bottom w:val="nil"/>
              <w:right w:val="single" w:sz="4" w:space="0" w:color="auto"/>
            </w:tcBorders>
            <w:shd w:val="clear" w:color="auto" w:fill="auto"/>
            <w:noWrap/>
            <w:vAlign w:val="bottom"/>
            <w:hideMark/>
          </w:tcPr>
          <w:p w14:paraId="7D0D5C52"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r w:rsidR="005B548E" w:rsidRPr="005B548E" w14:paraId="3AA4D36F" w14:textId="77777777" w:rsidTr="005B548E">
        <w:trPr>
          <w:trHeight w:val="283"/>
        </w:trPr>
        <w:tc>
          <w:tcPr>
            <w:tcW w:w="3320" w:type="dxa"/>
            <w:tcBorders>
              <w:top w:val="nil"/>
              <w:left w:val="single" w:sz="4" w:space="0" w:color="auto"/>
              <w:bottom w:val="nil"/>
              <w:right w:val="single" w:sz="4" w:space="0" w:color="auto"/>
            </w:tcBorders>
            <w:shd w:val="clear" w:color="auto" w:fill="auto"/>
            <w:noWrap/>
            <w:vAlign w:val="bottom"/>
            <w:hideMark/>
          </w:tcPr>
          <w:p w14:paraId="6417A93A"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Sydney - Eastern Suburbs</w:t>
            </w:r>
          </w:p>
        </w:tc>
        <w:tc>
          <w:tcPr>
            <w:tcW w:w="2200" w:type="dxa"/>
            <w:tcBorders>
              <w:top w:val="nil"/>
              <w:left w:val="nil"/>
              <w:bottom w:val="nil"/>
              <w:right w:val="nil"/>
            </w:tcBorders>
            <w:shd w:val="clear" w:color="auto" w:fill="auto"/>
            <w:noWrap/>
            <w:vAlign w:val="bottom"/>
            <w:hideMark/>
          </w:tcPr>
          <w:p w14:paraId="7AC3FC6B"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bottom"/>
            <w:hideMark/>
          </w:tcPr>
          <w:p w14:paraId="4BB799B8"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Strong</w:t>
            </w:r>
          </w:p>
        </w:tc>
        <w:tc>
          <w:tcPr>
            <w:tcW w:w="1460" w:type="dxa"/>
            <w:tcBorders>
              <w:top w:val="nil"/>
              <w:left w:val="nil"/>
              <w:bottom w:val="nil"/>
              <w:right w:val="single" w:sz="4" w:space="0" w:color="auto"/>
            </w:tcBorders>
            <w:shd w:val="clear" w:color="auto" w:fill="auto"/>
            <w:noWrap/>
            <w:vAlign w:val="bottom"/>
            <w:hideMark/>
          </w:tcPr>
          <w:p w14:paraId="5D9103A1"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Strong</w:t>
            </w:r>
          </w:p>
        </w:tc>
        <w:tc>
          <w:tcPr>
            <w:tcW w:w="1160" w:type="dxa"/>
            <w:tcBorders>
              <w:top w:val="nil"/>
              <w:left w:val="nil"/>
              <w:bottom w:val="nil"/>
              <w:right w:val="single" w:sz="4" w:space="0" w:color="auto"/>
            </w:tcBorders>
            <w:shd w:val="clear" w:color="auto" w:fill="auto"/>
            <w:noWrap/>
            <w:vAlign w:val="bottom"/>
            <w:hideMark/>
          </w:tcPr>
          <w:p w14:paraId="1F4524E3"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r w:rsidR="005B548E" w:rsidRPr="005B548E" w14:paraId="5FEED260" w14:textId="77777777" w:rsidTr="005B548E">
        <w:trPr>
          <w:trHeight w:val="283"/>
        </w:trPr>
        <w:tc>
          <w:tcPr>
            <w:tcW w:w="3320" w:type="dxa"/>
            <w:tcBorders>
              <w:top w:val="nil"/>
              <w:left w:val="single" w:sz="4" w:space="0" w:color="auto"/>
              <w:bottom w:val="nil"/>
              <w:right w:val="single" w:sz="4" w:space="0" w:color="auto"/>
            </w:tcBorders>
            <w:shd w:val="clear" w:color="auto" w:fill="auto"/>
            <w:noWrap/>
            <w:vAlign w:val="bottom"/>
            <w:hideMark/>
          </w:tcPr>
          <w:p w14:paraId="6050214A"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Sydney - Inner South West</w:t>
            </w:r>
          </w:p>
        </w:tc>
        <w:tc>
          <w:tcPr>
            <w:tcW w:w="2200" w:type="dxa"/>
            <w:tcBorders>
              <w:top w:val="nil"/>
              <w:left w:val="nil"/>
              <w:bottom w:val="nil"/>
              <w:right w:val="nil"/>
            </w:tcBorders>
            <w:shd w:val="clear" w:color="auto" w:fill="auto"/>
            <w:noWrap/>
            <w:vAlign w:val="bottom"/>
            <w:hideMark/>
          </w:tcPr>
          <w:p w14:paraId="7D19F729"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bottom"/>
            <w:hideMark/>
          </w:tcPr>
          <w:p w14:paraId="682BD395"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Below average</w:t>
            </w:r>
          </w:p>
        </w:tc>
        <w:tc>
          <w:tcPr>
            <w:tcW w:w="1460" w:type="dxa"/>
            <w:tcBorders>
              <w:top w:val="nil"/>
              <w:left w:val="nil"/>
              <w:bottom w:val="nil"/>
              <w:right w:val="single" w:sz="4" w:space="0" w:color="auto"/>
            </w:tcBorders>
            <w:shd w:val="clear" w:color="auto" w:fill="auto"/>
            <w:noWrap/>
            <w:vAlign w:val="bottom"/>
            <w:hideMark/>
          </w:tcPr>
          <w:p w14:paraId="7460E659"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Below average</w:t>
            </w:r>
          </w:p>
        </w:tc>
        <w:tc>
          <w:tcPr>
            <w:tcW w:w="1160" w:type="dxa"/>
            <w:tcBorders>
              <w:top w:val="nil"/>
              <w:left w:val="nil"/>
              <w:bottom w:val="nil"/>
              <w:right w:val="single" w:sz="4" w:space="0" w:color="auto"/>
            </w:tcBorders>
            <w:shd w:val="clear" w:color="auto" w:fill="auto"/>
            <w:noWrap/>
            <w:vAlign w:val="bottom"/>
            <w:hideMark/>
          </w:tcPr>
          <w:p w14:paraId="4471E1C3"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r w:rsidR="005B548E" w:rsidRPr="005B548E" w14:paraId="6F33B5CC" w14:textId="77777777" w:rsidTr="005B548E">
        <w:trPr>
          <w:trHeight w:val="283"/>
        </w:trPr>
        <w:tc>
          <w:tcPr>
            <w:tcW w:w="3320" w:type="dxa"/>
            <w:tcBorders>
              <w:top w:val="nil"/>
              <w:left w:val="single" w:sz="4" w:space="0" w:color="auto"/>
              <w:bottom w:val="nil"/>
              <w:right w:val="single" w:sz="4" w:space="0" w:color="auto"/>
            </w:tcBorders>
            <w:shd w:val="clear" w:color="auto" w:fill="auto"/>
            <w:noWrap/>
            <w:vAlign w:val="bottom"/>
            <w:hideMark/>
          </w:tcPr>
          <w:p w14:paraId="6809933A"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Sydney - Inner West</w:t>
            </w:r>
          </w:p>
        </w:tc>
        <w:tc>
          <w:tcPr>
            <w:tcW w:w="2200" w:type="dxa"/>
            <w:tcBorders>
              <w:top w:val="nil"/>
              <w:left w:val="nil"/>
              <w:bottom w:val="nil"/>
              <w:right w:val="nil"/>
            </w:tcBorders>
            <w:shd w:val="clear" w:color="auto" w:fill="auto"/>
            <w:noWrap/>
            <w:vAlign w:val="bottom"/>
            <w:hideMark/>
          </w:tcPr>
          <w:p w14:paraId="5261F68E"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bottom"/>
            <w:hideMark/>
          </w:tcPr>
          <w:p w14:paraId="133C814D"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Strong</w:t>
            </w:r>
          </w:p>
        </w:tc>
        <w:tc>
          <w:tcPr>
            <w:tcW w:w="1460" w:type="dxa"/>
            <w:tcBorders>
              <w:top w:val="nil"/>
              <w:left w:val="nil"/>
              <w:bottom w:val="nil"/>
              <w:right w:val="single" w:sz="4" w:space="0" w:color="auto"/>
            </w:tcBorders>
            <w:shd w:val="clear" w:color="auto" w:fill="auto"/>
            <w:noWrap/>
            <w:vAlign w:val="bottom"/>
            <w:hideMark/>
          </w:tcPr>
          <w:p w14:paraId="1339270A"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Above average</w:t>
            </w:r>
          </w:p>
        </w:tc>
        <w:tc>
          <w:tcPr>
            <w:tcW w:w="1160" w:type="dxa"/>
            <w:tcBorders>
              <w:top w:val="nil"/>
              <w:left w:val="single" w:sz="4" w:space="0" w:color="auto"/>
              <w:bottom w:val="nil"/>
              <w:right w:val="single" w:sz="4" w:space="0" w:color="auto"/>
            </w:tcBorders>
            <w:shd w:val="clear" w:color="000000" w:fill="B91C1C"/>
            <w:noWrap/>
            <w:vAlign w:val="bottom"/>
            <w:hideMark/>
          </w:tcPr>
          <w:p w14:paraId="129B69BA" w14:textId="77777777" w:rsidR="005B548E" w:rsidRPr="005B548E" w:rsidRDefault="005B548E" w:rsidP="005B548E">
            <w:pPr>
              <w:spacing w:after="0" w:line="240" w:lineRule="auto"/>
              <w:jc w:val="center"/>
              <w:rPr>
                <w:rFonts w:eastAsia="Times New Roman" w:cs="Arial"/>
                <w:color w:val="FFFFFF"/>
                <w:sz w:val="16"/>
                <w:szCs w:val="16"/>
                <w:lang w:eastAsia="en-AU"/>
              </w:rPr>
            </w:pPr>
            <w:r w:rsidRPr="005B548E">
              <w:rPr>
                <w:rFonts w:eastAsia="Times New Roman" w:cs="Arial"/>
                <w:color w:val="FFFFFF"/>
                <w:sz w:val="16"/>
                <w:szCs w:val="16"/>
                <w:lang w:eastAsia="en-AU"/>
              </w:rPr>
              <w:t>Declined</w:t>
            </w:r>
          </w:p>
        </w:tc>
      </w:tr>
      <w:tr w:rsidR="005B548E" w:rsidRPr="005B548E" w14:paraId="2BC41091" w14:textId="77777777" w:rsidTr="005B548E">
        <w:trPr>
          <w:trHeight w:val="283"/>
        </w:trPr>
        <w:tc>
          <w:tcPr>
            <w:tcW w:w="3320" w:type="dxa"/>
            <w:tcBorders>
              <w:top w:val="nil"/>
              <w:left w:val="single" w:sz="4" w:space="0" w:color="auto"/>
              <w:bottom w:val="nil"/>
              <w:right w:val="single" w:sz="4" w:space="0" w:color="auto"/>
            </w:tcBorders>
            <w:shd w:val="clear" w:color="auto" w:fill="auto"/>
            <w:noWrap/>
            <w:vAlign w:val="bottom"/>
            <w:hideMark/>
          </w:tcPr>
          <w:p w14:paraId="2DD239EA"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Sydney - North Sydney and Hornsby</w:t>
            </w:r>
          </w:p>
        </w:tc>
        <w:tc>
          <w:tcPr>
            <w:tcW w:w="2200" w:type="dxa"/>
            <w:tcBorders>
              <w:top w:val="nil"/>
              <w:left w:val="nil"/>
              <w:bottom w:val="nil"/>
              <w:right w:val="nil"/>
            </w:tcBorders>
            <w:shd w:val="clear" w:color="auto" w:fill="auto"/>
            <w:noWrap/>
            <w:vAlign w:val="bottom"/>
            <w:hideMark/>
          </w:tcPr>
          <w:p w14:paraId="75048193"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bottom"/>
            <w:hideMark/>
          </w:tcPr>
          <w:p w14:paraId="48EBCDC0"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Strong</w:t>
            </w:r>
          </w:p>
        </w:tc>
        <w:tc>
          <w:tcPr>
            <w:tcW w:w="1460" w:type="dxa"/>
            <w:tcBorders>
              <w:top w:val="nil"/>
              <w:left w:val="nil"/>
              <w:bottom w:val="nil"/>
              <w:right w:val="single" w:sz="4" w:space="0" w:color="auto"/>
            </w:tcBorders>
            <w:shd w:val="clear" w:color="auto" w:fill="auto"/>
            <w:noWrap/>
            <w:vAlign w:val="bottom"/>
            <w:hideMark/>
          </w:tcPr>
          <w:p w14:paraId="19412794"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Strong</w:t>
            </w:r>
          </w:p>
        </w:tc>
        <w:tc>
          <w:tcPr>
            <w:tcW w:w="1160" w:type="dxa"/>
            <w:tcBorders>
              <w:top w:val="nil"/>
              <w:left w:val="nil"/>
              <w:bottom w:val="nil"/>
              <w:right w:val="single" w:sz="4" w:space="0" w:color="auto"/>
            </w:tcBorders>
            <w:shd w:val="clear" w:color="auto" w:fill="auto"/>
            <w:noWrap/>
            <w:vAlign w:val="bottom"/>
            <w:hideMark/>
          </w:tcPr>
          <w:p w14:paraId="739810A9"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r w:rsidR="005B548E" w:rsidRPr="005B548E" w14:paraId="63336DDC" w14:textId="77777777" w:rsidTr="005B548E">
        <w:trPr>
          <w:trHeight w:val="283"/>
        </w:trPr>
        <w:tc>
          <w:tcPr>
            <w:tcW w:w="3320" w:type="dxa"/>
            <w:tcBorders>
              <w:top w:val="nil"/>
              <w:left w:val="single" w:sz="4" w:space="0" w:color="auto"/>
              <w:bottom w:val="nil"/>
              <w:right w:val="single" w:sz="4" w:space="0" w:color="auto"/>
            </w:tcBorders>
            <w:shd w:val="clear" w:color="auto" w:fill="auto"/>
            <w:noWrap/>
            <w:vAlign w:val="bottom"/>
            <w:hideMark/>
          </w:tcPr>
          <w:p w14:paraId="1BBC572E"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Sydney - Northern Beaches</w:t>
            </w:r>
          </w:p>
        </w:tc>
        <w:tc>
          <w:tcPr>
            <w:tcW w:w="2200" w:type="dxa"/>
            <w:tcBorders>
              <w:top w:val="nil"/>
              <w:left w:val="nil"/>
              <w:bottom w:val="nil"/>
              <w:right w:val="nil"/>
            </w:tcBorders>
            <w:shd w:val="clear" w:color="auto" w:fill="auto"/>
            <w:noWrap/>
            <w:vAlign w:val="bottom"/>
            <w:hideMark/>
          </w:tcPr>
          <w:p w14:paraId="236944A6"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bottom"/>
            <w:hideMark/>
          </w:tcPr>
          <w:p w14:paraId="187B4BFB"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Strong</w:t>
            </w:r>
          </w:p>
        </w:tc>
        <w:tc>
          <w:tcPr>
            <w:tcW w:w="1460" w:type="dxa"/>
            <w:tcBorders>
              <w:top w:val="nil"/>
              <w:left w:val="nil"/>
              <w:bottom w:val="nil"/>
              <w:right w:val="single" w:sz="4" w:space="0" w:color="auto"/>
            </w:tcBorders>
            <w:shd w:val="clear" w:color="auto" w:fill="auto"/>
            <w:noWrap/>
            <w:vAlign w:val="bottom"/>
            <w:hideMark/>
          </w:tcPr>
          <w:p w14:paraId="4D1E8E16"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Strong</w:t>
            </w:r>
          </w:p>
        </w:tc>
        <w:tc>
          <w:tcPr>
            <w:tcW w:w="1160" w:type="dxa"/>
            <w:tcBorders>
              <w:top w:val="nil"/>
              <w:left w:val="nil"/>
              <w:bottom w:val="nil"/>
              <w:right w:val="single" w:sz="4" w:space="0" w:color="auto"/>
            </w:tcBorders>
            <w:shd w:val="clear" w:color="auto" w:fill="auto"/>
            <w:noWrap/>
            <w:vAlign w:val="bottom"/>
            <w:hideMark/>
          </w:tcPr>
          <w:p w14:paraId="283DBAC9"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r w:rsidR="005B548E" w:rsidRPr="005B548E" w14:paraId="0EE245D9" w14:textId="77777777" w:rsidTr="005B548E">
        <w:trPr>
          <w:trHeight w:val="283"/>
        </w:trPr>
        <w:tc>
          <w:tcPr>
            <w:tcW w:w="3320" w:type="dxa"/>
            <w:tcBorders>
              <w:top w:val="nil"/>
              <w:left w:val="single" w:sz="4" w:space="0" w:color="auto"/>
              <w:bottom w:val="nil"/>
              <w:right w:val="single" w:sz="4" w:space="0" w:color="auto"/>
            </w:tcBorders>
            <w:shd w:val="clear" w:color="auto" w:fill="auto"/>
            <w:noWrap/>
            <w:vAlign w:val="bottom"/>
            <w:hideMark/>
          </w:tcPr>
          <w:p w14:paraId="470A7DA5"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Sydney - Outer South West</w:t>
            </w:r>
          </w:p>
        </w:tc>
        <w:tc>
          <w:tcPr>
            <w:tcW w:w="2200" w:type="dxa"/>
            <w:tcBorders>
              <w:top w:val="nil"/>
              <w:left w:val="nil"/>
              <w:bottom w:val="nil"/>
              <w:right w:val="nil"/>
            </w:tcBorders>
            <w:shd w:val="clear" w:color="auto" w:fill="auto"/>
            <w:noWrap/>
            <w:vAlign w:val="bottom"/>
            <w:hideMark/>
          </w:tcPr>
          <w:p w14:paraId="7882EBEB"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bottom"/>
            <w:hideMark/>
          </w:tcPr>
          <w:p w14:paraId="51A1936D"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Average</w:t>
            </w:r>
          </w:p>
        </w:tc>
        <w:tc>
          <w:tcPr>
            <w:tcW w:w="1460" w:type="dxa"/>
            <w:tcBorders>
              <w:top w:val="nil"/>
              <w:left w:val="nil"/>
              <w:bottom w:val="nil"/>
              <w:right w:val="single" w:sz="4" w:space="0" w:color="auto"/>
            </w:tcBorders>
            <w:shd w:val="clear" w:color="auto" w:fill="auto"/>
            <w:noWrap/>
            <w:vAlign w:val="bottom"/>
            <w:hideMark/>
          </w:tcPr>
          <w:p w14:paraId="3EA19C95"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Average</w:t>
            </w:r>
          </w:p>
        </w:tc>
        <w:tc>
          <w:tcPr>
            <w:tcW w:w="1160" w:type="dxa"/>
            <w:tcBorders>
              <w:top w:val="nil"/>
              <w:left w:val="nil"/>
              <w:bottom w:val="nil"/>
              <w:right w:val="single" w:sz="4" w:space="0" w:color="auto"/>
            </w:tcBorders>
            <w:shd w:val="clear" w:color="auto" w:fill="auto"/>
            <w:noWrap/>
            <w:vAlign w:val="bottom"/>
            <w:hideMark/>
          </w:tcPr>
          <w:p w14:paraId="5900CDC1"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r w:rsidR="005B548E" w:rsidRPr="005B548E" w14:paraId="534A7C48" w14:textId="77777777" w:rsidTr="005B548E">
        <w:trPr>
          <w:trHeight w:val="283"/>
        </w:trPr>
        <w:tc>
          <w:tcPr>
            <w:tcW w:w="3320" w:type="dxa"/>
            <w:tcBorders>
              <w:top w:val="nil"/>
              <w:left w:val="single" w:sz="4" w:space="0" w:color="auto"/>
              <w:bottom w:val="nil"/>
              <w:right w:val="single" w:sz="4" w:space="0" w:color="auto"/>
            </w:tcBorders>
            <w:shd w:val="clear" w:color="auto" w:fill="auto"/>
            <w:noWrap/>
            <w:vAlign w:val="bottom"/>
            <w:hideMark/>
          </w:tcPr>
          <w:p w14:paraId="199E5C6B"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Sydney - Outer West and Blue Mountains</w:t>
            </w:r>
          </w:p>
        </w:tc>
        <w:tc>
          <w:tcPr>
            <w:tcW w:w="2200" w:type="dxa"/>
            <w:tcBorders>
              <w:top w:val="nil"/>
              <w:left w:val="nil"/>
              <w:bottom w:val="nil"/>
              <w:right w:val="nil"/>
            </w:tcBorders>
            <w:shd w:val="clear" w:color="auto" w:fill="auto"/>
            <w:noWrap/>
            <w:vAlign w:val="bottom"/>
            <w:hideMark/>
          </w:tcPr>
          <w:p w14:paraId="6B4C2C64"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bottom"/>
            <w:hideMark/>
          </w:tcPr>
          <w:p w14:paraId="644FE905"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Above average</w:t>
            </w:r>
          </w:p>
        </w:tc>
        <w:tc>
          <w:tcPr>
            <w:tcW w:w="1460" w:type="dxa"/>
            <w:tcBorders>
              <w:top w:val="nil"/>
              <w:left w:val="nil"/>
              <w:bottom w:val="nil"/>
              <w:right w:val="single" w:sz="4" w:space="0" w:color="auto"/>
            </w:tcBorders>
            <w:shd w:val="clear" w:color="auto" w:fill="auto"/>
            <w:noWrap/>
            <w:vAlign w:val="bottom"/>
            <w:hideMark/>
          </w:tcPr>
          <w:p w14:paraId="68AB45D9"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Above average</w:t>
            </w:r>
          </w:p>
        </w:tc>
        <w:tc>
          <w:tcPr>
            <w:tcW w:w="1160" w:type="dxa"/>
            <w:tcBorders>
              <w:top w:val="nil"/>
              <w:left w:val="nil"/>
              <w:bottom w:val="nil"/>
              <w:right w:val="single" w:sz="4" w:space="0" w:color="auto"/>
            </w:tcBorders>
            <w:shd w:val="clear" w:color="auto" w:fill="auto"/>
            <w:noWrap/>
            <w:vAlign w:val="bottom"/>
            <w:hideMark/>
          </w:tcPr>
          <w:p w14:paraId="0DA3784B"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r w:rsidR="005B548E" w:rsidRPr="005B548E" w14:paraId="052568E1" w14:textId="77777777" w:rsidTr="005B548E">
        <w:trPr>
          <w:trHeight w:val="283"/>
        </w:trPr>
        <w:tc>
          <w:tcPr>
            <w:tcW w:w="3320" w:type="dxa"/>
            <w:tcBorders>
              <w:top w:val="nil"/>
              <w:left w:val="single" w:sz="4" w:space="0" w:color="auto"/>
              <w:bottom w:val="nil"/>
              <w:right w:val="single" w:sz="4" w:space="0" w:color="auto"/>
            </w:tcBorders>
            <w:shd w:val="clear" w:color="auto" w:fill="auto"/>
            <w:noWrap/>
            <w:vAlign w:val="bottom"/>
            <w:hideMark/>
          </w:tcPr>
          <w:p w14:paraId="6B8EC858"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Sydney - Parramatta</w:t>
            </w:r>
          </w:p>
        </w:tc>
        <w:tc>
          <w:tcPr>
            <w:tcW w:w="2200" w:type="dxa"/>
            <w:tcBorders>
              <w:top w:val="nil"/>
              <w:left w:val="nil"/>
              <w:bottom w:val="nil"/>
              <w:right w:val="nil"/>
            </w:tcBorders>
            <w:shd w:val="clear" w:color="auto" w:fill="auto"/>
            <w:noWrap/>
            <w:vAlign w:val="bottom"/>
            <w:hideMark/>
          </w:tcPr>
          <w:p w14:paraId="5FA8D147"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bottom"/>
            <w:hideMark/>
          </w:tcPr>
          <w:p w14:paraId="6A716DA0"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Below average</w:t>
            </w:r>
          </w:p>
        </w:tc>
        <w:tc>
          <w:tcPr>
            <w:tcW w:w="1460" w:type="dxa"/>
            <w:tcBorders>
              <w:top w:val="nil"/>
              <w:left w:val="nil"/>
              <w:bottom w:val="nil"/>
              <w:right w:val="single" w:sz="4" w:space="0" w:color="auto"/>
            </w:tcBorders>
            <w:shd w:val="clear" w:color="auto" w:fill="auto"/>
            <w:noWrap/>
            <w:vAlign w:val="bottom"/>
            <w:hideMark/>
          </w:tcPr>
          <w:p w14:paraId="1C87955A"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Below average</w:t>
            </w:r>
          </w:p>
        </w:tc>
        <w:tc>
          <w:tcPr>
            <w:tcW w:w="1160" w:type="dxa"/>
            <w:tcBorders>
              <w:top w:val="nil"/>
              <w:left w:val="nil"/>
              <w:bottom w:val="nil"/>
              <w:right w:val="single" w:sz="4" w:space="0" w:color="auto"/>
            </w:tcBorders>
            <w:shd w:val="clear" w:color="auto" w:fill="auto"/>
            <w:noWrap/>
            <w:vAlign w:val="bottom"/>
            <w:hideMark/>
          </w:tcPr>
          <w:p w14:paraId="18796BB3"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r w:rsidR="005B548E" w:rsidRPr="005B548E" w14:paraId="399D88CB" w14:textId="77777777" w:rsidTr="005B548E">
        <w:trPr>
          <w:trHeight w:val="283"/>
        </w:trPr>
        <w:tc>
          <w:tcPr>
            <w:tcW w:w="3320" w:type="dxa"/>
            <w:tcBorders>
              <w:top w:val="nil"/>
              <w:left w:val="single" w:sz="4" w:space="0" w:color="auto"/>
              <w:bottom w:val="nil"/>
              <w:right w:val="single" w:sz="4" w:space="0" w:color="auto"/>
            </w:tcBorders>
            <w:shd w:val="clear" w:color="auto" w:fill="auto"/>
            <w:noWrap/>
            <w:vAlign w:val="bottom"/>
            <w:hideMark/>
          </w:tcPr>
          <w:p w14:paraId="073531B8"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Sydney - Ryde</w:t>
            </w:r>
          </w:p>
        </w:tc>
        <w:tc>
          <w:tcPr>
            <w:tcW w:w="2200" w:type="dxa"/>
            <w:tcBorders>
              <w:top w:val="nil"/>
              <w:left w:val="nil"/>
              <w:bottom w:val="nil"/>
              <w:right w:val="nil"/>
            </w:tcBorders>
            <w:shd w:val="clear" w:color="auto" w:fill="auto"/>
            <w:noWrap/>
            <w:vAlign w:val="bottom"/>
            <w:hideMark/>
          </w:tcPr>
          <w:p w14:paraId="1EC1193E"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bottom"/>
            <w:hideMark/>
          </w:tcPr>
          <w:p w14:paraId="70F2183E"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Strong</w:t>
            </w:r>
          </w:p>
        </w:tc>
        <w:tc>
          <w:tcPr>
            <w:tcW w:w="1460" w:type="dxa"/>
            <w:tcBorders>
              <w:top w:val="nil"/>
              <w:left w:val="nil"/>
              <w:bottom w:val="nil"/>
              <w:right w:val="single" w:sz="4" w:space="0" w:color="auto"/>
            </w:tcBorders>
            <w:shd w:val="clear" w:color="auto" w:fill="auto"/>
            <w:noWrap/>
            <w:vAlign w:val="bottom"/>
            <w:hideMark/>
          </w:tcPr>
          <w:p w14:paraId="1298EF9F"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Above average</w:t>
            </w:r>
          </w:p>
        </w:tc>
        <w:tc>
          <w:tcPr>
            <w:tcW w:w="1160" w:type="dxa"/>
            <w:tcBorders>
              <w:top w:val="nil"/>
              <w:left w:val="single" w:sz="4" w:space="0" w:color="auto"/>
              <w:bottom w:val="nil"/>
              <w:right w:val="single" w:sz="4" w:space="0" w:color="auto"/>
            </w:tcBorders>
            <w:shd w:val="clear" w:color="000000" w:fill="B91C1C"/>
            <w:noWrap/>
            <w:vAlign w:val="bottom"/>
            <w:hideMark/>
          </w:tcPr>
          <w:p w14:paraId="102D6C39" w14:textId="77777777" w:rsidR="005B548E" w:rsidRPr="005B548E" w:rsidRDefault="005B548E" w:rsidP="005B548E">
            <w:pPr>
              <w:spacing w:after="0" w:line="240" w:lineRule="auto"/>
              <w:jc w:val="center"/>
              <w:rPr>
                <w:rFonts w:eastAsia="Times New Roman" w:cs="Arial"/>
                <w:color w:val="FFFFFF"/>
                <w:sz w:val="16"/>
                <w:szCs w:val="16"/>
                <w:lang w:eastAsia="en-AU"/>
              </w:rPr>
            </w:pPr>
            <w:r w:rsidRPr="005B548E">
              <w:rPr>
                <w:rFonts w:eastAsia="Times New Roman" w:cs="Arial"/>
                <w:color w:val="FFFFFF"/>
                <w:sz w:val="16"/>
                <w:szCs w:val="16"/>
                <w:lang w:eastAsia="en-AU"/>
              </w:rPr>
              <w:t>Declined</w:t>
            </w:r>
          </w:p>
        </w:tc>
      </w:tr>
      <w:tr w:rsidR="005B548E" w:rsidRPr="005B548E" w14:paraId="6EB384F4" w14:textId="77777777" w:rsidTr="005B548E">
        <w:trPr>
          <w:trHeight w:val="283"/>
        </w:trPr>
        <w:tc>
          <w:tcPr>
            <w:tcW w:w="3320" w:type="dxa"/>
            <w:tcBorders>
              <w:top w:val="nil"/>
              <w:left w:val="single" w:sz="4" w:space="0" w:color="auto"/>
              <w:bottom w:val="nil"/>
              <w:right w:val="single" w:sz="4" w:space="0" w:color="auto"/>
            </w:tcBorders>
            <w:shd w:val="clear" w:color="auto" w:fill="auto"/>
            <w:noWrap/>
            <w:vAlign w:val="bottom"/>
            <w:hideMark/>
          </w:tcPr>
          <w:p w14:paraId="6B95B586"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Sydney - South West</w:t>
            </w:r>
          </w:p>
        </w:tc>
        <w:tc>
          <w:tcPr>
            <w:tcW w:w="2200" w:type="dxa"/>
            <w:tcBorders>
              <w:top w:val="nil"/>
              <w:left w:val="nil"/>
              <w:bottom w:val="nil"/>
              <w:right w:val="nil"/>
            </w:tcBorders>
            <w:shd w:val="clear" w:color="auto" w:fill="auto"/>
            <w:noWrap/>
            <w:vAlign w:val="bottom"/>
            <w:hideMark/>
          </w:tcPr>
          <w:p w14:paraId="6961D774"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bottom"/>
            <w:hideMark/>
          </w:tcPr>
          <w:p w14:paraId="69936E0E"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Poor</w:t>
            </w:r>
          </w:p>
        </w:tc>
        <w:tc>
          <w:tcPr>
            <w:tcW w:w="1460" w:type="dxa"/>
            <w:tcBorders>
              <w:top w:val="nil"/>
              <w:left w:val="nil"/>
              <w:bottom w:val="nil"/>
              <w:right w:val="single" w:sz="4" w:space="0" w:color="auto"/>
            </w:tcBorders>
            <w:shd w:val="clear" w:color="auto" w:fill="auto"/>
            <w:noWrap/>
            <w:vAlign w:val="bottom"/>
            <w:hideMark/>
          </w:tcPr>
          <w:p w14:paraId="57F20506"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Poor</w:t>
            </w:r>
          </w:p>
        </w:tc>
        <w:tc>
          <w:tcPr>
            <w:tcW w:w="1160" w:type="dxa"/>
            <w:tcBorders>
              <w:top w:val="nil"/>
              <w:left w:val="nil"/>
              <w:bottom w:val="nil"/>
              <w:right w:val="single" w:sz="4" w:space="0" w:color="auto"/>
            </w:tcBorders>
            <w:shd w:val="clear" w:color="auto" w:fill="auto"/>
            <w:noWrap/>
            <w:vAlign w:val="bottom"/>
            <w:hideMark/>
          </w:tcPr>
          <w:p w14:paraId="7AB78D45"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r w:rsidR="005B548E" w:rsidRPr="005B548E" w14:paraId="4122BEF9" w14:textId="77777777" w:rsidTr="005B548E">
        <w:trPr>
          <w:trHeight w:val="283"/>
        </w:trPr>
        <w:tc>
          <w:tcPr>
            <w:tcW w:w="3320" w:type="dxa"/>
            <w:tcBorders>
              <w:top w:val="nil"/>
              <w:left w:val="single" w:sz="4" w:space="0" w:color="auto"/>
              <w:bottom w:val="nil"/>
              <w:right w:val="single" w:sz="4" w:space="0" w:color="auto"/>
            </w:tcBorders>
            <w:shd w:val="clear" w:color="auto" w:fill="auto"/>
            <w:noWrap/>
            <w:vAlign w:val="bottom"/>
            <w:hideMark/>
          </w:tcPr>
          <w:p w14:paraId="78006C43"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Sydney - Sutherland</w:t>
            </w:r>
          </w:p>
        </w:tc>
        <w:tc>
          <w:tcPr>
            <w:tcW w:w="2200" w:type="dxa"/>
            <w:tcBorders>
              <w:top w:val="nil"/>
              <w:left w:val="nil"/>
              <w:bottom w:val="nil"/>
              <w:right w:val="nil"/>
            </w:tcBorders>
            <w:shd w:val="clear" w:color="auto" w:fill="auto"/>
            <w:noWrap/>
            <w:vAlign w:val="bottom"/>
            <w:hideMark/>
          </w:tcPr>
          <w:p w14:paraId="43464EA2"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bottom"/>
            <w:hideMark/>
          </w:tcPr>
          <w:p w14:paraId="7B438646"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Strong</w:t>
            </w:r>
          </w:p>
        </w:tc>
        <w:tc>
          <w:tcPr>
            <w:tcW w:w="1460" w:type="dxa"/>
            <w:tcBorders>
              <w:top w:val="nil"/>
              <w:left w:val="nil"/>
              <w:bottom w:val="nil"/>
              <w:right w:val="single" w:sz="4" w:space="0" w:color="auto"/>
            </w:tcBorders>
            <w:shd w:val="clear" w:color="auto" w:fill="auto"/>
            <w:noWrap/>
            <w:vAlign w:val="bottom"/>
            <w:hideMark/>
          </w:tcPr>
          <w:p w14:paraId="68831B12"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Strong</w:t>
            </w:r>
          </w:p>
        </w:tc>
        <w:tc>
          <w:tcPr>
            <w:tcW w:w="1160" w:type="dxa"/>
            <w:tcBorders>
              <w:top w:val="nil"/>
              <w:left w:val="nil"/>
              <w:bottom w:val="nil"/>
              <w:right w:val="single" w:sz="4" w:space="0" w:color="auto"/>
            </w:tcBorders>
            <w:shd w:val="clear" w:color="auto" w:fill="auto"/>
            <w:noWrap/>
            <w:vAlign w:val="bottom"/>
            <w:hideMark/>
          </w:tcPr>
          <w:p w14:paraId="08B27442"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r w:rsidR="005B548E" w:rsidRPr="005B548E" w14:paraId="1ADF47BA" w14:textId="77777777" w:rsidTr="005B548E">
        <w:trPr>
          <w:trHeight w:val="283"/>
        </w:trPr>
        <w:tc>
          <w:tcPr>
            <w:tcW w:w="3320" w:type="dxa"/>
            <w:tcBorders>
              <w:top w:val="nil"/>
              <w:left w:val="single" w:sz="4" w:space="0" w:color="auto"/>
              <w:bottom w:val="nil"/>
              <w:right w:val="single" w:sz="4" w:space="0" w:color="auto"/>
            </w:tcBorders>
            <w:shd w:val="clear" w:color="auto" w:fill="auto"/>
            <w:noWrap/>
            <w:vAlign w:val="bottom"/>
            <w:hideMark/>
          </w:tcPr>
          <w:p w14:paraId="6D053CBB"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Capital Region</w:t>
            </w:r>
          </w:p>
        </w:tc>
        <w:tc>
          <w:tcPr>
            <w:tcW w:w="2200" w:type="dxa"/>
            <w:tcBorders>
              <w:top w:val="nil"/>
              <w:left w:val="nil"/>
              <w:bottom w:val="nil"/>
              <w:right w:val="nil"/>
            </w:tcBorders>
            <w:shd w:val="clear" w:color="auto" w:fill="auto"/>
            <w:noWrap/>
            <w:vAlign w:val="bottom"/>
            <w:hideMark/>
          </w:tcPr>
          <w:p w14:paraId="7CF7CFCF"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Regional</w:t>
            </w:r>
          </w:p>
        </w:tc>
        <w:tc>
          <w:tcPr>
            <w:tcW w:w="1460" w:type="dxa"/>
            <w:tcBorders>
              <w:top w:val="nil"/>
              <w:left w:val="single" w:sz="4" w:space="0" w:color="auto"/>
              <w:bottom w:val="nil"/>
              <w:right w:val="single" w:sz="4" w:space="0" w:color="auto"/>
            </w:tcBorders>
            <w:shd w:val="clear" w:color="auto" w:fill="auto"/>
            <w:noWrap/>
            <w:vAlign w:val="bottom"/>
            <w:hideMark/>
          </w:tcPr>
          <w:p w14:paraId="49EC3E65"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Above average</w:t>
            </w:r>
          </w:p>
        </w:tc>
        <w:tc>
          <w:tcPr>
            <w:tcW w:w="1460" w:type="dxa"/>
            <w:tcBorders>
              <w:top w:val="nil"/>
              <w:left w:val="nil"/>
              <w:bottom w:val="nil"/>
              <w:right w:val="single" w:sz="4" w:space="0" w:color="auto"/>
            </w:tcBorders>
            <w:shd w:val="clear" w:color="auto" w:fill="auto"/>
            <w:noWrap/>
            <w:vAlign w:val="bottom"/>
            <w:hideMark/>
          </w:tcPr>
          <w:p w14:paraId="07228ED3"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Above average</w:t>
            </w:r>
          </w:p>
        </w:tc>
        <w:tc>
          <w:tcPr>
            <w:tcW w:w="1160" w:type="dxa"/>
            <w:tcBorders>
              <w:top w:val="nil"/>
              <w:left w:val="nil"/>
              <w:bottom w:val="nil"/>
              <w:right w:val="single" w:sz="4" w:space="0" w:color="auto"/>
            </w:tcBorders>
            <w:shd w:val="clear" w:color="auto" w:fill="auto"/>
            <w:noWrap/>
            <w:vAlign w:val="bottom"/>
            <w:hideMark/>
          </w:tcPr>
          <w:p w14:paraId="53CDD7DE"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r w:rsidR="005B548E" w:rsidRPr="005B548E" w14:paraId="3C1DCF4F" w14:textId="77777777" w:rsidTr="005B548E">
        <w:trPr>
          <w:trHeight w:val="283"/>
        </w:trPr>
        <w:tc>
          <w:tcPr>
            <w:tcW w:w="3320" w:type="dxa"/>
            <w:tcBorders>
              <w:top w:val="nil"/>
              <w:left w:val="single" w:sz="4" w:space="0" w:color="auto"/>
              <w:bottom w:val="nil"/>
              <w:right w:val="single" w:sz="4" w:space="0" w:color="auto"/>
            </w:tcBorders>
            <w:shd w:val="clear" w:color="auto" w:fill="auto"/>
            <w:noWrap/>
            <w:vAlign w:val="bottom"/>
            <w:hideMark/>
          </w:tcPr>
          <w:p w14:paraId="02CF6984"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New South Wales - Central West</w:t>
            </w:r>
          </w:p>
        </w:tc>
        <w:tc>
          <w:tcPr>
            <w:tcW w:w="2200" w:type="dxa"/>
            <w:tcBorders>
              <w:top w:val="nil"/>
              <w:left w:val="nil"/>
              <w:bottom w:val="nil"/>
              <w:right w:val="nil"/>
            </w:tcBorders>
            <w:shd w:val="clear" w:color="auto" w:fill="auto"/>
            <w:noWrap/>
            <w:vAlign w:val="bottom"/>
            <w:hideMark/>
          </w:tcPr>
          <w:p w14:paraId="6A0F903E"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Regional</w:t>
            </w:r>
          </w:p>
        </w:tc>
        <w:tc>
          <w:tcPr>
            <w:tcW w:w="1460" w:type="dxa"/>
            <w:tcBorders>
              <w:top w:val="nil"/>
              <w:left w:val="single" w:sz="4" w:space="0" w:color="auto"/>
              <w:bottom w:val="nil"/>
              <w:right w:val="single" w:sz="4" w:space="0" w:color="auto"/>
            </w:tcBorders>
            <w:shd w:val="clear" w:color="auto" w:fill="auto"/>
            <w:noWrap/>
            <w:vAlign w:val="bottom"/>
            <w:hideMark/>
          </w:tcPr>
          <w:p w14:paraId="721D8991"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Above average</w:t>
            </w:r>
          </w:p>
        </w:tc>
        <w:tc>
          <w:tcPr>
            <w:tcW w:w="1460" w:type="dxa"/>
            <w:tcBorders>
              <w:top w:val="nil"/>
              <w:left w:val="nil"/>
              <w:bottom w:val="nil"/>
              <w:right w:val="single" w:sz="4" w:space="0" w:color="auto"/>
            </w:tcBorders>
            <w:shd w:val="clear" w:color="auto" w:fill="auto"/>
            <w:noWrap/>
            <w:vAlign w:val="bottom"/>
            <w:hideMark/>
          </w:tcPr>
          <w:p w14:paraId="723377DC"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Above average</w:t>
            </w:r>
          </w:p>
        </w:tc>
        <w:tc>
          <w:tcPr>
            <w:tcW w:w="1160" w:type="dxa"/>
            <w:tcBorders>
              <w:top w:val="nil"/>
              <w:left w:val="nil"/>
              <w:bottom w:val="nil"/>
              <w:right w:val="single" w:sz="4" w:space="0" w:color="auto"/>
            </w:tcBorders>
            <w:shd w:val="clear" w:color="auto" w:fill="auto"/>
            <w:noWrap/>
            <w:vAlign w:val="bottom"/>
            <w:hideMark/>
          </w:tcPr>
          <w:p w14:paraId="3B8A1A40"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r w:rsidR="005B548E" w:rsidRPr="005B548E" w14:paraId="34CDBCDE" w14:textId="77777777" w:rsidTr="005B548E">
        <w:trPr>
          <w:trHeight w:val="283"/>
        </w:trPr>
        <w:tc>
          <w:tcPr>
            <w:tcW w:w="3320" w:type="dxa"/>
            <w:tcBorders>
              <w:top w:val="nil"/>
              <w:left w:val="single" w:sz="4" w:space="0" w:color="auto"/>
              <w:bottom w:val="nil"/>
              <w:right w:val="single" w:sz="4" w:space="0" w:color="auto"/>
            </w:tcBorders>
            <w:shd w:val="clear" w:color="auto" w:fill="auto"/>
            <w:noWrap/>
            <w:vAlign w:val="bottom"/>
            <w:hideMark/>
          </w:tcPr>
          <w:p w14:paraId="5EA6DD2B"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Coffs Harbour - Grafton</w:t>
            </w:r>
          </w:p>
        </w:tc>
        <w:tc>
          <w:tcPr>
            <w:tcW w:w="2200" w:type="dxa"/>
            <w:tcBorders>
              <w:top w:val="nil"/>
              <w:left w:val="nil"/>
              <w:bottom w:val="nil"/>
              <w:right w:val="nil"/>
            </w:tcBorders>
            <w:shd w:val="clear" w:color="auto" w:fill="auto"/>
            <w:noWrap/>
            <w:vAlign w:val="bottom"/>
            <w:hideMark/>
          </w:tcPr>
          <w:p w14:paraId="427FA1CC"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Regional</w:t>
            </w:r>
          </w:p>
        </w:tc>
        <w:tc>
          <w:tcPr>
            <w:tcW w:w="1460" w:type="dxa"/>
            <w:tcBorders>
              <w:top w:val="nil"/>
              <w:left w:val="single" w:sz="4" w:space="0" w:color="auto"/>
              <w:bottom w:val="nil"/>
              <w:right w:val="single" w:sz="4" w:space="0" w:color="auto"/>
            </w:tcBorders>
            <w:shd w:val="clear" w:color="auto" w:fill="auto"/>
            <w:noWrap/>
            <w:vAlign w:val="bottom"/>
            <w:hideMark/>
          </w:tcPr>
          <w:p w14:paraId="356EED85"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Poor</w:t>
            </w:r>
          </w:p>
        </w:tc>
        <w:tc>
          <w:tcPr>
            <w:tcW w:w="1460" w:type="dxa"/>
            <w:tcBorders>
              <w:top w:val="nil"/>
              <w:left w:val="nil"/>
              <w:bottom w:val="nil"/>
              <w:right w:val="single" w:sz="4" w:space="0" w:color="auto"/>
            </w:tcBorders>
            <w:shd w:val="clear" w:color="auto" w:fill="auto"/>
            <w:noWrap/>
            <w:vAlign w:val="bottom"/>
            <w:hideMark/>
          </w:tcPr>
          <w:p w14:paraId="7B9ADC0F"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Poor</w:t>
            </w:r>
          </w:p>
        </w:tc>
        <w:tc>
          <w:tcPr>
            <w:tcW w:w="1160" w:type="dxa"/>
            <w:tcBorders>
              <w:top w:val="nil"/>
              <w:left w:val="nil"/>
              <w:bottom w:val="nil"/>
              <w:right w:val="single" w:sz="4" w:space="0" w:color="auto"/>
            </w:tcBorders>
            <w:shd w:val="clear" w:color="auto" w:fill="auto"/>
            <w:noWrap/>
            <w:vAlign w:val="bottom"/>
            <w:hideMark/>
          </w:tcPr>
          <w:p w14:paraId="7EF915FE"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r w:rsidR="005B548E" w:rsidRPr="005B548E" w14:paraId="2B80214E" w14:textId="77777777" w:rsidTr="005B548E">
        <w:trPr>
          <w:trHeight w:val="283"/>
        </w:trPr>
        <w:tc>
          <w:tcPr>
            <w:tcW w:w="3320" w:type="dxa"/>
            <w:tcBorders>
              <w:top w:val="nil"/>
              <w:left w:val="single" w:sz="4" w:space="0" w:color="auto"/>
              <w:bottom w:val="nil"/>
              <w:right w:val="single" w:sz="4" w:space="0" w:color="auto"/>
            </w:tcBorders>
            <w:shd w:val="clear" w:color="auto" w:fill="auto"/>
            <w:noWrap/>
            <w:vAlign w:val="bottom"/>
            <w:hideMark/>
          </w:tcPr>
          <w:p w14:paraId="53D35369"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Far West and Orana</w:t>
            </w:r>
          </w:p>
        </w:tc>
        <w:tc>
          <w:tcPr>
            <w:tcW w:w="2200" w:type="dxa"/>
            <w:tcBorders>
              <w:top w:val="nil"/>
              <w:left w:val="nil"/>
              <w:bottom w:val="nil"/>
              <w:right w:val="nil"/>
            </w:tcBorders>
            <w:shd w:val="clear" w:color="auto" w:fill="auto"/>
            <w:noWrap/>
            <w:vAlign w:val="bottom"/>
            <w:hideMark/>
          </w:tcPr>
          <w:p w14:paraId="6D33B6E9"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Remote</w:t>
            </w:r>
          </w:p>
        </w:tc>
        <w:tc>
          <w:tcPr>
            <w:tcW w:w="1460" w:type="dxa"/>
            <w:tcBorders>
              <w:top w:val="nil"/>
              <w:left w:val="single" w:sz="4" w:space="0" w:color="auto"/>
              <w:bottom w:val="nil"/>
              <w:right w:val="single" w:sz="4" w:space="0" w:color="auto"/>
            </w:tcBorders>
            <w:shd w:val="clear" w:color="auto" w:fill="auto"/>
            <w:noWrap/>
            <w:vAlign w:val="bottom"/>
            <w:hideMark/>
          </w:tcPr>
          <w:p w14:paraId="73FD0BB1"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Poor</w:t>
            </w:r>
          </w:p>
        </w:tc>
        <w:tc>
          <w:tcPr>
            <w:tcW w:w="1460" w:type="dxa"/>
            <w:tcBorders>
              <w:top w:val="nil"/>
              <w:left w:val="nil"/>
              <w:bottom w:val="nil"/>
              <w:right w:val="single" w:sz="4" w:space="0" w:color="auto"/>
            </w:tcBorders>
            <w:shd w:val="clear" w:color="auto" w:fill="auto"/>
            <w:noWrap/>
            <w:vAlign w:val="bottom"/>
            <w:hideMark/>
          </w:tcPr>
          <w:p w14:paraId="4DB679AA"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Poor</w:t>
            </w:r>
          </w:p>
        </w:tc>
        <w:tc>
          <w:tcPr>
            <w:tcW w:w="1160" w:type="dxa"/>
            <w:tcBorders>
              <w:top w:val="nil"/>
              <w:left w:val="nil"/>
              <w:bottom w:val="nil"/>
              <w:right w:val="single" w:sz="4" w:space="0" w:color="auto"/>
            </w:tcBorders>
            <w:shd w:val="clear" w:color="auto" w:fill="auto"/>
            <w:noWrap/>
            <w:vAlign w:val="bottom"/>
            <w:hideMark/>
          </w:tcPr>
          <w:p w14:paraId="6C664C0B"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r w:rsidR="005B548E" w:rsidRPr="005B548E" w14:paraId="0DEB75B8" w14:textId="77777777" w:rsidTr="005B548E">
        <w:trPr>
          <w:trHeight w:val="283"/>
        </w:trPr>
        <w:tc>
          <w:tcPr>
            <w:tcW w:w="3320" w:type="dxa"/>
            <w:tcBorders>
              <w:top w:val="nil"/>
              <w:left w:val="single" w:sz="4" w:space="0" w:color="auto"/>
              <w:bottom w:val="nil"/>
              <w:right w:val="single" w:sz="4" w:space="0" w:color="auto"/>
            </w:tcBorders>
            <w:shd w:val="clear" w:color="auto" w:fill="auto"/>
            <w:noWrap/>
            <w:vAlign w:val="bottom"/>
            <w:hideMark/>
          </w:tcPr>
          <w:p w14:paraId="6D8A88F9"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Hunter Valley exc Newcastle</w:t>
            </w:r>
          </w:p>
        </w:tc>
        <w:tc>
          <w:tcPr>
            <w:tcW w:w="2200" w:type="dxa"/>
            <w:tcBorders>
              <w:top w:val="nil"/>
              <w:left w:val="nil"/>
              <w:bottom w:val="nil"/>
              <w:right w:val="nil"/>
            </w:tcBorders>
            <w:shd w:val="clear" w:color="auto" w:fill="auto"/>
            <w:noWrap/>
            <w:vAlign w:val="bottom"/>
            <w:hideMark/>
          </w:tcPr>
          <w:p w14:paraId="76B597EA"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Regional</w:t>
            </w:r>
          </w:p>
        </w:tc>
        <w:tc>
          <w:tcPr>
            <w:tcW w:w="1460" w:type="dxa"/>
            <w:tcBorders>
              <w:top w:val="nil"/>
              <w:left w:val="single" w:sz="4" w:space="0" w:color="auto"/>
              <w:bottom w:val="nil"/>
              <w:right w:val="single" w:sz="4" w:space="0" w:color="auto"/>
            </w:tcBorders>
            <w:shd w:val="clear" w:color="auto" w:fill="auto"/>
            <w:noWrap/>
            <w:vAlign w:val="bottom"/>
            <w:hideMark/>
          </w:tcPr>
          <w:p w14:paraId="2F91D5BC"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Below average</w:t>
            </w:r>
          </w:p>
        </w:tc>
        <w:tc>
          <w:tcPr>
            <w:tcW w:w="1460" w:type="dxa"/>
            <w:tcBorders>
              <w:top w:val="nil"/>
              <w:left w:val="nil"/>
              <w:bottom w:val="nil"/>
              <w:right w:val="single" w:sz="4" w:space="0" w:color="auto"/>
            </w:tcBorders>
            <w:shd w:val="clear" w:color="auto" w:fill="auto"/>
            <w:noWrap/>
            <w:vAlign w:val="bottom"/>
            <w:hideMark/>
          </w:tcPr>
          <w:p w14:paraId="08C14C2A"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Below average</w:t>
            </w:r>
          </w:p>
        </w:tc>
        <w:tc>
          <w:tcPr>
            <w:tcW w:w="1160" w:type="dxa"/>
            <w:tcBorders>
              <w:top w:val="nil"/>
              <w:left w:val="nil"/>
              <w:bottom w:val="nil"/>
              <w:right w:val="single" w:sz="4" w:space="0" w:color="auto"/>
            </w:tcBorders>
            <w:shd w:val="clear" w:color="auto" w:fill="auto"/>
            <w:noWrap/>
            <w:vAlign w:val="bottom"/>
            <w:hideMark/>
          </w:tcPr>
          <w:p w14:paraId="7A93A9F1"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r w:rsidR="005B548E" w:rsidRPr="005B548E" w14:paraId="4012BD6C" w14:textId="77777777" w:rsidTr="005B548E">
        <w:trPr>
          <w:trHeight w:val="283"/>
        </w:trPr>
        <w:tc>
          <w:tcPr>
            <w:tcW w:w="3320" w:type="dxa"/>
            <w:tcBorders>
              <w:top w:val="nil"/>
              <w:left w:val="single" w:sz="4" w:space="0" w:color="auto"/>
              <w:bottom w:val="nil"/>
              <w:right w:val="single" w:sz="4" w:space="0" w:color="auto"/>
            </w:tcBorders>
            <w:shd w:val="clear" w:color="auto" w:fill="auto"/>
            <w:noWrap/>
            <w:vAlign w:val="bottom"/>
            <w:hideMark/>
          </w:tcPr>
          <w:p w14:paraId="1D0FCE5D"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Illawarra</w:t>
            </w:r>
          </w:p>
        </w:tc>
        <w:tc>
          <w:tcPr>
            <w:tcW w:w="2200" w:type="dxa"/>
            <w:tcBorders>
              <w:top w:val="nil"/>
              <w:left w:val="nil"/>
              <w:bottom w:val="nil"/>
              <w:right w:val="nil"/>
            </w:tcBorders>
            <w:shd w:val="clear" w:color="auto" w:fill="auto"/>
            <w:noWrap/>
            <w:vAlign w:val="bottom"/>
            <w:hideMark/>
          </w:tcPr>
          <w:p w14:paraId="026C9A4F"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Cities of Regional Australia</w:t>
            </w:r>
          </w:p>
        </w:tc>
        <w:tc>
          <w:tcPr>
            <w:tcW w:w="1460" w:type="dxa"/>
            <w:tcBorders>
              <w:top w:val="nil"/>
              <w:left w:val="single" w:sz="4" w:space="0" w:color="auto"/>
              <w:bottom w:val="nil"/>
              <w:right w:val="single" w:sz="4" w:space="0" w:color="auto"/>
            </w:tcBorders>
            <w:shd w:val="clear" w:color="auto" w:fill="auto"/>
            <w:noWrap/>
            <w:vAlign w:val="bottom"/>
            <w:hideMark/>
          </w:tcPr>
          <w:p w14:paraId="1B6877FB"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Average</w:t>
            </w:r>
          </w:p>
        </w:tc>
        <w:tc>
          <w:tcPr>
            <w:tcW w:w="1460" w:type="dxa"/>
            <w:tcBorders>
              <w:top w:val="nil"/>
              <w:left w:val="nil"/>
              <w:bottom w:val="nil"/>
              <w:right w:val="single" w:sz="4" w:space="0" w:color="auto"/>
            </w:tcBorders>
            <w:shd w:val="clear" w:color="auto" w:fill="auto"/>
            <w:noWrap/>
            <w:vAlign w:val="bottom"/>
            <w:hideMark/>
          </w:tcPr>
          <w:p w14:paraId="11CFA344"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Average</w:t>
            </w:r>
          </w:p>
        </w:tc>
        <w:tc>
          <w:tcPr>
            <w:tcW w:w="1160" w:type="dxa"/>
            <w:tcBorders>
              <w:top w:val="nil"/>
              <w:left w:val="nil"/>
              <w:bottom w:val="nil"/>
              <w:right w:val="single" w:sz="4" w:space="0" w:color="auto"/>
            </w:tcBorders>
            <w:shd w:val="clear" w:color="auto" w:fill="auto"/>
            <w:noWrap/>
            <w:vAlign w:val="bottom"/>
            <w:hideMark/>
          </w:tcPr>
          <w:p w14:paraId="65B73254"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r w:rsidR="005B548E" w:rsidRPr="005B548E" w14:paraId="4244536B" w14:textId="77777777" w:rsidTr="005B548E">
        <w:trPr>
          <w:trHeight w:val="283"/>
        </w:trPr>
        <w:tc>
          <w:tcPr>
            <w:tcW w:w="3320" w:type="dxa"/>
            <w:tcBorders>
              <w:top w:val="nil"/>
              <w:left w:val="single" w:sz="4" w:space="0" w:color="auto"/>
              <w:bottom w:val="nil"/>
              <w:right w:val="single" w:sz="4" w:space="0" w:color="auto"/>
            </w:tcBorders>
            <w:shd w:val="clear" w:color="auto" w:fill="auto"/>
            <w:noWrap/>
            <w:vAlign w:val="bottom"/>
            <w:hideMark/>
          </w:tcPr>
          <w:p w14:paraId="29F9AA35"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Mid North Coast</w:t>
            </w:r>
          </w:p>
        </w:tc>
        <w:tc>
          <w:tcPr>
            <w:tcW w:w="2200" w:type="dxa"/>
            <w:tcBorders>
              <w:top w:val="nil"/>
              <w:left w:val="nil"/>
              <w:bottom w:val="nil"/>
              <w:right w:val="nil"/>
            </w:tcBorders>
            <w:shd w:val="clear" w:color="auto" w:fill="auto"/>
            <w:noWrap/>
            <w:vAlign w:val="bottom"/>
            <w:hideMark/>
          </w:tcPr>
          <w:p w14:paraId="6A038227"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Regional</w:t>
            </w:r>
          </w:p>
        </w:tc>
        <w:tc>
          <w:tcPr>
            <w:tcW w:w="1460" w:type="dxa"/>
            <w:tcBorders>
              <w:top w:val="nil"/>
              <w:left w:val="single" w:sz="4" w:space="0" w:color="auto"/>
              <w:bottom w:val="nil"/>
              <w:right w:val="single" w:sz="4" w:space="0" w:color="auto"/>
            </w:tcBorders>
            <w:shd w:val="clear" w:color="auto" w:fill="auto"/>
            <w:noWrap/>
            <w:vAlign w:val="bottom"/>
            <w:hideMark/>
          </w:tcPr>
          <w:p w14:paraId="23A4F646"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Poor</w:t>
            </w:r>
          </w:p>
        </w:tc>
        <w:tc>
          <w:tcPr>
            <w:tcW w:w="1460" w:type="dxa"/>
            <w:tcBorders>
              <w:top w:val="nil"/>
              <w:left w:val="nil"/>
              <w:bottom w:val="nil"/>
              <w:right w:val="single" w:sz="4" w:space="0" w:color="auto"/>
            </w:tcBorders>
            <w:shd w:val="clear" w:color="auto" w:fill="auto"/>
            <w:noWrap/>
            <w:vAlign w:val="bottom"/>
            <w:hideMark/>
          </w:tcPr>
          <w:p w14:paraId="0A88A8AF"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Poor</w:t>
            </w:r>
          </w:p>
        </w:tc>
        <w:tc>
          <w:tcPr>
            <w:tcW w:w="1160" w:type="dxa"/>
            <w:tcBorders>
              <w:top w:val="nil"/>
              <w:left w:val="nil"/>
              <w:bottom w:val="nil"/>
              <w:right w:val="single" w:sz="4" w:space="0" w:color="auto"/>
            </w:tcBorders>
            <w:shd w:val="clear" w:color="auto" w:fill="auto"/>
            <w:noWrap/>
            <w:vAlign w:val="bottom"/>
            <w:hideMark/>
          </w:tcPr>
          <w:p w14:paraId="37BBFF77"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r w:rsidR="005B548E" w:rsidRPr="005B548E" w14:paraId="49FD2EC9" w14:textId="77777777" w:rsidTr="005B548E">
        <w:trPr>
          <w:trHeight w:val="283"/>
        </w:trPr>
        <w:tc>
          <w:tcPr>
            <w:tcW w:w="3320" w:type="dxa"/>
            <w:tcBorders>
              <w:top w:val="nil"/>
              <w:left w:val="single" w:sz="4" w:space="0" w:color="auto"/>
              <w:bottom w:val="nil"/>
              <w:right w:val="single" w:sz="4" w:space="0" w:color="auto"/>
            </w:tcBorders>
            <w:shd w:val="clear" w:color="auto" w:fill="auto"/>
            <w:noWrap/>
            <w:vAlign w:val="bottom"/>
            <w:hideMark/>
          </w:tcPr>
          <w:p w14:paraId="52410BE2"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Murray</w:t>
            </w:r>
          </w:p>
        </w:tc>
        <w:tc>
          <w:tcPr>
            <w:tcW w:w="2200" w:type="dxa"/>
            <w:tcBorders>
              <w:top w:val="nil"/>
              <w:left w:val="nil"/>
              <w:bottom w:val="nil"/>
              <w:right w:val="nil"/>
            </w:tcBorders>
            <w:shd w:val="clear" w:color="auto" w:fill="auto"/>
            <w:noWrap/>
            <w:vAlign w:val="bottom"/>
            <w:hideMark/>
          </w:tcPr>
          <w:p w14:paraId="2471B90A"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Regional</w:t>
            </w:r>
          </w:p>
        </w:tc>
        <w:tc>
          <w:tcPr>
            <w:tcW w:w="1460" w:type="dxa"/>
            <w:tcBorders>
              <w:top w:val="nil"/>
              <w:left w:val="single" w:sz="4" w:space="0" w:color="auto"/>
              <w:bottom w:val="nil"/>
              <w:right w:val="single" w:sz="4" w:space="0" w:color="auto"/>
            </w:tcBorders>
            <w:shd w:val="clear" w:color="auto" w:fill="auto"/>
            <w:noWrap/>
            <w:vAlign w:val="bottom"/>
            <w:hideMark/>
          </w:tcPr>
          <w:p w14:paraId="39D4899A"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Above average</w:t>
            </w:r>
          </w:p>
        </w:tc>
        <w:tc>
          <w:tcPr>
            <w:tcW w:w="1460" w:type="dxa"/>
            <w:tcBorders>
              <w:top w:val="nil"/>
              <w:left w:val="nil"/>
              <w:bottom w:val="nil"/>
              <w:right w:val="single" w:sz="4" w:space="0" w:color="auto"/>
            </w:tcBorders>
            <w:shd w:val="clear" w:color="auto" w:fill="auto"/>
            <w:noWrap/>
            <w:vAlign w:val="bottom"/>
            <w:hideMark/>
          </w:tcPr>
          <w:p w14:paraId="29AFB209"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Above average</w:t>
            </w:r>
          </w:p>
        </w:tc>
        <w:tc>
          <w:tcPr>
            <w:tcW w:w="1160" w:type="dxa"/>
            <w:tcBorders>
              <w:top w:val="nil"/>
              <w:left w:val="nil"/>
              <w:bottom w:val="nil"/>
              <w:right w:val="single" w:sz="4" w:space="0" w:color="auto"/>
            </w:tcBorders>
            <w:shd w:val="clear" w:color="auto" w:fill="auto"/>
            <w:noWrap/>
            <w:vAlign w:val="bottom"/>
            <w:hideMark/>
          </w:tcPr>
          <w:p w14:paraId="544DDBFC"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r w:rsidR="005B548E" w:rsidRPr="005B548E" w14:paraId="6FA3D2DB" w14:textId="77777777" w:rsidTr="005B548E">
        <w:trPr>
          <w:trHeight w:val="283"/>
        </w:trPr>
        <w:tc>
          <w:tcPr>
            <w:tcW w:w="3320" w:type="dxa"/>
            <w:tcBorders>
              <w:top w:val="nil"/>
              <w:left w:val="single" w:sz="4" w:space="0" w:color="auto"/>
              <w:bottom w:val="nil"/>
              <w:right w:val="single" w:sz="4" w:space="0" w:color="auto"/>
            </w:tcBorders>
            <w:shd w:val="clear" w:color="auto" w:fill="auto"/>
            <w:noWrap/>
            <w:vAlign w:val="bottom"/>
            <w:hideMark/>
          </w:tcPr>
          <w:p w14:paraId="10F89F80"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New England and North West</w:t>
            </w:r>
          </w:p>
        </w:tc>
        <w:tc>
          <w:tcPr>
            <w:tcW w:w="2200" w:type="dxa"/>
            <w:tcBorders>
              <w:top w:val="nil"/>
              <w:left w:val="nil"/>
              <w:bottom w:val="nil"/>
              <w:right w:val="nil"/>
            </w:tcBorders>
            <w:shd w:val="clear" w:color="auto" w:fill="auto"/>
            <w:noWrap/>
            <w:vAlign w:val="bottom"/>
            <w:hideMark/>
          </w:tcPr>
          <w:p w14:paraId="2D0BBA1B"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Regional</w:t>
            </w:r>
          </w:p>
        </w:tc>
        <w:tc>
          <w:tcPr>
            <w:tcW w:w="1460" w:type="dxa"/>
            <w:tcBorders>
              <w:top w:val="nil"/>
              <w:left w:val="single" w:sz="4" w:space="0" w:color="auto"/>
              <w:bottom w:val="nil"/>
              <w:right w:val="single" w:sz="4" w:space="0" w:color="auto"/>
            </w:tcBorders>
            <w:shd w:val="clear" w:color="auto" w:fill="auto"/>
            <w:noWrap/>
            <w:vAlign w:val="bottom"/>
            <w:hideMark/>
          </w:tcPr>
          <w:p w14:paraId="35EF7806"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Below average</w:t>
            </w:r>
          </w:p>
        </w:tc>
        <w:tc>
          <w:tcPr>
            <w:tcW w:w="1460" w:type="dxa"/>
            <w:tcBorders>
              <w:top w:val="nil"/>
              <w:left w:val="nil"/>
              <w:bottom w:val="nil"/>
              <w:right w:val="single" w:sz="4" w:space="0" w:color="auto"/>
            </w:tcBorders>
            <w:shd w:val="clear" w:color="auto" w:fill="auto"/>
            <w:noWrap/>
            <w:vAlign w:val="bottom"/>
            <w:hideMark/>
          </w:tcPr>
          <w:p w14:paraId="3EDC4C55"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Below average</w:t>
            </w:r>
          </w:p>
        </w:tc>
        <w:tc>
          <w:tcPr>
            <w:tcW w:w="1160" w:type="dxa"/>
            <w:tcBorders>
              <w:top w:val="nil"/>
              <w:left w:val="nil"/>
              <w:bottom w:val="nil"/>
              <w:right w:val="single" w:sz="4" w:space="0" w:color="auto"/>
            </w:tcBorders>
            <w:shd w:val="clear" w:color="auto" w:fill="auto"/>
            <w:noWrap/>
            <w:vAlign w:val="bottom"/>
            <w:hideMark/>
          </w:tcPr>
          <w:p w14:paraId="24691DAA"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r w:rsidR="005B548E" w:rsidRPr="005B548E" w14:paraId="404F9F50" w14:textId="77777777" w:rsidTr="005B548E">
        <w:trPr>
          <w:trHeight w:val="283"/>
        </w:trPr>
        <w:tc>
          <w:tcPr>
            <w:tcW w:w="3320" w:type="dxa"/>
            <w:tcBorders>
              <w:top w:val="nil"/>
              <w:left w:val="single" w:sz="4" w:space="0" w:color="auto"/>
              <w:bottom w:val="nil"/>
              <w:right w:val="single" w:sz="4" w:space="0" w:color="auto"/>
            </w:tcBorders>
            <w:shd w:val="clear" w:color="auto" w:fill="auto"/>
            <w:noWrap/>
            <w:vAlign w:val="bottom"/>
            <w:hideMark/>
          </w:tcPr>
          <w:p w14:paraId="7ADCFC10"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Newcastle and Lake Macquarie</w:t>
            </w:r>
          </w:p>
        </w:tc>
        <w:tc>
          <w:tcPr>
            <w:tcW w:w="2200" w:type="dxa"/>
            <w:tcBorders>
              <w:top w:val="nil"/>
              <w:left w:val="nil"/>
              <w:bottom w:val="nil"/>
              <w:right w:val="nil"/>
            </w:tcBorders>
            <w:shd w:val="clear" w:color="auto" w:fill="auto"/>
            <w:noWrap/>
            <w:vAlign w:val="bottom"/>
            <w:hideMark/>
          </w:tcPr>
          <w:p w14:paraId="0ABEF038"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Cities of Regional Australia</w:t>
            </w:r>
          </w:p>
        </w:tc>
        <w:tc>
          <w:tcPr>
            <w:tcW w:w="1460" w:type="dxa"/>
            <w:tcBorders>
              <w:top w:val="nil"/>
              <w:left w:val="single" w:sz="4" w:space="0" w:color="auto"/>
              <w:bottom w:val="nil"/>
              <w:right w:val="single" w:sz="4" w:space="0" w:color="auto"/>
            </w:tcBorders>
            <w:shd w:val="clear" w:color="auto" w:fill="auto"/>
            <w:noWrap/>
            <w:vAlign w:val="bottom"/>
            <w:hideMark/>
          </w:tcPr>
          <w:p w14:paraId="5A12584D"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Above average</w:t>
            </w:r>
          </w:p>
        </w:tc>
        <w:tc>
          <w:tcPr>
            <w:tcW w:w="1460" w:type="dxa"/>
            <w:tcBorders>
              <w:top w:val="nil"/>
              <w:left w:val="nil"/>
              <w:bottom w:val="nil"/>
              <w:right w:val="single" w:sz="4" w:space="0" w:color="auto"/>
            </w:tcBorders>
            <w:shd w:val="clear" w:color="auto" w:fill="auto"/>
            <w:noWrap/>
            <w:vAlign w:val="bottom"/>
            <w:hideMark/>
          </w:tcPr>
          <w:p w14:paraId="0CD27883"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Above average</w:t>
            </w:r>
          </w:p>
        </w:tc>
        <w:tc>
          <w:tcPr>
            <w:tcW w:w="1160" w:type="dxa"/>
            <w:tcBorders>
              <w:top w:val="nil"/>
              <w:left w:val="nil"/>
              <w:bottom w:val="nil"/>
              <w:right w:val="single" w:sz="4" w:space="0" w:color="auto"/>
            </w:tcBorders>
            <w:shd w:val="clear" w:color="auto" w:fill="auto"/>
            <w:noWrap/>
            <w:vAlign w:val="bottom"/>
            <w:hideMark/>
          </w:tcPr>
          <w:p w14:paraId="0165FAB5"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r w:rsidR="005B548E" w:rsidRPr="005B548E" w14:paraId="003A8644" w14:textId="77777777" w:rsidTr="005B548E">
        <w:trPr>
          <w:trHeight w:val="283"/>
        </w:trPr>
        <w:tc>
          <w:tcPr>
            <w:tcW w:w="3320" w:type="dxa"/>
            <w:tcBorders>
              <w:top w:val="nil"/>
              <w:left w:val="single" w:sz="4" w:space="0" w:color="auto"/>
              <w:bottom w:val="nil"/>
              <w:right w:val="single" w:sz="4" w:space="0" w:color="auto"/>
            </w:tcBorders>
            <w:shd w:val="clear" w:color="auto" w:fill="auto"/>
            <w:noWrap/>
            <w:vAlign w:val="bottom"/>
            <w:hideMark/>
          </w:tcPr>
          <w:p w14:paraId="499F8453"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Richmond - Tweed</w:t>
            </w:r>
          </w:p>
        </w:tc>
        <w:tc>
          <w:tcPr>
            <w:tcW w:w="2200" w:type="dxa"/>
            <w:tcBorders>
              <w:top w:val="nil"/>
              <w:left w:val="nil"/>
              <w:bottom w:val="nil"/>
              <w:right w:val="nil"/>
            </w:tcBorders>
            <w:shd w:val="clear" w:color="auto" w:fill="auto"/>
            <w:noWrap/>
            <w:vAlign w:val="bottom"/>
            <w:hideMark/>
          </w:tcPr>
          <w:p w14:paraId="07A4354E"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Regional</w:t>
            </w:r>
          </w:p>
        </w:tc>
        <w:tc>
          <w:tcPr>
            <w:tcW w:w="1460" w:type="dxa"/>
            <w:tcBorders>
              <w:top w:val="nil"/>
              <w:left w:val="single" w:sz="4" w:space="0" w:color="auto"/>
              <w:bottom w:val="nil"/>
              <w:right w:val="single" w:sz="4" w:space="0" w:color="auto"/>
            </w:tcBorders>
            <w:shd w:val="clear" w:color="auto" w:fill="auto"/>
            <w:noWrap/>
            <w:vAlign w:val="bottom"/>
            <w:hideMark/>
          </w:tcPr>
          <w:p w14:paraId="419D99F3"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Below average</w:t>
            </w:r>
          </w:p>
        </w:tc>
        <w:tc>
          <w:tcPr>
            <w:tcW w:w="1460" w:type="dxa"/>
            <w:tcBorders>
              <w:top w:val="nil"/>
              <w:left w:val="nil"/>
              <w:bottom w:val="nil"/>
              <w:right w:val="single" w:sz="4" w:space="0" w:color="auto"/>
            </w:tcBorders>
            <w:shd w:val="clear" w:color="auto" w:fill="auto"/>
            <w:noWrap/>
            <w:vAlign w:val="bottom"/>
            <w:hideMark/>
          </w:tcPr>
          <w:p w14:paraId="5627C3FC"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Average</w:t>
            </w:r>
          </w:p>
        </w:tc>
        <w:tc>
          <w:tcPr>
            <w:tcW w:w="1160" w:type="dxa"/>
            <w:tcBorders>
              <w:top w:val="nil"/>
              <w:left w:val="single" w:sz="4" w:space="0" w:color="auto"/>
              <w:bottom w:val="nil"/>
              <w:right w:val="single" w:sz="4" w:space="0" w:color="auto"/>
            </w:tcBorders>
            <w:shd w:val="clear" w:color="000000" w:fill="047817"/>
            <w:noWrap/>
            <w:vAlign w:val="bottom"/>
            <w:hideMark/>
          </w:tcPr>
          <w:p w14:paraId="4E968A0A" w14:textId="77777777" w:rsidR="005B548E" w:rsidRPr="005B548E" w:rsidRDefault="005B548E" w:rsidP="005B548E">
            <w:pPr>
              <w:spacing w:after="0" w:line="240" w:lineRule="auto"/>
              <w:jc w:val="center"/>
              <w:rPr>
                <w:rFonts w:eastAsia="Times New Roman" w:cs="Arial"/>
                <w:color w:val="FFFFFF"/>
                <w:sz w:val="16"/>
                <w:szCs w:val="16"/>
                <w:lang w:eastAsia="en-AU"/>
              </w:rPr>
            </w:pPr>
            <w:r w:rsidRPr="005B548E">
              <w:rPr>
                <w:rFonts w:eastAsia="Times New Roman" w:cs="Arial"/>
                <w:color w:val="FFFFFF"/>
                <w:sz w:val="16"/>
                <w:szCs w:val="16"/>
                <w:lang w:eastAsia="en-AU"/>
              </w:rPr>
              <w:t>Improved</w:t>
            </w:r>
          </w:p>
        </w:tc>
      </w:tr>
      <w:tr w:rsidR="005B548E" w:rsidRPr="005B548E" w14:paraId="7CA0A43B" w14:textId="77777777" w:rsidTr="005B548E">
        <w:trPr>
          <w:trHeight w:val="283"/>
        </w:trPr>
        <w:tc>
          <w:tcPr>
            <w:tcW w:w="3320" w:type="dxa"/>
            <w:tcBorders>
              <w:top w:val="nil"/>
              <w:left w:val="single" w:sz="4" w:space="0" w:color="auto"/>
              <w:bottom w:val="nil"/>
              <w:right w:val="single" w:sz="4" w:space="0" w:color="auto"/>
            </w:tcBorders>
            <w:shd w:val="clear" w:color="auto" w:fill="auto"/>
            <w:noWrap/>
            <w:vAlign w:val="bottom"/>
            <w:hideMark/>
          </w:tcPr>
          <w:p w14:paraId="603D9001"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Riverina</w:t>
            </w:r>
          </w:p>
        </w:tc>
        <w:tc>
          <w:tcPr>
            <w:tcW w:w="2200" w:type="dxa"/>
            <w:tcBorders>
              <w:top w:val="nil"/>
              <w:left w:val="nil"/>
              <w:bottom w:val="nil"/>
              <w:right w:val="nil"/>
            </w:tcBorders>
            <w:shd w:val="clear" w:color="auto" w:fill="auto"/>
            <w:noWrap/>
            <w:vAlign w:val="bottom"/>
            <w:hideMark/>
          </w:tcPr>
          <w:p w14:paraId="34CA6423"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Regional</w:t>
            </w:r>
          </w:p>
        </w:tc>
        <w:tc>
          <w:tcPr>
            <w:tcW w:w="1460" w:type="dxa"/>
            <w:tcBorders>
              <w:top w:val="nil"/>
              <w:left w:val="single" w:sz="4" w:space="0" w:color="auto"/>
              <w:bottom w:val="nil"/>
              <w:right w:val="single" w:sz="4" w:space="0" w:color="auto"/>
            </w:tcBorders>
            <w:shd w:val="clear" w:color="auto" w:fill="auto"/>
            <w:noWrap/>
            <w:vAlign w:val="bottom"/>
            <w:hideMark/>
          </w:tcPr>
          <w:p w14:paraId="5370588C"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Average</w:t>
            </w:r>
          </w:p>
        </w:tc>
        <w:tc>
          <w:tcPr>
            <w:tcW w:w="1460" w:type="dxa"/>
            <w:tcBorders>
              <w:top w:val="nil"/>
              <w:left w:val="nil"/>
              <w:bottom w:val="nil"/>
              <w:right w:val="single" w:sz="4" w:space="0" w:color="auto"/>
            </w:tcBorders>
            <w:shd w:val="clear" w:color="auto" w:fill="auto"/>
            <w:noWrap/>
            <w:vAlign w:val="bottom"/>
            <w:hideMark/>
          </w:tcPr>
          <w:p w14:paraId="1801D7CA"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Average</w:t>
            </w:r>
          </w:p>
        </w:tc>
        <w:tc>
          <w:tcPr>
            <w:tcW w:w="1160" w:type="dxa"/>
            <w:tcBorders>
              <w:top w:val="nil"/>
              <w:left w:val="nil"/>
              <w:bottom w:val="nil"/>
              <w:right w:val="single" w:sz="4" w:space="0" w:color="auto"/>
            </w:tcBorders>
            <w:shd w:val="clear" w:color="auto" w:fill="auto"/>
            <w:noWrap/>
            <w:vAlign w:val="bottom"/>
            <w:hideMark/>
          </w:tcPr>
          <w:p w14:paraId="19C02D90"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r w:rsidR="005B548E" w:rsidRPr="005B548E" w14:paraId="7AE72B26" w14:textId="77777777" w:rsidTr="005B548E">
        <w:trPr>
          <w:trHeight w:val="283"/>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39C9711B"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Southern Highlands and Shoalhaven</w:t>
            </w:r>
          </w:p>
        </w:tc>
        <w:tc>
          <w:tcPr>
            <w:tcW w:w="2200" w:type="dxa"/>
            <w:tcBorders>
              <w:top w:val="nil"/>
              <w:left w:val="nil"/>
              <w:bottom w:val="single" w:sz="4" w:space="0" w:color="auto"/>
              <w:right w:val="nil"/>
            </w:tcBorders>
            <w:shd w:val="clear" w:color="auto" w:fill="auto"/>
            <w:noWrap/>
            <w:vAlign w:val="bottom"/>
            <w:hideMark/>
          </w:tcPr>
          <w:p w14:paraId="0004F473"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Regional</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92298DF"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Below average</w:t>
            </w:r>
          </w:p>
        </w:tc>
        <w:tc>
          <w:tcPr>
            <w:tcW w:w="1460" w:type="dxa"/>
            <w:tcBorders>
              <w:top w:val="nil"/>
              <w:left w:val="nil"/>
              <w:bottom w:val="single" w:sz="4" w:space="0" w:color="auto"/>
              <w:right w:val="single" w:sz="4" w:space="0" w:color="auto"/>
            </w:tcBorders>
            <w:shd w:val="clear" w:color="auto" w:fill="auto"/>
            <w:noWrap/>
            <w:vAlign w:val="bottom"/>
            <w:hideMark/>
          </w:tcPr>
          <w:p w14:paraId="1F4F8C97"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Below average</w:t>
            </w:r>
          </w:p>
        </w:tc>
        <w:tc>
          <w:tcPr>
            <w:tcW w:w="1160" w:type="dxa"/>
            <w:tcBorders>
              <w:top w:val="nil"/>
              <w:left w:val="nil"/>
              <w:bottom w:val="single" w:sz="4" w:space="0" w:color="auto"/>
              <w:right w:val="single" w:sz="4" w:space="0" w:color="auto"/>
            </w:tcBorders>
            <w:shd w:val="clear" w:color="auto" w:fill="auto"/>
            <w:noWrap/>
            <w:vAlign w:val="bottom"/>
            <w:hideMark/>
          </w:tcPr>
          <w:p w14:paraId="49D13B92"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r w:rsidR="005B548E" w:rsidRPr="005B548E" w14:paraId="1BE05CFF" w14:textId="77777777" w:rsidTr="005B548E">
        <w:trPr>
          <w:trHeight w:val="283"/>
        </w:trPr>
        <w:tc>
          <w:tcPr>
            <w:tcW w:w="3320" w:type="dxa"/>
            <w:tcBorders>
              <w:top w:val="nil"/>
              <w:left w:val="single" w:sz="4" w:space="0" w:color="auto"/>
              <w:bottom w:val="nil"/>
              <w:right w:val="single" w:sz="4" w:space="0" w:color="auto"/>
            </w:tcBorders>
            <w:shd w:val="clear" w:color="auto" w:fill="auto"/>
            <w:noWrap/>
            <w:vAlign w:val="bottom"/>
            <w:hideMark/>
          </w:tcPr>
          <w:p w14:paraId="116F4C37"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Melbourne - Inner</w:t>
            </w:r>
          </w:p>
        </w:tc>
        <w:tc>
          <w:tcPr>
            <w:tcW w:w="2200" w:type="dxa"/>
            <w:tcBorders>
              <w:top w:val="nil"/>
              <w:left w:val="nil"/>
              <w:bottom w:val="nil"/>
              <w:right w:val="nil"/>
            </w:tcBorders>
            <w:shd w:val="clear" w:color="auto" w:fill="auto"/>
            <w:noWrap/>
            <w:vAlign w:val="bottom"/>
            <w:hideMark/>
          </w:tcPr>
          <w:p w14:paraId="75CB93BF"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bottom"/>
            <w:hideMark/>
          </w:tcPr>
          <w:p w14:paraId="1DF00851"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Above average</w:t>
            </w:r>
          </w:p>
        </w:tc>
        <w:tc>
          <w:tcPr>
            <w:tcW w:w="1460" w:type="dxa"/>
            <w:tcBorders>
              <w:top w:val="nil"/>
              <w:left w:val="nil"/>
              <w:bottom w:val="nil"/>
              <w:right w:val="single" w:sz="4" w:space="0" w:color="auto"/>
            </w:tcBorders>
            <w:shd w:val="clear" w:color="auto" w:fill="auto"/>
            <w:noWrap/>
            <w:vAlign w:val="bottom"/>
            <w:hideMark/>
          </w:tcPr>
          <w:p w14:paraId="1C7BBDB5"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Above average</w:t>
            </w:r>
          </w:p>
        </w:tc>
        <w:tc>
          <w:tcPr>
            <w:tcW w:w="1160" w:type="dxa"/>
            <w:tcBorders>
              <w:top w:val="nil"/>
              <w:left w:val="nil"/>
              <w:bottom w:val="nil"/>
              <w:right w:val="single" w:sz="4" w:space="0" w:color="auto"/>
            </w:tcBorders>
            <w:shd w:val="clear" w:color="auto" w:fill="auto"/>
            <w:noWrap/>
            <w:vAlign w:val="bottom"/>
            <w:hideMark/>
          </w:tcPr>
          <w:p w14:paraId="522977A9"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r w:rsidR="005B548E" w:rsidRPr="005B548E" w14:paraId="12743ECF" w14:textId="77777777" w:rsidTr="005B548E">
        <w:trPr>
          <w:trHeight w:val="283"/>
        </w:trPr>
        <w:tc>
          <w:tcPr>
            <w:tcW w:w="3320" w:type="dxa"/>
            <w:tcBorders>
              <w:top w:val="nil"/>
              <w:left w:val="single" w:sz="4" w:space="0" w:color="auto"/>
              <w:bottom w:val="nil"/>
              <w:right w:val="single" w:sz="4" w:space="0" w:color="auto"/>
            </w:tcBorders>
            <w:shd w:val="clear" w:color="auto" w:fill="auto"/>
            <w:noWrap/>
            <w:vAlign w:val="bottom"/>
            <w:hideMark/>
          </w:tcPr>
          <w:p w14:paraId="095C6ADF"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Melbourne - Inner East</w:t>
            </w:r>
          </w:p>
        </w:tc>
        <w:tc>
          <w:tcPr>
            <w:tcW w:w="2200" w:type="dxa"/>
            <w:tcBorders>
              <w:top w:val="nil"/>
              <w:left w:val="nil"/>
              <w:bottom w:val="nil"/>
              <w:right w:val="nil"/>
            </w:tcBorders>
            <w:shd w:val="clear" w:color="auto" w:fill="auto"/>
            <w:noWrap/>
            <w:vAlign w:val="bottom"/>
            <w:hideMark/>
          </w:tcPr>
          <w:p w14:paraId="397CA462"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bottom"/>
            <w:hideMark/>
          </w:tcPr>
          <w:p w14:paraId="7DBB265B"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Above average</w:t>
            </w:r>
          </w:p>
        </w:tc>
        <w:tc>
          <w:tcPr>
            <w:tcW w:w="1460" w:type="dxa"/>
            <w:tcBorders>
              <w:top w:val="nil"/>
              <w:left w:val="nil"/>
              <w:bottom w:val="nil"/>
              <w:right w:val="single" w:sz="4" w:space="0" w:color="auto"/>
            </w:tcBorders>
            <w:shd w:val="clear" w:color="auto" w:fill="auto"/>
            <w:noWrap/>
            <w:vAlign w:val="bottom"/>
            <w:hideMark/>
          </w:tcPr>
          <w:p w14:paraId="0FBB5A56"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Above average</w:t>
            </w:r>
          </w:p>
        </w:tc>
        <w:tc>
          <w:tcPr>
            <w:tcW w:w="1160" w:type="dxa"/>
            <w:tcBorders>
              <w:top w:val="nil"/>
              <w:left w:val="nil"/>
              <w:bottom w:val="nil"/>
              <w:right w:val="single" w:sz="4" w:space="0" w:color="auto"/>
            </w:tcBorders>
            <w:shd w:val="clear" w:color="auto" w:fill="auto"/>
            <w:noWrap/>
            <w:vAlign w:val="bottom"/>
            <w:hideMark/>
          </w:tcPr>
          <w:p w14:paraId="218550AA"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r w:rsidR="005B548E" w:rsidRPr="005B548E" w14:paraId="23CD865A" w14:textId="77777777" w:rsidTr="005B548E">
        <w:trPr>
          <w:trHeight w:val="283"/>
        </w:trPr>
        <w:tc>
          <w:tcPr>
            <w:tcW w:w="3320" w:type="dxa"/>
            <w:tcBorders>
              <w:top w:val="nil"/>
              <w:left w:val="single" w:sz="4" w:space="0" w:color="auto"/>
              <w:bottom w:val="nil"/>
              <w:right w:val="single" w:sz="4" w:space="0" w:color="auto"/>
            </w:tcBorders>
            <w:shd w:val="clear" w:color="auto" w:fill="auto"/>
            <w:noWrap/>
            <w:vAlign w:val="bottom"/>
            <w:hideMark/>
          </w:tcPr>
          <w:p w14:paraId="109A55C2"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Melbourne - Inner South</w:t>
            </w:r>
          </w:p>
        </w:tc>
        <w:tc>
          <w:tcPr>
            <w:tcW w:w="2200" w:type="dxa"/>
            <w:tcBorders>
              <w:top w:val="nil"/>
              <w:left w:val="nil"/>
              <w:bottom w:val="nil"/>
              <w:right w:val="nil"/>
            </w:tcBorders>
            <w:shd w:val="clear" w:color="auto" w:fill="auto"/>
            <w:noWrap/>
            <w:vAlign w:val="bottom"/>
            <w:hideMark/>
          </w:tcPr>
          <w:p w14:paraId="0BD89CB1"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bottom"/>
            <w:hideMark/>
          </w:tcPr>
          <w:p w14:paraId="0FFFE209"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Strong</w:t>
            </w:r>
          </w:p>
        </w:tc>
        <w:tc>
          <w:tcPr>
            <w:tcW w:w="1460" w:type="dxa"/>
            <w:tcBorders>
              <w:top w:val="nil"/>
              <w:left w:val="nil"/>
              <w:bottom w:val="nil"/>
              <w:right w:val="single" w:sz="4" w:space="0" w:color="auto"/>
            </w:tcBorders>
            <w:shd w:val="clear" w:color="auto" w:fill="auto"/>
            <w:noWrap/>
            <w:vAlign w:val="bottom"/>
            <w:hideMark/>
          </w:tcPr>
          <w:p w14:paraId="668F1B6E"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Strong</w:t>
            </w:r>
          </w:p>
        </w:tc>
        <w:tc>
          <w:tcPr>
            <w:tcW w:w="1160" w:type="dxa"/>
            <w:tcBorders>
              <w:top w:val="nil"/>
              <w:left w:val="nil"/>
              <w:bottom w:val="nil"/>
              <w:right w:val="single" w:sz="4" w:space="0" w:color="auto"/>
            </w:tcBorders>
            <w:shd w:val="clear" w:color="auto" w:fill="auto"/>
            <w:noWrap/>
            <w:vAlign w:val="bottom"/>
            <w:hideMark/>
          </w:tcPr>
          <w:p w14:paraId="1B1C3297"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r w:rsidR="005B548E" w:rsidRPr="005B548E" w14:paraId="715EBF12" w14:textId="77777777" w:rsidTr="005B548E">
        <w:trPr>
          <w:trHeight w:val="283"/>
        </w:trPr>
        <w:tc>
          <w:tcPr>
            <w:tcW w:w="3320" w:type="dxa"/>
            <w:tcBorders>
              <w:top w:val="nil"/>
              <w:left w:val="single" w:sz="4" w:space="0" w:color="auto"/>
              <w:bottom w:val="nil"/>
              <w:right w:val="single" w:sz="4" w:space="0" w:color="auto"/>
            </w:tcBorders>
            <w:shd w:val="clear" w:color="auto" w:fill="auto"/>
            <w:noWrap/>
            <w:vAlign w:val="bottom"/>
            <w:hideMark/>
          </w:tcPr>
          <w:p w14:paraId="1EA7E6B7"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Melbourne - North East</w:t>
            </w:r>
          </w:p>
        </w:tc>
        <w:tc>
          <w:tcPr>
            <w:tcW w:w="2200" w:type="dxa"/>
            <w:tcBorders>
              <w:top w:val="nil"/>
              <w:left w:val="nil"/>
              <w:bottom w:val="nil"/>
              <w:right w:val="nil"/>
            </w:tcBorders>
            <w:shd w:val="clear" w:color="auto" w:fill="auto"/>
            <w:noWrap/>
            <w:vAlign w:val="bottom"/>
            <w:hideMark/>
          </w:tcPr>
          <w:p w14:paraId="2A4AC0EA"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bottom"/>
            <w:hideMark/>
          </w:tcPr>
          <w:p w14:paraId="10D7A0F6"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Above average</w:t>
            </w:r>
          </w:p>
        </w:tc>
        <w:tc>
          <w:tcPr>
            <w:tcW w:w="1460" w:type="dxa"/>
            <w:tcBorders>
              <w:top w:val="nil"/>
              <w:left w:val="nil"/>
              <w:bottom w:val="nil"/>
              <w:right w:val="single" w:sz="4" w:space="0" w:color="auto"/>
            </w:tcBorders>
            <w:shd w:val="clear" w:color="auto" w:fill="auto"/>
            <w:noWrap/>
            <w:vAlign w:val="bottom"/>
            <w:hideMark/>
          </w:tcPr>
          <w:p w14:paraId="3B46A993"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Above average</w:t>
            </w:r>
          </w:p>
        </w:tc>
        <w:tc>
          <w:tcPr>
            <w:tcW w:w="1160" w:type="dxa"/>
            <w:tcBorders>
              <w:top w:val="nil"/>
              <w:left w:val="nil"/>
              <w:bottom w:val="nil"/>
              <w:right w:val="single" w:sz="4" w:space="0" w:color="auto"/>
            </w:tcBorders>
            <w:shd w:val="clear" w:color="auto" w:fill="auto"/>
            <w:noWrap/>
            <w:vAlign w:val="bottom"/>
            <w:hideMark/>
          </w:tcPr>
          <w:p w14:paraId="20E44CB0"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r w:rsidR="005B548E" w:rsidRPr="005B548E" w14:paraId="493C013F" w14:textId="77777777" w:rsidTr="005B548E">
        <w:trPr>
          <w:trHeight w:val="283"/>
        </w:trPr>
        <w:tc>
          <w:tcPr>
            <w:tcW w:w="3320" w:type="dxa"/>
            <w:tcBorders>
              <w:top w:val="nil"/>
              <w:left w:val="single" w:sz="4" w:space="0" w:color="auto"/>
              <w:bottom w:val="nil"/>
              <w:right w:val="single" w:sz="4" w:space="0" w:color="auto"/>
            </w:tcBorders>
            <w:shd w:val="clear" w:color="auto" w:fill="auto"/>
            <w:noWrap/>
            <w:vAlign w:val="bottom"/>
            <w:hideMark/>
          </w:tcPr>
          <w:p w14:paraId="5AD50C26"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Melbourne - North West</w:t>
            </w:r>
          </w:p>
        </w:tc>
        <w:tc>
          <w:tcPr>
            <w:tcW w:w="2200" w:type="dxa"/>
            <w:tcBorders>
              <w:top w:val="nil"/>
              <w:left w:val="nil"/>
              <w:bottom w:val="nil"/>
              <w:right w:val="nil"/>
            </w:tcBorders>
            <w:shd w:val="clear" w:color="auto" w:fill="auto"/>
            <w:noWrap/>
            <w:vAlign w:val="bottom"/>
            <w:hideMark/>
          </w:tcPr>
          <w:p w14:paraId="3A3FFC53"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bottom"/>
            <w:hideMark/>
          </w:tcPr>
          <w:p w14:paraId="43BFD2EB"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Poor</w:t>
            </w:r>
          </w:p>
        </w:tc>
        <w:tc>
          <w:tcPr>
            <w:tcW w:w="1460" w:type="dxa"/>
            <w:tcBorders>
              <w:top w:val="nil"/>
              <w:left w:val="nil"/>
              <w:bottom w:val="nil"/>
              <w:right w:val="single" w:sz="4" w:space="0" w:color="auto"/>
            </w:tcBorders>
            <w:shd w:val="clear" w:color="auto" w:fill="auto"/>
            <w:noWrap/>
            <w:vAlign w:val="bottom"/>
            <w:hideMark/>
          </w:tcPr>
          <w:p w14:paraId="310B6840"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Poor</w:t>
            </w:r>
          </w:p>
        </w:tc>
        <w:tc>
          <w:tcPr>
            <w:tcW w:w="1160" w:type="dxa"/>
            <w:tcBorders>
              <w:top w:val="nil"/>
              <w:left w:val="nil"/>
              <w:bottom w:val="nil"/>
              <w:right w:val="single" w:sz="4" w:space="0" w:color="auto"/>
            </w:tcBorders>
            <w:shd w:val="clear" w:color="auto" w:fill="auto"/>
            <w:noWrap/>
            <w:vAlign w:val="bottom"/>
            <w:hideMark/>
          </w:tcPr>
          <w:p w14:paraId="1DAB21CA"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r w:rsidR="005B548E" w:rsidRPr="005B548E" w14:paraId="2A0EE236" w14:textId="77777777" w:rsidTr="005B548E">
        <w:trPr>
          <w:trHeight w:val="283"/>
        </w:trPr>
        <w:tc>
          <w:tcPr>
            <w:tcW w:w="3320" w:type="dxa"/>
            <w:tcBorders>
              <w:top w:val="nil"/>
              <w:left w:val="single" w:sz="4" w:space="0" w:color="auto"/>
              <w:bottom w:val="nil"/>
              <w:right w:val="single" w:sz="4" w:space="0" w:color="auto"/>
            </w:tcBorders>
            <w:shd w:val="clear" w:color="auto" w:fill="auto"/>
            <w:noWrap/>
            <w:vAlign w:val="bottom"/>
            <w:hideMark/>
          </w:tcPr>
          <w:p w14:paraId="1E08B6F0"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Melbourne - Outer East</w:t>
            </w:r>
          </w:p>
        </w:tc>
        <w:tc>
          <w:tcPr>
            <w:tcW w:w="2200" w:type="dxa"/>
            <w:tcBorders>
              <w:top w:val="nil"/>
              <w:left w:val="nil"/>
              <w:bottom w:val="nil"/>
              <w:right w:val="nil"/>
            </w:tcBorders>
            <w:shd w:val="clear" w:color="auto" w:fill="auto"/>
            <w:noWrap/>
            <w:vAlign w:val="bottom"/>
            <w:hideMark/>
          </w:tcPr>
          <w:p w14:paraId="4F5EE1FD"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bottom"/>
            <w:hideMark/>
          </w:tcPr>
          <w:p w14:paraId="061087B9"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Strong</w:t>
            </w:r>
          </w:p>
        </w:tc>
        <w:tc>
          <w:tcPr>
            <w:tcW w:w="1460" w:type="dxa"/>
            <w:tcBorders>
              <w:top w:val="nil"/>
              <w:left w:val="nil"/>
              <w:bottom w:val="nil"/>
              <w:right w:val="single" w:sz="4" w:space="0" w:color="auto"/>
            </w:tcBorders>
            <w:shd w:val="clear" w:color="auto" w:fill="auto"/>
            <w:noWrap/>
            <w:vAlign w:val="bottom"/>
            <w:hideMark/>
          </w:tcPr>
          <w:p w14:paraId="43336B65"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Strong</w:t>
            </w:r>
          </w:p>
        </w:tc>
        <w:tc>
          <w:tcPr>
            <w:tcW w:w="1160" w:type="dxa"/>
            <w:tcBorders>
              <w:top w:val="nil"/>
              <w:left w:val="nil"/>
              <w:bottom w:val="nil"/>
              <w:right w:val="single" w:sz="4" w:space="0" w:color="auto"/>
            </w:tcBorders>
            <w:shd w:val="clear" w:color="auto" w:fill="auto"/>
            <w:noWrap/>
            <w:vAlign w:val="bottom"/>
            <w:hideMark/>
          </w:tcPr>
          <w:p w14:paraId="26ABDB75"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r w:rsidR="005B548E" w:rsidRPr="005B548E" w14:paraId="4FB87AA3" w14:textId="77777777" w:rsidTr="005B548E">
        <w:trPr>
          <w:trHeight w:val="283"/>
        </w:trPr>
        <w:tc>
          <w:tcPr>
            <w:tcW w:w="3320" w:type="dxa"/>
            <w:tcBorders>
              <w:top w:val="nil"/>
              <w:left w:val="single" w:sz="4" w:space="0" w:color="auto"/>
              <w:bottom w:val="nil"/>
              <w:right w:val="single" w:sz="4" w:space="0" w:color="auto"/>
            </w:tcBorders>
            <w:shd w:val="clear" w:color="auto" w:fill="auto"/>
            <w:noWrap/>
            <w:vAlign w:val="bottom"/>
            <w:hideMark/>
          </w:tcPr>
          <w:p w14:paraId="1808E8C4"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Melbourne - South East</w:t>
            </w:r>
          </w:p>
        </w:tc>
        <w:tc>
          <w:tcPr>
            <w:tcW w:w="2200" w:type="dxa"/>
            <w:tcBorders>
              <w:top w:val="nil"/>
              <w:left w:val="nil"/>
              <w:bottom w:val="nil"/>
              <w:right w:val="nil"/>
            </w:tcBorders>
            <w:shd w:val="clear" w:color="auto" w:fill="auto"/>
            <w:noWrap/>
            <w:vAlign w:val="bottom"/>
            <w:hideMark/>
          </w:tcPr>
          <w:p w14:paraId="28D6750E"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bottom"/>
            <w:hideMark/>
          </w:tcPr>
          <w:p w14:paraId="4655695C"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Below average</w:t>
            </w:r>
          </w:p>
        </w:tc>
        <w:tc>
          <w:tcPr>
            <w:tcW w:w="1460" w:type="dxa"/>
            <w:tcBorders>
              <w:top w:val="nil"/>
              <w:left w:val="nil"/>
              <w:bottom w:val="nil"/>
              <w:right w:val="single" w:sz="4" w:space="0" w:color="auto"/>
            </w:tcBorders>
            <w:shd w:val="clear" w:color="auto" w:fill="auto"/>
            <w:noWrap/>
            <w:vAlign w:val="bottom"/>
            <w:hideMark/>
          </w:tcPr>
          <w:p w14:paraId="55B7CF01"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Below average</w:t>
            </w:r>
          </w:p>
        </w:tc>
        <w:tc>
          <w:tcPr>
            <w:tcW w:w="1160" w:type="dxa"/>
            <w:tcBorders>
              <w:top w:val="nil"/>
              <w:left w:val="nil"/>
              <w:bottom w:val="nil"/>
              <w:right w:val="single" w:sz="4" w:space="0" w:color="auto"/>
            </w:tcBorders>
            <w:shd w:val="clear" w:color="auto" w:fill="auto"/>
            <w:noWrap/>
            <w:vAlign w:val="bottom"/>
            <w:hideMark/>
          </w:tcPr>
          <w:p w14:paraId="078D3860"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r w:rsidR="005B548E" w:rsidRPr="005B548E" w14:paraId="37D85892" w14:textId="77777777" w:rsidTr="005B548E">
        <w:trPr>
          <w:trHeight w:val="283"/>
        </w:trPr>
        <w:tc>
          <w:tcPr>
            <w:tcW w:w="3320" w:type="dxa"/>
            <w:tcBorders>
              <w:top w:val="nil"/>
              <w:left w:val="single" w:sz="4" w:space="0" w:color="auto"/>
              <w:bottom w:val="nil"/>
              <w:right w:val="single" w:sz="4" w:space="0" w:color="auto"/>
            </w:tcBorders>
            <w:shd w:val="clear" w:color="auto" w:fill="auto"/>
            <w:noWrap/>
            <w:vAlign w:val="bottom"/>
            <w:hideMark/>
          </w:tcPr>
          <w:p w14:paraId="7345AF28"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Melbourne - West</w:t>
            </w:r>
          </w:p>
        </w:tc>
        <w:tc>
          <w:tcPr>
            <w:tcW w:w="2200" w:type="dxa"/>
            <w:tcBorders>
              <w:top w:val="nil"/>
              <w:left w:val="nil"/>
              <w:bottom w:val="nil"/>
              <w:right w:val="nil"/>
            </w:tcBorders>
            <w:shd w:val="clear" w:color="auto" w:fill="auto"/>
            <w:noWrap/>
            <w:vAlign w:val="bottom"/>
            <w:hideMark/>
          </w:tcPr>
          <w:p w14:paraId="535D799B"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bottom"/>
            <w:hideMark/>
          </w:tcPr>
          <w:p w14:paraId="440F14B0"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Below average</w:t>
            </w:r>
          </w:p>
        </w:tc>
        <w:tc>
          <w:tcPr>
            <w:tcW w:w="1460" w:type="dxa"/>
            <w:tcBorders>
              <w:top w:val="nil"/>
              <w:left w:val="nil"/>
              <w:bottom w:val="nil"/>
              <w:right w:val="single" w:sz="4" w:space="0" w:color="auto"/>
            </w:tcBorders>
            <w:shd w:val="clear" w:color="auto" w:fill="auto"/>
            <w:noWrap/>
            <w:vAlign w:val="bottom"/>
            <w:hideMark/>
          </w:tcPr>
          <w:p w14:paraId="11997490"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Below average</w:t>
            </w:r>
          </w:p>
        </w:tc>
        <w:tc>
          <w:tcPr>
            <w:tcW w:w="1160" w:type="dxa"/>
            <w:tcBorders>
              <w:top w:val="nil"/>
              <w:left w:val="nil"/>
              <w:bottom w:val="nil"/>
              <w:right w:val="single" w:sz="4" w:space="0" w:color="auto"/>
            </w:tcBorders>
            <w:shd w:val="clear" w:color="auto" w:fill="auto"/>
            <w:noWrap/>
            <w:vAlign w:val="bottom"/>
            <w:hideMark/>
          </w:tcPr>
          <w:p w14:paraId="47197CDF"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r w:rsidR="005B548E" w:rsidRPr="005B548E" w14:paraId="5EB059E0" w14:textId="77777777" w:rsidTr="005B548E">
        <w:trPr>
          <w:trHeight w:val="283"/>
        </w:trPr>
        <w:tc>
          <w:tcPr>
            <w:tcW w:w="3320" w:type="dxa"/>
            <w:tcBorders>
              <w:top w:val="nil"/>
              <w:left w:val="single" w:sz="4" w:space="0" w:color="auto"/>
              <w:bottom w:val="nil"/>
              <w:right w:val="single" w:sz="4" w:space="0" w:color="auto"/>
            </w:tcBorders>
            <w:shd w:val="clear" w:color="auto" w:fill="auto"/>
            <w:noWrap/>
            <w:vAlign w:val="bottom"/>
            <w:hideMark/>
          </w:tcPr>
          <w:p w14:paraId="01CA9F8D"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Mornington Peninsula</w:t>
            </w:r>
          </w:p>
        </w:tc>
        <w:tc>
          <w:tcPr>
            <w:tcW w:w="2200" w:type="dxa"/>
            <w:tcBorders>
              <w:top w:val="nil"/>
              <w:left w:val="nil"/>
              <w:bottom w:val="nil"/>
              <w:right w:val="nil"/>
            </w:tcBorders>
            <w:shd w:val="clear" w:color="auto" w:fill="auto"/>
            <w:noWrap/>
            <w:vAlign w:val="bottom"/>
            <w:hideMark/>
          </w:tcPr>
          <w:p w14:paraId="555794C6"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bottom"/>
            <w:hideMark/>
          </w:tcPr>
          <w:p w14:paraId="1BF364BF"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Above average</w:t>
            </w:r>
          </w:p>
        </w:tc>
        <w:tc>
          <w:tcPr>
            <w:tcW w:w="1460" w:type="dxa"/>
            <w:tcBorders>
              <w:top w:val="nil"/>
              <w:left w:val="nil"/>
              <w:bottom w:val="nil"/>
              <w:right w:val="single" w:sz="4" w:space="0" w:color="auto"/>
            </w:tcBorders>
            <w:shd w:val="clear" w:color="auto" w:fill="auto"/>
            <w:noWrap/>
            <w:vAlign w:val="bottom"/>
            <w:hideMark/>
          </w:tcPr>
          <w:p w14:paraId="636CC4AF"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Above average</w:t>
            </w:r>
          </w:p>
        </w:tc>
        <w:tc>
          <w:tcPr>
            <w:tcW w:w="1160" w:type="dxa"/>
            <w:tcBorders>
              <w:top w:val="nil"/>
              <w:left w:val="nil"/>
              <w:bottom w:val="nil"/>
              <w:right w:val="single" w:sz="4" w:space="0" w:color="auto"/>
            </w:tcBorders>
            <w:shd w:val="clear" w:color="auto" w:fill="auto"/>
            <w:noWrap/>
            <w:vAlign w:val="bottom"/>
            <w:hideMark/>
          </w:tcPr>
          <w:p w14:paraId="5EC24A7C"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r w:rsidR="005B548E" w:rsidRPr="005B548E" w14:paraId="486C70F3" w14:textId="77777777" w:rsidTr="005B548E">
        <w:trPr>
          <w:trHeight w:val="283"/>
        </w:trPr>
        <w:tc>
          <w:tcPr>
            <w:tcW w:w="3320" w:type="dxa"/>
            <w:tcBorders>
              <w:top w:val="nil"/>
              <w:left w:val="single" w:sz="4" w:space="0" w:color="auto"/>
              <w:bottom w:val="nil"/>
              <w:right w:val="single" w:sz="4" w:space="0" w:color="auto"/>
            </w:tcBorders>
            <w:shd w:val="clear" w:color="auto" w:fill="auto"/>
            <w:noWrap/>
            <w:vAlign w:val="bottom"/>
            <w:hideMark/>
          </w:tcPr>
          <w:p w14:paraId="2E74D69E"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Ballarat</w:t>
            </w:r>
          </w:p>
        </w:tc>
        <w:tc>
          <w:tcPr>
            <w:tcW w:w="2200" w:type="dxa"/>
            <w:tcBorders>
              <w:top w:val="nil"/>
              <w:left w:val="nil"/>
              <w:bottom w:val="nil"/>
              <w:right w:val="nil"/>
            </w:tcBorders>
            <w:shd w:val="clear" w:color="auto" w:fill="auto"/>
            <w:noWrap/>
            <w:vAlign w:val="bottom"/>
            <w:hideMark/>
          </w:tcPr>
          <w:p w14:paraId="535A48FC"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Regional</w:t>
            </w:r>
          </w:p>
        </w:tc>
        <w:tc>
          <w:tcPr>
            <w:tcW w:w="1460" w:type="dxa"/>
            <w:tcBorders>
              <w:top w:val="nil"/>
              <w:left w:val="single" w:sz="4" w:space="0" w:color="auto"/>
              <w:bottom w:val="nil"/>
              <w:right w:val="single" w:sz="4" w:space="0" w:color="auto"/>
            </w:tcBorders>
            <w:shd w:val="clear" w:color="auto" w:fill="auto"/>
            <w:noWrap/>
            <w:vAlign w:val="bottom"/>
            <w:hideMark/>
          </w:tcPr>
          <w:p w14:paraId="49AEC05E"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Below average</w:t>
            </w:r>
          </w:p>
        </w:tc>
        <w:tc>
          <w:tcPr>
            <w:tcW w:w="1460" w:type="dxa"/>
            <w:tcBorders>
              <w:top w:val="nil"/>
              <w:left w:val="nil"/>
              <w:bottom w:val="nil"/>
              <w:right w:val="single" w:sz="4" w:space="0" w:color="auto"/>
            </w:tcBorders>
            <w:shd w:val="clear" w:color="auto" w:fill="auto"/>
            <w:noWrap/>
            <w:vAlign w:val="bottom"/>
            <w:hideMark/>
          </w:tcPr>
          <w:p w14:paraId="5016A14D"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Below average</w:t>
            </w:r>
          </w:p>
        </w:tc>
        <w:tc>
          <w:tcPr>
            <w:tcW w:w="1160" w:type="dxa"/>
            <w:tcBorders>
              <w:top w:val="nil"/>
              <w:left w:val="nil"/>
              <w:bottom w:val="nil"/>
              <w:right w:val="single" w:sz="4" w:space="0" w:color="auto"/>
            </w:tcBorders>
            <w:shd w:val="clear" w:color="auto" w:fill="auto"/>
            <w:noWrap/>
            <w:vAlign w:val="bottom"/>
            <w:hideMark/>
          </w:tcPr>
          <w:p w14:paraId="0F36E7EF"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r w:rsidR="005B548E" w:rsidRPr="005B548E" w14:paraId="5A12F698" w14:textId="77777777" w:rsidTr="005B548E">
        <w:trPr>
          <w:trHeight w:val="283"/>
        </w:trPr>
        <w:tc>
          <w:tcPr>
            <w:tcW w:w="3320" w:type="dxa"/>
            <w:tcBorders>
              <w:top w:val="nil"/>
              <w:left w:val="single" w:sz="4" w:space="0" w:color="auto"/>
              <w:bottom w:val="nil"/>
              <w:right w:val="single" w:sz="4" w:space="0" w:color="auto"/>
            </w:tcBorders>
            <w:shd w:val="clear" w:color="auto" w:fill="auto"/>
            <w:noWrap/>
            <w:vAlign w:val="bottom"/>
            <w:hideMark/>
          </w:tcPr>
          <w:p w14:paraId="0335EBCE"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Bendigo</w:t>
            </w:r>
          </w:p>
        </w:tc>
        <w:tc>
          <w:tcPr>
            <w:tcW w:w="2200" w:type="dxa"/>
            <w:tcBorders>
              <w:top w:val="nil"/>
              <w:left w:val="nil"/>
              <w:bottom w:val="nil"/>
              <w:right w:val="nil"/>
            </w:tcBorders>
            <w:shd w:val="clear" w:color="auto" w:fill="auto"/>
            <w:noWrap/>
            <w:vAlign w:val="bottom"/>
            <w:hideMark/>
          </w:tcPr>
          <w:p w14:paraId="46A3E2ED"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Regional</w:t>
            </w:r>
          </w:p>
        </w:tc>
        <w:tc>
          <w:tcPr>
            <w:tcW w:w="1460" w:type="dxa"/>
            <w:tcBorders>
              <w:top w:val="nil"/>
              <w:left w:val="single" w:sz="4" w:space="0" w:color="auto"/>
              <w:bottom w:val="nil"/>
              <w:right w:val="single" w:sz="4" w:space="0" w:color="auto"/>
            </w:tcBorders>
            <w:shd w:val="clear" w:color="auto" w:fill="auto"/>
            <w:noWrap/>
            <w:vAlign w:val="bottom"/>
            <w:hideMark/>
          </w:tcPr>
          <w:p w14:paraId="18457492"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Average</w:t>
            </w:r>
          </w:p>
        </w:tc>
        <w:tc>
          <w:tcPr>
            <w:tcW w:w="1460" w:type="dxa"/>
            <w:tcBorders>
              <w:top w:val="nil"/>
              <w:left w:val="nil"/>
              <w:bottom w:val="nil"/>
              <w:right w:val="single" w:sz="4" w:space="0" w:color="auto"/>
            </w:tcBorders>
            <w:shd w:val="clear" w:color="auto" w:fill="auto"/>
            <w:noWrap/>
            <w:vAlign w:val="bottom"/>
            <w:hideMark/>
          </w:tcPr>
          <w:p w14:paraId="3B95C0AF"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Average</w:t>
            </w:r>
          </w:p>
        </w:tc>
        <w:tc>
          <w:tcPr>
            <w:tcW w:w="1160" w:type="dxa"/>
            <w:tcBorders>
              <w:top w:val="nil"/>
              <w:left w:val="nil"/>
              <w:bottom w:val="nil"/>
              <w:right w:val="single" w:sz="4" w:space="0" w:color="auto"/>
            </w:tcBorders>
            <w:shd w:val="clear" w:color="auto" w:fill="auto"/>
            <w:noWrap/>
            <w:vAlign w:val="bottom"/>
            <w:hideMark/>
          </w:tcPr>
          <w:p w14:paraId="7B0DC386"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r w:rsidR="005B548E" w:rsidRPr="005B548E" w14:paraId="4D218D37" w14:textId="77777777" w:rsidTr="005B548E">
        <w:trPr>
          <w:trHeight w:val="283"/>
        </w:trPr>
        <w:tc>
          <w:tcPr>
            <w:tcW w:w="3320" w:type="dxa"/>
            <w:tcBorders>
              <w:top w:val="nil"/>
              <w:left w:val="single" w:sz="4" w:space="0" w:color="auto"/>
              <w:bottom w:val="nil"/>
              <w:right w:val="single" w:sz="4" w:space="0" w:color="auto"/>
            </w:tcBorders>
            <w:shd w:val="clear" w:color="auto" w:fill="auto"/>
            <w:noWrap/>
            <w:vAlign w:val="bottom"/>
            <w:hideMark/>
          </w:tcPr>
          <w:p w14:paraId="248B1C6F"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Geelong</w:t>
            </w:r>
          </w:p>
        </w:tc>
        <w:tc>
          <w:tcPr>
            <w:tcW w:w="2200" w:type="dxa"/>
            <w:tcBorders>
              <w:top w:val="nil"/>
              <w:left w:val="nil"/>
              <w:bottom w:val="nil"/>
              <w:right w:val="nil"/>
            </w:tcBorders>
            <w:shd w:val="clear" w:color="auto" w:fill="auto"/>
            <w:noWrap/>
            <w:vAlign w:val="bottom"/>
            <w:hideMark/>
          </w:tcPr>
          <w:p w14:paraId="07CE816E"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Cities of Regional Australia</w:t>
            </w:r>
          </w:p>
        </w:tc>
        <w:tc>
          <w:tcPr>
            <w:tcW w:w="1460" w:type="dxa"/>
            <w:tcBorders>
              <w:top w:val="nil"/>
              <w:left w:val="single" w:sz="4" w:space="0" w:color="auto"/>
              <w:bottom w:val="nil"/>
              <w:right w:val="single" w:sz="4" w:space="0" w:color="auto"/>
            </w:tcBorders>
            <w:shd w:val="clear" w:color="auto" w:fill="auto"/>
            <w:noWrap/>
            <w:vAlign w:val="bottom"/>
            <w:hideMark/>
          </w:tcPr>
          <w:p w14:paraId="184807CB"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Above average</w:t>
            </w:r>
          </w:p>
        </w:tc>
        <w:tc>
          <w:tcPr>
            <w:tcW w:w="1460" w:type="dxa"/>
            <w:tcBorders>
              <w:top w:val="nil"/>
              <w:left w:val="nil"/>
              <w:bottom w:val="nil"/>
              <w:right w:val="single" w:sz="4" w:space="0" w:color="auto"/>
            </w:tcBorders>
            <w:shd w:val="clear" w:color="auto" w:fill="auto"/>
            <w:noWrap/>
            <w:vAlign w:val="bottom"/>
            <w:hideMark/>
          </w:tcPr>
          <w:p w14:paraId="1E5FBE61"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Above average</w:t>
            </w:r>
          </w:p>
        </w:tc>
        <w:tc>
          <w:tcPr>
            <w:tcW w:w="1160" w:type="dxa"/>
            <w:tcBorders>
              <w:top w:val="nil"/>
              <w:left w:val="nil"/>
              <w:bottom w:val="nil"/>
              <w:right w:val="single" w:sz="4" w:space="0" w:color="auto"/>
            </w:tcBorders>
            <w:shd w:val="clear" w:color="auto" w:fill="auto"/>
            <w:noWrap/>
            <w:vAlign w:val="bottom"/>
            <w:hideMark/>
          </w:tcPr>
          <w:p w14:paraId="5A175B97"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r w:rsidR="005B548E" w:rsidRPr="005B548E" w14:paraId="6E4921A0" w14:textId="77777777" w:rsidTr="005B548E">
        <w:trPr>
          <w:trHeight w:val="283"/>
        </w:trPr>
        <w:tc>
          <w:tcPr>
            <w:tcW w:w="3320" w:type="dxa"/>
            <w:tcBorders>
              <w:top w:val="nil"/>
              <w:left w:val="single" w:sz="4" w:space="0" w:color="auto"/>
              <w:bottom w:val="nil"/>
              <w:right w:val="single" w:sz="4" w:space="0" w:color="auto"/>
            </w:tcBorders>
            <w:shd w:val="clear" w:color="auto" w:fill="auto"/>
            <w:noWrap/>
            <w:vAlign w:val="bottom"/>
            <w:hideMark/>
          </w:tcPr>
          <w:p w14:paraId="1B335D43"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Hume</w:t>
            </w:r>
          </w:p>
        </w:tc>
        <w:tc>
          <w:tcPr>
            <w:tcW w:w="2200" w:type="dxa"/>
            <w:tcBorders>
              <w:top w:val="nil"/>
              <w:left w:val="nil"/>
              <w:bottom w:val="nil"/>
              <w:right w:val="nil"/>
            </w:tcBorders>
            <w:shd w:val="clear" w:color="auto" w:fill="auto"/>
            <w:noWrap/>
            <w:vAlign w:val="bottom"/>
            <w:hideMark/>
          </w:tcPr>
          <w:p w14:paraId="1C8D847F"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Regional</w:t>
            </w:r>
          </w:p>
        </w:tc>
        <w:tc>
          <w:tcPr>
            <w:tcW w:w="1460" w:type="dxa"/>
            <w:tcBorders>
              <w:top w:val="nil"/>
              <w:left w:val="single" w:sz="4" w:space="0" w:color="auto"/>
              <w:bottom w:val="nil"/>
              <w:right w:val="single" w:sz="4" w:space="0" w:color="auto"/>
            </w:tcBorders>
            <w:shd w:val="clear" w:color="auto" w:fill="auto"/>
            <w:noWrap/>
            <w:vAlign w:val="bottom"/>
            <w:hideMark/>
          </w:tcPr>
          <w:p w14:paraId="7C20B59A"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Above average</w:t>
            </w:r>
          </w:p>
        </w:tc>
        <w:tc>
          <w:tcPr>
            <w:tcW w:w="1460" w:type="dxa"/>
            <w:tcBorders>
              <w:top w:val="nil"/>
              <w:left w:val="nil"/>
              <w:bottom w:val="nil"/>
              <w:right w:val="single" w:sz="4" w:space="0" w:color="auto"/>
            </w:tcBorders>
            <w:shd w:val="clear" w:color="auto" w:fill="auto"/>
            <w:noWrap/>
            <w:vAlign w:val="bottom"/>
            <w:hideMark/>
          </w:tcPr>
          <w:p w14:paraId="0DE3E15D"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Above average</w:t>
            </w:r>
          </w:p>
        </w:tc>
        <w:tc>
          <w:tcPr>
            <w:tcW w:w="1160" w:type="dxa"/>
            <w:tcBorders>
              <w:top w:val="nil"/>
              <w:left w:val="nil"/>
              <w:bottom w:val="nil"/>
              <w:right w:val="single" w:sz="4" w:space="0" w:color="auto"/>
            </w:tcBorders>
            <w:shd w:val="clear" w:color="auto" w:fill="auto"/>
            <w:noWrap/>
            <w:vAlign w:val="bottom"/>
            <w:hideMark/>
          </w:tcPr>
          <w:p w14:paraId="7A496F8B"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r w:rsidR="005B548E" w:rsidRPr="005B548E" w14:paraId="4B14E966" w14:textId="77777777" w:rsidTr="005B548E">
        <w:trPr>
          <w:trHeight w:val="283"/>
        </w:trPr>
        <w:tc>
          <w:tcPr>
            <w:tcW w:w="3320" w:type="dxa"/>
            <w:tcBorders>
              <w:top w:val="nil"/>
              <w:left w:val="single" w:sz="4" w:space="0" w:color="auto"/>
              <w:bottom w:val="nil"/>
              <w:right w:val="single" w:sz="4" w:space="0" w:color="auto"/>
            </w:tcBorders>
            <w:shd w:val="clear" w:color="auto" w:fill="auto"/>
            <w:noWrap/>
            <w:vAlign w:val="bottom"/>
            <w:hideMark/>
          </w:tcPr>
          <w:p w14:paraId="069BFA54"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Latrobe - Gippsland</w:t>
            </w:r>
          </w:p>
        </w:tc>
        <w:tc>
          <w:tcPr>
            <w:tcW w:w="2200" w:type="dxa"/>
            <w:tcBorders>
              <w:top w:val="nil"/>
              <w:left w:val="nil"/>
              <w:bottom w:val="nil"/>
              <w:right w:val="nil"/>
            </w:tcBorders>
            <w:shd w:val="clear" w:color="auto" w:fill="auto"/>
            <w:noWrap/>
            <w:vAlign w:val="bottom"/>
            <w:hideMark/>
          </w:tcPr>
          <w:p w14:paraId="28DF1E17"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Regional</w:t>
            </w:r>
          </w:p>
        </w:tc>
        <w:tc>
          <w:tcPr>
            <w:tcW w:w="1460" w:type="dxa"/>
            <w:tcBorders>
              <w:top w:val="nil"/>
              <w:left w:val="single" w:sz="4" w:space="0" w:color="auto"/>
              <w:bottom w:val="nil"/>
              <w:right w:val="single" w:sz="4" w:space="0" w:color="auto"/>
            </w:tcBorders>
            <w:shd w:val="clear" w:color="auto" w:fill="auto"/>
            <w:noWrap/>
            <w:vAlign w:val="bottom"/>
            <w:hideMark/>
          </w:tcPr>
          <w:p w14:paraId="12922D54"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Below average</w:t>
            </w:r>
          </w:p>
        </w:tc>
        <w:tc>
          <w:tcPr>
            <w:tcW w:w="1460" w:type="dxa"/>
            <w:tcBorders>
              <w:top w:val="nil"/>
              <w:left w:val="nil"/>
              <w:bottom w:val="nil"/>
              <w:right w:val="single" w:sz="4" w:space="0" w:color="auto"/>
            </w:tcBorders>
            <w:shd w:val="clear" w:color="auto" w:fill="auto"/>
            <w:noWrap/>
            <w:vAlign w:val="bottom"/>
            <w:hideMark/>
          </w:tcPr>
          <w:p w14:paraId="0CE1A23F"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Below average</w:t>
            </w:r>
          </w:p>
        </w:tc>
        <w:tc>
          <w:tcPr>
            <w:tcW w:w="1160" w:type="dxa"/>
            <w:tcBorders>
              <w:top w:val="nil"/>
              <w:left w:val="nil"/>
              <w:bottom w:val="nil"/>
              <w:right w:val="single" w:sz="4" w:space="0" w:color="auto"/>
            </w:tcBorders>
            <w:shd w:val="clear" w:color="auto" w:fill="auto"/>
            <w:noWrap/>
            <w:vAlign w:val="bottom"/>
            <w:hideMark/>
          </w:tcPr>
          <w:p w14:paraId="4719FD3D"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r w:rsidR="005B548E" w:rsidRPr="005B548E" w14:paraId="6571EC64" w14:textId="77777777" w:rsidTr="005B548E">
        <w:trPr>
          <w:trHeight w:val="283"/>
        </w:trPr>
        <w:tc>
          <w:tcPr>
            <w:tcW w:w="3320" w:type="dxa"/>
            <w:tcBorders>
              <w:top w:val="nil"/>
              <w:left w:val="single" w:sz="4" w:space="0" w:color="auto"/>
              <w:bottom w:val="nil"/>
              <w:right w:val="single" w:sz="4" w:space="0" w:color="auto"/>
            </w:tcBorders>
            <w:shd w:val="clear" w:color="auto" w:fill="auto"/>
            <w:noWrap/>
            <w:vAlign w:val="bottom"/>
            <w:hideMark/>
          </w:tcPr>
          <w:p w14:paraId="7C4AB888"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Victoria - North West</w:t>
            </w:r>
          </w:p>
        </w:tc>
        <w:tc>
          <w:tcPr>
            <w:tcW w:w="2200" w:type="dxa"/>
            <w:tcBorders>
              <w:top w:val="nil"/>
              <w:left w:val="nil"/>
              <w:bottom w:val="nil"/>
              <w:right w:val="nil"/>
            </w:tcBorders>
            <w:shd w:val="clear" w:color="auto" w:fill="auto"/>
            <w:noWrap/>
            <w:vAlign w:val="bottom"/>
            <w:hideMark/>
          </w:tcPr>
          <w:p w14:paraId="59962860"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Regional</w:t>
            </w:r>
          </w:p>
        </w:tc>
        <w:tc>
          <w:tcPr>
            <w:tcW w:w="1460" w:type="dxa"/>
            <w:tcBorders>
              <w:top w:val="nil"/>
              <w:left w:val="single" w:sz="4" w:space="0" w:color="auto"/>
              <w:bottom w:val="nil"/>
              <w:right w:val="single" w:sz="4" w:space="0" w:color="auto"/>
            </w:tcBorders>
            <w:shd w:val="clear" w:color="auto" w:fill="auto"/>
            <w:noWrap/>
            <w:vAlign w:val="bottom"/>
            <w:hideMark/>
          </w:tcPr>
          <w:p w14:paraId="7097C529"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Average</w:t>
            </w:r>
          </w:p>
        </w:tc>
        <w:tc>
          <w:tcPr>
            <w:tcW w:w="1460" w:type="dxa"/>
            <w:tcBorders>
              <w:top w:val="nil"/>
              <w:left w:val="nil"/>
              <w:bottom w:val="nil"/>
              <w:right w:val="single" w:sz="4" w:space="0" w:color="auto"/>
            </w:tcBorders>
            <w:shd w:val="clear" w:color="auto" w:fill="auto"/>
            <w:noWrap/>
            <w:vAlign w:val="bottom"/>
            <w:hideMark/>
          </w:tcPr>
          <w:p w14:paraId="0973B161"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Average</w:t>
            </w:r>
          </w:p>
        </w:tc>
        <w:tc>
          <w:tcPr>
            <w:tcW w:w="1160" w:type="dxa"/>
            <w:tcBorders>
              <w:top w:val="nil"/>
              <w:left w:val="nil"/>
              <w:bottom w:val="nil"/>
              <w:right w:val="single" w:sz="4" w:space="0" w:color="auto"/>
            </w:tcBorders>
            <w:shd w:val="clear" w:color="auto" w:fill="auto"/>
            <w:noWrap/>
            <w:vAlign w:val="bottom"/>
            <w:hideMark/>
          </w:tcPr>
          <w:p w14:paraId="366896E7"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r w:rsidR="005B548E" w:rsidRPr="005B548E" w14:paraId="46903EC6" w14:textId="77777777" w:rsidTr="005B548E">
        <w:trPr>
          <w:trHeight w:val="283"/>
        </w:trPr>
        <w:tc>
          <w:tcPr>
            <w:tcW w:w="3320" w:type="dxa"/>
            <w:tcBorders>
              <w:top w:val="nil"/>
              <w:left w:val="single" w:sz="4" w:space="0" w:color="auto"/>
              <w:bottom w:val="nil"/>
              <w:right w:val="single" w:sz="4" w:space="0" w:color="auto"/>
            </w:tcBorders>
            <w:shd w:val="clear" w:color="auto" w:fill="auto"/>
            <w:noWrap/>
            <w:vAlign w:val="bottom"/>
            <w:hideMark/>
          </w:tcPr>
          <w:p w14:paraId="5E869550"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Shepparton</w:t>
            </w:r>
          </w:p>
        </w:tc>
        <w:tc>
          <w:tcPr>
            <w:tcW w:w="2200" w:type="dxa"/>
            <w:tcBorders>
              <w:top w:val="nil"/>
              <w:left w:val="nil"/>
              <w:bottom w:val="nil"/>
              <w:right w:val="nil"/>
            </w:tcBorders>
            <w:shd w:val="clear" w:color="auto" w:fill="auto"/>
            <w:noWrap/>
            <w:vAlign w:val="bottom"/>
            <w:hideMark/>
          </w:tcPr>
          <w:p w14:paraId="6C1B07DC"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Regional</w:t>
            </w:r>
          </w:p>
        </w:tc>
        <w:tc>
          <w:tcPr>
            <w:tcW w:w="1460" w:type="dxa"/>
            <w:tcBorders>
              <w:top w:val="nil"/>
              <w:left w:val="single" w:sz="4" w:space="0" w:color="auto"/>
              <w:bottom w:val="nil"/>
              <w:right w:val="single" w:sz="4" w:space="0" w:color="auto"/>
            </w:tcBorders>
            <w:shd w:val="clear" w:color="auto" w:fill="auto"/>
            <w:noWrap/>
            <w:vAlign w:val="bottom"/>
            <w:hideMark/>
          </w:tcPr>
          <w:p w14:paraId="64096F0B"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Average</w:t>
            </w:r>
          </w:p>
        </w:tc>
        <w:tc>
          <w:tcPr>
            <w:tcW w:w="1460" w:type="dxa"/>
            <w:tcBorders>
              <w:top w:val="nil"/>
              <w:left w:val="nil"/>
              <w:bottom w:val="nil"/>
              <w:right w:val="single" w:sz="4" w:space="0" w:color="auto"/>
            </w:tcBorders>
            <w:shd w:val="clear" w:color="auto" w:fill="auto"/>
            <w:noWrap/>
            <w:vAlign w:val="bottom"/>
            <w:hideMark/>
          </w:tcPr>
          <w:p w14:paraId="58F5D708"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Below average</w:t>
            </w:r>
          </w:p>
        </w:tc>
        <w:tc>
          <w:tcPr>
            <w:tcW w:w="1160" w:type="dxa"/>
            <w:tcBorders>
              <w:top w:val="nil"/>
              <w:left w:val="single" w:sz="4" w:space="0" w:color="auto"/>
              <w:bottom w:val="nil"/>
              <w:right w:val="single" w:sz="4" w:space="0" w:color="auto"/>
            </w:tcBorders>
            <w:shd w:val="clear" w:color="000000" w:fill="B91C1C"/>
            <w:noWrap/>
            <w:vAlign w:val="bottom"/>
            <w:hideMark/>
          </w:tcPr>
          <w:p w14:paraId="6A47262B" w14:textId="77777777" w:rsidR="005B548E" w:rsidRPr="005B548E" w:rsidRDefault="005B548E" w:rsidP="005B548E">
            <w:pPr>
              <w:spacing w:after="0" w:line="240" w:lineRule="auto"/>
              <w:jc w:val="center"/>
              <w:rPr>
                <w:rFonts w:eastAsia="Times New Roman" w:cs="Arial"/>
                <w:color w:val="FFFFFF"/>
                <w:sz w:val="16"/>
                <w:szCs w:val="16"/>
                <w:lang w:eastAsia="en-AU"/>
              </w:rPr>
            </w:pPr>
            <w:r w:rsidRPr="005B548E">
              <w:rPr>
                <w:rFonts w:eastAsia="Times New Roman" w:cs="Arial"/>
                <w:color w:val="FFFFFF"/>
                <w:sz w:val="16"/>
                <w:szCs w:val="16"/>
                <w:lang w:eastAsia="en-AU"/>
              </w:rPr>
              <w:t>Declined</w:t>
            </w:r>
          </w:p>
        </w:tc>
      </w:tr>
      <w:tr w:rsidR="005B548E" w:rsidRPr="005B548E" w14:paraId="31CE0579" w14:textId="77777777" w:rsidTr="005B548E">
        <w:trPr>
          <w:trHeight w:val="283"/>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26C51523"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Warrnambool and South West</w:t>
            </w:r>
          </w:p>
        </w:tc>
        <w:tc>
          <w:tcPr>
            <w:tcW w:w="2200" w:type="dxa"/>
            <w:tcBorders>
              <w:top w:val="nil"/>
              <w:left w:val="nil"/>
              <w:bottom w:val="single" w:sz="4" w:space="0" w:color="auto"/>
              <w:right w:val="nil"/>
            </w:tcBorders>
            <w:shd w:val="clear" w:color="auto" w:fill="auto"/>
            <w:noWrap/>
            <w:vAlign w:val="bottom"/>
            <w:hideMark/>
          </w:tcPr>
          <w:p w14:paraId="71C8A612"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Regional</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3997EFE2"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Above average</w:t>
            </w:r>
          </w:p>
        </w:tc>
        <w:tc>
          <w:tcPr>
            <w:tcW w:w="1460" w:type="dxa"/>
            <w:tcBorders>
              <w:top w:val="nil"/>
              <w:left w:val="nil"/>
              <w:bottom w:val="single" w:sz="4" w:space="0" w:color="auto"/>
              <w:right w:val="single" w:sz="4" w:space="0" w:color="auto"/>
            </w:tcBorders>
            <w:shd w:val="clear" w:color="auto" w:fill="auto"/>
            <w:noWrap/>
            <w:vAlign w:val="bottom"/>
            <w:hideMark/>
          </w:tcPr>
          <w:p w14:paraId="14DA87F2"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Above average</w:t>
            </w:r>
          </w:p>
        </w:tc>
        <w:tc>
          <w:tcPr>
            <w:tcW w:w="1160" w:type="dxa"/>
            <w:tcBorders>
              <w:top w:val="nil"/>
              <w:left w:val="nil"/>
              <w:bottom w:val="single" w:sz="4" w:space="0" w:color="auto"/>
              <w:right w:val="single" w:sz="4" w:space="0" w:color="auto"/>
            </w:tcBorders>
            <w:shd w:val="clear" w:color="auto" w:fill="auto"/>
            <w:noWrap/>
            <w:vAlign w:val="bottom"/>
            <w:hideMark/>
          </w:tcPr>
          <w:p w14:paraId="1E9E1666"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bl>
    <w:p w14:paraId="5D349BA3" w14:textId="77777777" w:rsidR="00FF2A2C" w:rsidRPr="00BC1B66" w:rsidRDefault="00FF2A2C" w:rsidP="00FF2A2C"/>
    <w:p w14:paraId="19FC918F" w14:textId="77777777" w:rsidR="00BC1B66" w:rsidRDefault="00BC1B66" w:rsidP="00FF2A2C">
      <w:pPr>
        <w:sectPr w:rsidR="00BC1B66" w:rsidSect="00AC0C2F">
          <w:pgSz w:w="11906" w:h="16838"/>
          <w:pgMar w:top="1276" w:right="1440" w:bottom="1134" w:left="1440" w:header="0" w:footer="539" w:gutter="0"/>
          <w:cols w:space="708"/>
          <w:titlePg/>
          <w:docGrid w:linePitch="360"/>
        </w:sectPr>
      </w:pPr>
    </w:p>
    <w:tbl>
      <w:tblPr>
        <w:tblW w:w="9600" w:type="dxa"/>
        <w:tblLook w:val="04A0" w:firstRow="1" w:lastRow="0" w:firstColumn="1" w:lastColumn="0" w:noHBand="0" w:noVBand="1"/>
      </w:tblPr>
      <w:tblGrid>
        <w:gridCol w:w="3347"/>
        <w:gridCol w:w="2173"/>
        <w:gridCol w:w="1460"/>
        <w:gridCol w:w="1460"/>
        <w:gridCol w:w="1160"/>
      </w:tblGrid>
      <w:tr w:rsidR="005B548E" w:rsidRPr="005B548E" w14:paraId="179A2DBF" w14:textId="77777777" w:rsidTr="005B548E">
        <w:trPr>
          <w:trHeight w:val="230"/>
        </w:trPr>
        <w:tc>
          <w:tcPr>
            <w:tcW w:w="3347" w:type="dxa"/>
            <w:tcBorders>
              <w:top w:val="nil"/>
              <w:left w:val="single" w:sz="4" w:space="0" w:color="auto"/>
              <w:bottom w:val="nil"/>
              <w:right w:val="single" w:sz="4" w:space="0" w:color="auto"/>
            </w:tcBorders>
            <w:shd w:val="clear" w:color="000000" w:fill="4B0985"/>
            <w:vAlign w:val="center"/>
            <w:hideMark/>
          </w:tcPr>
          <w:p w14:paraId="6AA136B9" w14:textId="77777777" w:rsidR="005B548E" w:rsidRPr="005B548E" w:rsidRDefault="005B548E" w:rsidP="005B548E">
            <w:pPr>
              <w:spacing w:after="0" w:line="240" w:lineRule="auto"/>
              <w:jc w:val="center"/>
              <w:rPr>
                <w:rFonts w:eastAsia="Times New Roman" w:cs="Arial"/>
                <w:b/>
                <w:bCs/>
                <w:color w:val="FFFFFF"/>
                <w:sz w:val="18"/>
                <w:szCs w:val="18"/>
                <w:lang w:eastAsia="en-AU"/>
              </w:rPr>
            </w:pPr>
            <w:r w:rsidRPr="005B548E">
              <w:rPr>
                <w:rFonts w:eastAsia="Times New Roman" w:cs="Arial"/>
                <w:b/>
                <w:bCs/>
                <w:color w:val="FFFFFF"/>
                <w:sz w:val="18"/>
                <w:szCs w:val="18"/>
                <w:lang w:eastAsia="en-AU"/>
              </w:rPr>
              <w:lastRenderedPageBreak/>
              <w:t>Statistical Area Level 4 (SA4)</w:t>
            </w:r>
          </w:p>
        </w:tc>
        <w:tc>
          <w:tcPr>
            <w:tcW w:w="2173" w:type="dxa"/>
            <w:tcBorders>
              <w:top w:val="single" w:sz="4" w:space="0" w:color="auto"/>
              <w:left w:val="nil"/>
              <w:bottom w:val="nil"/>
              <w:right w:val="nil"/>
            </w:tcBorders>
            <w:shd w:val="clear" w:color="000000" w:fill="4B0985"/>
            <w:vAlign w:val="center"/>
            <w:hideMark/>
          </w:tcPr>
          <w:p w14:paraId="45BD35C4" w14:textId="77777777" w:rsidR="005B548E" w:rsidRPr="005B548E" w:rsidRDefault="005B548E" w:rsidP="005B548E">
            <w:pPr>
              <w:spacing w:after="0" w:line="240" w:lineRule="auto"/>
              <w:jc w:val="center"/>
              <w:rPr>
                <w:rFonts w:eastAsia="Times New Roman" w:cs="Arial"/>
                <w:b/>
                <w:bCs/>
                <w:color w:val="FFFFFF"/>
                <w:sz w:val="18"/>
                <w:szCs w:val="18"/>
                <w:lang w:eastAsia="en-AU"/>
              </w:rPr>
            </w:pPr>
            <w:r w:rsidRPr="005B548E">
              <w:rPr>
                <w:rFonts w:eastAsia="Times New Roman" w:cs="Arial"/>
                <w:b/>
                <w:bCs/>
                <w:color w:val="FFFFFF"/>
                <w:sz w:val="18"/>
                <w:szCs w:val="18"/>
                <w:lang w:eastAsia="en-AU"/>
              </w:rPr>
              <w:t>Remoteness</w:t>
            </w:r>
          </w:p>
        </w:tc>
        <w:tc>
          <w:tcPr>
            <w:tcW w:w="1460" w:type="dxa"/>
            <w:tcBorders>
              <w:top w:val="nil"/>
              <w:left w:val="nil"/>
              <w:bottom w:val="single" w:sz="4" w:space="0" w:color="auto"/>
              <w:right w:val="nil"/>
            </w:tcBorders>
            <w:shd w:val="clear" w:color="000000" w:fill="4B0985"/>
            <w:noWrap/>
            <w:vAlign w:val="center"/>
            <w:hideMark/>
          </w:tcPr>
          <w:p w14:paraId="06C482E3" w14:textId="77777777" w:rsidR="005B548E" w:rsidRPr="005B548E" w:rsidRDefault="005B548E" w:rsidP="005B548E">
            <w:pPr>
              <w:spacing w:after="0" w:line="240" w:lineRule="auto"/>
              <w:jc w:val="center"/>
              <w:rPr>
                <w:rFonts w:eastAsia="Times New Roman" w:cs="Arial"/>
                <w:b/>
                <w:bCs/>
                <w:color w:val="FFFFFF"/>
                <w:sz w:val="18"/>
                <w:szCs w:val="18"/>
                <w:lang w:eastAsia="en-AU"/>
              </w:rPr>
            </w:pPr>
            <w:r w:rsidRPr="005B548E">
              <w:rPr>
                <w:rFonts w:eastAsia="Times New Roman" w:cs="Arial"/>
                <w:b/>
                <w:bCs/>
                <w:color w:val="FFFFFF"/>
                <w:sz w:val="18"/>
                <w:szCs w:val="18"/>
                <w:lang w:eastAsia="en-AU"/>
              </w:rPr>
              <w:t>Jun-24</w:t>
            </w:r>
          </w:p>
        </w:tc>
        <w:tc>
          <w:tcPr>
            <w:tcW w:w="1460" w:type="dxa"/>
            <w:tcBorders>
              <w:top w:val="nil"/>
              <w:left w:val="nil"/>
              <w:bottom w:val="single" w:sz="4" w:space="0" w:color="auto"/>
              <w:right w:val="nil"/>
            </w:tcBorders>
            <w:shd w:val="clear" w:color="000000" w:fill="4B0985"/>
            <w:noWrap/>
            <w:vAlign w:val="center"/>
            <w:hideMark/>
          </w:tcPr>
          <w:p w14:paraId="3BDDFA68" w14:textId="77777777" w:rsidR="005B548E" w:rsidRPr="005B548E" w:rsidRDefault="005B548E" w:rsidP="005B548E">
            <w:pPr>
              <w:spacing w:after="0" w:line="240" w:lineRule="auto"/>
              <w:jc w:val="center"/>
              <w:rPr>
                <w:rFonts w:eastAsia="Times New Roman" w:cs="Arial"/>
                <w:b/>
                <w:bCs/>
                <w:color w:val="FFFFFF"/>
                <w:sz w:val="18"/>
                <w:szCs w:val="18"/>
                <w:lang w:eastAsia="en-AU"/>
              </w:rPr>
            </w:pPr>
            <w:r w:rsidRPr="005B548E">
              <w:rPr>
                <w:rFonts w:eastAsia="Times New Roman" w:cs="Arial"/>
                <w:b/>
                <w:bCs/>
                <w:color w:val="FFFFFF"/>
                <w:sz w:val="18"/>
                <w:szCs w:val="18"/>
                <w:lang w:eastAsia="en-AU"/>
              </w:rPr>
              <w:t>Jun-25</w:t>
            </w:r>
          </w:p>
        </w:tc>
        <w:tc>
          <w:tcPr>
            <w:tcW w:w="1160" w:type="dxa"/>
            <w:tcBorders>
              <w:top w:val="nil"/>
              <w:left w:val="single" w:sz="4" w:space="0" w:color="auto"/>
              <w:bottom w:val="single" w:sz="4" w:space="0" w:color="auto"/>
              <w:right w:val="single" w:sz="4" w:space="0" w:color="auto"/>
            </w:tcBorders>
            <w:shd w:val="clear" w:color="000000" w:fill="4B0985"/>
            <w:noWrap/>
            <w:vAlign w:val="center"/>
            <w:hideMark/>
          </w:tcPr>
          <w:p w14:paraId="4DDC4D9C" w14:textId="77777777" w:rsidR="005B548E" w:rsidRPr="005B548E" w:rsidRDefault="005B548E" w:rsidP="005B548E">
            <w:pPr>
              <w:spacing w:after="0" w:line="240" w:lineRule="auto"/>
              <w:jc w:val="center"/>
              <w:rPr>
                <w:rFonts w:eastAsia="Times New Roman" w:cs="Arial"/>
                <w:b/>
                <w:bCs/>
                <w:color w:val="FFFFFF"/>
                <w:sz w:val="18"/>
                <w:szCs w:val="18"/>
                <w:lang w:eastAsia="en-AU"/>
              </w:rPr>
            </w:pPr>
            <w:r w:rsidRPr="005B548E">
              <w:rPr>
                <w:rFonts w:eastAsia="Times New Roman" w:cs="Arial"/>
                <w:b/>
                <w:bCs/>
                <w:color w:val="FFFFFF"/>
                <w:sz w:val="18"/>
                <w:szCs w:val="18"/>
                <w:lang w:eastAsia="en-AU"/>
              </w:rPr>
              <w:t>Direction</w:t>
            </w:r>
          </w:p>
        </w:tc>
      </w:tr>
      <w:tr w:rsidR="005B548E" w:rsidRPr="005B548E" w14:paraId="658DB438" w14:textId="77777777" w:rsidTr="005B548E">
        <w:trPr>
          <w:trHeight w:val="283"/>
        </w:trPr>
        <w:tc>
          <w:tcPr>
            <w:tcW w:w="3347" w:type="dxa"/>
            <w:tcBorders>
              <w:top w:val="nil"/>
              <w:left w:val="single" w:sz="4" w:space="0" w:color="auto"/>
              <w:bottom w:val="nil"/>
              <w:right w:val="single" w:sz="4" w:space="0" w:color="auto"/>
            </w:tcBorders>
            <w:shd w:val="clear" w:color="auto" w:fill="auto"/>
            <w:noWrap/>
            <w:vAlign w:val="bottom"/>
            <w:hideMark/>
          </w:tcPr>
          <w:p w14:paraId="10D9A439"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Brisbane - East</w:t>
            </w:r>
          </w:p>
        </w:tc>
        <w:tc>
          <w:tcPr>
            <w:tcW w:w="2173" w:type="dxa"/>
            <w:tcBorders>
              <w:top w:val="nil"/>
              <w:left w:val="nil"/>
              <w:bottom w:val="nil"/>
              <w:right w:val="nil"/>
            </w:tcBorders>
            <w:shd w:val="clear" w:color="auto" w:fill="auto"/>
            <w:noWrap/>
            <w:vAlign w:val="bottom"/>
            <w:hideMark/>
          </w:tcPr>
          <w:p w14:paraId="087DDC27"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bottom"/>
            <w:hideMark/>
          </w:tcPr>
          <w:p w14:paraId="5F73758B"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Strong</w:t>
            </w:r>
          </w:p>
        </w:tc>
        <w:tc>
          <w:tcPr>
            <w:tcW w:w="1460" w:type="dxa"/>
            <w:tcBorders>
              <w:top w:val="nil"/>
              <w:left w:val="nil"/>
              <w:bottom w:val="nil"/>
              <w:right w:val="single" w:sz="4" w:space="0" w:color="auto"/>
            </w:tcBorders>
            <w:shd w:val="clear" w:color="auto" w:fill="auto"/>
            <w:noWrap/>
            <w:vAlign w:val="bottom"/>
            <w:hideMark/>
          </w:tcPr>
          <w:p w14:paraId="6B714A3B"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Strong</w:t>
            </w:r>
          </w:p>
        </w:tc>
        <w:tc>
          <w:tcPr>
            <w:tcW w:w="1160" w:type="dxa"/>
            <w:tcBorders>
              <w:top w:val="nil"/>
              <w:left w:val="nil"/>
              <w:bottom w:val="nil"/>
              <w:right w:val="single" w:sz="4" w:space="0" w:color="auto"/>
            </w:tcBorders>
            <w:shd w:val="clear" w:color="auto" w:fill="auto"/>
            <w:noWrap/>
            <w:vAlign w:val="bottom"/>
            <w:hideMark/>
          </w:tcPr>
          <w:p w14:paraId="7439B97C"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r w:rsidR="005B548E" w:rsidRPr="005B548E" w14:paraId="4CD71DBC" w14:textId="77777777" w:rsidTr="005B548E">
        <w:trPr>
          <w:trHeight w:val="283"/>
        </w:trPr>
        <w:tc>
          <w:tcPr>
            <w:tcW w:w="3347" w:type="dxa"/>
            <w:tcBorders>
              <w:top w:val="nil"/>
              <w:left w:val="single" w:sz="4" w:space="0" w:color="auto"/>
              <w:bottom w:val="nil"/>
              <w:right w:val="single" w:sz="4" w:space="0" w:color="auto"/>
            </w:tcBorders>
            <w:shd w:val="clear" w:color="auto" w:fill="auto"/>
            <w:noWrap/>
            <w:vAlign w:val="bottom"/>
            <w:hideMark/>
          </w:tcPr>
          <w:p w14:paraId="0847B106"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Brisbane - North</w:t>
            </w:r>
          </w:p>
        </w:tc>
        <w:tc>
          <w:tcPr>
            <w:tcW w:w="2173" w:type="dxa"/>
            <w:tcBorders>
              <w:top w:val="nil"/>
              <w:left w:val="nil"/>
              <w:bottom w:val="nil"/>
              <w:right w:val="nil"/>
            </w:tcBorders>
            <w:shd w:val="clear" w:color="auto" w:fill="auto"/>
            <w:noWrap/>
            <w:vAlign w:val="bottom"/>
            <w:hideMark/>
          </w:tcPr>
          <w:p w14:paraId="415EDD24"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bottom"/>
            <w:hideMark/>
          </w:tcPr>
          <w:p w14:paraId="6F567D20"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Strong</w:t>
            </w:r>
          </w:p>
        </w:tc>
        <w:tc>
          <w:tcPr>
            <w:tcW w:w="1460" w:type="dxa"/>
            <w:tcBorders>
              <w:top w:val="nil"/>
              <w:left w:val="nil"/>
              <w:bottom w:val="nil"/>
              <w:right w:val="single" w:sz="4" w:space="0" w:color="auto"/>
            </w:tcBorders>
            <w:shd w:val="clear" w:color="auto" w:fill="auto"/>
            <w:noWrap/>
            <w:vAlign w:val="bottom"/>
            <w:hideMark/>
          </w:tcPr>
          <w:p w14:paraId="640B26AA"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Strong</w:t>
            </w:r>
          </w:p>
        </w:tc>
        <w:tc>
          <w:tcPr>
            <w:tcW w:w="1160" w:type="dxa"/>
            <w:tcBorders>
              <w:top w:val="nil"/>
              <w:left w:val="nil"/>
              <w:bottom w:val="nil"/>
              <w:right w:val="single" w:sz="4" w:space="0" w:color="auto"/>
            </w:tcBorders>
            <w:shd w:val="clear" w:color="auto" w:fill="auto"/>
            <w:noWrap/>
            <w:vAlign w:val="bottom"/>
            <w:hideMark/>
          </w:tcPr>
          <w:p w14:paraId="1AD73348"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r w:rsidR="005B548E" w:rsidRPr="005B548E" w14:paraId="70E78FCE" w14:textId="77777777" w:rsidTr="005B548E">
        <w:trPr>
          <w:trHeight w:val="283"/>
        </w:trPr>
        <w:tc>
          <w:tcPr>
            <w:tcW w:w="3347" w:type="dxa"/>
            <w:tcBorders>
              <w:top w:val="nil"/>
              <w:left w:val="single" w:sz="4" w:space="0" w:color="auto"/>
              <w:bottom w:val="nil"/>
              <w:right w:val="single" w:sz="4" w:space="0" w:color="auto"/>
            </w:tcBorders>
            <w:shd w:val="clear" w:color="auto" w:fill="auto"/>
            <w:noWrap/>
            <w:vAlign w:val="bottom"/>
            <w:hideMark/>
          </w:tcPr>
          <w:p w14:paraId="739C8132"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Brisbane - South</w:t>
            </w:r>
          </w:p>
        </w:tc>
        <w:tc>
          <w:tcPr>
            <w:tcW w:w="2173" w:type="dxa"/>
            <w:tcBorders>
              <w:top w:val="nil"/>
              <w:left w:val="nil"/>
              <w:bottom w:val="nil"/>
              <w:right w:val="nil"/>
            </w:tcBorders>
            <w:shd w:val="clear" w:color="auto" w:fill="auto"/>
            <w:noWrap/>
            <w:vAlign w:val="bottom"/>
            <w:hideMark/>
          </w:tcPr>
          <w:p w14:paraId="56155B71"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bottom"/>
            <w:hideMark/>
          </w:tcPr>
          <w:p w14:paraId="0C61D6B2"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Above average</w:t>
            </w:r>
          </w:p>
        </w:tc>
        <w:tc>
          <w:tcPr>
            <w:tcW w:w="1460" w:type="dxa"/>
            <w:tcBorders>
              <w:top w:val="nil"/>
              <w:left w:val="nil"/>
              <w:bottom w:val="nil"/>
              <w:right w:val="single" w:sz="4" w:space="0" w:color="auto"/>
            </w:tcBorders>
            <w:shd w:val="clear" w:color="auto" w:fill="auto"/>
            <w:noWrap/>
            <w:vAlign w:val="bottom"/>
            <w:hideMark/>
          </w:tcPr>
          <w:p w14:paraId="20761992"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Above average</w:t>
            </w:r>
          </w:p>
        </w:tc>
        <w:tc>
          <w:tcPr>
            <w:tcW w:w="1160" w:type="dxa"/>
            <w:tcBorders>
              <w:top w:val="nil"/>
              <w:left w:val="nil"/>
              <w:bottom w:val="nil"/>
              <w:right w:val="single" w:sz="4" w:space="0" w:color="auto"/>
            </w:tcBorders>
            <w:shd w:val="clear" w:color="auto" w:fill="auto"/>
            <w:noWrap/>
            <w:vAlign w:val="bottom"/>
            <w:hideMark/>
          </w:tcPr>
          <w:p w14:paraId="6DBFC4A3"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r w:rsidR="005B548E" w:rsidRPr="005B548E" w14:paraId="14107EF9" w14:textId="77777777" w:rsidTr="005B548E">
        <w:trPr>
          <w:trHeight w:val="283"/>
        </w:trPr>
        <w:tc>
          <w:tcPr>
            <w:tcW w:w="3347" w:type="dxa"/>
            <w:tcBorders>
              <w:top w:val="nil"/>
              <w:left w:val="single" w:sz="4" w:space="0" w:color="auto"/>
              <w:bottom w:val="nil"/>
              <w:right w:val="single" w:sz="4" w:space="0" w:color="auto"/>
            </w:tcBorders>
            <w:shd w:val="clear" w:color="auto" w:fill="auto"/>
            <w:noWrap/>
            <w:vAlign w:val="bottom"/>
            <w:hideMark/>
          </w:tcPr>
          <w:p w14:paraId="7E84D5EE"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Brisbane - West</w:t>
            </w:r>
          </w:p>
        </w:tc>
        <w:tc>
          <w:tcPr>
            <w:tcW w:w="2173" w:type="dxa"/>
            <w:tcBorders>
              <w:top w:val="nil"/>
              <w:left w:val="nil"/>
              <w:bottom w:val="nil"/>
              <w:right w:val="nil"/>
            </w:tcBorders>
            <w:shd w:val="clear" w:color="auto" w:fill="auto"/>
            <w:noWrap/>
            <w:vAlign w:val="bottom"/>
            <w:hideMark/>
          </w:tcPr>
          <w:p w14:paraId="491014A8"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bottom"/>
            <w:hideMark/>
          </w:tcPr>
          <w:p w14:paraId="08F53AFD"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Above average</w:t>
            </w:r>
          </w:p>
        </w:tc>
        <w:tc>
          <w:tcPr>
            <w:tcW w:w="1460" w:type="dxa"/>
            <w:tcBorders>
              <w:top w:val="nil"/>
              <w:left w:val="nil"/>
              <w:bottom w:val="nil"/>
              <w:right w:val="single" w:sz="4" w:space="0" w:color="auto"/>
            </w:tcBorders>
            <w:shd w:val="clear" w:color="auto" w:fill="auto"/>
            <w:noWrap/>
            <w:vAlign w:val="bottom"/>
            <w:hideMark/>
          </w:tcPr>
          <w:p w14:paraId="42E4BA1A"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Above average</w:t>
            </w:r>
          </w:p>
        </w:tc>
        <w:tc>
          <w:tcPr>
            <w:tcW w:w="1160" w:type="dxa"/>
            <w:tcBorders>
              <w:top w:val="nil"/>
              <w:left w:val="nil"/>
              <w:bottom w:val="nil"/>
              <w:right w:val="single" w:sz="4" w:space="0" w:color="auto"/>
            </w:tcBorders>
            <w:shd w:val="clear" w:color="auto" w:fill="auto"/>
            <w:noWrap/>
            <w:vAlign w:val="bottom"/>
            <w:hideMark/>
          </w:tcPr>
          <w:p w14:paraId="5BC44824"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r w:rsidR="005B548E" w:rsidRPr="005B548E" w14:paraId="0627F6C8" w14:textId="77777777" w:rsidTr="005B548E">
        <w:trPr>
          <w:trHeight w:val="283"/>
        </w:trPr>
        <w:tc>
          <w:tcPr>
            <w:tcW w:w="3347" w:type="dxa"/>
            <w:tcBorders>
              <w:top w:val="nil"/>
              <w:left w:val="single" w:sz="4" w:space="0" w:color="auto"/>
              <w:bottom w:val="nil"/>
              <w:right w:val="single" w:sz="4" w:space="0" w:color="auto"/>
            </w:tcBorders>
            <w:shd w:val="clear" w:color="auto" w:fill="auto"/>
            <w:noWrap/>
            <w:vAlign w:val="bottom"/>
            <w:hideMark/>
          </w:tcPr>
          <w:p w14:paraId="57E3CD87"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Brisbane Inner City</w:t>
            </w:r>
          </w:p>
        </w:tc>
        <w:tc>
          <w:tcPr>
            <w:tcW w:w="2173" w:type="dxa"/>
            <w:tcBorders>
              <w:top w:val="nil"/>
              <w:left w:val="nil"/>
              <w:bottom w:val="nil"/>
              <w:right w:val="nil"/>
            </w:tcBorders>
            <w:shd w:val="clear" w:color="auto" w:fill="auto"/>
            <w:noWrap/>
            <w:vAlign w:val="bottom"/>
            <w:hideMark/>
          </w:tcPr>
          <w:p w14:paraId="5950A14A"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bottom"/>
            <w:hideMark/>
          </w:tcPr>
          <w:p w14:paraId="05486748"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Strong</w:t>
            </w:r>
          </w:p>
        </w:tc>
        <w:tc>
          <w:tcPr>
            <w:tcW w:w="1460" w:type="dxa"/>
            <w:tcBorders>
              <w:top w:val="nil"/>
              <w:left w:val="nil"/>
              <w:bottom w:val="nil"/>
              <w:right w:val="single" w:sz="4" w:space="0" w:color="auto"/>
            </w:tcBorders>
            <w:shd w:val="clear" w:color="auto" w:fill="auto"/>
            <w:noWrap/>
            <w:vAlign w:val="bottom"/>
            <w:hideMark/>
          </w:tcPr>
          <w:p w14:paraId="45AEEF00"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Strong</w:t>
            </w:r>
          </w:p>
        </w:tc>
        <w:tc>
          <w:tcPr>
            <w:tcW w:w="1160" w:type="dxa"/>
            <w:tcBorders>
              <w:top w:val="nil"/>
              <w:left w:val="nil"/>
              <w:bottom w:val="nil"/>
              <w:right w:val="single" w:sz="4" w:space="0" w:color="auto"/>
            </w:tcBorders>
            <w:shd w:val="clear" w:color="auto" w:fill="auto"/>
            <w:noWrap/>
            <w:vAlign w:val="bottom"/>
            <w:hideMark/>
          </w:tcPr>
          <w:p w14:paraId="6313B587"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r w:rsidR="005B548E" w:rsidRPr="005B548E" w14:paraId="6A7E0F1F" w14:textId="77777777" w:rsidTr="005B548E">
        <w:trPr>
          <w:trHeight w:val="283"/>
        </w:trPr>
        <w:tc>
          <w:tcPr>
            <w:tcW w:w="3347" w:type="dxa"/>
            <w:tcBorders>
              <w:top w:val="nil"/>
              <w:left w:val="single" w:sz="4" w:space="0" w:color="auto"/>
              <w:bottom w:val="nil"/>
              <w:right w:val="single" w:sz="4" w:space="0" w:color="auto"/>
            </w:tcBorders>
            <w:shd w:val="clear" w:color="auto" w:fill="auto"/>
            <w:noWrap/>
            <w:vAlign w:val="bottom"/>
            <w:hideMark/>
          </w:tcPr>
          <w:p w14:paraId="4632F800"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Ipswich</w:t>
            </w:r>
          </w:p>
        </w:tc>
        <w:tc>
          <w:tcPr>
            <w:tcW w:w="2173" w:type="dxa"/>
            <w:tcBorders>
              <w:top w:val="nil"/>
              <w:left w:val="nil"/>
              <w:bottom w:val="nil"/>
              <w:right w:val="nil"/>
            </w:tcBorders>
            <w:shd w:val="clear" w:color="auto" w:fill="auto"/>
            <w:noWrap/>
            <w:vAlign w:val="bottom"/>
            <w:hideMark/>
          </w:tcPr>
          <w:p w14:paraId="2C60EB52"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bottom"/>
            <w:hideMark/>
          </w:tcPr>
          <w:p w14:paraId="1D308208"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Poor</w:t>
            </w:r>
          </w:p>
        </w:tc>
        <w:tc>
          <w:tcPr>
            <w:tcW w:w="1460" w:type="dxa"/>
            <w:tcBorders>
              <w:top w:val="nil"/>
              <w:left w:val="nil"/>
              <w:bottom w:val="nil"/>
              <w:right w:val="single" w:sz="4" w:space="0" w:color="auto"/>
            </w:tcBorders>
            <w:shd w:val="clear" w:color="auto" w:fill="auto"/>
            <w:noWrap/>
            <w:vAlign w:val="bottom"/>
            <w:hideMark/>
          </w:tcPr>
          <w:p w14:paraId="68F92D31"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Poor</w:t>
            </w:r>
          </w:p>
        </w:tc>
        <w:tc>
          <w:tcPr>
            <w:tcW w:w="1160" w:type="dxa"/>
            <w:tcBorders>
              <w:top w:val="nil"/>
              <w:left w:val="nil"/>
              <w:bottom w:val="nil"/>
              <w:right w:val="single" w:sz="4" w:space="0" w:color="auto"/>
            </w:tcBorders>
            <w:shd w:val="clear" w:color="auto" w:fill="auto"/>
            <w:noWrap/>
            <w:vAlign w:val="bottom"/>
            <w:hideMark/>
          </w:tcPr>
          <w:p w14:paraId="3A47AB29"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r w:rsidR="005B548E" w:rsidRPr="005B548E" w14:paraId="743F9AC1" w14:textId="77777777" w:rsidTr="005B548E">
        <w:trPr>
          <w:trHeight w:val="283"/>
        </w:trPr>
        <w:tc>
          <w:tcPr>
            <w:tcW w:w="3347" w:type="dxa"/>
            <w:tcBorders>
              <w:top w:val="nil"/>
              <w:left w:val="single" w:sz="4" w:space="0" w:color="auto"/>
              <w:bottom w:val="nil"/>
              <w:right w:val="single" w:sz="4" w:space="0" w:color="auto"/>
            </w:tcBorders>
            <w:shd w:val="clear" w:color="auto" w:fill="auto"/>
            <w:noWrap/>
            <w:vAlign w:val="bottom"/>
            <w:hideMark/>
          </w:tcPr>
          <w:p w14:paraId="01170031"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Logan - Beaudesert</w:t>
            </w:r>
          </w:p>
        </w:tc>
        <w:tc>
          <w:tcPr>
            <w:tcW w:w="2173" w:type="dxa"/>
            <w:tcBorders>
              <w:top w:val="nil"/>
              <w:left w:val="nil"/>
              <w:bottom w:val="nil"/>
              <w:right w:val="nil"/>
            </w:tcBorders>
            <w:shd w:val="clear" w:color="auto" w:fill="auto"/>
            <w:noWrap/>
            <w:vAlign w:val="bottom"/>
            <w:hideMark/>
          </w:tcPr>
          <w:p w14:paraId="6A6F08CD"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bottom"/>
            <w:hideMark/>
          </w:tcPr>
          <w:p w14:paraId="40B198BC"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Poor</w:t>
            </w:r>
          </w:p>
        </w:tc>
        <w:tc>
          <w:tcPr>
            <w:tcW w:w="1460" w:type="dxa"/>
            <w:tcBorders>
              <w:top w:val="nil"/>
              <w:left w:val="nil"/>
              <w:bottom w:val="nil"/>
              <w:right w:val="single" w:sz="4" w:space="0" w:color="auto"/>
            </w:tcBorders>
            <w:shd w:val="clear" w:color="auto" w:fill="auto"/>
            <w:noWrap/>
            <w:vAlign w:val="bottom"/>
            <w:hideMark/>
          </w:tcPr>
          <w:p w14:paraId="783D37B0"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Poor</w:t>
            </w:r>
          </w:p>
        </w:tc>
        <w:tc>
          <w:tcPr>
            <w:tcW w:w="1160" w:type="dxa"/>
            <w:tcBorders>
              <w:top w:val="nil"/>
              <w:left w:val="nil"/>
              <w:bottom w:val="nil"/>
              <w:right w:val="single" w:sz="4" w:space="0" w:color="auto"/>
            </w:tcBorders>
            <w:shd w:val="clear" w:color="auto" w:fill="auto"/>
            <w:noWrap/>
            <w:vAlign w:val="bottom"/>
            <w:hideMark/>
          </w:tcPr>
          <w:p w14:paraId="5F8E6182"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r w:rsidR="005B548E" w:rsidRPr="005B548E" w14:paraId="6E36BC6E" w14:textId="77777777" w:rsidTr="005B548E">
        <w:trPr>
          <w:trHeight w:val="283"/>
        </w:trPr>
        <w:tc>
          <w:tcPr>
            <w:tcW w:w="3347" w:type="dxa"/>
            <w:tcBorders>
              <w:top w:val="nil"/>
              <w:left w:val="single" w:sz="4" w:space="0" w:color="auto"/>
              <w:bottom w:val="nil"/>
              <w:right w:val="single" w:sz="4" w:space="0" w:color="auto"/>
            </w:tcBorders>
            <w:shd w:val="clear" w:color="auto" w:fill="auto"/>
            <w:noWrap/>
            <w:vAlign w:val="bottom"/>
            <w:hideMark/>
          </w:tcPr>
          <w:p w14:paraId="4720D8D9"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Moreton Bay - North</w:t>
            </w:r>
          </w:p>
        </w:tc>
        <w:tc>
          <w:tcPr>
            <w:tcW w:w="2173" w:type="dxa"/>
            <w:tcBorders>
              <w:top w:val="nil"/>
              <w:left w:val="nil"/>
              <w:bottom w:val="nil"/>
              <w:right w:val="nil"/>
            </w:tcBorders>
            <w:shd w:val="clear" w:color="auto" w:fill="auto"/>
            <w:noWrap/>
            <w:vAlign w:val="bottom"/>
            <w:hideMark/>
          </w:tcPr>
          <w:p w14:paraId="522BC4B0"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bottom"/>
            <w:hideMark/>
          </w:tcPr>
          <w:p w14:paraId="74257531"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Poor</w:t>
            </w:r>
          </w:p>
        </w:tc>
        <w:tc>
          <w:tcPr>
            <w:tcW w:w="1460" w:type="dxa"/>
            <w:tcBorders>
              <w:top w:val="nil"/>
              <w:left w:val="nil"/>
              <w:bottom w:val="nil"/>
              <w:right w:val="single" w:sz="4" w:space="0" w:color="auto"/>
            </w:tcBorders>
            <w:shd w:val="clear" w:color="auto" w:fill="auto"/>
            <w:noWrap/>
            <w:vAlign w:val="bottom"/>
            <w:hideMark/>
          </w:tcPr>
          <w:p w14:paraId="5C0DD029"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Poor</w:t>
            </w:r>
          </w:p>
        </w:tc>
        <w:tc>
          <w:tcPr>
            <w:tcW w:w="1160" w:type="dxa"/>
            <w:tcBorders>
              <w:top w:val="nil"/>
              <w:left w:val="nil"/>
              <w:bottom w:val="nil"/>
              <w:right w:val="single" w:sz="4" w:space="0" w:color="auto"/>
            </w:tcBorders>
            <w:shd w:val="clear" w:color="auto" w:fill="auto"/>
            <w:noWrap/>
            <w:vAlign w:val="bottom"/>
            <w:hideMark/>
          </w:tcPr>
          <w:p w14:paraId="18F79C60"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r w:rsidR="005B548E" w:rsidRPr="005B548E" w14:paraId="2910AE34" w14:textId="77777777" w:rsidTr="005B548E">
        <w:trPr>
          <w:trHeight w:val="283"/>
        </w:trPr>
        <w:tc>
          <w:tcPr>
            <w:tcW w:w="3347" w:type="dxa"/>
            <w:tcBorders>
              <w:top w:val="nil"/>
              <w:left w:val="single" w:sz="4" w:space="0" w:color="auto"/>
              <w:bottom w:val="nil"/>
              <w:right w:val="single" w:sz="4" w:space="0" w:color="auto"/>
            </w:tcBorders>
            <w:shd w:val="clear" w:color="auto" w:fill="auto"/>
            <w:noWrap/>
            <w:vAlign w:val="bottom"/>
            <w:hideMark/>
          </w:tcPr>
          <w:p w14:paraId="44E7B295"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Moreton Bay - South</w:t>
            </w:r>
          </w:p>
        </w:tc>
        <w:tc>
          <w:tcPr>
            <w:tcW w:w="2173" w:type="dxa"/>
            <w:tcBorders>
              <w:top w:val="nil"/>
              <w:left w:val="nil"/>
              <w:bottom w:val="nil"/>
              <w:right w:val="nil"/>
            </w:tcBorders>
            <w:shd w:val="clear" w:color="auto" w:fill="auto"/>
            <w:noWrap/>
            <w:vAlign w:val="bottom"/>
            <w:hideMark/>
          </w:tcPr>
          <w:p w14:paraId="07BAEA41"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bottom"/>
            <w:hideMark/>
          </w:tcPr>
          <w:p w14:paraId="28B97736"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Strong</w:t>
            </w:r>
          </w:p>
        </w:tc>
        <w:tc>
          <w:tcPr>
            <w:tcW w:w="1460" w:type="dxa"/>
            <w:tcBorders>
              <w:top w:val="nil"/>
              <w:left w:val="nil"/>
              <w:bottom w:val="nil"/>
              <w:right w:val="single" w:sz="4" w:space="0" w:color="auto"/>
            </w:tcBorders>
            <w:shd w:val="clear" w:color="auto" w:fill="auto"/>
            <w:noWrap/>
            <w:vAlign w:val="bottom"/>
            <w:hideMark/>
          </w:tcPr>
          <w:p w14:paraId="6E1F23E9"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Strong</w:t>
            </w:r>
          </w:p>
        </w:tc>
        <w:tc>
          <w:tcPr>
            <w:tcW w:w="1160" w:type="dxa"/>
            <w:tcBorders>
              <w:top w:val="nil"/>
              <w:left w:val="nil"/>
              <w:bottom w:val="nil"/>
              <w:right w:val="single" w:sz="4" w:space="0" w:color="auto"/>
            </w:tcBorders>
            <w:shd w:val="clear" w:color="auto" w:fill="auto"/>
            <w:noWrap/>
            <w:vAlign w:val="bottom"/>
            <w:hideMark/>
          </w:tcPr>
          <w:p w14:paraId="3BB1A4EB"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r w:rsidR="005B548E" w:rsidRPr="005B548E" w14:paraId="46C36D42" w14:textId="77777777" w:rsidTr="005B548E">
        <w:trPr>
          <w:trHeight w:val="283"/>
        </w:trPr>
        <w:tc>
          <w:tcPr>
            <w:tcW w:w="3347" w:type="dxa"/>
            <w:tcBorders>
              <w:top w:val="nil"/>
              <w:left w:val="single" w:sz="4" w:space="0" w:color="auto"/>
              <w:bottom w:val="nil"/>
              <w:right w:val="single" w:sz="4" w:space="0" w:color="auto"/>
            </w:tcBorders>
            <w:shd w:val="clear" w:color="auto" w:fill="auto"/>
            <w:noWrap/>
            <w:vAlign w:val="bottom"/>
            <w:hideMark/>
          </w:tcPr>
          <w:p w14:paraId="7FF7CAC4"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Cairns</w:t>
            </w:r>
          </w:p>
        </w:tc>
        <w:tc>
          <w:tcPr>
            <w:tcW w:w="2173" w:type="dxa"/>
            <w:tcBorders>
              <w:top w:val="nil"/>
              <w:left w:val="nil"/>
              <w:bottom w:val="nil"/>
              <w:right w:val="nil"/>
            </w:tcBorders>
            <w:shd w:val="clear" w:color="auto" w:fill="auto"/>
            <w:noWrap/>
            <w:vAlign w:val="bottom"/>
            <w:hideMark/>
          </w:tcPr>
          <w:p w14:paraId="602AC526"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Cities of Regional Australia</w:t>
            </w:r>
          </w:p>
        </w:tc>
        <w:tc>
          <w:tcPr>
            <w:tcW w:w="1460" w:type="dxa"/>
            <w:tcBorders>
              <w:top w:val="nil"/>
              <w:left w:val="single" w:sz="4" w:space="0" w:color="auto"/>
              <w:bottom w:val="nil"/>
              <w:right w:val="single" w:sz="4" w:space="0" w:color="auto"/>
            </w:tcBorders>
            <w:shd w:val="clear" w:color="auto" w:fill="auto"/>
            <w:noWrap/>
            <w:vAlign w:val="bottom"/>
            <w:hideMark/>
          </w:tcPr>
          <w:p w14:paraId="63DA3E0F"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Average</w:t>
            </w:r>
          </w:p>
        </w:tc>
        <w:tc>
          <w:tcPr>
            <w:tcW w:w="1460" w:type="dxa"/>
            <w:tcBorders>
              <w:top w:val="nil"/>
              <w:left w:val="nil"/>
              <w:bottom w:val="nil"/>
              <w:right w:val="single" w:sz="4" w:space="0" w:color="auto"/>
            </w:tcBorders>
            <w:shd w:val="clear" w:color="auto" w:fill="auto"/>
            <w:noWrap/>
            <w:vAlign w:val="bottom"/>
            <w:hideMark/>
          </w:tcPr>
          <w:p w14:paraId="468BBDEF"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Average</w:t>
            </w:r>
          </w:p>
        </w:tc>
        <w:tc>
          <w:tcPr>
            <w:tcW w:w="1160" w:type="dxa"/>
            <w:tcBorders>
              <w:top w:val="nil"/>
              <w:left w:val="nil"/>
              <w:bottom w:val="nil"/>
              <w:right w:val="single" w:sz="4" w:space="0" w:color="auto"/>
            </w:tcBorders>
            <w:shd w:val="clear" w:color="auto" w:fill="auto"/>
            <w:noWrap/>
            <w:vAlign w:val="bottom"/>
            <w:hideMark/>
          </w:tcPr>
          <w:p w14:paraId="7A0256A8"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r w:rsidR="005B548E" w:rsidRPr="005B548E" w14:paraId="5C7874FA" w14:textId="77777777" w:rsidTr="005B548E">
        <w:trPr>
          <w:trHeight w:val="283"/>
        </w:trPr>
        <w:tc>
          <w:tcPr>
            <w:tcW w:w="3347" w:type="dxa"/>
            <w:tcBorders>
              <w:top w:val="nil"/>
              <w:left w:val="single" w:sz="4" w:space="0" w:color="auto"/>
              <w:bottom w:val="nil"/>
              <w:right w:val="single" w:sz="4" w:space="0" w:color="auto"/>
            </w:tcBorders>
            <w:shd w:val="clear" w:color="auto" w:fill="auto"/>
            <w:noWrap/>
            <w:vAlign w:val="bottom"/>
            <w:hideMark/>
          </w:tcPr>
          <w:p w14:paraId="52434B20"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Darling Downs - Maranoa</w:t>
            </w:r>
          </w:p>
        </w:tc>
        <w:tc>
          <w:tcPr>
            <w:tcW w:w="2173" w:type="dxa"/>
            <w:tcBorders>
              <w:top w:val="nil"/>
              <w:left w:val="nil"/>
              <w:bottom w:val="nil"/>
              <w:right w:val="nil"/>
            </w:tcBorders>
            <w:shd w:val="clear" w:color="auto" w:fill="auto"/>
            <w:noWrap/>
            <w:vAlign w:val="bottom"/>
            <w:hideMark/>
          </w:tcPr>
          <w:p w14:paraId="7AA5F5C5"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Regional</w:t>
            </w:r>
          </w:p>
        </w:tc>
        <w:tc>
          <w:tcPr>
            <w:tcW w:w="1460" w:type="dxa"/>
            <w:tcBorders>
              <w:top w:val="nil"/>
              <w:left w:val="single" w:sz="4" w:space="0" w:color="auto"/>
              <w:bottom w:val="nil"/>
              <w:right w:val="single" w:sz="4" w:space="0" w:color="auto"/>
            </w:tcBorders>
            <w:shd w:val="clear" w:color="auto" w:fill="auto"/>
            <w:noWrap/>
            <w:vAlign w:val="bottom"/>
            <w:hideMark/>
          </w:tcPr>
          <w:p w14:paraId="4BD27D07"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Average</w:t>
            </w:r>
          </w:p>
        </w:tc>
        <w:tc>
          <w:tcPr>
            <w:tcW w:w="1460" w:type="dxa"/>
            <w:tcBorders>
              <w:top w:val="nil"/>
              <w:left w:val="nil"/>
              <w:bottom w:val="nil"/>
              <w:right w:val="single" w:sz="4" w:space="0" w:color="auto"/>
            </w:tcBorders>
            <w:shd w:val="clear" w:color="auto" w:fill="auto"/>
            <w:noWrap/>
            <w:vAlign w:val="bottom"/>
            <w:hideMark/>
          </w:tcPr>
          <w:p w14:paraId="65135620"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Above average</w:t>
            </w:r>
          </w:p>
        </w:tc>
        <w:tc>
          <w:tcPr>
            <w:tcW w:w="1160" w:type="dxa"/>
            <w:tcBorders>
              <w:top w:val="nil"/>
              <w:left w:val="single" w:sz="4" w:space="0" w:color="auto"/>
              <w:bottom w:val="nil"/>
              <w:right w:val="single" w:sz="4" w:space="0" w:color="auto"/>
            </w:tcBorders>
            <w:shd w:val="clear" w:color="000000" w:fill="047817"/>
            <w:noWrap/>
            <w:vAlign w:val="bottom"/>
            <w:hideMark/>
          </w:tcPr>
          <w:p w14:paraId="31DBE8A3" w14:textId="77777777" w:rsidR="005B548E" w:rsidRPr="005B548E" w:rsidRDefault="005B548E" w:rsidP="005B548E">
            <w:pPr>
              <w:spacing w:after="0" w:line="240" w:lineRule="auto"/>
              <w:jc w:val="center"/>
              <w:rPr>
                <w:rFonts w:eastAsia="Times New Roman" w:cs="Arial"/>
                <w:color w:val="FFFFFF"/>
                <w:sz w:val="16"/>
                <w:szCs w:val="16"/>
                <w:lang w:eastAsia="en-AU"/>
              </w:rPr>
            </w:pPr>
            <w:r w:rsidRPr="005B548E">
              <w:rPr>
                <w:rFonts w:eastAsia="Times New Roman" w:cs="Arial"/>
                <w:color w:val="FFFFFF"/>
                <w:sz w:val="16"/>
                <w:szCs w:val="16"/>
                <w:lang w:eastAsia="en-AU"/>
              </w:rPr>
              <w:t>Improved</w:t>
            </w:r>
          </w:p>
        </w:tc>
      </w:tr>
      <w:tr w:rsidR="005B548E" w:rsidRPr="005B548E" w14:paraId="51E52ADC" w14:textId="77777777" w:rsidTr="005B548E">
        <w:trPr>
          <w:trHeight w:val="283"/>
        </w:trPr>
        <w:tc>
          <w:tcPr>
            <w:tcW w:w="3347" w:type="dxa"/>
            <w:tcBorders>
              <w:top w:val="nil"/>
              <w:left w:val="single" w:sz="4" w:space="0" w:color="auto"/>
              <w:bottom w:val="nil"/>
              <w:right w:val="single" w:sz="4" w:space="0" w:color="auto"/>
            </w:tcBorders>
            <w:shd w:val="clear" w:color="auto" w:fill="auto"/>
            <w:noWrap/>
            <w:vAlign w:val="bottom"/>
            <w:hideMark/>
          </w:tcPr>
          <w:p w14:paraId="142C8AC4"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Central Queensland</w:t>
            </w:r>
          </w:p>
        </w:tc>
        <w:tc>
          <w:tcPr>
            <w:tcW w:w="2173" w:type="dxa"/>
            <w:tcBorders>
              <w:top w:val="nil"/>
              <w:left w:val="nil"/>
              <w:bottom w:val="nil"/>
              <w:right w:val="nil"/>
            </w:tcBorders>
            <w:shd w:val="clear" w:color="auto" w:fill="auto"/>
            <w:noWrap/>
            <w:vAlign w:val="bottom"/>
            <w:hideMark/>
          </w:tcPr>
          <w:p w14:paraId="0BD442EB"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Regional</w:t>
            </w:r>
          </w:p>
        </w:tc>
        <w:tc>
          <w:tcPr>
            <w:tcW w:w="1460" w:type="dxa"/>
            <w:tcBorders>
              <w:top w:val="nil"/>
              <w:left w:val="single" w:sz="4" w:space="0" w:color="auto"/>
              <w:bottom w:val="nil"/>
              <w:right w:val="single" w:sz="4" w:space="0" w:color="auto"/>
            </w:tcBorders>
            <w:shd w:val="clear" w:color="auto" w:fill="auto"/>
            <w:noWrap/>
            <w:vAlign w:val="bottom"/>
            <w:hideMark/>
          </w:tcPr>
          <w:p w14:paraId="6917F04F"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Average</w:t>
            </w:r>
          </w:p>
        </w:tc>
        <w:tc>
          <w:tcPr>
            <w:tcW w:w="1460" w:type="dxa"/>
            <w:tcBorders>
              <w:top w:val="nil"/>
              <w:left w:val="nil"/>
              <w:bottom w:val="nil"/>
              <w:right w:val="single" w:sz="4" w:space="0" w:color="auto"/>
            </w:tcBorders>
            <w:shd w:val="clear" w:color="auto" w:fill="auto"/>
            <w:noWrap/>
            <w:vAlign w:val="bottom"/>
            <w:hideMark/>
          </w:tcPr>
          <w:p w14:paraId="566AF6B7"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Above average</w:t>
            </w:r>
          </w:p>
        </w:tc>
        <w:tc>
          <w:tcPr>
            <w:tcW w:w="1160" w:type="dxa"/>
            <w:tcBorders>
              <w:top w:val="nil"/>
              <w:left w:val="single" w:sz="4" w:space="0" w:color="auto"/>
              <w:bottom w:val="nil"/>
              <w:right w:val="single" w:sz="4" w:space="0" w:color="auto"/>
            </w:tcBorders>
            <w:shd w:val="clear" w:color="000000" w:fill="047817"/>
            <w:noWrap/>
            <w:vAlign w:val="bottom"/>
            <w:hideMark/>
          </w:tcPr>
          <w:p w14:paraId="6087B986" w14:textId="77777777" w:rsidR="005B548E" w:rsidRPr="005B548E" w:rsidRDefault="005B548E" w:rsidP="005B548E">
            <w:pPr>
              <w:spacing w:after="0" w:line="240" w:lineRule="auto"/>
              <w:jc w:val="center"/>
              <w:rPr>
                <w:rFonts w:eastAsia="Times New Roman" w:cs="Arial"/>
                <w:color w:val="FFFFFF"/>
                <w:sz w:val="16"/>
                <w:szCs w:val="16"/>
                <w:lang w:eastAsia="en-AU"/>
              </w:rPr>
            </w:pPr>
            <w:r w:rsidRPr="005B548E">
              <w:rPr>
                <w:rFonts w:eastAsia="Times New Roman" w:cs="Arial"/>
                <w:color w:val="FFFFFF"/>
                <w:sz w:val="16"/>
                <w:szCs w:val="16"/>
                <w:lang w:eastAsia="en-AU"/>
              </w:rPr>
              <w:t>Improved</w:t>
            </w:r>
          </w:p>
        </w:tc>
      </w:tr>
      <w:tr w:rsidR="005B548E" w:rsidRPr="005B548E" w14:paraId="661A1F5E" w14:textId="77777777" w:rsidTr="005B548E">
        <w:trPr>
          <w:trHeight w:val="283"/>
        </w:trPr>
        <w:tc>
          <w:tcPr>
            <w:tcW w:w="3347" w:type="dxa"/>
            <w:tcBorders>
              <w:top w:val="nil"/>
              <w:left w:val="single" w:sz="4" w:space="0" w:color="auto"/>
              <w:bottom w:val="nil"/>
              <w:right w:val="single" w:sz="4" w:space="0" w:color="auto"/>
            </w:tcBorders>
            <w:shd w:val="clear" w:color="auto" w:fill="auto"/>
            <w:noWrap/>
            <w:vAlign w:val="bottom"/>
            <w:hideMark/>
          </w:tcPr>
          <w:p w14:paraId="5FAA2A50"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Gold Coast</w:t>
            </w:r>
          </w:p>
        </w:tc>
        <w:tc>
          <w:tcPr>
            <w:tcW w:w="2173" w:type="dxa"/>
            <w:tcBorders>
              <w:top w:val="nil"/>
              <w:left w:val="nil"/>
              <w:bottom w:val="nil"/>
              <w:right w:val="nil"/>
            </w:tcBorders>
            <w:shd w:val="clear" w:color="auto" w:fill="auto"/>
            <w:noWrap/>
            <w:vAlign w:val="bottom"/>
            <w:hideMark/>
          </w:tcPr>
          <w:p w14:paraId="1E262A96"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Cities of Regional Australia</w:t>
            </w:r>
          </w:p>
        </w:tc>
        <w:tc>
          <w:tcPr>
            <w:tcW w:w="1460" w:type="dxa"/>
            <w:tcBorders>
              <w:top w:val="nil"/>
              <w:left w:val="single" w:sz="4" w:space="0" w:color="auto"/>
              <w:bottom w:val="nil"/>
              <w:right w:val="single" w:sz="4" w:space="0" w:color="auto"/>
            </w:tcBorders>
            <w:shd w:val="clear" w:color="auto" w:fill="auto"/>
            <w:noWrap/>
            <w:vAlign w:val="bottom"/>
            <w:hideMark/>
          </w:tcPr>
          <w:p w14:paraId="393C8912"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Strong</w:t>
            </w:r>
          </w:p>
        </w:tc>
        <w:tc>
          <w:tcPr>
            <w:tcW w:w="1460" w:type="dxa"/>
            <w:tcBorders>
              <w:top w:val="nil"/>
              <w:left w:val="nil"/>
              <w:bottom w:val="nil"/>
              <w:right w:val="single" w:sz="4" w:space="0" w:color="auto"/>
            </w:tcBorders>
            <w:shd w:val="clear" w:color="auto" w:fill="auto"/>
            <w:noWrap/>
            <w:vAlign w:val="bottom"/>
            <w:hideMark/>
          </w:tcPr>
          <w:p w14:paraId="62634371"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Strong</w:t>
            </w:r>
          </w:p>
        </w:tc>
        <w:tc>
          <w:tcPr>
            <w:tcW w:w="1160" w:type="dxa"/>
            <w:tcBorders>
              <w:top w:val="nil"/>
              <w:left w:val="nil"/>
              <w:bottom w:val="nil"/>
              <w:right w:val="single" w:sz="4" w:space="0" w:color="auto"/>
            </w:tcBorders>
            <w:shd w:val="clear" w:color="auto" w:fill="auto"/>
            <w:noWrap/>
            <w:vAlign w:val="bottom"/>
            <w:hideMark/>
          </w:tcPr>
          <w:p w14:paraId="151F1FF8"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r w:rsidR="005B548E" w:rsidRPr="005B548E" w14:paraId="7164D408" w14:textId="77777777" w:rsidTr="005B548E">
        <w:trPr>
          <w:trHeight w:val="283"/>
        </w:trPr>
        <w:tc>
          <w:tcPr>
            <w:tcW w:w="3347" w:type="dxa"/>
            <w:tcBorders>
              <w:top w:val="nil"/>
              <w:left w:val="single" w:sz="4" w:space="0" w:color="auto"/>
              <w:bottom w:val="nil"/>
              <w:right w:val="single" w:sz="4" w:space="0" w:color="auto"/>
            </w:tcBorders>
            <w:shd w:val="clear" w:color="auto" w:fill="auto"/>
            <w:noWrap/>
            <w:vAlign w:val="bottom"/>
            <w:hideMark/>
          </w:tcPr>
          <w:p w14:paraId="133254C8"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Mackay - Isaac - Whitsunday</w:t>
            </w:r>
          </w:p>
        </w:tc>
        <w:tc>
          <w:tcPr>
            <w:tcW w:w="2173" w:type="dxa"/>
            <w:tcBorders>
              <w:top w:val="nil"/>
              <w:left w:val="nil"/>
              <w:bottom w:val="nil"/>
              <w:right w:val="nil"/>
            </w:tcBorders>
            <w:shd w:val="clear" w:color="auto" w:fill="auto"/>
            <w:noWrap/>
            <w:vAlign w:val="bottom"/>
            <w:hideMark/>
          </w:tcPr>
          <w:p w14:paraId="0CEB4B42"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Regional</w:t>
            </w:r>
          </w:p>
        </w:tc>
        <w:tc>
          <w:tcPr>
            <w:tcW w:w="1460" w:type="dxa"/>
            <w:tcBorders>
              <w:top w:val="nil"/>
              <w:left w:val="single" w:sz="4" w:space="0" w:color="auto"/>
              <w:bottom w:val="nil"/>
              <w:right w:val="single" w:sz="4" w:space="0" w:color="auto"/>
            </w:tcBorders>
            <w:shd w:val="clear" w:color="auto" w:fill="auto"/>
            <w:noWrap/>
            <w:vAlign w:val="bottom"/>
            <w:hideMark/>
          </w:tcPr>
          <w:p w14:paraId="39B2EB35"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Strong</w:t>
            </w:r>
          </w:p>
        </w:tc>
        <w:tc>
          <w:tcPr>
            <w:tcW w:w="1460" w:type="dxa"/>
            <w:tcBorders>
              <w:top w:val="nil"/>
              <w:left w:val="nil"/>
              <w:bottom w:val="nil"/>
              <w:right w:val="single" w:sz="4" w:space="0" w:color="auto"/>
            </w:tcBorders>
            <w:shd w:val="clear" w:color="auto" w:fill="auto"/>
            <w:noWrap/>
            <w:vAlign w:val="bottom"/>
            <w:hideMark/>
          </w:tcPr>
          <w:p w14:paraId="1FF62DFE"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Strong</w:t>
            </w:r>
          </w:p>
        </w:tc>
        <w:tc>
          <w:tcPr>
            <w:tcW w:w="1160" w:type="dxa"/>
            <w:tcBorders>
              <w:top w:val="nil"/>
              <w:left w:val="nil"/>
              <w:bottom w:val="nil"/>
              <w:right w:val="single" w:sz="4" w:space="0" w:color="auto"/>
            </w:tcBorders>
            <w:shd w:val="clear" w:color="auto" w:fill="auto"/>
            <w:noWrap/>
            <w:vAlign w:val="bottom"/>
            <w:hideMark/>
          </w:tcPr>
          <w:p w14:paraId="424F25AA"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r w:rsidR="005B548E" w:rsidRPr="005B548E" w14:paraId="38962B02" w14:textId="77777777" w:rsidTr="005B548E">
        <w:trPr>
          <w:trHeight w:val="283"/>
        </w:trPr>
        <w:tc>
          <w:tcPr>
            <w:tcW w:w="3347" w:type="dxa"/>
            <w:tcBorders>
              <w:top w:val="nil"/>
              <w:left w:val="single" w:sz="4" w:space="0" w:color="auto"/>
              <w:bottom w:val="nil"/>
              <w:right w:val="single" w:sz="4" w:space="0" w:color="auto"/>
            </w:tcBorders>
            <w:shd w:val="clear" w:color="auto" w:fill="auto"/>
            <w:noWrap/>
            <w:vAlign w:val="bottom"/>
            <w:hideMark/>
          </w:tcPr>
          <w:p w14:paraId="4427189D"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Queensland - Outback</w:t>
            </w:r>
          </w:p>
        </w:tc>
        <w:tc>
          <w:tcPr>
            <w:tcW w:w="2173" w:type="dxa"/>
            <w:tcBorders>
              <w:top w:val="nil"/>
              <w:left w:val="nil"/>
              <w:bottom w:val="nil"/>
              <w:right w:val="nil"/>
            </w:tcBorders>
            <w:shd w:val="clear" w:color="auto" w:fill="auto"/>
            <w:noWrap/>
            <w:vAlign w:val="bottom"/>
            <w:hideMark/>
          </w:tcPr>
          <w:p w14:paraId="2AE8137B"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Remote</w:t>
            </w:r>
          </w:p>
        </w:tc>
        <w:tc>
          <w:tcPr>
            <w:tcW w:w="1460" w:type="dxa"/>
            <w:tcBorders>
              <w:top w:val="nil"/>
              <w:left w:val="single" w:sz="4" w:space="0" w:color="auto"/>
              <w:bottom w:val="nil"/>
              <w:right w:val="single" w:sz="4" w:space="0" w:color="auto"/>
            </w:tcBorders>
            <w:shd w:val="clear" w:color="auto" w:fill="auto"/>
            <w:noWrap/>
            <w:vAlign w:val="bottom"/>
            <w:hideMark/>
          </w:tcPr>
          <w:p w14:paraId="2440245C"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Poor</w:t>
            </w:r>
          </w:p>
        </w:tc>
        <w:tc>
          <w:tcPr>
            <w:tcW w:w="1460" w:type="dxa"/>
            <w:tcBorders>
              <w:top w:val="nil"/>
              <w:left w:val="nil"/>
              <w:bottom w:val="nil"/>
              <w:right w:val="single" w:sz="4" w:space="0" w:color="auto"/>
            </w:tcBorders>
            <w:shd w:val="clear" w:color="auto" w:fill="auto"/>
            <w:noWrap/>
            <w:vAlign w:val="bottom"/>
            <w:hideMark/>
          </w:tcPr>
          <w:p w14:paraId="4BBFAC9F"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Poor</w:t>
            </w:r>
          </w:p>
        </w:tc>
        <w:tc>
          <w:tcPr>
            <w:tcW w:w="1160" w:type="dxa"/>
            <w:tcBorders>
              <w:top w:val="nil"/>
              <w:left w:val="nil"/>
              <w:bottom w:val="nil"/>
              <w:right w:val="single" w:sz="4" w:space="0" w:color="auto"/>
            </w:tcBorders>
            <w:shd w:val="clear" w:color="auto" w:fill="auto"/>
            <w:noWrap/>
            <w:vAlign w:val="bottom"/>
            <w:hideMark/>
          </w:tcPr>
          <w:p w14:paraId="134E2961"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r w:rsidR="005B548E" w:rsidRPr="005B548E" w14:paraId="274D6679" w14:textId="77777777" w:rsidTr="005B548E">
        <w:trPr>
          <w:trHeight w:val="283"/>
        </w:trPr>
        <w:tc>
          <w:tcPr>
            <w:tcW w:w="3347" w:type="dxa"/>
            <w:tcBorders>
              <w:top w:val="nil"/>
              <w:left w:val="single" w:sz="4" w:space="0" w:color="auto"/>
              <w:bottom w:val="nil"/>
              <w:right w:val="single" w:sz="4" w:space="0" w:color="auto"/>
            </w:tcBorders>
            <w:shd w:val="clear" w:color="auto" w:fill="auto"/>
            <w:noWrap/>
            <w:vAlign w:val="bottom"/>
            <w:hideMark/>
          </w:tcPr>
          <w:p w14:paraId="73FCAB1D"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Sunshine Coast</w:t>
            </w:r>
          </w:p>
        </w:tc>
        <w:tc>
          <w:tcPr>
            <w:tcW w:w="2173" w:type="dxa"/>
            <w:tcBorders>
              <w:top w:val="nil"/>
              <w:left w:val="nil"/>
              <w:bottom w:val="nil"/>
              <w:right w:val="nil"/>
            </w:tcBorders>
            <w:shd w:val="clear" w:color="auto" w:fill="auto"/>
            <w:noWrap/>
            <w:vAlign w:val="bottom"/>
            <w:hideMark/>
          </w:tcPr>
          <w:p w14:paraId="3F3D6B00"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Cities of Regional Australia</w:t>
            </w:r>
          </w:p>
        </w:tc>
        <w:tc>
          <w:tcPr>
            <w:tcW w:w="1460" w:type="dxa"/>
            <w:tcBorders>
              <w:top w:val="nil"/>
              <w:left w:val="single" w:sz="4" w:space="0" w:color="auto"/>
              <w:bottom w:val="nil"/>
              <w:right w:val="single" w:sz="4" w:space="0" w:color="auto"/>
            </w:tcBorders>
            <w:shd w:val="clear" w:color="auto" w:fill="auto"/>
            <w:noWrap/>
            <w:vAlign w:val="bottom"/>
            <w:hideMark/>
          </w:tcPr>
          <w:p w14:paraId="323EB565"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Above average</w:t>
            </w:r>
          </w:p>
        </w:tc>
        <w:tc>
          <w:tcPr>
            <w:tcW w:w="1460" w:type="dxa"/>
            <w:tcBorders>
              <w:top w:val="nil"/>
              <w:left w:val="nil"/>
              <w:bottom w:val="nil"/>
              <w:right w:val="single" w:sz="4" w:space="0" w:color="auto"/>
            </w:tcBorders>
            <w:shd w:val="clear" w:color="auto" w:fill="auto"/>
            <w:noWrap/>
            <w:vAlign w:val="bottom"/>
            <w:hideMark/>
          </w:tcPr>
          <w:p w14:paraId="2AC1A7BA"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Above average</w:t>
            </w:r>
          </w:p>
        </w:tc>
        <w:tc>
          <w:tcPr>
            <w:tcW w:w="1160" w:type="dxa"/>
            <w:tcBorders>
              <w:top w:val="nil"/>
              <w:left w:val="nil"/>
              <w:bottom w:val="nil"/>
              <w:right w:val="single" w:sz="4" w:space="0" w:color="auto"/>
            </w:tcBorders>
            <w:shd w:val="clear" w:color="auto" w:fill="auto"/>
            <w:noWrap/>
            <w:vAlign w:val="bottom"/>
            <w:hideMark/>
          </w:tcPr>
          <w:p w14:paraId="624C61B6"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r w:rsidR="005B548E" w:rsidRPr="005B548E" w14:paraId="747C7FC9" w14:textId="77777777" w:rsidTr="005B548E">
        <w:trPr>
          <w:trHeight w:val="283"/>
        </w:trPr>
        <w:tc>
          <w:tcPr>
            <w:tcW w:w="3347" w:type="dxa"/>
            <w:tcBorders>
              <w:top w:val="nil"/>
              <w:left w:val="single" w:sz="4" w:space="0" w:color="auto"/>
              <w:bottom w:val="nil"/>
              <w:right w:val="single" w:sz="4" w:space="0" w:color="auto"/>
            </w:tcBorders>
            <w:shd w:val="clear" w:color="auto" w:fill="auto"/>
            <w:noWrap/>
            <w:vAlign w:val="bottom"/>
            <w:hideMark/>
          </w:tcPr>
          <w:p w14:paraId="5F610440"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Toowoomba</w:t>
            </w:r>
          </w:p>
        </w:tc>
        <w:tc>
          <w:tcPr>
            <w:tcW w:w="2173" w:type="dxa"/>
            <w:tcBorders>
              <w:top w:val="nil"/>
              <w:left w:val="nil"/>
              <w:bottom w:val="nil"/>
              <w:right w:val="nil"/>
            </w:tcBorders>
            <w:shd w:val="clear" w:color="auto" w:fill="auto"/>
            <w:noWrap/>
            <w:vAlign w:val="bottom"/>
            <w:hideMark/>
          </w:tcPr>
          <w:p w14:paraId="27ECF25A" w14:textId="02510B38" w:rsidR="007E5F2E" w:rsidRPr="005B548E" w:rsidRDefault="007E5F2E" w:rsidP="005B548E">
            <w:pPr>
              <w:spacing w:after="0" w:line="240" w:lineRule="auto"/>
              <w:rPr>
                <w:rFonts w:eastAsia="Times New Roman" w:cs="Arial"/>
                <w:color w:val="000000"/>
                <w:sz w:val="16"/>
                <w:szCs w:val="16"/>
                <w:lang w:eastAsia="en-AU"/>
              </w:rPr>
            </w:pPr>
            <w:r>
              <w:rPr>
                <w:rFonts w:eastAsia="Times New Roman" w:cs="Arial"/>
                <w:color w:val="000000"/>
                <w:sz w:val="16"/>
                <w:szCs w:val="16"/>
                <w:lang w:eastAsia="en-AU"/>
              </w:rPr>
              <w:t>Regional</w:t>
            </w:r>
          </w:p>
        </w:tc>
        <w:tc>
          <w:tcPr>
            <w:tcW w:w="1460" w:type="dxa"/>
            <w:tcBorders>
              <w:top w:val="nil"/>
              <w:left w:val="single" w:sz="4" w:space="0" w:color="auto"/>
              <w:bottom w:val="nil"/>
              <w:right w:val="single" w:sz="4" w:space="0" w:color="auto"/>
            </w:tcBorders>
            <w:shd w:val="clear" w:color="auto" w:fill="auto"/>
            <w:noWrap/>
            <w:vAlign w:val="bottom"/>
            <w:hideMark/>
          </w:tcPr>
          <w:p w14:paraId="481A3E23"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Below average</w:t>
            </w:r>
          </w:p>
        </w:tc>
        <w:tc>
          <w:tcPr>
            <w:tcW w:w="1460" w:type="dxa"/>
            <w:tcBorders>
              <w:top w:val="nil"/>
              <w:left w:val="nil"/>
              <w:bottom w:val="nil"/>
              <w:right w:val="single" w:sz="4" w:space="0" w:color="auto"/>
            </w:tcBorders>
            <w:shd w:val="clear" w:color="auto" w:fill="auto"/>
            <w:noWrap/>
            <w:vAlign w:val="bottom"/>
            <w:hideMark/>
          </w:tcPr>
          <w:p w14:paraId="31CE9D95"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Average</w:t>
            </w:r>
          </w:p>
        </w:tc>
        <w:tc>
          <w:tcPr>
            <w:tcW w:w="1160" w:type="dxa"/>
            <w:tcBorders>
              <w:top w:val="nil"/>
              <w:left w:val="single" w:sz="4" w:space="0" w:color="auto"/>
              <w:bottom w:val="nil"/>
              <w:right w:val="single" w:sz="4" w:space="0" w:color="auto"/>
            </w:tcBorders>
            <w:shd w:val="clear" w:color="000000" w:fill="047817"/>
            <w:noWrap/>
            <w:vAlign w:val="bottom"/>
            <w:hideMark/>
          </w:tcPr>
          <w:p w14:paraId="5E8020F0" w14:textId="77777777" w:rsidR="005B548E" w:rsidRPr="005B548E" w:rsidRDefault="005B548E" w:rsidP="005B548E">
            <w:pPr>
              <w:spacing w:after="0" w:line="240" w:lineRule="auto"/>
              <w:jc w:val="center"/>
              <w:rPr>
                <w:rFonts w:eastAsia="Times New Roman" w:cs="Arial"/>
                <w:color w:val="FFFFFF"/>
                <w:sz w:val="16"/>
                <w:szCs w:val="16"/>
                <w:lang w:eastAsia="en-AU"/>
              </w:rPr>
            </w:pPr>
            <w:r w:rsidRPr="005B548E">
              <w:rPr>
                <w:rFonts w:eastAsia="Times New Roman" w:cs="Arial"/>
                <w:color w:val="FFFFFF"/>
                <w:sz w:val="16"/>
                <w:szCs w:val="16"/>
                <w:lang w:eastAsia="en-AU"/>
              </w:rPr>
              <w:t>Improved</w:t>
            </w:r>
          </w:p>
        </w:tc>
      </w:tr>
      <w:tr w:rsidR="005B548E" w:rsidRPr="005B548E" w14:paraId="0E984B83" w14:textId="77777777" w:rsidTr="005B548E">
        <w:trPr>
          <w:trHeight w:val="283"/>
        </w:trPr>
        <w:tc>
          <w:tcPr>
            <w:tcW w:w="3347" w:type="dxa"/>
            <w:tcBorders>
              <w:top w:val="nil"/>
              <w:left w:val="single" w:sz="4" w:space="0" w:color="auto"/>
              <w:bottom w:val="nil"/>
              <w:right w:val="single" w:sz="4" w:space="0" w:color="auto"/>
            </w:tcBorders>
            <w:shd w:val="clear" w:color="auto" w:fill="auto"/>
            <w:noWrap/>
            <w:vAlign w:val="bottom"/>
            <w:hideMark/>
          </w:tcPr>
          <w:p w14:paraId="673F31BC"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Townsville</w:t>
            </w:r>
          </w:p>
        </w:tc>
        <w:tc>
          <w:tcPr>
            <w:tcW w:w="2173" w:type="dxa"/>
            <w:tcBorders>
              <w:top w:val="nil"/>
              <w:left w:val="nil"/>
              <w:bottom w:val="nil"/>
              <w:right w:val="nil"/>
            </w:tcBorders>
            <w:shd w:val="clear" w:color="auto" w:fill="auto"/>
            <w:noWrap/>
            <w:vAlign w:val="bottom"/>
            <w:hideMark/>
          </w:tcPr>
          <w:p w14:paraId="7E63F2E7"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Cities of Regional Australia</w:t>
            </w:r>
          </w:p>
        </w:tc>
        <w:tc>
          <w:tcPr>
            <w:tcW w:w="1460" w:type="dxa"/>
            <w:tcBorders>
              <w:top w:val="nil"/>
              <w:left w:val="single" w:sz="4" w:space="0" w:color="auto"/>
              <w:bottom w:val="nil"/>
              <w:right w:val="single" w:sz="4" w:space="0" w:color="auto"/>
            </w:tcBorders>
            <w:shd w:val="clear" w:color="auto" w:fill="auto"/>
            <w:noWrap/>
            <w:vAlign w:val="bottom"/>
            <w:hideMark/>
          </w:tcPr>
          <w:p w14:paraId="5B6A808D"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Below average</w:t>
            </w:r>
          </w:p>
        </w:tc>
        <w:tc>
          <w:tcPr>
            <w:tcW w:w="1460" w:type="dxa"/>
            <w:tcBorders>
              <w:top w:val="nil"/>
              <w:left w:val="nil"/>
              <w:bottom w:val="nil"/>
              <w:right w:val="single" w:sz="4" w:space="0" w:color="auto"/>
            </w:tcBorders>
            <w:shd w:val="clear" w:color="auto" w:fill="auto"/>
            <w:noWrap/>
            <w:vAlign w:val="bottom"/>
            <w:hideMark/>
          </w:tcPr>
          <w:p w14:paraId="1FD28C26"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Below average</w:t>
            </w:r>
          </w:p>
        </w:tc>
        <w:tc>
          <w:tcPr>
            <w:tcW w:w="1160" w:type="dxa"/>
            <w:tcBorders>
              <w:top w:val="nil"/>
              <w:left w:val="nil"/>
              <w:bottom w:val="nil"/>
              <w:right w:val="single" w:sz="4" w:space="0" w:color="auto"/>
            </w:tcBorders>
            <w:shd w:val="clear" w:color="auto" w:fill="auto"/>
            <w:noWrap/>
            <w:vAlign w:val="bottom"/>
            <w:hideMark/>
          </w:tcPr>
          <w:p w14:paraId="6B5748FF"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r w:rsidR="005B548E" w:rsidRPr="005B548E" w14:paraId="3CF2964C" w14:textId="77777777" w:rsidTr="005B548E">
        <w:trPr>
          <w:trHeight w:val="283"/>
        </w:trPr>
        <w:tc>
          <w:tcPr>
            <w:tcW w:w="3347" w:type="dxa"/>
            <w:tcBorders>
              <w:top w:val="nil"/>
              <w:left w:val="single" w:sz="4" w:space="0" w:color="auto"/>
              <w:bottom w:val="single" w:sz="4" w:space="0" w:color="auto"/>
              <w:right w:val="single" w:sz="4" w:space="0" w:color="auto"/>
            </w:tcBorders>
            <w:shd w:val="clear" w:color="auto" w:fill="auto"/>
            <w:noWrap/>
            <w:vAlign w:val="bottom"/>
            <w:hideMark/>
          </w:tcPr>
          <w:p w14:paraId="03959139"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Wide Bay</w:t>
            </w:r>
          </w:p>
        </w:tc>
        <w:tc>
          <w:tcPr>
            <w:tcW w:w="2173" w:type="dxa"/>
            <w:tcBorders>
              <w:top w:val="nil"/>
              <w:left w:val="nil"/>
              <w:bottom w:val="single" w:sz="4" w:space="0" w:color="auto"/>
              <w:right w:val="nil"/>
            </w:tcBorders>
            <w:shd w:val="clear" w:color="auto" w:fill="auto"/>
            <w:noWrap/>
            <w:vAlign w:val="bottom"/>
            <w:hideMark/>
          </w:tcPr>
          <w:p w14:paraId="1BF0E6C4"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Regional</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3D1A361"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Poor</w:t>
            </w:r>
          </w:p>
        </w:tc>
        <w:tc>
          <w:tcPr>
            <w:tcW w:w="1460" w:type="dxa"/>
            <w:tcBorders>
              <w:top w:val="nil"/>
              <w:left w:val="nil"/>
              <w:bottom w:val="single" w:sz="4" w:space="0" w:color="auto"/>
              <w:right w:val="single" w:sz="4" w:space="0" w:color="auto"/>
            </w:tcBorders>
            <w:shd w:val="clear" w:color="auto" w:fill="auto"/>
            <w:noWrap/>
            <w:vAlign w:val="bottom"/>
            <w:hideMark/>
          </w:tcPr>
          <w:p w14:paraId="1C75803B"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Poor</w:t>
            </w:r>
          </w:p>
        </w:tc>
        <w:tc>
          <w:tcPr>
            <w:tcW w:w="1160" w:type="dxa"/>
            <w:tcBorders>
              <w:top w:val="nil"/>
              <w:left w:val="nil"/>
              <w:bottom w:val="single" w:sz="4" w:space="0" w:color="auto"/>
              <w:right w:val="single" w:sz="4" w:space="0" w:color="auto"/>
            </w:tcBorders>
            <w:shd w:val="clear" w:color="auto" w:fill="auto"/>
            <w:noWrap/>
            <w:vAlign w:val="bottom"/>
            <w:hideMark/>
          </w:tcPr>
          <w:p w14:paraId="62C50F8E"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r w:rsidR="005B548E" w:rsidRPr="005B548E" w14:paraId="240A44A5" w14:textId="77777777" w:rsidTr="005B548E">
        <w:trPr>
          <w:trHeight w:val="283"/>
        </w:trPr>
        <w:tc>
          <w:tcPr>
            <w:tcW w:w="3347" w:type="dxa"/>
            <w:tcBorders>
              <w:top w:val="nil"/>
              <w:left w:val="single" w:sz="4" w:space="0" w:color="auto"/>
              <w:bottom w:val="nil"/>
              <w:right w:val="single" w:sz="4" w:space="0" w:color="auto"/>
            </w:tcBorders>
            <w:shd w:val="clear" w:color="auto" w:fill="auto"/>
            <w:noWrap/>
            <w:vAlign w:val="bottom"/>
            <w:hideMark/>
          </w:tcPr>
          <w:p w14:paraId="417CC809"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Adelaide - Central and Hills</w:t>
            </w:r>
          </w:p>
        </w:tc>
        <w:tc>
          <w:tcPr>
            <w:tcW w:w="2173" w:type="dxa"/>
            <w:tcBorders>
              <w:top w:val="nil"/>
              <w:left w:val="nil"/>
              <w:bottom w:val="nil"/>
              <w:right w:val="nil"/>
            </w:tcBorders>
            <w:shd w:val="clear" w:color="auto" w:fill="auto"/>
            <w:noWrap/>
            <w:vAlign w:val="bottom"/>
            <w:hideMark/>
          </w:tcPr>
          <w:p w14:paraId="6B12E6B8"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bottom"/>
            <w:hideMark/>
          </w:tcPr>
          <w:p w14:paraId="4F2A1ECC"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Above average</w:t>
            </w:r>
          </w:p>
        </w:tc>
        <w:tc>
          <w:tcPr>
            <w:tcW w:w="1460" w:type="dxa"/>
            <w:tcBorders>
              <w:top w:val="nil"/>
              <w:left w:val="nil"/>
              <w:bottom w:val="nil"/>
              <w:right w:val="single" w:sz="4" w:space="0" w:color="auto"/>
            </w:tcBorders>
            <w:shd w:val="clear" w:color="auto" w:fill="auto"/>
            <w:noWrap/>
            <w:vAlign w:val="bottom"/>
            <w:hideMark/>
          </w:tcPr>
          <w:p w14:paraId="1DEC5EFD"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Strong</w:t>
            </w:r>
          </w:p>
        </w:tc>
        <w:tc>
          <w:tcPr>
            <w:tcW w:w="1160" w:type="dxa"/>
            <w:tcBorders>
              <w:top w:val="nil"/>
              <w:left w:val="single" w:sz="4" w:space="0" w:color="auto"/>
              <w:bottom w:val="nil"/>
              <w:right w:val="single" w:sz="4" w:space="0" w:color="auto"/>
            </w:tcBorders>
            <w:shd w:val="clear" w:color="000000" w:fill="047817"/>
            <w:noWrap/>
            <w:vAlign w:val="bottom"/>
            <w:hideMark/>
          </w:tcPr>
          <w:p w14:paraId="1004D273" w14:textId="77777777" w:rsidR="005B548E" w:rsidRPr="005B548E" w:rsidRDefault="005B548E" w:rsidP="005B548E">
            <w:pPr>
              <w:spacing w:after="0" w:line="240" w:lineRule="auto"/>
              <w:jc w:val="center"/>
              <w:rPr>
                <w:rFonts w:eastAsia="Times New Roman" w:cs="Arial"/>
                <w:color w:val="FFFFFF"/>
                <w:sz w:val="16"/>
                <w:szCs w:val="16"/>
                <w:lang w:eastAsia="en-AU"/>
              </w:rPr>
            </w:pPr>
            <w:r w:rsidRPr="005B548E">
              <w:rPr>
                <w:rFonts w:eastAsia="Times New Roman" w:cs="Arial"/>
                <w:color w:val="FFFFFF"/>
                <w:sz w:val="16"/>
                <w:szCs w:val="16"/>
                <w:lang w:eastAsia="en-AU"/>
              </w:rPr>
              <w:t>Improved</w:t>
            </w:r>
          </w:p>
        </w:tc>
      </w:tr>
      <w:tr w:rsidR="005B548E" w:rsidRPr="005B548E" w14:paraId="1E6E8739" w14:textId="77777777" w:rsidTr="005B548E">
        <w:trPr>
          <w:trHeight w:val="283"/>
        </w:trPr>
        <w:tc>
          <w:tcPr>
            <w:tcW w:w="3347" w:type="dxa"/>
            <w:tcBorders>
              <w:top w:val="nil"/>
              <w:left w:val="single" w:sz="4" w:space="0" w:color="auto"/>
              <w:bottom w:val="nil"/>
              <w:right w:val="single" w:sz="4" w:space="0" w:color="auto"/>
            </w:tcBorders>
            <w:shd w:val="clear" w:color="auto" w:fill="auto"/>
            <w:noWrap/>
            <w:vAlign w:val="bottom"/>
            <w:hideMark/>
          </w:tcPr>
          <w:p w14:paraId="38F830A1"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Adelaide - North</w:t>
            </w:r>
          </w:p>
        </w:tc>
        <w:tc>
          <w:tcPr>
            <w:tcW w:w="2173" w:type="dxa"/>
            <w:tcBorders>
              <w:top w:val="nil"/>
              <w:left w:val="nil"/>
              <w:bottom w:val="nil"/>
              <w:right w:val="nil"/>
            </w:tcBorders>
            <w:shd w:val="clear" w:color="auto" w:fill="auto"/>
            <w:noWrap/>
            <w:vAlign w:val="bottom"/>
            <w:hideMark/>
          </w:tcPr>
          <w:p w14:paraId="246E5D4B"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bottom"/>
            <w:hideMark/>
          </w:tcPr>
          <w:p w14:paraId="38FDC0B1"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Poor</w:t>
            </w:r>
          </w:p>
        </w:tc>
        <w:tc>
          <w:tcPr>
            <w:tcW w:w="1460" w:type="dxa"/>
            <w:tcBorders>
              <w:top w:val="nil"/>
              <w:left w:val="nil"/>
              <w:bottom w:val="nil"/>
              <w:right w:val="single" w:sz="4" w:space="0" w:color="auto"/>
            </w:tcBorders>
            <w:shd w:val="clear" w:color="auto" w:fill="auto"/>
            <w:noWrap/>
            <w:vAlign w:val="bottom"/>
            <w:hideMark/>
          </w:tcPr>
          <w:p w14:paraId="79D613D9"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Poor</w:t>
            </w:r>
          </w:p>
        </w:tc>
        <w:tc>
          <w:tcPr>
            <w:tcW w:w="1160" w:type="dxa"/>
            <w:tcBorders>
              <w:top w:val="nil"/>
              <w:left w:val="nil"/>
              <w:bottom w:val="nil"/>
              <w:right w:val="single" w:sz="4" w:space="0" w:color="auto"/>
            </w:tcBorders>
            <w:shd w:val="clear" w:color="auto" w:fill="auto"/>
            <w:noWrap/>
            <w:vAlign w:val="bottom"/>
            <w:hideMark/>
          </w:tcPr>
          <w:p w14:paraId="24C46BF6"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r w:rsidR="005B548E" w:rsidRPr="005B548E" w14:paraId="1BFDA488" w14:textId="77777777" w:rsidTr="005B548E">
        <w:trPr>
          <w:trHeight w:val="283"/>
        </w:trPr>
        <w:tc>
          <w:tcPr>
            <w:tcW w:w="3347" w:type="dxa"/>
            <w:tcBorders>
              <w:top w:val="nil"/>
              <w:left w:val="single" w:sz="4" w:space="0" w:color="auto"/>
              <w:bottom w:val="nil"/>
              <w:right w:val="single" w:sz="4" w:space="0" w:color="auto"/>
            </w:tcBorders>
            <w:shd w:val="clear" w:color="auto" w:fill="auto"/>
            <w:noWrap/>
            <w:vAlign w:val="bottom"/>
            <w:hideMark/>
          </w:tcPr>
          <w:p w14:paraId="11465ACB"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Adelaide - South</w:t>
            </w:r>
          </w:p>
        </w:tc>
        <w:tc>
          <w:tcPr>
            <w:tcW w:w="2173" w:type="dxa"/>
            <w:tcBorders>
              <w:top w:val="nil"/>
              <w:left w:val="nil"/>
              <w:bottom w:val="nil"/>
              <w:right w:val="nil"/>
            </w:tcBorders>
            <w:shd w:val="clear" w:color="auto" w:fill="auto"/>
            <w:noWrap/>
            <w:vAlign w:val="bottom"/>
            <w:hideMark/>
          </w:tcPr>
          <w:p w14:paraId="5315E35B"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bottom"/>
            <w:hideMark/>
          </w:tcPr>
          <w:p w14:paraId="09BFEA16"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Average</w:t>
            </w:r>
          </w:p>
        </w:tc>
        <w:tc>
          <w:tcPr>
            <w:tcW w:w="1460" w:type="dxa"/>
            <w:tcBorders>
              <w:top w:val="nil"/>
              <w:left w:val="nil"/>
              <w:bottom w:val="nil"/>
              <w:right w:val="single" w:sz="4" w:space="0" w:color="auto"/>
            </w:tcBorders>
            <w:shd w:val="clear" w:color="auto" w:fill="auto"/>
            <w:noWrap/>
            <w:vAlign w:val="bottom"/>
            <w:hideMark/>
          </w:tcPr>
          <w:p w14:paraId="2284012C"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Above average</w:t>
            </w:r>
          </w:p>
        </w:tc>
        <w:tc>
          <w:tcPr>
            <w:tcW w:w="1160" w:type="dxa"/>
            <w:tcBorders>
              <w:top w:val="nil"/>
              <w:left w:val="single" w:sz="4" w:space="0" w:color="auto"/>
              <w:bottom w:val="nil"/>
              <w:right w:val="single" w:sz="4" w:space="0" w:color="auto"/>
            </w:tcBorders>
            <w:shd w:val="clear" w:color="000000" w:fill="047817"/>
            <w:noWrap/>
            <w:vAlign w:val="bottom"/>
            <w:hideMark/>
          </w:tcPr>
          <w:p w14:paraId="3D2DAAC9" w14:textId="77777777" w:rsidR="005B548E" w:rsidRPr="005B548E" w:rsidRDefault="005B548E" w:rsidP="005B548E">
            <w:pPr>
              <w:spacing w:after="0" w:line="240" w:lineRule="auto"/>
              <w:jc w:val="center"/>
              <w:rPr>
                <w:rFonts w:eastAsia="Times New Roman" w:cs="Arial"/>
                <w:color w:val="FFFFFF"/>
                <w:sz w:val="16"/>
                <w:szCs w:val="16"/>
                <w:lang w:eastAsia="en-AU"/>
              </w:rPr>
            </w:pPr>
            <w:r w:rsidRPr="005B548E">
              <w:rPr>
                <w:rFonts w:eastAsia="Times New Roman" w:cs="Arial"/>
                <w:color w:val="FFFFFF"/>
                <w:sz w:val="16"/>
                <w:szCs w:val="16"/>
                <w:lang w:eastAsia="en-AU"/>
              </w:rPr>
              <w:t>Improved</w:t>
            </w:r>
          </w:p>
        </w:tc>
      </w:tr>
      <w:tr w:rsidR="005B548E" w:rsidRPr="005B548E" w14:paraId="1F2413CC" w14:textId="77777777" w:rsidTr="005B548E">
        <w:trPr>
          <w:trHeight w:val="283"/>
        </w:trPr>
        <w:tc>
          <w:tcPr>
            <w:tcW w:w="3347" w:type="dxa"/>
            <w:tcBorders>
              <w:top w:val="nil"/>
              <w:left w:val="single" w:sz="4" w:space="0" w:color="auto"/>
              <w:bottom w:val="nil"/>
              <w:right w:val="single" w:sz="4" w:space="0" w:color="auto"/>
            </w:tcBorders>
            <w:shd w:val="clear" w:color="auto" w:fill="auto"/>
            <w:noWrap/>
            <w:vAlign w:val="bottom"/>
            <w:hideMark/>
          </w:tcPr>
          <w:p w14:paraId="6C9DC221"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Adelaide - West</w:t>
            </w:r>
          </w:p>
        </w:tc>
        <w:tc>
          <w:tcPr>
            <w:tcW w:w="2173" w:type="dxa"/>
            <w:tcBorders>
              <w:top w:val="nil"/>
              <w:left w:val="nil"/>
              <w:bottom w:val="nil"/>
              <w:right w:val="nil"/>
            </w:tcBorders>
            <w:shd w:val="clear" w:color="auto" w:fill="auto"/>
            <w:noWrap/>
            <w:vAlign w:val="bottom"/>
            <w:hideMark/>
          </w:tcPr>
          <w:p w14:paraId="7B2D6C30"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bottom"/>
            <w:hideMark/>
          </w:tcPr>
          <w:p w14:paraId="189C658D"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Average</w:t>
            </w:r>
          </w:p>
        </w:tc>
        <w:tc>
          <w:tcPr>
            <w:tcW w:w="1460" w:type="dxa"/>
            <w:tcBorders>
              <w:top w:val="nil"/>
              <w:left w:val="nil"/>
              <w:bottom w:val="nil"/>
              <w:right w:val="single" w:sz="4" w:space="0" w:color="auto"/>
            </w:tcBorders>
            <w:shd w:val="clear" w:color="auto" w:fill="auto"/>
            <w:noWrap/>
            <w:vAlign w:val="bottom"/>
            <w:hideMark/>
          </w:tcPr>
          <w:p w14:paraId="42F08C4B"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Average</w:t>
            </w:r>
          </w:p>
        </w:tc>
        <w:tc>
          <w:tcPr>
            <w:tcW w:w="1160" w:type="dxa"/>
            <w:tcBorders>
              <w:top w:val="nil"/>
              <w:left w:val="nil"/>
              <w:bottom w:val="nil"/>
              <w:right w:val="single" w:sz="4" w:space="0" w:color="auto"/>
            </w:tcBorders>
            <w:shd w:val="clear" w:color="auto" w:fill="auto"/>
            <w:noWrap/>
            <w:vAlign w:val="bottom"/>
            <w:hideMark/>
          </w:tcPr>
          <w:p w14:paraId="2142EA52"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r w:rsidR="005B548E" w:rsidRPr="005B548E" w14:paraId="0047E036" w14:textId="77777777" w:rsidTr="005B548E">
        <w:trPr>
          <w:trHeight w:val="283"/>
        </w:trPr>
        <w:tc>
          <w:tcPr>
            <w:tcW w:w="3347" w:type="dxa"/>
            <w:tcBorders>
              <w:top w:val="nil"/>
              <w:left w:val="single" w:sz="4" w:space="0" w:color="auto"/>
              <w:bottom w:val="nil"/>
              <w:right w:val="single" w:sz="4" w:space="0" w:color="auto"/>
            </w:tcBorders>
            <w:shd w:val="clear" w:color="auto" w:fill="auto"/>
            <w:noWrap/>
            <w:vAlign w:val="bottom"/>
            <w:hideMark/>
          </w:tcPr>
          <w:p w14:paraId="461841F1"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Barossa - Yorke - Mid North</w:t>
            </w:r>
          </w:p>
        </w:tc>
        <w:tc>
          <w:tcPr>
            <w:tcW w:w="2173" w:type="dxa"/>
            <w:tcBorders>
              <w:top w:val="nil"/>
              <w:left w:val="nil"/>
              <w:bottom w:val="nil"/>
              <w:right w:val="nil"/>
            </w:tcBorders>
            <w:shd w:val="clear" w:color="auto" w:fill="auto"/>
            <w:noWrap/>
            <w:vAlign w:val="bottom"/>
            <w:hideMark/>
          </w:tcPr>
          <w:p w14:paraId="2BA6834F"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Regional</w:t>
            </w:r>
          </w:p>
        </w:tc>
        <w:tc>
          <w:tcPr>
            <w:tcW w:w="1460" w:type="dxa"/>
            <w:tcBorders>
              <w:top w:val="nil"/>
              <w:left w:val="single" w:sz="4" w:space="0" w:color="auto"/>
              <w:bottom w:val="nil"/>
              <w:right w:val="single" w:sz="4" w:space="0" w:color="auto"/>
            </w:tcBorders>
            <w:shd w:val="clear" w:color="auto" w:fill="auto"/>
            <w:noWrap/>
            <w:vAlign w:val="bottom"/>
            <w:hideMark/>
          </w:tcPr>
          <w:p w14:paraId="2E082F7D"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Poor</w:t>
            </w:r>
          </w:p>
        </w:tc>
        <w:tc>
          <w:tcPr>
            <w:tcW w:w="1460" w:type="dxa"/>
            <w:tcBorders>
              <w:top w:val="nil"/>
              <w:left w:val="nil"/>
              <w:bottom w:val="nil"/>
              <w:right w:val="single" w:sz="4" w:space="0" w:color="auto"/>
            </w:tcBorders>
            <w:shd w:val="clear" w:color="auto" w:fill="auto"/>
            <w:noWrap/>
            <w:vAlign w:val="bottom"/>
            <w:hideMark/>
          </w:tcPr>
          <w:p w14:paraId="0B129452"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Poor</w:t>
            </w:r>
          </w:p>
        </w:tc>
        <w:tc>
          <w:tcPr>
            <w:tcW w:w="1160" w:type="dxa"/>
            <w:tcBorders>
              <w:top w:val="nil"/>
              <w:left w:val="nil"/>
              <w:bottom w:val="nil"/>
              <w:right w:val="single" w:sz="4" w:space="0" w:color="auto"/>
            </w:tcBorders>
            <w:shd w:val="clear" w:color="auto" w:fill="auto"/>
            <w:noWrap/>
            <w:vAlign w:val="bottom"/>
            <w:hideMark/>
          </w:tcPr>
          <w:p w14:paraId="62D0D352"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r w:rsidR="005B548E" w:rsidRPr="005B548E" w14:paraId="09B1F589" w14:textId="77777777" w:rsidTr="005B548E">
        <w:trPr>
          <w:trHeight w:val="283"/>
        </w:trPr>
        <w:tc>
          <w:tcPr>
            <w:tcW w:w="3347" w:type="dxa"/>
            <w:tcBorders>
              <w:top w:val="nil"/>
              <w:left w:val="single" w:sz="4" w:space="0" w:color="auto"/>
              <w:bottom w:val="nil"/>
              <w:right w:val="single" w:sz="4" w:space="0" w:color="auto"/>
            </w:tcBorders>
            <w:shd w:val="clear" w:color="auto" w:fill="auto"/>
            <w:noWrap/>
            <w:vAlign w:val="bottom"/>
            <w:hideMark/>
          </w:tcPr>
          <w:p w14:paraId="60712EEA"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South Australia - Outback</w:t>
            </w:r>
          </w:p>
        </w:tc>
        <w:tc>
          <w:tcPr>
            <w:tcW w:w="2173" w:type="dxa"/>
            <w:tcBorders>
              <w:top w:val="nil"/>
              <w:left w:val="nil"/>
              <w:bottom w:val="nil"/>
              <w:right w:val="nil"/>
            </w:tcBorders>
            <w:shd w:val="clear" w:color="auto" w:fill="auto"/>
            <w:noWrap/>
            <w:vAlign w:val="bottom"/>
            <w:hideMark/>
          </w:tcPr>
          <w:p w14:paraId="7121A2CB"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Remote</w:t>
            </w:r>
          </w:p>
        </w:tc>
        <w:tc>
          <w:tcPr>
            <w:tcW w:w="1460" w:type="dxa"/>
            <w:tcBorders>
              <w:top w:val="nil"/>
              <w:left w:val="single" w:sz="4" w:space="0" w:color="auto"/>
              <w:bottom w:val="nil"/>
              <w:right w:val="single" w:sz="4" w:space="0" w:color="auto"/>
            </w:tcBorders>
            <w:shd w:val="clear" w:color="auto" w:fill="auto"/>
            <w:noWrap/>
            <w:vAlign w:val="bottom"/>
            <w:hideMark/>
          </w:tcPr>
          <w:p w14:paraId="326F4187"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Poor</w:t>
            </w:r>
          </w:p>
        </w:tc>
        <w:tc>
          <w:tcPr>
            <w:tcW w:w="1460" w:type="dxa"/>
            <w:tcBorders>
              <w:top w:val="nil"/>
              <w:left w:val="nil"/>
              <w:bottom w:val="nil"/>
              <w:right w:val="single" w:sz="4" w:space="0" w:color="auto"/>
            </w:tcBorders>
            <w:shd w:val="clear" w:color="auto" w:fill="auto"/>
            <w:noWrap/>
            <w:vAlign w:val="bottom"/>
            <w:hideMark/>
          </w:tcPr>
          <w:p w14:paraId="7131B494"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Poor</w:t>
            </w:r>
          </w:p>
        </w:tc>
        <w:tc>
          <w:tcPr>
            <w:tcW w:w="1160" w:type="dxa"/>
            <w:tcBorders>
              <w:top w:val="nil"/>
              <w:left w:val="nil"/>
              <w:bottom w:val="nil"/>
              <w:right w:val="single" w:sz="4" w:space="0" w:color="auto"/>
            </w:tcBorders>
            <w:shd w:val="clear" w:color="auto" w:fill="auto"/>
            <w:noWrap/>
            <w:vAlign w:val="bottom"/>
            <w:hideMark/>
          </w:tcPr>
          <w:p w14:paraId="1AE9781F"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r w:rsidR="005B548E" w:rsidRPr="005B548E" w14:paraId="252E24BD" w14:textId="77777777" w:rsidTr="005B548E">
        <w:trPr>
          <w:trHeight w:val="283"/>
        </w:trPr>
        <w:tc>
          <w:tcPr>
            <w:tcW w:w="3347" w:type="dxa"/>
            <w:tcBorders>
              <w:top w:val="nil"/>
              <w:left w:val="single" w:sz="4" w:space="0" w:color="auto"/>
              <w:bottom w:val="single" w:sz="4" w:space="0" w:color="auto"/>
              <w:right w:val="single" w:sz="4" w:space="0" w:color="auto"/>
            </w:tcBorders>
            <w:shd w:val="clear" w:color="auto" w:fill="auto"/>
            <w:noWrap/>
            <w:vAlign w:val="bottom"/>
            <w:hideMark/>
          </w:tcPr>
          <w:p w14:paraId="0B254C0F"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South Australia - South East</w:t>
            </w:r>
          </w:p>
        </w:tc>
        <w:tc>
          <w:tcPr>
            <w:tcW w:w="2173" w:type="dxa"/>
            <w:tcBorders>
              <w:top w:val="nil"/>
              <w:left w:val="nil"/>
              <w:bottom w:val="single" w:sz="4" w:space="0" w:color="auto"/>
              <w:right w:val="nil"/>
            </w:tcBorders>
            <w:shd w:val="clear" w:color="auto" w:fill="auto"/>
            <w:noWrap/>
            <w:vAlign w:val="bottom"/>
            <w:hideMark/>
          </w:tcPr>
          <w:p w14:paraId="30E39346"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Regional</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2595A445"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Below average</w:t>
            </w:r>
          </w:p>
        </w:tc>
        <w:tc>
          <w:tcPr>
            <w:tcW w:w="1460" w:type="dxa"/>
            <w:tcBorders>
              <w:top w:val="nil"/>
              <w:left w:val="nil"/>
              <w:bottom w:val="single" w:sz="4" w:space="0" w:color="auto"/>
              <w:right w:val="single" w:sz="4" w:space="0" w:color="auto"/>
            </w:tcBorders>
            <w:shd w:val="clear" w:color="auto" w:fill="auto"/>
            <w:noWrap/>
            <w:vAlign w:val="bottom"/>
            <w:hideMark/>
          </w:tcPr>
          <w:p w14:paraId="78CBBB9C"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Below average</w:t>
            </w:r>
          </w:p>
        </w:tc>
        <w:tc>
          <w:tcPr>
            <w:tcW w:w="1160" w:type="dxa"/>
            <w:tcBorders>
              <w:top w:val="nil"/>
              <w:left w:val="nil"/>
              <w:bottom w:val="single" w:sz="4" w:space="0" w:color="auto"/>
              <w:right w:val="single" w:sz="4" w:space="0" w:color="auto"/>
            </w:tcBorders>
            <w:shd w:val="clear" w:color="auto" w:fill="auto"/>
            <w:noWrap/>
            <w:vAlign w:val="bottom"/>
            <w:hideMark/>
          </w:tcPr>
          <w:p w14:paraId="3AE959FD"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r w:rsidR="005B548E" w:rsidRPr="005B548E" w14:paraId="0D73DBEA" w14:textId="77777777" w:rsidTr="005B548E">
        <w:trPr>
          <w:trHeight w:val="283"/>
        </w:trPr>
        <w:tc>
          <w:tcPr>
            <w:tcW w:w="3347" w:type="dxa"/>
            <w:tcBorders>
              <w:top w:val="nil"/>
              <w:left w:val="single" w:sz="4" w:space="0" w:color="auto"/>
              <w:bottom w:val="nil"/>
              <w:right w:val="single" w:sz="4" w:space="0" w:color="auto"/>
            </w:tcBorders>
            <w:shd w:val="clear" w:color="auto" w:fill="auto"/>
            <w:noWrap/>
            <w:vAlign w:val="bottom"/>
            <w:hideMark/>
          </w:tcPr>
          <w:p w14:paraId="76443ABA"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Mandurah</w:t>
            </w:r>
          </w:p>
        </w:tc>
        <w:tc>
          <w:tcPr>
            <w:tcW w:w="2173" w:type="dxa"/>
            <w:tcBorders>
              <w:top w:val="nil"/>
              <w:left w:val="nil"/>
              <w:bottom w:val="nil"/>
              <w:right w:val="nil"/>
            </w:tcBorders>
            <w:shd w:val="clear" w:color="auto" w:fill="auto"/>
            <w:noWrap/>
            <w:vAlign w:val="bottom"/>
            <w:hideMark/>
          </w:tcPr>
          <w:p w14:paraId="328DEA22"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bottom"/>
            <w:hideMark/>
          </w:tcPr>
          <w:p w14:paraId="095BD7DF"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Poor</w:t>
            </w:r>
          </w:p>
        </w:tc>
        <w:tc>
          <w:tcPr>
            <w:tcW w:w="1460" w:type="dxa"/>
            <w:tcBorders>
              <w:top w:val="nil"/>
              <w:left w:val="nil"/>
              <w:bottom w:val="nil"/>
              <w:right w:val="single" w:sz="4" w:space="0" w:color="auto"/>
            </w:tcBorders>
            <w:shd w:val="clear" w:color="auto" w:fill="auto"/>
            <w:noWrap/>
            <w:vAlign w:val="bottom"/>
            <w:hideMark/>
          </w:tcPr>
          <w:p w14:paraId="23753E5C"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Poor</w:t>
            </w:r>
          </w:p>
        </w:tc>
        <w:tc>
          <w:tcPr>
            <w:tcW w:w="1160" w:type="dxa"/>
            <w:tcBorders>
              <w:top w:val="nil"/>
              <w:left w:val="nil"/>
              <w:bottom w:val="nil"/>
              <w:right w:val="single" w:sz="4" w:space="0" w:color="auto"/>
            </w:tcBorders>
            <w:shd w:val="clear" w:color="auto" w:fill="auto"/>
            <w:noWrap/>
            <w:vAlign w:val="bottom"/>
            <w:hideMark/>
          </w:tcPr>
          <w:p w14:paraId="63E619AD"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r w:rsidR="005B548E" w:rsidRPr="005B548E" w14:paraId="72567CA3" w14:textId="77777777" w:rsidTr="005B548E">
        <w:trPr>
          <w:trHeight w:val="283"/>
        </w:trPr>
        <w:tc>
          <w:tcPr>
            <w:tcW w:w="3347" w:type="dxa"/>
            <w:tcBorders>
              <w:top w:val="nil"/>
              <w:left w:val="single" w:sz="4" w:space="0" w:color="auto"/>
              <w:bottom w:val="nil"/>
              <w:right w:val="single" w:sz="4" w:space="0" w:color="auto"/>
            </w:tcBorders>
            <w:shd w:val="clear" w:color="auto" w:fill="auto"/>
            <w:noWrap/>
            <w:vAlign w:val="bottom"/>
            <w:hideMark/>
          </w:tcPr>
          <w:p w14:paraId="30C86039"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Perth - Inner</w:t>
            </w:r>
          </w:p>
        </w:tc>
        <w:tc>
          <w:tcPr>
            <w:tcW w:w="2173" w:type="dxa"/>
            <w:tcBorders>
              <w:top w:val="nil"/>
              <w:left w:val="nil"/>
              <w:bottom w:val="nil"/>
              <w:right w:val="nil"/>
            </w:tcBorders>
            <w:shd w:val="clear" w:color="auto" w:fill="auto"/>
            <w:noWrap/>
            <w:vAlign w:val="bottom"/>
            <w:hideMark/>
          </w:tcPr>
          <w:p w14:paraId="122037BD"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bottom"/>
            <w:hideMark/>
          </w:tcPr>
          <w:p w14:paraId="7906F6A5"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Strong</w:t>
            </w:r>
          </w:p>
        </w:tc>
        <w:tc>
          <w:tcPr>
            <w:tcW w:w="1460" w:type="dxa"/>
            <w:tcBorders>
              <w:top w:val="nil"/>
              <w:left w:val="nil"/>
              <w:bottom w:val="nil"/>
              <w:right w:val="single" w:sz="4" w:space="0" w:color="auto"/>
            </w:tcBorders>
            <w:shd w:val="clear" w:color="auto" w:fill="auto"/>
            <w:noWrap/>
            <w:vAlign w:val="bottom"/>
            <w:hideMark/>
          </w:tcPr>
          <w:p w14:paraId="1B30FF7F"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Strong</w:t>
            </w:r>
          </w:p>
        </w:tc>
        <w:tc>
          <w:tcPr>
            <w:tcW w:w="1160" w:type="dxa"/>
            <w:tcBorders>
              <w:top w:val="nil"/>
              <w:left w:val="nil"/>
              <w:bottom w:val="nil"/>
              <w:right w:val="single" w:sz="4" w:space="0" w:color="auto"/>
            </w:tcBorders>
            <w:shd w:val="clear" w:color="auto" w:fill="auto"/>
            <w:noWrap/>
            <w:vAlign w:val="bottom"/>
            <w:hideMark/>
          </w:tcPr>
          <w:p w14:paraId="41C65FD0"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r w:rsidR="005B548E" w:rsidRPr="005B548E" w14:paraId="24D059A1" w14:textId="77777777" w:rsidTr="005B548E">
        <w:trPr>
          <w:trHeight w:val="283"/>
        </w:trPr>
        <w:tc>
          <w:tcPr>
            <w:tcW w:w="3347" w:type="dxa"/>
            <w:tcBorders>
              <w:top w:val="nil"/>
              <w:left w:val="single" w:sz="4" w:space="0" w:color="auto"/>
              <w:bottom w:val="nil"/>
              <w:right w:val="single" w:sz="4" w:space="0" w:color="auto"/>
            </w:tcBorders>
            <w:shd w:val="clear" w:color="auto" w:fill="auto"/>
            <w:noWrap/>
            <w:vAlign w:val="bottom"/>
            <w:hideMark/>
          </w:tcPr>
          <w:p w14:paraId="7AF85D64"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Perth - North East</w:t>
            </w:r>
          </w:p>
        </w:tc>
        <w:tc>
          <w:tcPr>
            <w:tcW w:w="2173" w:type="dxa"/>
            <w:tcBorders>
              <w:top w:val="nil"/>
              <w:left w:val="nil"/>
              <w:bottom w:val="nil"/>
              <w:right w:val="nil"/>
            </w:tcBorders>
            <w:shd w:val="clear" w:color="auto" w:fill="auto"/>
            <w:noWrap/>
            <w:vAlign w:val="bottom"/>
            <w:hideMark/>
          </w:tcPr>
          <w:p w14:paraId="2523BFFD"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bottom"/>
            <w:hideMark/>
          </w:tcPr>
          <w:p w14:paraId="67890DB9"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Above average</w:t>
            </w:r>
          </w:p>
        </w:tc>
        <w:tc>
          <w:tcPr>
            <w:tcW w:w="1460" w:type="dxa"/>
            <w:tcBorders>
              <w:top w:val="nil"/>
              <w:left w:val="nil"/>
              <w:bottom w:val="nil"/>
              <w:right w:val="single" w:sz="4" w:space="0" w:color="auto"/>
            </w:tcBorders>
            <w:shd w:val="clear" w:color="auto" w:fill="auto"/>
            <w:noWrap/>
            <w:vAlign w:val="bottom"/>
            <w:hideMark/>
          </w:tcPr>
          <w:p w14:paraId="0FE0509F"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Above average</w:t>
            </w:r>
          </w:p>
        </w:tc>
        <w:tc>
          <w:tcPr>
            <w:tcW w:w="1160" w:type="dxa"/>
            <w:tcBorders>
              <w:top w:val="nil"/>
              <w:left w:val="nil"/>
              <w:bottom w:val="nil"/>
              <w:right w:val="single" w:sz="4" w:space="0" w:color="auto"/>
            </w:tcBorders>
            <w:shd w:val="clear" w:color="auto" w:fill="auto"/>
            <w:noWrap/>
            <w:vAlign w:val="bottom"/>
            <w:hideMark/>
          </w:tcPr>
          <w:p w14:paraId="2B819225"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r w:rsidR="005B548E" w:rsidRPr="005B548E" w14:paraId="5C9379A3" w14:textId="77777777" w:rsidTr="005B548E">
        <w:trPr>
          <w:trHeight w:val="283"/>
        </w:trPr>
        <w:tc>
          <w:tcPr>
            <w:tcW w:w="3347" w:type="dxa"/>
            <w:tcBorders>
              <w:top w:val="nil"/>
              <w:left w:val="single" w:sz="4" w:space="0" w:color="auto"/>
              <w:bottom w:val="nil"/>
              <w:right w:val="single" w:sz="4" w:space="0" w:color="auto"/>
            </w:tcBorders>
            <w:shd w:val="clear" w:color="auto" w:fill="auto"/>
            <w:noWrap/>
            <w:vAlign w:val="bottom"/>
            <w:hideMark/>
          </w:tcPr>
          <w:p w14:paraId="680B3433"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Perth - North West</w:t>
            </w:r>
          </w:p>
        </w:tc>
        <w:tc>
          <w:tcPr>
            <w:tcW w:w="2173" w:type="dxa"/>
            <w:tcBorders>
              <w:top w:val="nil"/>
              <w:left w:val="nil"/>
              <w:bottom w:val="nil"/>
              <w:right w:val="nil"/>
            </w:tcBorders>
            <w:shd w:val="clear" w:color="auto" w:fill="auto"/>
            <w:noWrap/>
            <w:vAlign w:val="bottom"/>
            <w:hideMark/>
          </w:tcPr>
          <w:p w14:paraId="10DE8A02"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bottom"/>
            <w:hideMark/>
          </w:tcPr>
          <w:p w14:paraId="44611D68"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Strong</w:t>
            </w:r>
          </w:p>
        </w:tc>
        <w:tc>
          <w:tcPr>
            <w:tcW w:w="1460" w:type="dxa"/>
            <w:tcBorders>
              <w:top w:val="nil"/>
              <w:left w:val="nil"/>
              <w:bottom w:val="nil"/>
              <w:right w:val="single" w:sz="4" w:space="0" w:color="auto"/>
            </w:tcBorders>
            <w:shd w:val="clear" w:color="auto" w:fill="auto"/>
            <w:noWrap/>
            <w:vAlign w:val="bottom"/>
            <w:hideMark/>
          </w:tcPr>
          <w:p w14:paraId="5CB1FED7"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Strong</w:t>
            </w:r>
          </w:p>
        </w:tc>
        <w:tc>
          <w:tcPr>
            <w:tcW w:w="1160" w:type="dxa"/>
            <w:tcBorders>
              <w:top w:val="nil"/>
              <w:left w:val="nil"/>
              <w:bottom w:val="nil"/>
              <w:right w:val="single" w:sz="4" w:space="0" w:color="auto"/>
            </w:tcBorders>
            <w:shd w:val="clear" w:color="auto" w:fill="auto"/>
            <w:noWrap/>
            <w:vAlign w:val="bottom"/>
            <w:hideMark/>
          </w:tcPr>
          <w:p w14:paraId="338A52B3"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r w:rsidR="005B548E" w:rsidRPr="005B548E" w14:paraId="7A23C9A3" w14:textId="77777777" w:rsidTr="005B548E">
        <w:trPr>
          <w:trHeight w:val="283"/>
        </w:trPr>
        <w:tc>
          <w:tcPr>
            <w:tcW w:w="3347" w:type="dxa"/>
            <w:tcBorders>
              <w:top w:val="nil"/>
              <w:left w:val="single" w:sz="4" w:space="0" w:color="auto"/>
              <w:bottom w:val="nil"/>
              <w:right w:val="single" w:sz="4" w:space="0" w:color="auto"/>
            </w:tcBorders>
            <w:shd w:val="clear" w:color="auto" w:fill="auto"/>
            <w:noWrap/>
            <w:vAlign w:val="bottom"/>
            <w:hideMark/>
          </w:tcPr>
          <w:p w14:paraId="20AE4F8A"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Perth - South East</w:t>
            </w:r>
          </w:p>
        </w:tc>
        <w:tc>
          <w:tcPr>
            <w:tcW w:w="2173" w:type="dxa"/>
            <w:tcBorders>
              <w:top w:val="nil"/>
              <w:left w:val="nil"/>
              <w:bottom w:val="nil"/>
              <w:right w:val="nil"/>
            </w:tcBorders>
            <w:shd w:val="clear" w:color="auto" w:fill="auto"/>
            <w:noWrap/>
            <w:vAlign w:val="bottom"/>
            <w:hideMark/>
          </w:tcPr>
          <w:p w14:paraId="5A2E1522"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bottom"/>
            <w:hideMark/>
          </w:tcPr>
          <w:p w14:paraId="34ED9570"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Average</w:t>
            </w:r>
          </w:p>
        </w:tc>
        <w:tc>
          <w:tcPr>
            <w:tcW w:w="1460" w:type="dxa"/>
            <w:tcBorders>
              <w:top w:val="nil"/>
              <w:left w:val="nil"/>
              <w:bottom w:val="nil"/>
              <w:right w:val="single" w:sz="4" w:space="0" w:color="auto"/>
            </w:tcBorders>
            <w:shd w:val="clear" w:color="auto" w:fill="auto"/>
            <w:noWrap/>
            <w:vAlign w:val="bottom"/>
            <w:hideMark/>
          </w:tcPr>
          <w:p w14:paraId="198ACC98"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Average</w:t>
            </w:r>
          </w:p>
        </w:tc>
        <w:tc>
          <w:tcPr>
            <w:tcW w:w="1160" w:type="dxa"/>
            <w:tcBorders>
              <w:top w:val="nil"/>
              <w:left w:val="nil"/>
              <w:bottom w:val="nil"/>
              <w:right w:val="single" w:sz="4" w:space="0" w:color="auto"/>
            </w:tcBorders>
            <w:shd w:val="clear" w:color="auto" w:fill="auto"/>
            <w:noWrap/>
            <w:vAlign w:val="bottom"/>
            <w:hideMark/>
          </w:tcPr>
          <w:p w14:paraId="7CD7B410"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r w:rsidR="005B548E" w:rsidRPr="005B548E" w14:paraId="018E9F0D" w14:textId="77777777" w:rsidTr="005B548E">
        <w:trPr>
          <w:trHeight w:val="283"/>
        </w:trPr>
        <w:tc>
          <w:tcPr>
            <w:tcW w:w="3347" w:type="dxa"/>
            <w:tcBorders>
              <w:top w:val="nil"/>
              <w:left w:val="single" w:sz="4" w:space="0" w:color="auto"/>
              <w:bottom w:val="nil"/>
              <w:right w:val="single" w:sz="4" w:space="0" w:color="auto"/>
            </w:tcBorders>
            <w:shd w:val="clear" w:color="auto" w:fill="auto"/>
            <w:noWrap/>
            <w:vAlign w:val="bottom"/>
            <w:hideMark/>
          </w:tcPr>
          <w:p w14:paraId="49FB6DEC"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Perth - South West</w:t>
            </w:r>
          </w:p>
        </w:tc>
        <w:tc>
          <w:tcPr>
            <w:tcW w:w="2173" w:type="dxa"/>
            <w:tcBorders>
              <w:top w:val="nil"/>
              <w:left w:val="nil"/>
              <w:bottom w:val="nil"/>
              <w:right w:val="nil"/>
            </w:tcBorders>
            <w:shd w:val="clear" w:color="auto" w:fill="auto"/>
            <w:noWrap/>
            <w:vAlign w:val="bottom"/>
            <w:hideMark/>
          </w:tcPr>
          <w:p w14:paraId="4DB4CC60"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bottom"/>
            <w:hideMark/>
          </w:tcPr>
          <w:p w14:paraId="2C117051"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Above average</w:t>
            </w:r>
          </w:p>
        </w:tc>
        <w:tc>
          <w:tcPr>
            <w:tcW w:w="1460" w:type="dxa"/>
            <w:tcBorders>
              <w:top w:val="nil"/>
              <w:left w:val="nil"/>
              <w:bottom w:val="nil"/>
              <w:right w:val="single" w:sz="4" w:space="0" w:color="auto"/>
            </w:tcBorders>
            <w:shd w:val="clear" w:color="auto" w:fill="auto"/>
            <w:noWrap/>
            <w:vAlign w:val="bottom"/>
            <w:hideMark/>
          </w:tcPr>
          <w:p w14:paraId="340EAD6A"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Above average</w:t>
            </w:r>
          </w:p>
        </w:tc>
        <w:tc>
          <w:tcPr>
            <w:tcW w:w="1160" w:type="dxa"/>
            <w:tcBorders>
              <w:top w:val="nil"/>
              <w:left w:val="nil"/>
              <w:bottom w:val="nil"/>
              <w:right w:val="single" w:sz="4" w:space="0" w:color="auto"/>
            </w:tcBorders>
            <w:shd w:val="clear" w:color="auto" w:fill="auto"/>
            <w:noWrap/>
            <w:vAlign w:val="bottom"/>
            <w:hideMark/>
          </w:tcPr>
          <w:p w14:paraId="321F9B1E"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r w:rsidR="005B548E" w:rsidRPr="005B548E" w14:paraId="2F70D6CF" w14:textId="77777777" w:rsidTr="005B548E">
        <w:trPr>
          <w:trHeight w:val="283"/>
        </w:trPr>
        <w:tc>
          <w:tcPr>
            <w:tcW w:w="3347" w:type="dxa"/>
            <w:tcBorders>
              <w:top w:val="nil"/>
              <w:left w:val="single" w:sz="4" w:space="0" w:color="auto"/>
              <w:bottom w:val="nil"/>
              <w:right w:val="single" w:sz="4" w:space="0" w:color="auto"/>
            </w:tcBorders>
            <w:shd w:val="clear" w:color="auto" w:fill="auto"/>
            <w:noWrap/>
            <w:vAlign w:val="bottom"/>
            <w:hideMark/>
          </w:tcPr>
          <w:p w14:paraId="57785E55"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Bunbury</w:t>
            </w:r>
          </w:p>
        </w:tc>
        <w:tc>
          <w:tcPr>
            <w:tcW w:w="2173" w:type="dxa"/>
            <w:tcBorders>
              <w:top w:val="nil"/>
              <w:left w:val="nil"/>
              <w:bottom w:val="nil"/>
              <w:right w:val="nil"/>
            </w:tcBorders>
            <w:shd w:val="clear" w:color="auto" w:fill="auto"/>
            <w:noWrap/>
            <w:vAlign w:val="bottom"/>
            <w:hideMark/>
          </w:tcPr>
          <w:p w14:paraId="3FC7CDF4"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Regional</w:t>
            </w:r>
          </w:p>
        </w:tc>
        <w:tc>
          <w:tcPr>
            <w:tcW w:w="1460" w:type="dxa"/>
            <w:tcBorders>
              <w:top w:val="nil"/>
              <w:left w:val="single" w:sz="4" w:space="0" w:color="auto"/>
              <w:bottom w:val="nil"/>
              <w:right w:val="single" w:sz="4" w:space="0" w:color="auto"/>
            </w:tcBorders>
            <w:shd w:val="clear" w:color="auto" w:fill="auto"/>
            <w:noWrap/>
            <w:vAlign w:val="bottom"/>
            <w:hideMark/>
          </w:tcPr>
          <w:p w14:paraId="6F34DE3B"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Above average</w:t>
            </w:r>
          </w:p>
        </w:tc>
        <w:tc>
          <w:tcPr>
            <w:tcW w:w="1460" w:type="dxa"/>
            <w:tcBorders>
              <w:top w:val="nil"/>
              <w:left w:val="nil"/>
              <w:bottom w:val="nil"/>
              <w:right w:val="single" w:sz="4" w:space="0" w:color="auto"/>
            </w:tcBorders>
            <w:shd w:val="clear" w:color="auto" w:fill="auto"/>
            <w:noWrap/>
            <w:vAlign w:val="bottom"/>
            <w:hideMark/>
          </w:tcPr>
          <w:p w14:paraId="5A3E8068"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Above average</w:t>
            </w:r>
          </w:p>
        </w:tc>
        <w:tc>
          <w:tcPr>
            <w:tcW w:w="1160" w:type="dxa"/>
            <w:tcBorders>
              <w:top w:val="nil"/>
              <w:left w:val="nil"/>
              <w:bottom w:val="nil"/>
              <w:right w:val="single" w:sz="4" w:space="0" w:color="auto"/>
            </w:tcBorders>
            <w:shd w:val="clear" w:color="auto" w:fill="auto"/>
            <w:noWrap/>
            <w:vAlign w:val="bottom"/>
            <w:hideMark/>
          </w:tcPr>
          <w:p w14:paraId="2AD1031A"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r w:rsidR="005B548E" w:rsidRPr="005B548E" w14:paraId="59718674" w14:textId="77777777" w:rsidTr="005B548E">
        <w:trPr>
          <w:trHeight w:val="283"/>
        </w:trPr>
        <w:tc>
          <w:tcPr>
            <w:tcW w:w="3347" w:type="dxa"/>
            <w:tcBorders>
              <w:top w:val="nil"/>
              <w:left w:val="single" w:sz="4" w:space="0" w:color="auto"/>
              <w:bottom w:val="nil"/>
              <w:right w:val="single" w:sz="4" w:space="0" w:color="auto"/>
            </w:tcBorders>
            <w:shd w:val="clear" w:color="auto" w:fill="auto"/>
            <w:noWrap/>
            <w:vAlign w:val="bottom"/>
            <w:hideMark/>
          </w:tcPr>
          <w:p w14:paraId="16ED9F4A" w14:textId="1D4D70E8"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Western Australia - Outback</w:t>
            </w:r>
          </w:p>
        </w:tc>
        <w:tc>
          <w:tcPr>
            <w:tcW w:w="2173" w:type="dxa"/>
            <w:tcBorders>
              <w:top w:val="nil"/>
              <w:left w:val="nil"/>
              <w:bottom w:val="nil"/>
              <w:right w:val="nil"/>
            </w:tcBorders>
            <w:shd w:val="clear" w:color="auto" w:fill="auto"/>
            <w:noWrap/>
            <w:vAlign w:val="bottom"/>
            <w:hideMark/>
          </w:tcPr>
          <w:p w14:paraId="3504966D"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Remote</w:t>
            </w:r>
          </w:p>
        </w:tc>
        <w:tc>
          <w:tcPr>
            <w:tcW w:w="1460" w:type="dxa"/>
            <w:tcBorders>
              <w:top w:val="nil"/>
              <w:left w:val="single" w:sz="4" w:space="0" w:color="auto"/>
              <w:bottom w:val="nil"/>
              <w:right w:val="single" w:sz="4" w:space="0" w:color="auto"/>
            </w:tcBorders>
            <w:shd w:val="clear" w:color="auto" w:fill="auto"/>
            <w:noWrap/>
            <w:vAlign w:val="bottom"/>
            <w:hideMark/>
          </w:tcPr>
          <w:p w14:paraId="0C0BA473"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Below average</w:t>
            </w:r>
          </w:p>
        </w:tc>
        <w:tc>
          <w:tcPr>
            <w:tcW w:w="1460" w:type="dxa"/>
            <w:tcBorders>
              <w:top w:val="nil"/>
              <w:left w:val="nil"/>
              <w:bottom w:val="nil"/>
              <w:right w:val="single" w:sz="4" w:space="0" w:color="auto"/>
            </w:tcBorders>
            <w:shd w:val="clear" w:color="auto" w:fill="auto"/>
            <w:noWrap/>
            <w:vAlign w:val="bottom"/>
            <w:hideMark/>
          </w:tcPr>
          <w:p w14:paraId="35B082E1"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Below average</w:t>
            </w:r>
          </w:p>
        </w:tc>
        <w:tc>
          <w:tcPr>
            <w:tcW w:w="1160" w:type="dxa"/>
            <w:tcBorders>
              <w:top w:val="nil"/>
              <w:left w:val="nil"/>
              <w:bottom w:val="nil"/>
              <w:right w:val="single" w:sz="4" w:space="0" w:color="auto"/>
            </w:tcBorders>
            <w:shd w:val="clear" w:color="auto" w:fill="auto"/>
            <w:noWrap/>
            <w:vAlign w:val="bottom"/>
            <w:hideMark/>
          </w:tcPr>
          <w:p w14:paraId="4F99C6EE"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r w:rsidR="005B548E" w:rsidRPr="005B548E" w14:paraId="1C76957C" w14:textId="77777777" w:rsidTr="005B548E">
        <w:trPr>
          <w:trHeight w:val="283"/>
        </w:trPr>
        <w:tc>
          <w:tcPr>
            <w:tcW w:w="3347" w:type="dxa"/>
            <w:tcBorders>
              <w:top w:val="nil"/>
              <w:left w:val="single" w:sz="4" w:space="0" w:color="auto"/>
              <w:bottom w:val="single" w:sz="4" w:space="0" w:color="auto"/>
              <w:right w:val="single" w:sz="4" w:space="0" w:color="auto"/>
            </w:tcBorders>
            <w:shd w:val="clear" w:color="auto" w:fill="auto"/>
            <w:noWrap/>
            <w:vAlign w:val="bottom"/>
            <w:hideMark/>
          </w:tcPr>
          <w:p w14:paraId="734002DA"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Western Australia - Wheat Belt</w:t>
            </w:r>
          </w:p>
        </w:tc>
        <w:tc>
          <w:tcPr>
            <w:tcW w:w="2173" w:type="dxa"/>
            <w:tcBorders>
              <w:top w:val="nil"/>
              <w:left w:val="nil"/>
              <w:bottom w:val="single" w:sz="4" w:space="0" w:color="auto"/>
              <w:right w:val="nil"/>
            </w:tcBorders>
            <w:shd w:val="clear" w:color="auto" w:fill="auto"/>
            <w:noWrap/>
            <w:vAlign w:val="bottom"/>
            <w:hideMark/>
          </w:tcPr>
          <w:p w14:paraId="79BA68EB"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Regional</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F57E5CB"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Average</w:t>
            </w:r>
          </w:p>
        </w:tc>
        <w:tc>
          <w:tcPr>
            <w:tcW w:w="1460" w:type="dxa"/>
            <w:tcBorders>
              <w:top w:val="nil"/>
              <w:left w:val="nil"/>
              <w:bottom w:val="single" w:sz="4" w:space="0" w:color="auto"/>
              <w:right w:val="single" w:sz="4" w:space="0" w:color="auto"/>
            </w:tcBorders>
            <w:shd w:val="clear" w:color="auto" w:fill="auto"/>
            <w:noWrap/>
            <w:vAlign w:val="bottom"/>
            <w:hideMark/>
          </w:tcPr>
          <w:p w14:paraId="6A17A8A3"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Average</w:t>
            </w:r>
          </w:p>
        </w:tc>
        <w:tc>
          <w:tcPr>
            <w:tcW w:w="1160" w:type="dxa"/>
            <w:tcBorders>
              <w:top w:val="nil"/>
              <w:left w:val="nil"/>
              <w:bottom w:val="single" w:sz="4" w:space="0" w:color="auto"/>
              <w:right w:val="single" w:sz="4" w:space="0" w:color="auto"/>
            </w:tcBorders>
            <w:shd w:val="clear" w:color="auto" w:fill="auto"/>
            <w:noWrap/>
            <w:vAlign w:val="bottom"/>
            <w:hideMark/>
          </w:tcPr>
          <w:p w14:paraId="28AD53DA"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r w:rsidR="005B548E" w:rsidRPr="005B548E" w14:paraId="347DF660" w14:textId="77777777" w:rsidTr="005B548E">
        <w:trPr>
          <w:trHeight w:val="283"/>
        </w:trPr>
        <w:tc>
          <w:tcPr>
            <w:tcW w:w="3347" w:type="dxa"/>
            <w:tcBorders>
              <w:top w:val="nil"/>
              <w:left w:val="single" w:sz="4" w:space="0" w:color="auto"/>
              <w:bottom w:val="nil"/>
              <w:right w:val="single" w:sz="4" w:space="0" w:color="auto"/>
            </w:tcBorders>
            <w:shd w:val="clear" w:color="auto" w:fill="auto"/>
            <w:noWrap/>
            <w:vAlign w:val="bottom"/>
            <w:hideMark/>
          </w:tcPr>
          <w:p w14:paraId="0C516DDF"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Hobart</w:t>
            </w:r>
          </w:p>
        </w:tc>
        <w:tc>
          <w:tcPr>
            <w:tcW w:w="2173" w:type="dxa"/>
            <w:tcBorders>
              <w:top w:val="nil"/>
              <w:left w:val="nil"/>
              <w:bottom w:val="nil"/>
              <w:right w:val="nil"/>
            </w:tcBorders>
            <w:shd w:val="clear" w:color="auto" w:fill="auto"/>
            <w:noWrap/>
            <w:vAlign w:val="bottom"/>
            <w:hideMark/>
          </w:tcPr>
          <w:p w14:paraId="2AF0C3DA"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Cities of Regional Australia</w:t>
            </w:r>
          </w:p>
        </w:tc>
        <w:tc>
          <w:tcPr>
            <w:tcW w:w="1460" w:type="dxa"/>
            <w:tcBorders>
              <w:top w:val="nil"/>
              <w:left w:val="single" w:sz="4" w:space="0" w:color="auto"/>
              <w:bottom w:val="nil"/>
              <w:right w:val="single" w:sz="4" w:space="0" w:color="auto"/>
            </w:tcBorders>
            <w:shd w:val="clear" w:color="auto" w:fill="auto"/>
            <w:noWrap/>
            <w:vAlign w:val="bottom"/>
            <w:hideMark/>
          </w:tcPr>
          <w:p w14:paraId="719652BE"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Average</w:t>
            </w:r>
          </w:p>
        </w:tc>
        <w:tc>
          <w:tcPr>
            <w:tcW w:w="1460" w:type="dxa"/>
            <w:tcBorders>
              <w:top w:val="nil"/>
              <w:left w:val="nil"/>
              <w:bottom w:val="nil"/>
              <w:right w:val="single" w:sz="4" w:space="0" w:color="auto"/>
            </w:tcBorders>
            <w:shd w:val="clear" w:color="auto" w:fill="auto"/>
            <w:noWrap/>
            <w:vAlign w:val="bottom"/>
            <w:hideMark/>
          </w:tcPr>
          <w:p w14:paraId="2EF126FB"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Average</w:t>
            </w:r>
          </w:p>
        </w:tc>
        <w:tc>
          <w:tcPr>
            <w:tcW w:w="1160" w:type="dxa"/>
            <w:tcBorders>
              <w:top w:val="nil"/>
              <w:left w:val="nil"/>
              <w:bottom w:val="nil"/>
              <w:right w:val="single" w:sz="4" w:space="0" w:color="auto"/>
            </w:tcBorders>
            <w:shd w:val="clear" w:color="auto" w:fill="auto"/>
            <w:noWrap/>
            <w:vAlign w:val="bottom"/>
            <w:hideMark/>
          </w:tcPr>
          <w:p w14:paraId="74712AA5"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r w:rsidR="005B548E" w:rsidRPr="005B548E" w14:paraId="2FC671C8" w14:textId="77777777" w:rsidTr="005B548E">
        <w:trPr>
          <w:trHeight w:val="283"/>
        </w:trPr>
        <w:tc>
          <w:tcPr>
            <w:tcW w:w="3347" w:type="dxa"/>
            <w:tcBorders>
              <w:top w:val="nil"/>
              <w:left w:val="single" w:sz="4" w:space="0" w:color="auto"/>
              <w:bottom w:val="nil"/>
              <w:right w:val="single" w:sz="4" w:space="0" w:color="auto"/>
            </w:tcBorders>
            <w:shd w:val="clear" w:color="auto" w:fill="auto"/>
            <w:noWrap/>
            <w:vAlign w:val="bottom"/>
            <w:hideMark/>
          </w:tcPr>
          <w:p w14:paraId="5F619338"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Launceston and North East</w:t>
            </w:r>
          </w:p>
        </w:tc>
        <w:tc>
          <w:tcPr>
            <w:tcW w:w="2173" w:type="dxa"/>
            <w:tcBorders>
              <w:top w:val="nil"/>
              <w:left w:val="nil"/>
              <w:bottom w:val="nil"/>
              <w:right w:val="nil"/>
            </w:tcBorders>
            <w:shd w:val="clear" w:color="auto" w:fill="auto"/>
            <w:noWrap/>
            <w:vAlign w:val="bottom"/>
            <w:hideMark/>
          </w:tcPr>
          <w:p w14:paraId="3D59BD16"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Regional</w:t>
            </w:r>
          </w:p>
        </w:tc>
        <w:tc>
          <w:tcPr>
            <w:tcW w:w="1460" w:type="dxa"/>
            <w:tcBorders>
              <w:top w:val="nil"/>
              <w:left w:val="single" w:sz="4" w:space="0" w:color="auto"/>
              <w:bottom w:val="nil"/>
              <w:right w:val="single" w:sz="4" w:space="0" w:color="auto"/>
            </w:tcBorders>
            <w:shd w:val="clear" w:color="auto" w:fill="auto"/>
            <w:noWrap/>
            <w:vAlign w:val="bottom"/>
            <w:hideMark/>
          </w:tcPr>
          <w:p w14:paraId="36B7C47E"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Below average</w:t>
            </w:r>
          </w:p>
        </w:tc>
        <w:tc>
          <w:tcPr>
            <w:tcW w:w="1460" w:type="dxa"/>
            <w:tcBorders>
              <w:top w:val="nil"/>
              <w:left w:val="nil"/>
              <w:bottom w:val="nil"/>
              <w:right w:val="single" w:sz="4" w:space="0" w:color="auto"/>
            </w:tcBorders>
            <w:shd w:val="clear" w:color="auto" w:fill="auto"/>
            <w:noWrap/>
            <w:vAlign w:val="bottom"/>
            <w:hideMark/>
          </w:tcPr>
          <w:p w14:paraId="42F9E4E6"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Below average</w:t>
            </w:r>
          </w:p>
        </w:tc>
        <w:tc>
          <w:tcPr>
            <w:tcW w:w="1160" w:type="dxa"/>
            <w:tcBorders>
              <w:top w:val="nil"/>
              <w:left w:val="nil"/>
              <w:bottom w:val="nil"/>
              <w:right w:val="single" w:sz="4" w:space="0" w:color="auto"/>
            </w:tcBorders>
            <w:shd w:val="clear" w:color="auto" w:fill="auto"/>
            <w:noWrap/>
            <w:vAlign w:val="bottom"/>
            <w:hideMark/>
          </w:tcPr>
          <w:p w14:paraId="07CF1E34"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r w:rsidR="005B548E" w:rsidRPr="005B548E" w14:paraId="24179113" w14:textId="77777777" w:rsidTr="005B548E">
        <w:trPr>
          <w:trHeight w:val="283"/>
        </w:trPr>
        <w:tc>
          <w:tcPr>
            <w:tcW w:w="3347" w:type="dxa"/>
            <w:tcBorders>
              <w:top w:val="nil"/>
              <w:left w:val="single" w:sz="4" w:space="0" w:color="auto"/>
              <w:bottom w:val="nil"/>
              <w:right w:val="single" w:sz="4" w:space="0" w:color="auto"/>
            </w:tcBorders>
            <w:shd w:val="clear" w:color="auto" w:fill="auto"/>
            <w:noWrap/>
            <w:vAlign w:val="bottom"/>
            <w:hideMark/>
          </w:tcPr>
          <w:p w14:paraId="6B07C4AB"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Tasmania - South East</w:t>
            </w:r>
          </w:p>
        </w:tc>
        <w:tc>
          <w:tcPr>
            <w:tcW w:w="2173" w:type="dxa"/>
            <w:tcBorders>
              <w:top w:val="nil"/>
              <w:left w:val="nil"/>
              <w:bottom w:val="nil"/>
              <w:right w:val="nil"/>
            </w:tcBorders>
            <w:shd w:val="clear" w:color="auto" w:fill="auto"/>
            <w:noWrap/>
            <w:vAlign w:val="bottom"/>
            <w:hideMark/>
          </w:tcPr>
          <w:p w14:paraId="2410CB1C"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Regional</w:t>
            </w:r>
          </w:p>
        </w:tc>
        <w:tc>
          <w:tcPr>
            <w:tcW w:w="1460" w:type="dxa"/>
            <w:tcBorders>
              <w:top w:val="nil"/>
              <w:left w:val="single" w:sz="4" w:space="0" w:color="auto"/>
              <w:bottom w:val="nil"/>
              <w:right w:val="single" w:sz="4" w:space="0" w:color="auto"/>
            </w:tcBorders>
            <w:shd w:val="clear" w:color="auto" w:fill="auto"/>
            <w:noWrap/>
            <w:vAlign w:val="bottom"/>
            <w:hideMark/>
          </w:tcPr>
          <w:p w14:paraId="334CB5BB"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Poor</w:t>
            </w:r>
          </w:p>
        </w:tc>
        <w:tc>
          <w:tcPr>
            <w:tcW w:w="1460" w:type="dxa"/>
            <w:tcBorders>
              <w:top w:val="nil"/>
              <w:left w:val="nil"/>
              <w:bottom w:val="nil"/>
              <w:right w:val="single" w:sz="4" w:space="0" w:color="auto"/>
            </w:tcBorders>
            <w:shd w:val="clear" w:color="auto" w:fill="auto"/>
            <w:noWrap/>
            <w:vAlign w:val="bottom"/>
            <w:hideMark/>
          </w:tcPr>
          <w:p w14:paraId="20E4A87E"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Poor</w:t>
            </w:r>
          </w:p>
        </w:tc>
        <w:tc>
          <w:tcPr>
            <w:tcW w:w="1160" w:type="dxa"/>
            <w:tcBorders>
              <w:top w:val="nil"/>
              <w:left w:val="nil"/>
              <w:bottom w:val="nil"/>
              <w:right w:val="single" w:sz="4" w:space="0" w:color="auto"/>
            </w:tcBorders>
            <w:shd w:val="clear" w:color="auto" w:fill="auto"/>
            <w:noWrap/>
            <w:vAlign w:val="bottom"/>
            <w:hideMark/>
          </w:tcPr>
          <w:p w14:paraId="7F20B047"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r w:rsidR="005B548E" w:rsidRPr="005B548E" w14:paraId="31B16633" w14:textId="77777777" w:rsidTr="005B548E">
        <w:trPr>
          <w:trHeight w:val="283"/>
        </w:trPr>
        <w:tc>
          <w:tcPr>
            <w:tcW w:w="3347" w:type="dxa"/>
            <w:tcBorders>
              <w:top w:val="nil"/>
              <w:left w:val="single" w:sz="4" w:space="0" w:color="auto"/>
              <w:bottom w:val="single" w:sz="4" w:space="0" w:color="auto"/>
              <w:right w:val="single" w:sz="4" w:space="0" w:color="auto"/>
            </w:tcBorders>
            <w:shd w:val="clear" w:color="auto" w:fill="auto"/>
            <w:noWrap/>
            <w:vAlign w:val="bottom"/>
            <w:hideMark/>
          </w:tcPr>
          <w:p w14:paraId="3725545A"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Tasmania - West and North West</w:t>
            </w:r>
          </w:p>
        </w:tc>
        <w:tc>
          <w:tcPr>
            <w:tcW w:w="2173" w:type="dxa"/>
            <w:tcBorders>
              <w:top w:val="nil"/>
              <w:left w:val="nil"/>
              <w:bottom w:val="single" w:sz="4" w:space="0" w:color="auto"/>
              <w:right w:val="nil"/>
            </w:tcBorders>
            <w:shd w:val="clear" w:color="auto" w:fill="auto"/>
            <w:noWrap/>
            <w:vAlign w:val="bottom"/>
            <w:hideMark/>
          </w:tcPr>
          <w:p w14:paraId="2E21E15B"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Remote</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64CF1FAC"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Poor</w:t>
            </w:r>
          </w:p>
        </w:tc>
        <w:tc>
          <w:tcPr>
            <w:tcW w:w="1460" w:type="dxa"/>
            <w:tcBorders>
              <w:top w:val="nil"/>
              <w:left w:val="nil"/>
              <w:bottom w:val="single" w:sz="4" w:space="0" w:color="auto"/>
              <w:right w:val="single" w:sz="4" w:space="0" w:color="auto"/>
            </w:tcBorders>
            <w:shd w:val="clear" w:color="auto" w:fill="auto"/>
            <w:noWrap/>
            <w:vAlign w:val="bottom"/>
            <w:hideMark/>
          </w:tcPr>
          <w:p w14:paraId="78FEEB7D"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Poor</w:t>
            </w:r>
          </w:p>
        </w:tc>
        <w:tc>
          <w:tcPr>
            <w:tcW w:w="1160" w:type="dxa"/>
            <w:tcBorders>
              <w:top w:val="nil"/>
              <w:left w:val="nil"/>
              <w:bottom w:val="single" w:sz="4" w:space="0" w:color="auto"/>
              <w:right w:val="single" w:sz="4" w:space="0" w:color="auto"/>
            </w:tcBorders>
            <w:shd w:val="clear" w:color="auto" w:fill="auto"/>
            <w:noWrap/>
            <w:vAlign w:val="bottom"/>
            <w:hideMark/>
          </w:tcPr>
          <w:p w14:paraId="669D0ABA"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r w:rsidR="005B548E" w:rsidRPr="005B548E" w14:paraId="08EFABF3" w14:textId="77777777" w:rsidTr="005B548E">
        <w:trPr>
          <w:trHeight w:val="283"/>
        </w:trPr>
        <w:tc>
          <w:tcPr>
            <w:tcW w:w="3347" w:type="dxa"/>
            <w:tcBorders>
              <w:top w:val="nil"/>
              <w:left w:val="single" w:sz="4" w:space="0" w:color="auto"/>
              <w:bottom w:val="nil"/>
              <w:right w:val="single" w:sz="4" w:space="0" w:color="auto"/>
            </w:tcBorders>
            <w:shd w:val="clear" w:color="auto" w:fill="auto"/>
            <w:noWrap/>
            <w:vAlign w:val="bottom"/>
            <w:hideMark/>
          </w:tcPr>
          <w:p w14:paraId="7DAA8A31"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Darwin</w:t>
            </w:r>
          </w:p>
        </w:tc>
        <w:tc>
          <w:tcPr>
            <w:tcW w:w="2173" w:type="dxa"/>
            <w:tcBorders>
              <w:top w:val="nil"/>
              <w:left w:val="nil"/>
              <w:bottom w:val="nil"/>
              <w:right w:val="nil"/>
            </w:tcBorders>
            <w:shd w:val="clear" w:color="auto" w:fill="auto"/>
            <w:noWrap/>
            <w:vAlign w:val="bottom"/>
            <w:hideMark/>
          </w:tcPr>
          <w:p w14:paraId="12846793"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Cities of Regional Australia</w:t>
            </w:r>
          </w:p>
        </w:tc>
        <w:tc>
          <w:tcPr>
            <w:tcW w:w="1460" w:type="dxa"/>
            <w:tcBorders>
              <w:top w:val="nil"/>
              <w:left w:val="single" w:sz="4" w:space="0" w:color="auto"/>
              <w:bottom w:val="nil"/>
              <w:right w:val="single" w:sz="4" w:space="0" w:color="auto"/>
            </w:tcBorders>
            <w:shd w:val="clear" w:color="auto" w:fill="auto"/>
            <w:noWrap/>
            <w:vAlign w:val="bottom"/>
            <w:hideMark/>
          </w:tcPr>
          <w:p w14:paraId="7C8629EC"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Strong</w:t>
            </w:r>
          </w:p>
        </w:tc>
        <w:tc>
          <w:tcPr>
            <w:tcW w:w="1460" w:type="dxa"/>
            <w:tcBorders>
              <w:top w:val="nil"/>
              <w:left w:val="nil"/>
              <w:bottom w:val="nil"/>
              <w:right w:val="single" w:sz="4" w:space="0" w:color="auto"/>
            </w:tcBorders>
            <w:shd w:val="clear" w:color="auto" w:fill="auto"/>
            <w:noWrap/>
            <w:vAlign w:val="bottom"/>
            <w:hideMark/>
          </w:tcPr>
          <w:p w14:paraId="4203336D"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Strong</w:t>
            </w:r>
          </w:p>
        </w:tc>
        <w:tc>
          <w:tcPr>
            <w:tcW w:w="1160" w:type="dxa"/>
            <w:tcBorders>
              <w:top w:val="nil"/>
              <w:left w:val="nil"/>
              <w:bottom w:val="nil"/>
              <w:right w:val="single" w:sz="4" w:space="0" w:color="auto"/>
            </w:tcBorders>
            <w:shd w:val="clear" w:color="auto" w:fill="auto"/>
            <w:noWrap/>
            <w:vAlign w:val="bottom"/>
            <w:hideMark/>
          </w:tcPr>
          <w:p w14:paraId="0FD8BDA2"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r w:rsidR="005B548E" w:rsidRPr="005B548E" w14:paraId="54E48D36" w14:textId="77777777" w:rsidTr="005B548E">
        <w:trPr>
          <w:trHeight w:val="283"/>
        </w:trPr>
        <w:tc>
          <w:tcPr>
            <w:tcW w:w="3347" w:type="dxa"/>
            <w:tcBorders>
              <w:top w:val="nil"/>
              <w:left w:val="single" w:sz="4" w:space="0" w:color="auto"/>
              <w:bottom w:val="single" w:sz="4" w:space="0" w:color="auto"/>
              <w:right w:val="single" w:sz="4" w:space="0" w:color="auto"/>
            </w:tcBorders>
            <w:shd w:val="clear" w:color="auto" w:fill="auto"/>
            <w:noWrap/>
            <w:vAlign w:val="bottom"/>
            <w:hideMark/>
          </w:tcPr>
          <w:p w14:paraId="6DA43050"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Northern Territory - Outback</w:t>
            </w:r>
          </w:p>
        </w:tc>
        <w:tc>
          <w:tcPr>
            <w:tcW w:w="2173" w:type="dxa"/>
            <w:tcBorders>
              <w:top w:val="nil"/>
              <w:left w:val="nil"/>
              <w:bottom w:val="single" w:sz="4" w:space="0" w:color="auto"/>
              <w:right w:val="nil"/>
            </w:tcBorders>
            <w:shd w:val="clear" w:color="auto" w:fill="auto"/>
            <w:noWrap/>
            <w:vAlign w:val="bottom"/>
            <w:hideMark/>
          </w:tcPr>
          <w:p w14:paraId="4EDE5F41"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Remote</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43F9138F"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Poor</w:t>
            </w:r>
          </w:p>
        </w:tc>
        <w:tc>
          <w:tcPr>
            <w:tcW w:w="1460" w:type="dxa"/>
            <w:tcBorders>
              <w:top w:val="nil"/>
              <w:left w:val="nil"/>
              <w:bottom w:val="single" w:sz="4" w:space="0" w:color="auto"/>
              <w:right w:val="single" w:sz="4" w:space="0" w:color="auto"/>
            </w:tcBorders>
            <w:shd w:val="clear" w:color="auto" w:fill="auto"/>
            <w:noWrap/>
            <w:vAlign w:val="bottom"/>
            <w:hideMark/>
          </w:tcPr>
          <w:p w14:paraId="457031B6"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Poor</w:t>
            </w:r>
          </w:p>
        </w:tc>
        <w:tc>
          <w:tcPr>
            <w:tcW w:w="1160" w:type="dxa"/>
            <w:tcBorders>
              <w:top w:val="nil"/>
              <w:left w:val="nil"/>
              <w:bottom w:val="single" w:sz="4" w:space="0" w:color="auto"/>
              <w:right w:val="single" w:sz="4" w:space="0" w:color="auto"/>
            </w:tcBorders>
            <w:shd w:val="clear" w:color="auto" w:fill="auto"/>
            <w:noWrap/>
            <w:vAlign w:val="bottom"/>
            <w:hideMark/>
          </w:tcPr>
          <w:p w14:paraId="7C2FE802"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r w:rsidR="005B548E" w:rsidRPr="005B548E" w14:paraId="3173A394" w14:textId="77777777" w:rsidTr="005B548E">
        <w:trPr>
          <w:trHeight w:val="283"/>
        </w:trPr>
        <w:tc>
          <w:tcPr>
            <w:tcW w:w="3347" w:type="dxa"/>
            <w:tcBorders>
              <w:top w:val="nil"/>
              <w:left w:val="single" w:sz="4" w:space="0" w:color="auto"/>
              <w:bottom w:val="single" w:sz="4" w:space="0" w:color="auto"/>
              <w:right w:val="single" w:sz="4" w:space="0" w:color="auto"/>
            </w:tcBorders>
            <w:shd w:val="clear" w:color="auto" w:fill="auto"/>
            <w:noWrap/>
            <w:vAlign w:val="bottom"/>
            <w:hideMark/>
          </w:tcPr>
          <w:p w14:paraId="5F0A2D74"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Australian Capital Territory</w:t>
            </w:r>
          </w:p>
        </w:tc>
        <w:tc>
          <w:tcPr>
            <w:tcW w:w="2173" w:type="dxa"/>
            <w:tcBorders>
              <w:top w:val="nil"/>
              <w:left w:val="nil"/>
              <w:bottom w:val="single" w:sz="4" w:space="0" w:color="auto"/>
              <w:right w:val="nil"/>
            </w:tcBorders>
            <w:shd w:val="clear" w:color="auto" w:fill="auto"/>
            <w:noWrap/>
            <w:vAlign w:val="bottom"/>
            <w:hideMark/>
          </w:tcPr>
          <w:p w14:paraId="247E9701" w14:textId="77777777" w:rsidR="005B548E" w:rsidRPr="005B548E" w:rsidRDefault="005B548E" w:rsidP="005B548E">
            <w:pPr>
              <w:spacing w:after="0" w:line="240" w:lineRule="auto"/>
              <w:rPr>
                <w:rFonts w:eastAsia="Times New Roman" w:cs="Arial"/>
                <w:color w:val="000000"/>
                <w:sz w:val="16"/>
                <w:szCs w:val="16"/>
                <w:lang w:eastAsia="en-AU"/>
              </w:rPr>
            </w:pPr>
            <w:r w:rsidRPr="005B548E">
              <w:rPr>
                <w:rFonts w:eastAsia="Times New Roman" w:cs="Arial"/>
                <w:color w:val="000000"/>
                <w:sz w:val="16"/>
                <w:szCs w:val="16"/>
                <w:lang w:eastAsia="en-AU"/>
              </w:rPr>
              <w:t>Major City</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2773CF5E"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Strong</w:t>
            </w:r>
          </w:p>
        </w:tc>
        <w:tc>
          <w:tcPr>
            <w:tcW w:w="1460" w:type="dxa"/>
            <w:tcBorders>
              <w:top w:val="nil"/>
              <w:left w:val="nil"/>
              <w:bottom w:val="single" w:sz="4" w:space="0" w:color="auto"/>
              <w:right w:val="single" w:sz="4" w:space="0" w:color="auto"/>
            </w:tcBorders>
            <w:shd w:val="clear" w:color="auto" w:fill="auto"/>
            <w:noWrap/>
            <w:vAlign w:val="bottom"/>
            <w:hideMark/>
          </w:tcPr>
          <w:p w14:paraId="20E70000"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Strong</w:t>
            </w:r>
          </w:p>
        </w:tc>
        <w:tc>
          <w:tcPr>
            <w:tcW w:w="1160" w:type="dxa"/>
            <w:tcBorders>
              <w:top w:val="nil"/>
              <w:left w:val="nil"/>
              <w:bottom w:val="single" w:sz="4" w:space="0" w:color="auto"/>
              <w:right w:val="single" w:sz="4" w:space="0" w:color="auto"/>
            </w:tcBorders>
            <w:shd w:val="clear" w:color="auto" w:fill="auto"/>
            <w:noWrap/>
            <w:vAlign w:val="bottom"/>
            <w:hideMark/>
          </w:tcPr>
          <w:p w14:paraId="58F7B1FA" w14:textId="77777777" w:rsidR="005B548E" w:rsidRPr="005B548E" w:rsidRDefault="005B548E" w:rsidP="005B548E">
            <w:pPr>
              <w:spacing w:after="0" w:line="240" w:lineRule="auto"/>
              <w:jc w:val="center"/>
              <w:rPr>
                <w:rFonts w:eastAsia="Times New Roman" w:cs="Arial"/>
                <w:color w:val="000000"/>
                <w:sz w:val="16"/>
                <w:szCs w:val="16"/>
                <w:lang w:eastAsia="en-AU"/>
              </w:rPr>
            </w:pPr>
            <w:r w:rsidRPr="005B548E">
              <w:rPr>
                <w:rFonts w:eastAsia="Times New Roman" w:cs="Arial"/>
                <w:color w:val="000000"/>
                <w:sz w:val="16"/>
                <w:szCs w:val="16"/>
                <w:lang w:eastAsia="en-AU"/>
              </w:rPr>
              <w:t>Stable</w:t>
            </w:r>
          </w:p>
        </w:tc>
      </w:tr>
    </w:tbl>
    <w:p w14:paraId="07BF7453" w14:textId="126BF203" w:rsidR="00076490" w:rsidRPr="005B548E" w:rsidRDefault="00076490" w:rsidP="005B548E">
      <w:pPr>
        <w:rPr>
          <w:i/>
          <w:iCs/>
          <w:sz w:val="18"/>
          <w:szCs w:val="18"/>
        </w:rPr>
      </w:pPr>
      <w:r w:rsidRPr="005B548E">
        <w:rPr>
          <w:i/>
          <w:iCs/>
          <w:sz w:val="18"/>
          <w:szCs w:val="18"/>
        </w:rPr>
        <w:t xml:space="preserve">Source: JSA, Regional Labour Market Indicator (RLMI), </w:t>
      </w:r>
      <w:r w:rsidR="005B548E" w:rsidRPr="005B548E">
        <w:rPr>
          <w:i/>
          <w:iCs/>
          <w:sz w:val="18"/>
          <w:szCs w:val="18"/>
        </w:rPr>
        <w:t>June</w:t>
      </w:r>
      <w:r w:rsidRPr="005B548E">
        <w:rPr>
          <w:i/>
          <w:iCs/>
          <w:sz w:val="18"/>
          <w:szCs w:val="18"/>
        </w:rPr>
        <w:t xml:space="preserve"> 2025</w:t>
      </w:r>
    </w:p>
    <w:p w14:paraId="0AE77DF3" w14:textId="77777777" w:rsidR="00436200" w:rsidRDefault="00436200" w:rsidP="00FF2A2C"/>
    <w:p w14:paraId="24DE3183" w14:textId="77777777" w:rsidR="007D069F" w:rsidRDefault="007D069F" w:rsidP="00FF2A2C"/>
    <w:p w14:paraId="504C9DFB" w14:textId="77777777" w:rsidR="007D069F" w:rsidRDefault="007D069F" w:rsidP="00FF2A2C"/>
    <w:p w14:paraId="3C08963A" w14:textId="77777777" w:rsidR="007D069F" w:rsidRDefault="007D069F" w:rsidP="00FF2A2C"/>
    <w:p w14:paraId="0850E071" w14:textId="77777777" w:rsidR="007D069F" w:rsidRDefault="007D069F" w:rsidP="00FF2A2C"/>
    <w:p w14:paraId="0573EB2E" w14:textId="65A940CB" w:rsidR="00C14AB0" w:rsidRDefault="00C15510" w:rsidP="003539A0">
      <w:pPr>
        <w:pStyle w:val="Heading2"/>
        <w:keepNext w:val="0"/>
        <w:keepLines w:val="0"/>
      </w:pPr>
      <w:r>
        <w:lastRenderedPageBreak/>
        <w:t>R</w:t>
      </w:r>
      <w:r w:rsidR="00C877C1">
        <w:t xml:space="preserve">LMI </w:t>
      </w:r>
      <w:r w:rsidR="00C14AB0">
        <w:t>Explanatory Notes</w:t>
      </w:r>
    </w:p>
    <w:p w14:paraId="02D2FA36" w14:textId="4EEF30EE" w:rsidR="00C877C1" w:rsidRPr="00A070B7" w:rsidRDefault="004302C6" w:rsidP="00C877C1">
      <w:pPr>
        <w:pStyle w:val="Heading3"/>
      </w:pPr>
      <w:r>
        <w:t>Overview</w:t>
      </w:r>
    </w:p>
    <w:p w14:paraId="0D9D5288" w14:textId="77777777" w:rsidR="005D78A7" w:rsidRDefault="004302C6" w:rsidP="00D56322">
      <w:pPr>
        <w:pStyle w:val="Bodycopy"/>
      </w:pPr>
      <w:r>
        <w:t xml:space="preserve">The </w:t>
      </w:r>
      <w:r w:rsidR="00C877C1" w:rsidRPr="00C877C1">
        <w:t>Regional Labour Market Indicator (RLMI) combines key indicators of spare labour market capacity, from both an employee and employer perspective, into a single, and easy to interpret, summary measure</w:t>
      </w:r>
      <w:r w:rsidR="00A95CBF">
        <w:t xml:space="preserve">. </w:t>
      </w:r>
    </w:p>
    <w:p w14:paraId="65317624" w14:textId="77777777" w:rsidR="005D78A7" w:rsidRDefault="00A95CBF" w:rsidP="00D56322">
      <w:pPr>
        <w:pStyle w:val="Bodycopy"/>
      </w:pPr>
      <w:r>
        <w:t>R</w:t>
      </w:r>
      <w:r w:rsidR="00C877C1" w:rsidRPr="00C877C1">
        <w:t xml:space="preserve">egions </w:t>
      </w:r>
      <w:r>
        <w:t xml:space="preserve">are </w:t>
      </w:r>
      <w:r w:rsidR="00C877C1" w:rsidRPr="00C877C1">
        <w:t>grouped into distinct categories of overall labour market performance, ranging from ‘poor’ to ‘strong’</w:t>
      </w:r>
      <w:r>
        <w:t>,</w:t>
      </w:r>
      <w:r w:rsidR="00C877C1" w:rsidRPr="00C877C1">
        <w:t xml:space="preserve"> which provides an accurate and reliable view of labour market performance</w:t>
      </w:r>
      <w:r w:rsidR="00BE1900">
        <w:t>, relative to the national average</w:t>
      </w:r>
      <w:r w:rsidR="00C877C1" w:rsidRPr="00C877C1">
        <w:t xml:space="preserve">. </w:t>
      </w:r>
    </w:p>
    <w:p w14:paraId="10B94B6C" w14:textId="6773EBFF" w:rsidR="00C877C1" w:rsidRPr="00C877C1" w:rsidRDefault="00C877C1" w:rsidP="00D56322">
      <w:pPr>
        <w:pStyle w:val="Bodycopy"/>
      </w:pPr>
      <w:r w:rsidRPr="00C877C1">
        <w:t>A strong labour market, that is characterised by a high rate of employment, where employment opportunities are extended to all who want them, is central to a strong economy and prosperous and inclusive society.</w:t>
      </w:r>
    </w:p>
    <w:p w14:paraId="65C636F2" w14:textId="4A9153D1" w:rsidR="00C877C1" w:rsidRPr="00C877C1" w:rsidRDefault="00762464" w:rsidP="00C877C1">
      <w:pPr>
        <w:keepNext/>
        <w:keepLines/>
        <w:spacing w:before="120" w:after="120" w:line="23" w:lineRule="atLeast"/>
        <w:outlineLvl w:val="2"/>
        <w:rPr>
          <w:rFonts w:eastAsia="Times New Roman" w:cs="Times New Roman"/>
          <w:b/>
          <w:color w:val="4B0885"/>
          <w:sz w:val="26"/>
          <w:szCs w:val="24"/>
        </w:rPr>
      </w:pPr>
      <w:r>
        <w:rPr>
          <w:rFonts w:eastAsia="Times New Roman" w:cs="Times New Roman"/>
          <w:b/>
          <w:color w:val="4B0885"/>
          <w:sz w:val="26"/>
          <w:szCs w:val="24"/>
        </w:rPr>
        <w:t>Factors used to assess labour market performance</w:t>
      </w:r>
    </w:p>
    <w:p w14:paraId="25CB117E" w14:textId="184F581E" w:rsidR="00C877C1" w:rsidRPr="00C877C1" w:rsidRDefault="00C877C1" w:rsidP="00D56322">
      <w:pPr>
        <w:pStyle w:val="Bodycopy"/>
      </w:pPr>
      <w:r w:rsidRPr="00C877C1">
        <w:t xml:space="preserve">The </w:t>
      </w:r>
      <w:r w:rsidRPr="00C877C1">
        <w:rPr>
          <w:b/>
          <w:bCs/>
        </w:rPr>
        <w:t>working age (15-64 years) employment rate</w:t>
      </w:r>
      <w:r w:rsidR="005863D9" w:rsidRPr="00D02BA0">
        <w:rPr>
          <w:rStyle w:val="FootnoteReference"/>
          <w:rFonts w:asciiTheme="majorHAnsi" w:hAnsiTheme="majorHAnsi" w:cstheme="majorHAnsi"/>
        </w:rPr>
        <w:footnoteReference w:id="6"/>
      </w:r>
      <w:r w:rsidRPr="00C877C1">
        <w:t xml:space="preserve"> is one of the most commonly used indicators for understanding conditions in the labour market and is a key measure of </w:t>
      </w:r>
      <w:r w:rsidR="00876508">
        <w:t>performance</w:t>
      </w:r>
      <w:r w:rsidRPr="00C877C1">
        <w:t xml:space="preserve">. It provides an insight into the extent to which available labour (some individual’s personal circumstances may prevent them from participating in the labour market) is being used and is unaffected by voluntary changes in labour force participation. </w:t>
      </w:r>
    </w:p>
    <w:p w14:paraId="7A6AD5E1" w14:textId="4A9C2C99" w:rsidR="00C877C1" w:rsidRPr="00C877C1" w:rsidRDefault="00C877C1" w:rsidP="00D56322">
      <w:pPr>
        <w:pStyle w:val="Bodycopy"/>
      </w:pPr>
      <w:r w:rsidRPr="0069561E">
        <w:t xml:space="preserve">Along with the employment rate, the </w:t>
      </w:r>
      <w:r w:rsidRPr="0069561E">
        <w:rPr>
          <w:b/>
          <w:bCs/>
        </w:rPr>
        <w:t>unemployment rate</w:t>
      </w:r>
      <w:r w:rsidRPr="0069561E">
        <w:t xml:space="preserve"> is one of the most commonly used indicators for understanding conditions in the labour market and is a key measure of spare capacity. It provides insights into the availability of unused labour that is willing and available for work.</w:t>
      </w:r>
      <w:r w:rsidRPr="00C877C1">
        <w:t xml:space="preserve"> </w:t>
      </w:r>
    </w:p>
    <w:p w14:paraId="6F9C0109" w14:textId="77777777" w:rsidR="00C877C1" w:rsidRPr="00C877C1" w:rsidRDefault="00C877C1" w:rsidP="00D56322">
      <w:pPr>
        <w:pStyle w:val="Bodycopy"/>
      </w:pPr>
      <w:r w:rsidRPr="00C877C1">
        <w:t xml:space="preserve">The </w:t>
      </w:r>
      <w:r w:rsidRPr="00C877C1">
        <w:rPr>
          <w:b/>
          <w:bCs/>
        </w:rPr>
        <w:t>JobSeeker income support rate</w:t>
      </w:r>
      <w:r w:rsidRPr="00C877C1">
        <w:t xml:space="preserve"> is a reliable measure of spare capacity in the labour market and is an important complement to other measures of spare capacity. It is a combination of the JobSeeker payment and Youth Allowance (other) payment, measured as a proportion of the working age population. These payments are designed to provide financial assistance to support those looking for working, including those who may be working part-time. </w:t>
      </w:r>
    </w:p>
    <w:p w14:paraId="4EE0B07A" w14:textId="0FEC7B20" w:rsidR="00C877C1" w:rsidRPr="00C877C1" w:rsidRDefault="00C877C1" w:rsidP="00D56322">
      <w:pPr>
        <w:pStyle w:val="Bodycopy"/>
      </w:pPr>
      <w:r w:rsidRPr="00C877C1">
        <w:t xml:space="preserve">The </w:t>
      </w:r>
      <w:r w:rsidRPr="00C877C1">
        <w:rPr>
          <w:b/>
          <w:bCs/>
        </w:rPr>
        <w:t>underemployment rate</w:t>
      </w:r>
      <w:r w:rsidR="00E238C2" w:rsidRPr="00D02BA0">
        <w:rPr>
          <w:rStyle w:val="FootnoteReference"/>
          <w:rFonts w:asciiTheme="majorHAnsi" w:hAnsiTheme="majorHAnsi" w:cstheme="majorHAnsi"/>
        </w:rPr>
        <w:footnoteReference w:id="7"/>
      </w:r>
      <w:r w:rsidRPr="00C877C1">
        <w:t xml:space="preserve"> takes a broad view of underutilisation by measuring the share of the labour force that is employed, but not fully utilised in terms of the amount of work people would like. It is an important complement to the unemployment rate in assessing how much spare capacity could be called upon in adapting to labour market strength and weakness. </w:t>
      </w:r>
    </w:p>
    <w:p w14:paraId="1CDF1C0D" w14:textId="158699F1" w:rsidR="00C877C1" w:rsidRPr="00C877C1" w:rsidRDefault="00C877C1" w:rsidP="00D56322">
      <w:pPr>
        <w:pStyle w:val="Bodycopy"/>
      </w:pPr>
      <w:r w:rsidRPr="00C877C1">
        <w:t xml:space="preserve">The </w:t>
      </w:r>
      <w:r w:rsidRPr="00C877C1">
        <w:rPr>
          <w:b/>
          <w:bCs/>
        </w:rPr>
        <w:t>vacancy fill rate</w:t>
      </w:r>
      <w:r w:rsidR="008F0093" w:rsidRPr="008F0093">
        <w:rPr>
          <w:vertAlign w:val="superscript"/>
        </w:rPr>
        <w:t>2</w:t>
      </w:r>
      <w:r w:rsidR="00FA6595">
        <w:rPr>
          <w:b/>
          <w:bCs/>
        </w:rPr>
        <w:t xml:space="preserve"> </w:t>
      </w:r>
      <w:r w:rsidRPr="00C877C1">
        <w:t>is a key measure of unmet demand for labour. A low fill rate indicates that the demand for labour is not matched by the supply of labour from workers. This may be due to a lack of suitable applicants or high search costs that reduce labour market matching efficiency. Poorer-performing regions experience more difficulty filling vacant positions, despite having a higher availability of unused labour willing and available to work.</w:t>
      </w:r>
    </w:p>
    <w:p w14:paraId="0009F843" w14:textId="3E56B6C9" w:rsidR="00E531E7" w:rsidRPr="00A070B7" w:rsidRDefault="00E531E7" w:rsidP="00E531E7">
      <w:pPr>
        <w:pStyle w:val="Heading3"/>
      </w:pPr>
      <w:r>
        <w:lastRenderedPageBreak/>
        <w:t>Methodology</w:t>
      </w:r>
    </w:p>
    <w:p w14:paraId="58B70364" w14:textId="40171269" w:rsidR="00E531E7" w:rsidRPr="00D56322" w:rsidRDefault="00E531E7" w:rsidP="00D56322">
      <w:pPr>
        <w:pStyle w:val="Bodycopy"/>
      </w:pPr>
      <w:r w:rsidRPr="00D56322">
        <w:t xml:space="preserve">Please refer to the </w:t>
      </w:r>
      <w:hyperlink r:id="rId21" w:anchor="methodology" w:history="1">
        <w:r w:rsidRPr="00D56322">
          <w:rPr>
            <w:rStyle w:val="Hyperlink"/>
          </w:rPr>
          <w:t>RLMI Methodology Paper</w:t>
        </w:r>
      </w:hyperlink>
      <w:r w:rsidRPr="00D56322">
        <w:t xml:space="preserve"> for more information on the RLMI, including its purpose and factor selection. </w:t>
      </w:r>
    </w:p>
    <w:p w14:paraId="72662E0D" w14:textId="72C05CDA" w:rsidR="00550453" w:rsidRPr="00A070B7" w:rsidRDefault="00550453" w:rsidP="00550453">
      <w:pPr>
        <w:pStyle w:val="Heading3"/>
      </w:pPr>
      <w:r>
        <w:t>Referencing this report</w:t>
      </w:r>
    </w:p>
    <w:p w14:paraId="3199359A" w14:textId="4780CED2" w:rsidR="00C14AB0" w:rsidRPr="00550453" w:rsidRDefault="00550453" w:rsidP="00D56322">
      <w:pPr>
        <w:pStyle w:val="Bodycopy"/>
        <w:rPr>
          <w:i/>
          <w:iCs/>
        </w:rPr>
      </w:pPr>
      <w:r>
        <w:t xml:space="preserve">Data in this release should be referenced as: </w:t>
      </w:r>
      <w:r w:rsidRPr="00D56322">
        <w:t>Jobs and Skills Australia, RLMI</w:t>
      </w:r>
      <w:r w:rsidR="00160B42" w:rsidRPr="00D56322">
        <w:t>,</w:t>
      </w:r>
      <w:r w:rsidRPr="00D56322">
        <w:t xml:space="preserve"> </w:t>
      </w:r>
      <w:r w:rsidR="005863D9">
        <w:t>June</w:t>
      </w:r>
      <w:r w:rsidR="005D78A7">
        <w:t xml:space="preserve"> 2025</w:t>
      </w:r>
    </w:p>
    <w:p w14:paraId="4372BC12" w14:textId="571A943F" w:rsidR="003C484A" w:rsidRPr="00A070B7" w:rsidRDefault="003C484A" w:rsidP="003C484A">
      <w:pPr>
        <w:pStyle w:val="Heading3"/>
      </w:pPr>
      <w:r>
        <w:t>Contact us</w:t>
      </w:r>
    </w:p>
    <w:p w14:paraId="5F62B650" w14:textId="10E04359" w:rsidR="0060697E" w:rsidRPr="004302C6" w:rsidRDefault="003C484A" w:rsidP="00D56322">
      <w:pPr>
        <w:pStyle w:val="Bodycopy"/>
        <w:rPr>
          <w:color w:val="013D74" w:themeColor="hyperlink"/>
          <w:u w:val="single"/>
        </w:rPr>
      </w:pPr>
      <w:r>
        <w:t xml:space="preserve">For additional information, email </w:t>
      </w:r>
      <w:hyperlink r:id="rId22" w:history="1">
        <w:r w:rsidRPr="003C5B58">
          <w:rPr>
            <w:rStyle w:val="Hyperlink"/>
          </w:rPr>
          <w:t>RegionalWorkforceAssessment@jobsandskills.gov.au</w:t>
        </w:r>
      </w:hyperlink>
      <w:bookmarkEnd w:id="1"/>
      <w:bookmarkEnd w:id="2"/>
    </w:p>
    <w:sectPr w:rsidR="0060697E" w:rsidRPr="004302C6" w:rsidSect="00BC1B66">
      <w:pgSz w:w="11906" w:h="16838"/>
      <w:pgMar w:top="1276" w:right="1440" w:bottom="1134" w:left="1440" w:header="0"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5EB17" w14:textId="77777777" w:rsidR="00A909D5" w:rsidRDefault="00A909D5" w:rsidP="008C0056">
      <w:r>
        <w:separator/>
      </w:r>
    </w:p>
  </w:endnote>
  <w:endnote w:type="continuationSeparator" w:id="0">
    <w:p w14:paraId="4A94AEED" w14:textId="77777777" w:rsidR="00A909D5" w:rsidRDefault="00A909D5" w:rsidP="008C0056">
      <w:r>
        <w:continuationSeparator/>
      </w:r>
    </w:p>
  </w:endnote>
  <w:endnote w:type="continuationNotice" w:id="1">
    <w:p w14:paraId="4DA0DCEC" w14:textId="77777777" w:rsidR="00A909D5" w:rsidRDefault="00A909D5" w:rsidP="008C0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7053515"/>
      <w:docPartObj>
        <w:docPartGallery w:val="Page Numbers (Bottom of Page)"/>
        <w:docPartUnique/>
      </w:docPartObj>
    </w:sdtPr>
    <w:sdtEndPr>
      <w:rPr>
        <w:noProof/>
      </w:rPr>
    </w:sdtEndPr>
    <w:sdtContent>
      <w:p w14:paraId="1DE9E510" w14:textId="25E80F2F" w:rsidR="003708C1" w:rsidRPr="00991526" w:rsidRDefault="00051CBE" w:rsidP="00991526">
        <w:pPr>
          <w:pStyle w:val="Footer"/>
        </w:pPr>
        <w:r w:rsidRPr="00991526">
          <w:t xml:space="preserve">Jobs and Skills Australia – </w:t>
        </w:r>
        <w:sdt>
          <w:sdtPr>
            <w:alias w:val="Title"/>
            <w:tag w:val=""/>
            <w:id w:val="-1056470111"/>
            <w:placeholder>
              <w:docPart w:val="E4DB317D2DA340B1AF9BACDEE3AB05B6"/>
            </w:placeholder>
            <w:dataBinding w:prefixMappings="xmlns:ns0='http://purl.org/dc/elements/1.1/' xmlns:ns1='http://schemas.openxmlformats.org/package/2006/metadata/core-properties' " w:xpath="/ns1:coreProperties[1]/ns0:title[1]" w:storeItemID="{6C3C8BC8-F283-45AE-878A-BAB7291924A1}"/>
            <w:text/>
          </w:sdtPr>
          <w:sdtEndPr/>
          <w:sdtContent>
            <w:r w:rsidR="00904962">
              <w:t>RLMI Results – June 2025</w:t>
            </w:r>
          </w:sdtContent>
        </w:sdt>
        <w:r w:rsidR="00991526">
          <w:tab/>
        </w:r>
        <w:r w:rsidR="00BE2AB7" w:rsidRPr="00991526">
          <w:fldChar w:fldCharType="begin"/>
        </w:r>
        <w:r w:rsidR="00BE2AB7" w:rsidRPr="00991526">
          <w:instrText xml:space="preserve"> PAGE   \* MERGEFORMAT </w:instrText>
        </w:r>
        <w:r w:rsidR="00BE2AB7" w:rsidRPr="00991526">
          <w:fldChar w:fldCharType="separate"/>
        </w:r>
        <w:r w:rsidR="00BE2AB7" w:rsidRPr="00991526">
          <w:rPr>
            <w:noProof/>
          </w:rPr>
          <w:t>2</w:t>
        </w:r>
        <w:r w:rsidR="00BE2AB7" w:rsidRPr="0099152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6298338"/>
      <w:docPartObj>
        <w:docPartGallery w:val="Page Numbers (Bottom of Page)"/>
        <w:docPartUnique/>
      </w:docPartObj>
    </w:sdtPr>
    <w:sdtEndPr>
      <w:rPr>
        <w:noProof/>
      </w:rPr>
    </w:sdtEndPr>
    <w:sdtContent>
      <w:p w14:paraId="1506E6C8" w14:textId="2866AD46" w:rsidR="00B30EAB" w:rsidRDefault="00B30EAB" w:rsidP="00B30EAB">
        <w:pPr>
          <w:pStyle w:val="Footer"/>
          <w:tabs>
            <w:tab w:val="left" w:pos="8925"/>
          </w:tabs>
        </w:pPr>
        <w:r w:rsidRPr="00991526">
          <w:t xml:space="preserve">Jobs and Skills Australia – </w:t>
        </w:r>
        <w:sdt>
          <w:sdtPr>
            <w:alias w:val="Title"/>
            <w:tag w:val=""/>
            <w:id w:val="-818111507"/>
            <w:placeholder>
              <w:docPart w:val="2D2D024BDF304EF58EB26857CD7A9952"/>
            </w:placeholder>
            <w:dataBinding w:prefixMappings="xmlns:ns0='http://purl.org/dc/elements/1.1/' xmlns:ns1='http://schemas.openxmlformats.org/package/2006/metadata/core-properties' " w:xpath="/ns1:coreProperties[1]/ns0:title[1]" w:storeItemID="{6C3C8BC8-F283-45AE-878A-BAB7291924A1}"/>
            <w:text/>
          </w:sdtPr>
          <w:sdtEndPr/>
          <w:sdtContent>
            <w:r w:rsidR="00904962">
              <w:t>RLMI Results – June 2025</w:t>
            </w:r>
          </w:sdtContent>
        </w:sdt>
        <w:r>
          <w:tab/>
        </w:r>
        <w:r>
          <w:tab/>
        </w:r>
        <w:r w:rsidRPr="00991526">
          <w:fldChar w:fldCharType="begin"/>
        </w:r>
        <w:r w:rsidRPr="00991526">
          <w:instrText xml:space="preserve"> PAGE   \* MERGEFORMAT </w:instrText>
        </w:r>
        <w:r w:rsidRPr="00991526">
          <w:fldChar w:fldCharType="separate"/>
        </w:r>
        <w:r>
          <w:t>1</w:t>
        </w:r>
        <w:r w:rsidRPr="00991526">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68BB2" w14:textId="77777777" w:rsidR="00A909D5" w:rsidRDefault="00A909D5" w:rsidP="008C0056">
      <w:r>
        <w:separator/>
      </w:r>
    </w:p>
  </w:footnote>
  <w:footnote w:type="continuationSeparator" w:id="0">
    <w:p w14:paraId="680BF5A7" w14:textId="77777777" w:rsidR="00A909D5" w:rsidRDefault="00A909D5" w:rsidP="008C0056">
      <w:r>
        <w:continuationSeparator/>
      </w:r>
    </w:p>
  </w:footnote>
  <w:footnote w:type="continuationNotice" w:id="1">
    <w:p w14:paraId="699D506B" w14:textId="77777777" w:rsidR="00A909D5" w:rsidRDefault="00A909D5" w:rsidP="008C0056"/>
  </w:footnote>
  <w:footnote w:id="2">
    <w:p w14:paraId="7F463204" w14:textId="233D40FE" w:rsidR="00790EA4" w:rsidRDefault="00790EA4">
      <w:pPr>
        <w:pStyle w:val="FootnoteText"/>
      </w:pPr>
      <w:r>
        <w:rPr>
          <w:rStyle w:val="FootnoteReference"/>
        </w:rPr>
        <w:footnoteRef/>
      </w:r>
      <w:r>
        <w:t xml:space="preserve"> Further information regarding the ABS modelled regional labour market statistics can be found </w:t>
      </w:r>
      <w:r w:rsidR="00941773">
        <w:t>from the</w:t>
      </w:r>
      <w:r>
        <w:t xml:space="preserve"> </w:t>
      </w:r>
      <w:hyperlink r:id="rId1" w:history="1">
        <w:r w:rsidR="00941773" w:rsidRPr="00941773">
          <w:rPr>
            <w:rStyle w:val="Hyperlink"/>
          </w:rPr>
          <w:t>A</w:t>
        </w:r>
        <w:r w:rsidR="00941773" w:rsidRPr="00941773">
          <w:rPr>
            <w:rStyle w:val="Hyperlink"/>
          </w:rPr>
          <w:t>B</w:t>
        </w:r>
        <w:r w:rsidR="00941773" w:rsidRPr="00941773">
          <w:rPr>
            <w:rStyle w:val="Hyperlink"/>
          </w:rPr>
          <w:t>S</w:t>
        </w:r>
      </w:hyperlink>
      <w:r w:rsidR="00941773">
        <w:t>.</w:t>
      </w:r>
    </w:p>
  </w:footnote>
  <w:footnote w:id="3">
    <w:p w14:paraId="3EFEC0D8" w14:textId="0B57E7F9" w:rsidR="002A23A7" w:rsidRPr="00D02BA0" w:rsidRDefault="002A23A7" w:rsidP="002A23A7">
      <w:pPr>
        <w:pStyle w:val="FootnoteText"/>
        <w:rPr>
          <w:rFonts w:asciiTheme="majorHAnsi" w:hAnsiTheme="majorHAnsi" w:cstheme="majorHAnsi"/>
          <w:sz w:val="18"/>
          <w:szCs w:val="18"/>
        </w:rPr>
      </w:pPr>
      <w:r w:rsidRPr="00D02BA0">
        <w:rPr>
          <w:rStyle w:val="FootnoteReference"/>
          <w:rFonts w:asciiTheme="majorHAnsi" w:hAnsiTheme="majorHAnsi" w:cstheme="majorHAnsi"/>
          <w:sz w:val="18"/>
          <w:szCs w:val="18"/>
        </w:rPr>
        <w:footnoteRef/>
      </w:r>
      <w:r>
        <w:rPr>
          <w:rFonts w:asciiTheme="majorHAnsi" w:hAnsiTheme="majorHAnsi" w:cstheme="majorHAnsi"/>
          <w:sz w:val="18"/>
          <w:szCs w:val="18"/>
        </w:rPr>
        <w:t xml:space="preserve"> Includes the SA4 regions </w:t>
      </w:r>
      <w:r w:rsidR="00493EE9">
        <w:rPr>
          <w:rFonts w:asciiTheme="majorHAnsi" w:hAnsiTheme="majorHAnsi" w:cstheme="majorHAnsi"/>
          <w:sz w:val="18"/>
          <w:szCs w:val="18"/>
        </w:rPr>
        <w:t>of Central Queensland, Darling Downs – Maranoa, Toowoomba and Richmond – Tweed (New South Wales)</w:t>
      </w:r>
    </w:p>
  </w:footnote>
  <w:footnote w:id="4">
    <w:p w14:paraId="273EE51A" w14:textId="494105AC" w:rsidR="00DF6668" w:rsidRPr="00D02BA0" w:rsidRDefault="00DF6668" w:rsidP="00DF6668">
      <w:pPr>
        <w:pStyle w:val="FootnoteText"/>
        <w:rPr>
          <w:rFonts w:asciiTheme="majorHAnsi" w:hAnsiTheme="majorHAnsi" w:cstheme="majorHAnsi"/>
          <w:sz w:val="18"/>
          <w:szCs w:val="18"/>
        </w:rPr>
      </w:pPr>
      <w:r w:rsidRPr="00D02BA0">
        <w:rPr>
          <w:rStyle w:val="FootnoteReference"/>
          <w:rFonts w:asciiTheme="majorHAnsi" w:hAnsiTheme="majorHAnsi" w:cstheme="majorHAnsi"/>
          <w:sz w:val="18"/>
          <w:szCs w:val="18"/>
        </w:rPr>
        <w:footnoteRef/>
      </w:r>
      <w:r>
        <w:rPr>
          <w:rFonts w:asciiTheme="majorHAnsi" w:hAnsiTheme="majorHAnsi" w:cstheme="majorHAnsi"/>
          <w:sz w:val="18"/>
          <w:szCs w:val="18"/>
        </w:rPr>
        <w:t xml:space="preserve"> Includes the SA4 regions of Cairns, Townsville and Mackay – Isaac – Whitsunday</w:t>
      </w:r>
    </w:p>
  </w:footnote>
  <w:footnote w:id="5">
    <w:p w14:paraId="66E5C56E" w14:textId="72F735EA" w:rsidR="00AC0C2F" w:rsidRDefault="00AC0C2F">
      <w:pPr>
        <w:pStyle w:val="FootnoteText"/>
      </w:pPr>
      <w:r>
        <w:rPr>
          <w:rStyle w:val="FootnoteReference"/>
        </w:rPr>
        <w:footnoteRef/>
      </w:r>
      <w:r>
        <w:t xml:space="preserve"> </w:t>
      </w:r>
      <w:r w:rsidRPr="00AC0C2F">
        <w:rPr>
          <w:rFonts w:asciiTheme="majorHAnsi" w:hAnsiTheme="majorHAnsi"/>
          <w:sz w:val="18"/>
          <w:szCs w:val="18"/>
        </w:rPr>
        <w:t>Knowledge workers include managers and professionals. Industry workers include machinery operators &amp; drivers, technicians &amp; trades workers and labourers. Care and service workers include community &amp; personal service workers, clerical &amp; administrative workers and sales workers.</w:t>
      </w:r>
      <w:r>
        <w:t xml:space="preserve"> </w:t>
      </w:r>
    </w:p>
  </w:footnote>
  <w:footnote w:id="6">
    <w:p w14:paraId="36F43816" w14:textId="5FA3D514" w:rsidR="005863D9" w:rsidRPr="00D02BA0" w:rsidRDefault="005863D9" w:rsidP="005863D9">
      <w:pPr>
        <w:pStyle w:val="FootnoteText"/>
        <w:rPr>
          <w:rFonts w:asciiTheme="majorHAnsi" w:hAnsiTheme="majorHAnsi" w:cstheme="majorHAnsi"/>
          <w:sz w:val="18"/>
          <w:szCs w:val="18"/>
        </w:rPr>
      </w:pPr>
      <w:r w:rsidRPr="00D02BA0">
        <w:rPr>
          <w:rStyle w:val="FootnoteReference"/>
          <w:rFonts w:asciiTheme="majorHAnsi" w:hAnsiTheme="majorHAnsi" w:cstheme="majorHAnsi"/>
          <w:sz w:val="18"/>
          <w:szCs w:val="18"/>
        </w:rPr>
        <w:footnoteRef/>
      </w:r>
      <w:r>
        <w:rPr>
          <w:rFonts w:asciiTheme="majorHAnsi" w:hAnsiTheme="majorHAnsi" w:cstheme="majorHAnsi"/>
          <w:sz w:val="18"/>
          <w:szCs w:val="18"/>
        </w:rPr>
        <w:t xml:space="preserve"> </w:t>
      </w:r>
      <w:r w:rsidRPr="0069561E">
        <w:rPr>
          <w:rFonts w:asciiTheme="majorHAnsi" w:hAnsiTheme="majorHAnsi" w:cstheme="majorHAnsi"/>
          <w:sz w:val="18"/>
          <w:szCs w:val="18"/>
        </w:rPr>
        <w:t xml:space="preserve">In </w:t>
      </w:r>
      <w:r>
        <w:rPr>
          <w:rFonts w:asciiTheme="majorHAnsi" w:hAnsiTheme="majorHAnsi" w:cstheme="majorHAnsi"/>
          <w:sz w:val="18"/>
          <w:szCs w:val="18"/>
        </w:rPr>
        <w:t>June 2025</w:t>
      </w:r>
      <w:r w:rsidRPr="0069561E">
        <w:rPr>
          <w:rFonts w:asciiTheme="majorHAnsi" w:hAnsiTheme="majorHAnsi" w:cstheme="majorHAnsi"/>
          <w:sz w:val="18"/>
          <w:szCs w:val="18"/>
        </w:rPr>
        <w:t>, the ABS modelled estimates of</w:t>
      </w:r>
      <w:r>
        <w:rPr>
          <w:rFonts w:asciiTheme="majorHAnsi" w:hAnsiTheme="majorHAnsi" w:cstheme="majorHAnsi"/>
          <w:sz w:val="18"/>
          <w:szCs w:val="18"/>
        </w:rPr>
        <w:t xml:space="preserve"> employment rates (working age)</w:t>
      </w:r>
      <w:r w:rsidRPr="0069561E">
        <w:rPr>
          <w:rFonts w:asciiTheme="majorHAnsi" w:hAnsiTheme="majorHAnsi" w:cstheme="majorHAnsi"/>
          <w:sz w:val="18"/>
          <w:szCs w:val="18"/>
        </w:rPr>
        <w:t xml:space="preserve"> were incorporated into the RLMI model replacing the ABS direct survey unemployment rate estimates that were previously used. The modelled estimates are more stable and reliable than the direct survey estimates.</w:t>
      </w:r>
    </w:p>
  </w:footnote>
  <w:footnote w:id="7">
    <w:p w14:paraId="7E3C3A63" w14:textId="4F8E4723" w:rsidR="00E238C2" w:rsidRPr="00D02BA0" w:rsidRDefault="00E238C2" w:rsidP="00E238C2">
      <w:pPr>
        <w:pStyle w:val="FootnoteText"/>
        <w:rPr>
          <w:rFonts w:asciiTheme="majorHAnsi" w:hAnsiTheme="majorHAnsi" w:cstheme="majorHAnsi"/>
          <w:sz w:val="18"/>
          <w:szCs w:val="18"/>
        </w:rPr>
      </w:pPr>
      <w:r w:rsidRPr="00D02BA0">
        <w:rPr>
          <w:rStyle w:val="FootnoteReference"/>
          <w:rFonts w:asciiTheme="majorHAnsi" w:hAnsiTheme="majorHAnsi" w:cstheme="majorHAnsi"/>
          <w:sz w:val="18"/>
          <w:szCs w:val="18"/>
        </w:rPr>
        <w:footnoteRef/>
      </w:r>
      <w:r>
        <w:rPr>
          <w:rFonts w:asciiTheme="majorHAnsi" w:hAnsiTheme="majorHAnsi" w:cstheme="majorHAnsi"/>
          <w:sz w:val="18"/>
          <w:szCs w:val="18"/>
        </w:rPr>
        <w:t xml:space="preserve"> </w:t>
      </w:r>
      <w:r w:rsidR="00FA6595">
        <w:rPr>
          <w:rFonts w:asciiTheme="majorHAnsi" w:hAnsiTheme="majorHAnsi" w:cstheme="majorHAnsi"/>
          <w:sz w:val="18"/>
          <w:szCs w:val="18"/>
        </w:rPr>
        <w:t>Measured at the Greater Capital City Statistical Area (GCCSA) level</w:t>
      </w:r>
      <w:r w:rsidR="00620535">
        <w:rPr>
          <w:rFonts w:asciiTheme="majorHAnsi" w:hAnsiTheme="majorHAnsi" w:cstheme="majorHAnsi"/>
          <w:sz w:val="18"/>
          <w:szCs w:val="18"/>
        </w:rPr>
        <w:t xml:space="preserve"> due to data quality issues with this factor at the SA4 level</w:t>
      </w:r>
      <w:r w:rsidR="00FA6595">
        <w:rPr>
          <w:rFonts w:asciiTheme="majorHAnsi" w:hAnsiTheme="majorHAnsi" w:cstheme="majorHAnsi"/>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A0ABC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6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E459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52D8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2A15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3DF2DE40"/>
    <w:lvl w:ilvl="0">
      <w:start w:val="1"/>
      <w:numFmt w:val="decimal"/>
      <w:lvlText w:val="%1."/>
      <w:lvlJc w:val="left"/>
      <w:pPr>
        <w:tabs>
          <w:tab w:val="num" w:pos="360"/>
        </w:tabs>
        <w:ind w:left="360" w:hanging="360"/>
      </w:pPr>
    </w:lvl>
  </w:abstractNum>
  <w:abstractNum w:abstractNumId="6" w15:restartNumberingAfterBreak="0">
    <w:nsid w:val="097C163D"/>
    <w:multiLevelType w:val="hybridMultilevel"/>
    <w:tmpl w:val="594C2E34"/>
    <w:lvl w:ilvl="0" w:tplc="0C090001">
      <w:start w:val="1"/>
      <w:numFmt w:val="bullet"/>
      <w:lvlText w:val=""/>
      <w:lvlJc w:val="left"/>
      <w:pPr>
        <w:ind w:left="720" w:hanging="360"/>
      </w:pPr>
      <w:rPr>
        <w:rFonts w:ascii="Symbol" w:hAnsi="Symbol" w:hint="default"/>
      </w:rPr>
    </w:lvl>
    <w:lvl w:ilvl="1" w:tplc="70D2A66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8764AD"/>
    <w:multiLevelType w:val="hybridMultilevel"/>
    <w:tmpl w:val="F9222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0B452B"/>
    <w:multiLevelType w:val="hybridMultilevel"/>
    <w:tmpl w:val="6A2A2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A96197"/>
    <w:multiLevelType w:val="hybridMultilevel"/>
    <w:tmpl w:val="309672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C094AC5"/>
    <w:multiLevelType w:val="hybridMultilevel"/>
    <w:tmpl w:val="7BA290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D585F53"/>
    <w:multiLevelType w:val="multilevel"/>
    <w:tmpl w:val="A3E88540"/>
    <w:name w:val="ListBullets"/>
    <w:lvl w:ilvl="0">
      <w:start w:val="1"/>
      <w:numFmt w:val="bullet"/>
      <w:pStyle w:val="ListBullet"/>
      <w:lvlText w:val="•"/>
      <w:lvlJc w:val="left"/>
      <w:pPr>
        <w:ind w:left="340" w:hanging="340"/>
      </w:pPr>
      <w:rPr>
        <w:rFonts w:ascii="Calibri" w:hAnsi="Calibri" w:hint="default"/>
        <w:color w:val="auto"/>
      </w:rPr>
    </w:lvl>
    <w:lvl w:ilvl="1">
      <w:start w:val="1"/>
      <w:numFmt w:val="bullet"/>
      <w:pStyle w:val="ListBullet2"/>
      <w:lvlText w:val="–"/>
      <w:lvlJc w:val="left"/>
      <w:pPr>
        <w:ind w:left="680" w:hanging="340"/>
      </w:pPr>
      <w:rPr>
        <w:rFonts w:ascii="Arial" w:hAnsi="Arial" w:hint="default"/>
        <w:color w:val="auto"/>
      </w:rPr>
    </w:lvl>
    <w:lvl w:ilvl="2">
      <w:start w:val="1"/>
      <w:numFmt w:val="bullet"/>
      <w:pStyle w:val="ListBullet3"/>
      <w:lvlText w:val="○"/>
      <w:lvlJc w:val="left"/>
      <w:pPr>
        <w:ind w:left="1020" w:hanging="340"/>
      </w:pPr>
      <w:rPr>
        <w:rFonts w:ascii="Times New Roman" w:hAnsi="Times New Roman" w:cs="Times New Roman" w:hint="default"/>
        <w:color w:val="auto"/>
      </w:rPr>
    </w:lvl>
    <w:lvl w:ilvl="3">
      <w:start w:val="1"/>
      <w:numFmt w:val="bullet"/>
      <w:pStyle w:val="ListBullet4"/>
      <w:lvlText w:val="•"/>
      <w:lvlJc w:val="left"/>
      <w:pPr>
        <w:ind w:left="1360" w:hanging="340"/>
      </w:pPr>
      <w:rPr>
        <w:rFonts w:ascii="Arial" w:hAnsi="Arial" w:hint="default"/>
        <w:color w:val="auto"/>
      </w:rPr>
    </w:lvl>
    <w:lvl w:ilvl="4">
      <w:start w:val="1"/>
      <w:numFmt w:val="none"/>
      <w:lvlText w:val=""/>
      <w:lvlJc w:val="left"/>
      <w:pPr>
        <w:tabs>
          <w:tab w:val="num" w:pos="1712"/>
        </w:tabs>
        <w:ind w:left="1700" w:hanging="340"/>
      </w:pPr>
      <w:rPr>
        <w:rFonts w:hint="default"/>
      </w:rPr>
    </w:lvl>
    <w:lvl w:ilvl="5">
      <w:start w:val="1"/>
      <w:numFmt w:val="none"/>
      <w:lvlText w:val=""/>
      <w:lvlJc w:val="left"/>
      <w:pPr>
        <w:tabs>
          <w:tab w:val="num" w:pos="2069"/>
        </w:tabs>
        <w:ind w:left="2040" w:hanging="340"/>
      </w:pPr>
      <w:rPr>
        <w:rFonts w:hint="default"/>
      </w:rPr>
    </w:lvl>
    <w:lvl w:ilvl="6">
      <w:start w:val="1"/>
      <w:numFmt w:val="none"/>
      <w:lvlText w:val=""/>
      <w:lvlJc w:val="left"/>
      <w:pPr>
        <w:tabs>
          <w:tab w:val="num" w:pos="2426"/>
        </w:tabs>
        <w:ind w:left="2380" w:hanging="340"/>
      </w:pPr>
      <w:rPr>
        <w:rFonts w:hint="default"/>
      </w:rPr>
    </w:lvl>
    <w:lvl w:ilvl="7">
      <w:start w:val="1"/>
      <w:numFmt w:val="none"/>
      <w:lvlText w:val=""/>
      <w:lvlJc w:val="left"/>
      <w:pPr>
        <w:tabs>
          <w:tab w:val="num" w:pos="2783"/>
        </w:tabs>
        <w:ind w:left="2720" w:hanging="340"/>
      </w:pPr>
      <w:rPr>
        <w:rFonts w:hint="default"/>
      </w:rPr>
    </w:lvl>
    <w:lvl w:ilvl="8">
      <w:start w:val="1"/>
      <w:numFmt w:val="none"/>
      <w:lvlText w:val=""/>
      <w:lvlJc w:val="left"/>
      <w:pPr>
        <w:tabs>
          <w:tab w:val="num" w:pos="3140"/>
        </w:tabs>
        <w:ind w:left="3060" w:hanging="340"/>
      </w:pPr>
      <w:rPr>
        <w:rFonts w:hint="default"/>
      </w:rPr>
    </w:lvl>
  </w:abstractNum>
  <w:abstractNum w:abstractNumId="12" w15:restartNumberingAfterBreak="0">
    <w:nsid w:val="1DF4586B"/>
    <w:multiLevelType w:val="hybridMultilevel"/>
    <w:tmpl w:val="9ADC4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D85117"/>
    <w:multiLevelType w:val="hybridMultilevel"/>
    <w:tmpl w:val="3D4AC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2028CD"/>
    <w:multiLevelType w:val="hybridMultilevel"/>
    <w:tmpl w:val="D276B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E62DED"/>
    <w:multiLevelType w:val="hybridMultilevel"/>
    <w:tmpl w:val="4CDE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667452"/>
    <w:multiLevelType w:val="multilevel"/>
    <w:tmpl w:val="873ED2C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376F56A1"/>
    <w:multiLevelType w:val="multilevel"/>
    <w:tmpl w:val="285CDA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9DE2BF5"/>
    <w:multiLevelType w:val="hybridMultilevel"/>
    <w:tmpl w:val="FF6ED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3C5ED4"/>
    <w:multiLevelType w:val="hybridMultilevel"/>
    <w:tmpl w:val="05306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E737CE"/>
    <w:multiLevelType w:val="hybridMultilevel"/>
    <w:tmpl w:val="28164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812426"/>
    <w:multiLevelType w:val="hybridMultilevel"/>
    <w:tmpl w:val="EF345A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5A2F9A"/>
    <w:multiLevelType w:val="hybridMultilevel"/>
    <w:tmpl w:val="A06E4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1873D01"/>
    <w:multiLevelType w:val="hybridMultilevel"/>
    <w:tmpl w:val="219E0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5E84A8F"/>
    <w:multiLevelType w:val="hybridMultilevel"/>
    <w:tmpl w:val="2D1AB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A45E07"/>
    <w:multiLevelType w:val="hybridMultilevel"/>
    <w:tmpl w:val="115EA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FEB691B"/>
    <w:multiLevelType w:val="multilevel"/>
    <w:tmpl w:val="2362D8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0C04E14"/>
    <w:multiLevelType w:val="hybridMultilevel"/>
    <w:tmpl w:val="11A89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A80D02"/>
    <w:multiLevelType w:val="hybridMultilevel"/>
    <w:tmpl w:val="158ABB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78E45A6"/>
    <w:multiLevelType w:val="hybridMultilevel"/>
    <w:tmpl w:val="62B42F6A"/>
    <w:lvl w:ilvl="0" w:tplc="5EE286E0">
      <w:start w:val="1"/>
      <w:numFmt w:val="decimal"/>
      <w:lvlText w:val="%1."/>
      <w:lvlJc w:val="left"/>
      <w:pPr>
        <w:ind w:left="1320" w:hanging="360"/>
      </w:pPr>
    </w:lvl>
    <w:lvl w:ilvl="1" w:tplc="D00E418C">
      <w:start w:val="1"/>
      <w:numFmt w:val="decimal"/>
      <w:lvlText w:val="%2."/>
      <w:lvlJc w:val="left"/>
      <w:pPr>
        <w:ind w:left="1320" w:hanging="360"/>
      </w:pPr>
    </w:lvl>
    <w:lvl w:ilvl="2" w:tplc="17A4752C">
      <w:start w:val="1"/>
      <w:numFmt w:val="decimal"/>
      <w:lvlText w:val="%3."/>
      <w:lvlJc w:val="left"/>
      <w:pPr>
        <w:ind w:left="1320" w:hanging="360"/>
      </w:pPr>
    </w:lvl>
    <w:lvl w:ilvl="3" w:tplc="BD92259C">
      <w:start w:val="1"/>
      <w:numFmt w:val="decimal"/>
      <w:lvlText w:val="%4."/>
      <w:lvlJc w:val="left"/>
      <w:pPr>
        <w:ind w:left="1320" w:hanging="360"/>
      </w:pPr>
    </w:lvl>
    <w:lvl w:ilvl="4" w:tplc="32507476">
      <w:start w:val="1"/>
      <w:numFmt w:val="decimal"/>
      <w:lvlText w:val="%5."/>
      <w:lvlJc w:val="left"/>
      <w:pPr>
        <w:ind w:left="1320" w:hanging="360"/>
      </w:pPr>
    </w:lvl>
    <w:lvl w:ilvl="5" w:tplc="5914B214">
      <w:start w:val="1"/>
      <w:numFmt w:val="decimal"/>
      <w:lvlText w:val="%6."/>
      <w:lvlJc w:val="left"/>
      <w:pPr>
        <w:ind w:left="1320" w:hanging="360"/>
      </w:pPr>
    </w:lvl>
    <w:lvl w:ilvl="6" w:tplc="34CA9F50">
      <w:start w:val="1"/>
      <w:numFmt w:val="decimal"/>
      <w:lvlText w:val="%7."/>
      <w:lvlJc w:val="left"/>
      <w:pPr>
        <w:ind w:left="1320" w:hanging="360"/>
      </w:pPr>
    </w:lvl>
    <w:lvl w:ilvl="7" w:tplc="2796EE54">
      <w:start w:val="1"/>
      <w:numFmt w:val="decimal"/>
      <w:lvlText w:val="%8."/>
      <w:lvlJc w:val="left"/>
      <w:pPr>
        <w:ind w:left="1320" w:hanging="360"/>
      </w:pPr>
    </w:lvl>
    <w:lvl w:ilvl="8" w:tplc="CC50BEAA">
      <w:start w:val="1"/>
      <w:numFmt w:val="decimal"/>
      <w:lvlText w:val="%9."/>
      <w:lvlJc w:val="left"/>
      <w:pPr>
        <w:ind w:left="1320" w:hanging="360"/>
      </w:pPr>
    </w:lvl>
  </w:abstractNum>
  <w:abstractNum w:abstractNumId="30" w15:restartNumberingAfterBreak="0">
    <w:nsid w:val="77FF34B9"/>
    <w:multiLevelType w:val="hybridMultilevel"/>
    <w:tmpl w:val="988A8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174D01"/>
    <w:multiLevelType w:val="hybridMultilevel"/>
    <w:tmpl w:val="EF5C5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6C59AE"/>
    <w:multiLevelType w:val="hybridMultilevel"/>
    <w:tmpl w:val="86FE4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2B0659"/>
    <w:multiLevelType w:val="multilevel"/>
    <w:tmpl w:val="5CDE43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CAF16D9"/>
    <w:multiLevelType w:val="hybridMultilevel"/>
    <w:tmpl w:val="599C3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7269666">
    <w:abstractNumId w:val="33"/>
  </w:num>
  <w:num w:numId="2" w16cid:durableId="1668050683">
    <w:abstractNumId w:val="17"/>
  </w:num>
  <w:num w:numId="3" w16cid:durableId="1683042470">
    <w:abstractNumId w:val="6"/>
  </w:num>
  <w:num w:numId="4" w16cid:durableId="133523604">
    <w:abstractNumId w:val="26"/>
  </w:num>
  <w:num w:numId="5" w16cid:durableId="1994024302">
    <w:abstractNumId w:val="28"/>
  </w:num>
  <w:num w:numId="6" w16cid:durableId="1358852113">
    <w:abstractNumId w:val="16"/>
  </w:num>
  <w:num w:numId="7" w16cid:durableId="2047246184">
    <w:abstractNumId w:val="11"/>
  </w:num>
  <w:num w:numId="8" w16cid:durableId="1985233239">
    <w:abstractNumId w:val="4"/>
  </w:num>
  <w:num w:numId="9" w16cid:durableId="2105372984">
    <w:abstractNumId w:val="5"/>
  </w:num>
  <w:num w:numId="10" w16cid:durableId="935869809">
    <w:abstractNumId w:val="3"/>
  </w:num>
  <w:num w:numId="11" w16cid:durableId="1109662273">
    <w:abstractNumId w:val="2"/>
  </w:num>
  <w:num w:numId="12" w16cid:durableId="2049716342">
    <w:abstractNumId w:val="1"/>
  </w:num>
  <w:num w:numId="13" w16cid:durableId="1578317811">
    <w:abstractNumId w:val="0"/>
  </w:num>
  <w:num w:numId="14" w16cid:durableId="1127550344">
    <w:abstractNumId w:val="13"/>
  </w:num>
  <w:num w:numId="15" w16cid:durableId="406730085">
    <w:abstractNumId w:val="9"/>
  </w:num>
  <w:num w:numId="16" w16cid:durableId="1294024271">
    <w:abstractNumId w:val="12"/>
  </w:num>
  <w:num w:numId="17" w16cid:durableId="1171214774">
    <w:abstractNumId w:val="32"/>
  </w:num>
  <w:num w:numId="18" w16cid:durableId="1768621288">
    <w:abstractNumId w:val="24"/>
  </w:num>
  <w:num w:numId="19" w16cid:durableId="328022315">
    <w:abstractNumId w:val="25"/>
  </w:num>
  <w:num w:numId="20" w16cid:durableId="1320310342">
    <w:abstractNumId w:val="30"/>
  </w:num>
  <w:num w:numId="21" w16cid:durableId="197200729">
    <w:abstractNumId w:val="34"/>
  </w:num>
  <w:num w:numId="22" w16cid:durableId="1971665784">
    <w:abstractNumId w:val="14"/>
  </w:num>
  <w:num w:numId="23" w16cid:durableId="1031422524">
    <w:abstractNumId w:val="20"/>
  </w:num>
  <w:num w:numId="24" w16cid:durableId="536358639">
    <w:abstractNumId w:val="19"/>
  </w:num>
  <w:num w:numId="25" w16cid:durableId="121922272">
    <w:abstractNumId w:val="31"/>
  </w:num>
  <w:num w:numId="26" w16cid:durableId="101149934">
    <w:abstractNumId w:val="18"/>
  </w:num>
  <w:num w:numId="27" w16cid:durableId="1570656848">
    <w:abstractNumId w:val="8"/>
  </w:num>
  <w:num w:numId="28" w16cid:durableId="481897671">
    <w:abstractNumId w:val="7"/>
  </w:num>
  <w:num w:numId="29" w16cid:durableId="582878536">
    <w:abstractNumId w:val="21"/>
  </w:num>
  <w:num w:numId="30" w16cid:durableId="303118831">
    <w:abstractNumId w:val="29"/>
  </w:num>
  <w:num w:numId="31" w16cid:durableId="465902375">
    <w:abstractNumId w:val="22"/>
  </w:num>
  <w:num w:numId="32" w16cid:durableId="1962375368">
    <w:abstractNumId w:val="27"/>
  </w:num>
  <w:num w:numId="33" w16cid:durableId="920649946">
    <w:abstractNumId w:val="23"/>
  </w:num>
  <w:num w:numId="34" w16cid:durableId="1693191146">
    <w:abstractNumId w:val="15"/>
  </w:num>
  <w:num w:numId="35" w16cid:durableId="10578264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18"/>
    <w:rsid w:val="000011C7"/>
    <w:rsid w:val="00003363"/>
    <w:rsid w:val="00003E8E"/>
    <w:rsid w:val="000146A9"/>
    <w:rsid w:val="000148D3"/>
    <w:rsid w:val="00025BD0"/>
    <w:rsid w:val="000261A3"/>
    <w:rsid w:val="00027145"/>
    <w:rsid w:val="000316B1"/>
    <w:rsid w:val="00032906"/>
    <w:rsid w:val="0003316F"/>
    <w:rsid w:val="000344A7"/>
    <w:rsid w:val="00034FDC"/>
    <w:rsid w:val="00036C69"/>
    <w:rsid w:val="00037EB9"/>
    <w:rsid w:val="000404CE"/>
    <w:rsid w:val="0004100D"/>
    <w:rsid w:val="00041073"/>
    <w:rsid w:val="000412B5"/>
    <w:rsid w:val="000422D4"/>
    <w:rsid w:val="00042375"/>
    <w:rsid w:val="00042611"/>
    <w:rsid w:val="00044AC3"/>
    <w:rsid w:val="00045D5F"/>
    <w:rsid w:val="00046750"/>
    <w:rsid w:val="00046F03"/>
    <w:rsid w:val="00051CBE"/>
    <w:rsid w:val="0005327C"/>
    <w:rsid w:val="0005518A"/>
    <w:rsid w:val="0005530D"/>
    <w:rsid w:val="000572BD"/>
    <w:rsid w:val="00057426"/>
    <w:rsid w:val="00066604"/>
    <w:rsid w:val="00066E9C"/>
    <w:rsid w:val="000707FE"/>
    <w:rsid w:val="000726EA"/>
    <w:rsid w:val="00076490"/>
    <w:rsid w:val="0008139B"/>
    <w:rsid w:val="00085C30"/>
    <w:rsid w:val="0008649A"/>
    <w:rsid w:val="00086E59"/>
    <w:rsid w:val="00090D67"/>
    <w:rsid w:val="00093DA4"/>
    <w:rsid w:val="00093F7D"/>
    <w:rsid w:val="000945B2"/>
    <w:rsid w:val="00095B90"/>
    <w:rsid w:val="00095E11"/>
    <w:rsid w:val="000A145A"/>
    <w:rsid w:val="000A42C1"/>
    <w:rsid w:val="000A7F1E"/>
    <w:rsid w:val="000B006F"/>
    <w:rsid w:val="000B0148"/>
    <w:rsid w:val="000B3BAF"/>
    <w:rsid w:val="000B6324"/>
    <w:rsid w:val="000C0BA2"/>
    <w:rsid w:val="000C2A3D"/>
    <w:rsid w:val="000C2A53"/>
    <w:rsid w:val="000D009F"/>
    <w:rsid w:val="000D4B2F"/>
    <w:rsid w:val="000D5BA3"/>
    <w:rsid w:val="000D5FCE"/>
    <w:rsid w:val="000D6745"/>
    <w:rsid w:val="000D6959"/>
    <w:rsid w:val="000E38BA"/>
    <w:rsid w:val="000E7042"/>
    <w:rsid w:val="000E7A03"/>
    <w:rsid w:val="000E7DED"/>
    <w:rsid w:val="000F26FB"/>
    <w:rsid w:val="000F2844"/>
    <w:rsid w:val="000F2EA6"/>
    <w:rsid w:val="000F5437"/>
    <w:rsid w:val="00101FBF"/>
    <w:rsid w:val="00103358"/>
    <w:rsid w:val="00105C9C"/>
    <w:rsid w:val="00110458"/>
    <w:rsid w:val="00111514"/>
    <w:rsid w:val="00111745"/>
    <w:rsid w:val="001128B3"/>
    <w:rsid w:val="001134ED"/>
    <w:rsid w:val="00114174"/>
    <w:rsid w:val="00116E40"/>
    <w:rsid w:val="00123DFA"/>
    <w:rsid w:val="00124D9E"/>
    <w:rsid w:val="00125C36"/>
    <w:rsid w:val="00125FF1"/>
    <w:rsid w:val="001306D6"/>
    <w:rsid w:val="00131E18"/>
    <w:rsid w:val="00131E99"/>
    <w:rsid w:val="001431DB"/>
    <w:rsid w:val="00143208"/>
    <w:rsid w:val="00144A2F"/>
    <w:rsid w:val="00146B61"/>
    <w:rsid w:val="00150AEB"/>
    <w:rsid w:val="001513BD"/>
    <w:rsid w:val="001516BF"/>
    <w:rsid w:val="0015214F"/>
    <w:rsid w:val="0015298C"/>
    <w:rsid w:val="001534EA"/>
    <w:rsid w:val="00160B42"/>
    <w:rsid w:val="001624D8"/>
    <w:rsid w:val="00163475"/>
    <w:rsid w:val="0016406E"/>
    <w:rsid w:val="00164614"/>
    <w:rsid w:val="00170157"/>
    <w:rsid w:val="00172C39"/>
    <w:rsid w:val="0017574A"/>
    <w:rsid w:val="00175998"/>
    <w:rsid w:val="001763D1"/>
    <w:rsid w:val="00183C55"/>
    <w:rsid w:val="00186DC1"/>
    <w:rsid w:val="00191222"/>
    <w:rsid w:val="001918A6"/>
    <w:rsid w:val="00192485"/>
    <w:rsid w:val="00192BED"/>
    <w:rsid w:val="00194F51"/>
    <w:rsid w:val="001968EB"/>
    <w:rsid w:val="001A22A8"/>
    <w:rsid w:val="001B274F"/>
    <w:rsid w:val="001B57E5"/>
    <w:rsid w:val="001B5A11"/>
    <w:rsid w:val="001B7035"/>
    <w:rsid w:val="001B7F1C"/>
    <w:rsid w:val="001C058A"/>
    <w:rsid w:val="001C0CB2"/>
    <w:rsid w:val="001C0D18"/>
    <w:rsid w:val="001C381D"/>
    <w:rsid w:val="001C3AAD"/>
    <w:rsid w:val="001C59E2"/>
    <w:rsid w:val="001C68E0"/>
    <w:rsid w:val="001C6BA8"/>
    <w:rsid w:val="001D1BA0"/>
    <w:rsid w:val="001D42D2"/>
    <w:rsid w:val="001D55A3"/>
    <w:rsid w:val="001D7829"/>
    <w:rsid w:val="001E10E3"/>
    <w:rsid w:val="001E2D03"/>
    <w:rsid w:val="001E4423"/>
    <w:rsid w:val="001E58C4"/>
    <w:rsid w:val="001E6F09"/>
    <w:rsid w:val="001E7EBC"/>
    <w:rsid w:val="001F108B"/>
    <w:rsid w:val="001F36D6"/>
    <w:rsid w:val="001F5927"/>
    <w:rsid w:val="001F59D3"/>
    <w:rsid w:val="00201022"/>
    <w:rsid w:val="0020169F"/>
    <w:rsid w:val="00201984"/>
    <w:rsid w:val="002032B5"/>
    <w:rsid w:val="00203F57"/>
    <w:rsid w:val="00204A57"/>
    <w:rsid w:val="00204C08"/>
    <w:rsid w:val="00206249"/>
    <w:rsid w:val="002078E2"/>
    <w:rsid w:val="00207A2E"/>
    <w:rsid w:val="00210680"/>
    <w:rsid w:val="002109DB"/>
    <w:rsid w:val="00211CE8"/>
    <w:rsid w:val="0021439F"/>
    <w:rsid w:val="00214687"/>
    <w:rsid w:val="00215C7C"/>
    <w:rsid w:val="00216B01"/>
    <w:rsid w:val="00220F11"/>
    <w:rsid w:val="00233A75"/>
    <w:rsid w:val="002406D5"/>
    <w:rsid w:val="0024392D"/>
    <w:rsid w:val="00244550"/>
    <w:rsid w:val="00246A44"/>
    <w:rsid w:val="00247C24"/>
    <w:rsid w:val="00251456"/>
    <w:rsid w:val="00254AD6"/>
    <w:rsid w:val="0025573A"/>
    <w:rsid w:val="00255903"/>
    <w:rsid w:val="002562D9"/>
    <w:rsid w:val="002618DF"/>
    <w:rsid w:val="00261D00"/>
    <w:rsid w:val="00261D71"/>
    <w:rsid w:val="002633D9"/>
    <w:rsid w:val="00263461"/>
    <w:rsid w:val="00263BEE"/>
    <w:rsid w:val="00266C5E"/>
    <w:rsid w:val="00267083"/>
    <w:rsid w:val="00270225"/>
    <w:rsid w:val="00276640"/>
    <w:rsid w:val="00276E27"/>
    <w:rsid w:val="00280AC6"/>
    <w:rsid w:val="00281A5D"/>
    <w:rsid w:val="002824C3"/>
    <w:rsid w:val="002827D8"/>
    <w:rsid w:val="00285FEE"/>
    <w:rsid w:val="0029200E"/>
    <w:rsid w:val="002927DB"/>
    <w:rsid w:val="00293C17"/>
    <w:rsid w:val="002950ED"/>
    <w:rsid w:val="00296166"/>
    <w:rsid w:val="002A0607"/>
    <w:rsid w:val="002A1BFF"/>
    <w:rsid w:val="002A23A7"/>
    <w:rsid w:val="002A4B17"/>
    <w:rsid w:val="002A6562"/>
    <w:rsid w:val="002B0C34"/>
    <w:rsid w:val="002B1150"/>
    <w:rsid w:val="002B3986"/>
    <w:rsid w:val="002B7C96"/>
    <w:rsid w:val="002C2B39"/>
    <w:rsid w:val="002C30E8"/>
    <w:rsid w:val="002C44EE"/>
    <w:rsid w:val="002D14DB"/>
    <w:rsid w:val="002D1AAA"/>
    <w:rsid w:val="002D39AC"/>
    <w:rsid w:val="002D68E2"/>
    <w:rsid w:val="002E0618"/>
    <w:rsid w:val="002E0E18"/>
    <w:rsid w:val="002E487D"/>
    <w:rsid w:val="002E5B03"/>
    <w:rsid w:val="002E6E2F"/>
    <w:rsid w:val="002F0B5B"/>
    <w:rsid w:val="002F1B75"/>
    <w:rsid w:val="002F2F6F"/>
    <w:rsid w:val="002F36BC"/>
    <w:rsid w:val="002F39F7"/>
    <w:rsid w:val="002F3EB5"/>
    <w:rsid w:val="002F5690"/>
    <w:rsid w:val="002F644E"/>
    <w:rsid w:val="002F7532"/>
    <w:rsid w:val="00302B2A"/>
    <w:rsid w:val="00305910"/>
    <w:rsid w:val="003060CC"/>
    <w:rsid w:val="00306575"/>
    <w:rsid w:val="00306C0E"/>
    <w:rsid w:val="003078AB"/>
    <w:rsid w:val="00310CA1"/>
    <w:rsid w:val="003122CC"/>
    <w:rsid w:val="00313B29"/>
    <w:rsid w:val="00314E27"/>
    <w:rsid w:val="00323B9A"/>
    <w:rsid w:val="00324789"/>
    <w:rsid w:val="003251FC"/>
    <w:rsid w:val="00327AB4"/>
    <w:rsid w:val="00330F12"/>
    <w:rsid w:val="0033423B"/>
    <w:rsid w:val="003370CB"/>
    <w:rsid w:val="0033752C"/>
    <w:rsid w:val="00341011"/>
    <w:rsid w:val="00341F78"/>
    <w:rsid w:val="003452D1"/>
    <w:rsid w:val="00347A22"/>
    <w:rsid w:val="00347C20"/>
    <w:rsid w:val="00350849"/>
    <w:rsid w:val="00351157"/>
    <w:rsid w:val="0035131B"/>
    <w:rsid w:val="00352D2B"/>
    <w:rsid w:val="003539A0"/>
    <w:rsid w:val="00354AC0"/>
    <w:rsid w:val="00356368"/>
    <w:rsid w:val="00360F43"/>
    <w:rsid w:val="003661FC"/>
    <w:rsid w:val="00366923"/>
    <w:rsid w:val="00367AFE"/>
    <w:rsid w:val="003708C1"/>
    <w:rsid w:val="0037139A"/>
    <w:rsid w:val="00372A6A"/>
    <w:rsid w:val="00374632"/>
    <w:rsid w:val="00374E1D"/>
    <w:rsid w:val="003768F7"/>
    <w:rsid w:val="00385788"/>
    <w:rsid w:val="00385ABF"/>
    <w:rsid w:val="0039115D"/>
    <w:rsid w:val="003926FD"/>
    <w:rsid w:val="003936D2"/>
    <w:rsid w:val="00394226"/>
    <w:rsid w:val="00394BD6"/>
    <w:rsid w:val="003957CD"/>
    <w:rsid w:val="00396532"/>
    <w:rsid w:val="003A0E79"/>
    <w:rsid w:val="003A0F5E"/>
    <w:rsid w:val="003A2337"/>
    <w:rsid w:val="003A2419"/>
    <w:rsid w:val="003A2F22"/>
    <w:rsid w:val="003A4B93"/>
    <w:rsid w:val="003A6210"/>
    <w:rsid w:val="003B38C5"/>
    <w:rsid w:val="003B474F"/>
    <w:rsid w:val="003C1B28"/>
    <w:rsid w:val="003C1E9B"/>
    <w:rsid w:val="003C2BD7"/>
    <w:rsid w:val="003C484A"/>
    <w:rsid w:val="003D0D4D"/>
    <w:rsid w:val="003D1F0A"/>
    <w:rsid w:val="003D42BC"/>
    <w:rsid w:val="003D48E5"/>
    <w:rsid w:val="003D7057"/>
    <w:rsid w:val="003E012E"/>
    <w:rsid w:val="003E0796"/>
    <w:rsid w:val="003E0B70"/>
    <w:rsid w:val="003E3395"/>
    <w:rsid w:val="003E717A"/>
    <w:rsid w:val="003F013C"/>
    <w:rsid w:val="003F1578"/>
    <w:rsid w:val="003F268A"/>
    <w:rsid w:val="003F36DF"/>
    <w:rsid w:val="00400336"/>
    <w:rsid w:val="00402497"/>
    <w:rsid w:val="004118EA"/>
    <w:rsid w:val="00411C28"/>
    <w:rsid w:val="0041316B"/>
    <w:rsid w:val="00414A4A"/>
    <w:rsid w:val="0041571C"/>
    <w:rsid w:val="00417562"/>
    <w:rsid w:val="00420635"/>
    <w:rsid w:val="00421CB2"/>
    <w:rsid w:val="00422AD4"/>
    <w:rsid w:val="004232A5"/>
    <w:rsid w:val="004302C6"/>
    <w:rsid w:val="00431BE4"/>
    <w:rsid w:val="00431BFC"/>
    <w:rsid w:val="0043370D"/>
    <w:rsid w:val="00435045"/>
    <w:rsid w:val="00435A17"/>
    <w:rsid w:val="00436200"/>
    <w:rsid w:val="00437270"/>
    <w:rsid w:val="00437F6C"/>
    <w:rsid w:val="00440C82"/>
    <w:rsid w:val="004418A8"/>
    <w:rsid w:val="0044222F"/>
    <w:rsid w:val="0044373C"/>
    <w:rsid w:val="004440ED"/>
    <w:rsid w:val="00445572"/>
    <w:rsid w:val="00445B15"/>
    <w:rsid w:val="00446164"/>
    <w:rsid w:val="004523AA"/>
    <w:rsid w:val="00453F6D"/>
    <w:rsid w:val="004543E0"/>
    <w:rsid w:val="00457F7C"/>
    <w:rsid w:val="004622A1"/>
    <w:rsid w:val="00465736"/>
    <w:rsid w:val="0047164A"/>
    <w:rsid w:val="00473083"/>
    <w:rsid w:val="00475138"/>
    <w:rsid w:val="00475549"/>
    <w:rsid w:val="004773D3"/>
    <w:rsid w:val="00482379"/>
    <w:rsid w:val="00486863"/>
    <w:rsid w:val="00487296"/>
    <w:rsid w:val="00487B1D"/>
    <w:rsid w:val="00487B65"/>
    <w:rsid w:val="00487D0C"/>
    <w:rsid w:val="004923E9"/>
    <w:rsid w:val="0049306F"/>
    <w:rsid w:val="00493EE9"/>
    <w:rsid w:val="004959E6"/>
    <w:rsid w:val="00496C4D"/>
    <w:rsid w:val="00497E93"/>
    <w:rsid w:val="004A0580"/>
    <w:rsid w:val="004A4353"/>
    <w:rsid w:val="004A480D"/>
    <w:rsid w:val="004A656F"/>
    <w:rsid w:val="004B25B3"/>
    <w:rsid w:val="004C3806"/>
    <w:rsid w:val="004C542A"/>
    <w:rsid w:val="004C705B"/>
    <w:rsid w:val="004C7C64"/>
    <w:rsid w:val="004D0F14"/>
    <w:rsid w:val="004D2139"/>
    <w:rsid w:val="004D22A5"/>
    <w:rsid w:val="004D2AA6"/>
    <w:rsid w:val="004D3224"/>
    <w:rsid w:val="004D3A08"/>
    <w:rsid w:val="004E0B8B"/>
    <w:rsid w:val="004E52C5"/>
    <w:rsid w:val="004F2369"/>
    <w:rsid w:val="004F3922"/>
    <w:rsid w:val="004F5082"/>
    <w:rsid w:val="004F5749"/>
    <w:rsid w:val="004F6CD8"/>
    <w:rsid w:val="00503128"/>
    <w:rsid w:val="00503DA8"/>
    <w:rsid w:val="00505B43"/>
    <w:rsid w:val="00506152"/>
    <w:rsid w:val="00506B0F"/>
    <w:rsid w:val="00506CD7"/>
    <w:rsid w:val="005073B1"/>
    <w:rsid w:val="005109B7"/>
    <w:rsid w:val="005112BE"/>
    <w:rsid w:val="00511F38"/>
    <w:rsid w:val="00511F8A"/>
    <w:rsid w:val="00513C8F"/>
    <w:rsid w:val="0051507F"/>
    <w:rsid w:val="005159BD"/>
    <w:rsid w:val="0051627E"/>
    <w:rsid w:val="00523A10"/>
    <w:rsid w:val="00523DAA"/>
    <w:rsid w:val="005240E7"/>
    <w:rsid w:val="00532929"/>
    <w:rsid w:val="00534437"/>
    <w:rsid w:val="0053485E"/>
    <w:rsid w:val="005361F9"/>
    <w:rsid w:val="00540ABC"/>
    <w:rsid w:val="005411A8"/>
    <w:rsid w:val="00543D06"/>
    <w:rsid w:val="005446B5"/>
    <w:rsid w:val="00550453"/>
    <w:rsid w:val="005513E7"/>
    <w:rsid w:val="005533B5"/>
    <w:rsid w:val="00553D11"/>
    <w:rsid w:val="00553E52"/>
    <w:rsid w:val="005548B1"/>
    <w:rsid w:val="00555157"/>
    <w:rsid w:val="00561586"/>
    <w:rsid w:val="00564967"/>
    <w:rsid w:val="00567E50"/>
    <w:rsid w:val="00570315"/>
    <w:rsid w:val="00570FC1"/>
    <w:rsid w:val="0057143D"/>
    <w:rsid w:val="00572133"/>
    <w:rsid w:val="00581780"/>
    <w:rsid w:val="005818E7"/>
    <w:rsid w:val="00584E9E"/>
    <w:rsid w:val="005863D9"/>
    <w:rsid w:val="0058794E"/>
    <w:rsid w:val="00591208"/>
    <w:rsid w:val="00592584"/>
    <w:rsid w:val="00595D9B"/>
    <w:rsid w:val="00595F7C"/>
    <w:rsid w:val="005964AC"/>
    <w:rsid w:val="00597EF7"/>
    <w:rsid w:val="005A08BB"/>
    <w:rsid w:val="005A0CD0"/>
    <w:rsid w:val="005A0ECF"/>
    <w:rsid w:val="005A11B9"/>
    <w:rsid w:val="005A2035"/>
    <w:rsid w:val="005A259A"/>
    <w:rsid w:val="005A2862"/>
    <w:rsid w:val="005A3014"/>
    <w:rsid w:val="005A5083"/>
    <w:rsid w:val="005A580A"/>
    <w:rsid w:val="005A5A3F"/>
    <w:rsid w:val="005A63CB"/>
    <w:rsid w:val="005B1096"/>
    <w:rsid w:val="005B2318"/>
    <w:rsid w:val="005B353F"/>
    <w:rsid w:val="005B548E"/>
    <w:rsid w:val="005B5A7A"/>
    <w:rsid w:val="005B60AC"/>
    <w:rsid w:val="005C0BD4"/>
    <w:rsid w:val="005C1000"/>
    <w:rsid w:val="005C23B0"/>
    <w:rsid w:val="005C5BF0"/>
    <w:rsid w:val="005C6471"/>
    <w:rsid w:val="005D2795"/>
    <w:rsid w:val="005D467D"/>
    <w:rsid w:val="005D4AEC"/>
    <w:rsid w:val="005D6DFD"/>
    <w:rsid w:val="005D743E"/>
    <w:rsid w:val="005D78A7"/>
    <w:rsid w:val="005E18D8"/>
    <w:rsid w:val="005F0409"/>
    <w:rsid w:val="005F19D7"/>
    <w:rsid w:val="005F1D41"/>
    <w:rsid w:val="005F1E8D"/>
    <w:rsid w:val="005F1E91"/>
    <w:rsid w:val="005F3A9E"/>
    <w:rsid w:val="005F3D87"/>
    <w:rsid w:val="005F6744"/>
    <w:rsid w:val="005F6F27"/>
    <w:rsid w:val="00600AC2"/>
    <w:rsid w:val="00600B80"/>
    <w:rsid w:val="0060105C"/>
    <w:rsid w:val="006014A5"/>
    <w:rsid w:val="00601A22"/>
    <w:rsid w:val="006029D6"/>
    <w:rsid w:val="00605A80"/>
    <w:rsid w:val="006066C4"/>
    <w:rsid w:val="0060697E"/>
    <w:rsid w:val="006112A4"/>
    <w:rsid w:val="0061234E"/>
    <w:rsid w:val="006141C2"/>
    <w:rsid w:val="00615327"/>
    <w:rsid w:val="00616134"/>
    <w:rsid w:val="0061666E"/>
    <w:rsid w:val="00617112"/>
    <w:rsid w:val="00617C81"/>
    <w:rsid w:val="006204AA"/>
    <w:rsid w:val="00620535"/>
    <w:rsid w:val="00631632"/>
    <w:rsid w:val="00633D4C"/>
    <w:rsid w:val="00634BD1"/>
    <w:rsid w:val="00634EB6"/>
    <w:rsid w:val="00635255"/>
    <w:rsid w:val="0064002D"/>
    <w:rsid w:val="00640E8A"/>
    <w:rsid w:val="00641427"/>
    <w:rsid w:val="00641C05"/>
    <w:rsid w:val="006423C4"/>
    <w:rsid w:val="00642A9A"/>
    <w:rsid w:val="00642F08"/>
    <w:rsid w:val="00644B80"/>
    <w:rsid w:val="00646F14"/>
    <w:rsid w:val="00647290"/>
    <w:rsid w:val="00651480"/>
    <w:rsid w:val="006514E4"/>
    <w:rsid w:val="00653B49"/>
    <w:rsid w:val="00653BDD"/>
    <w:rsid w:val="00655BCA"/>
    <w:rsid w:val="006606E0"/>
    <w:rsid w:val="00663240"/>
    <w:rsid w:val="00665863"/>
    <w:rsid w:val="006670A4"/>
    <w:rsid w:val="00672CAD"/>
    <w:rsid w:val="00674BE1"/>
    <w:rsid w:val="00677034"/>
    <w:rsid w:val="006772C3"/>
    <w:rsid w:val="00677550"/>
    <w:rsid w:val="0068159E"/>
    <w:rsid w:val="0068167E"/>
    <w:rsid w:val="00683728"/>
    <w:rsid w:val="00683EA4"/>
    <w:rsid w:val="00684AE8"/>
    <w:rsid w:val="00685509"/>
    <w:rsid w:val="0068665B"/>
    <w:rsid w:val="006869C5"/>
    <w:rsid w:val="00686FA3"/>
    <w:rsid w:val="00687DEF"/>
    <w:rsid w:val="00691291"/>
    <w:rsid w:val="00693BA4"/>
    <w:rsid w:val="00693E00"/>
    <w:rsid w:val="0069561E"/>
    <w:rsid w:val="006A0C2E"/>
    <w:rsid w:val="006A3F7B"/>
    <w:rsid w:val="006B1365"/>
    <w:rsid w:val="006B6476"/>
    <w:rsid w:val="006B6C94"/>
    <w:rsid w:val="006C06BF"/>
    <w:rsid w:val="006C282B"/>
    <w:rsid w:val="006C5079"/>
    <w:rsid w:val="006C70AC"/>
    <w:rsid w:val="006C77DE"/>
    <w:rsid w:val="006D2345"/>
    <w:rsid w:val="006D3088"/>
    <w:rsid w:val="006D3281"/>
    <w:rsid w:val="006D5FE6"/>
    <w:rsid w:val="006E0626"/>
    <w:rsid w:val="006E1136"/>
    <w:rsid w:val="006E4BED"/>
    <w:rsid w:val="006E73A2"/>
    <w:rsid w:val="006F2EF6"/>
    <w:rsid w:val="006F4A31"/>
    <w:rsid w:val="006F5115"/>
    <w:rsid w:val="006F7520"/>
    <w:rsid w:val="007026E6"/>
    <w:rsid w:val="007026F2"/>
    <w:rsid w:val="00702CB5"/>
    <w:rsid w:val="00703260"/>
    <w:rsid w:val="00703EA6"/>
    <w:rsid w:val="00705179"/>
    <w:rsid w:val="00706431"/>
    <w:rsid w:val="00706AEF"/>
    <w:rsid w:val="00710DAA"/>
    <w:rsid w:val="007117F1"/>
    <w:rsid w:val="007119BB"/>
    <w:rsid w:val="007126F3"/>
    <w:rsid w:val="0071394E"/>
    <w:rsid w:val="00713A74"/>
    <w:rsid w:val="00716A50"/>
    <w:rsid w:val="007175D2"/>
    <w:rsid w:val="00717636"/>
    <w:rsid w:val="007176BE"/>
    <w:rsid w:val="007177A7"/>
    <w:rsid w:val="00717D2F"/>
    <w:rsid w:val="00721BA6"/>
    <w:rsid w:val="007223F1"/>
    <w:rsid w:val="0072616C"/>
    <w:rsid w:val="00727028"/>
    <w:rsid w:val="0073015B"/>
    <w:rsid w:val="00731C3B"/>
    <w:rsid w:val="00733A62"/>
    <w:rsid w:val="0073513A"/>
    <w:rsid w:val="007371B3"/>
    <w:rsid w:val="007374F9"/>
    <w:rsid w:val="007405AF"/>
    <w:rsid w:val="00740E7D"/>
    <w:rsid w:val="00741AB8"/>
    <w:rsid w:val="00741B4D"/>
    <w:rsid w:val="0074217E"/>
    <w:rsid w:val="00742C00"/>
    <w:rsid w:val="00746A43"/>
    <w:rsid w:val="00747569"/>
    <w:rsid w:val="00753271"/>
    <w:rsid w:val="00754AB9"/>
    <w:rsid w:val="00755ADC"/>
    <w:rsid w:val="007576ED"/>
    <w:rsid w:val="00757BF7"/>
    <w:rsid w:val="00760832"/>
    <w:rsid w:val="00762464"/>
    <w:rsid w:val="00764779"/>
    <w:rsid w:val="007648BA"/>
    <w:rsid w:val="00767C3A"/>
    <w:rsid w:val="00767C90"/>
    <w:rsid w:val="00775137"/>
    <w:rsid w:val="0077524B"/>
    <w:rsid w:val="007755A3"/>
    <w:rsid w:val="007766BD"/>
    <w:rsid w:val="00777D95"/>
    <w:rsid w:val="00780734"/>
    <w:rsid w:val="00780AAA"/>
    <w:rsid w:val="00781A2C"/>
    <w:rsid w:val="00782490"/>
    <w:rsid w:val="007832ED"/>
    <w:rsid w:val="00785AD7"/>
    <w:rsid w:val="007866FA"/>
    <w:rsid w:val="00790EA4"/>
    <w:rsid w:val="00793DE3"/>
    <w:rsid w:val="0079464E"/>
    <w:rsid w:val="007A3F61"/>
    <w:rsid w:val="007A4241"/>
    <w:rsid w:val="007A5668"/>
    <w:rsid w:val="007A7572"/>
    <w:rsid w:val="007A7763"/>
    <w:rsid w:val="007B0EC1"/>
    <w:rsid w:val="007B100A"/>
    <w:rsid w:val="007B1D23"/>
    <w:rsid w:val="007B21A5"/>
    <w:rsid w:val="007B2AD6"/>
    <w:rsid w:val="007B3938"/>
    <w:rsid w:val="007C038A"/>
    <w:rsid w:val="007C04C1"/>
    <w:rsid w:val="007C3DFC"/>
    <w:rsid w:val="007C4DD0"/>
    <w:rsid w:val="007C57C1"/>
    <w:rsid w:val="007C6AEC"/>
    <w:rsid w:val="007D069F"/>
    <w:rsid w:val="007D1C60"/>
    <w:rsid w:val="007D2B8D"/>
    <w:rsid w:val="007D3239"/>
    <w:rsid w:val="007D45D6"/>
    <w:rsid w:val="007D4ED8"/>
    <w:rsid w:val="007D501F"/>
    <w:rsid w:val="007D799D"/>
    <w:rsid w:val="007E2E53"/>
    <w:rsid w:val="007E5F2E"/>
    <w:rsid w:val="007F23FB"/>
    <w:rsid w:val="007F32B0"/>
    <w:rsid w:val="007F5CCD"/>
    <w:rsid w:val="007F6B0C"/>
    <w:rsid w:val="007F7DBD"/>
    <w:rsid w:val="00800EE1"/>
    <w:rsid w:val="00802F0D"/>
    <w:rsid w:val="008059E3"/>
    <w:rsid w:val="00806934"/>
    <w:rsid w:val="0081136A"/>
    <w:rsid w:val="00811B37"/>
    <w:rsid w:val="00811F26"/>
    <w:rsid w:val="0081305D"/>
    <w:rsid w:val="008139CC"/>
    <w:rsid w:val="00814D30"/>
    <w:rsid w:val="0081792F"/>
    <w:rsid w:val="008215D5"/>
    <w:rsid w:val="00821ABA"/>
    <w:rsid w:val="008225FF"/>
    <w:rsid w:val="0082535B"/>
    <w:rsid w:val="00836DA0"/>
    <w:rsid w:val="00836DA8"/>
    <w:rsid w:val="00837EDC"/>
    <w:rsid w:val="008407F1"/>
    <w:rsid w:val="00840DAA"/>
    <w:rsid w:val="0084197B"/>
    <w:rsid w:val="008428D3"/>
    <w:rsid w:val="008432B5"/>
    <w:rsid w:val="0084591A"/>
    <w:rsid w:val="0084740A"/>
    <w:rsid w:val="00853701"/>
    <w:rsid w:val="00854580"/>
    <w:rsid w:val="0085597D"/>
    <w:rsid w:val="00855D7A"/>
    <w:rsid w:val="00856281"/>
    <w:rsid w:val="00857878"/>
    <w:rsid w:val="00857E1B"/>
    <w:rsid w:val="00860DDE"/>
    <w:rsid w:val="00861259"/>
    <w:rsid w:val="00861BB2"/>
    <w:rsid w:val="008634C2"/>
    <w:rsid w:val="00864D48"/>
    <w:rsid w:val="00864EEA"/>
    <w:rsid w:val="00865A7B"/>
    <w:rsid w:val="00865E4F"/>
    <w:rsid w:val="00866663"/>
    <w:rsid w:val="008731A1"/>
    <w:rsid w:val="00873BE7"/>
    <w:rsid w:val="00874CB7"/>
    <w:rsid w:val="00875EDF"/>
    <w:rsid w:val="00876508"/>
    <w:rsid w:val="0087706C"/>
    <w:rsid w:val="008822BA"/>
    <w:rsid w:val="00883E2A"/>
    <w:rsid w:val="00884EF3"/>
    <w:rsid w:val="00886A15"/>
    <w:rsid w:val="00887072"/>
    <w:rsid w:val="00891051"/>
    <w:rsid w:val="008938DA"/>
    <w:rsid w:val="00893FE4"/>
    <w:rsid w:val="00897E41"/>
    <w:rsid w:val="008A1022"/>
    <w:rsid w:val="008A4703"/>
    <w:rsid w:val="008A5586"/>
    <w:rsid w:val="008A6964"/>
    <w:rsid w:val="008B3E8F"/>
    <w:rsid w:val="008C0056"/>
    <w:rsid w:val="008C21E1"/>
    <w:rsid w:val="008D0DC9"/>
    <w:rsid w:val="008D59B9"/>
    <w:rsid w:val="008D61A9"/>
    <w:rsid w:val="008D7453"/>
    <w:rsid w:val="008D76F6"/>
    <w:rsid w:val="008D7BB6"/>
    <w:rsid w:val="008E0D5E"/>
    <w:rsid w:val="008E69F6"/>
    <w:rsid w:val="008F0093"/>
    <w:rsid w:val="008F2F17"/>
    <w:rsid w:val="008F2F5C"/>
    <w:rsid w:val="008F3E03"/>
    <w:rsid w:val="008F5797"/>
    <w:rsid w:val="00902192"/>
    <w:rsid w:val="00904962"/>
    <w:rsid w:val="00904E9B"/>
    <w:rsid w:val="009056A3"/>
    <w:rsid w:val="009062AE"/>
    <w:rsid w:val="00911A4E"/>
    <w:rsid w:val="00911C70"/>
    <w:rsid w:val="00911E3E"/>
    <w:rsid w:val="00913ED6"/>
    <w:rsid w:val="0091557B"/>
    <w:rsid w:val="00915F44"/>
    <w:rsid w:val="00917CE4"/>
    <w:rsid w:val="00923B0D"/>
    <w:rsid w:val="0092478E"/>
    <w:rsid w:val="00924BD5"/>
    <w:rsid w:val="00927604"/>
    <w:rsid w:val="00930B3C"/>
    <w:rsid w:val="00935CB3"/>
    <w:rsid w:val="00937A11"/>
    <w:rsid w:val="00941773"/>
    <w:rsid w:val="009417F7"/>
    <w:rsid w:val="009422C6"/>
    <w:rsid w:val="009426F3"/>
    <w:rsid w:val="00945CAD"/>
    <w:rsid w:val="00950962"/>
    <w:rsid w:val="00952756"/>
    <w:rsid w:val="00952A74"/>
    <w:rsid w:val="00956048"/>
    <w:rsid w:val="00956171"/>
    <w:rsid w:val="009564A5"/>
    <w:rsid w:val="009572B4"/>
    <w:rsid w:val="009605CB"/>
    <w:rsid w:val="00963C9F"/>
    <w:rsid w:val="00963F49"/>
    <w:rsid w:val="00965094"/>
    <w:rsid w:val="0096517C"/>
    <w:rsid w:val="00965712"/>
    <w:rsid w:val="00966099"/>
    <w:rsid w:val="00966619"/>
    <w:rsid w:val="00970214"/>
    <w:rsid w:val="009708AE"/>
    <w:rsid w:val="00972144"/>
    <w:rsid w:val="00973117"/>
    <w:rsid w:val="00973962"/>
    <w:rsid w:val="00974636"/>
    <w:rsid w:val="00977338"/>
    <w:rsid w:val="00977685"/>
    <w:rsid w:val="009804D2"/>
    <w:rsid w:val="00982480"/>
    <w:rsid w:val="009834D2"/>
    <w:rsid w:val="009858C3"/>
    <w:rsid w:val="00991526"/>
    <w:rsid w:val="00991DED"/>
    <w:rsid w:val="00993BBF"/>
    <w:rsid w:val="00993E80"/>
    <w:rsid w:val="00997F6C"/>
    <w:rsid w:val="009A0032"/>
    <w:rsid w:val="009A0A07"/>
    <w:rsid w:val="009A0A6A"/>
    <w:rsid w:val="009A0E76"/>
    <w:rsid w:val="009A1FF3"/>
    <w:rsid w:val="009A36DF"/>
    <w:rsid w:val="009A4290"/>
    <w:rsid w:val="009A4DC6"/>
    <w:rsid w:val="009A5BC4"/>
    <w:rsid w:val="009A6FE4"/>
    <w:rsid w:val="009A7D43"/>
    <w:rsid w:val="009B0BC5"/>
    <w:rsid w:val="009B2A1F"/>
    <w:rsid w:val="009B34AC"/>
    <w:rsid w:val="009B4A90"/>
    <w:rsid w:val="009B609B"/>
    <w:rsid w:val="009B614B"/>
    <w:rsid w:val="009C0EFC"/>
    <w:rsid w:val="009C1B2F"/>
    <w:rsid w:val="009C3CB0"/>
    <w:rsid w:val="009C4CA6"/>
    <w:rsid w:val="009C56D1"/>
    <w:rsid w:val="009C74F7"/>
    <w:rsid w:val="009D18C2"/>
    <w:rsid w:val="009D3B3A"/>
    <w:rsid w:val="009D50E8"/>
    <w:rsid w:val="009D56B0"/>
    <w:rsid w:val="009D5A36"/>
    <w:rsid w:val="009E34D5"/>
    <w:rsid w:val="009E383F"/>
    <w:rsid w:val="009E4054"/>
    <w:rsid w:val="009E718A"/>
    <w:rsid w:val="009F06EB"/>
    <w:rsid w:val="009F4558"/>
    <w:rsid w:val="009F4A74"/>
    <w:rsid w:val="009F4D35"/>
    <w:rsid w:val="009F7A5A"/>
    <w:rsid w:val="00A0293E"/>
    <w:rsid w:val="00A032B7"/>
    <w:rsid w:val="00A03C15"/>
    <w:rsid w:val="00A051F7"/>
    <w:rsid w:val="00A0641E"/>
    <w:rsid w:val="00A070B7"/>
    <w:rsid w:val="00A11E29"/>
    <w:rsid w:val="00A13691"/>
    <w:rsid w:val="00A13A11"/>
    <w:rsid w:val="00A142EA"/>
    <w:rsid w:val="00A14752"/>
    <w:rsid w:val="00A17299"/>
    <w:rsid w:val="00A23F46"/>
    <w:rsid w:val="00A2405F"/>
    <w:rsid w:val="00A275F3"/>
    <w:rsid w:val="00A27F7B"/>
    <w:rsid w:val="00A3043E"/>
    <w:rsid w:val="00A339E5"/>
    <w:rsid w:val="00A35814"/>
    <w:rsid w:val="00A3639C"/>
    <w:rsid w:val="00A36734"/>
    <w:rsid w:val="00A369AC"/>
    <w:rsid w:val="00A3743B"/>
    <w:rsid w:val="00A414BC"/>
    <w:rsid w:val="00A43021"/>
    <w:rsid w:val="00A43163"/>
    <w:rsid w:val="00A435F8"/>
    <w:rsid w:val="00A4461A"/>
    <w:rsid w:val="00A459DE"/>
    <w:rsid w:val="00A50D02"/>
    <w:rsid w:val="00A52D23"/>
    <w:rsid w:val="00A5508E"/>
    <w:rsid w:val="00A55776"/>
    <w:rsid w:val="00A55D47"/>
    <w:rsid w:val="00A57AB2"/>
    <w:rsid w:val="00A60476"/>
    <w:rsid w:val="00A61A9F"/>
    <w:rsid w:val="00A62216"/>
    <w:rsid w:val="00A6491C"/>
    <w:rsid w:val="00A65038"/>
    <w:rsid w:val="00A65913"/>
    <w:rsid w:val="00A70A4D"/>
    <w:rsid w:val="00A71A69"/>
    <w:rsid w:val="00A7229C"/>
    <w:rsid w:val="00A7486F"/>
    <w:rsid w:val="00A74E0F"/>
    <w:rsid w:val="00A7500E"/>
    <w:rsid w:val="00A7699B"/>
    <w:rsid w:val="00A8077F"/>
    <w:rsid w:val="00A80E09"/>
    <w:rsid w:val="00A83BB3"/>
    <w:rsid w:val="00A851E3"/>
    <w:rsid w:val="00A85919"/>
    <w:rsid w:val="00A8731D"/>
    <w:rsid w:val="00A87673"/>
    <w:rsid w:val="00A9012A"/>
    <w:rsid w:val="00A909D5"/>
    <w:rsid w:val="00A93A77"/>
    <w:rsid w:val="00A93DF6"/>
    <w:rsid w:val="00A948FE"/>
    <w:rsid w:val="00A94AB4"/>
    <w:rsid w:val="00A95CBF"/>
    <w:rsid w:val="00A970F2"/>
    <w:rsid w:val="00AA0260"/>
    <w:rsid w:val="00AA2E4F"/>
    <w:rsid w:val="00AA311A"/>
    <w:rsid w:val="00AA3BB9"/>
    <w:rsid w:val="00AA796F"/>
    <w:rsid w:val="00AB05B7"/>
    <w:rsid w:val="00AB074D"/>
    <w:rsid w:val="00AB27A1"/>
    <w:rsid w:val="00AB5FC6"/>
    <w:rsid w:val="00AB790F"/>
    <w:rsid w:val="00AC08D2"/>
    <w:rsid w:val="00AC0C2F"/>
    <w:rsid w:val="00AC1BEE"/>
    <w:rsid w:val="00AC3E56"/>
    <w:rsid w:val="00AC4BDA"/>
    <w:rsid w:val="00AC6A5E"/>
    <w:rsid w:val="00AC7DFB"/>
    <w:rsid w:val="00AD0C81"/>
    <w:rsid w:val="00AD584C"/>
    <w:rsid w:val="00AD5DA3"/>
    <w:rsid w:val="00AE1EED"/>
    <w:rsid w:val="00AE220C"/>
    <w:rsid w:val="00AE68CA"/>
    <w:rsid w:val="00AE7072"/>
    <w:rsid w:val="00AF2783"/>
    <w:rsid w:val="00AF2957"/>
    <w:rsid w:val="00AF3C5A"/>
    <w:rsid w:val="00AF57B3"/>
    <w:rsid w:val="00AF7D27"/>
    <w:rsid w:val="00B03DE7"/>
    <w:rsid w:val="00B04E3B"/>
    <w:rsid w:val="00B0698D"/>
    <w:rsid w:val="00B0699C"/>
    <w:rsid w:val="00B10FC9"/>
    <w:rsid w:val="00B1131A"/>
    <w:rsid w:val="00B11937"/>
    <w:rsid w:val="00B12498"/>
    <w:rsid w:val="00B131D7"/>
    <w:rsid w:val="00B138A8"/>
    <w:rsid w:val="00B15249"/>
    <w:rsid w:val="00B15618"/>
    <w:rsid w:val="00B15DF5"/>
    <w:rsid w:val="00B1661A"/>
    <w:rsid w:val="00B1672D"/>
    <w:rsid w:val="00B16B74"/>
    <w:rsid w:val="00B16D43"/>
    <w:rsid w:val="00B176FD"/>
    <w:rsid w:val="00B21702"/>
    <w:rsid w:val="00B21E09"/>
    <w:rsid w:val="00B23B38"/>
    <w:rsid w:val="00B26558"/>
    <w:rsid w:val="00B26C3D"/>
    <w:rsid w:val="00B275AC"/>
    <w:rsid w:val="00B27734"/>
    <w:rsid w:val="00B30EAB"/>
    <w:rsid w:val="00B31756"/>
    <w:rsid w:val="00B32201"/>
    <w:rsid w:val="00B366DB"/>
    <w:rsid w:val="00B37667"/>
    <w:rsid w:val="00B42CEC"/>
    <w:rsid w:val="00B44B46"/>
    <w:rsid w:val="00B44BFF"/>
    <w:rsid w:val="00B5117D"/>
    <w:rsid w:val="00B51B21"/>
    <w:rsid w:val="00B532DB"/>
    <w:rsid w:val="00B545CC"/>
    <w:rsid w:val="00B54794"/>
    <w:rsid w:val="00B55005"/>
    <w:rsid w:val="00B55735"/>
    <w:rsid w:val="00B55B9A"/>
    <w:rsid w:val="00B55EFB"/>
    <w:rsid w:val="00B65661"/>
    <w:rsid w:val="00B72465"/>
    <w:rsid w:val="00B725FB"/>
    <w:rsid w:val="00B72A6C"/>
    <w:rsid w:val="00B72B74"/>
    <w:rsid w:val="00B76CE9"/>
    <w:rsid w:val="00B819FE"/>
    <w:rsid w:val="00B839A2"/>
    <w:rsid w:val="00B83DD1"/>
    <w:rsid w:val="00B850E8"/>
    <w:rsid w:val="00B86033"/>
    <w:rsid w:val="00B86106"/>
    <w:rsid w:val="00B9031B"/>
    <w:rsid w:val="00B94111"/>
    <w:rsid w:val="00B94F0A"/>
    <w:rsid w:val="00B95E21"/>
    <w:rsid w:val="00B95FED"/>
    <w:rsid w:val="00B96B2D"/>
    <w:rsid w:val="00BA18F6"/>
    <w:rsid w:val="00BA38A0"/>
    <w:rsid w:val="00BA4854"/>
    <w:rsid w:val="00BB2ACB"/>
    <w:rsid w:val="00BB2F80"/>
    <w:rsid w:val="00BB4CD2"/>
    <w:rsid w:val="00BB5271"/>
    <w:rsid w:val="00BC1378"/>
    <w:rsid w:val="00BC1B66"/>
    <w:rsid w:val="00BC218F"/>
    <w:rsid w:val="00BD174F"/>
    <w:rsid w:val="00BD22DA"/>
    <w:rsid w:val="00BD5583"/>
    <w:rsid w:val="00BD5D69"/>
    <w:rsid w:val="00BD60AB"/>
    <w:rsid w:val="00BE08FE"/>
    <w:rsid w:val="00BE0FFD"/>
    <w:rsid w:val="00BE13B4"/>
    <w:rsid w:val="00BE1646"/>
    <w:rsid w:val="00BE1900"/>
    <w:rsid w:val="00BE2AB7"/>
    <w:rsid w:val="00BE3527"/>
    <w:rsid w:val="00BE4587"/>
    <w:rsid w:val="00BE46FD"/>
    <w:rsid w:val="00BE5400"/>
    <w:rsid w:val="00BE68F3"/>
    <w:rsid w:val="00BE7C9E"/>
    <w:rsid w:val="00BF2EE2"/>
    <w:rsid w:val="00BF3528"/>
    <w:rsid w:val="00BF40A7"/>
    <w:rsid w:val="00BF6AAF"/>
    <w:rsid w:val="00BF759A"/>
    <w:rsid w:val="00C03955"/>
    <w:rsid w:val="00C04290"/>
    <w:rsid w:val="00C061EA"/>
    <w:rsid w:val="00C074E3"/>
    <w:rsid w:val="00C07BF6"/>
    <w:rsid w:val="00C07D51"/>
    <w:rsid w:val="00C07DFB"/>
    <w:rsid w:val="00C12145"/>
    <w:rsid w:val="00C12E78"/>
    <w:rsid w:val="00C14AB0"/>
    <w:rsid w:val="00C15510"/>
    <w:rsid w:val="00C16644"/>
    <w:rsid w:val="00C179AD"/>
    <w:rsid w:val="00C2734A"/>
    <w:rsid w:val="00C27FFB"/>
    <w:rsid w:val="00C36D16"/>
    <w:rsid w:val="00C404CA"/>
    <w:rsid w:val="00C40E20"/>
    <w:rsid w:val="00C4249F"/>
    <w:rsid w:val="00C42B95"/>
    <w:rsid w:val="00C46D3E"/>
    <w:rsid w:val="00C52ABF"/>
    <w:rsid w:val="00C52FE0"/>
    <w:rsid w:val="00C558F4"/>
    <w:rsid w:val="00C61A5A"/>
    <w:rsid w:val="00C63456"/>
    <w:rsid w:val="00C63D38"/>
    <w:rsid w:val="00C6447C"/>
    <w:rsid w:val="00C64973"/>
    <w:rsid w:val="00C71020"/>
    <w:rsid w:val="00C7420D"/>
    <w:rsid w:val="00C754CC"/>
    <w:rsid w:val="00C75A0D"/>
    <w:rsid w:val="00C83737"/>
    <w:rsid w:val="00C84B60"/>
    <w:rsid w:val="00C877C1"/>
    <w:rsid w:val="00C91F4E"/>
    <w:rsid w:val="00C93749"/>
    <w:rsid w:val="00C93D43"/>
    <w:rsid w:val="00C94C24"/>
    <w:rsid w:val="00C970B1"/>
    <w:rsid w:val="00CA22AC"/>
    <w:rsid w:val="00CA6AF3"/>
    <w:rsid w:val="00CB2D12"/>
    <w:rsid w:val="00CB41F2"/>
    <w:rsid w:val="00CB5919"/>
    <w:rsid w:val="00CB5F31"/>
    <w:rsid w:val="00CC1B2A"/>
    <w:rsid w:val="00CC32B2"/>
    <w:rsid w:val="00CC576C"/>
    <w:rsid w:val="00CC68E9"/>
    <w:rsid w:val="00CD0493"/>
    <w:rsid w:val="00CD066C"/>
    <w:rsid w:val="00CD06DC"/>
    <w:rsid w:val="00CD130A"/>
    <w:rsid w:val="00CD1F19"/>
    <w:rsid w:val="00CD452F"/>
    <w:rsid w:val="00CD494D"/>
    <w:rsid w:val="00CD5555"/>
    <w:rsid w:val="00CD6C79"/>
    <w:rsid w:val="00CD6F0F"/>
    <w:rsid w:val="00CE03A4"/>
    <w:rsid w:val="00CE1816"/>
    <w:rsid w:val="00CE1F7E"/>
    <w:rsid w:val="00CE5E15"/>
    <w:rsid w:val="00CE6EEC"/>
    <w:rsid w:val="00CE71A4"/>
    <w:rsid w:val="00CF277F"/>
    <w:rsid w:val="00CF30BD"/>
    <w:rsid w:val="00CF3282"/>
    <w:rsid w:val="00CF49DF"/>
    <w:rsid w:val="00CF568D"/>
    <w:rsid w:val="00CF78B0"/>
    <w:rsid w:val="00D027C8"/>
    <w:rsid w:val="00D03812"/>
    <w:rsid w:val="00D045C6"/>
    <w:rsid w:val="00D048F7"/>
    <w:rsid w:val="00D05054"/>
    <w:rsid w:val="00D05305"/>
    <w:rsid w:val="00D057BB"/>
    <w:rsid w:val="00D10911"/>
    <w:rsid w:val="00D10B90"/>
    <w:rsid w:val="00D125F6"/>
    <w:rsid w:val="00D12938"/>
    <w:rsid w:val="00D13318"/>
    <w:rsid w:val="00D138C0"/>
    <w:rsid w:val="00D14F04"/>
    <w:rsid w:val="00D154D9"/>
    <w:rsid w:val="00D16342"/>
    <w:rsid w:val="00D1705C"/>
    <w:rsid w:val="00D177B2"/>
    <w:rsid w:val="00D21F38"/>
    <w:rsid w:val="00D2244E"/>
    <w:rsid w:val="00D238E3"/>
    <w:rsid w:val="00D241DE"/>
    <w:rsid w:val="00D246C9"/>
    <w:rsid w:val="00D2513B"/>
    <w:rsid w:val="00D263D6"/>
    <w:rsid w:val="00D26A23"/>
    <w:rsid w:val="00D31218"/>
    <w:rsid w:val="00D31FDA"/>
    <w:rsid w:val="00D34692"/>
    <w:rsid w:val="00D36D46"/>
    <w:rsid w:val="00D4055A"/>
    <w:rsid w:val="00D4278A"/>
    <w:rsid w:val="00D4302A"/>
    <w:rsid w:val="00D436E8"/>
    <w:rsid w:val="00D4726C"/>
    <w:rsid w:val="00D500BB"/>
    <w:rsid w:val="00D50333"/>
    <w:rsid w:val="00D509CB"/>
    <w:rsid w:val="00D5420B"/>
    <w:rsid w:val="00D551C5"/>
    <w:rsid w:val="00D56072"/>
    <w:rsid w:val="00D56322"/>
    <w:rsid w:val="00D56B38"/>
    <w:rsid w:val="00D62D35"/>
    <w:rsid w:val="00D64A57"/>
    <w:rsid w:val="00D64B55"/>
    <w:rsid w:val="00D64E99"/>
    <w:rsid w:val="00D658D0"/>
    <w:rsid w:val="00D66B95"/>
    <w:rsid w:val="00D70F5A"/>
    <w:rsid w:val="00D70F8A"/>
    <w:rsid w:val="00D71EFE"/>
    <w:rsid w:val="00D72DC2"/>
    <w:rsid w:val="00D73EA4"/>
    <w:rsid w:val="00D74476"/>
    <w:rsid w:val="00D76E16"/>
    <w:rsid w:val="00D81E78"/>
    <w:rsid w:val="00D82891"/>
    <w:rsid w:val="00D83020"/>
    <w:rsid w:val="00D8323E"/>
    <w:rsid w:val="00D83E2C"/>
    <w:rsid w:val="00D8537C"/>
    <w:rsid w:val="00D8583A"/>
    <w:rsid w:val="00D92118"/>
    <w:rsid w:val="00D92316"/>
    <w:rsid w:val="00D94EBF"/>
    <w:rsid w:val="00D95EC9"/>
    <w:rsid w:val="00D966C8"/>
    <w:rsid w:val="00D96A1E"/>
    <w:rsid w:val="00DA1F48"/>
    <w:rsid w:val="00DA2626"/>
    <w:rsid w:val="00DA62C8"/>
    <w:rsid w:val="00DA7857"/>
    <w:rsid w:val="00DA7E7F"/>
    <w:rsid w:val="00DB0916"/>
    <w:rsid w:val="00DB13D5"/>
    <w:rsid w:val="00DB4EFD"/>
    <w:rsid w:val="00DC0368"/>
    <w:rsid w:val="00DC6534"/>
    <w:rsid w:val="00DC69D9"/>
    <w:rsid w:val="00DC6A05"/>
    <w:rsid w:val="00DC6BC0"/>
    <w:rsid w:val="00DD04CA"/>
    <w:rsid w:val="00DD1CF1"/>
    <w:rsid w:val="00DD22CA"/>
    <w:rsid w:val="00DD3128"/>
    <w:rsid w:val="00DD32CF"/>
    <w:rsid w:val="00DD4396"/>
    <w:rsid w:val="00DD4A34"/>
    <w:rsid w:val="00DD71F3"/>
    <w:rsid w:val="00DE251A"/>
    <w:rsid w:val="00DE3949"/>
    <w:rsid w:val="00DE4414"/>
    <w:rsid w:val="00DE4605"/>
    <w:rsid w:val="00DE597E"/>
    <w:rsid w:val="00DE5F7B"/>
    <w:rsid w:val="00DE70AA"/>
    <w:rsid w:val="00DF0F64"/>
    <w:rsid w:val="00DF147A"/>
    <w:rsid w:val="00DF1740"/>
    <w:rsid w:val="00DF23E4"/>
    <w:rsid w:val="00DF2852"/>
    <w:rsid w:val="00DF37AA"/>
    <w:rsid w:val="00DF46C2"/>
    <w:rsid w:val="00DF6668"/>
    <w:rsid w:val="00DF77A6"/>
    <w:rsid w:val="00E00203"/>
    <w:rsid w:val="00E03E1B"/>
    <w:rsid w:val="00E05C41"/>
    <w:rsid w:val="00E05C49"/>
    <w:rsid w:val="00E0621D"/>
    <w:rsid w:val="00E06E6B"/>
    <w:rsid w:val="00E12EEB"/>
    <w:rsid w:val="00E148F7"/>
    <w:rsid w:val="00E21A5F"/>
    <w:rsid w:val="00E2301C"/>
    <w:rsid w:val="00E238C2"/>
    <w:rsid w:val="00E24293"/>
    <w:rsid w:val="00E254EA"/>
    <w:rsid w:val="00E255B8"/>
    <w:rsid w:val="00E27F17"/>
    <w:rsid w:val="00E3106D"/>
    <w:rsid w:val="00E316A4"/>
    <w:rsid w:val="00E32512"/>
    <w:rsid w:val="00E3795A"/>
    <w:rsid w:val="00E402A3"/>
    <w:rsid w:val="00E419B6"/>
    <w:rsid w:val="00E4494F"/>
    <w:rsid w:val="00E464AC"/>
    <w:rsid w:val="00E46597"/>
    <w:rsid w:val="00E47E48"/>
    <w:rsid w:val="00E52317"/>
    <w:rsid w:val="00E531E7"/>
    <w:rsid w:val="00E53E81"/>
    <w:rsid w:val="00E54ABC"/>
    <w:rsid w:val="00E554F9"/>
    <w:rsid w:val="00E56D6D"/>
    <w:rsid w:val="00E570C0"/>
    <w:rsid w:val="00E57ACE"/>
    <w:rsid w:val="00E60803"/>
    <w:rsid w:val="00E614DC"/>
    <w:rsid w:val="00E61856"/>
    <w:rsid w:val="00E61ADA"/>
    <w:rsid w:val="00E6355A"/>
    <w:rsid w:val="00E63C08"/>
    <w:rsid w:val="00E7418D"/>
    <w:rsid w:val="00E7498E"/>
    <w:rsid w:val="00E75D71"/>
    <w:rsid w:val="00E80980"/>
    <w:rsid w:val="00E82758"/>
    <w:rsid w:val="00E82EEB"/>
    <w:rsid w:val="00E83793"/>
    <w:rsid w:val="00E8392F"/>
    <w:rsid w:val="00E83FAD"/>
    <w:rsid w:val="00E846FC"/>
    <w:rsid w:val="00E85312"/>
    <w:rsid w:val="00E85606"/>
    <w:rsid w:val="00E9032E"/>
    <w:rsid w:val="00E92765"/>
    <w:rsid w:val="00E92E50"/>
    <w:rsid w:val="00E97248"/>
    <w:rsid w:val="00E978F7"/>
    <w:rsid w:val="00E97F1F"/>
    <w:rsid w:val="00EA04CB"/>
    <w:rsid w:val="00EA2309"/>
    <w:rsid w:val="00EA34EE"/>
    <w:rsid w:val="00EA56B1"/>
    <w:rsid w:val="00EA5B57"/>
    <w:rsid w:val="00EA6530"/>
    <w:rsid w:val="00EA7383"/>
    <w:rsid w:val="00EB0248"/>
    <w:rsid w:val="00EB149B"/>
    <w:rsid w:val="00EB318E"/>
    <w:rsid w:val="00EB66A5"/>
    <w:rsid w:val="00EB6B00"/>
    <w:rsid w:val="00EB6B22"/>
    <w:rsid w:val="00ED07CD"/>
    <w:rsid w:val="00ED0CF8"/>
    <w:rsid w:val="00ED1D58"/>
    <w:rsid w:val="00ED2051"/>
    <w:rsid w:val="00ED2C5B"/>
    <w:rsid w:val="00ED4F28"/>
    <w:rsid w:val="00ED530B"/>
    <w:rsid w:val="00ED538C"/>
    <w:rsid w:val="00EE202F"/>
    <w:rsid w:val="00EE36FF"/>
    <w:rsid w:val="00EE39E3"/>
    <w:rsid w:val="00EE46D0"/>
    <w:rsid w:val="00EE49FB"/>
    <w:rsid w:val="00EE716A"/>
    <w:rsid w:val="00EF0E11"/>
    <w:rsid w:val="00EF12D6"/>
    <w:rsid w:val="00EF2CFE"/>
    <w:rsid w:val="00EF3191"/>
    <w:rsid w:val="00EF3EC1"/>
    <w:rsid w:val="00EF503A"/>
    <w:rsid w:val="00EF7566"/>
    <w:rsid w:val="00F00D42"/>
    <w:rsid w:val="00F01D0D"/>
    <w:rsid w:val="00F01D6B"/>
    <w:rsid w:val="00F02372"/>
    <w:rsid w:val="00F04169"/>
    <w:rsid w:val="00F0494E"/>
    <w:rsid w:val="00F04E14"/>
    <w:rsid w:val="00F05BDD"/>
    <w:rsid w:val="00F064E5"/>
    <w:rsid w:val="00F06BC4"/>
    <w:rsid w:val="00F10A19"/>
    <w:rsid w:val="00F11DE4"/>
    <w:rsid w:val="00F1229B"/>
    <w:rsid w:val="00F12D24"/>
    <w:rsid w:val="00F13286"/>
    <w:rsid w:val="00F13C55"/>
    <w:rsid w:val="00F154E4"/>
    <w:rsid w:val="00F16142"/>
    <w:rsid w:val="00F21075"/>
    <w:rsid w:val="00F21C92"/>
    <w:rsid w:val="00F2332D"/>
    <w:rsid w:val="00F23AFB"/>
    <w:rsid w:val="00F2586E"/>
    <w:rsid w:val="00F2660D"/>
    <w:rsid w:val="00F31536"/>
    <w:rsid w:val="00F32A73"/>
    <w:rsid w:val="00F32D7A"/>
    <w:rsid w:val="00F33ECC"/>
    <w:rsid w:val="00F3610A"/>
    <w:rsid w:val="00F367BE"/>
    <w:rsid w:val="00F40DA7"/>
    <w:rsid w:val="00F40E3F"/>
    <w:rsid w:val="00F43668"/>
    <w:rsid w:val="00F4374D"/>
    <w:rsid w:val="00F43CEF"/>
    <w:rsid w:val="00F456CB"/>
    <w:rsid w:val="00F50A60"/>
    <w:rsid w:val="00F51837"/>
    <w:rsid w:val="00F55684"/>
    <w:rsid w:val="00F55D3B"/>
    <w:rsid w:val="00F55E28"/>
    <w:rsid w:val="00F57F09"/>
    <w:rsid w:val="00F612A5"/>
    <w:rsid w:val="00F61B23"/>
    <w:rsid w:val="00F6242E"/>
    <w:rsid w:val="00F627D7"/>
    <w:rsid w:val="00F63A24"/>
    <w:rsid w:val="00F64470"/>
    <w:rsid w:val="00F64901"/>
    <w:rsid w:val="00F65A3E"/>
    <w:rsid w:val="00F739F5"/>
    <w:rsid w:val="00F80ABA"/>
    <w:rsid w:val="00F8257B"/>
    <w:rsid w:val="00F83526"/>
    <w:rsid w:val="00F8542C"/>
    <w:rsid w:val="00F918D5"/>
    <w:rsid w:val="00F91BF0"/>
    <w:rsid w:val="00F91C13"/>
    <w:rsid w:val="00F94587"/>
    <w:rsid w:val="00F97459"/>
    <w:rsid w:val="00F97B7E"/>
    <w:rsid w:val="00FA030B"/>
    <w:rsid w:val="00FA0373"/>
    <w:rsid w:val="00FA44EE"/>
    <w:rsid w:val="00FA6595"/>
    <w:rsid w:val="00FB0CEE"/>
    <w:rsid w:val="00FB23A0"/>
    <w:rsid w:val="00FB24FB"/>
    <w:rsid w:val="00FB2BE4"/>
    <w:rsid w:val="00FB308F"/>
    <w:rsid w:val="00FB3111"/>
    <w:rsid w:val="00FB3A12"/>
    <w:rsid w:val="00FB4A8B"/>
    <w:rsid w:val="00FB5B2B"/>
    <w:rsid w:val="00FB604C"/>
    <w:rsid w:val="00FB78D9"/>
    <w:rsid w:val="00FC25C0"/>
    <w:rsid w:val="00FC3F9E"/>
    <w:rsid w:val="00FC6710"/>
    <w:rsid w:val="00FC6BED"/>
    <w:rsid w:val="00FC76C5"/>
    <w:rsid w:val="00FD19E2"/>
    <w:rsid w:val="00FD1FBC"/>
    <w:rsid w:val="00FD3191"/>
    <w:rsid w:val="00FD3BD4"/>
    <w:rsid w:val="00FD42FC"/>
    <w:rsid w:val="00FD46FC"/>
    <w:rsid w:val="00FD53D4"/>
    <w:rsid w:val="00FE072D"/>
    <w:rsid w:val="00FE0E5A"/>
    <w:rsid w:val="00FE0EA0"/>
    <w:rsid w:val="00FE1090"/>
    <w:rsid w:val="00FE1978"/>
    <w:rsid w:val="00FE3186"/>
    <w:rsid w:val="00FE3D3D"/>
    <w:rsid w:val="00FE45CE"/>
    <w:rsid w:val="00FE7CF4"/>
    <w:rsid w:val="00FF18F9"/>
    <w:rsid w:val="00FF2A2C"/>
    <w:rsid w:val="00FF3A4A"/>
    <w:rsid w:val="00FF42FD"/>
    <w:rsid w:val="00FF53A9"/>
    <w:rsid w:val="00FF74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059E3FD"/>
  <w15:chartTrackingRefBased/>
  <w15:docId w15:val="{E91509D4-17C3-4452-89A5-6EBF85DD1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82B"/>
    <w:pPr>
      <w:spacing w:after="100" w:line="264" w:lineRule="auto"/>
    </w:pPr>
    <w:rPr>
      <w:rFonts w:ascii="Arial" w:hAnsi="Arial"/>
    </w:rPr>
  </w:style>
  <w:style w:type="paragraph" w:styleId="Heading1">
    <w:name w:val="heading 1"/>
    <w:basedOn w:val="Normal"/>
    <w:next w:val="Normal"/>
    <w:link w:val="Heading1Char"/>
    <w:uiPriority w:val="9"/>
    <w:qFormat/>
    <w:rsid w:val="009A0A07"/>
    <w:pPr>
      <w:keepNext/>
      <w:keepLines/>
      <w:spacing w:before="480" w:after="0" w:line="276" w:lineRule="auto"/>
      <w:outlineLvl w:val="0"/>
    </w:pPr>
    <w:rPr>
      <w:rFonts w:eastAsiaTheme="majorEastAsia" w:cstheme="majorBidi"/>
      <w:b/>
      <w:color w:val="4B0885" w:themeColor="text2"/>
      <w:sz w:val="56"/>
      <w:szCs w:val="32"/>
    </w:rPr>
  </w:style>
  <w:style w:type="paragraph" w:styleId="Heading2">
    <w:name w:val="heading 2"/>
    <w:basedOn w:val="Normal"/>
    <w:next w:val="Normal"/>
    <w:link w:val="Heading2Char"/>
    <w:uiPriority w:val="9"/>
    <w:unhideWhenUsed/>
    <w:qFormat/>
    <w:rsid w:val="00D12938"/>
    <w:pPr>
      <w:keepNext/>
      <w:keepLines/>
      <w:spacing w:before="240" w:after="0" w:line="276" w:lineRule="auto"/>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D12938"/>
    <w:pPr>
      <w:keepNext/>
      <w:keepLines/>
      <w:spacing w:before="240" w:after="0" w:line="276" w:lineRule="auto"/>
      <w:outlineLvl w:val="2"/>
    </w:pPr>
    <w:rPr>
      <w:rFonts w:eastAsiaTheme="majorEastAsia" w:cstheme="majorBidi"/>
      <w:b/>
      <w:color w:val="4B0885" w:themeColor="text2"/>
      <w:sz w:val="26"/>
      <w:szCs w:val="24"/>
    </w:rPr>
  </w:style>
  <w:style w:type="paragraph" w:styleId="Heading4">
    <w:name w:val="heading 4"/>
    <w:basedOn w:val="Normal"/>
    <w:next w:val="Normal"/>
    <w:link w:val="Heading4Char"/>
    <w:uiPriority w:val="9"/>
    <w:unhideWhenUsed/>
    <w:qFormat/>
    <w:rsid w:val="00D12938"/>
    <w:pPr>
      <w:spacing w:before="240" w:after="0" w:line="276" w:lineRule="auto"/>
      <w:outlineLvl w:val="3"/>
    </w:pPr>
    <w:rPr>
      <w:rFonts w:cs="Arial"/>
      <w:b/>
      <w:bCs/>
      <w:color w:val="012749" w:themeColor="accent3"/>
    </w:rPr>
  </w:style>
  <w:style w:type="paragraph" w:styleId="Heading5">
    <w:name w:val="heading 5"/>
    <w:basedOn w:val="Normal"/>
    <w:next w:val="Normal"/>
    <w:link w:val="Heading5Char"/>
    <w:uiPriority w:val="9"/>
    <w:unhideWhenUsed/>
    <w:qFormat/>
    <w:rsid w:val="00D12938"/>
    <w:pPr>
      <w:spacing w:before="240" w:after="0" w:line="276" w:lineRule="auto"/>
      <w:outlineLvl w:val="4"/>
    </w:pPr>
    <w:rPr>
      <w:rFonts w:cs="Arial"/>
      <w:color w:val="4B0885" w:themeColor="text2"/>
      <w:sz w:val="19"/>
      <w:szCs w:val="19"/>
    </w:rPr>
  </w:style>
  <w:style w:type="paragraph" w:styleId="Heading6">
    <w:name w:val="heading 6"/>
    <w:basedOn w:val="Normal"/>
    <w:next w:val="Normal"/>
    <w:link w:val="Heading6Char"/>
    <w:uiPriority w:val="9"/>
    <w:unhideWhenUsed/>
    <w:qFormat/>
    <w:rsid w:val="00D12938"/>
    <w:pPr>
      <w:keepNext/>
      <w:keepLines/>
      <w:spacing w:before="240" w:after="0" w:line="276" w:lineRule="auto"/>
      <w:outlineLvl w:val="5"/>
    </w:pPr>
    <w:rPr>
      <w:rFonts w:eastAsiaTheme="majorEastAsia" w:cstheme="majorBidi"/>
      <w:color w:val="341461" w:themeColor="accent1" w:themeShade="7F"/>
    </w:rPr>
  </w:style>
  <w:style w:type="paragraph" w:styleId="Heading7">
    <w:name w:val="heading 7"/>
    <w:basedOn w:val="Normal"/>
    <w:next w:val="Normal"/>
    <w:link w:val="Heading7Char"/>
    <w:uiPriority w:val="9"/>
    <w:unhideWhenUsed/>
    <w:rsid w:val="00642A9A"/>
    <w:pPr>
      <w:keepNext/>
      <w:keepLines/>
      <w:spacing w:before="240" w:after="0"/>
      <w:outlineLvl w:val="6"/>
    </w:pPr>
    <w:rPr>
      <w:rFonts w:asciiTheme="majorHAnsi" w:eastAsiaTheme="majorEastAsia" w:hAnsiTheme="majorHAnsi" w:cstheme="majorBidi"/>
      <w:i/>
      <w:iCs/>
      <w:color w:val="341461" w:themeColor="accent1" w:themeShade="7F"/>
    </w:rPr>
  </w:style>
  <w:style w:type="paragraph" w:styleId="Heading8">
    <w:name w:val="heading 8"/>
    <w:basedOn w:val="Normal"/>
    <w:next w:val="Normal"/>
    <w:link w:val="Heading8Char"/>
    <w:uiPriority w:val="9"/>
    <w:semiHidden/>
    <w:unhideWhenUsed/>
    <w:rsid w:val="00642A9A"/>
    <w:pPr>
      <w:keepNext/>
      <w:keepLines/>
      <w:spacing w:before="2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42A9A"/>
    <w:pPr>
      <w:keepNext/>
      <w:keepLines/>
      <w:spacing w:before="2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UnresolvedMention">
    <w:name w:val="Unresolved Mention"/>
    <w:basedOn w:val="DefaultParagraphFont"/>
    <w:uiPriority w:val="99"/>
    <w:semiHidden/>
    <w:unhideWhenUsed/>
    <w:rsid w:val="00E82EEB"/>
    <w:rPr>
      <w:color w:val="605E5C"/>
      <w:shd w:val="clear" w:color="auto" w:fill="E1DFDD"/>
    </w:rPr>
  </w:style>
  <w:style w:type="paragraph" w:styleId="Footer">
    <w:name w:val="footer"/>
    <w:basedOn w:val="Normal"/>
    <w:link w:val="FooterChar"/>
    <w:uiPriority w:val="99"/>
    <w:unhideWhenUsed/>
    <w:rsid w:val="00991526"/>
    <w:pPr>
      <w:tabs>
        <w:tab w:val="right" w:pos="9026"/>
      </w:tabs>
      <w:spacing w:before="20" w:after="0" w:line="240" w:lineRule="auto"/>
    </w:pPr>
    <w:rPr>
      <w:sz w:val="17"/>
      <w:szCs w:val="17"/>
    </w:rPr>
  </w:style>
  <w:style w:type="character" w:customStyle="1" w:styleId="FooterChar">
    <w:name w:val="Footer Char"/>
    <w:basedOn w:val="DefaultParagraphFont"/>
    <w:link w:val="Footer"/>
    <w:uiPriority w:val="99"/>
    <w:rsid w:val="00991526"/>
    <w:rPr>
      <w:color w:val="000000" w:themeColor="text1"/>
      <w:sz w:val="17"/>
      <w:szCs w:val="17"/>
    </w:rPr>
  </w:style>
  <w:style w:type="paragraph" w:styleId="Title">
    <w:name w:val="Title"/>
    <w:basedOn w:val="Normal"/>
    <w:next w:val="Normal"/>
    <w:link w:val="TitleChar"/>
    <w:uiPriority w:val="1"/>
    <w:rsid w:val="00233A75"/>
    <w:pPr>
      <w:spacing w:before="2600" w:after="240" w:line="252" w:lineRule="auto"/>
    </w:pPr>
    <w:rPr>
      <w:rFonts w:asciiTheme="majorHAnsi" w:eastAsiaTheme="majorEastAsia" w:hAnsiTheme="majorHAnsi" w:cstheme="majorBidi"/>
      <w:b/>
      <w:color w:val="FFFFFF" w:themeColor="background1"/>
      <w:spacing w:val="-2"/>
      <w:kern w:val="28"/>
      <w:sz w:val="80"/>
      <w:szCs w:val="80"/>
    </w:rPr>
  </w:style>
  <w:style w:type="character" w:customStyle="1" w:styleId="TitleChar">
    <w:name w:val="Title Char"/>
    <w:basedOn w:val="DefaultParagraphFont"/>
    <w:link w:val="Title"/>
    <w:uiPriority w:val="1"/>
    <w:rsid w:val="00233A75"/>
    <w:rPr>
      <w:rFonts w:asciiTheme="majorHAnsi" w:eastAsiaTheme="majorEastAsia" w:hAnsiTheme="majorHAnsi" w:cstheme="majorBidi"/>
      <w:b/>
      <w:color w:val="FFFFFF" w:themeColor="background1"/>
      <w:spacing w:val="-2"/>
      <w:kern w:val="28"/>
      <w:sz w:val="80"/>
      <w:szCs w:val="80"/>
    </w:rPr>
  </w:style>
  <w:style w:type="character" w:customStyle="1" w:styleId="Heading1Char">
    <w:name w:val="Heading 1 Char"/>
    <w:basedOn w:val="DefaultParagraphFont"/>
    <w:link w:val="Heading1"/>
    <w:uiPriority w:val="9"/>
    <w:rsid w:val="009A0A07"/>
    <w:rPr>
      <w:rFonts w:ascii="Arial" w:eastAsiaTheme="majorEastAsia" w:hAnsi="Arial" w:cstheme="majorBidi"/>
      <w:b/>
      <w:color w:val="4B0885" w:themeColor="text2"/>
      <w:sz w:val="56"/>
      <w:szCs w:val="32"/>
    </w:rPr>
  </w:style>
  <w:style w:type="paragraph" w:styleId="TOCHeading">
    <w:name w:val="TOC Heading"/>
    <w:basedOn w:val="Heading1"/>
    <w:next w:val="Normal"/>
    <w:uiPriority w:val="39"/>
    <w:unhideWhenUsed/>
    <w:qFormat/>
    <w:rsid w:val="007177A7"/>
    <w:pPr>
      <w:outlineLvl w:val="9"/>
    </w:pPr>
    <w:rPr>
      <w:lang w:val="en-US"/>
    </w:rPr>
  </w:style>
  <w:style w:type="paragraph" w:styleId="ListParagraph">
    <w:name w:val="List Paragraph"/>
    <w:basedOn w:val="Normal"/>
    <w:uiPriority w:val="34"/>
    <w:qFormat/>
    <w:rsid w:val="00E148F7"/>
    <w:pPr>
      <w:ind w:left="720"/>
      <w:contextualSpacing/>
    </w:pPr>
  </w:style>
  <w:style w:type="table" w:styleId="TableGrid">
    <w:name w:val="Table Grid"/>
    <w:basedOn w:val="TableNormal"/>
    <w:uiPriority w:val="39"/>
    <w:rsid w:val="00F4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DBD"/>
    <w:rPr>
      <w:sz w:val="16"/>
      <w:szCs w:val="16"/>
    </w:rPr>
  </w:style>
  <w:style w:type="paragraph" w:styleId="CommentText">
    <w:name w:val="annotation text"/>
    <w:basedOn w:val="Normal"/>
    <w:link w:val="CommentTextChar"/>
    <w:uiPriority w:val="99"/>
    <w:unhideWhenUsed/>
    <w:rsid w:val="007F7DBD"/>
    <w:pPr>
      <w:spacing w:line="240" w:lineRule="auto"/>
    </w:pPr>
    <w:rPr>
      <w:sz w:val="20"/>
      <w:szCs w:val="20"/>
    </w:rPr>
  </w:style>
  <w:style w:type="character" w:customStyle="1" w:styleId="CommentTextChar">
    <w:name w:val="Comment Text Char"/>
    <w:basedOn w:val="DefaultParagraphFont"/>
    <w:link w:val="CommentText"/>
    <w:uiPriority w:val="99"/>
    <w:rsid w:val="007F7DBD"/>
    <w:rPr>
      <w:sz w:val="20"/>
      <w:szCs w:val="20"/>
    </w:rPr>
  </w:style>
  <w:style w:type="paragraph" w:styleId="CommentSubject">
    <w:name w:val="annotation subject"/>
    <w:basedOn w:val="CommentText"/>
    <w:next w:val="CommentText"/>
    <w:link w:val="CommentSubjectChar"/>
    <w:uiPriority w:val="99"/>
    <w:semiHidden/>
    <w:unhideWhenUsed/>
    <w:rsid w:val="007F7DBD"/>
    <w:rPr>
      <w:b/>
      <w:bCs/>
    </w:rPr>
  </w:style>
  <w:style w:type="character" w:customStyle="1" w:styleId="CommentSubjectChar">
    <w:name w:val="Comment Subject Char"/>
    <w:basedOn w:val="CommentTextChar"/>
    <w:link w:val="CommentSubject"/>
    <w:uiPriority w:val="99"/>
    <w:semiHidden/>
    <w:rsid w:val="007F7DBD"/>
    <w:rPr>
      <w:b/>
      <w:bCs/>
      <w:sz w:val="20"/>
      <w:szCs w:val="20"/>
    </w:rPr>
  </w:style>
  <w:style w:type="paragraph" w:styleId="NoSpacing">
    <w:name w:val="No Spacing"/>
    <w:uiPriority w:val="1"/>
    <w:qFormat/>
    <w:rsid w:val="006C282B"/>
    <w:pPr>
      <w:spacing w:after="0" w:line="240" w:lineRule="auto"/>
    </w:pPr>
    <w:rPr>
      <w:rFonts w:ascii="Arial" w:hAnsi="Arial"/>
    </w:rPr>
  </w:style>
  <w:style w:type="table" w:styleId="PlainTable4">
    <w:name w:val="Plain Table 4"/>
    <w:basedOn w:val="TableNormal"/>
    <w:uiPriority w:val="44"/>
    <w:rsid w:val="006066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
    <w:name w:val="List Bullet"/>
    <w:basedOn w:val="Normal"/>
    <w:qFormat/>
    <w:rsid w:val="006C282B"/>
    <w:pPr>
      <w:numPr>
        <w:numId w:val="7"/>
      </w:numPr>
      <w:spacing w:after="120"/>
      <w:ind w:left="284" w:hanging="284"/>
    </w:pPr>
    <w:rPr>
      <w:rFonts w:eastAsia="SimSun" w:cs="Times New Roman"/>
      <w:spacing w:val="-1"/>
      <w:szCs w:val="20"/>
      <w:lang w:val="en-GB" w:eastAsia="en-GB"/>
    </w:rPr>
  </w:style>
  <w:style w:type="character" w:customStyle="1" w:styleId="Heading2Char">
    <w:name w:val="Heading 2 Char"/>
    <w:basedOn w:val="DefaultParagraphFont"/>
    <w:link w:val="Heading2"/>
    <w:uiPriority w:val="9"/>
    <w:rsid w:val="00D12938"/>
    <w:rPr>
      <w:rFonts w:ascii="Arial" w:eastAsiaTheme="majorEastAsia" w:hAnsi="Arial" w:cstheme="majorBidi"/>
      <w:b/>
      <w:sz w:val="32"/>
      <w:szCs w:val="26"/>
    </w:rPr>
  </w:style>
  <w:style w:type="paragraph" w:styleId="TOC1">
    <w:name w:val="toc 1"/>
    <w:basedOn w:val="Normal"/>
    <w:next w:val="Normal"/>
    <w:uiPriority w:val="39"/>
    <w:unhideWhenUsed/>
    <w:rsid w:val="00A3043E"/>
    <w:rPr>
      <w:b/>
      <w:color w:val="4B0885" w:themeColor="text2"/>
    </w:rPr>
  </w:style>
  <w:style w:type="character" w:customStyle="1" w:styleId="Heading3Char">
    <w:name w:val="Heading 3 Char"/>
    <w:basedOn w:val="DefaultParagraphFont"/>
    <w:link w:val="Heading3"/>
    <w:uiPriority w:val="9"/>
    <w:rsid w:val="00D12938"/>
    <w:rPr>
      <w:rFonts w:ascii="Arial" w:eastAsiaTheme="majorEastAsia" w:hAnsi="Arial" w:cstheme="majorBidi"/>
      <w:b/>
      <w:color w:val="4B0885" w:themeColor="text2"/>
      <w:sz w:val="26"/>
      <w:szCs w:val="24"/>
    </w:rPr>
  </w:style>
  <w:style w:type="paragraph" w:styleId="TOC2">
    <w:name w:val="toc 2"/>
    <w:basedOn w:val="Normal"/>
    <w:next w:val="Normal"/>
    <w:uiPriority w:val="39"/>
    <w:unhideWhenUsed/>
    <w:rsid w:val="00233A75"/>
    <w:pPr>
      <w:ind w:left="227"/>
    </w:pPr>
  </w:style>
  <w:style w:type="paragraph" w:styleId="TOC4">
    <w:name w:val="toc 4"/>
    <w:basedOn w:val="Normal"/>
    <w:next w:val="Normal"/>
    <w:autoRedefine/>
    <w:uiPriority w:val="39"/>
    <w:unhideWhenUsed/>
    <w:rsid w:val="007B2AD6"/>
    <w:pPr>
      <w:tabs>
        <w:tab w:val="right" w:leader="dot" w:pos="9016"/>
      </w:tabs>
      <w:ind w:left="220"/>
    </w:pPr>
  </w:style>
  <w:style w:type="paragraph" w:styleId="TOC3">
    <w:name w:val="toc 3"/>
    <w:basedOn w:val="Normal"/>
    <w:next w:val="Normal"/>
    <w:uiPriority w:val="39"/>
    <w:unhideWhenUsed/>
    <w:rsid w:val="00233A75"/>
    <w:pPr>
      <w:tabs>
        <w:tab w:val="right" w:leader="dot" w:pos="9016"/>
      </w:tabs>
      <w:ind w:left="454"/>
    </w:pPr>
  </w:style>
  <w:style w:type="paragraph" w:styleId="TOC5">
    <w:name w:val="toc 5"/>
    <w:basedOn w:val="Normal"/>
    <w:next w:val="Normal"/>
    <w:autoRedefine/>
    <w:uiPriority w:val="39"/>
    <w:unhideWhenUsed/>
    <w:rsid w:val="007B2AD6"/>
    <w:pPr>
      <w:tabs>
        <w:tab w:val="right" w:leader="dot" w:pos="9016"/>
      </w:tabs>
      <w:ind w:left="220"/>
    </w:pPr>
  </w:style>
  <w:style w:type="character" w:styleId="Hyperlink">
    <w:name w:val="Hyperlink"/>
    <w:basedOn w:val="DefaultParagraphFont"/>
    <w:uiPriority w:val="99"/>
    <w:unhideWhenUsed/>
    <w:rsid w:val="00A93DF6"/>
    <w:rPr>
      <w:color w:val="013D74" w:themeColor="hyperlink"/>
      <w:u w:val="single"/>
    </w:rPr>
  </w:style>
  <w:style w:type="paragraph" w:styleId="ListBullet2">
    <w:name w:val="List Bullet 2"/>
    <w:basedOn w:val="Normal"/>
    <w:qFormat/>
    <w:rsid w:val="006C282B"/>
    <w:pPr>
      <w:numPr>
        <w:ilvl w:val="1"/>
        <w:numId w:val="7"/>
      </w:numPr>
      <w:spacing w:after="110"/>
      <w:ind w:left="568" w:hanging="284"/>
    </w:pPr>
    <w:rPr>
      <w:rFonts w:eastAsia="SimSun" w:cs="Times New Roman"/>
      <w:spacing w:val="-1"/>
      <w:szCs w:val="20"/>
      <w:lang w:val="en-GB" w:eastAsia="en-GB"/>
    </w:rPr>
  </w:style>
  <w:style w:type="paragraph" w:styleId="ListBullet3">
    <w:name w:val="List Bullet 3"/>
    <w:basedOn w:val="Normal"/>
    <w:rsid w:val="00BE68F3"/>
    <w:pPr>
      <w:numPr>
        <w:ilvl w:val="2"/>
        <w:numId w:val="7"/>
      </w:numPr>
      <w:spacing w:line="240" w:lineRule="atLeast"/>
    </w:pPr>
    <w:rPr>
      <w:rFonts w:eastAsia="SimSun" w:cs="Times New Roman"/>
      <w:spacing w:val="-1"/>
      <w:szCs w:val="20"/>
      <w:lang w:val="en-GB" w:eastAsia="en-GB"/>
    </w:rPr>
  </w:style>
  <w:style w:type="paragraph" w:styleId="ListBullet4">
    <w:name w:val="List Bullet 4"/>
    <w:basedOn w:val="ListBullet3"/>
    <w:semiHidden/>
    <w:rsid w:val="00597EF7"/>
    <w:pPr>
      <w:numPr>
        <w:ilvl w:val="3"/>
      </w:numPr>
    </w:pPr>
  </w:style>
  <w:style w:type="character" w:customStyle="1" w:styleId="Heading4Char">
    <w:name w:val="Heading 4 Char"/>
    <w:basedOn w:val="DefaultParagraphFont"/>
    <w:link w:val="Heading4"/>
    <w:uiPriority w:val="9"/>
    <w:rsid w:val="00D12938"/>
    <w:rPr>
      <w:rFonts w:ascii="Arial" w:hAnsi="Arial" w:cs="Arial"/>
      <w:b/>
      <w:bCs/>
      <w:color w:val="012749" w:themeColor="accent3"/>
    </w:rPr>
  </w:style>
  <w:style w:type="character" w:customStyle="1" w:styleId="Heading5Char">
    <w:name w:val="Heading 5 Char"/>
    <w:basedOn w:val="DefaultParagraphFont"/>
    <w:link w:val="Heading5"/>
    <w:uiPriority w:val="9"/>
    <w:rsid w:val="00D12938"/>
    <w:rPr>
      <w:rFonts w:ascii="Arial" w:hAnsi="Arial" w:cs="Arial"/>
      <w:color w:val="4B0885" w:themeColor="text2"/>
      <w:sz w:val="19"/>
      <w:szCs w:val="19"/>
    </w:rPr>
  </w:style>
  <w:style w:type="character" w:customStyle="1" w:styleId="Heading6Char">
    <w:name w:val="Heading 6 Char"/>
    <w:basedOn w:val="DefaultParagraphFont"/>
    <w:link w:val="Heading6"/>
    <w:uiPriority w:val="9"/>
    <w:rsid w:val="00D12938"/>
    <w:rPr>
      <w:rFonts w:ascii="Arial" w:eastAsiaTheme="majorEastAsia" w:hAnsi="Arial" w:cstheme="majorBidi"/>
      <w:color w:val="341461" w:themeColor="accent1" w:themeShade="7F"/>
    </w:rPr>
  </w:style>
  <w:style w:type="character" w:customStyle="1" w:styleId="Heading7Char">
    <w:name w:val="Heading 7 Char"/>
    <w:basedOn w:val="DefaultParagraphFont"/>
    <w:link w:val="Heading7"/>
    <w:uiPriority w:val="9"/>
    <w:rsid w:val="00642A9A"/>
    <w:rPr>
      <w:rFonts w:asciiTheme="majorHAnsi" w:eastAsiaTheme="majorEastAsia" w:hAnsiTheme="majorHAnsi" w:cstheme="majorBidi"/>
      <w:i/>
      <w:iCs/>
      <w:color w:val="341461" w:themeColor="accent1" w:themeShade="7F"/>
    </w:rPr>
  </w:style>
  <w:style w:type="paragraph" w:styleId="Header">
    <w:name w:val="header"/>
    <w:basedOn w:val="Normal"/>
    <w:link w:val="HeaderChar"/>
    <w:uiPriority w:val="99"/>
    <w:unhideWhenUsed/>
    <w:rsid w:val="00C40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E20"/>
    <w:rPr>
      <w:rFonts w:ascii="Arial" w:hAnsi="Arial"/>
      <w:color w:val="000000" w:themeColor="text1"/>
    </w:rPr>
  </w:style>
  <w:style w:type="paragraph" w:styleId="Caption">
    <w:name w:val="caption"/>
    <w:basedOn w:val="Normal"/>
    <w:next w:val="Normal"/>
    <w:uiPriority w:val="35"/>
    <w:unhideWhenUsed/>
    <w:qFormat/>
    <w:rsid w:val="00642A9A"/>
    <w:pPr>
      <w:keepNext/>
      <w:spacing w:before="320" w:after="200" w:line="240" w:lineRule="auto"/>
    </w:pPr>
    <w:rPr>
      <w:b/>
      <w:bCs/>
      <w:sz w:val="18"/>
      <w:szCs w:val="18"/>
    </w:rPr>
  </w:style>
  <w:style w:type="paragraph" w:styleId="Subtitle">
    <w:name w:val="Subtitle"/>
    <w:basedOn w:val="Normal"/>
    <w:next w:val="Normal"/>
    <w:link w:val="SubtitleChar"/>
    <w:uiPriority w:val="1"/>
    <w:rsid w:val="00233A75"/>
    <w:pPr>
      <w:numPr>
        <w:ilvl w:val="1"/>
      </w:numPr>
      <w:spacing w:before="480" w:after="160"/>
    </w:pPr>
    <w:rPr>
      <w:rFonts w:asciiTheme="majorHAnsi" w:eastAsiaTheme="minorEastAsia" w:hAnsiTheme="majorHAnsi"/>
      <w:color w:val="FFFFFF" w:themeColor="background1"/>
      <w:sz w:val="48"/>
      <w:szCs w:val="48"/>
    </w:rPr>
  </w:style>
  <w:style w:type="character" w:customStyle="1" w:styleId="SubtitleChar">
    <w:name w:val="Subtitle Char"/>
    <w:basedOn w:val="DefaultParagraphFont"/>
    <w:link w:val="Subtitle"/>
    <w:uiPriority w:val="1"/>
    <w:rsid w:val="00233A75"/>
    <w:rPr>
      <w:rFonts w:asciiTheme="majorHAnsi" w:eastAsiaTheme="minorEastAsia" w:hAnsiTheme="majorHAnsi"/>
      <w:color w:val="FFFFFF" w:themeColor="background1"/>
      <w:sz w:val="48"/>
      <w:szCs w:val="48"/>
    </w:rPr>
  </w:style>
  <w:style w:type="paragraph" w:customStyle="1" w:styleId="Spacer">
    <w:name w:val="Spacer"/>
    <w:basedOn w:val="NoSpacing"/>
    <w:qFormat/>
    <w:rsid w:val="00506CD7"/>
    <w:pPr>
      <w:tabs>
        <w:tab w:val="left" w:pos="2906"/>
      </w:tabs>
    </w:pPr>
    <w:rPr>
      <w:rFonts w:ascii="Times New Roman" w:hAnsi="Times New Roman" w:cs="Times New Roman"/>
      <w:bCs/>
      <w:noProof/>
      <w:color w:val="E55493" w:themeColor="accent6" w:themeTint="99"/>
      <w:spacing w:val="-5"/>
      <w:sz w:val="6"/>
      <w:szCs w:val="23"/>
    </w:rPr>
  </w:style>
  <w:style w:type="character" w:styleId="PlaceholderText">
    <w:name w:val="Placeholder Text"/>
    <w:basedOn w:val="DefaultParagraphFont"/>
    <w:uiPriority w:val="99"/>
    <w:semiHidden/>
    <w:rsid w:val="00C6447C"/>
    <w:rPr>
      <w:color w:val="808080"/>
    </w:rPr>
  </w:style>
  <w:style w:type="paragraph" w:customStyle="1" w:styleId="Source">
    <w:name w:val="Source"/>
    <w:basedOn w:val="Normal"/>
    <w:next w:val="Normal"/>
    <w:qFormat/>
    <w:rsid w:val="00AF2783"/>
    <w:pPr>
      <w:spacing w:before="120" w:after="120"/>
    </w:pPr>
    <w:rPr>
      <w:sz w:val="18"/>
      <w:szCs w:val="18"/>
    </w:rPr>
  </w:style>
  <w:style w:type="paragraph" w:styleId="MacroText">
    <w:name w:val="macro"/>
    <w:link w:val="MacroTextChar"/>
    <w:uiPriority w:val="99"/>
    <w:unhideWhenUsed/>
    <w:rsid w:val="00AF278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rsid w:val="00AF2783"/>
    <w:rPr>
      <w:rFonts w:ascii="Consolas" w:hAnsi="Consolas"/>
      <w:sz w:val="20"/>
      <w:szCs w:val="20"/>
    </w:rPr>
  </w:style>
  <w:style w:type="table" w:customStyle="1" w:styleId="JSATable1">
    <w:name w:val="JSA Table 1"/>
    <w:basedOn w:val="TableNormal"/>
    <w:uiPriority w:val="99"/>
    <w:rsid w:val="00D73EA4"/>
    <w:pPr>
      <w:spacing w:after="0" w:line="240" w:lineRule="auto"/>
    </w:pPr>
    <w:tblPr>
      <w:tblStyleRowBandSize w:val="1"/>
      <w:tblBorders>
        <w:bottom w:val="single" w:sz="4" w:space="0" w:color="4B0885"/>
      </w:tblBorders>
    </w:tblPr>
    <w:tblStylePr w:type="firstRow">
      <w:tblPr/>
      <w:tcPr>
        <w:shd w:val="clear" w:color="auto" w:fill="2F005F"/>
      </w:tcPr>
    </w:tblStylePr>
    <w:tblStylePr w:type="band2Horz">
      <w:tblPr/>
      <w:tcPr>
        <w:shd w:val="clear" w:color="auto" w:fill="E6E6E6"/>
      </w:tcPr>
    </w:tblStylePr>
  </w:style>
  <w:style w:type="table" w:customStyle="1" w:styleId="JSATable2">
    <w:name w:val="JSA Table 2"/>
    <w:basedOn w:val="TableNormal"/>
    <w:uiPriority w:val="99"/>
    <w:rsid w:val="00A74E0F"/>
    <w:pPr>
      <w:spacing w:after="0" w:line="240" w:lineRule="auto"/>
    </w:pPr>
    <w:tblPr>
      <w:tblStyleRowBandSize w:val="1"/>
      <w:tblBorders>
        <w:bottom w:val="single" w:sz="4" w:space="0" w:color="A584C2"/>
      </w:tblBorders>
    </w:tblPr>
    <w:tblStylePr w:type="firstRow">
      <w:rPr>
        <w:rFonts w:asciiTheme="majorHAnsi" w:hAnsiTheme="majorHAnsi"/>
        <w:color w:val="FFFFFF" w:themeColor="background1"/>
        <w:sz w:val="22"/>
      </w:rPr>
      <w:tblPr/>
      <w:tcPr>
        <w:shd w:val="clear" w:color="auto" w:fill="012749" w:themeFill="accent3"/>
      </w:tcPr>
    </w:tblStylePr>
    <w:tblStylePr w:type="band2Horz">
      <w:tblPr/>
      <w:tcPr>
        <w:shd w:val="clear" w:color="auto" w:fill="E6E6E6"/>
      </w:tcPr>
    </w:tblStylePr>
  </w:style>
  <w:style w:type="paragraph" w:styleId="Index7">
    <w:name w:val="index 7"/>
    <w:basedOn w:val="Normal"/>
    <w:next w:val="Normal"/>
    <w:autoRedefine/>
    <w:uiPriority w:val="99"/>
    <w:semiHidden/>
    <w:unhideWhenUsed/>
    <w:rsid w:val="00244550"/>
    <w:pPr>
      <w:spacing w:before="240" w:after="0" w:line="240" w:lineRule="auto"/>
      <w:ind w:left="1542" w:hanging="221"/>
    </w:pPr>
  </w:style>
  <w:style w:type="character" w:customStyle="1" w:styleId="Heading8Char">
    <w:name w:val="Heading 8 Char"/>
    <w:basedOn w:val="DefaultParagraphFont"/>
    <w:link w:val="Heading8"/>
    <w:uiPriority w:val="9"/>
    <w:semiHidden/>
    <w:rsid w:val="00642A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2A9A"/>
    <w:rPr>
      <w:rFonts w:asciiTheme="majorHAnsi" w:eastAsiaTheme="majorEastAsia" w:hAnsiTheme="majorHAnsi" w:cstheme="majorBidi"/>
      <w:i/>
      <w:iCs/>
      <w:color w:val="272727" w:themeColor="text1" w:themeTint="D8"/>
      <w:sz w:val="21"/>
      <w:szCs w:val="21"/>
    </w:rPr>
  </w:style>
  <w:style w:type="character" w:customStyle="1" w:styleId="StrongandEmphasis">
    <w:name w:val="Strong and Emphasis"/>
    <w:basedOn w:val="DefaultParagraphFont"/>
    <w:uiPriority w:val="1"/>
    <w:qFormat/>
    <w:rsid w:val="00D12938"/>
    <w:rPr>
      <w:rFonts w:ascii="Arial" w:hAnsi="Arial"/>
      <w:b/>
      <w:i/>
      <w:sz w:val="22"/>
    </w:rPr>
  </w:style>
  <w:style w:type="character" w:styleId="Emphasis">
    <w:name w:val="Emphasis"/>
    <w:basedOn w:val="DefaultParagraphFont"/>
    <w:uiPriority w:val="20"/>
    <w:qFormat/>
    <w:rsid w:val="002927DB"/>
    <w:rPr>
      <w:rFonts w:ascii="Arial" w:hAnsi="Arial"/>
      <w:i/>
      <w:iCs/>
      <w:sz w:val="22"/>
    </w:rPr>
  </w:style>
  <w:style w:type="character" w:styleId="Strong">
    <w:name w:val="Strong"/>
    <w:basedOn w:val="DefaultParagraphFont"/>
    <w:uiPriority w:val="22"/>
    <w:qFormat/>
    <w:rsid w:val="00DB0916"/>
    <w:rPr>
      <w:rFonts w:ascii="Arial" w:hAnsi="Arial"/>
      <w:b/>
      <w:bCs/>
      <w:sz w:val="22"/>
    </w:rPr>
  </w:style>
  <w:style w:type="paragraph" w:styleId="Quote">
    <w:name w:val="Quote"/>
    <w:basedOn w:val="Normal"/>
    <w:next w:val="Normal"/>
    <w:link w:val="QuoteChar"/>
    <w:uiPriority w:val="29"/>
    <w:qFormat/>
    <w:rsid w:val="00DB091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B0916"/>
    <w:rPr>
      <w:rFonts w:ascii="Arial" w:hAnsi="Arial"/>
      <w:i/>
      <w:iCs/>
      <w:color w:val="404040" w:themeColor="text1" w:themeTint="BF"/>
    </w:rPr>
  </w:style>
  <w:style w:type="paragraph" w:customStyle="1" w:styleId="Sub">
    <w:name w:val="Sub"/>
    <w:basedOn w:val="Heading2"/>
    <w:link w:val="SubChar"/>
    <w:qFormat/>
    <w:rsid w:val="00AA3BB9"/>
    <w:pPr>
      <w:spacing w:before="360" w:after="240"/>
    </w:pPr>
    <w:rPr>
      <w:sz w:val="40"/>
    </w:rPr>
  </w:style>
  <w:style w:type="character" w:customStyle="1" w:styleId="SubChar">
    <w:name w:val="Sub Char"/>
    <w:basedOn w:val="Heading2Char"/>
    <w:link w:val="Sub"/>
    <w:rsid w:val="00AA3BB9"/>
    <w:rPr>
      <w:rFonts w:ascii="Arial" w:eastAsiaTheme="majorEastAsia" w:hAnsi="Arial" w:cstheme="majorBidi"/>
      <w:b/>
      <w:sz w:val="40"/>
      <w:szCs w:val="26"/>
    </w:rPr>
  </w:style>
  <w:style w:type="paragraph" w:styleId="FootnoteText">
    <w:name w:val="footnote text"/>
    <w:aliases w:val="Footnote Text Char1 Char,Footnote Text Char Char1 Char,Footnote Text Char Char Char Char Char1,Footnote Text Char Char Char,Footnote Text Char Char Char Char"/>
    <w:basedOn w:val="Normal"/>
    <w:link w:val="FootnoteTextChar"/>
    <w:uiPriority w:val="99"/>
    <w:unhideWhenUsed/>
    <w:qFormat/>
    <w:rsid w:val="00855D7A"/>
    <w:pPr>
      <w:spacing w:after="0" w:line="240" w:lineRule="auto"/>
    </w:pPr>
    <w:rPr>
      <w:sz w:val="20"/>
      <w:szCs w:val="20"/>
    </w:rPr>
  </w:style>
  <w:style w:type="character" w:customStyle="1" w:styleId="FootnoteTextChar">
    <w:name w:val="Footnote Text Char"/>
    <w:aliases w:val="Footnote Text Char1 Char Char,Footnote Text Char Char1 Char Char,Footnote Text Char Char Char Char Char1 Char,Footnote Text Char Char Char Char1,Footnote Text Char Char Char Char Char"/>
    <w:basedOn w:val="DefaultParagraphFont"/>
    <w:link w:val="FootnoteText"/>
    <w:uiPriority w:val="99"/>
    <w:rsid w:val="00855D7A"/>
    <w:rPr>
      <w:rFonts w:ascii="Arial" w:hAnsi="Arial"/>
      <w:sz w:val="20"/>
      <w:szCs w:val="20"/>
    </w:rPr>
  </w:style>
  <w:style w:type="character" w:styleId="FootnoteReference">
    <w:name w:val="footnote reference"/>
    <w:aliases w:val="FC,(NECG) Footnote Reference,Footnote sign,Footnote sign1,EN Footnote Reference,number,SUPERS"/>
    <w:basedOn w:val="DefaultParagraphFont"/>
    <w:uiPriority w:val="99"/>
    <w:unhideWhenUsed/>
    <w:rsid w:val="00855D7A"/>
    <w:rPr>
      <w:vertAlign w:val="superscript"/>
    </w:rPr>
  </w:style>
  <w:style w:type="paragraph" w:customStyle="1" w:styleId="TableParagraph">
    <w:name w:val="Table Paragraph"/>
    <w:basedOn w:val="Normal"/>
    <w:uiPriority w:val="1"/>
    <w:qFormat/>
    <w:rsid w:val="000D4B2F"/>
    <w:pPr>
      <w:widowControl w:val="0"/>
      <w:autoSpaceDE w:val="0"/>
      <w:autoSpaceDN w:val="0"/>
      <w:spacing w:after="0" w:line="240" w:lineRule="auto"/>
      <w:jc w:val="center"/>
    </w:pPr>
    <w:rPr>
      <w:rFonts w:eastAsia="Arial" w:cs="Arial"/>
      <w:lang w:val="en-US"/>
    </w:rPr>
  </w:style>
  <w:style w:type="paragraph" w:customStyle="1" w:styleId="Bodycopy">
    <w:name w:val="Body copy"/>
    <w:basedOn w:val="Normal"/>
    <w:link w:val="BodycopyChar"/>
    <w:qFormat/>
    <w:rsid w:val="00D50333"/>
    <w:pPr>
      <w:spacing w:after="160" w:line="259" w:lineRule="auto"/>
    </w:pPr>
    <w:rPr>
      <w:color w:val="000000" w:themeColor="text1"/>
    </w:rPr>
  </w:style>
  <w:style w:type="character" w:customStyle="1" w:styleId="BodycopyChar">
    <w:name w:val="Body copy Char"/>
    <w:basedOn w:val="DefaultParagraphFont"/>
    <w:link w:val="Bodycopy"/>
    <w:rsid w:val="00D50333"/>
    <w:rPr>
      <w:rFonts w:ascii="Arial" w:hAnsi="Arial"/>
      <w:color w:val="000000" w:themeColor="text1"/>
    </w:rPr>
  </w:style>
  <w:style w:type="paragraph" w:styleId="Revision">
    <w:name w:val="Revision"/>
    <w:hidden/>
    <w:uiPriority w:val="99"/>
    <w:semiHidden/>
    <w:rsid w:val="00EE202F"/>
    <w:pPr>
      <w:spacing w:after="0" w:line="240" w:lineRule="auto"/>
    </w:pPr>
    <w:rPr>
      <w:rFonts w:ascii="Arial" w:hAnsi="Arial"/>
    </w:rPr>
  </w:style>
  <w:style w:type="paragraph" w:styleId="BodyText">
    <w:name w:val="Body Text"/>
    <w:basedOn w:val="Normal"/>
    <w:link w:val="BodyTextChar"/>
    <w:qFormat/>
    <w:rsid w:val="007E2E53"/>
    <w:pPr>
      <w:tabs>
        <w:tab w:val="left" w:pos="357"/>
        <w:tab w:val="left" w:pos="714"/>
        <w:tab w:val="left" w:pos="1072"/>
        <w:tab w:val="left" w:pos="1429"/>
      </w:tabs>
      <w:spacing w:before="120" w:after="120" w:line="276" w:lineRule="auto"/>
    </w:pPr>
    <w:rPr>
      <w:szCs w:val="20"/>
    </w:rPr>
  </w:style>
  <w:style w:type="character" w:customStyle="1" w:styleId="BodyTextChar">
    <w:name w:val="Body Text Char"/>
    <w:basedOn w:val="DefaultParagraphFont"/>
    <w:link w:val="BodyText"/>
    <w:rsid w:val="007E2E53"/>
    <w:rPr>
      <w:rFonts w:ascii="Arial" w:hAnsi="Arial"/>
      <w:szCs w:val="20"/>
    </w:rPr>
  </w:style>
  <w:style w:type="paragraph" w:customStyle="1" w:styleId="BoxHeading">
    <w:name w:val="Box Heading"/>
    <w:basedOn w:val="BodyText"/>
    <w:uiPriority w:val="16"/>
    <w:qFormat/>
    <w:rsid w:val="007E2E53"/>
    <w:pPr>
      <w:keepNext/>
    </w:pPr>
    <w:rPr>
      <w:b/>
      <w:color w:val="2F005F"/>
      <w:sz w:val="23"/>
      <w:lang w:eastAsia="en-GB"/>
    </w:rPr>
  </w:style>
  <w:style w:type="table" w:customStyle="1" w:styleId="CustomTablepulloutbox">
    <w:name w:val="Custom Table (pullout box)"/>
    <w:basedOn w:val="TableNormal"/>
    <w:uiPriority w:val="99"/>
    <w:rsid w:val="007E2E53"/>
    <w:pPr>
      <w:spacing w:after="0" w:line="240" w:lineRule="auto"/>
    </w:pPr>
    <w:rPr>
      <w:sz w:val="20"/>
      <w:szCs w:val="20"/>
      <w:lang w:val="en-US"/>
    </w:rPr>
    <w:tblPr>
      <w:tblBorders>
        <w:left w:val="single" w:sz="24" w:space="0" w:color="4B0885"/>
      </w:tblBorders>
    </w:tblPr>
    <w:tcPr>
      <w:shd w:val="clear" w:color="auto" w:fill="F2F2F2" w:themeFill="background1" w:themeFillShade="F2"/>
      <w:tcMar>
        <w:top w:w="227" w:type="dxa"/>
        <w:left w:w="227" w:type="dxa"/>
        <w:bottom w:w="227" w:type="dxa"/>
        <w:right w:w="227" w:type="dxa"/>
      </w:tcMar>
    </w:tcPr>
  </w:style>
  <w:style w:type="paragraph" w:styleId="EndnoteText">
    <w:name w:val="endnote text"/>
    <w:basedOn w:val="Normal"/>
    <w:link w:val="EndnoteTextChar"/>
    <w:uiPriority w:val="99"/>
    <w:semiHidden/>
    <w:unhideWhenUsed/>
    <w:rsid w:val="00AC0C2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C0C2F"/>
    <w:rPr>
      <w:rFonts w:ascii="Arial" w:hAnsi="Arial"/>
      <w:sz w:val="20"/>
      <w:szCs w:val="20"/>
    </w:rPr>
  </w:style>
  <w:style w:type="character" w:styleId="EndnoteReference">
    <w:name w:val="endnote reference"/>
    <w:basedOn w:val="DefaultParagraphFont"/>
    <w:uiPriority w:val="99"/>
    <w:semiHidden/>
    <w:unhideWhenUsed/>
    <w:rsid w:val="00AC0C2F"/>
    <w:rPr>
      <w:vertAlign w:val="superscript"/>
    </w:rPr>
  </w:style>
  <w:style w:type="character" w:styleId="FollowedHyperlink">
    <w:name w:val="FollowedHyperlink"/>
    <w:basedOn w:val="DefaultParagraphFont"/>
    <w:uiPriority w:val="99"/>
    <w:semiHidden/>
    <w:unhideWhenUsed/>
    <w:rsid w:val="00941773"/>
    <w:rPr>
      <w:color w:val="4B088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56281">
      <w:bodyDiv w:val="1"/>
      <w:marLeft w:val="0"/>
      <w:marRight w:val="0"/>
      <w:marTop w:val="0"/>
      <w:marBottom w:val="0"/>
      <w:divBdr>
        <w:top w:val="none" w:sz="0" w:space="0" w:color="auto"/>
        <w:left w:val="none" w:sz="0" w:space="0" w:color="auto"/>
        <w:bottom w:val="none" w:sz="0" w:space="0" w:color="auto"/>
        <w:right w:val="none" w:sz="0" w:space="0" w:color="auto"/>
      </w:divBdr>
    </w:div>
    <w:div w:id="231083366">
      <w:bodyDiv w:val="1"/>
      <w:marLeft w:val="0"/>
      <w:marRight w:val="0"/>
      <w:marTop w:val="0"/>
      <w:marBottom w:val="0"/>
      <w:divBdr>
        <w:top w:val="none" w:sz="0" w:space="0" w:color="auto"/>
        <w:left w:val="none" w:sz="0" w:space="0" w:color="auto"/>
        <w:bottom w:val="none" w:sz="0" w:space="0" w:color="auto"/>
        <w:right w:val="none" w:sz="0" w:space="0" w:color="auto"/>
      </w:divBdr>
    </w:div>
    <w:div w:id="273027872">
      <w:bodyDiv w:val="1"/>
      <w:marLeft w:val="0"/>
      <w:marRight w:val="0"/>
      <w:marTop w:val="0"/>
      <w:marBottom w:val="0"/>
      <w:divBdr>
        <w:top w:val="none" w:sz="0" w:space="0" w:color="auto"/>
        <w:left w:val="none" w:sz="0" w:space="0" w:color="auto"/>
        <w:bottom w:val="none" w:sz="0" w:space="0" w:color="auto"/>
        <w:right w:val="none" w:sz="0" w:space="0" w:color="auto"/>
      </w:divBdr>
    </w:div>
    <w:div w:id="333610724">
      <w:bodyDiv w:val="1"/>
      <w:marLeft w:val="0"/>
      <w:marRight w:val="0"/>
      <w:marTop w:val="0"/>
      <w:marBottom w:val="0"/>
      <w:divBdr>
        <w:top w:val="none" w:sz="0" w:space="0" w:color="auto"/>
        <w:left w:val="none" w:sz="0" w:space="0" w:color="auto"/>
        <w:bottom w:val="none" w:sz="0" w:space="0" w:color="auto"/>
        <w:right w:val="none" w:sz="0" w:space="0" w:color="auto"/>
      </w:divBdr>
    </w:div>
    <w:div w:id="409733667">
      <w:bodyDiv w:val="1"/>
      <w:marLeft w:val="0"/>
      <w:marRight w:val="0"/>
      <w:marTop w:val="0"/>
      <w:marBottom w:val="0"/>
      <w:divBdr>
        <w:top w:val="none" w:sz="0" w:space="0" w:color="auto"/>
        <w:left w:val="none" w:sz="0" w:space="0" w:color="auto"/>
        <w:bottom w:val="none" w:sz="0" w:space="0" w:color="auto"/>
        <w:right w:val="none" w:sz="0" w:space="0" w:color="auto"/>
      </w:divBdr>
    </w:div>
    <w:div w:id="460071509">
      <w:bodyDiv w:val="1"/>
      <w:marLeft w:val="0"/>
      <w:marRight w:val="0"/>
      <w:marTop w:val="0"/>
      <w:marBottom w:val="0"/>
      <w:divBdr>
        <w:top w:val="none" w:sz="0" w:space="0" w:color="auto"/>
        <w:left w:val="none" w:sz="0" w:space="0" w:color="auto"/>
        <w:bottom w:val="none" w:sz="0" w:space="0" w:color="auto"/>
        <w:right w:val="none" w:sz="0" w:space="0" w:color="auto"/>
      </w:divBdr>
    </w:div>
    <w:div w:id="533885871">
      <w:bodyDiv w:val="1"/>
      <w:marLeft w:val="0"/>
      <w:marRight w:val="0"/>
      <w:marTop w:val="0"/>
      <w:marBottom w:val="0"/>
      <w:divBdr>
        <w:top w:val="none" w:sz="0" w:space="0" w:color="auto"/>
        <w:left w:val="none" w:sz="0" w:space="0" w:color="auto"/>
        <w:bottom w:val="none" w:sz="0" w:space="0" w:color="auto"/>
        <w:right w:val="none" w:sz="0" w:space="0" w:color="auto"/>
      </w:divBdr>
    </w:div>
    <w:div w:id="589627777">
      <w:bodyDiv w:val="1"/>
      <w:marLeft w:val="0"/>
      <w:marRight w:val="0"/>
      <w:marTop w:val="0"/>
      <w:marBottom w:val="0"/>
      <w:divBdr>
        <w:top w:val="none" w:sz="0" w:space="0" w:color="auto"/>
        <w:left w:val="none" w:sz="0" w:space="0" w:color="auto"/>
        <w:bottom w:val="none" w:sz="0" w:space="0" w:color="auto"/>
        <w:right w:val="none" w:sz="0" w:space="0" w:color="auto"/>
      </w:divBdr>
    </w:div>
    <w:div w:id="830288839">
      <w:bodyDiv w:val="1"/>
      <w:marLeft w:val="0"/>
      <w:marRight w:val="0"/>
      <w:marTop w:val="0"/>
      <w:marBottom w:val="0"/>
      <w:divBdr>
        <w:top w:val="none" w:sz="0" w:space="0" w:color="auto"/>
        <w:left w:val="none" w:sz="0" w:space="0" w:color="auto"/>
        <w:bottom w:val="none" w:sz="0" w:space="0" w:color="auto"/>
        <w:right w:val="none" w:sz="0" w:space="0" w:color="auto"/>
      </w:divBdr>
    </w:div>
    <w:div w:id="924844422">
      <w:bodyDiv w:val="1"/>
      <w:marLeft w:val="0"/>
      <w:marRight w:val="0"/>
      <w:marTop w:val="0"/>
      <w:marBottom w:val="0"/>
      <w:divBdr>
        <w:top w:val="none" w:sz="0" w:space="0" w:color="auto"/>
        <w:left w:val="none" w:sz="0" w:space="0" w:color="auto"/>
        <w:bottom w:val="none" w:sz="0" w:space="0" w:color="auto"/>
        <w:right w:val="none" w:sz="0" w:space="0" w:color="auto"/>
      </w:divBdr>
    </w:div>
    <w:div w:id="951129370">
      <w:bodyDiv w:val="1"/>
      <w:marLeft w:val="0"/>
      <w:marRight w:val="0"/>
      <w:marTop w:val="0"/>
      <w:marBottom w:val="0"/>
      <w:divBdr>
        <w:top w:val="none" w:sz="0" w:space="0" w:color="auto"/>
        <w:left w:val="none" w:sz="0" w:space="0" w:color="auto"/>
        <w:bottom w:val="none" w:sz="0" w:space="0" w:color="auto"/>
        <w:right w:val="none" w:sz="0" w:space="0" w:color="auto"/>
      </w:divBdr>
    </w:div>
    <w:div w:id="998657059">
      <w:bodyDiv w:val="1"/>
      <w:marLeft w:val="0"/>
      <w:marRight w:val="0"/>
      <w:marTop w:val="0"/>
      <w:marBottom w:val="0"/>
      <w:divBdr>
        <w:top w:val="none" w:sz="0" w:space="0" w:color="auto"/>
        <w:left w:val="none" w:sz="0" w:space="0" w:color="auto"/>
        <w:bottom w:val="none" w:sz="0" w:space="0" w:color="auto"/>
        <w:right w:val="none" w:sz="0" w:space="0" w:color="auto"/>
      </w:divBdr>
    </w:div>
    <w:div w:id="1009605086">
      <w:bodyDiv w:val="1"/>
      <w:marLeft w:val="0"/>
      <w:marRight w:val="0"/>
      <w:marTop w:val="0"/>
      <w:marBottom w:val="0"/>
      <w:divBdr>
        <w:top w:val="none" w:sz="0" w:space="0" w:color="auto"/>
        <w:left w:val="none" w:sz="0" w:space="0" w:color="auto"/>
        <w:bottom w:val="none" w:sz="0" w:space="0" w:color="auto"/>
        <w:right w:val="none" w:sz="0" w:space="0" w:color="auto"/>
      </w:divBdr>
    </w:div>
    <w:div w:id="1014266461">
      <w:bodyDiv w:val="1"/>
      <w:marLeft w:val="0"/>
      <w:marRight w:val="0"/>
      <w:marTop w:val="0"/>
      <w:marBottom w:val="0"/>
      <w:divBdr>
        <w:top w:val="none" w:sz="0" w:space="0" w:color="auto"/>
        <w:left w:val="none" w:sz="0" w:space="0" w:color="auto"/>
        <w:bottom w:val="none" w:sz="0" w:space="0" w:color="auto"/>
        <w:right w:val="none" w:sz="0" w:space="0" w:color="auto"/>
      </w:divBdr>
    </w:div>
    <w:div w:id="1101148222">
      <w:bodyDiv w:val="1"/>
      <w:marLeft w:val="0"/>
      <w:marRight w:val="0"/>
      <w:marTop w:val="0"/>
      <w:marBottom w:val="0"/>
      <w:divBdr>
        <w:top w:val="none" w:sz="0" w:space="0" w:color="auto"/>
        <w:left w:val="none" w:sz="0" w:space="0" w:color="auto"/>
        <w:bottom w:val="none" w:sz="0" w:space="0" w:color="auto"/>
        <w:right w:val="none" w:sz="0" w:space="0" w:color="auto"/>
      </w:divBdr>
    </w:div>
    <w:div w:id="1151600167">
      <w:bodyDiv w:val="1"/>
      <w:marLeft w:val="0"/>
      <w:marRight w:val="0"/>
      <w:marTop w:val="0"/>
      <w:marBottom w:val="0"/>
      <w:divBdr>
        <w:top w:val="none" w:sz="0" w:space="0" w:color="auto"/>
        <w:left w:val="none" w:sz="0" w:space="0" w:color="auto"/>
        <w:bottom w:val="none" w:sz="0" w:space="0" w:color="auto"/>
        <w:right w:val="none" w:sz="0" w:space="0" w:color="auto"/>
      </w:divBdr>
    </w:div>
    <w:div w:id="1171137928">
      <w:bodyDiv w:val="1"/>
      <w:marLeft w:val="0"/>
      <w:marRight w:val="0"/>
      <w:marTop w:val="0"/>
      <w:marBottom w:val="0"/>
      <w:divBdr>
        <w:top w:val="none" w:sz="0" w:space="0" w:color="auto"/>
        <w:left w:val="none" w:sz="0" w:space="0" w:color="auto"/>
        <w:bottom w:val="none" w:sz="0" w:space="0" w:color="auto"/>
        <w:right w:val="none" w:sz="0" w:space="0" w:color="auto"/>
      </w:divBdr>
    </w:div>
    <w:div w:id="1361786597">
      <w:bodyDiv w:val="1"/>
      <w:marLeft w:val="0"/>
      <w:marRight w:val="0"/>
      <w:marTop w:val="0"/>
      <w:marBottom w:val="0"/>
      <w:divBdr>
        <w:top w:val="none" w:sz="0" w:space="0" w:color="auto"/>
        <w:left w:val="none" w:sz="0" w:space="0" w:color="auto"/>
        <w:bottom w:val="none" w:sz="0" w:space="0" w:color="auto"/>
        <w:right w:val="none" w:sz="0" w:space="0" w:color="auto"/>
      </w:divBdr>
    </w:div>
    <w:div w:id="1469740561">
      <w:bodyDiv w:val="1"/>
      <w:marLeft w:val="0"/>
      <w:marRight w:val="0"/>
      <w:marTop w:val="0"/>
      <w:marBottom w:val="0"/>
      <w:divBdr>
        <w:top w:val="none" w:sz="0" w:space="0" w:color="auto"/>
        <w:left w:val="none" w:sz="0" w:space="0" w:color="auto"/>
        <w:bottom w:val="none" w:sz="0" w:space="0" w:color="auto"/>
        <w:right w:val="none" w:sz="0" w:space="0" w:color="auto"/>
      </w:divBdr>
    </w:div>
    <w:div w:id="1515195226">
      <w:bodyDiv w:val="1"/>
      <w:marLeft w:val="0"/>
      <w:marRight w:val="0"/>
      <w:marTop w:val="0"/>
      <w:marBottom w:val="0"/>
      <w:divBdr>
        <w:top w:val="none" w:sz="0" w:space="0" w:color="auto"/>
        <w:left w:val="none" w:sz="0" w:space="0" w:color="auto"/>
        <w:bottom w:val="none" w:sz="0" w:space="0" w:color="auto"/>
        <w:right w:val="none" w:sz="0" w:space="0" w:color="auto"/>
      </w:divBdr>
    </w:div>
    <w:div w:id="1515995972">
      <w:bodyDiv w:val="1"/>
      <w:marLeft w:val="0"/>
      <w:marRight w:val="0"/>
      <w:marTop w:val="0"/>
      <w:marBottom w:val="0"/>
      <w:divBdr>
        <w:top w:val="none" w:sz="0" w:space="0" w:color="auto"/>
        <w:left w:val="none" w:sz="0" w:space="0" w:color="auto"/>
        <w:bottom w:val="none" w:sz="0" w:space="0" w:color="auto"/>
        <w:right w:val="none" w:sz="0" w:space="0" w:color="auto"/>
      </w:divBdr>
    </w:div>
    <w:div w:id="1572689916">
      <w:bodyDiv w:val="1"/>
      <w:marLeft w:val="0"/>
      <w:marRight w:val="0"/>
      <w:marTop w:val="0"/>
      <w:marBottom w:val="0"/>
      <w:divBdr>
        <w:top w:val="none" w:sz="0" w:space="0" w:color="auto"/>
        <w:left w:val="none" w:sz="0" w:space="0" w:color="auto"/>
        <w:bottom w:val="none" w:sz="0" w:space="0" w:color="auto"/>
        <w:right w:val="none" w:sz="0" w:space="0" w:color="auto"/>
      </w:divBdr>
    </w:div>
    <w:div w:id="1724137362">
      <w:bodyDiv w:val="1"/>
      <w:marLeft w:val="0"/>
      <w:marRight w:val="0"/>
      <w:marTop w:val="0"/>
      <w:marBottom w:val="0"/>
      <w:divBdr>
        <w:top w:val="none" w:sz="0" w:space="0" w:color="auto"/>
        <w:left w:val="none" w:sz="0" w:space="0" w:color="auto"/>
        <w:bottom w:val="none" w:sz="0" w:space="0" w:color="auto"/>
        <w:right w:val="none" w:sz="0" w:space="0" w:color="auto"/>
      </w:divBdr>
    </w:div>
    <w:div w:id="1740055263">
      <w:bodyDiv w:val="1"/>
      <w:marLeft w:val="0"/>
      <w:marRight w:val="0"/>
      <w:marTop w:val="0"/>
      <w:marBottom w:val="0"/>
      <w:divBdr>
        <w:top w:val="none" w:sz="0" w:space="0" w:color="auto"/>
        <w:left w:val="none" w:sz="0" w:space="0" w:color="auto"/>
        <w:bottom w:val="none" w:sz="0" w:space="0" w:color="auto"/>
        <w:right w:val="none" w:sz="0" w:space="0" w:color="auto"/>
      </w:divBdr>
    </w:div>
    <w:div w:id="1817141928">
      <w:bodyDiv w:val="1"/>
      <w:marLeft w:val="0"/>
      <w:marRight w:val="0"/>
      <w:marTop w:val="0"/>
      <w:marBottom w:val="0"/>
      <w:divBdr>
        <w:top w:val="none" w:sz="0" w:space="0" w:color="auto"/>
        <w:left w:val="none" w:sz="0" w:space="0" w:color="auto"/>
        <w:bottom w:val="none" w:sz="0" w:space="0" w:color="auto"/>
        <w:right w:val="none" w:sz="0" w:space="0" w:color="auto"/>
      </w:divBdr>
    </w:div>
    <w:div w:id="209906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s://www.jobsandskills.gov.au/data/regional-labour-market-indicator"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mailto:RegionalWorkforceAssessment@jobsandskills.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bs.gov.au/media-centre/media-releases/better-monthly-regional-labour-market-data-now-availabl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2C445EDE30F41718968622BBF37206F"/>
        <w:category>
          <w:name w:val="General"/>
          <w:gallery w:val="placeholder"/>
        </w:category>
        <w:types>
          <w:type w:val="bbPlcHdr"/>
        </w:types>
        <w:behaviors>
          <w:behavior w:val="content"/>
        </w:behaviors>
        <w:guid w:val="{3EFA744C-5BA9-4043-A6A3-D22DD1691B9B}"/>
      </w:docPartPr>
      <w:docPartBody>
        <w:p w:rsidR="005A0B81" w:rsidRDefault="005A0B81">
          <w:r w:rsidRPr="000A0CC2">
            <w:rPr>
              <w:rStyle w:val="PlaceholderText"/>
            </w:rPr>
            <w:t>[Title]</w:t>
          </w:r>
        </w:p>
      </w:docPartBody>
    </w:docPart>
    <w:docPart>
      <w:docPartPr>
        <w:name w:val="E4DB317D2DA340B1AF9BACDEE3AB05B6"/>
        <w:category>
          <w:name w:val="General"/>
          <w:gallery w:val="placeholder"/>
        </w:category>
        <w:types>
          <w:type w:val="bbPlcHdr"/>
        </w:types>
        <w:behaviors>
          <w:behavior w:val="content"/>
        </w:behaviors>
        <w:guid w:val="{46A77693-D3E8-468C-B253-5FB8596E7280}"/>
      </w:docPartPr>
      <w:docPartBody>
        <w:p w:rsidR="00C337DD" w:rsidRDefault="00C337DD">
          <w:r w:rsidRPr="00322167">
            <w:rPr>
              <w:rStyle w:val="PlaceholderText"/>
            </w:rPr>
            <w:t>[Title]</w:t>
          </w:r>
        </w:p>
      </w:docPartBody>
    </w:docPart>
    <w:docPart>
      <w:docPartPr>
        <w:name w:val="2D2D024BDF304EF58EB26857CD7A9952"/>
        <w:category>
          <w:name w:val="General"/>
          <w:gallery w:val="placeholder"/>
        </w:category>
        <w:types>
          <w:type w:val="bbPlcHdr"/>
        </w:types>
        <w:behaviors>
          <w:behavior w:val="content"/>
        </w:behaviors>
        <w:guid w:val="{0ACB7B68-71CD-44C4-B04C-91E1C95D966F}"/>
      </w:docPartPr>
      <w:docPartBody>
        <w:p w:rsidR="00EC6E4F" w:rsidRDefault="00AA5C14" w:rsidP="00AA5C14">
          <w:pPr>
            <w:pStyle w:val="2D2D024BDF304EF58EB26857CD7A9952"/>
          </w:pPr>
          <w:r w:rsidRPr="0032216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B81"/>
    <w:rsid w:val="00046F03"/>
    <w:rsid w:val="000707FE"/>
    <w:rsid w:val="00087EA6"/>
    <w:rsid w:val="00090D67"/>
    <w:rsid w:val="000914F8"/>
    <w:rsid w:val="000B77BD"/>
    <w:rsid w:val="0012162E"/>
    <w:rsid w:val="00195C1B"/>
    <w:rsid w:val="001B274F"/>
    <w:rsid w:val="002032B5"/>
    <w:rsid w:val="002078E2"/>
    <w:rsid w:val="00297FB4"/>
    <w:rsid w:val="002D1AAA"/>
    <w:rsid w:val="00333799"/>
    <w:rsid w:val="003A6210"/>
    <w:rsid w:val="004543E0"/>
    <w:rsid w:val="00461E16"/>
    <w:rsid w:val="00473083"/>
    <w:rsid w:val="00475DED"/>
    <w:rsid w:val="00482379"/>
    <w:rsid w:val="00487B1D"/>
    <w:rsid w:val="004D5816"/>
    <w:rsid w:val="004F5749"/>
    <w:rsid w:val="00511F38"/>
    <w:rsid w:val="00570FC1"/>
    <w:rsid w:val="00576CBE"/>
    <w:rsid w:val="005A0B81"/>
    <w:rsid w:val="005B7DB3"/>
    <w:rsid w:val="00616134"/>
    <w:rsid w:val="0061666E"/>
    <w:rsid w:val="00647290"/>
    <w:rsid w:val="00657D92"/>
    <w:rsid w:val="0066452D"/>
    <w:rsid w:val="006869C5"/>
    <w:rsid w:val="006B1365"/>
    <w:rsid w:val="006F7463"/>
    <w:rsid w:val="0071394E"/>
    <w:rsid w:val="007405AF"/>
    <w:rsid w:val="00747569"/>
    <w:rsid w:val="00781A2C"/>
    <w:rsid w:val="007C57C1"/>
    <w:rsid w:val="007D501F"/>
    <w:rsid w:val="007F6B0C"/>
    <w:rsid w:val="008215D5"/>
    <w:rsid w:val="00875EDF"/>
    <w:rsid w:val="00887072"/>
    <w:rsid w:val="0089009F"/>
    <w:rsid w:val="009808F4"/>
    <w:rsid w:val="009A1FF3"/>
    <w:rsid w:val="009A7D43"/>
    <w:rsid w:val="00A428F8"/>
    <w:rsid w:val="00AA5C14"/>
    <w:rsid w:val="00B1131A"/>
    <w:rsid w:val="00B42CEC"/>
    <w:rsid w:val="00BE46FD"/>
    <w:rsid w:val="00BF1239"/>
    <w:rsid w:val="00C337DD"/>
    <w:rsid w:val="00C650E8"/>
    <w:rsid w:val="00CB1E49"/>
    <w:rsid w:val="00CB5F31"/>
    <w:rsid w:val="00CD066C"/>
    <w:rsid w:val="00D74476"/>
    <w:rsid w:val="00DF4CD1"/>
    <w:rsid w:val="00E16680"/>
    <w:rsid w:val="00E24293"/>
    <w:rsid w:val="00E27F17"/>
    <w:rsid w:val="00E30DA3"/>
    <w:rsid w:val="00E554F9"/>
    <w:rsid w:val="00E56DA3"/>
    <w:rsid w:val="00E962D2"/>
    <w:rsid w:val="00EA637B"/>
    <w:rsid w:val="00EC6E4F"/>
    <w:rsid w:val="00EF3EC1"/>
    <w:rsid w:val="00EF6149"/>
    <w:rsid w:val="00F612A5"/>
    <w:rsid w:val="00FB78D9"/>
    <w:rsid w:val="00FD53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5C14"/>
    <w:rPr>
      <w:color w:val="808080"/>
    </w:rPr>
  </w:style>
  <w:style w:type="paragraph" w:customStyle="1" w:styleId="2D2D024BDF304EF58EB26857CD7A9952">
    <w:name w:val="2D2D024BDF304EF58EB26857CD7A9952"/>
    <w:rsid w:val="00AA5C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ew JSA purple fix">
      <a:dk1>
        <a:sysClr val="windowText" lastClr="000000"/>
      </a:dk1>
      <a:lt1>
        <a:sysClr val="window" lastClr="FFFFFF"/>
      </a:lt1>
      <a:dk2>
        <a:srgbClr val="4B0885"/>
      </a:dk2>
      <a:lt2>
        <a:srgbClr val="D2DE5A"/>
      </a:lt2>
      <a:accent1>
        <a:srgbClr val="6929C4"/>
      </a:accent1>
      <a:accent2>
        <a:srgbClr val="009D9A"/>
      </a:accent2>
      <a:accent3>
        <a:srgbClr val="012749"/>
      </a:accent3>
      <a:accent4>
        <a:srgbClr val="EE538B"/>
      </a:accent4>
      <a:accent5>
        <a:srgbClr val="1192E8"/>
      </a:accent5>
      <a:accent6>
        <a:srgbClr val="9F1853"/>
      </a:accent6>
      <a:hlink>
        <a:srgbClr val="013D74"/>
      </a:hlink>
      <a:folHlink>
        <a:srgbClr val="4B0885"/>
      </a:folHlink>
    </a:clrScheme>
    <a:fontScheme name="JSA New">
      <a:majorFont>
        <a:latin typeface="Arial Nova"/>
        <a:ea typeface=""/>
        <a:cs typeface=""/>
      </a:majorFont>
      <a:minorFont>
        <a:latin typeface="Arial Nov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2B81D2A8C074844941223011A4426D8" ma:contentTypeVersion="12" ma:contentTypeDescription="Create a new document." ma:contentTypeScope="" ma:versionID="52b0050e85be76e697f4e90e30130f0b">
  <xsd:schema xmlns:xsd="http://www.w3.org/2001/XMLSchema" xmlns:xs="http://www.w3.org/2001/XMLSchema" xmlns:p="http://schemas.microsoft.com/office/2006/metadata/properties" xmlns:ns2="ab20247e-6a0c-49af-8cbd-2b7571a2fff6" xmlns:ns3="e52dc7d0-ebe8-463d-9526-0b9a67aad5dc" targetNamespace="http://schemas.microsoft.com/office/2006/metadata/properties" ma:root="true" ma:fieldsID="eea854eab58ef4e2e33571e60656487f" ns2:_="" ns3:_="">
    <xsd:import namespace="ab20247e-6a0c-49af-8cbd-2b7571a2fff6"/>
    <xsd:import namespace="e52dc7d0-ebe8-463d-9526-0b9a67aad5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20247e-6a0c-49af-8cbd-2b7571a2ff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2dc7d0-ebe8-463d-9526-0b9a67aad5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4b38d1b-7891-4943-9719-c8494824accb}" ma:internalName="TaxCatchAll" ma:showField="CatchAllData" ma:web="e52dc7d0-ebe8-463d-9526-0b9a67aad5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52dc7d0-ebe8-463d-9526-0b9a67aad5dc" xsi:nil="true"/>
    <lcf76f155ced4ddcb4097134ff3c332f xmlns="ab20247e-6a0c-49af-8cbd-2b7571a2ff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CD174A-DF8D-45B2-A472-5D93840213C4}">
  <ds:schemaRefs>
    <ds:schemaRef ds:uri="http://schemas.openxmlformats.org/officeDocument/2006/bibliography"/>
  </ds:schemaRefs>
</ds:datastoreItem>
</file>

<file path=customXml/itemProps2.xml><?xml version="1.0" encoding="utf-8"?>
<ds:datastoreItem xmlns:ds="http://schemas.openxmlformats.org/officeDocument/2006/customXml" ds:itemID="{0713D74D-30D5-43A6-AC2B-97FB7223D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20247e-6a0c-49af-8cbd-2b7571a2fff6"/>
    <ds:schemaRef ds:uri="e52dc7d0-ebe8-463d-9526-0b9a67aad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767044-9AD2-45C6-9990-EA8601577B6B}">
  <ds:schemaRefs>
    <ds:schemaRef ds:uri="http://schemas.microsoft.com/sharepoint/v3/contenttype/forms"/>
  </ds:schemaRefs>
</ds:datastoreItem>
</file>

<file path=customXml/itemProps4.xml><?xml version="1.0" encoding="utf-8"?>
<ds:datastoreItem xmlns:ds="http://schemas.openxmlformats.org/officeDocument/2006/customXml" ds:itemID="{44083749-92F8-4312-917A-7ED321D5BB6C}">
  <ds:schemaRefs>
    <ds:schemaRef ds:uri="http://schemas.openxmlformats.org/package/2006/metadata/core-properties"/>
    <ds:schemaRef ds:uri="http://schemas.microsoft.com/office/infopath/2007/PartnerControls"/>
    <ds:schemaRef ds:uri="http://purl.org/dc/dcmitype/"/>
    <ds:schemaRef ds:uri="e52dc7d0-ebe8-463d-9526-0b9a67aad5dc"/>
    <ds:schemaRef ds:uri="http://purl.org/dc/terms/"/>
    <ds:schemaRef ds:uri="http://schemas.microsoft.com/office/2006/documentManagement/types"/>
    <ds:schemaRef ds:uri="ab20247e-6a0c-49af-8cbd-2b7571a2fff6"/>
    <ds:schemaRef ds:uri="http://www.w3.org/XML/1998/namespace"/>
    <ds:schemaRef ds:uri="http://purl.org/dc/elements/1.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9</Pages>
  <Words>2269</Words>
  <Characters>12936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RLMI Results – June 2025</vt:lpstr>
    </vt:vector>
  </TitlesOfParts>
  <Company>JSA</Company>
  <LinksUpToDate>false</LinksUpToDate>
  <CharactersWithSpaces>15175</CharactersWithSpaces>
  <SharedDoc>false</SharedDoc>
  <HLinks>
    <vt:vector size="6" baseType="variant">
      <vt:variant>
        <vt:i4>7340037</vt:i4>
      </vt:variant>
      <vt:variant>
        <vt:i4>0</vt:i4>
      </vt:variant>
      <vt:variant>
        <vt:i4>0</vt:i4>
      </vt:variant>
      <vt:variant>
        <vt:i4>5</vt:i4>
      </vt:variant>
      <vt:variant>
        <vt:lpwstr>mailto:RegionalWorkforceAssessment@jobsandskills.gov.au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RLMI Results – June 2025</dc:title>
  <dc:subject>Report</dc:subject>
  <dc:creator>JSA</dc:creator>
  <cp:keywords>JSA report template</cp:keywords>
  <dc:description>Use this template to create a JSA report</dc:description>
  <cp:lastModifiedBy>SANDERSON,Jack</cp:lastModifiedBy>
  <cp:revision>8</cp:revision>
  <cp:lastPrinted>2025-08-12T07:05:00Z</cp:lastPrinted>
  <dcterms:created xsi:type="dcterms:W3CDTF">2025-08-11T03:49:00Z</dcterms:created>
  <dcterms:modified xsi:type="dcterms:W3CDTF">2025-08-12T07:13:00Z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2022-09-15T23:55:34Z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f75a6c9c-2dc5-4226-aa17-a78cb4793ba6</vt:lpwstr>
  </property>
  <property fmtid="{D5CDD505-2E9C-101B-9397-08002B2CF9AE}" pid="8" name="MSIP_Label_79d889eb-932f-4752-8739-64d25806ef64_ContentBits">
    <vt:lpwstr>0</vt:lpwstr>
  </property>
  <property fmtid="{D5CDD505-2E9C-101B-9397-08002B2CF9AE}" pid="9" name="ContentTypeId">
    <vt:lpwstr>0x01010002B81D2A8C074844941223011A4426D8</vt:lpwstr>
  </property>
  <property fmtid="{D5CDD505-2E9C-101B-9397-08002B2CF9AE}" pid="10" name="MediaServiceImageTags">
    <vt:lpwstr/>
  </property>
</Properties>
</file>