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D3274E" w14:textId="35606095" w:rsidR="00EE49FB" w:rsidRDefault="00997F6C" w:rsidP="006C282B">
      <w:pPr>
        <w:sectPr w:rsidR="00EE49FB" w:rsidSect="00306C0E">
          <w:headerReference w:type="default" r:id="rId11"/>
          <w:footerReference w:type="default" r:id="rId12"/>
          <w:headerReference w:type="first" r:id="rId13"/>
          <w:footerReference w:type="first" r:id="rId14"/>
          <w:type w:val="continuous"/>
          <w:pgSz w:w="11906" w:h="16838"/>
          <w:pgMar w:top="1134" w:right="1440" w:bottom="1134" w:left="1440" w:header="0" w:footer="539" w:gutter="0"/>
          <w:pgNumType w:start="0"/>
          <w:cols w:space="708"/>
          <w:titlePg/>
          <w:docGrid w:linePitch="360"/>
        </w:sectPr>
      </w:pPr>
      <w:bookmarkStart w:id="0" w:name="_Toc118443202"/>
      <w:bookmarkStart w:id="1" w:name="_Toc119418020"/>
      <w:r w:rsidRPr="00997F6C">
        <w:rPr>
          <w:noProof/>
        </w:rPr>
        <w:drawing>
          <wp:inline distT="0" distB="0" distL="0" distR="0" wp14:anchorId="202EBB92" wp14:editId="4A57C2D7">
            <wp:extent cx="3294580" cy="715784"/>
            <wp:effectExtent l="0" t="0" r="1270" b="8255"/>
            <wp:docPr id="717505474" name="Picture 717505474" descr="Australian Government Jobs and Skill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05474" name="Picture 1" descr="Australian Government Jobs and Skills Australia"/>
                    <pic:cNvPicPr/>
                  </pic:nvPicPr>
                  <pic:blipFill>
                    <a:blip r:embed="rId15"/>
                    <a:stretch>
                      <a:fillRect/>
                    </a:stretch>
                  </pic:blipFill>
                  <pic:spPr>
                    <a:xfrm>
                      <a:off x="0" y="0"/>
                      <a:ext cx="3524334" cy="765701"/>
                    </a:xfrm>
                    <a:prstGeom prst="rect">
                      <a:avLst/>
                    </a:prstGeom>
                  </pic:spPr>
                </pic:pic>
              </a:graphicData>
            </a:graphic>
          </wp:inline>
        </w:drawing>
      </w:r>
    </w:p>
    <w:p w14:paraId="4BCC52F1" w14:textId="55FB2E5E" w:rsidR="003E0B70" w:rsidRPr="00B11937" w:rsidRDefault="00B32201" w:rsidP="00B11937">
      <w:r w:rsidRPr="00B11937">
        <w:rPr>
          <w:noProof/>
        </w:rPr>
        <w:drawing>
          <wp:anchor distT="0" distB="0" distL="114300" distR="114300" simplePos="0" relativeHeight="251658240" behindDoc="1" locked="0" layoutInCell="1" allowOverlap="1" wp14:anchorId="41B9CE17" wp14:editId="35C6F9C6">
            <wp:simplePos x="0" y="0"/>
            <wp:positionH relativeFrom="page">
              <wp:align>center</wp:align>
            </wp:positionH>
            <wp:positionV relativeFrom="page">
              <wp:align>top</wp:align>
            </wp:positionV>
            <wp:extent cx="7560000" cy="10695600"/>
            <wp:effectExtent l="0" t="0" r="3175" b="0"/>
            <wp:wrapNone/>
            <wp:docPr id="911560792" name="Picture 9115607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60792" name="Picture 7">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p>
    <w:p w14:paraId="65CE7F50" w14:textId="467806EA" w:rsidR="004F2369" w:rsidRPr="00FD1318" w:rsidRDefault="00000000" w:rsidP="00233A75">
      <w:pPr>
        <w:pStyle w:val="Title"/>
      </w:pPr>
      <w:sdt>
        <w:sdtPr>
          <w:alias w:val="Title"/>
          <w:tag w:val=""/>
          <w:id w:val="1539707718"/>
          <w:placeholder>
            <w:docPart w:val="62C445EDE30F41718968622BBF37206F"/>
          </w:placeholder>
          <w:dataBinding w:prefixMappings="xmlns:ns0='http://purl.org/dc/elements/1.1/' xmlns:ns1='http://schemas.openxmlformats.org/package/2006/metadata/core-properties' " w:xpath="/ns1:coreProperties[1]/ns0:title[1]" w:storeItemID="{6C3C8BC8-F283-45AE-878A-BAB7291924A1}"/>
          <w:text/>
        </w:sdtPr>
        <w:sdtContent>
          <w:r w:rsidR="0029387E" w:rsidRPr="00FD1318">
            <w:t>2024 Occupation Shortage List</w:t>
          </w:r>
        </w:sdtContent>
      </w:sdt>
    </w:p>
    <w:p w14:paraId="3DF70E82" w14:textId="19936666" w:rsidR="004F2369" w:rsidRPr="00AB2FCB" w:rsidRDefault="00F21F60" w:rsidP="00233A75">
      <w:pPr>
        <w:pStyle w:val="Subtitle"/>
        <w:rPr>
          <w:rFonts w:ascii="Arial" w:hAnsi="Arial" w:cs="Arial"/>
        </w:rPr>
      </w:pPr>
      <w:r>
        <w:rPr>
          <w:rFonts w:ascii="Arial" w:hAnsi="Arial" w:cs="Arial"/>
        </w:rPr>
        <w:t>Key Findings and Insights Report</w:t>
      </w:r>
    </w:p>
    <w:p w14:paraId="49F46106" w14:textId="0F3BACDB" w:rsidR="004F2369" w:rsidRPr="00931CAD" w:rsidRDefault="00D1577C" w:rsidP="004F2369">
      <w:pPr>
        <w:spacing w:before="460"/>
        <w:rPr>
          <w:b/>
          <w:bCs/>
          <w:color w:val="FFFFFF" w:themeColor="background1"/>
          <w:spacing w:val="-10"/>
          <w:sz w:val="28"/>
          <w:szCs w:val="28"/>
        </w:rPr>
      </w:pPr>
      <w:r>
        <w:rPr>
          <w:b/>
          <w:bCs/>
          <w:color w:val="FFFFFF" w:themeColor="background1"/>
          <w:spacing w:val="-10"/>
          <w:sz w:val="28"/>
          <w:szCs w:val="28"/>
        </w:rPr>
        <w:t xml:space="preserve">14 </w:t>
      </w:r>
      <w:r w:rsidR="00F21F60">
        <w:rPr>
          <w:b/>
          <w:bCs/>
          <w:color w:val="FFFFFF" w:themeColor="background1"/>
          <w:spacing w:val="-10"/>
          <w:sz w:val="28"/>
          <w:szCs w:val="28"/>
        </w:rPr>
        <w:t>October</w:t>
      </w:r>
      <w:r w:rsidR="004F2369" w:rsidRPr="004F2369">
        <w:rPr>
          <w:b/>
          <w:bCs/>
          <w:color w:val="FFFFFF" w:themeColor="background1"/>
          <w:spacing w:val="-10"/>
          <w:sz w:val="28"/>
          <w:szCs w:val="28"/>
        </w:rPr>
        <w:t xml:space="preserve"> 202</w:t>
      </w:r>
      <w:r w:rsidR="00475029">
        <w:rPr>
          <w:b/>
          <w:bCs/>
          <w:color w:val="FFFFFF" w:themeColor="background1"/>
          <w:spacing w:val="-10"/>
          <w:sz w:val="28"/>
          <w:szCs w:val="28"/>
        </w:rPr>
        <w:t>4</w:t>
      </w:r>
      <w:r w:rsidR="004F2369" w:rsidRPr="00931CAD">
        <w:rPr>
          <w:b/>
          <w:bCs/>
          <w:color w:val="FFFFFF" w:themeColor="background1"/>
          <w:spacing w:val="-10"/>
          <w:sz w:val="28"/>
          <w:szCs w:val="28"/>
        </w:rPr>
        <w:br w:type="page"/>
      </w:r>
    </w:p>
    <w:p w14:paraId="2C9651D4" w14:textId="051A7B07" w:rsidR="00B11937" w:rsidRPr="005965A3" w:rsidRDefault="00B11937" w:rsidP="00E47E48">
      <w:pPr>
        <w:pStyle w:val="TOCHeading"/>
        <w:rPr>
          <w:lang w:val="en-AU"/>
        </w:rPr>
      </w:pPr>
      <w:r w:rsidRPr="005965A3">
        <w:rPr>
          <w:lang w:val="en-AU"/>
        </w:rPr>
        <w:lastRenderedPageBreak/>
        <w:t>Contents</w:t>
      </w:r>
    </w:p>
    <w:p w14:paraId="5F58E75C" w14:textId="1D290C09" w:rsidR="00B87472" w:rsidRDefault="00B11937">
      <w:pPr>
        <w:pStyle w:val="TOC1"/>
        <w:tabs>
          <w:tab w:val="right" w:leader="dot" w:pos="9016"/>
        </w:tabs>
        <w:rPr>
          <w:rFonts w:asciiTheme="minorHAnsi" w:eastAsiaTheme="minorEastAsia" w:hAnsiTheme="minorHAnsi"/>
          <w:b w:val="0"/>
          <w:noProof/>
          <w:color w:val="auto"/>
          <w:kern w:val="2"/>
          <w:sz w:val="24"/>
          <w:szCs w:val="24"/>
          <w:lang w:eastAsia="en-AU"/>
          <w14:ligatures w14:val="standardContextual"/>
        </w:rPr>
      </w:pPr>
      <w:r w:rsidRPr="005965A3">
        <w:fldChar w:fldCharType="begin"/>
      </w:r>
      <w:r w:rsidRPr="005965A3">
        <w:instrText xml:space="preserve"> TOC \o "1-3" \h \z \u </w:instrText>
      </w:r>
      <w:r w:rsidRPr="005965A3">
        <w:fldChar w:fldCharType="separate"/>
      </w:r>
      <w:hyperlink w:anchor="_Toc180136430" w:history="1">
        <w:r w:rsidR="00B87472" w:rsidRPr="00A61B8A">
          <w:rPr>
            <w:rStyle w:val="Hyperlink"/>
            <w:noProof/>
          </w:rPr>
          <w:t>Introduction</w:t>
        </w:r>
        <w:r w:rsidR="00B87472">
          <w:rPr>
            <w:noProof/>
            <w:webHidden/>
          </w:rPr>
          <w:tab/>
        </w:r>
        <w:r w:rsidR="00B87472">
          <w:rPr>
            <w:noProof/>
            <w:webHidden/>
          </w:rPr>
          <w:fldChar w:fldCharType="begin"/>
        </w:r>
        <w:r w:rsidR="00B87472">
          <w:rPr>
            <w:noProof/>
            <w:webHidden/>
          </w:rPr>
          <w:instrText xml:space="preserve"> PAGEREF _Toc180136430 \h </w:instrText>
        </w:r>
        <w:r w:rsidR="00B87472">
          <w:rPr>
            <w:noProof/>
            <w:webHidden/>
          </w:rPr>
        </w:r>
        <w:r w:rsidR="00B87472">
          <w:rPr>
            <w:noProof/>
            <w:webHidden/>
          </w:rPr>
          <w:fldChar w:fldCharType="separate"/>
        </w:r>
        <w:r w:rsidR="00B87472">
          <w:rPr>
            <w:noProof/>
            <w:webHidden/>
          </w:rPr>
          <w:t>4</w:t>
        </w:r>
        <w:r w:rsidR="00B87472">
          <w:rPr>
            <w:noProof/>
            <w:webHidden/>
          </w:rPr>
          <w:fldChar w:fldCharType="end"/>
        </w:r>
      </w:hyperlink>
    </w:p>
    <w:p w14:paraId="70B0AA6E" w14:textId="19F7139A"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31" w:history="1">
        <w:r w:rsidRPr="00A61B8A">
          <w:rPr>
            <w:rStyle w:val="Hyperlink"/>
            <w:noProof/>
          </w:rPr>
          <w:t>Overview</w:t>
        </w:r>
        <w:r>
          <w:rPr>
            <w:noProof/>
            <w:webHidden/>
          </w:rPr>
          <w:tab/>
        </w:r>
        <w:r>
          <w:rPr>
            <w:noProof/>
            <w:webHidden/>
          </w:rPr>
          <w:fldChar w:fldCharType="begin"/>
        </w:r>
        <w:r>
          <w:rPr>
            <w:noProof/>
            <w:webHidden/>
          </w:rPr>
          <w:instrText xml:space="preserve"> PAGEREF _Toc180136431 \h </w:instrText>
        </w:r>
        <w:r>
          <w:rPr>
            <w:noProof/>
            <w:webHidden/>
          </w:rPr>
        </w:r>
        <w:r>
          <w:rPr>
            <w:noProof/>
            <w:webHidden/>
          </w:rPr>
          <w:fldChar w:fldCharType="separate"/>
        </w:r>
        <w:r>
          <w:rPr>
            <w:noProof/>
            <w:webHidden/>
          </w:rPr>
          <w:t>4</w:t>
        </w:r>
        <w:r>
          <w:rPr>
            <w:noProof/>
            <w:webHidden/>
          </w:rPr>
          <w:fldChar w:fldCharType="end"/>
        </w:r>
      </w:hyperlink>
    </w:p>
    <w:p w14:paraId="44874163" w14:textId="322CEB60"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32" w:history="1">
        <w:r w:rsidRPr="00A61B8A">
          <w:rPr>
            <w:rStyle w:val="Hyperlink"/>
            <w:noProof/>
          </w:rPr>
          <w:t>Current state of the labour market</w:t>
        </w:r>
        <w:r>
          <w:rPr>
            <w:noProof/>
            <w:webHidden/>
          </w:rPr>
          <w:tab/>
        </w:r>
        <w:r>
          <w:rPr>
            <w:noProof/>
            <w:webHidden/>
          </w:rPr>
          <w:fldChar w:fldCharType="begin"/>
        </w:r>
        <w:r>
          <w:rPr>
            <w:noProof/>
            <w:webHidden/>
          </w:rPr>
          <w:instrText xml:space="preserve"> PAGEREF _Toc180136432 \h </w:instrText>
        </w:r>
        <w:r>
          <w:rPr>
            <w:noProof/>
            <w:webHidden/>
          </w:rPr>
        </w:r>
        <w:r>
          <w:rPr>
            <w:noProof/>
            <w:webHidden/>
          </w:rPr>
          <w:fldChar w:fldCharType="separate"/>
        </w:r>
        <w:r>
          <w:rPr>
            <w:noProof/>
            <w:webHidden/>
          </w:rPr>
          <w:t>5</w:t>
        </w:r>
        <w:r>
          <w:rPr>
            <w:noProof/>
            <w:webHidden/>
          </w:rPr>
          <w:fldChar w:fldCharType="end"/>
        </w:r>
      </w:hyperlink>
    </w:p>
    <w:p w14:paraId="13E43D86" w14:textId="534B3C06" w:rsidR="00B87472" w:rsidRDefault="00B87472">
      <w:pPr>
        <w:pStyle w:val="TOC1"/>
        <w:tabs>
          <w:tab w:val="right" w:leader="dot" w:pos="9016"/>
        </w:tabs>
        <w:rPr>
          <w:rFonts w:asciiTheme="minorHAnsi" w:eastAsiaTheme="minorEastAsia" w:hAnsiTheme="minorHAnsi"/>
          <w:b w:val="0"/>
          <w:noProof/>
          <w:color w:val="auto"/>
          <w:kern w:val="2"/>
          <w:sz w:val="24"/>
          <w:szCs w:val="24"/>
          <w:lang w:eastAsia="en-AU"/>
          <w14:ligatures w14:val="standardContextual"/>
        </w:rPr>
      </w:pPr>
      <w:hyperlink w:anchor="_Toc180136433" w:history="1">
        <w:r w:rsidRPr="00A61B8A">
          <w:rPr>
            <w:rStyle w:val="Hyperlink"/>
            <w:noProof/>
          </w:rPr>
          <w:t>2024 OSL results</w:t>
        </w:r>
        <w:r>
          <w:rPr>
            <w:noProof/>
            <w:webHidden/>
          </w:rPr>
          <w:tab/>
        </w:r>
        <w:r>
          <w:rPr>
            <w:noProof/>
            <w:webHidden/>
          </w:rPr>
          <w:fldChar w:fldCharType="begin"/>
        </w:r>
        <w:r>
          <w:rPr>
            <w:noProof/>
            <w:webHidden/>
          </w:rPr>
          <w:instrText xml:space="preserve"> PAGEREF _Toc180136433 \h </w:instrText>
        </w:r>
        <w:r>
          <w:rPr>
            <w:noProof/>
            <w:webHidden/>
          </w:rPr>
        </w:r>
        <w:r>
          <w:rPr>
            <w:noProof/>
            <w:webHidden/>
          </w:rPr>
          <w:fldChar w:fldCharType="separate"/>
        </w:r>
        <w:r>
          <w:rPr>
            <w:noProof/>
            <w:webHidden/>
          </w:rPr>
          <w:t>7</w:t>
        </w:r>
        <w:r>
          <w:rPr>
            <w:noProof/>
            <w:webHidden/>
          </w:rPr>
          <w:fldChar w:fldCharType="end"/>
        </w:r>
      </w:hyperlink>
    </w:p>
    <w:p w14:paraId="3618E6E4" w14:textId="3EB4DB1C"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34" w:history="1">
        <w:r w:rsidRPr="00A61B8A">
          <w:rPr>
            <w:rStyle w:val="Hyperlink"/>
            <w:noProof/>
          </w:rPr>
          <w:t>Summary of national level findings</w:t>
        </w:r>
        <w:r>
          <w:rPr>
            <w:noProof/>
            <w:webHidden/>
          </w:rPr>
          <w:tab/>
        </w:r>
        <w:r>
          <w:rPr>
            <w:noProof/>
            <w:webHidden/>
          </w:rPr>
          <w:fldChar w:fldCharType="begin"/>
        </w:r>
        <w:r>
          <w:rPr>
            <w:noProof/>
            <w:webHidden/>
          </w:rPr>
          <w:instrText xml:space="preserve"> PAGEREF _Toc180136434 \h </w:instrText>
        </w:r>
        <w:r>
          <w:rPr>
            <w:noProof/>
            <w:webHidden/>
          </w:rPr>
        </w:r>
        <w:r>
          <w:rPr>
            <w:noProof/>
            <w:webHidden/>
          </w:rPr>
          <w:fldChar w:fldCharType="separate"/>
        </w:r>
        <w:r>
          <w:rPr>
            <w:noProof/>
            <w:webHidden/>
          </w:rPr>
          <w:t>7</w:t>
        </w:r>
        <w:r>
          <w:rPr>
            <w:noProof/>
            <w:webHidden/>
          </w:rPr>
          <w:fldChar w:fldCharType="end"/>
        </w:r>
      </w:hyperlink>
    </w:p>
    <w:p w14:paraId="745E8EEB" w14:textId="490966A9"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35" w:history="1">
        <w:r w:rsidRPr="00A61B8A">
          <w:rPr>
            <w:rStyle w:val="Hyperlink"/>
            <w:noProof/>
          </w:rPr>
          <w:t>A high-level breakdown</w:t>
        </w:r>
        <w:r>
          <w:rPr>
            <w:noProof/>
            <w:webHidden/>
          </w:rPr>
          <w:tab/>
        </w:r>
        <w:r>
          <w:rPr>
            <w:noProof/>
            <w:webHidden/>
          </w:rPr>
          <w:fldChar w:fldCharType="begin"/>
        </w:r>
        <w:r>
          <w:rPr>
            <w:noProof/>
            <w:webHidden/>
          </w:rPr>
          <w:instrText xml:space="preserve"> PAGEREF _Toc180136435 \h </w:instrText>
        </w:r>
        <w:r>
          <w:rPr>
            <w:noProof/>
            <w:webHidden/>
          </w:rPr>
        </w:r>
        <w:r>
          <w:rPr>
            <w:noProof/>
            <w:webHidden/>
          </w:rPr>
          <w:fldChar w:fldCharType="separate"/>
        </w:r>
        <w:r>
          <w:rPr>
            <w:noProof/>
            <w:webHidden/>
          </w:rPr>
          <w:t>9</w:t>
        </w:r>
        <w:r>
          <w:rPr>
            <w:noProof/>
            <w:webHidden/>
          </w:rPr>
          <w:fldChar w:fldCharType="end"/>
        </w:r>
      </w:hyperlink>
    </w:p>
    <w:p w14:paraId="6A9DC242" w14:textId="484E711F" w:rsidR="00B87472" w:rsidRDefault="00B87472">
      <w:pPr>
        <w:pStyle w:val="TOC1"/>
        <w:tabs>
          <w:tab w:val="right" w:leader="dot" w:pos="9016"/>
        </w:tabs>
        <w:rPr>
          <w:rFonts w:asciiTheme="minorHAnsi" w:eastAsiaTheme="minorEastAsia" w:hAnsiTheme="minorHAnsi"/>
          <w:b w:val="0"/>
          <w:noProof/>
          <w:color w:val="auto"/>
          <w:kern w:val="2"/>
          <w:sz w:val="24"/>
          <w:szCs w:val="24"/>
          <w:lang w:eastAsia="en-AU"/>
          <w14:ligatures w14:val="standardContextual"/>
        </w:rPr>
      </w:pPr>
      <w:hyperlink w:anchor="_Toc180136436" w:history="1">
        <w:r w:rsidRPr="00A61B8A">
          <w:rPr>
            <w:rStyle w:val="Hyperlink"/>
            <w:noProof/>
          </w:rPr>
          <w:t>Additional insights</w:t>
        </w:r>
        <w:r>
          <w:rPr>
            <w:noProof/>
            <w:webHidden/>
          </w:rPr>
          <w:tab/>
        </w:r>
        <w:r>
          <w:rPr>
            <w:noProof/>
            <w:webHidden/>
          </w:rPr>
          <w:fldChar w:fldCharType="begin"/>
        </w:r>
        <w:r>
          <w:rPr>
            <w:noProof/>
            <w:webHidden/>
          </w:rPr>
          <w:instrText xml:space="preserve"> PAGEREF _Toc180136436 \h </w:instrText>
        </w:r>
        <w:r>
          <w:rPr>
            <w:noProof/>
            <w:webHidden/>
          </w:rPr>
        </w:r>
        <w:r>
          <w:rPr>
            <w:noProof/>
            <w:webHidden/>
          </w:rPr>
          <w:fldChar w:fldCharType="separate"/>
        </w:r>
        <w:r>
          <w:rPr>
            <w:noProof/>
            <w:webHidden/>
          </w:rPr>
          <w:t>14</w:t>
        </w:r>
        <w:r>
          <w:rPr>
            <w:noProof/>
            <w:webHidden/>
          </w:rPr>
          <w:fldChar w:fldCharType="end"/>
        </w:r>
      </w:hyperlink>
    </w:p>
    <w:p w14:paraId="4132459A" w14:textId="6227D8EF"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37" w:history="1">
        <w:r w:rsidRPr="00A61B8A">
          <w:rPr>
            <w:rStyle w:val="Hyperlink"/>
            <w:noProof/>
          </w:rPr>
          <w:t>Many large employing occupations are in national Shortage</w:t>
        </w:r>
        <w:r>
          <w:rPr>
            <w:noProof/>
            <w:webHidden/>
          </w:rPr>
          <w:tab/>
        </w:r>
        <w:r>
          <w:rPr>
            <w:noProof/>
            <w:webHidden/>
          </w:rPr>
          <w:fldChar w:fldCharType="begin"/>
        </w:r>
        <w:r>
          <w:rPr>
            <w:noProof/>
            <w:webHidden/>
          </w:rPr>
          <w:instrText xml:space="preserve"> PAGEREF _Toc180136437 \h </w:instrText>
        </w:r>
        <w:r>
          <w:rPr>
            <w:noProof/>
            <w:webHidden/>
          </w:rPr>
        </w:r>
        <w:r>
          <w:rPr>
            <w:noProof/>
            <w:webHidden/>
          </w:rPr>
          <w:fldChar w:fldCharType="separate"/>
        </w:r>
        <w:r>
          <w:rPr>
            <w:noProof/>
            <w:webHidden/>
          </w:rPr>
          <w:t>14</w:t>
        </w:r>
        <w:r>
          <w:rPr>
            <w:noProof/>
            <w:webHidden/>
          </w:rPr>
          <w:fldChar w:fldCharType="end"/>
        </w:r>
      </w:hyperlink>
    </w:p>
    <w:p w14:paraId="40A506CD" w14:textId="44F3019A"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38" w:history="1">
        <w:r w:rsidRPr="00A61B8A">
          <w:rPr>
            <w:rStyle w:val="Hyperlink"/>
            <w:noProof/>
          </w:rPr>
          <w:t>Gender-skew in occupations could impact shortages</w:t>
        </w:r>
        <w:r>
          <w:rPr>
            <w:noProof/>
            <w:webHidden/>
          </w:rPr>
          <w:tab/>
        </w:r>
        <w:r>
          <w:rPr>
            <w:noProof/>
            <w:webHidden/>
          </w:rPr>
          <w:fldChar w:fldCharType="begin"/>
        </w:r>
        <w:r>
          <w:rPr>
            <w:noProof/>
            <w:webHidden/>
          </w:rPr>
          <w:instrText xml:space="preserve"> PAGEREF _Toc180136438 \h </w:instrText>
        </w:r>
        <w:r>
          <w:rPr>
            <w:noProof/>
            <w:webHidden/>
          </w:rPr>
        </w:r>
        <w:r>
          <w:rPr>
            <w:noProof/>
            <w:webHidden/>
          </w:rPr>
          <w:fldChar w:fldCharType="separate"/>
        </w:r>
        <w:r>
          <w:rPr>
            <w:noProof/>
            <w:webHidden/>
          </w:rPr>
          <w:t>16</w:t>
        </w:r>
        <w:r>
          <w:rPr>
            <w:noProof/>
            <w:webHidden/>
          </w:rPr>
          <w:fldChar w:fldCharType="end"/>
        </w:r>
      </w:hyperlink>
    </w:p>
    <w:p w14:paraId="1602C8DB" w14:textId="31DF14CF"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39" w:history="1">
        <w:r w:rsidRPr="00A61B8A">
          <w:rPr>
            <w:rStyle w:val="Hyperlink"/>
            <w:noProof/>
          </w:rPr>
          <w:t>Age distribution among occupations in Shortage</w:t>
        </w:r>
        <w:r>
          <w:rPr>
            <w:noProof/>
            <w:webHidden/>
          </w:rPr>
          <w:tab/>
        </w:r>
        <w:r>
          <w:rPr>
            <w:noProof/>
            <w:webHidden/>
          </w:rPr>
          <w:fldChar w:fldCharType="begin"/>
        </w:r>
        <w:r>
          <w:rPr>
            <w:noProof/>
            <w:webHidden/>
          </w:rPr>
          <w:instrText xml:space="preserve"> PAGEREF _Toc180136439 \h </w:instrText>
        </w:r>
        <w:r>
          <w:rPr>
            <w:noProof/>
            <w:webHidden/>
          </w:rPr>
        </w:r>
        <w:r>
          <w:rPr>
            <w:noProof/>
            <w:webHidden/>
          </w:rPr>
          <w:fldChar w:fldCharType="separate"/>
        </w:r>
        <w:r>
          <w:rPr>
            <w:noProof/>
            <w:webHidden/>
          </w:rPr>
          <w:t>18</w:t>
        </w:r>
        <w:r>
          <w:rPr>
            <w:noProof/>
            <w:webHidden/>
          </w:rPr>
          <w:fldChar w:fldCharType="end"/>
        </w:r>
      </w:hyperlink>
    </w:p>
    <w:p w14:paraId="03E03FFF" w14:textId="1656FC4B"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40" w:history="1">
        <w:r w:rsidRPr="00A61B8A">
          <w:rPr>
            <w:rStyle w:val="Hyperlink"/>
            <w:noProof/>
          </w:rPr>
          <w:t>Occupation shortage pressures in industries</w:t>
        </w:r>
        <w:r>
          <w:rPr>
            <w:noProof/>
            <w:webHidden/>
          </w:rPr>
          <w:tab/>
        </w:r>
        <w:r>
          <w:rPr>
            <w:noProof/>
            <w:webHidden/>
          </w:rPr>
          <w:fldChar w:fldCharType="begin"/>
        </w:r>
        <w:r>
          <w:rPr>
            <w:noProof/>
            <w:webHidden/>
          </w:rPr>
          <w:instrText xml:space="preserve"> PAGEREF _Toc180136440 \h </w:instrText>
        </w:r>
        <w:r>
          <w:rPr>
            <w:noProof/>
            <w:webHidden/>
          </w:rPr>
        </w:r>
        <w:r>
          <w:rPr>
            <w:noProof/>
            <w:webHidden/>
          </w:rPr>
          <w:fldChar w:fldCharType="separate"/>
        </w:r>
        <w:r>
          <w:rPr>
            <w:noProof/>
            <w:webHidden/>
          </w:rPr>
          <w:t>19</w:t>
        </w:r>
        <w:r>
          <w:rPr>
            <w:noProof/>
            <w:webHidden/>
          </w:rPr>
          <w:fldChar w:fldCharType="end"/>
        </w:r>
      </w:hyperlink>
    </w:p>
    <w:p w14:paraId="4D03C339" w14:textId="7666C6F8" w:rsidR="00B87472" w:rsidRDefault="00B87472">
      <w:pPr>
        <w:pStyle w:val="TOC2"/>
        <w:tabs>
          <w:tab w:val="right" w:leader="dot" w:pos="9016"/>
        </w:tabs>
        <w:rPr>
          <w:rFonts w:asciiTheme="minorHAnsi" w:eastAsiaTheme="minorEastAsia" w:hAnsiTheme="minorHAnsi"/>
          <w:noProof/>
          <w:kern w:val="2"/>
          <w:sz w:val="24"/>
          <w:szCs w:val="24"/>
          <w:lang w:eastAsia="en-AU"/>
          <w14:ligatures w14:val="standardContextual"/>
        </w:rPr>
      </w:pPr>
      <w:hyperlink w:anchor="_Toc180136441" w:history="1">
        <w:r w:rsidRPr="00A61B8A">
          <w:rPr>
            <w:rStyle w:val="Hyperlink"/>
            <w:noProof/>
          </w:rPr>
          <w:t>Employers rarely adjust wages to fill vacancies</w:t>
        </w:r>
        <w:r>
          <w:rPr>
            <w:noProof/>
            <w:webHidden/>
          </w:rPr>
          <w:tab/>
        </w:r>
        <w:r>
          <w:rPr>
            <w:noProof/>
            <w:webHidden/>
          </w:rPr>
          <w:fldChar w:fldCharType="begin"/>
        </w:r>
        <w:r>
          <w:rPr>
            <w:noProof/>
            <w:webHidden/>
          </w:rPr>
          <w:instrText xml:space="preserve"> PAGEREF _Toc180136441 \h </w:instrText>
        </w:r>
        <w:r>
          <w:rPr>
            <w:noProof/>
            <w:webHidden/>
          </w:rPr>
        </w:r>
        <w:r>
          <w:rPr>
            <w:noProof/>
            <w:webHidden/>
          </w:rPr>
          <w:fldChar w:fldCharType="separate"/>
        </w:r>
        <w:r>
          <w:rPr>
            <w:noProof/>
            <w:webHidden/>
          </w:rPr>
          <w:t>20</w:t>
        </w:r>
        <w:r>
          <w:rPr>
            <w:noProof/>
            <w:webHidden/>
          </w:rPr>
          <w:fldChar w:fldCharType="end"/>
        </w:r>
      </w:hyperlink>
    </w:p>
    <w:p w14:paraId="65C567F8" w14:textId="24653448" w:rsidR="00AE3394" w:rsidRPr="00C372B1" w:rsidRDefault="00B11937" w:rsidP="005A0A06">
      <w:pPr>
        <w:rPr>
          <w:rStyle w:val="Strong"/>
        </w:rPr>
      </w:pPr>
      <w:r w:rsidRPr="005965A3">
        <w:fldChar w:fldCharType="end"/>
      </w:r>
      <w:r>
        <w:br w:type="page"/>
      </w:r>
      <w:r w:rsidR="00AE3394" w:rsidRPr="00635566">
        <w:rPr>
          <w:rStyle w:val="Strong"/>
        </w:rPr>
        <w:lastRenderedPageBreak/>
        <w:t>List</w:t>
      </w:r>
      <w:r w:rsidR="00AE3394" w:rsidRPr="00C372B1">
        <w:rPr>
          <w:rStyle w:val="Strong"/>
        </w:rPr>
        <w:t xml:space="preserve"> of figures</w:t>
      </w:r>
    </w:p>
    <w:p w14:paraId="219EC43C" w14:textId="38221681" w:rsidR="00B87472" w:rsidRDefault="00F63E98">
      <w:pPr>
        <w:pStyle w:val="TableofFigures"/>
        <w:tabs>
          <w:tab w:val="right" w:leader="dot" w:pos="9016"/>
        </w:tabs>
        <w:rPr>
          <w:rFonts w:asciiTheme="minorHAnsi" w:eastAsiaTheme="minorEastAsia" w:hAnsiTheme="minorHAnsi"/>
          <w:noProof/>
          <w:kern w:val="2"/>
          <w:sz w:val="24"/>
          <w:szCs w:val="24"/>
          <w:lang w:eastAsia="en-AU"/>
          <w14:ligatures w14:val="standardContextual"/>
        </w:rPr>
      </w:pPr>
      <w:r w:rsidRPr="005965A3">
        <w:fldChar w:fldCharType="begin"/>
      </w:r>
      <w:r w:rsidRPr="005965A3">
        <w:instrText xml:space="preserve"> TOC \h \z \c "Figure" </w:instrText>
      </w:r>
      <w:r w:rsidRPr="005965A3">
        <w:fldChar w:fldCharType="separate"/>
      </w:r>
      <w:hyperlink w:anchor="_Toc180136408" w:history="1">
        <w:r w:rsidR="00B87472" w:rsidRPr="004C0D6A">
          <w:rPr>
            <w:rStyle w:val="Hyperlink"/>
            <w:noProof/>
          </w:rPr>
          <w:t>Figure 1: Unemployment rate (%) and full-time employment growth (%), 2014–24</w:t>
        </w:r>
        <w:r w:rsidR="00B87472">
          <w:rPr>
            <w:noProof/>
            <w:webHidden/>
          </w:rPr>
          <w:tab/>
        </w:r>
        <w:r w:rsidR="00B87472">
          <w:rPr>
            <w:noProof/>
            <w:webHidden/>
          </w:rPr>
          <w:fldChar w:fldCharType="begin"/>
        </w:r>
        <w:r w:rsidR="00B87472">
          <w:rPr>
            <w:noProof/>
            <w:webHidden/>
          </w:rPr>
          <w:instrText xml:space="preserve"> PAGEREF _Toc180136408 \h </w:instrText>
        </w:r>
        <w:r w:rsidR="00B87472">
          <w:rPr>
            <w:noProof/>
            <w:webHidden/>
          </w:rPr>
        </w:r>
        <w:r w:rsidR="00B87472">
          <w:rPr>
            <w:noProof/>
            <w:webHidden/>
          </w:rPr>
          <w:fldChar w:fldCharType="separate"/>
        </w:r>
        <w:r w:rsidR="00B87472">
          <w:rPr>
            <w:noProof/>
            <w:webHidden/>
          </w:rPr>
          <w:t>5</w:t>
        </w:r>
        <w:r w:rsidR="00B87472">
          <w:rPr>
            <w:noProof/>
            <w:webHidden/>
          </w:rPr>
          <w:fldChar w:fldCharType="end"/>
        </w:r>
      </w:hyperlink>
    </w:p>
    <w:p w14:paraId="62DB08A3" w14:textId="40AA2AD9"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09" w:history="1">
        <w:r w:rsidRPr="004C0D6A">
          <w:rPr>
            <w:rStyle w:val="Hyperlink"/>
            <w:noProof/>
          </w:rPr>
          <w:t>Figure 2: Fill rate (%), recruitment difficulty rate (%) and Internet Vacancy Index (000’s), 2022–24</w:t>
        </w:r>
        <w:r>
          <w:rPr>
            <w:noProof/>
            <w:webHidden/>
          </w:rPr>
          <w:tab/>
        </w:r>
        <w:r>
          <w:rPr>
            <w:noProof/>
            <w:webHidden/>
          </w:rPr>
          <w:fldChar w:fldCharType="begin"/>
        </w:r>
        <w:r>
          <w:rPr>
            <w:noProof/>
            <w:webHidden/>
          </w:rPr>
          <w:instrText xml:space="preserve"> PAGEREF _Toc180136409 \h </w:instrText>
        </w:r>
        <w:r>
          <w:rPr>
            <w:noProof/>
            <w:webHidden/>
          </w:rPr>
        </w:r>
        <w:r>
          <w:rPr>
            <w:noProof/>
            <w:webHidden/>
          </w:rPr>
          <w:fldChar w:fldCharType="separate"/>
        </w:r>
        <w:r>
          <w:rPr>
            <w:noProof/>
            <w:webHidden/>
          </w:rPr>
          <w:t>6</w:t>
        </w:r>
        <w:r>
          <w:rPr>
            <w:noProof/>
            <w:webHidden/>
          </w:rPr>
          <w:fldChar w:fldCharType="end"/>
        </w:r>
      </w:hyperlink>
    </w:p>
    <w:p w14:paraId="07E74310" w14:textId="11570E29"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0" w:history="1">
        <w:r w:rsidRPr="004C0D6A">
          <w:rPr>
            <w:rStyle w:val="Hyperlink"/>
            <w:noProof/>
          </w:rPr>
          <w:t>Figure 3: Monthly hours worked (left, millions) and employment-to-population ratio (right, %), seasonally adjusted, 2022–24</w:t>
        </w:r>
        <w:r>
          <w:rPr>
            <w:noProof/>
            <w:webHidden/>
          </w:rPr>
          <w:tab/>
        </w:r>
        <w:r>
          <w:rPr>
            <w:noProof/>
            <w:webHidden/>
          </w:rPr>
          <w:fldChar w:fldCharType="begin"/>
        </w:r>
        <w:r>
          <w:rPr>
            <w:noProof/>
            <w:webHidden/>
          </w:rPr>
          <w:instrText xml:space="preserve"> PAGEREF _Toc180136410 \h </w:instrText>
        </w:r>
        <w:r>
          <w:rPr>
            <w:noProof/>
            <w:webHidden/>
          </w:rPr>
        </w:r>
        <w:r>
          <w:rPr>
            <w:noProof/>
            <w:webHidden/>
          </w:rPr>
          <w:fldChar w:fldCharType="separate"/>
        </w:r>
        <w:r>
          <w:rPr>
            <w:noProof/>
            <w:webHidden/>
          </w:rPr>
          <w:t>6</w:t>
        </w:r>
        <w:r>
          <w:rPr>
            <w:noProof/>
            <w:webHidden/>
          </w:rPr>
          <w:fldChar w:fldCharType="end"/>
        </w:r>
      </w:hyperlink>
    </w:p>
    <w:p w14:paraId="4E047B3A" w14:textId="55E59298"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1" w:history="1">
        <w:r w:rsidRPr="004C0D6A">
          <w:rPr>
            <w:rStyle w:val="Hyperlink"/>
            <w:noProof/>
          </w:rPr>
          <w:t>Figure 4: Percentage of occupations in Shortage (%) in 2021 to 2024 OSL</w:t>
        </w:r>
        <w:r>
          <w:rPr>
            <w:noProof/>
            <w:webHidden/>
          </w:rPr>
          <w:tab/>
        </w:r>
        <w:r>
          <w:rPr>
            <w:noProof/>
            <w:webHidden/>
          </w:rPr>
          <w:fldChar w:fldCharType="begin"/>
        </w:r>
        <w:r>
          <w:rPr>
            <w:noProof/>
            <w:webHidden/>
          </w:rPr>
          <w:instrText xml:space="preserve"> PAGEREF _Toc180136411 \h </w:instrText>
        </w:r>
        <w:r>
          <w:rPr>
            <w:noProof/>
            <w:webHidden/>
          </w:rPr>
        </w:r>
        <w:r>
          <w:rPr>
            <w:noProof/>
            <w:webHidden/>
          </w:rPr>
          <w:fldChar w:fldCharType="separate"/>
        </w:r>
        <w:r>
          <w:rPr>
            <w:noProof/>
            <w:webHidden/>
          </w:rPr>
          <w:t>7</w:t>
        </w:r>
        <w:r>
          <w:rPr>
            <w:noProof/>
            <w:webHidden/>
          </w:rPr>
          <w:fldChar w:fldCharType="end"/>
        </w:r>
      </w:hyperlink>
    </w:p>
    <w:p w14:paraId="1CF845AD" w14:textId="370AAC3E"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2" w:history="1">
        <w:r w:rsidRPr="004C0D6A">
          <w:rPr>
            <w:rStyle w:val="Hyperlink"/>
            <w:noProof/>
          </w:rPr>
          <w:t>Figure 5: Density plot of predicted fill rates (%) for the 2023 and 2024 OSLs</w:t>
        </w:r>
        <w:r>
          <w:rPr>
            <w:noProof/>
            <w:webHidden/>
          </w:rPr>
          <w:tab/>
        </w:r>
        <w:r>
          <w:rPr>
            <w:noProof/>
            <w:webHidden/>
          </w:rPr>
          <w:fldChar w:fldCharType="begin"/>
        </w:r>
        <w:r>
          <w:rPr>
            <w:noProof/>
            <w:webHidden/>
          </w:rPr>
          <w:instrText xml:space="preserve"> PAGEREF _Toc180136412 \h </w:instrText>
        </w:r>
        <w:r>
          <w:rPr>
            <w:noProof/>
            <w:webHidden/>
          </w:rPr>
        </w:r>
        <w:r>
          <w:rPr>
            <w:noProof/>
            <w:webHidden/>
          </w:rPr>
          <w:fldChar w:fldCharType="separate"/>
        </w:r>
        <w:r>
          <w:rPr>
            <w:noProof/>
            <w:webHidden/>
          </w:rPr>
          <w:t>8</w:t>
        </w:r>
        <w:r>
          <w:rPr>
            <w:noProof/>
            <w:webHidden/>
          </w:rPr>
          <w:fldChar w:fldCharType="end"/>
        </w:r>
      </w:hyperlink>
    </w:p>
    <w:p w14:paraId="7B95BD02" w14:textId="5FE15DBC"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3" w:history="1">
        <w:r w:rsidRPr="004C0D6A">
          <w:rPr>
            <w:rStyle w:val="Hyperlink"/>
            <w:noProof/>
          </w:rPr>
          <w:t>Figure 6: Number of applicants, qualified applicants and suitable applicants per vacancy (No.), 2020–21 to 2023–24 financial years</w:t>
        </w:r>
        <w:r>
          <w:rPr>
            <w:noProof/>
            <w:webHidden/>
          </w:rPr>
          <w:tab/>
        </w:r>
        <w:r>
          <w:rPr>
            <w:noProof/>
            <w:webHidden/>
          </w:rPr>
          <w:fldChar w:fldCharType="begin"/>
        </w:r>
        <w:r>
          <w:rPr>
            <w:noProof/>
            <w:webHidden/>
          </w:rPr>
          <w:instrText xml:space="preserve"> PAGEREF _Toc180136413 \h </w:instrText>
        </w:r>
        <w:r>
          <w:rPr>
            <w:noProof/>
            <w:webHidden/>
          </w:rPr>
        </w:r>
        <w:r>
          <w:rPr>
            <w:noProof/>
            <w:webHidden/>
          </w:rPr>
          <w:fldChar w:fldCharType="separate"/>
        </w:r>
        <w:r>
          <w:rPr>
            <w:noProof/>
            <w:webHidden/>
          </w:rPr>
          <w:t>9</w:t>
        </w:r>
        <w:r>
          <w:rPr>
            <w:noProof/>
            <w:webHidden/>
          </w:rPr>
          <w:fldChar w:fldCharType="end"/>
        </w:r>
      </w:hyperlink>
    </w:p>
    <w:p w14:paraId="3A80FAA6" w14:textId="152DEB8A"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4" w:history="1">
        <w:r w:rsidRPr="004C0D6A">
          <w:rPr>
            <w:rStyle w:val="Hyperlink"/>
            <w:noProof/>
          </w:rPr>
          <w:t>Figure 7: Percentage of occupations in Shortage (%), by major group, 2021–24</w:t>
        </w:r>
        <w:r>
          <w:rPr>
            <w:noProof/>
            <w:webHidden/>
          </w:rPr>
          <w:tab/>
        </w:r>
        <w:r>
          <w:rPr>
            <w:noProof/>
            <w:webHidden/>
          </w:rPr>
          <w:fldChar w:fldCharType="begin"/>
        </w:r>
        <w:r>
          <w:rPr>
            <w:noProof/>
            <w:webHidden/>
          </w:rPr>
          <w:instrText xml:space="preserve"> PAGEREF _Toc180136414 \h </w:instrText>
        </w:r>
        <w:r>
          <w:rPr>
            <w:noProof/>
            <w:webHidden/>
          </w:rPr>
        </w:r>
        <w:r>
          <w:rPr>
            <w:noProof/>
            <w:webHidden/>
          </w:rPr>
          <w:fldChar w:fldCharType="separate"/>
        </w:r>
        <w:r>
          <w:rPr>
            <w:noProof/>
            <w:webHidden/>
          </w:rPr>
          <w:t>11</w:t>
        </w:r>
        <w:r>
          <w:rPr>
            <w:noProof/>
            <w:webHidden/>
          </w:rPr>
          <w:fldChar w:fldCharType="end"/>
        </w:r>
      </w:hyperlink>
    </w:p>
    <w:p w14:paraId="011C9524" w14:textId="2DE1C02C"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5" w:history="1">
        <w:r w:rsidRPr="004C0D6A">
          <w:rPr>
            <w:rStyle w:val="Hyperlink"/>
            <w:noProof/>
          </w:rPr>
          <w:t>Figure 8: Recruitment difficulty rate (%), by high and low skilled occupations, 2021–24</w:t>
        </w:r>
        <w:r>
          <w:rPr>
            <w:noProof/>
            <w:webHidden/>
          </w:rPr>
          <w:tab/>
        </w:r>
        <w:r>
          <w:rPr>
            <w:noProof/>
            <w:webHidden/>
          </w:rPr>
          <w:fldChar w:fldCharType="begin"/>
        </w:r>
        <w:r>
          <w:rPr>
            <w:noProof/>
            <w:webHidden/>
          </w:rPr>
          <w:instrText xml:space="preserve"> PAGEREF _Toc180136415 \h </w:instrText>
        </w:r>
        <w:r>
          <w:rPr>
            <w:noProof/>
            <w:webHidden/>
          </w:rPr>
        </w:r>
        <w:r>
          <w:rPr>
            <w:noProof/>
            <w:webHidden/>
          </w:rPr>
          <w:fldChar w:fldCharType="separate"/>
        </w:r>
        <w:r>
          <w:rPr>
            <w:noProof/>
            <w:webHidden/>
          </w:rPr>
          <w:t>12</w:t>
        </w:r>
        <w:r>
          <w:rPr>
            <w:noProof/>
            <w:webHidden/>
          </w:rPr>
          <w:fldChar w:fldCharType="end"/>
        </w:r>
      </w:hyperlink>
    </w:p>
    <w:p w14:paraId="40922998" w14:textId="78D2558A"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6" w:history="1">
        <w:r w:rsidRPr="004C0D6A">
          <w:rPr>
            <w:rStyle w:val="Hyperlink"/>
            <w:noProof/>
          </w:rPr>
          <w:t>Figure 9: Percentage of occupations in Shortage (%), by Skill Level, 2021–24</w:t>
        </w:r>
        <w:r>
          <w:rPr>
            <w:noProof/>
            <w:webHidden/>
          </w:rPr>
          <w:tab/>
        </w:r>
        <w:r>
          <w:rPr>
            <w:noProof/>
            <w:webHidden/>
          </w:rPr>
          <w:fldChar w:fldCharType="begin"/>
        </w:r>
        <w:r>
          <w:rPr>
            <w:noProof/>
            <w:webHidden/>
          </w:rPr>
          <w:instrText xml:space="preserve"> PAGEREF _Toc180136416 \h </w:instrText>
        </w:r>
        <w:r>
          <w:rPr>
            <w:noProof/>
            <w:webHidden/>
          </w:rPr>
        </w:r>
        <w:r>
          <w:rPr>
            <w:noProof/>
            <w:webHidden/>
          </w:rPr>
          <w:fldChar w:fldCharType="separate"/>
        </w:r>
        <w:r>
          <w:rPr>
            <w:noProof/>
            <w:webHidden/>
          </w:rPr>
          <w:t>13</w:t>
        </w:r>
        <w:r>
          <w:rPr>
            <w:noProof/>
            <w:webHidden/>
          </w:rPr>
          <w:fldChar w:fldCharType="end"/>
        </w:r>
      </w:hyperlink>
    </w:p>
    <w:p w14:paraId="425289CE" w14:textId="3F9FE74D"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7" w:history="1">
        <w:r w:rsidRPr="004C0D6A">
          <w:rPr>
            <w:rStyle w:val="Hyperlink"/>
            <w:noProof/>
          </w:rPr>
          <w:t>Figure 10: Percentage of gender-imbalanced occupations that were in Shortage (%), 2021–24</w:t>
        </w:r>
        <w:r>
          <w:rPr>
            <w:noProof/>
            <w:webHidden/>
          </w:rPr>
          <w:tab/>
        </w:r>
        <w:r>
          <w:rPr>
            <w:noProof/>
            <w:webHidden/>
          </w:rPr>
          <w:fldChar w:fldCharType="begin"/>
        </w:r>
        <w:r>
          <w:rPr>
            <w:noProof/>
            <w:webHidden/>
          </w:rPr>
          <w:instrText xml:space="preserve"> PAGEREF _Toc180136417 \h </w:instrText>
        </w:r>
        <w:r>
          <w:rPr>
            <w:noProof/>
            <w:webHidden/>
          </w:rPr>
        </w:r>
        <w:r>
          <w:rPr>
            <w:noProof/>
            <w:webHidden/>
          </w:rPr>
          <w:fldChar w:fldCharType="separate"/>
        </w:r>
        <w:r>
          <w:rPr>
            <w:noProof/>
            <w:webHidden/>
          </w:rPr>
          <w:t>16</w:t>
        </w:r>
        <w:r>
          <w:rPr>
            <w:noProof/>
            <w:webHidden/>
          </w:rPr>
          <w:fldChar w:fldCharType="end"/>
        </w:r>
      </w:hyperlink>
    </w:p>
    <w:p w14:paraId="737D841E" w14:textId="04715B76"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8" w:history="1">
        <w:r w:rsidRPr="004C0D6A">
          <w:rPr>
            <w:rStyle w:val="Hyperlink"/>
            <w:noProof/>
          </w:rPr>
          <w:t>Figure 11: Gender breakdown of the percentage of occupations in Shortage (%), by major group, 2024</w:t>
        </w:r>
        <w:r>
          <w:rPr>
            <w:noProof/>
            <w:webHidden/>
          </w:rPr>
          <w:tab/>
        </w:r>
        <w:r>
          <w:rPr>
            <w:noProof/>
            <w:webHidden/>
          </w:rPr>
          <w:fldChar w:fldCharType="begin"/>
        </w:r>
        <w:r>
          <w:rPr>
            <w:noProof/>
            <w:webHidden/>
          </w:rPr>
          <w:instrText xml:space="preserve"> PAGEREF _Toc180136418 \h </w:instrText>
        </w:r>
        <w:r>
          <w:rPr>
            <w:noProof/>
            <w:webHidden/>
          </w:rPr>
        </w:r>
        <w:r>
          <w:rPr>
            <w:noProof/>
            <w:webHidden/>
          </w:rPr>
          <w:fldChar w:fldCharType="separate"/>
        </w:r>
        <w:r>
          <w:rPr>
            <w:noProof/>
            <w:webHidden/>
          </w:rPr>
          <w:t>17</w:t>
        </w:r>
        <w:r>
          <w:rPr>
            <w:noProof/>
            <w:webHidden/>
          </w:rPr>
          <w:fldChar w:fldCharType="end"/>
        </w:r>
      </w:hyperlink>
    </w:p>
    <w:p w14:paraId="31425C66" w14:textId="2DDA5918"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19" w:history="1">
        <w:r w:rsidRPr="004C0D6A">
          <w:rPr>
            <w:rStyle w:val="Hyperlink"/>
            <w:noProof/>
          </w:rPr>
          <w:t>Figure 12: Age distribution of workers in occupations (%), by shortage rating, by major group, 2024</w:t>
        </w:r>
        <w:r>
          <w:rPr>
            <w:noProof/>
            <w:webHidden/>
          </w:rPr>
          <w:tab/>
        </w:r>
        <w:r>
          <w:rPr>
            <w:noProof/>
            <w:webHidden/>
          </w:rPr>
          <w:fldChar w:fldCharType="begin"/>
        </w:r>
        <w:r>
          <w:rPr>
            <w:noProof/>
            <w:webHidden/>
          </w:rPr>
          <w:instrText xml:space="preserve"> PAGEREF _Toc180136419 \h </w:instrText>
        </w:r>
        <w:r>
          <w:rPr>
            <w:noProof/>
            <w:webHidden/>
          </w:rPr>
        </w:r>
        <w:r>
          <w:rPr>
            <w:noProof/>
            <w:webHidden/>
          </w:rPr>
          <w:fldChar w:fldCharType="separate"/>
        </w:r>
        <w:r>
          <w:rPr>
            <w:noProof/>
            <w:webHidden/>
          </w:rPr>
          <w:t>18</w:t>
        </w:r>
        <w:r>
          <w:rPr>
            <w:noProof/>
            <w:webHidden/>
          </w:rPr>
          <w:fldChar w:fldCharType="end"/>
        </w:r>
      </w:hyperlink>
    </w:p>
    <w:p w14:paraId="59DF854D" w14:textId="7228E0B6"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20" w:history="1">
        <w:r w:rsidRPr="004C0D6A">
          <w:rPr>
            <w:rStyle w:val="Hyperlink"/>
            <w:noProof/>
          </w:rPr>
          <w:t>Figure 13: Percentage of occupations in Shortage (%), by mature age worker composition, 2021-2024</w:t>
        </w:r>
        <w:r>
          <w:rPr>
            <w:noProof/>
            <w:webHidden/>
          </w:rPr>
          <w:tab/>
        </w:r>
        <w:r>
          <w:rPr>
            <w:noProof/>
            <w:webHidden/>
          </w:rPr>
          <w:fldChar w:fldCharType="begin"/>
        </w:r>
        <w:r>
          <w:rPr>
            <w:noProof/>
            <w:webHidden/>
          </w:rPr>
          <w:instrText xml:space="preserve"> PAGEREF _Toc180136420 \h </w:instrText>
        </w:r>
        <w:r>
          <w:rPr>
            <w:noProof/>
            <w:webHidden/>
          </w:rPr>
        </w:r>
        <w:r>
          <w:rPr>
            <w:noProof/>
            <w:webHidden/>
          </w:rPr>
          <w:fldChar w:fldCharType="separate"/>
        </w:r>
        <w:r>
          <w:rPr>
            <w:noProof/>
            <w:webHidden/>
          </w:rPr>
          <w:t>19</w:t>
        </w:r>
        <w:r>
          <w:rPr>
            <w:noProof/>
            <w:webHidden/>
          </w:rPr>
          <w:fldChar w:fldCharType="end"/>
        </w:r>
      </w:hyperlink>
    </w:p>
    <w:p w14:paraId="6F09C96A" w14:textId="2257BBBE"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21" w:history="1">
        <w:r w:rsidRPr="004C0D6A">
          <w:rPr>
            <w:rStyle w:val="Hyperlink"/>
            <w:noProof/>
          </w:rPr>
          <w:t>Figure 14: Workforce shortage pressures (%), by industry, 2021–24</w:t>
        </w:r>
        <w:r>
          <w:rPr>
            <w:noProof/>
            <w:webHidden/>
          </w:rPr>
          <w:tab/>
        </w:r>
        <w:r>
          <w:rPr>
            <w:noProof/>
            <w:webHidden/>
          </w:rPr>
          <w:fldChar w:fldCharType="begin"/>
        </w:r>
        <w:r>
          <w:rPr>
            <w:noProof/>
            <w:webHidden/>
          </w:rPr>
          <w:instrText xml:space="preserve"> PAGEREF _Toc180136421 \h </w:instrText>
        </w:r>
        <w:r>
          <w:rPr>
            <w:noProof/>
            <w:webHidden/>
          </w:rPr>
        </w:r>
        <w:r>
          <w:rPr>
            <w:noProof/>
            <w:webHidden/>
          </w:rPr>
          <w:fldChar w:fldCharType="separate"/>
        </w:r>
        <w:r>
          <w:rPr>
            <w:noProof/>
            <w:webHidden/>
          </w:rPr>
          <w:t>20</w:t>
        </w:r>
        <w:r>
          <w:rPr>
            <w:noProof/>
            <w:webHidden/>
          </w:rPr>
          <w:fldChar w:fldCharType="end"/>
        </w:r>
      </w:hyperlink>
    </w:p>
    <w:p w14:paraId="6580DDAB" w14:textId="45CAD07C"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22" w:history="1">
        <w:r w:rsidRPr="004C0D6A">
          <w:rPr>
            <w:rStyle w:val="Hyperlink"/>
            <w:noProof/>
          </w:rPr>
          <w:t>Figure 15: Percentage of employers’ responses to unfilled vacancies (%), 2021–24</w:t>
        </w:r>
        <w:r>
          <w:rPr>
            <w:noProof/>
            <w:webHidden/>
          </w:rPr>
          <w:tab/>
        </w:r>
        <w:r>
          <w:rPr>
            <w:noProof/>
            <w:webHidden/>
          </w:rPr>
          <w:fldChar w:fldCharType="begin"/>
        </w:r>
        <w:r>
          <w:rPr>
            <w:noProof/>
            <w:webHidden/>
          </w:rPr>
          <w:instrText xml:space="preserve"> PAGEREF _Toc180136422 \h </w:instrText>
        </w:r>
        <w:r>
          <w:rPr>
            <w:noProof/>
            <w:webHidden/>
          </w:rPr>
        </w:r>
        <w:r>
          <w:rPr>
            <w:noProof/>
            <w:webHidden/>
          </w:rPr>
          <w:fldChar w:fldCharType="separate"/>
        </w:r>
        <w:r>
          <w:rPr>
            <w:noProof/>
            <w:webHidden/>
          </w:rPr>
          <w:t>21</w:t>
        </w:r>
        <w:r>
          <w:rPr>
            <w:noProof/>
            <w:webHidden/>
          </w:rPr>
          <w:fldChar w:fldCharType="end"/>
        </w:r>
      </w:hyperlink>
    </w:p>
    <w:p w14:paraId="1BC4D432" w14:textId="269FE387"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23" w:history="1">
        <w:r w:rsidRPr="004C0D6A">
          <w:rPr>
            <w:rStyle w:val="Hyperlink"/>
            <w:noProof/>
          </w:rPr>
          <w:t>Figure 16: Correlation of annual wage growth (2021–23) and fill rates lagged by 1-year (2020–22), at ANZSCO unit group</w:t>
        </w:r>
        <w:r>
          <w:rPr>
            <w:noProof/>
            <w:webHidden/>
          </w:rPr>
          <w:tab/>
        </w:r>
        <w:r>
          <w:rPr>
            <w:noProof/>
            <w:webHidden/>
          </w:rPr>
          <w:fldChar w:fldCharType="begin"/>
        </w:r>
        <w:r>
          <w:rPr>
            <w:noProof/>
            <w:webHidden/>
          </w:rPr>
          <w:instrText xml:space="preserve"> PAGEREF _Toc180136423 \h </w:instrText>
        </w:r>
        <w:r>
          <w:rPr>
            <w:noProof/>
            <w:webHidden/>
          </w:rPr>
        </w:r>
        <w:r>
          <w:rPr>
            <w:noProof/>
            <w:webHidden/>
          </w:rPr>
          <w:fldChar w:fldCharType="separate"/>
        </w:r>
        <w:r>
          <w:rPr>
            <w:noProof/>
            <w:webHidden/>
          </w:rPr>
          <w:t>22</w:t>
        </w:r>
        <w:r>
          <w:rPr>
            <w:noProof/>
            <w:webHidden/>
          </w:rPr>
          <w:fldChar w:fldCharType="end"/>
        </w:r>
      </w:hyperlink>
    </w:p>
    <w:p w14:paraId="5ADD6E4C" w14:textId="690D4B4B" w:rsidR="003C1657" w:rsidRDefault="00F63E98" w:rsidP="00E9283C">
      <w:r w:rsidRPr="005965A3">
        <w:fldChar w:fldCharType="end"/>
      </w:r>
      <w:r w:rsidR="003C1657">
        <w:br w:type="page"/>
      </w:r>
    </w:p>
    <w:p w14:paraId="07ED36FC" w14:textId="3EC65CA8" w:rsidR="00AE3394" w:rsidRPr="007B5292" w:rsidRDefault="00AE3394" w:rsidP="003D5AE3">
      <w:pPr>
        <w:rPr>
          <w:rStyle w:val="Strong"/>
        </w:rPr>
      </w:pPr>
      <w:r w:rsidRPr="007B5292">
        <w:rPr>
          <w:rStyle w:val="Strong"/>
        </w:rPr>
        <w:lastRenderedPageBreak/>
        <w:t>List of tables</w:t>
      </w:r>
    </w:p>
    <w:p w14:paraId="16F3E96F" w14:textId="13FA6995" w:rsidR="00B87472" w:rsidRDefault="003C1657">
      <w:pPr>
        <w:pStyle w:val="TableofFigures"/>
        <w:tabs>
          <w:tab w:val="right" w:leader="dot" w:pos="9016"/>
        </w:tabs>
        <w:rPr>
          <w:rFonts w:asciiTheme="minorHAnsi" w:eastAsiaTheme="minorEastAsia" w:hAnsiTheme="minorHAnsi"/>
          <w:noProof/>
          <w:kern w:val="2"/>
          <w:sz w:val="24"/>
          <w:szCs w:val="24"/>
          <w:lang w:eastAsia="en-AU"/>
          <w14:ligatures w14:val="standardContextual"/>
        </w:rPr>
      </w:pPr>
      <w:r w:rsidRPr="005965A3">
        <w:fldChar w:fldCharType="begin"/>
      </w:r>
      <w:r w:rsidRPr="005965A3">
        <w:instrText xml:space="preserve"> TOC \h \z \c "Table" </w:instrText>
      </w:r>
      <w:r w:rsidRPr="005965A3">
        <w:fldChar w:fldCharType="separate"/>
      </w:r>
      <w:hyperlink w:anchor="_Toc180136424" w:history="1">
        <w:r w:rsidR="00B87472" w:rsidRPr="00B0177D">
          <w:rPr>
            <w:rStyle w:val="Hyperlink"/>
            <w:noProof/>
          </w:rPr>
          <w:t>Table 1: Summary of occupation rating changes between 2023 and 2024 OSLs</w:t>
        </w:r>
        <w:r w:rsidR="00B87472">
          <w:rPr>
            <w:noProof/>
            <w:webHidden/>
          </w:rPr>
          <w:tab/>
        </w:r>
        <w:r w:rsidR="00B87472">
          <w:rPr>
            <w:noProof/>
            <w:webHidden/>
          </w:rPr>
          <w:fldChar w:fldCharType="begin"/>
        </w:r>
        <w:r w:rsidR="00B87472">
          <w:rPr>
            <w:noProof/>
            <w:webHidden/>
          </w:rPr>
          <w:instrText xml:space="preserve"> PAGEREF _Toc180136424 \h </w:instrText>
        </w:r>
        <w:r w:rsidR="00B87472">
          <w:rPr>
            <w:noProof/>
            <w:webHidden/>
          </w:rPr>
        </w:r>
        <w:r w:rsidR="00B87472">
          <w:rPr>
            <w:noProof/>
            <w:webHidden/>
          </w:rPr>
          <w:fldChar w:fldCharType="separate"/>
        </w:r>
        <w:r w:rsidR="00B87472">
          <w:rPr>
            <w:noProof/>
            <w:webHidden/>
          </w:rPr>
          <w:t>9</w:t>
        </w:r>
        <w:r w:rsidR="00B87472">
          <w:rPr>
            <w:noProof/>
            <w:webHidden/>
          </w:rPr>
          <w:fldChar w:fldCharType="end"/>
        </w:r>
      </w:hyperlink>
    </w:p>
    <w:p w14:paraId="264F15ED" w14:textId="7279A21C"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25" w:history="1">
        <w:r w:rsidRPr="00B0177D">
          <w:rPr>
            <w:rStyle w:val="Hyperlink"/>
            <w:noProof/>
          </w:rPr>
          <w:t>Table 2: Summary of major groups in persistent Shortage in the 2021–24 OSLs</w:t>
        </w:r>
        <w:r>
          <w:rPr>
            <w:noProof/>
            <w:webHidden/>
          </w:rPr>
          <w:tab/>
        </w:r>
        <w:r>
          <w:rPr>
            <w:noProof/>
            <w:webHidden/>
          </w:rPr>
          <w:fldChar w:fldCharType="begin"/>
        </w:r>
        <w:r>
          <w:rPr>
            <w:noProof/>
            <w:webHidden/>
          </w:rPr>
          <w:instrText xml:space="preserve"> PAGEREF _Toc180136425 \h </w:instrText>
        </w:r>
        <w:r>
          <w:rPr>
            <w:noProof/>
            <w:webHidden/>
          </w:rPr>
        </w:r>
        <w:r>
          <w:rPr>
            <w:noProof/>
            <w:webHidden/>
          </w:rPr>
          <w:fldChar w:fldCharType="separate"/>
        </w:r>
        <w:r>
          <w:rPr>
            <w:noProof/>
            <w:webHidden/>
          </w:rPr>
          <w:t>10</w:t>
        </w:r>
        <w:r>
          <w:rPr>
            <w:noProof/>
            <w:webHidden/>
          </w:rPr>
          <w:fldChar w:fldCharType="end"/>
        </w:r>
      </w:hyperlink>
    </w:p>
    <w:p w14:paraId="4308ED54" w14:textId="099E5998" w:rsidR="00B87472" w:rsidRDefault="00B87472">
      <w:pPr>
        <w:pStyle w:val="TableofFigures"/>
        <w:tabs>
          <w:tab w:val="right" w:leader="dot" w:pos="9016"/>
        </w:tabs>
        <w:rPr>
          <w:rFonts w:asciiTheme="minorHAnsi" w:eastAsiaTheme="minorEastAsia" w:hAnsiTheme="minorHAnsi"/>
          <w:noProof/>
          <w:kern w:val="2"/>
          <w:sz w:val="24"/>
          <w:szCs w:val="24"/>
          <w:lang w:eastAsia="en-AU"/>
          <w14:ligatures w14:val="standardContextual"/>
        </w:rPr>
      </w:pPr>
      <w:hyperlink w:anchor="_Toc180136426" w:history="1">
        <w:r w:rsidRPr="00B0177D">
          <w:rPr>
            <w:rStyle w:val="Hyperlink"/>
            <w:noProof/>
          </w:rPr>
          <w:t>Table 3: Top 20 largest employing occupations in Shortage in the 2024 OSL</w:t>
        </w:r>
        <w:r>
          <w:rPr>
            <w:noProof/>
            <w:webHidden/>
          </w:rPr>
          <w:tab/>
        </w:r>
        <w:r>
          <w:rPr>
            <w:noProof/>
            <w:webHidden/>
          </w:rPr>
          <w:fldChar w:fldCharType="begin"/>
        </w:r>
        <w:r>
          <w:rPr>
            <w:noProof/>
            <w:webHidden/>
          </w:rPr>
          <w:instrText xml:space="preserve"> PAGEREF _Toc180136426 \h </w:instrText>
        </w:r>
        <w:r>
          <w:rPr>
            <w:noProof/>
            <w:webHidden/>
          </w:rPr>
        </w:r>
        <w:r>
          <w:rPr>
            <w:noProof/>
            <w:webHidden/>
          </w:rPr>
          <w:fldChar w:fldCharType="separate"/>
        </w:r>
        <w:r>
          <w:rPr>
            <w:noProof/>
            <w:webHidden/>
          </w:rPr>
          <w:t>15</w:t>
        </w:r>
        <w:r>
          <w:rPr>
            <w:noProof/>
            <w:webHidden/>
          </w:rPr>
          <w:fldChar w:fldCharType="end"/>
        </w:r>
      </w:hyperlink>
    </w:p>
    <w:p w14:paraId="2832C9E3" w14:textId="48858D40" w:rsidR="00B11937" w:rsidRPr="00B11937" w:rsidRDefault="003C1657" w:rsidP="00C14AE2">
      <w:r w:rsidRPr="005965A3">
        <w:fldChar w:fldCharType="end"/>
      </w:r>
      <w:r w:rsidR="00AE3394">
        <w:br w:type="page"/>
      </w:r>
    </w:p>
    <w:p w14:paraId="4159D79C" w14:textId="7EA724E4" w:rsidR="001A22A8" w:rsidRPr="00E70D25" w:rsidRDefault="00F21F60" w:rsidP="00E70D25">
      <w:pPr>
        <w:pStyle w:val="Heading1"/>
      </w:pPr>
      <w:bookmarkStart w:id="2" w:name="_Toc180136430"/>
      <w:r w:rsidRPr="00E70D25">
        <w:lastRenderedPageBreak/>
        <w:t>Introduction</w:t>
      </w:r>
      <w:bookmarkEnd w:id="2"/>
    </w:p>
    <w:p w14:paraId="36239B3B" w14:textId="579C5D1D" w:rsidR="00F21F60" w:rsidRPr="001D63C2" w:rsidRDefault="00F21F60" w:rsidP="00F21F60">
      <w:pPr>
        <w:pStyle w:val="Heading2"/>
      </w:pPr>
      <w:bookmarkStart w:id="3" w:name="_Toc142323448"/>
      <w:bookmarkStart w:id="4" w:name="_Toc174355988"/>
      <w:bookmarkStart w:id="5" w:name="_Toc180136431"/>
      <w:r w:rsidRPr="001D63C2">
        <w:t>Overview</w:t>
      </w:r>
      <w:bookmarkEnd w:id="3"/>
      <w:bookmarkEnd w:id="4"/>
      <w:bookmarkEnd w:id="5"/>
    </w:p>
    <w:p w14:paraId="3054E934" w14:textId="08FB4FA4" w:rsidR="000D4A7C" w:rsidRPr="006664E2" w:rsidRDefault="000D4A7C" w:rsidP="000D4A7C">
      <w:r w:rsidRPr="006664E2">
        <w:t>The</w:t>
      </w:r>
      <w:r>
        <w:t xml:space="preserve"> Occupation Shortage List (OSL)</w:t>
      </w:r>
      <w:r w:rsidRPr="006664E2">
        <w:t>, produced by Jobs and Skills Australia, provides a list of occupations in shortage in Australia and in each state and territory.</w:t>
      </w:r>
      <w:r w:rsidR="004A6D46">
        <w:rPr>
          <w:rStyle w:val="FootnoteReference"/>
        </w:rPr>
        <w:footnoteReference w:id="2"/>
      </w:r>
      <w:r w:rsidRPr="006664E2">
        <w:t xml:space="preserve"> The OSL is released annually and </w:t>
      </w:r>
      <w:r>
        <w:t>i</w:t>
      </w:r>
      <w:r w:rsidRPr="006664E2">
        <w:t xml:space="preserve">s a point-in-time assessment of the shortage status of occupations in </w:t>
      </w:r>
      <w:r>
        <w:t xml:space="preserve">the </w:t>
      </w:r>
      <w:r w:rsidRPr="006664E2">
        <w:t xml:space="preserve">labour market. The findings and insights derived from the </w:t>
      </w:r>
      <w:r w:rsidR="00E15CFB">
        <w:t>OSL</w:t>
      </w:r>
      <w:r w:rsidRPr="006664E2">
        <w:t xml:space="preserve"> products can be useful for informing</w:t>
      </w:r>
      <w:r>
        <w:t>, along with other sources of information,</w:t>
      </w:r>
      <w:r w:rsidRPr="006664E2">
        <w:t xml:space="preserve"> labour market polic</w:t>
      </w:r>
      <w:r>
        <w:t>ies</w:t>
      </w:r>
      <w:r w:rsidRPr="006664E2">
        <w:t xml:space="preserve"> and program.</w:t>
      </w:r>
    </w:p>
    <w:p w14:paraId="536A71F2" w14:textId="788B61B0" w:rsidR="000D4A7C" w:rsidRPr="006664E2" w:rsidRDefault="000D4A7C" w:rsidP="000D4A7C">
      <w:r w:rsidRPr="006664E2">
        <w:t xml:space="preserve">The OSL was formerly known as the </w:t>
      </w:r>
      <w:r>
        <w:t>Skills Priority List</w:t>
      </w:r>
      <w:r w:rsidRPr="006664E2">
        <w:t xml:space="preserve">. The product has been rebranded to better align to the definition of </w:t>
      </w:r>
      <w:r w:rsidR="00B43980">
        <w:t xml:space="preserve">occupation </w:t>
      </w:r>
      <w:r w:rsidRPr="006664E2">
        <w:t xml:space="preserve">shortage </w:t>
      </w:r>
      <w:r w:rsidR="00DF0DD3" w:rsidRPr="006664E2">
        <w:t>used</w:t>
      </w:r>
      <w:r w:rsidRPr="006664E2">
        <w:t xml:space="preserve"> and the insights generated.</w:t>
      </w:r>
      <w:r w:rsidR="001B6B03">
        <w:rPr>
          <w:rStyle w:val="FootnoteReference"/>
        </w:rPr>
        <w:footnoteReference w:id="3"/>
      </w:r>
      <w:r w:rsidRPr="006664E2">
        <w:t xml:space="preserve"> </w:t>
      </w:r>
    </w:p>
    <w:p w14:paraId="73608749" w14:textId="628BDE24" w:rsidR="00CB716A" w:rsidRPr="00705D81" w:rsidRDefault="00CB716A" w:rsidP="00CB716A">
      <w:r w:rsidRPr="007F436B">
        <w:t xml:space="preserve">The </w:t>
      </w:r>
      <w:r w:rsidR="00835634" w:rsidRPr="006664E2">
        <w:t>OSL</w:t>
      </w:r>
      <w:r w:rsidR="00835634">
        <w:t xml:space="preserve"> </w:t>
      </w:r>
      <w:r>
        <w:t xml:space="preserve">Key Findings and Insights </w:t>
      </w:r>
      <w:r w:rsidRPr="007F436B">
        <w:t>Report provides a</w:t>
      </w:r>
      <w:r>
        <w:t>n</w:t>
      </w:r>
      <w:r w:rsidRPr="007F436B">
        <w:t xml:space="preserve"> overview of </w:t>
      </w:r>
      <w:r w:rsidR="00F11BE9">
        <w:t xml:space="preserve">the </w:t>
      </w:r>
      <w:r w:rsidRPr="007F436B">
        <w:t>202</w:t>
      </w:r>
      <w:r>
        <w:t>4</w:t>
      </w:r>
      <w:r w:rsidRPr="007F436B">
        <w:t xml:space="preserve"> </w:t>
      </w:r>
      <w:r>
        <w:t xml:space="preserve">OSL </w:t>
      </w:r>
      <w:r w:rsidR="00124AB9">
        <w:t>results</w:t>
      </w:r>
      <w:r w:rsidR="004F64E5">
        <w:t>.</w:t>
      </w:r>
      <w:r w:rsidR="00152F3E">
        <w:rPr>
          <w:rStyle w:val="FootnoteReference"/>
          <w:rFonts w:asciiTheme="minorHAnsi" w:eastAsiaTheme="minorEastAsia" w:hAnsiTheme="minorHAnsi"/>
        </w:rPr>
        <w:footnoteReference w:id="4"/>
      </w:r>
      <w:r>
        <w:t xml:space="preserve"> The report also </w:t>
      </w:r>
      <w:r w:rsidRPr="007F436B">
        <w:t>present</w:t>
      </w:r>
      <w:r>
        <w:t xml:space="preserve">s additional analyses to </w:t>
      </w:r>
      <w:r w:rsidRPr="00705D81">
        <w:t xml:space="preserve">assist </w:t>
      </w:r>
      <w:r w:rsidR="00A905C5">
        <w:t xml:space="preserve">with the interpretation of </w:t>
      </w:r>
      <w:r w:rsidRPr="00705D81">
        <w:t xml:space="preserve">the </w:t>
      </w:r>
      <w:r>
        <w:t xml:space="preserve">2024 OSL </w:t>
      </w:r>
      <w:r w:rsidR="00F54D44">
        <w:t xml:space="preserve">results </w:t>
      </w:r>
      <w:r>
        <w:t xml:space="preserve">and reveals important insights </w:t>
      </w:r>
      <w:r w:rsidR="004E4E2D">
        <w:t xml:space="preserve">related to </w:t>
      </w:r>
      <w:r>
        <w:t xml:space="preserve">occupation shortages in the labour market. </w:t>
      </w:r>
    </w:p>
    <w:p w14:paraId="7A9F9103" w14:textId="70F41FBF" w:rsidR="00F21F60" w:rsidRDefault="00F21F60" w:rsidP="00F21F60">
      <w:r w:rsidRPr="006664E2">
        <w:t xml:space="preserve">The OSL covers over 900 occupations, defined in the 2022 </w:t>
      </w:r>
      <w:r w:rsidRPr="00184D3E">
        <w:rPr>
          <w:i/>
          <w:iCs/>
        </w:rPr>
        <w:t>Australian and New Zealand Standard Classification of Occupations</w:t>
      </w:r>
      <w:r w:rsidRPr="006664E2">
        <w:t xml:space="preserve"> (ANZSCO) at the </w:t>
      </w:r>
      <w:r w:rsidR="00BA6093">
        <w:t>occupation</w:t>
      </w:r>
      <w:r w:rsidRPr="006664E2">
        <w:t xml:space="preserve"> level</w:t>
      </w:r>
      <w:r w:rsidR="00676455">
        <w:t>.</w:t>
      </w:r>
      <w:r w:rsidR="00825B8A">
        <w:rPr>
          <w:rStyle w:val="FootnoteReference"/>
          <w:rFonts w:asciiTheme="minorHAnsi" w:hAnsiTheme="minorHAnsi" w:cstheme="minorHAnsi"/>
        </w:rPr>
        <w:footnoteReference w:id="5"/>
      </w:r>
      <w:r w:rsidRPr="006664E2">
        <w:t xml:space="preserve"> Only ANZSCO Skill Levels 1 to 4 are included in the OSL</w:t>
      </w:r>
      <w:r w:rsidR="00D64C26">
        <w:t xml:space="preserve"> </w:t>
      </w:r>
      <w:r w:rsidRPr="006664E2">
        <w:t>because of their link</w:t>
      </w:r>
      <w:r w:rsidR="00940DC9">
        <w:t>s</w:t>
      </w:r>
      <w:r w:rsidRPr="006664E2">
        <w:t xml:space="preserve"> to </w:t>
      </w:r>
      <w:r w:rsidR="00023171">
        <w:t xml:space="preserve">tertiary </w:t>
      </w:r>
      <w:r w:rsidRPr="006664E2">
        <w:t>education and training</w:t>
      </w:r>
      <w:r w:rsidR="00AB4FB9">
        <w:t>.</w:t>
      </w:r>
      <w:r w:rsidR="00A25826">
        <w:rPr>
          <w:rStyle w:val="FootnoteReference"/>
        </w:rPr>
        <w:footnoteReference w:id="6"/>
      </w:r>
      <w:r w:rsidRPr="006664E2">
        <w:t xml:space="preserve"> Occupations in shortage for several years, particularly those where qualifications are mandatory</w:t>
      </w:r>
      <w:r w:rsidR="00223FE2">
        <w:t>,</w:t>
      </w:r>
      <w:r w:rsidRPr="006664E2">
        <w:t xml:space="preserve"> have implications for the education and training sector in Australia.</w:t>
      </w:r>
    </w:p>
    <w:p w14:paraId="568B2636" w14:textId="1CCE424A" w:rsidR="00F21F60" w:rsidRDefault="00F21F60" w:rsidP="00F21F60">
      <w:r>
        <w:t xml:space="preserve">Jobs and Skills Australia </w:t>
      </w:r>
      <w:r w:rsidRPr="005965A3">
        <w:t>use</w:t>
      </w:r>
      <w:r w:rsidR="00443B35">
        <w:t>s</w:t>
      </w:r>
      <w:r>
        <w:t xml:space="preserve"> the following definition of </w:t>
      </w:r>
      <w:r w:rsidRPr="00113DBA">
        <w:t>occupation shortage</w:t>
      </w:r>
      <w:r w:rsidR="006F18E6">
        <w:t>s</w:t>
      </w:r>
      <w:r w:rsidRPr="00113DBA">
        <w:t>:</w:t>
      </w:r>
    </w:p>
    <w:p w14:paraId="3345C4DA" w14:textId="0996FD36" w:rsidR="00F21F60" w:rsidRPr="005965A3" w:rsidRDefault="00F21F60" w:rsidP="00235EA8">
      <w:pPr>
        <w:pStyle w:val="ListBullet"/>
        <w:rPr>
          <w:lang w:val="en-AU"/>
        </w:rPr>
      </w:pPr>
      <w:r w:rsidRPr="00235EA8">
        <w:rPr>
          <w:lang w:val="en-AU"/>
        </w:rPr>
        <w:t xml:space="preserve">An occupation is in shortage when employers are </w:t>
      </w:r>
      <w:r w:rsidRPr="00BB2F91">
        <w:rPr>
          <w:i/>
          <w:lang w:val="en-AU"/>
        </w:rPr>
        <w:t>unable to fill or have considerable difficulty filling vacancies for an occupation or cannot meet significant specialised skill needs</w:t>
      </w:r>
      <w:r w:rsidRPr="00235EA8">
        <w:rPr>
          <w:lang w:val="en-AU"/>
        </w:rPr>
        <w:t xml:space="preserve"> within that occupation, at current levels of remuneration and conditions of employment and in reasonably accessible locations.</w:t>
      </w:r>
    </w:p>
    <w:p w14:paraId="169DB3DE" w14:textId="50E0EB52" w:rsidR="00F21F60" w:rsidRDefault="00F21F60" w:rsidP="00F21F60">
      <w:r w:rsidRPr="00113DBA">
        <w:t>Based on this definition</w:t>
      </w:r>
      <w:r w:rsidR="001F2173">
        <w:t>,</w:t>
      </w:r>
      <w:r w:rsidRPr="00113DBA">
        <w:t xml:space="preserve"> the primary measure of an occupation shortage is the ability of employers to fill vacancies</w:t>
      </w:r>
      <w:r>
        <w:t xml:space="preserve"> (the </w:t>
      </w:r>
      <w:r w:rsidRPr="00113DBA">
        <w:t>fill rate</w:t>
      </w:r>
      <w:r>
        <w:t xml:space="preserve">). The fill rate is converted into occupation shortage </w:t>
      </w:r>
      <w:r w:rsidRPr="001E402A">
        <w:t>ratings</w:t>
      </w:r>
      <w:r w:rsidRPr="00FE6B69">
        <w:t xml:space="preserve"> using</w:t>
      </w:r>
      <w:r>
        <w:t xml:space="preserve"> a set of rules, including rules </w:t>
      </w:r>
      <w:r w:rsidR="00FF112B">
        <w:t xml:space="preserve">applied to </w:t>
      </w:r>
      <w:r>
        <w:t xml:space="preserve">other </w:t>
      </w:r>
      <w:r w:rsidR="00172540">
        <w:t xml:space="preserve">modelling </w:t>
      </w:r>
      <w:r>
        <w:t>outputs</w:t>
      </w:r>
      <w:r w:rsidR="00D83E36">
        <w:t xml:space="preserve"> and data</w:t>
      </w:r>
      <w:r>
        <w:t xml:space="preserve">. A threshold fill rate of 67% is used to ascertain the likelihood of an occupation shortage. That is, there is a higher chance of an occupation </w:t>
      </w:r>
      <w:r w:rsidR="006F18E6">
        <w:t xml:space="preserve">in </w:t>
      </w:r>
      <w:r>
        <w:t>shortage when the fill rate is below 67%.</w:t>
      </w:r>
      <w:r w:rsidRPr="007F436B">
        <w:rPr>
          <w:rStyle w:val="FootnoteReference"/>
          <w:rFonts w:asciiTheme="minorHAnsi" w:hAnsiTheme="minorHAnsi" w:cstheme="minorHAnsi"/>
        </w:rPr>
        <w:footnoteReference w:id="7"/>
      </w:r>
      <w:r>
        <w:t xml:space="preserve"> </w:t>
      </w:r>
    </w:p>
    <w:p w14:paraId="3B19300B" w14:textId="77777777" w:rsidR="00564F9D" w:rsidRDefault="00F21F60" w:rsidP="00F21F60">
      <w:r w:rsidRPr="006664E2">
        <w:t>The sources used to assess occupation shortages include data modelling, statistical analysis of the labour market, employer and stakeholder surveys, and additional engagements with various stakeholder groups. These groups consist of peak bodies, industry groups, professional associations, unions, education providers and regional representative bodies in the Australian labour market. Feedback is also sought from the Commonwealth Government, state and territory governments, as well as Jobs and Skills Councils.</w:t>
      </w:r>
      <w:r>
        <w:rPr>
          <w:rStyle w:val="FootnoteReference"/>
          <w:rFonts w:asciiTheme="minorHAnsi" w:hAnsiTheme="minorHAnsi" w:cstheme="minorHAnsi"/>
        </w:rPr>
        <w:footnoteReference w:id="8"/>
      </w:r>
      <w:r>
        <w:t xml:space="preserve"> </w:t>
      </w:r>
    </w:p>
    <w:p w14:paraId="0B02EF7D" w14:textId="6EF15365" w:rsidR="00F21F60" w:rsidRDefault="00F21F60" w:rsidP="00F21F60">
      <w:r w:rsidRPr="1A647D3A">
        <w:lastRenderedPageBreak/>
        <w:t>Jobs and Skills Australia appreciat</w:t>
      </w:r>
      <w:r>
        <w:t xml:space="preserve">es </w:t>
      </w:r>
      <w:r w:rsidRPr="1A647D3A">
        <w:t xml:space="preserve">the time, effort and expertise </w:t>
      </w:r>
      <w:r>
        <w:t xml:space="preserve">that </w:t>
      </w:r>
      <w:r w:rsidRPr="1A647D3A">
        <w:t xml:space="preserve">stakeholders provided to enhance the quality of </w:t>
      </w:r>
      <w:r>
        <w:t xml:space="preserve">the </w:t>
      </w:r>
      <w:r w:rsidRPr="1A647D3A">
        <w:t>analysis</w:t>
      </w:r>
      <w:r>
        <w:t xml:space="preserve"> that underpins the OSL outcomes</w:t>
      </w:r>
      <w:r w:rsidRPr="1A647D3A">
        <w:t xml:space="preserve">. </w:t>
      </w:r>
    </w:p>
    <w:p w14:paraId="49FEECA0" w14:textId="42789E35" w:rsidR="00F21F60" w:rsidRDefault="00F21F60" w:rsidP="00F21F60">
      <w:pPr>
        <w:pStyle w:val="Heading2"/>
      </w:pPr>
      <w:bookmarkStart w:id="6" w:name="_Toc180136432"/>
      <w:r>
        <w:t>Current state of the labour market</w:t>
      </w:r>
      <w:bookmarkEnd w:id="6"/>
    </w:p>
    <w:p w14:paraId="77461517" w14:textId="65EBCA12" w:rsidR="00F21F60" w:rsidRDefault="00F21F60" w:rsidP="00F21F60">
      <w:r w:rsidRPr="5FF70CF3">
        <w:t xml:space="preserve">Over the course of 2023–24, </w:t>
      </w:r>
      <w:r>
        <w:t xml:space="preserve">labour market </w:t>
      </w:r>
      <w:r w:rsidRPr="5FF70CF3">
        <w:t xml:space="preserve">indicators show that the Australian labour market </w:t>
      </w:r>
      <w:r w:rsidR="001D48BB">
        <w:t xml:space="preserve">continued to show </w:t>
      </w:r>
      <w:r w:rsidR="00620B13">
        <w:t>resilience</w:t>
      </w:r>
      <w:r w:rsidR="00765BBE">
        <w:t xml:space="preserve">, </w:t>
      </w:r>
      <w:r w:rsidR="00E218D0">
        <w:t>albeit</w:t>
      </w:r>
      <w:r w:rsidR="00765BBE">
        <w:t xml:space="preserve"> with emerging signs that it </w:t>
      </w:r>
      <w:r w:rsidR="007F7E0B">
        <w:t>has begun to soften</w:t>
      </w:r>
      <w:r w:rsidRPr="5FF70CF3">
        <w:t>.</w:t>
      </w:r>
      <w:r>
        <w:t xml:space="preserve"> In </w:t>
      </w:r>
      <w:r w:rsidRPr="5FF70CF3">
        <w:t xml:space="preserve">June 2024, the unemployment rate </w:t>
      </w:r>
      <w:r>
        <w:t xml:space="preserve">increased to </w:t>
      </w:r>
      <w:r w:rsidRPr="5FF70CF3">
        <w:t xml:space="preserve">4.1% from its historical low of 3.5% in </w:t>
      </w:r>
      <w:r w:rsidR="0053064E">
        <w:t>June</w:t>
      </w:r>
      <w:r w:rsidR="0053064E" w:rsidRPr="5FF70CF3">
        <w:t xml:space="preserve"> </w:t>
      </w:r>
      <w:r w:rsidRPr="07803F6E">
        <w:t>2023</w:t>
      </w:r>
      <w:r w:rsidR="008B5EA6">
        <w:t xml:space="preserve">, though </w:t>
      </w:r>
      <w:r>
        <w:t>th</w:t>
      </w:r>
      <w:r w:rsidR="008B5EA6">
        <w:t>e</w:t>
      </w:r>
      <w:r>
        <w:t xml:space="preserve"> rise has been gradual </w:t>
      </w:r>
      <w:r w:rsidR="001B272F">
        <w:t>and remains low</w:t>
      </w:r>
      <w:r w:rsidR="001032BC">
        <w:t xml:space="preserve"> </w:t>
      </w:r>
      <w:r w:rsidR="007A738B">
        <w:t xml:space="preserve">compared to the </w:t>
      </w:r>
      <w:r w:rsidR="00C57242">
        <w:t xml:space="preserve">rate in the </w:t>
      </w:r>
      <w:r w:rsidR="007A738B">
        <w:t xml:space="preserve">last 10 years </w:t>
      </w:r>
      <w:r>
        <w:t>(</w:t>
      </w:r>
      <w:r w:rsidR="001721F9">
        <w:fldChar w:fldCharType="begin"/>
      </w:r>
      <w:r w:rsidR="001721F9">
        <w:instrText xml:space="preserve"> REF _Ref176192129 \h </w:instrText>
      </w:r>
      <w:r w:rsidR="001721F9">
        <w:fldChar w:fldCharType="separate"/>
      </w:r>
      <w:r w:rsidR="00A35392">
        <w:t xml:space="preserve">Figure </w:t>
      </w:r>
      <w:r w:rsidR="00A35392">
        <w:rPr>
          <w:noProof/>
        </w:rPr>
        <w:t>1</w:t>
      </w:r>
      <w:r w:rsidR="001721F9">
        <w:fldChar w:fldCharType="end"/>
      </w:r>
      <w:r>
        <w:t>)</w:t>
      </w:r>
      <w:r w:rsidRPr="07803F6E">
        <w:t>.</w:t>
      </w:r>
      <w:r w:rsidR="00677DD4">
        <w:t xml:space="preserve"> </w:t>
      </w:r>
      <w:r w:rsidR="00724227">
        <w:t xml:space="preserve">With respect to signs of </w:t>
      </w:r>
      <w:r w:rsidR="00865D04">
        <w:t>softening conditions, t</w:t>
      </w:r>
      <w:r w:rsidRPr="00A611F6">
        <w:t xml:space="preserve">he annual pace of </w:t>
      </w:r>
      <w:r w:rsidR="00C12464">
        <w:t xml:space="preserve">full-time </w:t>
      </w:r>
      <w:r>
        <w:t xml:space="preserve">employment </w:t>
      </w:r>
      <w:r w:rsidRPr="00A611F6">
        <w:t>growth has slowed</w:t>
      </w:r>
      <w:r w:rsidR="008E463B">
        <w:t xml:space="preserve">, </w:t>
      </w:r>
      <w:r w:rsidRPr="00A611F6">
        <w:t xml:space="preserve">from </w:t>
      </w:r>
      <w:r w:rsidR="003953D6">
        <w:t>4.2</w:t>
      </w:r>
      <w:r w:rsidRPr="00A611F6">
        <w:t xml:space="preserve">% recorded in </w:t>
      </w:r>
      <w:r w:rsidR="003953D6">
        <w:t>June</w:t>
      </w:r>
      <w:r w:rsidR="003953D6" w:rsidRPr="00A611F6">
        <w:t xml:space="preserve"> </w:t>
      </w:r>
      <w:r w:rsidRPr="00A611F6">
        <w:t>2023</w:t>
      </w:r>
      <w:r>
        <w:t xml:space="preserve"> to 1.2% in June 2024</w:t>
      </w:r>
      <w:r w:rsidRPr="00A611F6">
        <w:t>.</w:t>
      </w:r>
      <w:r w:rsidR="009A0440">
        <w:t xml:space="preserve"> </w:t>
      </w:r>
    </w:p>
    <w:p w14:paraId="380322E3" w14:textId="42564F97" w:rsidR="008674AB" w:rsidRDefault="001721F9" w:rsidP="00270CE4">
      <w:pPr>
        <w:pStyle w:val="Caption"/>
      </w:pPr>
      <w:bookmarkStart w:id="7" w:name="_Ref176192129"/>
      <w:bookmarkStart w:id="8" w:name="_Ref171431903"/>
      <w:bookmarkStart w:id="9" w:name="_Ref174547390"/>
      <w:bookmarkStart w:id="10" w:name="_Toc180136408"/>
      <w:r>
        <w:t xml:space="preserve">Figure </w:t>
      </w:r>
      <w:r w:rsidRPr="009A27F0">
        <w:fldChar w:fldCharType="begin"/>
      </w:r>
      <w:r>
        <w:instrText xml:space="preserve"> SEQ Figure \* ARABIC </w:instrText>
      </w:r>
      <w:r w:rsidRPr="009A27F0">
        <w:fldChar w:fldCharType="separate"/>
      </w:r>
      <w:r w:rsidR="00A35392">
        <w:rPr>
          <w:noProof/>
        </w:rPr>
        <w:t>1</w:t>
      </w:r>
      <w:r w:rsidRPr="009A27F0">
        <w:fldChar w:fldCharType="end"/>
      </w:r>
      <w:bookmarkEnd w:id="7"/>
      <w:bookmarkEnd w:id="8"/>
      <w:r w:rsidR="00F21F60" w:rsidRPr="006F18E6">
        <w:t xml:space="preserve">: Unemployment rate </w:t>
      </w:r>
      <w:r w:rsidR="0057630D">
        <w:t xml:space="preserve">(%) </w:t>
      </w:r>
      <w:r w:rsidR="00F21F60" w:rsidRPr="00BC44BE">
        <w:t xml:space="preserve">and </w:t>
      </w:r>
      <w:r w:rsidR="008E463B" w:rsidRPr="00BC44BE">
        <w:t xml:space="preserve">full-time </w:t>
      </w:r>
      <w:r w:rsidR="00F21F60" w:rsidRPr="00BC44BE">
        <w:t>employment</w:t>
      </w:r>
      <w:r w:rsidR="00F21F60" w:rsidRPr="006F18E6">
        <w:t xml:space="preserve"> growth</w:t>
      </w:r>
      <w:r w:rsidR="00A53B1B">
        <w:t xml:space="preserve"> (%)</w:t>
      </w:r>
      <w:r w:rsidR="00F21F60" w:rsidRPr="006F18E6">
        <w:t>, 2014</w:t>
      </w:r>
      <w:bookmarkEnd w:id="9"/>
      <w:r w:rsidR="000C6347">
        <w:t>–24</w:t>
      </w:r>
      <w:bookmarkEnd w:id="10"/>
    </w:p>
    <w:p w14:paraId="77C854B6" w14:textId="15CC8C40" w:rsidR="00F21F60" w:rsidRPr="00DF10A0" w:rsidRDefault="003D7929" w:rsidP="008549EB">
      <w:pPr>
        <w:pStyle w:val="Source"/>
      </w:pPr>
      <w:r>
        <w:rPr>
          <w:noProof/>
        </w:rPr>
        <w:drawing>
          <wp:inline distT="0" distB="0" distL="0" distR="0" wp14:anchorId="4C46B074" wp14:editId="1EA112A5">
            <wp:extent cx="5731510" cy="3067200"/>
            <wp:effectExtent l="0" t="0" r="2540" b="0"/>
            <wp:docPr id="544114405" name="Chart 1" descr="Figure 1 shows the unemployment rate and full-time employment growth from June 2014 to June 2024. The unemployment rate increased to 4.1% in June 2024, from its historical low of 3.5% in June 2023, despite a peak of 7.5% during the pandemic period in July 2020. Full-time employment growth, once rebounded from the lowest point of -3.7% during the pandemic period, peaked at 7.5% in October 2022 and then gradually slowed down to 1.2% in June 2024.  ">
              <a:extLst xmlns:a="http://schemas.openxmlformats.org/drawingml/2006/main">
                <a:ext uri="{FF2B5EF4-FFF2-40B4-BE49-F238E27FC236}">
                  <a16:creationId xmlns:a16="http://schemas.microsoft.com/office/drawing/2014/main" id="{00C4C8D1-152F-4F5C-901C-870E18B9A7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BE50FA">
        <w:br/>
        <w:t>S</w:t>
      </w:r>
      <w:r w:rsidR="00F21F60" w:rsidRPr="00235EA8">
        <w:t xml:space="preserve">ource: Australian Bureau of Statistics, </w:t>
      </w:r>
      <w:r w:rsidR="00F21F60" w:rsidRPr="008549EB">
        <w:t>Labour Force, Australia</w:t>
      </w:r>
      <w:r w:rsidR="00F21F60" w:rsidRPr="00235EA8">
        <w:t>, Ju</w:t>
      </w:r>
      <w:r w:rsidR="00501B47" w:rsidRPr="00235EA8">
        <w:t>ly</w:t>
      </w:r>
      <w:r w:rsidR="00F21F60" w:rsidRPr="00235EA8">
        <w:t xml:space="preserve"> 2024, seasonally adjusted</w:t>
      </w:r>
      <w:r w:rsidR="00F21F60" w:rsidRPr="007F57B9">
        <w:t>.</w:t>
      </w:r>
    </w:p>
    <w:p w14:paraId="50B71CAF" w14:textId="0E9374EB" w:rsidR="00F3633D" w:rsidRDefault="00E03D4B" w:rsidP="004D35B6">
      <w:pPr>
        <w:rPr>
          <w:rFonts w:eastAsia="Arial" w:cs="Arial"/>
        </w:rPr>
      </w:pPr>
      <w:r>
        <w:t xml:space="preserve">In addition, </w:t>
      </w:r>
      <w:r w:rsidR="006C4941">
        <w:t>one</w:t>
      </w:r>
      <w:r w:rsidR="1DD1DC39" w:rsidRPr="004F4714">
        <w:t xml:space="preserve"> of the </w:t>
      </w:r>
      <w:r w:rsidR="45A06F13" w:rsidRPr="004F4714">
        <w:t>partial forward indicator</w:t>
      </w:r>
      <w:r w:rsidR="18853240" w:rsidRPr="004F4714">
        <w:t>s</w:t>
      </w:r>
      <w:r w:rsidR="45A06F13" w:rsidRPr="004F4714">
        <w:t xml:space="preserve"> of labour demand, the</w:t>
      </w:r>
      <w:r w:rsidR="1DD1DC39" w:rsidRPr="004F4714">
        <w:t xml:space="preserve"> </w:t>
      </w:r>
      <w:r w:rsidR="00F21F60" w:rsidRPr="004F4714">
        <w:t xml:space="preserve">Jobs and Skills Australia’s </w:t>
      </w:r>
      <w:r w:rsidR="00F21F60" w:rsidRPr="00E9283C">
        <w:rPr>
          <w:i/>
          <w:iCs/>
        </w:rPr>
        <w:t>Internet Vacancy Index</w:t>
      </w:r>
      <w:r w:rsidR="00F21F60" w:rsidRPr="004F4714">
        <w:t xml:space="preserve"> (IVI)</w:t>
      </w:r>
      <w:r w:rsidR="00B41877" w:rsidRPr="004F4714">
        <w:t>,</w:t>
      </w:r>
      <w:r w:rsidR="00F21F60" w:rsidRPr="004F4714">
        <w:t xml:space="preserve"> </w:t>
      </w:r>
      <w:r w:rsidR="00980A0F" w:rsidRPr="004F4714">
        <w:t xml:space="preserve">showed that monthly online job advertisements </w:t>
      </w:r>
      <w:r w:rsidR="00B4075C" w:rsidRPr="004F4714">
        <w:t xml:space="preserve">fell by 18.2% </w:t>
      </w:r>
      <w:r w:rsidR="002305D8" w:rsidRPr="004F4714">
        <w:t>during 2023</w:t>
      </w:r>
      <w:r w:rsidR="00A54827">
        <w:t>–</w:t>
      </w:r>
      <w:r w:rsidR="002305D8" w:rsidRPr="005965A3">
        <w:t>24</w:t>
      </w:r>
      <w:r w:rsidR="002F4E64" w:rsidRPr="004F4714">
        <w:t>, fr</w:t>
      </w:r>
      <w:r w:rsidR="0F29C3E9" w:rsidRPr="004F4714">
        <w:t>o</w:t>
      </w:r>
      <w:r w:rsidR="002F4E64" w:rsidRPr="004F4714">
        <w:t>m 276,500 in June 2023</w:t>
      </w:r>
      <w:r w:rsidR="000E7FE0" w:rsidRPr="004F4714">
        <w:t xml:space="preserve"> </w:t>
      </w:r>
      <w:r w:rsidR="00117B38" w:rsidRPr="004F4714">
        <w:t xml:space="preserve">to 226,200 </w:t>
      </w:r>
      <w:r w:rsidR="7C8CEFF9" w:rsidRPr="004F4714">
        <w:t xml:space="preserve">in June 2024 </w:t>
      </w:r>
      <w:r w:rsidR="007A6759" w:rsidRPr="004F4714">
        <w:t>(</w:t>
      </w:r>
      <w:r w:rsidR="00B87472">
        <w:fldChar w:fldCharType="begin"/>
      </w:r>
      <w:r w:rsidR="00B87472">
        <w:instrText xml:space="preserve"> REF _Ref180136354 \h </w:instrText>
      </w:r>
      <w:r w:rsidR="00B87472">
        <w:fldChar w:fldCharType="separate"/>
      </w:r>
      <w:r w:rsidR="00B87472">
        <w:t xml:space="preserve">Figure </w:t>
      </w:r>
      <w:r w:rsidR="00B87472">
        <w:rPr>
          <w:noProof/>
        </w:rPr>
        <w:t>2</w:t>
      </w:r>
      <w:r w:rsidR="00B87472">
        <w:fldChar w:fldCharType="end"/>
      </w:r>
      <w:r w:rsidR="007A6759" w:rsidRPr="004F4714">
        <w:t>)</w:t>
      </w:r>
      <w:r w:rsidR="00F21F60" w:rsidRPr="004F4714">
        <w:t xml:space="preserve">. </w:t>
      </w:r>
      <w:r w:rsidR="226771C9" w:rsidRPr="004F4714">
        <w:t>Similarly, results from the</w:t>
      </w:r>
      <w:r w:rsidR="00F21F60">
        <w:t xml:space="preserve"> </w:t>
      </w:r>
      <w:r w:rsidR="00F21F60" w:rsidRPr="004F4714">
        <w:t xml:space="preserve">Jobs and Skills Australia’s </w:t>
      </w:r>
      <w:r w:rsidR="00F21F60" w:rsidRPr="00E9283C">
        <w:rPr>
          <w:i/>
          <w:iCs/>
        </w:rPr>
        <w:t>Recruitment Experiences and Outlook Survey</w:t>
      </w:r>
      <w:r w:rsidR="00745320" w:rsidRPr="00E9283C">
        <w:t xml:space="preserve"> </w:t>
      </w:r>
      <w:r w:rsidR="00745320" w:rsidRPr="004F4714">
        <w:t>(REOS)</w:t>
      </w:r>
      <w:r w:rsidR="00F21F60" w:rsidRPr="004F4714">
        <w:t xml:space="preserve"> </w:t>
      </w:r>
      <w:r w:rsidR="00A20A54">
        <w:t xml:space="preserve">indicated </w:t>
      </w:r>
      <w:r w:rsidR="00F21F60" w:rsidRPr="004F4714">
        <w:t xml:space="preserve">that </w:t>
      </w:r>
      <w:r w:rsidR="3B671BB8" w:rsidRPr="004F4714">
        <w:t>the</w:t>
      </w:r>
      <w:r w:rsidR="00F21F60" w:rsidRPr="004F4714">
        <w:t xml:space="preserve"> recruitment difficulty rate </w:t>
      </w:r>
      <w:r w:rsidR="00E841A5">
        <w:t xml:space="preserve">fell </w:t>
      </w:r>
      <w:r w:rsidR="4CACB107" w:rsidRPr="004F4714">
        <w:t>from 63% in June 2023</w:t>
      </w:r>
      <w:r w:rsidR="00F21F60" w:rsidRPr="004F4714">
        <w:t xml:space="preserve"> to 55% in June 2024.</w:t>
      </w:r>
      <w:r w:rsidR="00B37C60">
        <w:rPr>
          <w:rStyle w:val="FootnoteReference"/>
          <w:rFonts w:asciiTheme="minorHAnsi" w:eastAsiaTheme="minorEastAsia" w:hAnsiTheme="minorHAnsi"/>
        </w:rPr>
        <w:footnoteReference w:id="9"/>
      </w:r>
    </w:p>
    <w:p w14:paraId="0F363717" w14:textId="6051D87E" w:rsidR="00F21F60" w:rsidRPr="004F4714" w:rsidRDefault="00F3633D" w:rsidP="00235EA8">
      <w:bookmarkStart w:id="11" w:name="SERA_Fill_Rates"/>
      <w:bookmarkEnd w:id="11"/>
      <w:r>
        <w:rPr>
          <w:rFonts w:eastAsia="Arial" w:cs="Arial"/>
        </w:rPr>
        <w:t xml:space="preserve">Further, </w:t>
      </w:r>
      <w:r w:rsidR="4A99CA74" w:rsidRPr="6B63574A">
        <w:rPr>
          <w:rFonts w:eastAsia="Arial" w:cs="Arial"/>
        </w:rPr>
        <w:t>the</w:t>
      </w:r>
      <w:r w:rsidR="4A99CA74" w:rsidRPr="0F1BF929">
        <w:rPr>
          <w:rFonts w:eastAsia="Arial" w:cs="Arial"/>
        </w:rPr>
        <w:t xml:space="preserve"> </w:t>
      </w:r>
      <w:r w:rsidR="00F21F60" w:rsidRPr="00235EA8">
        <w:rPr>
          <w:i/>
        </w:rPr>
        <w:t>Survey of Employers who have Recently Advertised</w:t>
      </w:r>
      <w:r w:rsidR="00F21F60">
        <w:t xml:space="preserve"> (SERA), </w:t>
      </w:r>
      <w:r w:rsidR="6A6BDF90">
        <w:t>produced by Jobs and Skills Australia</w:t>
      </w:r>
      <w:r w:rsidR="00F21F60">
        <w:t xml:space="preserve">, </w:t>
      </w:r>
      <w:r w:rsidR="00A20A54">
        <w:t xml:space="preserve">showed </w:t>
      </w:r>
      <w:r>
        <w:t xml:space="preserve">that </w:t>
      </w:r>
      <w:r w:rsidR="00F21F60">
        <w:t xml:space="preserve">the </w:t>
      </w:r>
      <w:r w:rsidR="00F21F60" w:rsidRPr="004F4714">
        <w:t>percentage of advertised vacancies filled (the fill rate) increased to 6</w:t>
      </w:r>
      <w:r w:rsidR="00790AB7" w:rsidRPr="004F4714">
        <w:t>9</w:t>
      </w:r>
      <w:r w:rsidR="00F21F60" w:rsidRPr="004F4714">
        <w:t>.</w:t>
      </w:r>
      <w:r w:rsidR="00790AB7" w:rsidRPr="004F4714">
        <w:t>5</w:t>
      </w:r>
      <w:r w:rsidR="00F21F60" w:rsidRPr="004F4714">
        <w:t>% in June 2024</w:t>
      </w:r>
      <w:r w:rsidR="008801B9" w:rsidRPr="004F4714">
        <w:t>,</w:t>
      </w:r>
      <w:r w:rsidR="00F21F60" w:rsidRPr="004F4714">
        <w:t xml:space="preserve"> from 5</w:t>
      </w:r>
      <w:r w:rsidR="00326197" w:rsidRPr="004F4714">
        <w:t>9</w:t>
      </w:r>
      <w:r w:rsidR="00F21F60" w:rsidRPr="004F4714">
        <w:t>.</w:t>
      </w:r>
      <w:r w:rsidR="00326197" w:rsidRPr="004F4714">
        <w:t>4</w:t>
      </w:r>
      <w:r w:rsidR="00F21F60" w:rsidRPr="004F4714">
        <w:t xml:space="preserve">% in </w:t>
      </w:r>
      <w:r w:rsidR="000F6FBE" w:rsidRPr="004F4714">
        <w:t xml:space="preserve">June </w:t>
      </w:r>
      <w:r w:rsidR="00F21F60" w:rsidRPr="004F4714">
        <w:t>202</w:t>
      </w:r>
      <w:r w:rsidR="000F6FBE" w:rsidRPr="004F4714">
        <w:t>3</w:t>
      </w:r>
      <w:r w:rsidR="00F21F60" w:rsidRPr="004F4714">
        <w:t xml:space="preserve">. </w:t>
      </w:r>
    </w:p>
    <w:p w14:paraId="42BF446B" w14:textId="74E78AF4" w:rsidR="009761B7" w:rsidRPr="00ED3832" w:rsidRDefault="00B74CCD" w:rsidP="001A347B">
      <w:bookmarkStart w:id="12" w:name="_Ref176192183"/>
      <w:r>
        <w:br w:type="page"/>
      </w:r>
    </w:p>
    <w:p w14:paraId="6938A7E5" w14:textId="175F3AAF" w:rsidR="002D0B73" w:rsidRDefault="001721F9" w:rsidP="002911CE">
      <w:pPr>
        <w:pStyle w:val="Caption"/>
      </w:pPr>
      <w:bookmarkStart w:id="13" w:name="_Ref180136317"/>
      <w:bookmarkStart w:id="14" w:name="_Ref180136354"/>
      <w:bookmarkStart w:id="15" w:name="_Toc180136409"/>
      <w:r>
        <w:lastRenderedPageBreak/>
        <w:t xml:space="preserve">Figure </w:t>
      </w:r>
      <w:r>
        <w:fldChar w:fldCharType="begin"/>
      </w:r>
      <w:r>
        <w:instrText xml:space="preserve"> SEQ Figure \* ARABIC </w:instrText>
      </w:r>
      <w:r>
        <w:fldChar w:fldCharType="separate"/>
      </w:r>
      <w:r w:rsidR="00A35392">
        <w:rPr>
          <w:noProof/>
        </w:rPr>
        <w:t>2</w:t>
      </w:r>
      <w:r>
        <w:rPr>
          <w:noProof/>
        </w:rPr>
        <w:fldChar w:fldCharType="end"/>
      </w:r>
      <w:bookmarkEnd w:id="12"/>
      <w:bookmarkEnd w:id="14"/>
      <w:r w:rsidR="00B64679">
        <w:t>: F</w:t>
      </w:r>
      <w:r w:rsidR="00B64679" w:rsidRPr="73FFF5CF">
        <w:t>ill rate</w:t>
      </w:r>
      <w:r w:rsidR="001E1730">
        <w:t xml:space="preserve"> (%)</w:t>
      </w:r>
      <w:r w:rsidR="00B64679" w:rsidRPr="73FFF5CF">
        <w:t>,</w:t>
      </w:r>
      <w:r w:rsidR="00B64679">
        <w:t xml:space="preserve"> r</w:t>
      </w:r>
      <w:r w:rsidR="00B64679" w:rsidRPr="73FFF5CF">
        <w:t xml:space="preserve">ecruitment difficulty </w:t>
      </w:r>
      <w:r w:rsidR="00B64679">
        <w:t>rate</w:t>
      </w:r>
      <w:r w:rsidR="001E1730">
        <w:t xml:space="preserve"> (%)</w:t>
      </w:r>
      <w:r w:rsidR="00B64679">
        <w:t xml:space="preserve"> </w:t>
      </w:r>
      <w:r w:rsidR="00B64679" w:rsidRPr="73FFF5CF">
        <w:t xml:space="preserve">and </w:t>
      </w:r>
      <w:r w:rsidR="001A082C">
        <w:t>I</w:t>
      </w:r>
      <w:r w:rsidR="001A082C" w:rsidRPr="73FFF5CF">
        <w:t xml:space="preserve">nternet </w:t>
      </w:r>
      <w:r w:rsidR="001A082C">
        <w:t>V</w:t>
      </w:r>
      <w:r w:rsidR="001A082C" w:rsidRPr="73FFF5CF">
        <w:t>acan</w:t>
      </w:r>
      <w:r w:rsidR="001A082C">
        <w:t xml:space="preserve">cy Index </w:t>
      </w:r>
      <w:r w:rsidR="001E1730">
        <w:t>(000’s)</w:t>
      </w:r>
      <w:r w:rsidR="00B64679" w:rsidRPr="73FFF5CF">
        <w:t xml:space="preserve">, </w:t>
      </w:r>
      <w:r w:rsidR="00B64679">
        <w:t>2022</w:t>
      </w:r>
      <w:r w:rsidR="009A27F0" w:rsidRPr="009A27F0">
        <w:t>–</w:t>
      </w:r>
      <w:r w:rsidR="00B64679" w:rsidRPr="73FFF5CF">
        <w:t>2</w:t>
      </w:r>
      <w:r w:rsidR="00B64679">
        <w:t>4</w:t>
      </w:r>
      <w:bookmarkEnd w:id="13"/>
      <w:bookmarkEnd w:id="15"/>
    </w:p>
    <w:p w14:paraId="51293711" w14:textId="378C76E6" w:rsidR="00771176" w:rsidRPr="00835E27" w:rsidRDefault="009F6E49" w:rsidP="000A3D27">
      <w:pPr>
        <w:pStyle w:val="Source"/>
      </w:pPr>
      <w:r>
        <w:rPr>
          <w:noProof/>
        </w:rPr>
        <w:drawing>
          <wp:inline distT="0" distB="0" distL="0" distR="0" wp14:anchorId="5699A601" wp14:editId="76F7AF9E">
            <wp:extent cx="5731510" cy="3067200"/>
            <wp:effectExtent l="0" t="0" r="2540" b="0"/>
            <wp:docPr id="913820628" name="Chart 1" descr="Figure 2 shows the fill rates, monthly recruitment difficulty and internet vacancies from June 2022 to June 2024. The Survey of Employers who have Recently Advertised (SERA), produced by Jobs and Skills Australia, shows that the percentage of advertised vacancies filled (the fill rate) increased to 69.5% in June 2024, from 59.4% in June 2023. In addition, one of the partial forward indicators of labour demand, the Jobs and Skills Australia’s Internet Vacancy Index (IVI), fell by 18.2% in June 2024 compared to last year to 226,200. Similarly, results from the Jobs and Skills Australia’s Recruitment Experiences and Outlook Survey (REOS) shows that the recruitment difficulty rate has fallen to 55.0% in June 2024 from 63.0% a year ago. ">
              <a:extLst xmlns:a="http://schemas.openxmlformats.org/drawingml/2006/main">
                <a:ext uri="{FF2B5EF4-FFF2-40B4-BE49-F238E27FC236}">
                  <a16:creationId xmlns:a16="http://schemas.microsoft.com/office/drawing/2014/main" id="{040620D8-BBF0-457E-97AE-87803444F5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B64679" w:rsidRPr="00F86BE2">
        <w:t>Source:</w:t>
      </w:r>
      <w:r w:rsidR="00B64679" w:rsidRPr="00302070">
        <w:t xml:space="preserve"> </w:t>
      </w:r>
      <w:r w:rsidR="00B64679" w:rsidRPr="00F86BE2">
        <w:t>Jobs and Skills Australia, Internet Vacancy Index, Survey of Employers who</w:t>
      </w:r>
      <w:r w:rsidR="00921FF2">
        <w:t xml:space="preserve"> have</w:t>
      </w:r>
      <w:r w:rsidR="00B64679" w:rsidRPr="00F86BE2">
        <w:t xml:space="preserve"> Recently Advertised, Recruitment Experiences and Outlook Survey, 2022</w:t>
      </w:r>
      <w:r w:rsidR="00A259D7" w:rsidRPr="00F86BE2">
        <w:t>–</w:t>
      </w:r>
      <w:r w:rsidR="00B64679" w:rsidRPr="00F86BE2">
        <w:t>24.</w:t>
      </w:r>
    </w:p>
    <w:p w14:paraId="11EC5236" w14:textId="319F4014" w:rsidR="00C332D2" w:rsidRPr="00ED3832" w:rsidRDefault="00B64679" w:rsidP="1C04AB18">
      <w:r>
        <w:t>The employment-to-population ratio, for June 2024, remained largely unchanged at around 64.2%, which is close to the peak level reached in late 2023</w:t>
      </w:r>
      <w:r w:rsidR="00CD1929">
        <w:t xml:space="preserve"> (</w:t>
      </w:r>
      <w:r>
        <w:fldChar w:fldCharType="begin"/>
      </w:r>
      <w:r>
        <w:instrText xml:space="preserve"> REF _Ref176342831 \h </w:instrText>
      </w:r>
      <w:r>
        <w:fldChar w:fldCharType="separate"/>
      </w:r>
      <w:r w:rsidR="00A35392">
        <w:t xml:space="preserve">Figure </w:t>
      </w:r>
      <w:r w:rsidR="00A35392">
        <w:rPr>
          <w:noProof/>
        </w:rPr>
        <w:t>3</w:t>
      </w:r>
      <w:r>
        <w:fldChar w:fldCharType="end"/>
      </w:r>
      <w:r w:rsidR="00B0342C">
        <w:t>, right</w:t>
      </w:r>
      <w:r w:rsidR="00CD1929">
        <w:t>)</w:t>
      </w:r>
      <w:r>
        <w:t>. Even though vacancies have been falling, employment growth has continued, which is</w:t>
      </w:r>
      <w:r w:rsidR="283A8473">
        <w:t xml:space="preserve"> consistent with improved fill rates and</w:t>
      </w:r>
      <w:r>
        <w:t xml:space="preserve"> </w:t>
      </w:r>
      <w:r w:rsidR="00B37C60">
        <w:t xml:space="preserve">possibly </w:t>
      </w:r>
      <w:r>
        <w:t xml:space="preserve">due to the large backlog of vacancies accumulated during the 2022 </w:t>
      </w:r>
      <w:r w:rsidR="00243CE7">
        <w:t xml:space="preserve">to </w:t>
      </w:r>
      <w:r>
        <w:t>2023 period.</w:t>
      </w:r>
      <w:r w:rsidR="001917A1">
        <w:t xml:space="preserve"> </w:t>
      </w:r>
      <w:r w:rsidR="00C332D2">
        <w:t xml:space="preserve">In addition, in June 2024, monthly hours worked in all jobs increased by </w:t>
      </w:r>
      <w:r w:rsidR="4E05B7C5">
        <w:t xml:space="preserve">only 0.6% </w:t>
      </w:r>
      <w:r w:rsidR="781BCB2B">
        <w:t xml:space="preserve">from </w:t>
      </w:r>
      <w:r w:rsidR="00F67E0B">
        <w:t>June 2023 and</w:t>
      </w:r>
      <w:r w:rsidR="781BCB2B">
        <w:t xml:space="preserve"> is below the peak recorded in April 2023</w:t>
      </w:r>
      <w:r w:rsidR="00B0342C">
        <w:t xml:space="preserve"> </w:t>
      </w:r>
      <w:r w:rsidR="00115E75">
        <w:br/>
      </w:r>
      <w:r w:rsidR="00B0342C">
        <w:t>(</w:t>
      </w:r>
      <w:r w:rsidR="00C332D2">
        <w:fldChar w:fldCharType="begin"/>
      </w:r>
      <w:r w:rsidR="00C332D2">
        <w:instrText xml:space="preserve"> REF _Ref176342831 \h </w:instrText>
      </w:r>
      <w:r w:rsidR="00C332D2">
        <w:fldChar w:fldCharType="separate"/>
      </w:r>
      <w:r w:rsidR="00A35392">
        <w:t xml:space="preserve">Figure </w:t>
      </w:r>
      <w:r w:rsidR="00A35392">
        <w:rPr>
          <w:noProof/>
        </w:rPr>
        <w:t>3</w:t>
      </w:r>
      <w:r w:rsidR="00C332D2">
        <w:fldChar w:fldCharType="end"/>
      </w:r>
      <w:r w:rsidR="00B0342C">
        <w:t>, left)</w:t>
      </w:r>
      <w:r w:rsidR="00C332D2">
        <w:t>.</w:t>
      </w:r>
    </w:p>
    <w:p w14:paraId="17AD4C3A" w14:textId="4C9B02BA" w:rsidR="00AA475C" w:rsidRDefault="00AA475C" w:rsidP="00AA475C">
      <w:pPr>
        <w:pStyle w:val="Caption"/>
      </w:pPr>
      <w:bookmarkStart w:id="16" w:name="_Ref176342831"/>
      <w:bookmarkStart w:id="17" w:name="_Toc180136410"/>
      <w:r>
        <w:t xml:space="preserve">Figure </w:t>
      </w:r>
      <w:r>
        <w:fldChar w:fldCharType="begin"/>
      </w:r>
      <w:r>
        <w:instrText xml:space="preserve"> SEQ Figure \* ARABIC </w:instrText>
      </w:r>
      <w:r>
        <w:fldChar w:fldCharType="separate"/>
      </w:r>
      <w:r w:rsidR="00A35392">
        <w:rPr>
          <w:noProof/>
        </w:rPr>
        <w:t>3</w:t>
      </w:r>
      <w:r>
        <w:rPr>
          <w:noProof/>
        </w:rPr>
        <w:fldChar w:fldCharType="end"/>
      </w:r>
      <w:bookmarkEnd w:id="16"/>
      <w:r>
        <w:t xml:space="preserve">: </w:t>
      </w:r>
      <w:r w:rsidR="00EC33FA" w:rsidRPr="00A004B2">
        <w:t>Monthly hours worked</w:t>
      </w:r>
      <w:r w:rsidR="00EC33FA">
        <w:t xml:space="preserve"> </w:t>
      </w:r>
      <w:r w:rsidR="00D5120D">
        <w:t>(</w:t>
      </w:r>
      <w:r w:rsidR="00F94760" w:rsidRPr="00F94760">
        <w:t>l</w:t>
      </w:r>
      <w:r w:rsidR="00D5120D" w:rsidRPr="00F94760">
        <w:t>eft</w:t>
      </w:r>
      <w:r w:rsidR="00CC4FAD">
        <w:t xml:space="preserve">, </w:t>
      </w:r>
      <w:r w:rsidR="00CC4FAD" w:rsidRPr="005965A3">
        <w:t>million</w:t>
      </w:r>
      <w:r w:rsidR="003C3916">
        <w:t>s</w:t>
      </w:r>
      <w:r w:rsidR="00D5120D">
        <w:t>) and e</w:t>
      </w:r>
      <w:r w:rsidRPr="00A004B2">
        <w:t xml:space="preserve">mployment-to-population ratio </w:t>
      </w:r>
      <w:r w:rsidR="00D5120D">
        <w:t>(right</w:t>
      </w:r>
      <w:r w:rsidR="00CC4FAD">
        <w:t>, %</w:t>
      </w:r>
      <w:r w:rsidR="00D5120D">
        <w:t>)</w:t>
      </w:r>
      <w:r w:rsidRPr="00A004B2">
        <w:t xml:space="preserve">, </w:t>
      </w:r>
      <w:r w:rsidRPr="009C5EF3">
        <w:t>s</w:t>
      </w:r>
      <w:r w:rsidRPr="00A004B2">
        <w:t>easonally adjusted</w:t>
      </w:r>
      <w:r>
        <w:t>, 2022–24</w:t>
      </w:r>
      <w:bookmarkEnd w:id="17"/>
    </w:p>
    <w:p w14:paraId="46FE98D6" w14:textId="62F87D07" w:rsidR="0026452B" w:rsidRPr="008549EB" w:rsidRDefault="005D2F8C" w:rsidP="00A16C52">
      <w:pPr>
        <w:pStyle w:val="Source"/>
      </w:pPr>
      <w:r>
        <w:rPr>
          <w:noProof/>
        </w:rPr>
        <w:drawing>
          <wp:inline distT="0" distB="0" distL="0" distR="0" wp14:anchorId="3E2400C7" wp14:editId="0B5B405A">
            <wp:extent cx="2807970" cy="3067200"/>
            <wp:effectExtent l="0" t="0" r="0" b="0"/>
            <wp:docPr id="225073555" name="Chart 2" descr="The left panel of Figure 3 shows monthly hours worked. It rose from 1.85 billion in June 2022 to 1.95 billion in June 2024.">
              <a:extLst xmlns:a="http://schemas.openxmlformats.org/drawingml/2006/main">
                <a:ext uri="{FF2B5EF4-FFF2-40B4-BE49-F238E27FC236}">
                  <a16:creationId xmlns:a16="http://schemas.microsoft.com/office/drawing/2014/main" id="{1A763982-2DB6-4D20-AE56-C4C7E26D01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97616A">
        <w:rPr>
          <w:noProof/>
        </w:rPr>
        <w:drawing>
          <wp:inline distT="0" distB="0" distL="0" distR="0" wp14:anchorId="71E16A0E" wp14:editId="3E70F52B">
            <wp:extent cx="2808000" cy="3067200"/>
            <wp:effectExtent l="0" t="0" r="0" b="0"/>
            <wp:docPr id="2105910218" name="Chart 1" descr="The right panel of Figure 3 shows employment-to-population ratio and underemployment rate in June 2022 to June 2024. Underemployment rate rose from 6.2% in June 2022 to 6.4 in June 2024, with a peak of 6.7% in May 2024. Over the same period, employment-to-population ratio increased from 64.1% to 64.2%.  ">
              <a:extLst xmlns:a="http://schemas.openxmlformats.org/drawingml/2006/main">
                <a:ext uri="{FF2B5EF4-FFF2-40B4-BE49-F238E27FC236}">
                  <a16:creationId xmlns:a16="http://schemas.microsoft.com/office/drawing/2014/main" id="{068886CD-17C8-4EF9-A90A-996A65F94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AA475C" w:rsidRPr="001F376F">
        <w:t xml:space="preserve">Source: Australian Bureau of Statistics, </w:t>
      </w:r>
      <w:r w:rsidR="00AA475C" w:rsidRPr="00235EA8">
        <w:t>Labour Force</w:t>
      </w:r>
      <w:r w:rsidR="00AA475C" w:rsidRPr="001F376F">
        <w:t xml:space="preserve">, </w:t>
      </w:r>
      <w:r w:rsidR="00AA475C" w:rsidRPr="00235EA8">
        <w:t>Australia</w:t>
      </w:r>
      <w:r w:rsidR="00AA475C" w:rsidRPr="001F376F">
        <w:t>, July 2024.</w:t>
      </w:r>
      <w:r w:rsidR="00EE10DC">
        <w:t xml:space="preserve"> </w:t>
      </w:r>
      <w:r w:rsidR="0026452B">
        <w:br w:type="page"/>
      </w:r>
    </w:p>
    <w:p w14:paraId="2AD3FFF3" w14:textId="68EC2970" w:rsidR="00E70D25" w:rsidRPr="00E70D25" w:rsidRDefault="00E70D25" w:rsidP="00E70D25">
      <w:pPr>
        <w:pStyle w:val="Heading1"/>
      </w:pPr>
      <w:bookmarkStart w:id="18" w:name="_Toc180136433"/>
      <w:r w:rsidRPr="00E70D25">
        <w:lastRenderedPageBreak/>
        <w:t>2024 OSL results</w:t>
      </w:r>
      <w:bookmarkEnd w:id="18"/>
    </w:p>
    <w:p w14:paraId="220EC7F3" w14:textId="77777777" w:rsidR="00E70D25" w:rsidRPr="00E70D25" w:rsidRDefault="00E70D25" w:rsidP="00E70D25">
      <w:pPr>
        <w:pStyle w:val="Heading2"/>
      </w:pPr>
      <w:bookmarkStart w:id="19" w:name="_Toc142323452"/>
      <w:bookmarkStart w:id="20" w:name="_Toc174355991"/>
      <w:bookmarkStart w:id="21" w:name="_Toc180136434"/>
      <w:r w:rsidRPr="00E70D25">
        <w:t>Summary of national level findings</w:t>
      </w:r>
      <w:bookmarkEnd w:id="19"/>
      <w:bookmarkEnd w:id="20"/>
      <w:bookmarkEnd w:id="21"/>
    </w:p>
    <w:p w14:paraId="4691A2F2" w14:textId="7288C6A7" w:rsidR="006A7CFF" w:rsidRDefault="00E70D25" w:rsidP="00235EA8">
      <w:r w:rsidRPr="1A647D3A">
        <w:t>The 202</w:t>
      </w:r>
      <w:r>
        <w:t>4</w:t>
      </w:r>
      <w:r w:rsidRPr="1A647D3A">
        <w:t xml:space="preserve"> </w:t>
      </w:r>
      <w:r>
        <w:t>OSL</w:t>
      </w:r>
      <w:r w:rsidRPr="1A647D3A">
        <w:t xml:space="preserve"> </w:t>
      </w:r>
      <w:r>
        <w:t xml:space="preserve">results </w:t>
      </w:r>
      <w:r w:rsidRPr="1A647D3A">
        <w:t>show</w:t>
      </w:r>
      <w:r w:rsidR="00F55F80">
        <w:t>ed</w:t>
      </w:r>
      <w:r w:rsidRPr="1A647D3A">
        <w:t xml:space="preserve"> that </w:t>
      </w:r>
      <w:r w:rsidR="002F354E">
        <w:t>3</w:t>
      </w:r>
      <w:r w:rsidR="006D4FAF">
        <w:t>3</w:t>
      </w:r>
      <w:r w:rsidRPr="1A647D3A">
        <w:t xml:space="preserve">% of occupations </w:t>
      </w:r>
      <w:r>
        <w:t>(</w:t>
      </w:r>
      <w:r w:rsidR="002D160C">
        <w:t>30</w:t>
      </w:r>
      <w:r w:rsidR="006D4FAF">
        <w:t>3</w:t>
      </w:r>
      <w:r>
        <w:t xml:space="preserve"> out of 916 assessed occupations) are in </w:t>
      </w:r>
      <w:r w:rsidRPr="1A647D3A">
        <w:t xml:space="preserve">national </w:t>
      </w:r>
      <w:r w:rsidR="002C40D4">
        <w:t xml:space="preserve">level </w:t>
      </w:r>
      <w:r w:rsidR="007432B0">
        <w:t>S</w:t>
      </w:r>
      <w:r w:rsidR="007432B0" w:rsidRPr="005965A3">
        <w:t xml:space="preserve">hortage </w:t>
      </w:r>
      <w:r w:rsidR="009E67B1">
        <w:t>(</w:t>
      </w:r>
      <w:r w:rsidR="009E67B1">
        <w:fldChar w:fldCharType="begin"/>
      </w:r>
      <w:r w:rsidR="009E67B1">
        <w:instrText xml:space="preserve"> REF _Ref176192289 \h </w:instrText>
      </w:r>
      <w:r w:rsidR="00315AC4">
        <w:instrText xml:space="preserve"> \* MERGEFORMAT </w:instrText>
      </w:r>
      <w:r w:rsidR="009E67B1">
        <w:fldChar w:fldCharType="separate"/>
      </w:r>
      <w:r w:rsidR="00A35392">
        <w:t xml:space="preserve">Figure </w:t>
      </w:r>
      <w:r w:rsidR="00A35392">
        <w:rPr>
          <w:noProof/>
        </w:rPr>
        <w:t>4</w:t>
      </w:r>
      <w:r w:rsidR="009E67B1">
        <w:fldChar w:fldCharType="end"/>
      </w:r>
      <w:r w:rsidR="009E67B1">
        <w:t>)</w:t>
      </w:r>
      <w:r>
        <w:t>.</w:t>
      </w:r>
      <w:r w:rsidR="00617EE8">
        <w:rPr>
          <w:rStyle w:val="FootnoteReference"/>
        </w:rPr>
        <w:footnoteReference w:id="10"/>
      </w:r>
      <w:r>
        <w:t xml:space="preserve"> </w:t>
      </w:r>
      <w:r w:rsidRPr="57FFE815">
        <w:t>This</w:t>
      </w:r>
      <w:r w:rsidRPr="57FFE815" w:rsidDel="00CA1D4C">
        <w:t xml:space="preserve"> </w:t>
      </w:r>
      <w:r w:rsidR="004C19C9">
        <w:t>is</w:t>
      </w:r>
      <w:r>
        <w:t xml:space="preserve"> </w:t>
      </w:r>
      <w:r w:rsidR="006D4FAF">
        <w:t>3</w:t>
      </w:r>
      <w:r w:rsidRPr="1A647D3A">
        <w:t xml:space="preserve"> percentage points </w:t>
      </w:r>
      <w:r w:rsidR="005B29DC">
        <w:t xml:space="preserve">less than the result in </w:t>
      </w:r>
      <w:r w:rsidR="00B94E0B">
        <w:t xml:space="preserve">2023 </w:t>
      </w:r>
      <w:r w:rsidR="09923A47" w:rsidRPr="57FFE815">
        <w:t>(</w:t>
      </w:r>
      <w:r w:rsidRPr="1A647D3A">
        <w:t>3</w:t>
      </w:r>
      <w:r>
        <w:t>6</w:t>
      </w:r>
      <w:r w:rsidRPr="1A647D3A">
        <w:t>%</w:t>
      </w:r>
      <w:r w:rsidR="001A5531">
        <w:t>)</w:t>
      </w:r>
      <w:r w:rsidR="00A3190E">
        <w:t xml:space="preserve"> but is </w:t>
      </w:r>
      <w:r w:rsidR="00BD4BEA">
        <w:t>1</w:t>
      </w:r>
      <w:r w:rsidR="00A3190E">
        <w:t xml:space="preserve"> </w:t>
      </w:r>
      <w:r w:rsidR="00CC46FA">
        <w:t xml:space="preserve">percentage point </w:t>
      </w:r>
      <w:r>
        <w:t xml:space="preserve">higher </w:t>
      </w:r>
      <w:r w:rsidR="00297F18">
        <w:t xml:space="preserve">than </w:t>
      </w:r>
      <w:r w:rsidR="0049475D">
        <w:t xml:space="preserve">the </w:t>
      </w:r>
      <w:r>
        <w:t>2022</w:t>
      </w:r>
      <w:r w:rsidR="00A10658">
        <w:t xml:space="preserve"> </w:t>
      </w:r>
      <w:r w:rsidR="0049475D">
        <w:t xml:space="preserve">result </w:t>
      </w:r>
      <w:r w:rsidR="00A10658">
        <w:t>(32%)</w:t>
      </w:r>
      <w:r>
        <w:t>.</w:t>
      </w:r>
      <w:r w:rsidRPr="752D9DA6">
        <w:rPr>
          <w:rStyle w:val="FootnoteReference"/>
        </w:rPr>
        <w:footnoteReference w:id="11"/>
      </w:r>
      <w:r>
        <w:t xml:space="preserve"> </w:t>
      </w:r>
    </w:p>
    <w:p w14:paraId="0A291439" w14:textId="5FA98284" w:rsidR="007E1F74" w:rsidRPr="007E1F74" w:rsidRDefault="001721F9" w:rsidP="007E1F74">
      <w:pPr>
        <w:pStyle w:val="Caption"/>
      </w:pPr>
      <w:bookmarkStart w:id="22" w:name="_Ref176192289"/>
      <w:bookmarkStart w:id="23" w:name="_Ref171432224"/>
      <w:bookmarkStart w:id="24" w:name="_Toc180136411"/>
      <w:r>
        <w:t xml:space="preserve">Figure </w:t>
      </w:r>
      <w:r>
        <w:fldChar w:fldCharType="begin"/>
      </w:r>
      <w:r>
        <w:instrText xml:space="preserve"> SEQ Figure \* ARABIC </w:instrText>
      </w:r>
      <w:r>
        <w:fldChar w:fldCharType="separate"/>
      </w:r>
      <w:r w:rsidR="00A35392">
        <w:rPr>
          <w:noProof/>
        </w:rPr>
        <w:t>4</w:t>
      </w:r>
      <w:r>
        <w:rPr>
          <w:noProof/>
        </w:rPr>
        <w:fldChar w:fldCharType="end"/>
      </w:r>
      <w:bookmarkEnd w:id="22"/>
      <w:r w:rsidR="00727389">
        <w:t xml:space="preserve">: </w:t>
      </w:r>
      <w:bookmarkEnd w:id="23"/>
      <w:r w:rsidR="00E70D25" w:rsidRPr="006F18E6">
        <w:t xml:space="preserve">Percentage of occupations in </w:t>
      </w:r>
      <w:r w:rsidR="00B97092">
        <w:t>S</w:t>
      </w:r>
      <w:r w:rsidR="00B97092" w:rsidRPr="005965A3">
        <w:t xml:space="preserve">hortage </w:t>
      </w:r>
      <w:r w:rsidR="00CC4FAD">
        <w:t xml:space="preserve">(%) </w:t>
      </w:r>
      <w:r w:rsidR="00E70D25" w:rsidRPr="006F18E6">
        <w:t>in 2021</w:t>
      </w:r>
      <w:r w:rsidR="00BE7A51">
        <w:t xml:space="preserve"> to 2024 OSL</w:t>
      </w:r>
      <w:bookmarkEnd w:id="24"/>
    </w:p>
    <w:p w14:paraId="2EBEDAD6" w14:textId="4B3995E3" w:rsidR="00E70D25" w:rsidRDefault="00CA098C" w:rsidP="00963DDF">
      <w:pPr>
        <w:pStyle w:val="Source"/>
      </w:pPr>
      <w:r>
        <w:rPr>
          <w:noProof/>
        </w:rPr>
        <w:drawing>
          <wp:inline distT="0" distB="0" distL="0" distR="0" wp14:anchorId="7B3801D9" wp14:editId="0E3DE8F3">
            <wp:extent cx="5731200" cy="3067200"/>
            <wp:effectExtent l="0" t="0" r="3175" b="0"/>
            <wp:docPr id="1365135384" name="Chart 1" descr="Figure 4 shows the proportion of occupations in shortage in the 2021-2024 SPLs. The 2024 SPL shows that 33% of occupations are experiencing national shortage, with 303 out of 916 occupations affected. This represents a decrease of 3 percentage points from the 2023 figure of 36%.">
              <a:extLst xmlns:a="http://schemas.openxmlformats.org/drawingml/2006/main">
                <a:ext uri="{FF2B5EF4-FFF2-40B4-BE49-F238E27FC236}">
                  <a16:creationId xmlns:a16="http://schemas.microsoft.com/office/drawing/2014/main" id="{873B4F3D-4400-4C8F-8D42-275EE1CBFC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E70D25" w:rsidRPr="004B66E8">
        <w:t>Source: Jobs and Skills Australia</w:t>
      </w:r>
      <w:r w:rsidR="00E70D25" w:rsidRPr="00235EA8">
        <w:t>, Occupation</w:t>
      </w:r>
      <w:r w:rsidR="00E70D25" w:rsidRPr="00CE2C3A">
        <w:t xml:space="preserve"> </w:t>
      </w:r>
      <w:r w:rsidR="00E70D25" w:rsidRPr="00235EA8">
        <w:t>Shortage List,</w:t>
      </w:r>
      <w:r w:rsidR="00E70D25" w:rsidRPr="00CE2C3A">
        <w:t xml:space="preserve"> 2021</w:t>
      </w:r>
      <w:r w:rsidR="000C6347" w:rsidRPr="00CE2C3A">
        <w:t>–24</w:t>
      </w:r>
      <w:r w:rsidR="00E70D25" w:rsidRPr="00CE2C3A">
        <w:t>.</w:t>
      </w:r>
    </w:p>
    <w:p w14:paraId="2A96457C" w14:textId="1082AD03" w:rsidR="00C72798" w:rsidRDefault="00C72798" w:rsidP="00E70D25">
      <w:pPr>
        <w:rPr>
          <w:rFonts w:eastAsiaTheme="minorEastAsia"/>
        </w:rPr>
      </w:pPr>
      <w:r>
        <w:t>From a macro labour market context, the result most likely reflect the 2024 OSL assessment period</w:t>
      </w:r>
      <w:r w:rsidR="00FE1C7A">
        <w:t>, which</w:t>
      </w:r>
      <w:r>
        <w:t xml:space="preserve"> encompassed </w:t>
      </w:r>
      <w:r w:rsidR="00B24228">
        <w:t xml:space="preserve">periods </w:t>
      </w:r>
      <w:r>
        <w:t>of 2023, where labour market conditions were tight.</w:t>
      </w:r>
      <w:r w:rsidR="007A26A0">
        <w:rPr>
          <w:rStyle w:val="FootnoteReference"/>
        </w:rPr>
        <w:footnoteReference w:id="12"/>
      </w:r>
      <w:r>
        <w:t xml:space="preserve"> </w:t>
      </w:r>
      <w:r w:rsidR="00964550">
        <w:t xml:space="preserve">Conditions started to ease </w:t>
      </w:r>
      <w:r>
        <w:t xml:space="preserve">from </w:t>
      </w:r>
      <w:r w:rsidRPr="57FFE815" w:rsidDel="00EF1DC6">
        <w:t>late 2023</w:t>
      </w:r>
      <w:r w:rsidR="007D4D05">
        <w:t>.</w:t>
      </w:r>
    </w:p>
    <w:p w14:paraId="71C87E32" w14:textId="623A7478" w:rsidR="00ED70A3" w:rsidRDefault="002D29FF" w:rsidP="00ED70A3">
      <w:r>
        <w:t xml:space="preserve">Reflecting the changes in labour market conditions, </w:t>
      </w:r>
      <w:r w:rsidR="00E70D25">
        <w:t xml:space="preserve">the distribution of </w:t>
      </w:r>
      <w:r w:rsidR="006B3822">
        <w:t xml:space="preserve">estimated </w:t>
      </w:r>
      <w:r w:rsidR="00E70D25">
        <w:t xml:space="preserve">occupation fill rates </w:t>
      </w:r>
      <w:r w:rsidR="005459B0">
        <w:t xml:space="preserve">in the 2024 OSL </w:t>
      </w:r>
      <w:r w:rsidR="00E70D25">
        <w:t xml:space="preserve">shifted slightly </w:t>
      </w:r>
      <w:r w:rsidR="00165CDB">
        <w:t>to</w:t>
      </w:r>
      <w:r w:rsidR="00E70D25">
        <w:t xml:space="preserve"> the right compared to </w:t>
      </w:r>
      <w:r w:rsidR="003C5A36">
        <w:t xml:space="preserve">that </w:t>
      </w:r>
      <w:r w:rsidR="00824F26">
        <w:t xml:space="preserve">of </w:t>
      </w:r>
      <w:r w:rsidR="00E70D25">
        <w:t>the 2023 OSL</w:t>
      </w:r>
      <w:r w:rsidR="0027545D">
        <w:t xml:space="preserve"> (</w:t>
      </w:r>
      <w:r w:rsidR="00727389">
        <w:fldChar w:fldCharType="begin"/>
      </w:r>
      <w:r w:rsidR="00727389">
        <w:instrText xml:space="preserve"> REF _Ref176192348 \h </w:instrText>
      </w:r>
      <w:r w:rsidR="00727389">
        <w:fldChar w:fldCharType="separate"/>
      </w:r>
      <w:r w:rsidR="00A35392">
        <w:t xml:space="preserve">Figure </w:t>
      </w:r>
      <w:r w:rsidR="00A35392">
        <w:rPr>
          <w:noProof/>
        </w:rPr>
        <w:t>5</w:t>
      </w:r>
      <w:r w:rsidR="00727389">
        <w:fldChar w:fldCharType="end"/>
      </w:r>
      <w:r w:rsidR="0027545D">
        <w:t>)</w:t>
      </w:r>
      <w:r w:rsidR="00E70D25">
        <w:t xml:space="preserve">. This means that the average </w:t>
      </w:r>
      <w:r w:rsidR="005D7A02">
        <w:t xml:space="preserve">estimated </w:t>
      </w:r>
      <w:r w:rsidR="00E70D25">
        <w:t>fill rates in the labour market have increased</w:t>
      </w:r>
      <w:r w:rsidR="00EF3F2B">
        <w:t xml:space="preserve"> from </w:t>
      </w:r>
      <w:r w:rsidR="00E70D25">
        <w:t>6</w:t>
      </w:r>
      <w:r w:rsidR="001F6D0D">
        <w:t>5.9</w:t>
      </w:r>
      <w:r w:rsidR="00E70D25">
        <w:t>%</w:t>
      </w:r>
      <w:r w:rsidR="00047915">
        <w:t xml:space="preserve"> in the 2023 OSL</w:t>
      </w:r>
      <w:r w:rsidR="00E70D25">
        <w:t xml:space="preserve"> </w:t>
      </w:r>
      <w:r w:rsidR="000F688A">
        <w:t xml:space="preserve">to </w:t>
      </w:r>
      <w:r w:rsidR="00E70D25">
        <w:t>67</w:t>
      </w:r>
      <w:r w:rsidR="001F6D0D">
        <w:t>.1</w:t>
      </w:r>
      <w:r w:rsidR="00E70D25">
        <w:t>%</w:t>
      </w:r>
      <w:r w:rsidR="00047915">
        <w:t xml:space="preserve"> in the 2024 OSL</w:t>
      </w:r>
      <w:r w:rsidR="00E70D25">
        <w:t>.</w:t>
      </w:r>
      <w:r w:rsidR="008C2414">
        <w:rPr>
          <w:rStyle w:val="FootnoteReference"/>
          <w:rFonts w:asciiTheme="minorHAnsi" w:eastAsiaTheme="minorEastAsia" w:hAnsiTheme="minorHAnsi"/>
        </w:rPr>
        <w:footnoteReference w:id="13"/>
      </w:r>
      <w:r w:rsidR="00E70D25">
        <w:t xml:space="preserve"> </w:t>
      </w:r>
      <w:r w:rsidR="00ED70A3">
        <w:t xml:space="preserve">The median fill rates also increased from 59.2% to 61.7% over the </w:t>
      </w:r>
      <w:r w:rsidR="006822AA">
        <w:t xml:space="preserve">two OSL </w:t>
      </w:r>
      <w:r w:rsidR="00ED70A3">
        <w:t>period</w:t>
      </w:r>
      <w:r w:rsidR="006822AA">
        <w:t>s</w:t>
      </w:r>
      <w:r w:rsidR="00ED70A3">
        <w:t>.</w:t>
      </w:r>
    </w:p>
    <w:p w14:paraId="7FD188E7" w14:textId="77777777" w:rsidR="00B87472" w:rsidRDefault="00B87472">
      <w:pPr>
        <w:spacing w:after="160" w:line="259" w:lineRule="auto"/>
      </w:pPr>
      <w:r>
        <w:br w:type="page"/>
      </w:r>
    </w:p>
    <w:p w14:paraId="61BD0E18" w14:textId="5FEC1AEB" w:rsidR="00AD18B8" w:rsidRPr="004F4714" w:rsidRDefault="00AD18B8" w:rsidP="00235EA8">
      <w:r w:rsidRPr="00235EA8">
        <w:lastRenderedPageBreak/>
        <w:t xml:space="preserve">The </w:t>
      </w:r>
      <w:r w:rsidR="00073186">
        <w:t xml:space="preserve">change in the </w:t>
      </w:r>
      <w:r w:rsidRPr="00235EA8">
        <w:t xml:space="preserve">distribution of </w:t>
      </w:r>
      <w:r w:rsidR="00073186">
        <w:t xml:space="preserve">estimated </w:t>
      </w:r>
      <w:r w:rsidRPr="00235EA8">
        <w:t xml:space="preserve">fill rates </w:t>
      </w:r>
      <w:r w:rsidR="00073186">
        <w:t xml:space="preserve">in 2024 OSL </w:t>
      </w:r>
      <w:r w:rsidR="00392C0A" w:rsidRPr="00235EA8">
        <w:t>suggest</w:t>
      </w:r>
      <w:r w:rsidR="00051931">
        <w:t>ed</w:t>
      </w:r>
      <w:r w:rsidRPr="00235EA8">
        <w:t xml:space="preserve"> there </w:t>
      </w:r>
      <w:r w:rsidR="00E34AE1">
        <w:t>were</w:t>
      </w:r>
      <w:r w:rsidRPr="00235EA8">
        <w:t xml:space="preserve"> fewer occupations with fill rates below 60% and a greater concentration of occupations with fill rates between 60</w:t>
      </w:r>
      <w:r w:rsidR="00415C02">
        <w:t>%</w:t>
      </w:r>
      <w:r w:rsidRPr="00235EA8">
        <w:t xml:space="preserve"> and 80%. T</w:t>
      </w:r>
      <w:r w:rsidR="00392C0A" w:rsidRPr="00235EA8">
        <w:t xml:space="preserve">herefore, </w:t>
      </w:r>
      <w:r w:rsidR="00302232" w:rsidRPr="00235EA8">
        <w:t xml:space="preserve">there were fewer </w:t>
      </w:r>
      <w:r w:rsidRPr="00235EA8">
        <w:t xml:space="preserve">occupations </w:t>
      </w:r>
      <w:r w:rsidR="00302232" w:rsidRPr="00235EA8">
        <w:t xml:space="preserve">with </w:t>
      </w:r>
      <w:r w:rsidRPr="00235EA8">
        <w:t>lower fill rates in the 2024 OSL than the 2023 OSL</w:t>
      </w:r>
      <w:r w:rsidRPr="004F4714">
        <w:t>.</w:t>
      </w:r>
      <w:r>
        <w:rPr>
          <w:rStyle w:val="FootnoteReference"/>
          <w:rFonts w:asciiTheme="minorHAnsi" w:eastAsiaTheme="minorEastAsia" w:hAnsiTheme="minorHAnsi"/>
        </w:rPr>
        <w:footnoteReference w:id="14"/>
      </w:r>
      <w:r w:rsidRPr="004F4714">
        <w:t xml:space="preserve"> </w:t>
      </w:r>
    </w:p>
    <w:p w14:paraId="22082499" w14:textId="4EC5278D" w:rsidR="00E70D25" w:rsidRPr="006F18E6" w:rsidRDefault="00727389" w:rsidP="00727389">
      <w:pPr>
        <w:pStyle w:val="Caption"/>
      </w:pPr>
      <w:bookmarkStart w:id="25" w:name="_Ref176192348"/>
      <w:bookmarkStart w:id="26" w:name="_Ref174547600"/>
      <w:bookmarkStart w:id="27" w:name="_Toc180136412"/>
      <w:r>
        <w:t xml:space="preserve">Figure </w:t>
      </w:r>
      <w:r>
        <w:fldChar w:fldCharType="begin"/>
      </w:r>
      <w:r>
        <w:instrText xml:space="preserve"> SEQ Figure \* ARABIC </w:instrText>
      </w:r>
      <w:r>
        <w:fldChar w:fldCharType="separate"/>
      </w:r>
      <w:r w:rsidR="00A35392">
        <w:rPr>
          <w:noProof/>
        </w:rPr>
        <w:t>5</w:t>
      </w:r>
      <w:r>
        <w:rPr>
          <w:noProof/>
        </w:rPr>
        <w:fldChar w:fldCharType="end"/>
      </w:r>
      <w:bookmarkEnd w:id="25"/>
      <w:bookmarkEnd w:id="26"/>
      <w:r w:rsidR="00E70D25" w:rsidRPr="006F18E6">
        <w:t xml:space="preserve">: </w:t>
      </w:r>
      <w:r w:rsidR="00D91ECB">
        <w:t xml:space="preserve">Density plot </w:t>
      </w:r>
      <w:r w:rsidR="00E70D25" w:rsidRPr="006F18E6">
        <w:t>of predicted</w:t>
      </w:r>
      <w:r w:rsidR="00387728">
        <w:rPr>
          <w:rStyle w:val="FootnoteReference"/>
        </w:rPr>
        <w:footnoteReference w:id="15"/>
      </w:r>
      <w:r w:rsidR="00E70D25" w:rsidRPr="006F18E6">
        <w:t xml:space="preserve"> fill rates (%) for </w:t>
      </w:r>
      <w:r w:rsidR="00B91208">
        <w:t xml:space="preserve">the </w:t>
      </w:r>
      <w:r w:rsidR="00E70D25" w:rsidRPr="006F18E6">
        <w:t>2023 and 2024 OSL</w:t>
      </w:r>
      <w:r w:rsidR="00031D89">
        <w:t>s</w:t>
      </w:r>
      <w:bookmarkEnd w:id="27"/>
    </w:p>
    <w:p w14:paraId="2D70D62D" w14:textId="1DC12FC2" w:rsidR="00E70D25" w:rsidRDefault="00203892" w:rsidP="00235EA8">
      <w:pPr>
        <w:pStyle w:val="Source"/>
      </w:pPr>
      <w:r>
        <w:rPr>
          <w:noProof/>
        </w:rPr>
        <w:drawing>
          <wp:inline distT="0" distB="0" distL="0" distR="0" wp14:anchorId="0B535E12" wp14:editId="6EED7D8A">
            <wp:extent cx="5731200" cy="2865600"/>
            <wp:effectExtent l="0" t="0" r="3175" b="0"/>
            <wp:docPr id="833427179" name="Picture 1" descr="Figure 5 shows the distribution of predicted fill rates in 2023 and 2024. Overall, the distribution of occupation fill rates in the 2024 OSL has shifted slightly to the right compared to that for the 2023 OSL. This means that the average fill rates in the labour market have increa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27179" name="Picture 1" descr="Figure 5 shows the distribution of predicted fill rates in 2023 and 2024. Overall, the distribution of occupation fill rates in the 2024 OSL has shifted slightly to the right compared to that for the 2023 OSL. This means that the average fill rates in the labour market have increased.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200" cy="2865600"/>
                    </a:xfrm>
                    <a:prstGeom prst="rect">
                      <a:avLst/>
                    </a:prstGeom>
                  </pic:spPr>
                </pic:pic>
              </a:graphicData>
            </a:graphic>
          </wp:inline>
        </w:drawing>
      </w:r>
      <w:r w:rsidR="31324717" w:rsidRPr="00235EA8">
        <w:t>Source: Jobs and Skills Australia.</w:t>
      </w:r>
    </w:p>
    <w:p w14:paraId="7FC29C52" w14:textId="0861DF00" w:rsidR="00E70D25" w:rsidRDefault="00B72844" w:rsidP="00E70D25">
      <w:r>
        <w:t xml:space="preserve">Moreover, </w:t>
      </w:r>
      <w:r w:rsidR="00E70D25">
        <w:t xml:space="preserve">the number of </w:t>
      </w:r>
      <w:r w:rsidR="00457548">
        <w:t xml:space="preserve">total </w:t>
      </w:r>
      <w:r w:rsidR="00E70D25">
        <w:t xml:space="preserve">applicants, qualified applicants and suitable applicants per vacancy </w:t>
      </w:r>
      <w:r w:rsidR="0094045D">
        <w:t xml:space="preserve">increased </w:t>
      </w:r>
      <w:r w:rsidR="00E70D25">
        <w:t>in 2023</w:t>
      </w:r>
      <w:r w:rsidR="000C6347">
        <w:t>–24</w:t>
      </w:r>
      <w:r w:rsidR="00E70D25">
        <w:t xml:space="preserve"> compared to 2022</w:t>
      </w:r>
      <w:r w:rsidR="0020194A">
        <w:t>–</w:t>
      </w:r>
      <w:r w:rsidR="00E70D25">
        <w:t>23 (</w:t>
      </w:r>
      <w:r>
        <w:fldChar w:fldCharType="begin"/>
      </w:r>
      <w:r>
        <w:instrText xml:space="preserve"> REF _Ref174547753 \h </w:instrText>
      </w:r>
      <w:r>
        <w:fldChar w:fldCharType="separate"/>
      </w:r>
      <w:r w:rsidR="00A35392">
        <w:t xml:space="preserve">Figure </w:t>
      </w:r>
      <w:r w:rsidR="00A35392">
        <w:rPr>
          <w:noProof/>
        </w:rPr>
        <w:t>6</w:t>
      </w:r>
      <w:r>
        <w:fldChar w:fldCharType="end"/>
      </w:r>
      <w:r w:rsidR="00E70D25">
        <w:t xml:space="preserve">). In particular, </w:t>
      </w:r>
      <w:r w:rsidR="004D404F">
        <w:t xml:space="preserve">the number of </w:t>
      </w:r>
      <w:r w:rsidR="00E70D25">
        <w:t xml:space="preserve">total and qualified applicants per vacancy </w:t>
      </w:r>
      <w:r w:rsidR="005B053F">
        <w:t xml:space="preserve">increased </w:t>
      </w:r>
      <w:r w:rsidR="00E70D25">
        <w:t>by 8</w:t>
      </w:r>
      <w:r w:rsidR="47FE04D5">
        <w:t>.1</w:t>
      </w:r>
      <w:r w:rsidR="00E70D25">
        <w:t xml:space="preserve"> and </w:t>
      </w:r>
      <w:r w:rsidR="4F2D05AF">
        <w:t>1.9</w:t>
      </w:r>
      <w:r w:rsidR="00E70D25">
        <w:t xml:space="preserve"> persons per vacan</w:t>
      </w:r>
      <w:r w:rsidR="00A16ACB">
        <w:t>cy</w:t>
      </w:r>
      <w:r w:rsidR="0033414C">
        <w:t>, respectively</w:t>
      </w:r>
      <w:r w:rsidR="00E70D25">
        <w:t>.</w:t>
      </w:r>
      <w:r w:rsidR="005F3959">
        <w:rPr>
          <w:rStyle w:val="FootnoteReference"/>
        </w:rPr>
        <w:footnoteReference w:id="16"/>
      </w:r>
    </w:p>
    <w:p w14:paraId="0BF864AD" w14:textId="3D43DFFB" w:rsidR="00355ABF" w:rsidRDefault="00727389" w:rsidP="00727389">
      <w:pPr>
        <w:pStyle w:val="Caption"/>
      </w:pPr>
      <w:bookmarkStart w:id="28" w:name="_Ref176192392"/>
      <w:bookmarkStart w:id="29" w:name="_Ref174547753"/>
      <w:bookmarkStart w:id="30" w:name="_Toc180136413"/>
      <w:r>
        <w:lastRenderedPageBreak/>
        <w:t xml:space="preserve">Figure </w:t>
      </w:r>
      <w:r w:rsidRPr="1C04AB18">
        <w:fldChar w:fldCharType="begin"/>
      </w:r>
      <w:r>
        <w:instrText xml:space="preserve"> SEQ Figure \* ARABIC </w:instrText>
      </w:r>
      <w:r w:rsidRPr="1C04AB18">
        <w:fldChar w:fldCharType="separate"/>
      </w:r>
      <w:r w:rsidR="00A35392">
        <w:rPr>
          <w:noProof/>
        </w:rPr>
        <w:t>6</w:t>
      </w:r>
      <w:r w:rsidRPr="1C04AB18">
        <w:rPr>
          <w:noProof/>
        </w:rPr>
        <w:fldChar w:fldCharType="end"/>
      </w:r>
      <w:bookmarkEnd w:id="28"/>
      <w:bookmarkEnd w:id="29"/>
      <w:r w:rsidR="00815E16">
        <w:t>: Number of applicants, qualified applicants and suitable applicants per vacancy</w:t>
      </w:r>
      <w:r w:rsidR="000B531B">
        <w:t xml:space="preserve"> (</w:t>
      </w:r>
      <w:r w:rsidR="000D4E5C">
        <w:t>N</w:t>
      </w:r>
      <w:r w:rsidR="000B531B">
        <w:t>o.)</w:t>
      </w:r>
      <w:r w:rsidR="00815E16">
        <w:t>, 2020</w:t>
      </w:r>
      <w:r w:rsidR="00F90195">
        <w:t>–</w:t>
      </w:r>
      <w:r w:rsidR="00815E16">
        <w:t>21</w:t>
      </w:r>
      <w:r w:rsidR="00055184">
        <w:t xml:space="preserve"> to </w:t>
      </w:r>
      <w:r w:rsidR="00815E16">
        <w:t>2023</w:t>
      </w:r>
      <w:r w:rsidR="00F90195">
        <w:t>–</w:t>
      </w:r>
      <w:r w:rsidR="00815E16">
        <w:t>24 financial years</w:t>
      </w:r>
      <w:bookmarkEnd w:id="30"/>
    </w:p>
    <w:p w14:paraId="1371DC48" w14:textId="1660EC4E" w:rsidR="00E70D25" w:rsidRDefault="00C268F2" w:rsidP="00D56A5B">
      <w:pPr>
        <w:pStyle w:val="Source"/>
      </w:pPr>
      <w:r>
        <w:rPr>
          <w:noProof/>
        </w:rPr>
        <w:drawing>
          <wp:inline distT="0" distB="0" distL="0" distR="0" wp14:anchorId="35BA1D6E" wp14:editId="781E72DD">
            <wp:extent cx="5731200" cy="3067200"/>
            <wp:effectExtent l="0" t="0" r="3175" b="0"/>
            <wp:docPr id="2050828870" name="Chart 1" descr="Figure 6 shows the number of applicants, qualified applicants, and suitable applicants per vacancy for the last four financial years as measured through Jobs and Skills Australia's Survey of Employers who have Recently Advertised (SERA). In 2024, the number of total and qualified applicants per vacancy increased by 8 and 2 persons per vacancy, respectively. ">
              <a:extLst xmlns:a="http://schemas.openxmlformats.org/drawingml/2006/main">
                <a:ext uri="{FF2B5EF4-FFF2-40B4-BE49-F238E27FC236}">
                  <a16:creationId xmlns:a16="http://schemas.microsoft.com/office/drawing/2014/main" id="{184F4117-3B07-AD86-B1FD-E72D6F59A4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E70D25" w:rsidRPr="001379D2">
        <w:t xml:space="preserve">Source: Jobs and Skills Australia, </w:t>
      </w:r>
      <w:r w:rsidR="00E70D25" w:rsidRPr="00703892">
        <w:t xml:space="preserve">Survey of Employers who </w:t>
      </w:r>
      <w:r w:rsidR="0022561C">
        <w:t xml:space="preserve">have </w:t>
      </w:r>
      <w:r w:rsidR="00E70D25" w:rsidRPr="00703892">
        <w:t>Recently Advertised</w:t>
      </w:r>
      <w:r w:rsidR="00E70D25">
        <w:t xml:space="preserve">, </w:t>
      </w:r>
      <w:r w:rsidR="00E70D25" w:rsidRPr="0067433D">
        <w:t>202</w:t>
      </w:r>
      <w:r w:rsidR="00E70D25">
        <w:t>0</w:t>
      </w:r>
      <w:r w:rsidR="000C6347">
        <w:t>–24</w:t>
      </w:r>
      <w:r w:rsidR="00E70D25">
        <w:t>.</w:t>
      </w:r>
    </w:p>
    <w:p w14:paraId="121C7EC4" w14:textId="17245E66" w:rsidR="00E70D25" w:rsidRPr="00E70D25" w:rsidRDefault="00E70D25" w:rsidP="00E70D25">
      <w:pPr>
        <w:pStyle w:val="Heading2"/>
      </w:pPr>
      <w:bookmarkStart w:id="31" w:name="_Toc174355992"/>
      <w:bookmarkStart w:id="32" w:name="_Toc180136435"/>
      <w:r w:rsidRPr="00E70D25">
        <w:t>A high</w:t>
      </w:r>
      <w:r w:rsidR="00C356D5">
        <w:t>-</w:t>
      </w:r>
      <w:r w:rsidRPr="00E70D25">
        <w:t>level breakdown</w:t>
      </w:r>
      <w:bookmarkEnd w:id="31"/>
      <w:bookmarkEnd w:id="32"/>
    </w:p>
    <w:p w14:paraId="2FC72000" w14:textId="11FA0EA5" w:rsidR="00267BED" w:rsidRDefault="00E70D25" w:rsidP="00267BED">
      <w:r>
        <w:t xml:space="preserve">In the </w:t>
      </w:r>
      <w:r w:rsidRPr="6DCE0227">
        <w:t xml:space="preserve">2024 </w:t>
      </w:r>
      <w:r>
        <w:t xml:space="preserve">OSL, </w:t>
      </w:r>
      <w:r w:rsidR="00234236">
        <w:t>8</w:t>
      </w:r>
      <w:r w:rsidRPr="6DCE0227">
        <w:t xml:space="preserve"> occupations</w:t>
      </w:r>
      <w:r>
        <w:t xml:space="preserve"> </w:t>
      </w:r>
      <w:r w:rsidRPr="6DCE0227">
        <w:t xml:space="preserve">were newly classified </w:t>
      </w:r>
      <w:r w:rsidR="00FA0AED">
        <w:t xml:space="preserve">as </w:t>
      </w:r>
      <w:r w:rsidRPr="6DCE0227">
        <w:t xml:space="preserve">in </w:t>
      </w:r>
      <w:r w:rsidR="00FA0AED" w:rsidRPr="00AE76FD">
        <w:t>Shortage</w:t>
      </w:r>
      <w:r w:rsidR="00FA0AED" w:rsidRPr="00AE76FD" w:rsidDel="00644209">
        <w:t xml:space="preserve"> </w:t>
      </w:r>
      <w:r w:rsidR="5074500B" w:rsidRPr="00AE76FD">
        <w:t xml:space="preserve">when compared to </w:t>
      </w:r>
      <w:r w:rsidRPr="00AE76FD">
        <w:t>the 2023 OSL (</w:t>
      </w:r>
      <w:r w:rsidR="00B848F2" w:rsidRPr="00AE76FD">
        <w:fldChar w:fldCharType="begin"/>
      </w:r>
      <w:r w:rsidR="00B848F2" w:rsidRPr="00AE76FD">
        <w:instrText xml:space="preserve"> REF _Ref174547899 \h </w:instrText>
      </w:r>
      <w:r w:rsidR="00AE76FD">
        <w:instrText xml:space="preserve"> \* MERGEFORMAT </w:instrText>
      </w:r>
      <w:r w:rsidR="00B848F2" w:rsidRPr="00AE76FD">
        <w:fldChar w:fldCharType="separate"/>
      </w:r>
      <w:r w:rsidR="00A35392">
        <w:t xml:space="preserve">Table </w:t>
      </w:r>
      <w:r w:rsidR="00A35392">
        <w:rPr>
          <w:noProof/>
        </w:rPr>
        <w:t>1</w:t>
      </w:r>
      <w:r w:rsidR="00B848F2" w:rsidRPr="00AE76FD">
        <w:fldChar w:fldCharType="end"/>
      </w:r>
      <w:r w:rsidRPr="00AE76FD">
        <w:t>).</w:t>
      </w:r>
      <w:r w:rsidRPr="00AE76FD">
        <w:rPr>
          <w:rStyle w:val="FootnoteReference"/>
          <w:rFonts w:asciiTheme="minorHAnsi" w:eastAsiaTheme="minorEastAsia" w:hAnsiTheme="minorHAnsi"/>
        </w:rPr>
        <w:footnoteReference w:id="17"/>
      </w:r>
      <w:r w:rsidRPr="00AE76FD">
        <w:t xml:space="preserve"> </w:t>
      </w:r>
      <w:r w:rsidR="00267BED" w:rsidRPr="00AE76FD">
        <w:t xml:space="preserve">Conversely, 37 occupations </w:t>
      </w:r>
      <w:r w:rsidR="007255DD" w:rsidRPr="00AE76FD">
        <w:t>transition</w:t>
      </w:r>
      <w:r w:rsidR="05592670" w:rsidRPr="00AE76FD">
        <w:t>ed</w:t>
      </w:r>
      <w:r w:rsidR="007255DD" w:rsidRPr="00AE76FD">
        <w:t xml:space="preserve"> from </w:t>
      </w:r>
      <w:r w:rsidR="000E64A6" w:rsidRPr="00AE76FD">
        <w:t>S</w:t>
      </w:r>
      <w:r w:rsidR="00267BED" w:rsidRPr="00AE76FD">
        <w:t xml:space="preserve">hortage </w:t>
      </w:r>
      <w:r w:rsidR="007255DD" w:rsidRPr="00AE76FD">
        <w:t xml:space="preserve">in </w:t>
      </w:r>
      <w:r w:rsidR="00267BED" w:rsidRPr="00AE76FD">
        <w:t>2023</w:t>
      </w:r>
      <w:r w:rsidR="007255DD" w:rsidRPr="00AE76FD">
        <w:t xml:space="preserve"> to </w:t>
      </w:r>
      <w:r w:rsidR="00DF7C0A" w:rsidRPr="005965A3">
        <w:t>No</w:t>
      </w:r>
      <w:r w:rsidR="00DF7C0A">
        <w:t> </w:t>
      </w:r>
      <w:r w:rsidR="000E64A6" w:rsidRPr="00AE76FD">
        <w:t>S</w:t>
      </w:r>
      <w:r w:rsidR="00267BED" w:rsidRPr="00AE76FD">
        <w:t>hortage in 2024. Among the</w:t>
      </w:r>
      <w:r w:rsidR="00184200" w:rsidRPr="00AE76FD">
        <w:t>se</w:t>
      </w:r>
      <w:r w:rsidR="00267BED" w:rsidRPr="00AE76FD">
        <w:t xml:space="preserve">,15 </w:t>
      </w:r>
      <w:r w:rsidR="00716E4D">
        <w:t xml:space="preserve">occupations </w:t>
      </w:r>
      <w:r w:rsidR="00267BED" w:rsidRPr="00AE76FD">
        <w:t>were concentrated in Skill Level 4 occupations within the Machinery Operators and Drivers and Labourers major groups.</w:t>
      </w:r>
      <w:r w:rsidR="00267BED" w:rsidRPr="005965A3">
        <w:rPr>
          <w:rStyle w:val="FootnoteReference"/>
          <w:rFonts w:asciiTheme="minorHAnsi" w:eastAsiaTheme="minorEastAsia" w:hAnsiTheme="minorHAnsi"/>
        </w:rPr>
        <w:footnoteReference w:id="18"/>
      </w:r>
    </w:p>
    <w:p w14:paraId="7B8EBC3C" w14:textId="5713E629" w:rsidR="00E70D25" w:rsidRDefault="00D02376" w:rsidP="00D02376">
      <w:pPr>
        <w:pStyle w:val="Caption"/>
      </w:pPr>
      <w:bookmarkStart w:id="33" w:name="_Ref174547899"/>
      <w:bookmarkStart w:id="34" w:name="_Toc180136424"/>
      <w:r>
        <w:t xml:space="preserve">Table </w:t>
      </w:r>
      <w:r>
        <w:fldChar w:fldCharType="begin"/>
      </w:r>
      <w:r>
        <w:instrText xml:space="preserve"> SEQ Table \* ARABIC </w:instrText>
      </w:r>
      <w:r>
        <w:fldChar w:fldCharType="separate"/>
      </w:r>
      <w:r w:rsidR="00A35392">
        <w:rPr>
          <w:noProof/>
        </w:rPr>
        <w:t>1</w:t>
      </w:r>
      <w:r>
        <w:rPr>
          <w:noProof/>
        </w:rPr>
        <w:fldChar w:fldCharType="end"/>
      </w:r>
      <w:bookmarkEnd w:id="33"/>
      <w:r w:rsidR="00E70D25" w:rsidRPr="000E6C0C">
        <w:t xml:space="preserve">: </w:t>
      </w:r>
      <w:r w:rsidR="00E70D25">
        <w:t xml:space="preserve">Summary of </w:t>
      </w:r>
      <w:r w:rsidR="00A808F0">
        <w:t xml:space="preserve">occupation </w:t>
      </w:r>
      <w:r w:rsidR="00F85D89">
        <w:t xml:space="preserve">rating changes between 2023 and </w:t>
      </w:r>
      <w:r w:rsidR="00E70D25" w:rsidRPr="000E6C0C">
        <w:t>202</w:t>
      </w:r>
      <w:r w:rsidR="00E70D25">
        <w:t>4</w:t>
      </w:r>
      <w:r w:rsidR="00E70D25" w:rsidRPr="000E6C0C">
        <w:t xml:space="preserve"> </w:t>
      </w:r>
      <w:r w:rsidR="00E70D25">
        <w:t>OSL</w:t>
      </w:r>
      <w:r w:rsidR="00F85D89">
        <w:t>s</w:t>
      </w:r>
      <w:bookmarkEnd w:id="34"/>
    </w:p>
    <w:tbl>
      <w:tblPr>
        <w:tblStyle w:val="JSATable1"/>
        <w:tblW w:w="5000" w:type="pct"/>
        <w:tblLook w:val="0020" w:firstRow="1" w:lastRow="0" w:firstColumn="0" w:lastColumn="0" w:noHBand="0" w:noVBand="0"/>
      </w:tblPr>
      <w:tblGrid>
        <w:gridCol w:w="4634"/>
        <w:gridCol w:w="2280"/>
        <w:gridCol w:w="2112"/>
      </w:tblGrid>
      <w:tr w:rsidR="00114673" w:rsidRPr="00B26C3D" w14:paraId="12C0C846" w14:textId="77777777" w:rsidTr="00522974">
        <w:trPr>
          <w:cnfStyle w:val="100000000000" w:firstRow="1" w:lastRow="0" w:firstColumn="0" w:lastColumn="0" w:oddVBand="0" w:evenVBand="0" w:oddHBand="0" w:evenHBand="0" w:firstRowFirstColumn="0" w:firstRowLastColumn="0" w:lastRowFirstColumn="0" w:lastRowLastColumn="0"/>
        </w:trPr>
        <w:tc>
          <w:tcPr>
            <w:tcW w:w="2567" w:type="pct"/>
          </w:tcPr>
          <w:p w14:paraId="4EB8AB26" w14:textId="2ADB8F1C" w:rsidR="00114673" w:rsidRPr="00B26C3D" w:rsidRDefault="00114673" w:rsidP="00114673">
            <w:r w:rsidRPr="005965A3">
              <w:rPr>
                <w:lang w:eastAsia="en-AU"/>
              </w:rPr>
              <w:t>Change from 2023 to 2024</w:t>
            </w:r>
          </w:p>
        </w:tc>
        <w:tc>
          <w:tcPr>
            <w:tcW w:w="1263" w:type="pct"/>
          </w:tcPr>
          <w:p w14:paraId="1D8AA481" w14:textId="63CF97DE" w:rsidR="00114673" w:rsidRPr="00B26C3D" w:rsidRDefault="00114673" w:rsidP="00114673">
            <w:r w:rsidRPr="005965A3">
              <w:rPr>
                <w:lang w:eastAsia="en-AU"/>
              </w:rPr>
              <w:t>Occupations (No.)</w:t>
            </w:r>
          </w:p>
        </w:tc>
        <w:tc>
          <w:tcPr>
            <w:tcW w:w="1170" w:type="pct"/>
          </w:tcPr>
          <w:p w14:paraId="6AD59837" w14:textId="2242033B" w:rsidR="00114673" w:rsidRPr="00B26C3D" w:rsidRDefault="00114673" w:rsidP="00114673">
            <w:r w:rsidRPr="005965A3">
              <w:rPr>
                <w:lang w:eastAsia="en-AU"/>
              </w:rPr>
              <w:t>Occupations (%)</w:t>
            </w:r>
          </w:p>
        </w:tc>
      </w:tr>
      <w:tr w:rsidR="00114673" w:rsidRPr="00B26C3D" w14:paraId="4B3CF5C1" w14:textId="77777777" w:rsidTr="00522974">
        <w:tc>
          <w:tcPr>
            <w:tcW w:w="2567" w:type="pct"/>
          </w:tcPr>
          <w:p w14:paraId="08CFE606" w14:textId="08080597" w:rsidR="00114673" w:rsidRPr="00B26C3D" w:rsidRDefault="00114673" w:rsidP="00114673">
            <w:r w:rsidRPr="005965A3">
              <w:rPr>
                <w:lang w:eastAsia="en-AU"/>
              </w:rPr>
              <w:t>Still in Shortage</w:t>
            </w:r>
          </w:p>
        </w:tc>
        <w:tc>
          <w:tcPr>
            <w:tcW w:w="1263" w:type="pct"/>
          </w:tcPr>
          <w:p w14:paraId="2AB81753" w14:textId="2A80BE42" w:rsidR="00114673" w:rsidRPr="00B26C3D" w:rsidRDefault="00114673" w:rsidP="00114673">
            <w:pPr>
              <w:jc w:val="right"/>
            </w:pPr>
            <w:r w:rsidRPr="005965A3">
              <w:t>295</w:t>
            </w:r>
          </w:p>
        </w:tc>
        <w:tc>
          <w:tcPr>
            <w:tcW w:w="1170" w:type="pct"/>
          </w:tcPr>
          <w:p w14:paraId="736385E5" w14:textId="7F598049" w:rsidR="00114673" w:rsidRPr="00B26C3D" w:rsidRDefault="00114673" w:rsidP="00114673">
            <w:pPr>
              <w:jc w:val="right"/>
            </w:pPr>
            <w:r w:rsidRPr="005965A3">
              <w:t>32</w:t>
            </w:r>
          </w:p>
        </w:tc>
      </w:tr>
      <w:tr w:rsidR="00114673" w:rsidRPr="00B26C3D" w14:paraId="464A71F3" w14:textId="77777777" w:rsidTr="00522974">
        <w:trPr>
          <w:cnfStyle w:val="000000010000" w:firstRow="0" w:lastRow="0" w:firstColumn="0" w:lastColumn="0" w:oddVBand="0" w:evenVBand="0" w:oddHBand="0" w:evenHBand="1" w:firstRowFirstColumn="0" w:firstRowLastColumn="0" w:lastRowFirstColumn="0" w:lastRowLastColumn="0"/>
        </w:trPr>
        <w:tc>
          <w:tcPr>
            <w:tcW w:w="2567" w:type="pct"/>
          </w:tcPr>
          <w:p w14:paraId="7CACC048" w14:textId="0F9C8DD7" w:rsidR="00114673" w:rsidRPr="00B26C3D" w:rsidRDefault="00114673" w:rsidP="00114673">
            <w:r w:rsidRPr="005965A3">
              <w:rPr>
                <w:lang w:eastAsia="en-AU"/>
              </w:rPr>
              <w:t>No Shortage (2023) to Shortage (2024)</w:t>
            </w:r>
          </w:p>
        </w:tc>
        <w:tc>
          <w:tcPr>
            <w:tcW w:w="1263" w:type="pct"/>
          </w:tcPr>
          <w:p w14:paraId="0A597BD3" w14:textId="2D82A380" w:rsidR="00114673" w:rsidRPr="00B26C3D" w:rsidRDefault="00114673" w:rsidP="00114673">
            <w:pPr>
              <w:jc w:val="right"/>
            </w:pPr>
            <w:r w:rsidRPr="005965A3">
              <w:t>8</w:t>
            </w:r>
          </w:p>
        </w:tc>
        <w:tc>
          <w:tcPr>
            <w:tcW w:w="1170" w:type="pct"/>
          </w:tcPr>
          <w:p w14:paraId="25F01643" w14:textId="0217DB4F" w:rsidR="00114673" w:rsidRPr="00B26C3D" w:rsidRDefault="00114673" w:rsidP="00114673">
            <w:pPr>
              <w:jc w:val="right"/>
            </w:pPr>
            <w:r w:rsidRPr="005965A3">
              <w:t>1</w:t>
            </w:r>
          </w:p>
        </w:tc>
      </w:tr>
      <w:tr w:rsidR="00114673" w:rsidRPr="00B26C3D" w14:paraId="0FBDF06E" w14:textId="77777777" w:rsidTr="00522974">
        <w:tc>
          <w:tcPr>
            <w:tcW w:w="2567" w:type="pct"/>
          </w:tcPr>
          <w:p w14:paraId="3102626D" w14:textId="3B1DA4F7" w:rsidR="00114673" w:rsidRPr="00B26C3D" w:rsidRDefault="00114673" w:rsidP="00114673">
            <w:r w:rsidRPr="005965A3">
              <w:rPr>
                <w:lang w:eastAsia="en-AU"/>
              </w:rPr>
              <w:t>Shortage (2023) to No Shortage (2024)</w:t>
            </w:r>
          </w:p>
        </w:tc>
        <w:tc>
          <w:tcPr>
            <w:tcW w:w="1263" w:type="pct"/>
          </w:tcPr>
          <w:p w14:paraId="4386BFB2" w14:textId="0C19F7B2" w:rsidR="00114673" w:rsidRPr="00B26C3D" w:rsidRDefault="00114673" w:rsidP="00114673">
            <w:pPr>
              <w:jc w:val="right"/>
            </w:pPr>
            <w:r w:rsidRPr="005965A3">
              <w:t>37</w:t>
            </w:r>
          </w:p>
        </w:tc>
        <w:tc>
          <w:tcPr>
            <w:tcW w:w="1170" w:type="pct"/>
          </w:tcPr>
          <w:p w14:paraId="2374F02C" w14:textId="4740F006" w:rsidR="00114673" w:rsidRPr="00B26C3D" w:rsidRDefault="00114673" w:rsidP="00114673">
            <w:pPr>
              <w:jc w:val="right"/>
            </w:pPr>
            <w:r w:rsidRPr="005965A3">
              <w:t>4</w:t>
            </w:r>
          </w:p>
        </w:tc>
      </w:tr>
      <w:tr w:rsidR="00114673" w:rsidRPr="00B26C3D" w14:paraId="588C2203" w14:textId="77777777" w:rsidTr="00522974">
        <w:trPr>
          <w:cnfStyle w:val="000000010000" w:firstRow="0" w:lastRow="0" w:firstColumn="0" w:lastColumn="0" w:oddVBand="0" w:evenVBand="0" w:oddHBand="0" w:evenHBand="1" w:firstRowFirstColumn="0" w:firstRowLastColumn="0" w:lastRowFirstColumn="0" w:lastRowLastColumn="0"/>
        </w:trPr>
        <w:tc>
          <w:tcPr>
            <w:tcW w:w="2567" w:type="pct"/>
          </w:tcPr>
          <w:p w14:paraId="04BD752B" w14:textId="6C62855E" w:rsidR="00114673" w:rsidRPr="00B26C3D" w:rsidRDefault="00114673" w:rsidP="00114673">
            <w:r w:rsidRPr="005965A3">
              <w:rPr>
                <w:lang w:eastAsia="en-AU"/>
              </w:rPr>
              <w:t>Still in No Shortage</w:t>
            </w:r>
          </w:p>
        </w:tc>
        <w:tc>
          <w:tcPr>
            <w:tcW w:w="1263" w:type="pct"/>
          </w:tcPr>
          <w:p w14:paraId="7344B7DA" w14:textId="05376DB2" w:rsidR="00114673" w:rsidRPr="00B26C3D" w:rsidRDefault="00114673" w:rsidP="00114673">
            <w:pPr>
              <w:jc w:val="right"/>
            </w:pPr>
            <w:r w:rsidRPr="005965A3">
              <w:t>576</w:t>
            </w:r>
          </w:p>
        </w:tc>
        <w:tc>
          <w:tcPr>
            <w:tcW w:w="1170" w:type="pct"/>
          </w:tcPr>
          <w:p w14:paraId="2E4E201B" w14:textId="25226855" w:rsidR="00114673" w:rsidRPr="00B26C3D" w:rsidRDefault="00114673" w:rsidP="00114673">
            <w:pPr>
              <w:jc w:val="right"/>
            </w:pPr>
            <w:r w:rsidRPr="005965A3">
              <w:t>63</w:t>
            </w:r>
          </w:p>
        </w:tc>
      </w:tr>
      <w:tr w:rsidR="00114673" w:rsidRPr="00B26C3D" w14:paraId="2722D063" w14:textId="77777777" w:rsidTr="00522974">
        <w:tc>
          <w:tcPr>
            <w:tcW w:w="2567" w:type="pct"/>
          </w:tcPr>
          <w:p w14:paraId="1301C474" w14:textId="64F3FC7D" w:rsidR="00114673" w:rsidRPr="00B26C3D" w:rsidRDefault="00114673" w:rsidP="00114673">
            <w:r w:rsidRPr="005965A3">
              <w:rPr>
                <w:b/>
                <w:bCs/>
                <w:lang w:eastAsia="en-AU"/>
              </w:rPr>
              <w:t>All occupations</w:t>
            </w:r>
          </w:p>
        </w:tc>
        <w:tc>
          <w:tcPr>
            <w:tcW w:w="1263" w:type="pct"/>
          </w:tcPr>
          <w:p w14:paraId="45DA572E" w14:textId="13944903" w:rsidR="00114673" w:rsidRPr="00B26C3D" w:rsidRDefault="00114673" w:rsidP="00114673">
            <w:pPr>
              <w:jc w:val="right"/>
            </w:pPr>
            <w:r w:rsidRPr="005965A3">
              <w:rPr>
                <w:b/>
                <w:bCs/>
              </w:rPr>
              <w:t>916</w:t>
            </w:r>
          </w:p>
        </w:tc>
        <w:tc>
          <w:tcPr>
            <w:tcW w:w="1170" w:type="pct"/>
          </w:tcPr>
          <w:p w14:paraId="644F4CA9" w14:textId="3524513A" w:rsidR="00114673" w:rsidRPr="00B26C3D" w:rsidRDefault="00114673" w:rsidP="00114673">
            <w:pPr>
              <w:jc w:val="right"/>
            </w:pPr>
            <w:r w:rsidRPr="005965A3">
              <w:rPr>
                <w:b/>
                <w:bCs/>
              </w:rPr>
              <w:t>100</w:t>
            </w:r>
          </w:p>
        </w:tc>
      </w:tr>
    </w:tbl>
    <w:p w14:paraId="3C75A560" w14:textId="733D9DFA" w:rsidR="00E70D25" w:rsidRDefault="00F66833" w:rsidP="00235EA8">
      <w:pPr>
        <w:pStyle w:val="Source"/>
        <w:rPr>
          <w:rFonts w:eastAsiaTheme="minorEastAsia"/>
        </w:rPr>
      </w:pPr>
      <w:r>
        <w:t>S</w:t>
      </w:r>
      <w:r w:rsidR="00E70D25" w:rsidRPr="00705D81">
        <w:t xml:space="preserve">ource: Jobs and Skills Australia, </w:t>
      </w:r>
      <w:r w:rsidR="00E70D25">
        <w:t xml:space="preserve">Occupation </w:t>
      </w:r>
      <w:r w:rsidR="00E70D25" w:rsidRPr="00235EA8">
        <w:t>Shortage List,</w:t>
      </w:r>
      <w:r w:rsidR="00E70D25" w:rsidRPr="00705D81">
        <w:t xml:space="preserve"> </w:t>
      </w:r>
      <w:r w:rsidR="00E70D25">
        <w:t>2021</w:t>
      </w:r>
      <w:r w:rsidR="000C6347">
        <w:t>–24</w:t>
      </w:r>
      <w:r w:rsidR="00E70D25">
        <w:t>.</w:t>
      </w:r>
    </w:p>
    <w:p w14:paraId="209BF3E7" w14:textId="43BCCAD6" w:rsidR="00EA0C86" w:rsidRPr="005965A3" w:rsidRDefault="00BE2454" w:rsidP="00EA0C86">
      <w:r w:rsidRPr="005965A3">
        <w:t xml:space="preserve">Just under a third of occupations </w:t>
      </w:r>
      <w:r w:rsidR="00E70D25" w:rsidRPr="005965A3">
        <w:t>(3</w:t>
      </w:r>
      <w:r w:rsidR="00FF4EB5" w:rsidRPr="005965A3">
        <w:t>2</w:t>
      </w:r>
      <w:r w:rsidR="00E70D25" w:rsidRPr="005965A3">
        <w:t xml:space="preserve">%) were in </w:t>
      </w:r>
      <w:r w:rsidR="009241A0">
        <w:t>S</w:t>
      </w:r>
      <w:r w:rsidR="009241A0" w:rsidRPr="005965A3">
        <w:t xml:space="preserve">hortage </w:t>
      </w:r>
      <w:r w:rsidR="00E70D25" w:rsidRPr="005965A3">
        <w:t xml:space="preserve">in </w:t>
      </w:r>
      <w:r w:rsidR="07CF463B" w:rsidRPr="005965A3">
        <w:t xml:space="preserve">both the </w:t>
      </w:r>
      <w:r w:rsidR="00E70D25" w:rsidRPr="005965A3">
        <w:t>2023 and 2024 OSLs</w:t>
      </w:r>
      <w:r w:rsidR="00EA0C86" w:rsidRPr="005965A3">
        <w:t>:</w:t>
      </w:r>
    </w:p>
    <w:p w14:paraId="6E23F3C1" w14:textId="507C9759" w:rsidR="003D211F" w:rsidRPr="005965A3" w:rsidRDefault="00B36D39" w:rsidP="001E453A">
      <w:pPr>
        <w:pStyle w:val="ListBullet"/>
        <w:rPr>
          <w:lang w:val="en-AU"/>
        </w:rPr>
      </w:pPr>
      <w:r w:rsidRPr="005965A3">
        <w:rPr>
          <w:lang w:val="en-AU"/>
        </w:rPr>
        <w:t>Many (</w:t>
      </w:r>
      <w:r w:rsidR="00E70D25" w:rsidRPr="005965A3">
        <w:rPr>
          <w:lang w:val="en-AU"/>
        </w:rPr>
        <w:t>1</w:t>
      </w:r>
      <w:r w:rsidR="00D008B0" w:rsidRPr="005965A3">
        <w:rPr>
          <w:lang w:val="en-AU"/>
        </w:rPr>
        <w:t>43</w:t>
      </w:r>
      <w:r w:rsidR="00E70D25" w:rsidRPr="005965A3">
        <w:rPr>
          <w:lang w:val="en-AU"/>
        </w:rPr>
        <w:t xml:space="preserve"> </w:t>
      </w:r>
      <w:r w:rsidR="00875792" w:rsidRPr="005965A3">
        <w:rPr>
          <w:lang w:val="en-AU"/>
        </w:rPr>
        <w:t xml:space="preserve">occupations </w:t>
      </w:r>
      <w:r w:rsidRPr="005965A3">
        <w:rPr>
          <w:lang w:val="en-AU"/>
        </w:rPr>
        <w:t xml:space="preserve">or </w:t>
      </w:r>
      <w:r w:rsidR="00E70D25" w:rsidRPr="005965A3">
        <w:rPr>
          <w:lang w:val="en-AU"/>
        </w:rPr>
        <w:t>4</w:t>
      </w:r>
      <w:r w:rsidR="00525CC4" w:rsidRPr="005965A3">
        <w:rPr>
          <w:lang w:val="en-AU"/>
        </w:rPr>
        <w:t>8</w:t>
      </w:r>
      <w:r w:rsidR="00E70D25" w:rsidRPr="005965A3">
        <w:rPr>
          <w:lang w:val="en-AU"/>
        </w:rPr>
        <w:t xml:space="preserve">%) </w:t>
      </w:r>
      <w:r w:rsidR="02049B2A" w:rsidRPr="005965A3">
        <w:rPr>
          <w:lang w:val="en-AU"/>
        </w:rPr>
        <w:t xml:space="preserve">of these </w:t>
      </w:r>
      <w:r w:rsidR="00E70D25" w:rsidRPr="005965A3">
        <w:rPr>
          <w:lang w:val="en-AU"/>
        </w:rPr>
        <w:t xml:space="preserve">were </w:t>
      </w:r>
      <w:r w:rsidR="00283552" w:rsidRPr="005965A3">
        <w:rPr>
          <w:lang w:val="en-AU"/>
        </w:rPr>
        <w:t xml:space="preserve">in the </w:t>
      </w:r>
      <w:r w:rsidR="00E70D25" w:rsidRPr="005965A3">
        <w:rPr>
          <w:lang w:val="en-AU"/>
        </w:rPr>
        <w:t xml:space="preserve">Professionals </w:t>
      </w:r>
      <w:r w:rsidR="00283552" w:rsidRPr="005965A3">
        <w:rPr>
          <w:lang w:val="en-AU"/>
        </w:rPr>
        <w:t>major group</w:t>
      </w:r>
      <w:r w:rsidR="00274CF0" w:rsidRPr="005965A3">
        <w:rPr>
          <w:lang w:val="en-AU"/>
        </w:rPr>
        <w:t xml:space="preserve"> which </w:t>
      </w:r>
      <w:r w:rsidR="009F1FBA" w:rsidRPr="005965A3">
        <w:rPr>
          <w:lang w:val="en-AU"/>
        </w:rPr>
        <w:t>included</w:t>
      </w:r>
      <w:r w:rsidR="00E70D25" w:rsidRPr="005965A3">
        <w:rPr>
          <w:lang w:val="en-AU"/>
        </w:rPr>
        <w:t xml:space="preserve"> many related to </w:t>
      </w:r>
      <w:r w:rsidR="006870D6">
        <w:rPr>
          <w:lang w:val="en-AU"/>
        </w:rPr>
        <w:t>h</w:t>
      </w:r>
      <w:r w:rsidR="00E70D25" w:rsidRPr="005965A3">
        <w:rPr>
          <w:lang w:val="en-AU"/>
        </w:rPr>
        <w:t xml:space="preserve">ealth, </w:t>
      </w:r>
      <w:r w:rsidR="006870D6">
        <w:rPr>
          <w:lang w:val="en-AU"/>
        </w:rPr>
        <w:t>e</w:t>
      </w:r>
      <w:r w:rsidR="00E70D25" w:rsidRPr="005965A3">
        <w:rPr>
          <w:lang w:val="en-AU"/>
        </w:rPr>
        <w:t>ngineering</w:t>
      </w:r>
      <w:r w:rsidR="001764B5" w:rsidRPr="005965A3">
        <w:rPr>
          <w:lang w:val="en-AU"/>
        </w:rPr>
        <w:t xml:space="preserve">, </w:t>
      </w:r>
      <w:r w:rsidR="006870D6">
        <w:rPr>
          <w:lang w:val="en-AU"/>
        </w:rPr>
        <w:t>t</w:t>
      </w:r>
      <w:r w:rsidR="00D800EE" w:rsidRPr="005965A3">
        <w:rPr>
          <w:lang w:val="en-AU"/>
        </w:rPr>
        <w:t xml:space="preserve">eaching </w:t>
      </w:r>
      <w:r w:rsidR="00E70D25" w:rsidRPr="005965A3">
        <w:rPr>
          <w:lang w:val="en-AU"/>
        </w:rPr>
        <w:t xml:space="preserve">and </w:t>
      </w:r>
      <w:r w:rsidR="006870D6">
        <w:rPr>
          <w:lang w:val="en-AU"/>
        </w:rPr>
        <w:t>i</w:t>
      </w:r>
      <w:r w:rsidR="006E54DF" w:rsidRPr="005965A3">
        <w:rPr>
          <w:lang w:val="en-AU"/>
        </w:rPr>
        <w:t xml:space="preserve">nformation </w:t>
      </w:r>
      <w:r w:rsidR="006870D6">
        <w:rPr>
          <w:lang w:val="en-AU"/>
        </w:rPr>
        <w:t>c</w:t>
      </w:r>
      <w:r w:rsidR="006E54DF" w:rsidRPr="005965A3">
        <w:rPr>
          <w:lang w:val="en-AU"/>
        </w:rPr>
        <w:t xml:space="preserve">ommunication and </w:t>
      </w:r>
      <w:r w:rsidR="006870D6">
        <w:rPr>
          <w:lang w:val="en-AU"/>
        </w:rPr>
        <w:t>t</w:t>
      </w:r>
      <w:r w:rsidR="006E54DF" w:rsidRPr="005965A3">
        <w:rPr>
          <w:lang w:val="en-AU"/>
        </w:rPr>
        <w:t>echnology</w:t>
      </w:r>
      <w:r w:rsidR="00226BD3" w:rsidRPr="005965A3">
        <w:rPr>
          <w:lang w:val="en-AU"/>
        </w:rPr>
        <w:t xml:space="preserve"> (ICT)</w:t>
      </w:r>
      <w:r w:rsidR="00E70D25" w:rsidRPr="005965A3">
        <w:rPr>
          <w:lang w:val="en-AU"/>
        </w:rPr>
        <w:t xml:space="preserve">. </w:t>
      </w:r>
    </w:p>
    <w:p w14:paraId="55E6AC99" w14:textId="77777777" w:rsidR="00595EA6" w:rsidRPr="005965A3" w:rsidRDefault="00E70D25" w:rsidP="001E453A">
      <w:pPr>
        <w:pStyle w:val="ListBullet"/>
        <w:rPr>
          <w:lang w:val="en-AU"/>
        </w:rPr>
      </w:pPr>
      <w:r w:rsidRPr="005965A3">
        <w:rPr>
          <w:lang w:val="en-AU"/>
        </w:rPr>
        <w:t>Another 10</w:t>
      </w:r>
      <w:r w:rsidR="00D008B0" w:rsidRPr="005965A3">
        <w:rPr>
          <w:lang w:val="en-AU"/>
        </w:rPr>
        <w:t>2</w:t>
      </w:r>
      <w:r w:rsidRPr="005965A3">
        <w:rPr>
          <w:lang w:val="en-AU"/>
        </w:rPr>
        <w:t xml:space="preserve"> </w:t>
      </w:r>
      <w:r w:rsidR="00875792" w:rsidRPr="005965A3">
        <w:rPr>
          <w:lang w:val="en-AU"/>
        </w:rPr>
        <w:t xml:space="preserve">occupations </w:t>
      </w:r>
      <w:r w:rsidRPr="005965A3">
        <w:rPr>
          <w:lang w:val="en-AU"/>
        </w:rPr>
        <w:t>(</w:t>
      </w:r>
      <w:r w:rsidR="00AE7E6E" w:rsidRPr="005965A3">
        <w:rPr>
          <w:lang w:val="en-AU"/>
        </w:rPr>
        <w:t>35</w:t>
      </w:r>
      <w:r w:rsidRPr="005965A3">
        <w:rPr>
          <w:lang w:val="en-AU"/>
        </w:rPr>
        <w:t xml:space="preserve">%) were </w:t>
      </w:r>
      <w:r w:rsidR="00283552" w:rsidRPr="005965A3">
        <w:rPr>
          <w:lang w:val="en-AU"/>
        </w:rPr>
        <w:t xml:space="preserve">in the </w:t>
      </w:r>
      <w:r w:rsidRPr="005965A3">
        <w:rPr>
          <w:lang w:val="en-AU"/>
        </w:rPr>
        <w:t xml:space="preserve">Technicians and Trades Workers </w:t>
      </w:r>
      <w:r w:rsidR="00283552" w:rsidRPr="005965A3">
        <w:rPr>
          <w:lang w:val="en-AU"/>
        </w:rPr>
        <w:t>major group</w:t>
      </w:r>
      <w:r w:rsidRPr="005965A3">
        <w:rPr>
          <w:lang w:val="en-AU"/>
        </w:rPr>
        <w:t xml:space="preserve">. </w:t>
      </w:r>
    </w:p>
    <w:p w14:paraId="6E32CAFE" w14:textId="2D99E1EF" w:rsidR="00E70D25" w:rsidRDefault="00E70D25" w:rsidP="001E453A">
      <w:pPr>
        <w:pStyle w:val="ListBullet"/>
        <w:rPr>
          <w:lang w:val="en-AU"/>
        </w:rPr>
      </w:pPr>
      <w:r w:rsidRPr="005965A3">
        <w:rPr>
          <w:lang w:val="en-AU"/>
        </w:rPr>
        <w:lastRenderedPageBreak/>
        <w:t xml:space="preserve">Most of the remaining </w:t>
      </w:r>
      <w:r w:rsidR="00142389" w:rsidRPr="005965A3">
        <w:rPr>
          <w:lang w:val="en-AU"/>
        </w:rPr>
        <w:t>50</w:t>
      </w:r>
      <w:r w:rsidRPr="005965A3">
        <w:rPr>
          <w:lang w:val="en-AU"/>
        </w:rPr>
        <w:t xml:space="preserve"> occupations in </w:t>
      </w:r>
      <w:r w:rsidR="009241A0">
        <w:rPr>
          <w:lang w:val="en-AU"/>
        </w:rPr>
        <w:t>S</w:t>
      </w:r>
      <w:r w:rsidR="009241A0" w:rsidRPr="005965A3">
        <w:rPr>
          <w:lang w:val="en-AU"/>
        </w:rPr>
        <w:t xml:space="preserve">hortage </w:t>
      </w:r>
      <w:r w:rsidRPr="005965A3">
        <w:rPr>
          <w:lang w:val="en-AU"/>
        </w:rPr>
        <w:t>in 2023 and 2024 OSL</w:t>
      </w:r>
      <w:r w:rsidR="003B2A5B" w:rsidRPr="005965A3">
        <w:rPr>
          <w:lang w:val="en-AU"/>
        </w:rPr>
        <w:t>s</w:t>
      </w:r>
      <w:r w:rsidRPr="005965A3">
        <w:rPr>
          <w:lang w:val="en-AU"/>
        </w:rPr>
        <w:t xml:space="preserve"> comprised Community and Personal Service Workers and Machinery Operators and Drivers.</w:t>
      </w:r>
      <w:r w:rsidRPr="005965A3">
        <w:rPr>
          <w:rStyle w:val="FootnoteReference"/>
          <w:rFonts w:asciiTheme="minorHAnsi" w:hAnsiTheme="minorHAnsi"/>
          <w:spacing w:val="0"/>
          <w:lang w:val="en-AU"/>
        </w:rPr>
        <w:footnoteReference w:id="19"/>
      </w:r>
    </w:p>
    <w:p w14:paraId="44BCD38B" w14:textId="7B01B37C" w:rsidR="009F4E6A" w:rsidRDefault="009F4E6A" w:rsidP="009F4E6A">
      <w:pPr>
        <w:rPr>
          <w:vertAlign w:val="superscript"/>
        </w:rPr>
      </w:pPr>
      <w:r w:rsidRPr="44F55ED4">
        <w:t>In 2024</w:t>
      </w:r>
      <w:r>
        <w:t xml:space="preserve"> OSL</w:t>
      </w:r>
      <w:r w:rsidRPr="44F55ED4">
        <w:t xml:space="preserve">, </w:t>
      </w:r>
      <w:r>
        <w:t>no occupations in S</w:t>
      </w:r>
      <w:r w:rsidRPr="005965A3">
        <w:t xml:space="preserve">hortage </w:t>
      </w:r>
      <w:r>
        <w:t xml:space="preserve">were confined to only metropolitan areas (though there were some examples of this type </w:t>
      </w:r>
      <w:r w:rsidR="00D46C3A">
        <w:t xml:space="preserve">of shortage </w:t>
      </w:r>
      <w:r>
        <w:t xml:space="preserve">for individual states and territories). However, 1% (or </w:t>
      </w:r>
      <w:r w:rsidRPr="44F55ED4">
        <w:t>1</w:t>
      </w:r>
      <w:r>
        <w:t>0</w:t>
      </w:r>
      <w:r w:rsidRPr="44F55ED4">
        <w:t xml:space="preserve"> occupations</w:t>
      </w:r>
      <w:r>
        <w:t xml:space="preserve">) </w:t>
      </w:r>
      <w:r w:rsidRPr="44F55ED4">
        <w:t xml:space="preserve">were </w:t>
      </w:r>
      <w:r>
        <w:t>assessed as being in R</w:t>
      </w:r>
      <w:r w:rsidRPr="005965A3">
        <w:t xml:space="preserve">egional </w:t>
      </w:r>
      <w:r>
        <w:t>S</w:t>
      </w:r>
      <w:r w:rsidRPr="005965A3">
        <w:t>hortage</w:t>
      </w:r>
      <w:r w:rsidRPr="44F55ED4">
        <w:t>.</w:t>
      </w:r>
      <w:r w:rsidRPr="70088955">
        <w:rPr>
          <w:rStyle w:val="FootnoteReference"/>
          <w:rFonts w:asciiTheme="minorHAnsi" w:eastAsiaTheme="minorEastAsia" w:hAnsiTheme="minorHAnsi"/>
        </w:rPr>
        <w:footnoteReference w:id="20"/>
      </w:r>
      <w:r w:rsidRPr="00341A54">
        <w:rPr>
          <w:vertAlign w:val="superscript"/>
        </w:rPr>
        <w:t>,</w:t>
      </w:r>
      <w:r w:rsidRPr="70088955">
        <w:rPr>
          <w:rStyle w:val="FootnoteReference"/>
          <w:rFonts w:asciiTheme="minorHAnsi" w:eastAsiaTheme="minorEastAsia" w:hAnsiTheme="minorHAnsi"/>
        </w:rPr>
        <w:footnoteReference w:id="21"/>
      </w:r>
    </w:p>
    <w:p w14:paraId="191C83BE" w14:textId="596856B4" w:rsidR="00923B08" w:rsidRDefault="00986DF5" w:rsidP="009F4E6A">
      <w:r>
        <w:rPr>
          <w:lang w:val="en-GB"/>
        </w:rPr>
        <w:t>Occupation ratings for states and territories were based on the feedback received from</w:t>
      </w:r>
      <w:r w:rsidR="003B0469">
        <w:rPr>
          <w:lang w:val="en-GB"/>
        </w:rPr>
        <w:t xml:space="preserve"> </w:t>
      </w:r>
      <w:r>
        <w:rPr>
          <w:lang w:val="en-GB"/>
        </w:rPr>
        <w:t>Jobs and Skills Councils and state and territory government stakeholders.</w:t>
      </w:r>
      <w:r w:rsidRPr="2653E91B">
        <w:rPr>
          <w:rStyle w:val="FootnoteReference"/>
          <w:rFonts w:asciiTheme="minorHAnsi" w:eastAsiaTheme="minorEastAsia" w:hAnsiTheme="minorHAnsi"/>
          <w:lang w:val="en-GB"/>
        </w:rPr>
        <w:footnoteReference w:id="22"/>
      </w:r>
      <w:r>
        <w:rPr>
          <w:lang w:val="en-GB"/>
        </w:rPr>
        <w:t xml:space="preserve"> </w:t>
      </w:r>
      <w:r w:rsidRPr="00AC3B49">
        <w:rPr>
          <w:lang w:val="en-GB"/>
        </w:rPr>
        <w:t xml:space="preserve">Generally, occupations </w:t>
      </w:r>
      <w:r w:rsidR="00644237">
        <w:rPr>
          <w:lang w:val="en-GB"/>
        </w:rPr>
        <w:t xml:space="preserve">assessed as </w:t>
      </w:r>
      <w:r w:rsidR="003C44E0">
        <w:rPr>
          <w:lang w:val="en-GB"/>
        </w:rPr>
        <w:t>S</w:t>
      </w:r>
      <w:r w:rsidRPr="00AC3B49">
        <w:rPr>
          <w:lang w:val="en-GB"/>
        </w:rPr>
        <w:t>hortage</w:t>
      </w:r>
      <w:r>
        <w:rPr>
          <w:lang w:val="en-GB"/>
        </w:rPr>
        <w:t>,</w:t>
      </w:r>
      <w:r w:rsidRPr="00AC3B49">
        <w:rPr>
          <w:lang w:val="en-GB"/>
        </w:rPr>
        <w:t xml:space="preserve"> nationally</w:t>
      </w:r>
      <w:r>
        <w:rPr>
          <w:lang w:val="en-GB"/>
        </w:rPr>
        <w:t>,</w:t>
      </w:r>
      <w:r w:rsidRPr="00AC3B49">
        <w:rPr>
          <w:lang w:val="en-GB"/>
        </w:rPr>
        <w:t xml:space="preserve"> </w:t>
      </w:r>
      <w:r>
        <w:rPr>
          <w:lang w:val="en-GB"/>
        </w:rPr>
        <w:t>were</w:t>
      </w:r>
      <w:r w:rsidRPr="00AC3B49">
        <w:rPr>
          <w:lang w:val="en-GB"/>
        </w:rPr>
        <w:t xml:space="preserve"> also </w:t>
      </w:r>
      <w:r w:rsidR="00260ED6">
        <w:rPr>
          <w:lang w:val="en-GB"/>
        </w:rPr>
        <w:t xml:space="preserve">rated as </w:t>
      </w:r>
      <w:r w:rsidR="003C44E0">
        <w:rPr>
          <w:lang w:val="en-GB"/>
        </w:rPr>
        <w:t>S</w:t>
      </w:r>
      <w:r w:rsidRPr="00AC3B49">
        <w:rPr>
          <w:lang w:val="en-GB"/>
        </w:rPr>
        <w:t>hortage in each state and territory. Variation</w:t>
      </w:r>
      <w:r>
        <w:rPr>
          <w:lang w:val="en-GB"/>
        </w:rPr>
        <w:t>s in ratings</w:t>
      </w:r>
      <w:r w:rsidRPr="00AC3B49">
        <w:rPr>
          <w:lang w:val="en-GB"/>
        </w:rPr>
        <w:t xml:space="preserve"> </w:t>
      </w:r>
      <w:r w:rsidRPr="00BE7B33">
        <w:rPr>
          <w:lang w:val="en-GB"/>
        </w:rPr>
        <w:t>reflect</w:t>
      </w:r>
      <w:r>
        <w:rPr>
          <w:lang w:val="en-GB"/>
        </w:rPr>
        <w:t xml:space="preserve"> </w:t>
      </w:r>
      <w:r w:rsidRPr="00BE7B33">
        <w:rPr>
          <w:lang w:val="en-GB"/>
        </w:rPr>
        <w:t xml:space="preserve">the unique labour market characteristics </w:t>
      </w:r>
      <w:r>
        <w:rPr>
          <w:lang w:val="en-GB"/>
        </w:rPr>
        <w:t xml:space="preserve">of the </w:t>
      </w:r>
      <w:r w:rsidRPr="00BE7B33">
        <w:rPr>
          <w:lang w:val="en-GB"/>
        </w:rPr>
        <w:t>state</w:t>
      </w:r>
      <w:r>
        <w:rPr>
          <w:lang w:val="en-GB"/>
        </w:rPr>
        <w:t>s</w:t>
      </w:r>
      <w:r w:rsidRPr="00BE7B33">
        <w:rPr>
          <w:lang w:val="en-GB"/>
        </w:rPr>
        <w:t xml:space="preserve"> and territor</w:t>
      </w:r>
      <w:r>
        <w:rPr>
          <w:lang w:val="en-GB"/>
        </w:rPr>
        <w:t xml:space="preserve">ies, different methodologies used </w:t>
      </w:r>
      <w:r w:rsidRPr="2653E91B">
        <w:rPr>
          <w:lang w:val="en-GB"/>
        </w:rPr>
        <w:t xml:space="preserve">by each state and territory government stakeholder </w:t>
      </w:r>
      <w:r>
        <w:rPr>
          <w:lang w:val="en-GB"/>
        </w:rPr>
        <w:t xml:space="preserve">to assess occupation shortages and </w:t>
      </w:r>
      <w:r w:rsidRPr="00AC3B49">
        <w:rPr>
          <w:lang w:val="en-GB"/>
        </w:rPr>
        <w:t>differences in stakeholder input</w:t>
      </w:r>
      <w:r>
        <w:rPr>
          <w:lang w:val="en-GB"/>
        </w:rPr>
        <w:t>s</w:t>
      </w:r>
      <w:r w:rsidRPr="00AC3B49">
        <w:rPr>
          <w:lang w:val="en-GB"/>
        </w:rPr>
        <w:t xml:space="preserve"> they each received when conducting their own an</w:t>
      </w:r>
      <w:r>
        <w:rPr>
          <w:lang w:val="en-GB"/>
        </w:rPr>
        <w:t>a</w:t>
      </w:r>
      <w:r w:rsidRPr="00AC3B49">
        <w:rPr>
          <w:lang w:val="en-GB"/>
        </w:rPr>
        <w:t>lys</w:t>
      </w:r>
      <w:r>
        <w:rPr>
          <w:lang w:val="en-GB"/>
        </w:rPr>
        <w:t>i</w:t>
      </w:r>
      <w:r w:rsidRPr="00AC3B49">
        <w:rPr>
          <w:lang w:val="en-GB"/>
        </w:rPr>
        <w:t>s</w:t>
      </w:r>
      <w:r>
        <w:rPr>
          <w:lang w:val="en-GB"/>
        </w:rPr>
        <w:t>.</w:t>
      </w:r>
    </w:p>
    <w:p w14:paraId="08AB6FE8" w14:textId="0E6A2D94" w:rsidR="00346F80" w:rsidRDefault="00346F80" w:rsidP="00346F80">
      <w:pPr>
        <w:pStyle w:val="Caption"/>
      </w:pPr>
      <w:bookmarkStart w:id="35" w:name="_Ref175139005"/>
      <w:bookmarkStart w:id="36" w:name="_Toc180136425"/>
      <w:r>
        <w:t xml:space="preserve">Table </w:t>
      </w:r>
      <w:r>
        <w:fldChar w:fldCharType="begin"/>
      </w:r>
      <w:r>
        <w:instrText xml:space="preserve"> SEQ Table \* ARABIC </w:instrText>
      </w:r>
      <w:r>
        <w:fldChar w:fldCharType="separate"/>
      </w:r>
      <w:r w:rsidR="00A35392">
        <w:rPr>
          <w:noProof/>
        </w:rPr>
        <w:t>2</w:t>
      </w:r>
      <w:r>
        <w:rPr>
          <w:noProof/>
        </w:rPr>
        <w:fldChar w:fldCharType="end"/>
      </w:r>
      <w:bookmarkEnd w:id="35"/>
      <w:r>
        <w:t xml:space="preserve">: Summary of major groups </w:t>
      </w:r>
      <w:r w:rsidRPr="000E6C0C">
        <w:t xml:space="preserve">in </w:t>
      </w:r>
      <w:r>
        <w:t xml:space="preserve">persistent </w:t>
      </w:r>
      <w:r w:rsidR="006A7B29">
        <w:t>S</w:t>
      </w:r>
      <w:r w:rsidR="006A7B29" w:rsidRPr="005965A3">
        <w:t xml:space="preserve">hortage </w:t>
      </w:r>
      <w:r>
        <w:t>i</w:t>
      </w:r>
      <w:r w:rsidRPr="000E6C0C">
        <w:t xml:space="preserve">n the </w:t>
      </w:r>
      <w:r>
        <w:t>2021</w:t>
      </w:r>
      <w:r w:rsidR="006B49F4" w:rsidRPr="009A27F0">
        <w:t>–</w:t>
      </w:r>
      <w:r w:rsidRPr="000E6C0C">
        <w:t>2</w:t>
      </w:r>
      <w:r>
        <w:t>4</w:t>
      </w:r>
      <w:r w:rsidRPr="000E6C0C">
        <w:t xml:space="preserve"> </w:t>
      </w:r>
      <w:r>
        <w:t>OSLs</w:t>
      </w:r>
      <w:bookmarkEnd w:id="36"/>
    </w:p>
    <w:tbl>
      <w:tblPr>
        <w:tblStyle w:val="JSATable1"/>
        <w:tblW w:w="5000" w:type="pct"/>
        <w:tblLook w:val="0020" w:firstRow="1" w:lastRow="0" w:firstColumn="0" w:lastColumn="0" w:noHBand="0" w:noVBand="0"/>
      </w:tblPr>
      <w:tblGrid>
        <w:gridCol w:w="4859"/>
        <w:gridCol w:w="2163"/>
        <w:gridCol w:w="2004"/>
      </w:tblGrid>
      <w:tr w:rsidR="000E5E4E" w:rsidRPr="00B26C3D" w14:paraId="337C05DF" w14:textId="77777777" w:rsidTr="0057025F">
        <w:trPr>
          <w:cnfStyle w:val="100000000000" w:firstRow="1" w:lastRow="0" w:firstColumn="0" w:lastColumn="0" w:oddVBand="0" w:evenVBand="0" w:oddHBand="0" w:evenHBand="0" w:firstRowFirstColumn="0" w:firstRowLastColumn="0" w:lastRowFirstColumn="0" w:lastRowLastColumn="0"/>
        </w:trPr>
        <w:tc>
          <w:tcPr>
            <w:tcW w:w="2692" w:type="pct"/>
          </w:tcPr>
          <w:p w14:paraId="1BB8D432" w14:textId="5138137C" w:rsidR="000E5E4E" w:rsidRPr="00B26C3D" w:rsidRDefault="000E5E4E" w:rsidP="000E5E4E">
            <w:r w:rsidRPr="005965A3">
              <w:rPr>
                <w:lang w:eastAsia="en-AU"/>
              </w:rPr>
              <w:t>In Shortage from 2021 to 2024</w:t>
            </w:r>
          </w:p>
        </w:tc>
        <w:tc>
          <w:tcPr>
            <w:tcW w:w="1198" w:type="pct"/>
          </w:tcPr>
          <w:p w14:paraId="1CB1527D" w14:textId="7968C6B6" w:rsidR="000E5E4E" w:rsidRPr="00B26C3D" w:rsidRDefault="000E5E4E" w:rsidP="000E5E4E">
            <w:r w:rsidRPr="005965A3">
              <w:rPr>
                <w:lang w:eastAsia="en-AU"/>
              </w:rPr>
              <w:t>Occupations (No.)</w:t>
            </w:r>
          </w:p>
        </w:tc>
        <w:tc>
          <w:tcPr>
            <w:tcW w:w="1110" w:type="pct"/>
          </w:tcPr>
          <w:p w14:paraId="59B65475" w14:textId="56CFEABB" w:rsidR="000E5E4E" w:rsidRPr="00B26C3D" w:rsidRDefault="000E5E4E" w:rsidP="000E5E4E">
            <w:r w:rsidRPr="005965A3">
              <w:rPr>
                <w:lang w:eastAsia="en-AU"/>
              </w:rPr>
              <w:t>Occupations (%)</w:t>
            </w:r>
          </w:p>
        </w:tc>
      </w:tr>
      <w:tr w:rsidR="000E5E4E" w:rsidRPr="00B26C3D" w14:paraId="247978BB" w14:textId="77777777" w:rsidTr="0057025F">
        <w:tc>
          <w:tcPr>
            <w:tcW w:w="2692" w:type="pct"/>
          </w:tcPr>
          <w:p w14:paraId="37F9FAA7" w14:textId="4966175E" w:rsidR="000E5E4E" w:rsidRPr="00B26C3D" w:rsidRDefault="000E5E4E" w:rsidP="000E5E4E">
            <w:r w:rsidRPr="005965A3">
              <w:rPr>
                <w:lang w:eastAsia="en-AU"/>
              </w:rPr>
              <w:t>Managers</w:t>
            </w:r>
          </w:p>
        </w:tc>
        <w:tc>
          <w:tcPr>
            <w:tcW w:w="1198" w:type="pct"/>
          </w:tcPr>
          <w:p w14:paraId="0C11ACD1" w14:textId="1E563501" w:rsidR="000E5E4E" w:rsidRPr="00B26C3D" w:rsidRDefault="000E5E4E" w:rsidP="000E5E4E">
            <w:pPr>
              <w:jc w:val="right"/>
            </w:pPr>
            <w:r w:rsidRPr="005965A3">
              <w:t>3</w:t>
            </w:r>
          </w:p>
        </w:tc>
        <w:tc>
          <w:tcPr>
            <w:tcW w:w="1110" w:type="pct"/>
          </w:tcPr>
          <w:p w14:paraId="1D1F80BB" w14:textId="59A1F2FB" w:rsidR="000E5E4E" w:rsidRPr="00B26C3D" w:rsidRDefault="000E5E4E" w:rsidP="000E5E4E">
            <w:pPr>
              <w:jc w:val="right"/>
            </w:pPr>
            <w:r w:rsidRPr="005965A3">
              <w:t>2</w:t>
            </w:r>
          </w:p>
        </w:tc>
      </w:tr>
      <w:tr w:rsidR="000E5E4E" w:rsidRPr="00B26C3D" w14:paraId="05677F8D" w14:textId="77777777" w:rsidTr="0057025F">
        <w:trPr>
          <w:cnfStyle w:val="000000010000" w:firstRow="0" w:lastRow="0" w:firstColumn="0" w:lastColumn="0" w:oddVBand="0" w:evenVBand="0" w:oddHBand="0" w:evenHBand="1" w:firstRowFirstColumn="0" w:firstRowLastColumn="0" w:lastRowFirstColumn="0" w:lastRowLastColumn="0"/>
        </w:trPr>
        <w:tc>
          <w:tcPr>
            <w:tcW w:w="2692" w:type="pct"/>
          </w:tcPr>
          <w:p w14:paraId="631968C9" w14:textId="7BD1C753" w:rsidR="000E5E4E" w:rsidRPr="00B26C3D" w:rsidRDefault="000E5E4E" w:rsidP="000E5E4E">
            <w:r w:rsidRPr="005965A3">
              <w:rPr>
                <w:lang w:eastAsia="en-AU"/>
              </w:rPr>
              <w:t>Professionals</w:t>
            </w:r>
          </w:p>
        </w:tc>
        <w:tc>
          <w:tcPr>
            <w:tcW w:w="1198" w:type="pct"/>
          </w:tcPr>
          <w:p w14:paraId="60D5D277" w14:textId="4B9B182A" w:rsidR="000E5E4E" w:rsidRPr="00B26C3D" w:rsidRDefault="000E5E4E" w:rsidP="000E5E4E">
            <w:pPr>
              <w:jc w:val="right"/>
            </w:pPr>
            <w:r w:rsidRPr="005965A3">
              <w:t>55</w:t>
            </w:r>
          </w:p>
        </w:tc>
        <w:tc>
          <w:tcPr>
            <w:tcW w:w="1110" w:type="pct"/>
          </w:tcPr>
          <w:p w14:paraId="05F80B35" w14:textId="10E39885" w:rsidR="000E5E4E" w:rsidRPr="00B26C3D" w:rsidRDefault="000E5E4E" w:rsidP="000E5E4E">
            <w:pPr>
              <w:jc w:val="right"/>
            </w:pPr>
            <w:r w:rsidRPr="005965A3">
              <w:t>40</w:t>
            </w:r>
          </w:p>
        </w:tc>
      </w:tr>
      <w:tr w:rsidR="000E5E4E" w:rsidRPr="00B26C3D" w14:paraId="2B3C0B2A" w14:textId="77777777" w:rsidTr="0057025F">
        <w:tc>
          <w:tcPr>
            <w:tcW w:w="2692" w:type="pct"/>
          </w:tcPr>
          <w:p w14:paraId="6E94FA05" w14:textId="02069934" w:rsidR="000E5E4E" w:rsidRPr="00B26C3D" w:rsidRDefault="000E5E4E" w:rsidP="000E5E4E">
            <w:r w:rsidRPr="005965A3">
              <w:rPr>
                <w:lang w:eastAsia="en-AU"/>
              </w:rPr>
              <w:t>Technicians and Trades Workers</w:t>
            </w:r>
          </w:p>
        </w:tc>
        <w:tc>
          <w:tcPr>
            <w:tcW w:w="1198" w:type="pct"/>
          </w:tcPr>
          <w:p w14:paraId="64487BB0" w14:textId="19A02C1C" w:rsidR="000E5E4E" w:rsidRPr="00B26C3D" w:rsidRDefault="000E5E4E" w:rsidP="000E5E4E">
            <w:pPr>
              <w:jc w:val="right"/>
            </w:pPr>
            <w:r w:rsidRPr="005965A3">
              <w:t>67</w:t>
            </w:r>
          </w:p>
        </w:tc>
        <w:tc>
          <w:tcPr>
            <w:tcW w:w="1110" w:type="pct"/>
          </w:tcPr>
          <w:p w14:paraId="4BBE021A" w14:textId="276E18FE" w:rsidR="000E5E4E" w:rsidRPr="00B26C3D" w:rsidRDefault="000E5E4E" w:rsidP="000E5E4E">
            <w:pPr>
              <w:jc w:val="right"/>
            </w:pPr>
            <w:r w:rsidRPr="005965A3">
              <w:t>49</w:t>
            </w:r>
          </w:p>
        </w:tc>
      </w:tr>
      <w:tr w:rsidR="000E5E4E" w:rsidRPr="00B26C3D" w14:paraId="088BFEBE" w14:textId="77777777" w:rsidTr="0057025F">
        <w:trPr>
          <w:cnfStyle w:val="000000010000" w:firstRow="0" w:lastRow="0" w:firstColumn="0" w:lastColumn="0" w:oddVBand="0" w:evenVBand="0" w:oddHBand="0" w:evenHBand="1" w:firstRowFirstColumn="0" w:firstRowLastColumn="0" w:lastRowFirstColumn="0" w:lastRowLastColumn="0"/>
        </w:trPr>
        <w:tc>
          <w:tcPr>
            <w:tcW w:w="2692" w:type="pct"/>
          </w:tcPr>
          <w:p w14:paraId="39852406" w14:textId="1A9DFA41" w:rsidR="000E5E4E" w:rsidRPr="00B26C3D" w:rsidRDefault="000E5E4E" w:rsidP="000E5E4E">
            <w:r w:rsidRPr="005965A3">
              <w:rPr>
                <w:lang w:eastAsia="en-AU"/>
              </w:rPr>
              <w:t>Community and Personal Service Workers</w:t>
            </w:r>
          </w:p>
        </w:tc>
        <w:tc>
          <w:tcPr>
            <w:tcW w:w="1198" w:type="pct"/>
          </w:tcPr>
          <w:p w14:paraId="43C3C4E2" w14:textId="25C731C8" w:rsidR="000E5E4E" w:rsidRPr="00B26C3D" w:rsidRDefault="000E5E4E" w:rsidP="000E5E4E">
            <w:pPr>
              <w:jc w:val="right"/>
            </w:pPr>
            <w:r w:rsidRPr="005965A3">
              <w:t>4</w:t>
            </w:r>
          </w:p>
        </w:tc>
        <w:tc>
          <w:tcPr>
            <w:tcW w:w="1110" w:type="pct"/>
          </w:tcPr>
          <w:p w14:paraId="4864EF9D" w14:textId="1975BEF4" w:rsidR="000E5E4E" w:rsidRPr="00B26C3D" w:rsidRDefault="000E5E4E" w:rsidP="000E5E4E">
            <w:pPr>
              <w:jc w:val="right"/>
            </w:pPr>
            <w:r w:rsidRPr="005965A3">
              <w:t>3</w:t>
            </w:r>
          </w:p>
        </w:tc>
      </w:tr>
      <w:tr w:rsidR="000E5E4E" w:rsidRPr="00B26C3D" w14:paraId="5E870068" w14:textId="77777777" w:rsidTr="0057025F">
        <w:tc>
          <w:tcPr>
            <w:tcW w:w="2692" w:type="pct"/>
          </w:tcPr>
          <w:p w14:paraId="7DB8793D" w14:textId="7AC6DB8C" w:rsidR="000E5E4E" w:rsidRPr="00B26C3D" w:rsidRDefault="000E5E4E" w:rsidP="000E5E4E">
            <w:r w:rsidRPr="005965A3">
              <w:rPr>
                <w:lang w:eastAsia="en-AU"/>
              </w:rPr>
              <w:t>Machinery Operators and Drivers</w:t>
            </w:r>
          </w:p>
        </w:tc>
        <w:tc>
          <w:tcPr>
            <w:tcW w:w="1198" w:type="pct"/>
          </w:tcPr>
          <w:p w14:paraId="29101E89" w14:textId="1BB6E25B" w:rsidR="000E5E4E" w:rsidRPr="00B26C3D" w:rsidRDefault="000E5E4E" w:rsidP="000E5E4E">
            <w:pPr>
              <w:jc w:val="right"/>
            </w:pPr>
            <w:r w:rsidRPr="005965A3">
              <w:t>7</w:t>
            </w:r>
          </w:p>
        </w:tc>
        <w:tc>
          <w:tcPr>
            <w:tcW w:w="1110" w:type="pct"/>
          </w:tcPr>
          <w:p w14:paraId="6A702D88" w14:textId="44A28A04" w:rsidR="000E5E4E" w:rsidRPr="00B26C3D" w:rsidRDefault="000E5E4E" w:rsidP="000E5E4E">
            <w:pPr>
              <w:jc w:val="right"/>
            </w:pPr>
            <w:r w:rsidRPr="005965A3">
              <w:t>5</w:t>
            </w:r>
          </w:p>
        </w:tc>
      </w:tr>
      <w:tr w:rsidR="000E5E4E" w:rsidRPr="00B26C3D" w14:paraId="0290F756" w14:textId="77777777" w:rsidTr="0057025F">
        <w:trPr>
          <w:cnfStyle w:val="000000010000" w:firstRow="0" w:lastRow="0" w:firstColumn="0" w:lastColumn="0" w:oddVBand="0" w:evenVBand="0" w:oddHBand="0" w:evenHBand="1" w:firstRowFirstColumn="0" w:firstRowLastColumn="0" w:lastRowFirstColumn="0" w:lastRowLastColumn="0"/>
        </w:trPr>
        <w:tc>
          <w:tcPr>
            <w:tcW w:w="2692" w:type="pct"/>
          </w:tcPr>
          <w:p w14:paraId="7C277B28" w14:textId="46E3978C" w:rsidR="000E5E4E" w:rsidRPr="00B26C3D" w:rsidRDefault="000E5E4E" w:rsidP="000E5E4E">
            <w:r w:rsidRPr="005965A3">
              <w:rPr>
                <w:b/>
                <w:bCs/>
                <w:lang w:eastAsia="en-AU"/>
              </w:rPr>
              <w:t>All occupations</w:t>
            </w:r>
          </w:p>
        </w:tc>
        <w:tc>
          <w:tcPr>
            <w:tcW w:w="1198" w:type="pct"/>
          </w:tcPr>
          <w:p w14:paraId="11ACA485" w14:textId="55F6421A" w:rsidR="000E5E4E" w:rsidRPr="00B26C3D" w:rsidRDefault="000E5E4E" w:rsidP="000E5E4E">
            <w:pPr>
              <w:jc w:val="right"/>
            </w:pPr>
            <w:r w:rsidRPr="005965A3">
              <w:rPr>
                <w:b/>
                <w:bCs/>
              </w:rPr>
              <w:t>136</w:t>
            </w:r>
          </w:p>
        </w:tc>
        <w:tc>
          <w:tcPr>
            <w:tcW w:w="1110" w:type="pct"/>
          </w:tcPr>
          <w:p w14:paraId="273046E1" w14:textId="77E2D3F5" w:rsidR="000E5E4E" w:rsidRPr="00B26C3D" w:rsidRDefault="000E5E4E" w:rsidP="000E5E4E">
            <w:pPr>
              <w:jc w:val="right"/>
            </w:pPr>
            <w:r w:rsidRPr="005965A3">
              <w:rPr>
                <w:b/>
                <w:bCs/>
              </w:rPr>
              <w:t>100</w:t>
            </w:r>
          </w:p>
        </w:tc>
      </w:tr>
    </w:tbl>
    <w:p w14:paraId="157047CA" w14:textId="40D1BD4C" w:rsidR="004623AF" w:rsidRDefault="004623AF" w:rsidP="00235EA8">
      <w:pPr>
        <w:pStyle w:val="Source"/>
        <w:rPr>
          <w:rFonts w:eastAsiaTheme="minorEastAsia"/>
        </w:rPr>
      </w:pPr>
      <w:r w:rsidRPr="00705D81">
        <w:t xml:space="preserve">Source: Jobs and Skills Australia, </w:t>
      </w:r>
      <w:r>
        <w:t xml:space="preserve">Occupation </w:t>
      </w:r>
      <w:r w:rsidRPr="00235EA8">
        <w:t>Shortage List,</w:t>
      </w:r>
      <w:r w:rsidRPr="00705D81">
        <w:t xml:space="preserve"> </w:t>
      </w:r>
      <w:r>
        <w:t>2021</w:t>
      </w:r>
      <w:r w:rsidR="000C6347">
        <w:t>–24</w:t>
      </w:r>
      <w:r>
        <w:t>.</w:t>
      </w:r>
    </w:p>
    <w:p w14:paraId="2DA26E48" w14:textId="6E2B11CB" w:rsidR="00E70D25" w:rsidRDefault="00A5192B" w:rsidP="006B1B6E">
      <w:r>
        <w:t>There</w:t>
      </w:r>
      <w:r w:rsidR="00AE2868">
        <w:t xml:space="preserve"> were </w:t>
      </w:r>
      <w:r w:rsidR="009A1F9E">
        <w:t>1</w:t>
      </w:r>
      <w:r w:rsidR="002071B8">
        <w:t>36</w:t>
      </w:r>
      <w:r w:rsidR="00E70D25" w:rsidRPr="26A0F421">
        <w:t xml:space="preserve"> occupations in </w:t>
      </w:r>
      <w:r w:rsidR="00AD6D00">
        <w:t xml:space="preserve">persistent </w:t>
      </w:r>
      <w:r w:rsidR="006A7B29">
        <w:t>S</w:t>
      </w:r>
      <w:r w:rsidR="006A7B29" w:rsidRPr="005965A3">
        <w:t>hortage</w:t>
      </w:r>
      <w:r w:rsidR="00E70D25" w:rsidRPr="26A0F421">
        <w:t xml:space="preserve"> </w:t>
      </w:r>
      <w:r w:rsidR="00AD6D00">
        <w:t xml:space="preserve">from 2021 to 2024 </w:t>
      </w:r>
      <w:r w:rsidR="00E70D25" w:rsidRPr="26A0F421">
        <w:t>(</w:t>
      </w:r>
      <w:r w:rsidR="00346F80">
        <w:fldChar w:fldCharType="begin"/>
      </w:r>
      <w:r w:rsidR="00346F80">
        <w:instrText xml:space="preserve"> REF _Ref175139005 \h </w:instrText>
      </w:r>
      <w:r w:rsidR="007E1027">
        <w:instrText xml:space="preserve"> \* MERGEFORMAT </w:instrText>
      </w:r>
      <w:r w:rsidR="00346F80">
        <w:fldChar w:fldCharType="separate"/>
      </w:r>
      <w:r w:rsidR="00A35392">
        <w:t xml:space="preserve">Table </w:t>
      </w:r>
      <w:r w:rsidR="00A35392">
        <w:rPr>
          <w:noProof/>
        </w:rPr>
        <w:t>2</w:t>
      </w:r>
      <w:r w:rsidR="00346F80">
        <w:fldChar w:fldCharType="end"/>
      </w:r>
      <w:r w:rsidR="00E70D25" w:rsidRPr="26A0F421">
        <w:t>).</w:t>
      </w:r>
      <w:r w:rsidR="00A950C3">
        <w:rPr>
          <w:rStyle w:val="FootnoteReference"/>
        </w:rPr>
        <w:footnoteReference w:id="23"/>
      </w:r>
      <w:r w:rsidR="00E70D25" w:rsidRPr="26A0F421">
        <w:t xml:space="preserve"> </w:t>
      </w:r>
      <w:r w:rsidR="00441CBB">
        <w:t>Of</w:t>
      </w:r>
      <w:r w:rsidR="00441CBB" w:rsidRPr="26A0F421">
        <w:t xml:space="preserve"> </w:t>
      </w:r>
      <w:r w:rsidR="00E70D25" w:rsidRPr="26A0F421">
        <w:t>these</w:t>
      </w:r>
      <w:r w:rsidR="00441CBB">
        <w:t>,</w:t>
      </w:r>
      <w:r w:rsidR="00E70D25" w:rsidRPr="26A0F421">
        <w:t xml:space="preserve"> </w:t>
      </w:r>
      <w:r w:rsidR="0094660B">
        <w:t>49</w:t>
      </w:r>
      <w:r w:rsidR="00754AAF" w:rsidRPr="26A0F421">
        <w:t>% (</w:t>
      </w:r>
      <w:r w:rsidR="00754AAF">
        <w:t>6</w:t>
      </w:r>
      <w:r w:rsidR="0094660B">
        <w:t>7</w:t>
      </w:r>
      <w:r w:rsidR="00754AAF" w:rsidRPr="26A0F421">
        <w:t xml:space="preserve"> out of </w:t>
      </w:r>
      <w:r w:rsidR="00754AAF">
        <w:t>1</w:t>
      </w:r>
      <w:r w:rsidR="0094660B">
        <w:t>36</w:t>
      </w:r>
      <w:r w:rsidR="00754AAF" w:rsidRPr="26A0F421">
        <w:t>)</w:t>
      </w:r>
      <w:r w:rsidR="00754AAF">
        <w:t xml:space="preserve"> </w:t>
      </w:r>
      <w:r w:rsidR="0041251F">
        <w:t>were</w:t>
      </w:r>
      <w:r w:rsidR="00D648E0">
        <w:t xml:space="preserve"> in the </w:t>
      </w:r>
      <w:r w:rsidR="00D648E0" w:rsidRPr="26A0F421">
        <w:t xml:space="preserve">Technicians and Trades Workers </w:t>
      </w:r>
      <w:r w:rsidR="00D648E0">
        <w:t>major group</w:t>
      </w:r>
      <w:r w:rsidR="009867F6">
        <w:t xml:space="preserve">, while </w:t>
      </w:r>
      <w:r w:rsidR="00693F36">
        <w:t xml:space="preserve">occupations in </w:t>
      </w:r>
      <w:r w:rsidR="0072388D">
        <w:t xml:space="preserve">the </w:t>
      </w:r>
      <w:r w:rsidR="00E70D25" w:rsidRPr="26A0F421">
        <w:t xml:space="preserve">Professionals </w:t>
      </w:r>
      <w:r w:rsidR="0072388D">
        <w:t xml:space="preserve">major group </w:t>
      </w:r>
      <w:r w:rsidR="00E70D25" w:rsidRPr="26A0F421">
        <w:t xml:space="preserve">made up </w:t>
      </w:r>
      <w:r w:rsidR="00555FC5">
        <w:t>40</w:t>
      </w:r>
      <w:r w:rsidR="00E70D25" w:rsidRPr="26A0F421">
        <w:t>% (</w:t>
      </w:r>
      <w:r w:rsidR="00555FC5">
        <w:t>55</w:t>
      </w:r>
      <w:r w:rsidR="0054722B">
        <w:t xml:space="preserve"> out of 136</w:t>
      </w:r>
      <w:r w:rsidR="00E70D25" w:rsidRPr="26A0F421">
        <w:t>).</w:t>
      </w:r>
      <w:r w:rsidR="00E70D25" w:rsidRPr="26A0F421">
        <w:rPr>
          <w:rStyle w:val="FootnoteReference"/>
          <w:rFonts w:asciiTheme="minorHAnsi" w:eastAsiaTheme="minorEastAsia" w:hAnsiTheme="minorHAnsi"/>
        </w:rPr>
        <w:footnoteReference w:id="24"/>
      </w:r>
    </w:p>
    <w:p w14:paraId="586A49C2" w14:textId="18C203DF" w:rsidR="00F13962" w:rsidRDefault="0064689C" w:rsidP="00173854">
      <w:r w:rsidRPr="00ED3832">
        <w:fldChar w:fldCharType="begin"/>
      </w:r>
      <w:r w:rsidRPr="00ED3832">
        <w:instrText xml:space="preserve"> REF _Ref176192474 \h </w:instrText>
      </w:r>
      <w:r w:rsidR="00ED3832" w:rsidRPr="00ED3832">
        <w:instrText xml:space="preserve"> \* MERGEFORMAT </w:instrText>
      </w:r>
      <w:r w:rsidRPr="00ED3832">
        <w:fldChar w:fldCharType="separate"/>
      </w:r>
      <w:r w:rsidR="00A35392">
        <w:t>Figure 7</w:t>
      </w:r>
      <w:r w:rsidRPr="00ED3832">
        <w:fldChar w:fldCharType="end"/>
      </w:r>
      <w:r w:rsidRPr="00ED3832">
        <w:t xml:space="preserve"> </w:t>
      </w:r>
      <w:r w:rsidR="007E4240">
        <w:t xml:space="preserve">presents </w:t>
      </w:r>
      <w:r w:rsidR="00440AB2">
        <w:t>the</w:t>
      </w:r>
      <w:r w:rsidR="00E70D25">
        <w:t xml:space="preserve"> percentage of occupations in </w:t>
      </w:r>
      <w:r w:rsidR="003F7F63">
        <w:t>Shortage</w:t>
      </w:r>
      <w:r w:rsidR="00CC7A09" w:rsidRPr="005965A3">
        <w:t xml:space="preserve"> </w:t>
      </w:r>
      <w:r w:rsidR="00E70D25">
        <w:t>by major group</w:t>
      </w:r>
      <w:r w:rsidR="007C158B">
        <w:t xml:space="preserve"> over time</w:t>
      </w:r>
      <w:r w:rsidR="00E70D25">
        <w:t xml:space="preserve">. </w:t>
      </w:r>
    </w:p>
    <w:p w14:paraId="73F25E78" w14:textId="79317A4E" w:rsidR="00055E36" w:rsidRDefault="008B4232" w:rsidP="00235EA8">
      <w:r>
        <w:t xml:space="preserve">In 2024, </w:t>
      </w:r>
      <w:r w:rsidR="00FB7A11">
        <w:t>Professionals</w:t>
      </w:r>
      <w:r w:rsidR="00D43EFB">
        <w:t xml:space="preserve"> (</w:t>
      </w:r>
      <w:r w:rsidR="00835F05">
        <w:t>4</w:t>
      </w:r>
      <w:r w:rsidR="00D43EFB">
        <w:t>5%)</w:t>
      </w:r>
      <w:r w:rsidR="00FB7A11">
        <w:t xml:space="preserve"> and Technicians and Trades Workers</w:t>
      </w:r>
      <w:r w:rsidR="00D43EFB">
        <w:t xml:space="preserve"> (</w:t>
      </w:r>
      <w:r w:rsidR="00835F05">
        <w:t>5</w:t>
      </w:r>
      <w:r w:rsidR="005928C1">
        <w:t>0</w:t>
      </w:r>
      <w:r w:rsidR="00D43EFB">
        <w:t>%)</w:t>
      </w:r>
      <w:r w:rsidR="00FB7A11">
        <w:t xml:space="preserve"> major groups </w:t>
      </w:r>
      <w:r w:rsidR="00B74779">
        <w:t xml:space="preserve">had the highest percentage of occupations in </w:t>
      </w:r>
      <w:r w:rsidR="00CC7A09">
        <w:t>S</w:t>
      </w:r>
      <w:r w:rsidR="00CC7A09" w:rsidRPr="005965A3">
        <w:t>hortage</w:t>
      </w:r>
      <w:r w:rsidR="00992DCB" w:rsidRPr="005965A3">
        <w:t>.</w:t>
      </w:r>
      <w:r w:rsidR="008F0A13">
        <w:t xml:space="preserve"> </w:t>
      </w:r>
      <w:proofErr w:type="gramStart"/>
      <w:r w:rsidR="003F4FBD">
        <w:t>Similar to</w:t>
      </w:r>
      <w:proofErr w:type="gramEnd"/>
      <w:r w:rsidR="003F4FBD">
        <w:t xml:space="preserve"> 2023, t</w:t>
      </w:r>
      <w:r w:rsidR="00B53895">
        <w:t xml:space="preserve">here </w:t>
      </w:r>
      <w:r w:rsidR="00641B17">
        <w:t>were</w:t>
      </w:r>
      <w:r w:rsidR="00B53895">
        <w:t xml:space="preserve"> no </w:t>
      </w:r>
      <w:r w:rsidR="00856A5D">
        <w:t xml:space="preserve">occupations in </w:t>
      </w:r>
      <w:r w:rsidR="00181767">
        <w:t>S</w:t>
      </w:r>
      <w:r w:rsidR="00B53895" w:rsidRPr="005965A3">
        <w:t>hortage</w:t>
      </w:r>
      <w:r w:rsidR="00181767">
        <w:t xml:space="preserve"> </w:t>
      </w:r>
      <w:r w:rsidR="00B53895" w:rsidRPr="005965A3">
        <w:t xml:space="preserve">in </w:t>
      </w:r>
      <w:r w:rsidR="00641B17">
        <w:t>the</w:t>
      </w:r>
      <w:r w:rsidR="00B53895">
        <w:t xml:space="preserve"> Sales Workers major group. </w:t>
      </w:r>
    </w:p>
    <w:p w14:paraId="03190C81" w14:textId="5048987D" w:rsidR="00E70D25" w:rsidRDefault="00B95367" w:rsidP="0001562E">
      <w:r>
        <w:t xml:space="preserve">The </w:t>
      </w:r>
      <w:r w:rsidR="00C157A9">
        <w:t xml:space="preserve">change </w:t>
      </w:r>
      <w:r>
        <w:t xml:space="preserve">from 36% </w:t>
      </w:r>
      <w:r w:rsidR="00467EDF">
        <w:t xml:space="preserve">of </w:t>
      </w:r>
      <w:r w:rsidR="00194E54">
        <w:t xml:space="preserve">occupations in </w:t>
      </w:r>
      <w:r w:rsidR="00A8615E">
        <w:t>S</w:t>
      </w:r>
      <w:r w:rsidR="00A8615E" w:rsidRPr="005965A3">
        <w:t xml:space="preserve">hortage </w:t>
      </w:r>
      <w:r w:rsidR="00194E54">
        <w:t xml:space="preserve">in 2023 </w:t>
      </w:r>
      <w:r w:rsidR="000040BC">
        <w:t xml:space="preserve">to </w:t>
      </w:r>
      <w:r w:rsidR="00194E54">
        <w:t>3</w:t>
      </w:r>
      <w:r w:rsidR="005928C1">
        <w:t>3</w:t>
      </w:r>
      <w:r w:rsidR="00194E54">
        <w:t xml:space="preserve">% in 2024, was </w:t>
      </w:r>
      <w:r w:rsidR="00320AF1">
        <w:t xml:space="preserve">largely </w:t>
      </w:r>
      <w:r w:rsidR="00185B3B">
        <w:t xml:space="preserve">driven by </w:t>
      </w:r>
      <w:r w:rsidR="000C510C">
        <w:t xml:space="preserve">occupations </w:t>
      </w:r>
      <w:r w:rsidR="004F6261">
        <w:t xml:space="preserve">no longer </w:t>
      </w:r>
      <w:r w:rsidR="000C510C">
        <w:t xml:space="preserve">in </w:t>
      </w:r>
      <w:r w:rsidR="00A8615E">
        <w:t>S</w:t>
      </w:r>
      <w:r w:rsidR="00A8615E" w:rsidRPr="005965A3">
        <w:t xml:space="preserve">hortage </w:t>
      </w:r>
      <w:r w:rsidR="00F216D8">
        <w:t xml:space="preserve">within </w:t>
      </w:r>
      <w:r w:rsidR="007D35D7">
        <w:t xml:space="preserve">the </w:t>
      </w:r>
      <w:r w:rsidR="00986E39">
        <w:t xml:space="preserve">Machinery Operators and Drivers </w:t>
      </w:r>
      <w:r w:rsidR="00E63C2F">
        <w:t xml:space="preserve">and Labourers </w:t>
      </w:r>
      <w:r w:rsidR="007D35D7">
        <w:t>major groups.</w:t>
      </w:r>
      <w:r w:rsidR="00990FCA">
        <w:t xml:space="preserve"> </w:t>
      </w:r>
      <w:r w:rsidR="004F6261">
        <w:t xml:space="preserve">There were </w:t>
      </w:r>
      <w:r w:rsidR="00483053">
        <w:t>1</w:t>
      </w:r>
      <w:r w:rsidR="005928C1">
        <w:t>0</w:t>
      </w:r>
      <w:r w:rsidR="00483053">
        <w:t xml:space="preserve"> percentage points</w:t>
      </w:r>
      <w:r w:rsidR="00A0332D">
        <w:t xml:space="preserve"> and </w:t>
      </w:r>
      <w:r w:rsidR="00483053">
        <w:t>1</w:t>
      </w:r>
      <w:r w:rsidR="00E63C2F">
        <w:t>8</w:t>
      </w:r>
      <w:r w:rsidR="00483053">
        <w:t xml:space="preserve"> percentage points</w:t>
      </w:r>
      <w:r w:rsidR="00A0332D">
        <w:t xml:space="preserve"> </w:t>
      </w:r>
      <w:r w:rsidR="0011119D">
        <w:t xml:space="preserve">fewer </w:t>
      </w:r>
      <w:r w:rsidR="00A0332D">
        <w:t xml:space="preserve">occupations in </w:t>
      </w:r>
      <w:r w:rsidR="00F2786A">
        <w:t>S</w:t>
      </w:r>
      <w:r w:rsidR="00F2786A" w:rsidRPr="005965A3">
        <w:t xml:space="preserve">hortage </w:t>
      </w:r>
      <w:r w:rsidR="00E2281C">
        <w:t>in these major groups</w:t>
      </w:r>
      <w:r w:rsidR="00A0332D">
        <w:t>, respectively.</w:t>
      </w:r>
    </w:p>
    <w:p w14:paraId="511E63B3" w14:textId="590AC470" w:rsidR="00396523" w:rsidRDefault="00727389" w:rsidP="00235EA8">
      <w:pPr>
        <w:pStyle w:val="Caption"/>
      </w:pPr>
      <w:bookmarkStart w:id="37" w:name="_Ref176192474"/>
      <w:bookmarkStart w:id="38" w:name="_Ref175139098"/>
      <w:bookmarkStart w:id="39" w:name="_Toc180136414"/>
      <w:r>
        <w:lastRenderedPageBreak/>
        <w:t xml:space="preserve">Figure </w:t>
      </w:r>
      <w:r>
        <w:fldChar w:fldCharType="begin"/>
      </w:r>
      <w:r>
        <w:instrText xml:space="preserve"> SEQ Figure \* ARABIC </w:instrText>
      </w:r>
      <w:r>
        <w:fldChar w:fldCharType="separate"/>
      </w:r>
      <w:r w:rsidR="00A35392">
        <w:rPr>
          <w:noProof/>
        </w:rPr>
        <w:t>7</w:t>
      </w:r>
      <w:r>
        <w:rPr>
          <w:noProof/>
        </w:rPr>
        <w:fldChar w:fldCharType="end"/>
      </w:r>
      <w:bookmarkEnd w:id="37"/>
      <w:r w:rsidR="0064689C">
        <w:t>:</w:t>
      </w:r>
      <w:bookmarkEnd w:id="38"/>
      <w:r w:rsidR="00E70D25">
        <w:t xml:space="preserve"> </w:t>
      </w:r>
      <w:r w:rsidR="00206184">
        <w:t xml:space="preserve">Percentage </w:t>
      </w:r>
      <w:r w:rsidR="00F41C5A">
        <w:t>of o</w:t>
      </w:r>
      <w:r w:rsidR="00F41C5A" w:rsidRPr="5C00F0B1">
        <w:t xml:space="preserve">ccupations </w:t>
      </w:r>
      <w:r w:rsidR="00E70D25" w:rsidRPr="5C00F0B1">
        <w:t xml:space="preserve">in </w:t>
      </w:r>
      <w:r w:rsidR="00A76F46">
        <w:t>S</w:t>
      </w:r>
      <w:r w:rsidR="00A76F46" w:rsidRPr="005965A3">
        <w:t xml:space="preserve">hortage </w:t>
      </w:r>
      <w:r w:rsidR="00A06E30">
        <w:t>(%)</w:t>
      </w:r>
      <w:r w:rsidR="7D692590">
        <w:t>,</w:t>
      </w:r>
      <w:r w:rsidR="00A06E30">
        <w:t xml:space="preserve"> </w:t>
      </w:r>
      <w:r w:rsidR="00A8299F">
        <w:t>by major group</w:t>
      </w:r>
      <w:r w:rsidR="00F41C5A">
        <w:t>,</w:t>
      </w:r>
      <w:r w:rsidR="00E70D25" w:rsidRPr="5C00F0B1">
        <w:t xml:space="preserve"> 202</w:t>
      </w:r>
      <w:r w:rsidR="00E70D25">
        <w:t>1</w:t>
      </w:r>
      <w:r w:rsidR="00BB63B8" w:rsidRPr="009A27F0">
        <w:t>–</w:t>
      </w:r>
      <w:r w:rsidR="00BB63B8" w:rsidRPr="00705D81">
        <w:t>2</w:t>
      </w:r>
      <w:r w:rsidR="00BB63B8">
        <w:t>4</w:t>
      </w:r>
      <w:bookmarkEnd w:id="39"/>
    </w:p>
    <w:p w14:paraId="730173D9" w14:textId="5C9444DD" w:rsidR="00E70D25" w:rsidRPr="00235EA8" w:rsidRDefault="00120509" w:rsidP="00235EA8">
      <w:pPr>
        <w:pStyle w:val="Source"/>
      </w:pPr>
      <w:r>
        <w:rPr>
          <w:noProof/>
        </w:rPr>
        <w:drawing>
          <wp:inline distT="0" distB="0" distL="0" distR="0" wp14:anchorId="4C27FDEC" wp14:editId="43297827">
            <wp:extent cx="5731510" cy="3067200"/>
            <wp:effectExtent l="0" t="0" r="2540" b="0"/>
            <wp:docPr id="2115838741" name="Chart 1" descr="Figure 7 shows shortages in 2024 were most pronounced in the Technicians and Trades Workers category, with 50% of these occupations assessed as being in shortage. Professionals were close behind, with 45% of these occupations in shortage. Occupations in shortage was also prevalent in Community and Personal Service Workers (24%), Machinery Operators and Drivers (23%), and Labourers (18%).">
              <a:extLst xmlns:a="http://schemas.openxmlformats.org/drawingml/2006/main">
                <a:ext uri="{FF2B5EF4-FFF2-40B4-BE49-F238E27FC236}">
                  <a16:creationId xmlns:a16="http://schemas.microsoft.com/office/drawing/2014/main" id="{78918DFC-B80C-FEB1-7985-B75D5AF862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EE21AC">
        <w:br/>
      </w:r>
      <w:r w:rsidR="00E70D25" w:rsidRPr="00235EA8">
        <w:t>Source: Jobs and Skills Australia, Occupation Shortage List, 2021</w:t>
      </w:r>
      <w:r w:rsidR="000C6347" w:rsidRPr="00235EA8">
        <w:t>–24</w:t>
      </w:r>
      <w:r w:rsidR="00E70D25" w:rsidRPr="00235EA8">
        <w:t>.</w:t>
      </w:r>
    </w:p>
    <w:p w14:paraId="19C63483" w14:textId="4D94BB18" w:rsidR="00E70D25" w:rsidRDefault="00E70D25" w:rsidP="00235EA8">
      <w:r>
        <w:t xml:space="preserve">The above results </w:t>
      </w:r>
      <w:r w:rsidR="000A3C31">
        <w:t xml:space="preserve">indicate </w:t>
      </w:r>
      <w:r>
        <w:t xml:space="preserve">that the easing labour market conditions primarily impacted </w:t>
      </w:r>
      <w:r w:rsidR="003C7C7D">
        <w:t xml:space="preserve">on </w:t>
      </w:r>
      <w:r w:rsidR="00314092">
        <w:t xml:space="preserve">the </w:t>
      </w:r>
      <w:r>
        <w:t xml:space="preserve">major groups </w:t>
      </w:r>
      <w:r w:rsidR="00D93C04">
        <w:t>which ha</w:t>
      </w:r>
      <w:r w:rsidR="00924862">
        <w:t>ve</w:t>
      </w:r>
      <w:r w:rsidR="00D93C04">
        <w:t xml:space="preserve"> </w:t>
      </w:r>
      <w:r>
        <w:t xml:space="preserve">a higher concentration of </w:t>
      </w:r>
      <w:r w:rsidR="007F1AC7">
        <w:t xml:space="preserve">lower </w:t>
      </w:r>
      <w:r w:rsidR="007934FE">
        <w:t>s</w:t>
      </w:r>
      <w:r w:rsidR="007F1AC7" w:rsidRPr="005965A3">
        <w:t>kill</w:t>
      </w:r>
      <w:r w:rsidR="008D5A9C" w:rsidRPr="005965A3">
        <w:t xml:space="preserve"> </w:t>
      </w:r>
      <w:r w:rsidR="007934FE">
        <w:t>l</w:t>
      </w:r>
      <w:r w:rsidR="008D5A9C" w:rsidRPr="005965A3">
        <w:t>evel</w:t>
      </w:r>
      <w:r w:rsidR="007F1AC7">
        <w:t xml:space="preserve"> </w:t>
      </w:r>
      <w:r w:rsidR="0086262D">
        <w:t>occupations</w:t>
      </w:r>
      <w:r>
        <w:t>. The</w:t>
      </w:r>
      <w:r w:rsidR="009C406B">
        <w:t>y</w:t>
      </w:r>
      <w:r>
        <w:t xml:space="preserve"> also </w:t>
      </w:r>
      <w:r w:rsidR="000A3C31">
        <w:t xml:space="preserve">indicate </w:t>
      </w:r>
      <w:r>
        <w:t xml:space="preserve">that challenges remain </w:t>
      </w:r>
      <w:r w:rsidR="006572BC">
        <w:t xml:space="preserve">for </w:t>
      </w:r>
      <w:r>
        <w:t xml:space="preserve">occupations in </w:t>
      </w:r>
      <w:r w:rsidR="000A3C31">
        <w:t xml:space="preserve">the </w:t>
      </w:r>
      <w:r>
        <w:t>Professionals and Technicians and Trades Workers</w:t>
      </w:r>
      <w:r w:rsidR="000A3C31">
        <w:t xml:space="preserve"> major groups</w:t>
      </w:r>
      <w:r w:rsidR="006A12A1">
        <w:t xml:space="preserve">, especially given the </w:t>
      </w:r>
      <w:r w:rsidR="00605B1C">
        <w:t xml:space="preserve">results were highly </w:t>
      </w:r>
      <w:r w:rsidR="003F7BF1">
        <w:t>congruent</w:t>
      </w:r>
      <w:r w:rsidR="00605B1C">
        <w:t xml:space="preserve"> to the 2023 OSL</w:t>
      </w:r>
      <w:r>
        <w:t>.</w:t>
      </w:r>
    </w:p>
    <w:p w14:paraId="0CB55C8B" w14:textId="4C1D6B68" w:rsidR="00E70D25" w:rsidRDefault="004927BD" w:rsidP="00E70D25">
      <w:r>
        <w:t>This is</w:t>
      </w:r>
      <w:r w:rsidR="00BC63E6">
        <w:t xml:space="preserve"> also</w:t>
      </w:r>
      <w:r>
        <w:t xml:space="preserve"> evident in</w:t>
      </w:r>
      <w:r w:rsidR="0064689C">
        <w:t xml:space="preserve"> </w:t>
      </w:r>
      <w:r w:rsidR="0064689C">
        <w:fldChar w:fldCharType="begin"/>
      </w:r>
      <w:r w:rsidR="0064689C">
        <w:instrText xml:space="preserve"> REF _Ref176192592 \h </w:instrText>
      </w:r>
      <w:r w:rsidR="0064689C">
        <w:fldChar w:fldCharType="separate"/>
      </w:r>
      <w:r w:rsidR="00A35392">
        <w:t xml:space="preserve">Figure </w:t>
      </w:r>
      <w:r w:rsidR="00A35392">
        <w:rPr>
          <w:noProof/>
        </w:rPr>
        <w:t>8</w:t>
      </w:r>
      <w:r w:rsidR="0064689C">
        <w:fldChar w:fldCharType="end"/>
      </w:r>
      <w:r w:rsidR="00423BC0">
        <w:t xml:space="preserve">. </w:t>
      </w:r>
      <w:r w:rsidR="00E70D25">
        <w:t>The recruitment difficulty rate</w:t>
      </w:r>
      <w:r w:rsidR="007D7969">
        <w:t>s</w:t>
      </w:r>
      <w:r w:rsidR="00E70D25">
        <w:t xml:space="preserve"> for high</w:t>
      </w:r>
      <w:r w:rsidR="00827D2E">
        <w:t>er</w:t>
      </w:r>
      <w:r w:rsidR="00E70D25">
        <w:t xml:space="preserve"> skilled occupations</w:t>
      </w:r>
      <w:r w:rsidR="00235ADD">
        <w:t xml:space="preserve"> (</w:t>
      </w:r>
      <w:r w:rsidR="00024B3C">
        <w:t>Skill Levels</w:t>
      </w:r>
      <w:r w:rsidR="00235ADD">
        <w:t xml:space="preserve"> 1</w:t>
      </w:r>
      <w:r w:rsidR="005B59AD">
        <w:t>–</w:t>
      </w:r>
      <w:r w:rsidR="00235ADD">
        <w:t>3)</w:t>
      </w:r>
      <w:r w:rsidR="00E70D25">
        <w:t>, while below the peak re</w:t>
      </w:r>
      <w:r w:rsidR="00216021">
        <w:t>corded</w:t>
      </w:r>
      <w:r w:rsidR="00E70D25">
        <w:t xml:space="preserve"> in the second half of 2022, remained </w:t>
      </w:r>
      <w:r w:rsidR="00BF1CA2">
        <w:t xml:space="preserve">mostly </w:t>
      </w:r>
      <w:r w:rsidR="00E70D25">
        <w:t>elevated over 2023 and parts of 2024. In contrast, the recruitment difficulty rate</w:t>
      </w:r>
      <w:r w:rsidR="003F4D61">
        <w:t>s</w:t>
      </w:r>
      <w:r w:rsidR="00E70D25">
        <w:t xml:space="preserve"> for lower skilled</w:t>
      </w:r>
      <w:r w:rsidR="00235ADD">
        <w:t xml:space="preserve"> </w:t>
      </w:r>
      <w:r w:rsidR="00E70D25">
        <w:t>occupations</w:t>
      </w:r>
      <w:r w:rsidR="008B7A3A">
        <w:t xml:space="preserve"> </w:t>
      </w:r>
      <w:r w:rsidR="00024B3C">
        <w:t>(Skill Levels 4</w:t>
      </w:r>
      <w:r w:rsidR="00093A4B">
        <w:t>–</w:t>
      </w:r>
      <w:r w:rsidR="00024B3C">
        <w:t>5) fell</w:t>
      </w:r>
      <w:r w:rsidR="00E70D25">
        <w:t xml:space="preserve"> over </w:t>
      </w:r>
      <w:r w:rsidR="00FC1C23">
        <w:t xml:space="preserve">the same </w:t>
      </w:r>
      <w:r w:rsidR="00BC5CC9">
        <w:t>period</w:t>
      </w:r>
      <w:r w:rsidR="00E70D25">
        <w:t>.</w:t>
      </w:r>
    </w:p>
    <w:p w14:paraId="3FA16C91" w14:textId="0D434AF8" w:rsidR="00D40665" w:rsidRDefault="0064689C" w:rsidP="0064689C">
      <w:pPr>
        <w:pStyle w:val="Caption"/>
      </w:pPr>
      <w:bookmarkStart w:id="40" w:name="_Ref176192592"/>
      <w:bookmarkStart w:id="41" w:name="_Ref176179750"/>
      <w:bookmarkStart w:id="42" w:name="_Toc180136415"/>
      <w:r>
        <w:lastRenderedPageBreak/>
        <w:t xml:space="preserve">Figure </w:t>
      </w:r>
      <w:r>
        <w:fldChar w:fldCharType="begin"/>
      </w:r>
      <w:r>
        <w:instrText xml:space="preserve"> SEQ Figure \* ARABIC </w:instrText>
      </w:r>
      <w:r>
        <w:fldChar w:fldCharType="separate"/>
      </w:r>
      <w:r w:rsidR="00A35392">
        <w:rPr>
          <w:noProof/>
        </w:rPr>
        <w:t>8</w:t>
      </w:r>
      <w:r>
        <w:rPr>
          <w:noProof/>
        </w:rPr>
        <w:fldChar w:fldCharType="end"/>
      </w:r>
      <w:bookmarkEnd w:id="40"/>
      <w:r>
        <w:t xml:space="preserve">: </w:t>
      </w:r>
      <w:bookmarkEnd w:id="41"/>
      <w:r w:rsidR="00D40665" w:rsidRPr="00157B5B">
        <w:t>Recruitment difficulty rate</w:t>
      </w:r>
      <w:r w:rsidR="00D402D4">
        <w:t xml:space="preserve"> (%)</w:t>
      </w:r>
      <w:r w:rsidR="00D40665" w:rsidRPr="00157B5B">
        <w:t xml:space="preserve">, by high and low skilled occupations, </w:t>
      </w:r>
      <w:r w:rsidR="00BB63B8" w:rsidRPr="00705D81">
        <w:t>202</w:t>
      </w:r>
      <w:r w:rsidR="00BB63B8">
        <w:t>1</w:t>
      </w:r>
      <w:r w:rsidR="00BB63B8" w:rsidRPr="009A27F0">
        <w:t>–</w:t>
      </w:r>
      <w:r w:rsidR="00BB63B8" w:rsidRPr="00705D81">
        <w:t>2</w:t>
      </w:r>
      <w:r w:rsidR="00BB63B8">
        <w:t>4</w:t>
      </w:r>
      <w:bookmarkEnd w:id="42"/>
    </w:p>
    <w:p w14:paraId="2ECEBCBC" w14:textId="4C9E1E35" w:rsidR="00D40665" w:rsidRPr="005A0D69" w:rsidRDefault="00D40665" w:rsidP="00456C3C">
      <w:pPr>
        <w:pStyle w:val="Source"/>
      </w:pPr>
      <w:r w:rsidRPr="00470EE9">
        <w:rPr>
          <w:noProof/>
        </w:rPr>
        <w:drawing>
          <wp:inline distT="0" distB="0" distL="0" distR="0" wp14:anchorId="4C2B4BC4" wp14:editId="28F3515A">
            <wp:extent cx="5731510" cy="3067200"/>
            <wp:effectExtent l="0" t="0" r="2540" b="0"/>
            <wp:docPr id="456116218" name="Chart 1" descr="Figure 8 shows the recruitment difficulty rate by higher lower skilled occupations, from 2020-21 to 2023-24 financial years. The recruitment difficulty rates for higher skilled occupations, while below the peak recorded in the second half of 2022, remained elevated over 2023 and parts of 2024, which was observed within the 2024 OSL assessment period. In contrast, the recruitment difficulty rates for the lower skilled occupations have been falling over the same time.">
              <a:extLst xmlns:a="http://schemas.openxmlformats.org/drawingml/2006/main">
                <a:ext uri="{FF2B5EF4-FFF2-40B4-BE49-F238E27FC236}">
                  <a16:creationId xmlns:a16="http://schemas.microsoft.com/office/drawing/2014/main" id="{7DED7268-EDA2-43AA-8559-BAB04069FE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B13F88">
        <w:t xml:space="preserve">Source: Jobs and Skills Australia, </w:t>
      </w:r>
      <w:r w:rsidRPr="00235EA8">
        <w:t>Recruiting Employer Outlook Survey</w:t>
      </w:r>
      <w:r w:rsidR="007448B8">
        <w:t>,</w:t>
      </w:r>
      <w:r w:rsidR="00745EE5">
        <w:t xml:space="preserve"> July</w:t>
      </w:r>
      <w:r w:rsidR="007448B8">
        <w:t xml:space="preserve"> 2024</w:t>
      </w:r>
      <w:r>
        <w:t>.</w:t>
      </w:r>
    </w:p>
    <w:p w14:paraId="66CB3A35" w14:textId="74225A11" w:rsidR="002C0220" w:rsidRDefault="0062465C" w:rsidP="00235EA8">
      <w:r>
        <w:fldChar w:fldCharType="begin"/>
      </w:r>
      <w:r>
        <w:instrText xml:space="preserve"> REF _Ref176192819 \h </w:instrText>
      </w:r>
      <w:r w:rsidR="00544993">
        <w:instrText xml:space="preserve"> \* MERGEFORMAT </w:instrText>
      </w:r>
      <w:r>
        <w:fldChar w:fldCharType="separate"/>
      </w:r>
      <w:r w:rsidR="00A35392">
        <w:t xml:space="preserve">Figure </w:t>
      </w:r>
      <w:r w:rsidR="00A35392">
        <w:rPr>
          <w:noProof/>
        </w:rPr>
        <w:t>9</w:t>
      </w:r>
      <w:r>
        <w:fldChar w:fldCharType="end"/>
      </w:r>
      <w:r>
        <w:t xml:space="preserve"> </w:t>
      </w:r>
      <w:r w:rsidR="00E70D25" w:rsidRPr="3232F98A">
        <w:t xml:space="preserve">shows the percentage of occupations in </w:t>
      </w:r>
      <w:r w:rsidR="00A76F46">
        <w:t>S</w:t>
      </w:r>
      <w:r w:rsidR="00A76F46" w:rsidRPr="005965A3">
        <w:t xml:space="preserve">hortage </w:t>
      </w:r>
      <w:r w:rsidR="00FB57A0">
        <w:t>in the 2024 OSL</w:t>
      </w:r>
      <w:r w:rsidR="00AC6F80">
        <w:t>,</w:t>
      </w:r>
      <w:r w:rsidR="00E70D25">
        <w:t xml:space="preserve"> by S</w:t>
      </w:r>
      <w:r w:rsidR="00E70D25" w:rsidRPr="3232F98A">
        <w:t xml:space="preserve">kill </w:t>
      </w:r>
      <w:r w:rsidR="00E70D25">
        <w:t>L</w:t>
      </w:r>
      <w:r w:rsidR="00E70D25" w:rsidRPr="3232F98A">
        <w:t xml:space="preserve">evels </w:t>
      </w:r>
      <w:r w:rsidR="00951776">
        <w:t>1</w:t>
      </w:r>
      <w:r w:rsidR="00113AD4">
        <w:t> </w:t>
      </w:r>
      <w:r w:rsidR="00951776">
        <w:t>to</w:t>
      </w:r>
      <w:r w:rsidR="00951776" w:rsidDel="00F8064B">
        <w:t> </w:t>
      </w:r>
      <w:r w:rsidR="00E70D25">
        <w:t>4.</w:t>
      </w:r>
      <w:r w:rsidR="00714774" w:rsidRPr="4F498787">
        <w:rPr>
          <w:rStyle w:val="FootnoteReference"/>
          <w:rFonts w:asciiTheme="minorHAnsi" w:hAnsiTheme="minorHAnsi"/>
        </w:rPr>
        <w:footnoteReference w:id="25"/>
      </w:r>
      <w:r w:rsidR="00E70D25">
        <w:t xml:space="preserve"> </w:t>
      </w:r>
      <w:r w:rsidR="00E70D25" w:rsidRPr="1C70F1C6">
        <w:t xml:space="preserve">The results </w:t>
      </w:r>
      <w:r w:rsidR="00E70D25">
        <w:t xml:space="preserve">generally mirror </w:t>
      </w:r>
      <w:r w:rsidR="00B808D6">
        <w:t xml:space="preserve">those </w:t>
      </w:r>
      <w:r w:rsidR="00E70D25">
        <w:t xml:space="preserve">of the occupations </w:t>
      </w:r>
      <w:r w:rsidR="00BB63B8">
        <w:t xml:space="preserve">by major groups </w:t>
      </w:r>
      <w:r w:rsidR="009825EB">
        <w:t>show</w:t>
      </w:r>
      <w:r w:rsidR="0028322B">
        <w:t>n</w:t>
      </w:r>
      <w:r w:rsidR="009825EB">
        <w:t xml:space="preserve"> in </w:t>
      </w:r>
      <w:r w:rsidR="00F054DA">
        <w:fldChar w:fldCharType="begin"/>
      </w:r>
      <w:r w:rsidR="00F054DA">
        <w:instrText xml:space="preserve"> REF _Ref176192474 \h </w:instrText>
      </w:r>
      <w:r w:rsidR="00F054DA">
        <w:fldChar w:fldCharType="separate"/>
      </w:r>
      <w:r w:rsidR="00A35392">
        <w:t xml:space="preserve">Figure </w:t>
      </w:r>
      <w:r w:rsidR="00A35392">
        <w:rPr>
          <w:noProof/>
        </w:rPr>
        <w:t>7</w:t>
      </w:r>
      <w:r w:rsidR="00F054DA">
        <w:fldChar w:fldCharType="end"/>
      </w:r>
      <w:r w:rsidR="00F054DA">
        <w:t>.</w:t>
      </w:r>
    </w:p>
    <w:p w14:paraId="1E0496DC" w14:textId="105A166B" w:rsidR="00A96D19" w:rsidRDefault="00A96D19" w:rsidP="00A96D19">
      <w:r>
        <w:t>C</w:t>
      </w:r>
      <w:r w:rsidRPr="1C70F1C6">
        <w:t xml:space="preserve">ompared to </w:t>
      </w:r>
      <w:r>
        <w:t>2023</w:t>
      </w:r>
      <w:r w:rsidRPr="1C70F1C6">
        <w:t xml:space="preserve">, </w:t>
      </w:r>
      <w:r>
        <w:t xml:space="preserve">the percentage of occupations in </w:t>
      </w:r>
      <w:r w:rsidR="00A76F46">
        <w:t>S</w:t>
      </w:r>
      <w:r w:rsidR="00A76F46" w:rsidRPr="005965A3">
        <w:t xml:space="preserve">hortage </w:t>
      </w:r>
      <w:r>
        <w:t xml:space="preserve">for Skill Level 4 were lower in 2024 by over 7 percentage points; that is, it </w:t>
      </w:r>
      <w:r w:rsidR="00822D0E">
        <w:t xml:space="preserve">fell </w:t>
      </w:r>
      <w:r>
        <w:t>from 23% to 15%</w:t>
      </w:r>
      <w:r w:rsidRPr="1C70F1C6">
        <w:t>.</w:t>
      </w:r>
      <w:r>
        <w:rPr>
          <w:rStyle w:val="FootnoteReference"/>
        </w:rPr>
        <w:footnoteReference w:id="26"/>
      </w:r>
    </w:p>
    <w:p w14:paraId="311C3563" w14:textId="07FC901A" w:rsidR="00A96D19" w:rsidRDefault="00A96D19" w:rsidP="00A96D19">
      <w:r>
        <w:fldChar w:fldCharType="begin"/>
      </w:r>
      <w:r>
        <w:instrText xml:space="preserve"> REF _Ref176192819 \h  \* MERGEFORMAT </w:instrText>
      </w:r>
      <w:r>
        <w:fldChar w:fldCharType="separate"/>
      </w:r>
      <w:r w:rsidR="00A35392">
        <w:t xml:space="preserve">Figure </w:t>
      </w:r>
      <w:r w:rsidR="00A35392">
        <w:rPr>
          <w:noProof/>
        </w:rPr>
        <w:t>9</w:t>
      </w:r>
      <w:r>
        <w:fldChar w:fldCharType="end"/>
      </w:r>
      <w:r>
        <w:t xml:space="preserve"> shows that o</w:t>
      </w:r>
      <w:r w:rsidRPr="1A647D3A">
        <w:t>ccupations with V</w:t>
      </w:r>
      <w:r>
        <w:t xml:space="preserve">ocational Education and Training (VET) </w:t>
      </w:r>
      <w:r w:rsidRPr="1A647D3A">
        <w:t xml:space="preserve">as the primary pathway to the labour market had a large percentage of occupations in </w:t>
      </w:r>
      <w:r w:rsidR="00A76F46">
        <w:t>S</w:t>
      </w:r>
      <w:r w:rsidR="00A76F46" w:rsidRPr="005965A3">
        <w:t>hortage</w:t>
      </w:r>
      <w:r w:rsidRPr="005965A3">
        <w:t>.</w:t>
      </w:r>
      <w:r w:rsidRPr="1A647D3A">
        <w:t xml:space="preserve"> A</w:t>
      </w:r>
      <w:r>
        <w:t xml:space="preserve">bout </w:t>
      </w:r>
      <w:r w:rsidRPr="1A647D3A">
        <w:t>half of Skill Level 3 occupations (</w:t>
      </w:r>
      <w:r>
        <w:t>46</w:t>
      </w:r>
      <w:r w:rsidRPr="1A647D3A">
        <w:t xml:space="preserve">%) – which typically require a Certificate III/IV – were in </w:t>
      </w:r>
      <w:r w:rsidR="00A76F46">
        <w:t>S</w:t>
      </w:r>
      <w:r w:rsidR="00A76F46" w:rsidRPr="005965A3">
        <w:t>hortage</w:t>
      </w:r>
      <w:r w:rsidRPr="005965A3">
        <w:t>.</w:t>
      </w:r>
      <w:r w:rsidRPr="1A647D3A">
        <w:t xml:space="preserve"> </w:t>
      </w:r>
      <w:r>
        <w:t xml:space="preserve">Nearly a quarter of </w:t>
      </w:r>
      <w:r w:rsidRPr="1A647D3A">
        <w:t xml:space="preserve">Skill Level 2 occupations </w:t>
      </w:r>
      <w:r>
        <w:t xml:space="preserve">(24%) </w:t>
      </w:r>
      <w:r w:rsidRPr="1A647D3A">
        <w:t xml:space="preserve">were also in </w:t>
      </w:r>
      <w:r w:rsidR="00A76F46">
        <w:t>S</w:t>
      </w:r>
      <w:r w:rsidR="00A76F46" w:rsidRPr="005965A3">
        <w:t>hortage</w:t>
      </w:r>
      <w:r w:rsidRPr="005965A3">
        <w:t>.</w:t>
      </w:r>
      <w:r w:rsidRPr="1A647D3A">
        <w:t xml:space="preserve"> In addition</w:t>
      </w:r>
      <w:r>
        <w:t>,</w:t>
      </w:r>
      <w:r w:rsidRPr="1A647D3A">
        <w:t xml:space="preserve"> </w:t>
      </w:r>
      <w:r>
        <w:t xml:space="preserve">39% of </w:t>
      </w:r>
      <w:r w:rsidRPr="1A647D3A">
        <w:t xml:space="preserve">Skill Level 1 occupations, which usually require a bachelor’s degree or higher, were in </w:t>
      </w:r>
      <w:r w:rsidR="00A76F46">
        <w:t>S</w:t>
      </w:r>
      <w:r w:rsidR="00A76F46" w:rsidRPr="005965A3">
        <w:t>hortage</w:t>
      </w:r>
      <w:r w:rsidRPr="005965A3">
        <w:t>.</w:t>
      </w:r>
    </w:p>
    <w:p w14:paraId="6988E42D" w14:textId="77777777" w:rsidR="0087708E" w:rsidRDefault="0087708E" w:rsidP="0087708E">
      <w:r>
        <w:t>The results for Skill Levels 1 to 3 were very similar to the 2023 OSL.</w:t>
      </w:r>
    </w:p>
    <w:p w14:paraId="0B196A53" w14:textId="77777777" w:rsidR="00A96D19" w:rsidRDefault="00A96D19" w:rsidP="00235EA8"/>
    <w:p w14:paraId="36E2E7EE" w14:textId="6FF4E2DE" w:rsidR="00157B5B" w:rsidRDefault="0062465C" w:rsidP="0040349B">
      <w:pPr>
        <w:pStyle w:val="Caption"/>
      </w:pPr>
      <w:bookmarkStart w:id="43" w:name="_Ref176192819"/>
      <w:bookmarkStart w:id="44" w:name="_Ref175139211"/>
      <w:bookmarkStart w:id="45" w:name="_Toc180136416"/>
      <w:r>
        <w:lastRenderedPageBreak/>
        <w:t xml:space="preserve">Figure </w:t>
      </w:r>
      <w:r>
        <w:fldChar w:fldCharType="begin"/>
      </w:r>
      <w:r>
        <w:instrText xml:space="preserve"> SEQ Figure \* ARABIC </w:instrText>
      </w:r>
      <w:r>
        <w:fldChar w:fldCharType="separate"/>
      </w:r>
      <w:r w:rsidR="00A35392">
        <w:rPr>
          <w:noProof/>
        </w:rPr>
        <w:t>9</w:t>
      </w:r>
      <w:r>
        <w:rPr>
          <w:noProof/>
        </w:rPr>
        <w:fldChar w:fldCharType="end"/>
      </w:r>
      <w:bookmarkEnd w:id="43"/>
      <w:r>
        <w:t xml:space="preserve">: </w:t>
      </w:r>
      <w:bookmarkEnd w:id="44"/>
      <w:r>
        <w:t xml:space="preserve">Percentage of </w:t>
      </w:r>
      <w:r w:rsidR="0077798C" w:rsidRPr="00705D81">
        <w:t xml:space="preserve">occupations in </w:t>
      </w:r>
      <w:r w:rsidR="007E0E26">
        <w:t>S</w:t>
      </w:r>
      <w:r w:rsidR="007E0E26" w:rsidRPr="005965A3">
        <w:t xml:space="preserve">hortage </w:t>
      </w:r>
      <w:r w:rsidR="009825EB">
        <w:t>(%)</w:t>
      </w:r>
      <w:r w:rsidR="0077798C" w:rsidRPr="00705D81">
        <w:t>, by Skill Level</w:t>
      </w:r>
      <w:r w:rsidR="00BC655A">
        <w:t xml:space="preserve">, </w:t>
      </w:r>
      <w:r w:rsidR="00BC655A" w:rsidRPr="00705D81">
        <w:t>202</w:t>
      </w:r>
      <w:r w:rsidR="00BC655A">
        <w:t>1</w:t>
      </w:r>
      <w:r w:rsidR="00B904D2" w:rsidRPr="009A27F0">
        <w:t>–</w:t>
      </w:r>
      <w:r w:rsidR="00BC655A" w:rsidRPr="00705D81">
        <w:t>2</w:t>
      </w:r>
      <w:r w:rsidR="00BC655A">
        <w:t>4</w:t>
      </w:r>
      <w:bookmarkEnd w:id="45"/>
    </w:p>
    <w:p w14:paraId="26D386DC" w14:textId="4098F8AF" w:rsidR="00E70D25" w:rsidRDefault="00AB12F1" w:rsidP="00235EA8">
      <w:pPr>
        <w:pStyle w:val="Source"/>
      </w:pPr>
      <w:r>
        <w:rPr>
          <w:noProof/>
        </w:rPr>
        <w:drawing>
          <wp:inline distT="0" distB="0" distL="0" distR="0" wp14:anchorId="31E990EB" wp14:editId="7F320D35">
            <wp:extent cx="5731200" cy="3067200"/>
            <wp:effectExtent l="0" t="0" r="3175" b="0"/>
            <wp:docPr id="1890035093" name="Chart 1" descr="Figure 9 shows the percentage of occupations in shortage in 2024 across Skill Levels 1 and 4. Compared to 2023, the percentage of occupations in shortage for Skill Level 4 were lower in 2024 by over 7 percentage points; that is, it went from 23% to 15%. About half of Skill Level 3 occupations (46%) – which typically require a Certificate III/IV – were in shortage. Nearly a quarter of Skill Level 2 occupations (24%) were also in shortage. In addition, 39% of Skill Level 1 occupations, which usually require a bachelor’s degree or higher, were in shortage. ">
              <a:extLst xmlns:a="http://schemas.openxmlformats.org/drawingml/2006/main">
                <a:ext uri="{FF2B5EF4-FFF2-40B4-BE49-F238E27FC236}">
                  <a16:creationId xmlns:a16="http://schemas.microsoft.com/office/drawing/2014/main" id="{F74619C1-E197-C765-2DAD-2EFF7F098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E70D25" w:rsidRPr="001379D2">
        <w:t xml:space="preserve">Source: Jobs and Skills Australia, </w:t>
      </w:r>
      <w:r w:rsidR="00E70D25" w:rsidRPr="00235EA8">
        <w:t>Occupation Shortage List</w:t>
      </w:r>
      <w:r w:rsidR="00E70D25">
        <w:t>,</w:t>
      </w:r>
      <w:r w:rsidR="00E70D25" w:rsidRPr="001379D2">
        <w:t xml:space="preserve"> </w:t>
      </w:r>
      <w:r w:rsidR="00E70D25">
        <w:t>2021</w:t>
      </w:r>
      <w:r w:rsidR="000E6293">
        <w:t>–</w:t>
      </w:r>
      <w:r w:rsidR="000C6347" w:rsidRPr="006F5CB9">
        <w:t>24</w:t>
      </w:r>
      <w:r w:rsidR="00E70D25">
        <w:t>.</w:t>
      </w:r>
    </w:p>
    <w:p w14:paraId="65956781" w14:textId="2927C363" w:rsidR="00E70D25" w:rsidRPr="005965A3" w:rsidRDefault="00E70D25" w:rsidP="00E70D25">
      <w:pPr>
        <w:rPr>
          <w:rFonts w:eastAsia="SimSun"/>
          <w:lang w:eastAsia="en-GB"/>
        </w:rPr>
      </w:pPr>
      <w:r w:rsidRPr="3232F98A">
        <w:t xml:space="preserve">The results </w:t>
      </w:r>
      <w:r>
        <w:t xml:space="preserve">indicate </w:t>
      </w:r>
      <w:r w:rsidRPr="3232F98A">
        <w:t xml:space="preserve">that </w:t>
      </w:r>
      <w:r>
        <w:t xml:space="preserve">there is a large cluster of occupations in </w:t>
      </w:r>
      <w:r w:rsidR="00C351EB">
        <w:t>S</w:t>
      </w:r>
      <w:r w:rsidR="00C351EB" w:rsidRPr="005965A3">
        <w:t xml:space="preserve">hortage </w:t>
      </w:r>
      <w:r>
        <w:t xml:space="preserve">that have </w:t>
      </w:r>
      <w:r w:rsidR="00CE60CF">
        <w:t xml:space="preserve">a </w:t>
      </w:r>
      <w:r>
        <w:t>long lead time</w:t>
      </w:r>
      <w:r w:rsidR="000429E1">
        <w:t xml:space="preserve"> for training</w:t>
      </w:r>
      <w:r>
        <w:t>. That is, there is a long lag before qualified workers can enter the labour market for these occupations. The</w:t>
      </w:r>
      <w:r w:rsidR="000429E1">
        <w:t>se</w:t>
      </w:r>
      <w:r>
        <w:t xml:space="preserve"> outcomes demonstrate the importance of </w:t>
      </w:r>
      <w:r w:rsidRPr="3232F98A">
        <w:t xml:space="preserve">the </w:t>
      </w:r>
      <w:r w:rsidR="008F72BF">
        <w:t xml:space="preserve">VET </w:t>
      </w:r>
      <w:r w:rsidRPr="3232F98A">
        <w:t xml:space="preserve">and higher education sectors in </w:t>
      </w:r>
      <w:r>
        <w:t xml:space="preserve">supporting the pipeline of qualified and skilled workers </w:t>
      </w:r>
      <w:r w:rsidR="00FD2B2C">
        <w:t>in</w:t>
      </w:r>
      <w:r>
        <w:t xml:space="preserve"> the labour market. </w:t>
      </w:r>
    </w:p>
    <w:p w14:paraId="2FB0AFF5" w14:textId="77777777" w:rsidR="00E70D25" w:rsidRPr="004F4714" w:rsidRDefault="00E70D25" w:rsidP="00E70D25">
      <w:r w:rsidRPr="004F4714">
        <w:br w:type="page"/>
      </w:r>
    </w:p>
    <w:p w14:paraId="48169769" w14:textId="77777777" w:rsidR="00E70D25" w:rsidRPr="00E70D25" w:rsidRDefault="00E70D25" w:rsidP="00E70D25">
      <w:pPr>
        <w:pStyle w:val="Heading1"/>
      </w:pPr>
      <w:bookmarkStart w:id="46" w:name="_Toc174355993"/>
      <w:bookmarkStart w:id="47" w:name="_Toc180136436"/>
      <w:r w:rsidRPr="00E70D25">
        <w:lastRenderedPageBreak/>
        <w:t>Additional insights</w:t>
      </w:r>
      <w:bookmarkEnd w:id="46"/>
      <w:bookmarkEnd w:id="47"/>
    </w:p>
    <w:p w14:paraId="25BB600D" w14:textId="757F7053" w:rsidR="00E70D25" w:rsidRPr="00E70D25" w:rsidRDefault="00E70D25" w:rsidP="00E70D25">
      <w:pPr>
        <w:pStyle w:val="Heading2"/>
      </w:pPr>
      <w:bookmarkStart w:id="48" w:name="_Toc174355994"/>
      <w:bookmarkStart w:id="49" w:name="_Toc180136437"/>
      <w:r w:rsidRPr="00E70D25">
        <w:t>Many large employing occupations are in</w:t>
      </w:r>
      <w:r w:rsidR="000A017D">
        <w:t xml:space="preserve"> national</w:t>
      </w:r>
      <w:r w:rsidRPr="00E70D25" w:rsidDel="000A017D">
        <w:t xml:space="preserve"> </w:t>
      </w:r>
      <w:bookmarkEnd w:id="48"/>
      <w:r w:rsidR="007B7913">
        <w:t>S</w:t>
      </w:r>
      <w:r w:rsidR="007B7913" w:rsidRPr="005965A3">
        <w:t>hortage</w:t>
      </w:r>
      <w:bookmarkEnd w:id="49"/>
    </w:p>
    <w:p w14:paraId="2060A273" w14:textId="6229E2DB" w:rsidR="00E70D25" w:rsidRPr="004F4714" w:rsidRDefault="0079762C" w:rsidP="00235EA8">
      <w:r w:rsidRPr="00B01A6F">
        <w:fldChar w:fldCharType="begin"/>
      </w:r>
      <w:r w:rsidRPr="00B01A6F">
        <w:instrText xml:space="preserve"> REF _Ref175151529 \h </w:instrText>
      </w:r>
      <w:r w:rsidR="00B01A6F">
        <w:instrText xml:space="preserve"> \* MERGEFORMAT </w:instrText>
      </w:r>
      <w:r w:rsidRPr="00B01A6F">
        <w:fldChar w:fldCharType="separate"/>
      </w:r>
      <w:r w:rsidR="00A35392">
        <w:t>Table 3</w:t>
      </w:r>
      <w:r w:rsidRPr="00B01A6F">
        <w:fldChar w:fldCharType="end"/>
      </w:r>
      <w:r w:rsidRPr="005965A3">
        <w:t xml:space="preserve"> </w:t>
      </w:r>
      <w:r w:rsidR="009F28D0" w:rsidRPr="005965A3">
        <w:t xml:space="preserve">shows </w:t>
      </w:r>
      <w:r w:rsidR="00E70D25" w:rsidRPr="005965A3">
        <w:t xml:space="preserve">the top 20 largest employing occupations in </w:t>
      </w:r>
      <w:r w:rsidR="007B7913">
        <w:t>S</w:t>
      </w:r>
      <w:r w:rsidR="007B7913" w:rsidRPr="005965A3">
        <w:t xml:space="preserve">hortage </w:t>
      </w:r>
      <w:r w:rsidR="00E70D25" w:rsidRPr="005965A3">
        <w:t xml:space="preserve">in the 2024 OSL. </w:t>
      </w:r>
      <w:r w:rsidR="00C01216" w:rsidRPr="005965A3">
        <w:t xml:space="preserve">They </w:t>
      </w:r>
      <w:r w:rsidR="00E70D25" w:rsidRPr="005965A3">
        <w:t xml:space="preserve">comprise a diverse range of occupations </w:t>
      </w:r>
      <w:r w:rsidR="000A017D" w:rsidRPr="005965A3">
        <w:t xml:space="preserve">with an employment base </w:t>
      </w:r>
      <w:r w:rsidR="00C1278C" w:rsidRPr="005965A3">
        <w:t>across</w:t>
      </w:r>
      <w:r w:rsidR="005F349A" w:rsidRPr="005965A3">
        <w:t xml:space="preserve"> various</w:t>
      </w:r>
      <w:r w:rsidR="00E70D25" w:rsidRPr="005965A3">
        <w:t xml:space="preserve"> sectors, including health, aged care, education, construction, professional </w:t>
      </w:r>
      <w:r w:rsidR="0015491F" w:rsidRPr="005965A3">
        <w:t>and</w:t>
      </w:r>
      <w:r w:rsidR="00E70D25" w:rsidRPr="005965A3">
        <w:t xml:space="preserve"> business services</w:t>
      </w:r>
      <w:r w:rsidR="00E70D25" w:rsidRPr="004F4714">
        <w:t xml:space="preserve">. </w:t>
      </w:r>
    </w:p>
    <w:p w14:paraId="3644D372" w14:textId="40569A10" w:rsidR="00E70D25" w:rsidRDefault="00700F7F" w:rsidP="00235EA8">
      <w:r>
        <w:t>T</w:t>
      </w:r>
      <w:r w:rsidR="00E70D25" w:rsidRPr="1A647D3A">
        <w:t xml:space="preserve">he top 20 occupations in </w:t>
      </w:r>
      <w:r w:rsidR="007B7913">
        <w:t>Shortage</w:t>
      </w:r>
      <w:r w:rsidR="00E70D25" w:rsidRPr="1A647D3A">
        <w:t xml:space="preserve"> </w:t>
      </w:r>
      <w:r w:rsidR="003A22AE">
        <w:t>employed</w:t>
      </w:r>
      <w:r w:rsidR="00E70D25" w:rsidRPr="1A647D3A">
        <w:t xml:space="preserve"> 2</w:t>
      </w:r>
      <w:r w:rsidR="0019528A">
        <w:t>0</w:t>
      </w:r>
      <w:r w:rsidR="00CF78A9">
        <w:t>.3</w:t>
      </w:r>
      <w:r w:rsidR="00E70D25" w:rsidRPr="1A647D3A">
        <w:t>% of</w:t>
      </w:r>
      <w:r w:rsidR="00FC788E">
        <w:t xml:space="preserve"> workers </w:t>
      </w:r>
      <w:r w:rsidR="00561827">
        <w:t xml:space="preserve">that were </w:t>
      </w:r>
      <w:r w:rsidR="00E70D25" w:rsidRPr="1A647D3A">
        <w:t>within the</w:t>
      </w:r>
      <w:r w:rsidR="00C52F23">
        <w:t xml:space="preserve"> </w:t>
      </w:r>
      <w:r w:rsidR="00E70D25" w:rsidRPr="1A647D3A">
        <w:t>scope</w:t>
      </w:r>
      <w:r w:rsidR="002A55EE" w:rsidRPr="002A55EE">
        <w:t xml:space="preserve"> </w:t>
      </w:r>
      <w:r w:rsidR="002A55EE">
        <w:t>of the OSL</w:t>
      </w:r>
      <w:r w:rsidR="00E70D25">
        <w:t>.</w:t>
      </w:r>
      <w:r w:rsidR="00E70D25" w:rsidRPr="4F498787">
        <w:rPr>
          <w:rStyle w:val="FootnoteReference"/>
          <w:rFonts w:asciiTheme="minorHAnsi" w:hAnsiTheme="minorHAnsi"/>
        </w:rPr>
        <w:footnoteReference w:id="27"/>
      </w:r>
    </w:p>
    <w:p w14:paraId="097082B3" w14:textId="55613E3D" w:rsidR="00E70D25" w:rsidRDefault="00B566BC" w:rsidP="00235EA8">
      <w:r>
        <w:t>T</w:t>
      </w:r>
      <w:r w:rsidR="31324717" w:rsidRPr="73F4C2B6">
        <w:t xml:space="preserve">he </w:t>
      </w:r>
      <w:r w:rsidR="005E47E2">
        <w:t>5</w:t>
      </w:r>
      <w:r w:rsidR="005E47E2" w:rsidRPr="73F4C2B6">
        <w:t xml:space="preserve"> </w:t>
      </w:r>
      <w:r w:rsidR="31324717" w:rsidRPr="73F4C2B6">
        <w:t xml:space="preserve">largest occupations in </w:t>
      </w:r>
      <w:r w:rsidR="007B7913">
        <w:t>Shortage</w:t>
      </w:r>
      <w:r w:rsidR="31324717" w:rsidRPr="73F4C2B6">
        <w:t xml:space="preserve"> were Aged or Disabled Carer, Primary School Teacher, Secondary School Teacher</w:t>
      </w:r>
      <w:r w:rsidR="00536ECA">
        <w:t>,</w:t>
      </w:r>
      <w:r w:rsidR="31324717" w:rsidRPr="73F4C2B6">
        <w:t xml:space="preserve"> Truck Driver (General)</w:t>
      </w:r>
      <w:r w:rsidR="00536ECA">
        <w:t xml:space="preserve"> and Electrician (General)</w:t>
      </w:r>
      <w:r w:rsidR="31324717" w:rsidRPr="73F4C2B6">
        <w:t xml:space="preserve">. </w:t>
      </w:r>
      <w:r w:rsidR="00BB59C6">
        <w:t xml:space="preserve">Together, they </w:t>
      </w:r>
      <w:r w:rsidR="31324717" w:rsidRPr="73F4C2B6">
        <w:t xml:space="preserve">made up </w:t>
      </w:r>
      <w:r w:rsidR="00CF78A9">
        <w:t>8.</w:t>
      </w:r>
      <w:r w:rsidR="000D1F48">
        <w:t>9</w:t>
      </w:r>
      <w:r w:rsidR="31324717" w:rsidRPr="73F4C2B6">
        <w:t xml:space="preserve">% (or </w:t>
      </w:r>
      <w:r w:rsidR="00E6411E">
        <w:t>824,973</w:t>
      </w:r>
      <w:r w:rsidR="31324717" w:rsidRPr="73F4C2B6">
        <w:t xml:space="preserve"> people) of total employment in occupations within scope of the OSL. In addition to their share and level of employment, these occupations p</w:t>
      </w:r>
      <w:r w:rsidR="6F3C28A4" w:rsidRPr="73F4C2B6">
        <w:t>l</w:t>
      </w:r>
      <w:r w:rsidR="31324717" w:rsidRPr="73F4C2B6">
        <w:t>ay a vital role in the economy.</w:t>
      </w:r>
    </w:p>
    <w:p w14:paraId="3C52CF0A" w14:textId="73C589F7" w:rsidR="00E70D25" w:rsidRPr="004F4714" w:rsidRDefault="00E70D25" w:rsidP="00235EA8">
      <w:r w:rsidRPr="00235EA8">
        <w:t xml:space="preserve">Most of these occupations have been in </w:t>
      </w:r>
      <w:r w:rsidR="007B7913">
        <w:t>Shortage</w:t>
      </w:r>
      <w:r w:rsidRPr="00235EA8">
        <w:t xml:space="preserve"> for at least </w:t>
      </w:r>
      <w:r w:rsidR="00BC207C" w:rsidRPr="00235EA8">
        <w:t xml:space="preserve">3 </w:t>
      </w:r>
      <w:r w:rsidRPr="00235EA8">
        <w:t>years. Some of the largest employing occupations</w:t>
      </w:r>
      <w:r w:rsidR="0060453E" w:rsidRPr="00235EA8">
        <w:t>,</w:t>
      </w:r>
      <w:r w:rsidRPr="00235EA8">
        <w:t xml:space="preserve"> such as Aged or Disabled Carer, Electrician (General), Child Care Worker and Carpenter</w:t>
      </w:r>
      <w:r w:rsidR="0060453E" w:rsidRPr="00235EA8">
        <w:t>,</w:t>
      </w:r>
      <w:r w:rsidRPr="00235EA8">
        <w:t xml:space="preserve"> have been in </w:t>
      </w:r>
      <w:r w:rsidR="007B7913">
        <w:t>Shortage</w:t>
      </w:r>
      <w:r w:rsidRPr="00235EA8">
        <w:t xml:space="preserve"> from 2021. </w:t>
      </w:r>
      <w:r w:rsidR="003B207B">
        <w:t>Of</w:t>
      </w:r>
      <w:r w:rsidR="000B0F51">
        <w:t xml:space="preserve"> the top 20 employing occupations </w:t>
      </w:r>
      <w:r w:rsidR="00B8597B">
        <w:t xml:space="preserve">that were </w:t>
      </w:r>
      <w:r w:rsidRPr="00235EA8">
        <w:t xml:space="preserve">in </w:t>
      </w:r>
      <w:r w:rsidR="007B7913">
        <w:t>Shortage</w:t>
      </w:r>
      <w:r w:rsidRPr="00235EA8">
        <w:t xml:space="preserve"> </w:t>
      </w:r>
      <w:r w:rsidR="00B8597B">
        <w:t xml:space="preserve">for </w:t>
      </w:r>
      <w:r w:rsidR="003F4123" w:rsidRPr="00235EA8">
        <w:t xml:space="preserve">4 </w:t>
      </w:r>
      <w:r w:rsidRPr="00235EA8">
        <w:t>years</w:t>
      </w:r>
      <w:r w:rsidR="000B0F51">
        <w:t>,</w:t>
      </w:r>
      <w:r w:rsidRPr="00235EA8">
        <w:t xml:space="preserve"> </w:t>
      </w:r>
      <w:r w:rsidR="003B207B">
        <w:t>most were</w:t>
      </w:r>
      <w:r>
        <w:t xml:space="preserve"> </w:t>
      </w:r>
      <w:r w:rsidR="00430430" w:rsidRPr="00235EA8">
        <w:t xml:space="preserve">in the </w:t>
      </w:r>
      <w:r w:rsidRPr="00235EA8">
        <w:t xml:space="preserve">Technicians and Trades Workers and Community and Personal Service Workers </w:t>
      </w:r>
      <w:r w:rsidR="00430430" w:rsidRPr="00235EA8">
        <w:t>major groups</w:t>
      </w:r>
      <w:r w:rsidRPr="00235EA8">
        <w:t>. However, General Practitioners and Developer</w:t>
      </w:r>
      <w:r w:rsidR="0027041A">
        <w:t xml:space="preserve"> </w:t>
      </w:r>
      <w:r w:rsidRPr="00235EA8">
        <w:t xml:space="preserve">Programmer, </w:t>
      </w:r>
      <w:r w:rsidR="003A580D" w:rsidRPr="00235EA8">
        <w:t xml:space="preserve">which are </w:t>
      </w:r>
      <w:r w:rsidRPr="00235EA8">
        <w:t xml:space="preserve">within </w:t>
      </w:r>
      <w:r w:rsidR="00893F44" w:rsidRPr="00235EA8">
        <w:t xml:space="preserve">the </w:t>
      </w:r>
      <w:r w:rsidRPr="00235EA8">
        <w:t xml:space="preserve">Professionals major group, </w:t>
      </w:r>
      <w:r w:rsidR="003E3469" w:rsidRPr="00235EA8">
        <w:t xml:space="preserve">were </w:t>
      </w:r>
      <w:r w:rsidRPr="00235EA8">
        <w:t xml:space="preserve">also in </w:t>
      </w:r>
      <w:r w:rsidR="007B7913">
        <w:t>Shortage</w:t>
      </w:r>
      <w:r w:rsidR="00035661">
        <w:t xml:space="preserve"> for 4 years</w:t>
      </w:r>
      <w:r w:rsidRPr="004F4714">
        <w:t>.</w:t>
      </w:r>
    </w:p>
    <w:p w14:paraId="4FDD8D72" w14:textId="201FBDB3" w:rsidR="00E70D25" w:rsidRDefault="00E70D25" w:rsidP="00235EA8">
      <w:r>
        <w:t>The reason</w:t>
      </w:r>
      <w:r w:rsidR="00430430">
        <w:t>s</w:t>
      </w:r>
      <w:r>
        <w:t xml:space="preserve"> for persisten</w:t>
      </w:r>
      <w:r w:rsidR="00430430">
        <w:t>t</w:t>
      </w:r>
      <w:r>
        <w:t xml:space="preserve"> shortage</w:t>
      </w:r>
      <w:r w:rsidR="00430430">
        <w:t>s</w:t>
      </w:r>
      <w:r>
        <w:t xml:space="preserve"> </w:t>
      </w:r>
      <w:r w:rsidR="00430430">
        <w:t xml:space="preserve">are </w:t>
      </w:r>
      <w:r>
        <w:t>likely to be multifaceted. They include population ageing, technology advances, and other impacts of structural change</w:t>
      </w:r>
      <w:r w:rsidR="00993605">
        <w:t>s</w:t>
      </w:r>
      <w:r>
        <w:t xml:space="preserve"> in the labour market, </w:t>
      </w:r>
      <w:r w:rsidR="002D3171">
        <w:t>such as,</w:t>
      </w:r>
      <w:r>
        <w:t xml:space="preserve"> constraints in the supply of qualified and experienced workers, working conditions and pay, and government policies and regulations. </w:t>
      </w:r>
      <w:r w:rsidR="00335B53">
        <w:t xml:space="preserve">Any </w:t>
      </w:r>
      <w:r w:rsidR="00F61112">
        <w:t>future s</w:t>
      </w:r>
      <w:r>
        <w:t xml:space="preserve">olutions to </w:t>
      </w:r>
      <w:r w:rsidR="00F72884">
        <w:t xml:space="preserve">address persistent </w:t>
      </w:r>
      <w:r>
        <w:t xml:space="preserve">shortages </w:t>
      </w:r>
      <w:r w:rsidR="002A1F13">
        <w:t>will</w:t>
      </w:r>
      <w:r w:rsidR="00A369F6">
        <w:t>, therefore,</w:t>
      </w:r>
      <w:r>
        <w:t xml:space="preserve"> likely </w:t>
      </w:r>
      <w:r w:rsidR="002A1F13">
        <w:t xml:space="preserve">need </w:t>
      </w:r>
      <w:r>
        <w:t>to be long-term and holistic.</w:t>
      </w:r>
    </w:p>
    <w:p w14:paraId="01882DF4" w14:textId="2E22ACD3" w:rsidR="00E70D25" w:rsidRDefault="00E70D25" w:rsidP="00235EA8">
      <w:r>
        <w:t xml:space="preserve">Another noticeable feature of the occupations in persistent </w:t>
      </w:r>
      <w:r w:rsidR="00C951D4">
        <w:t>Shortage</w:t>
      </w:r>
      <w:r>
        <w:t xml:space="preserve"> in </w:t>
      </w:r>
      <w:r w:rsidR="00F044B6">
        <w:fldChar w:fldCharType="begin"/>
      </w:r>
      <w:r w:rsidR="00F044B6">
        <w:instrText xml:space="preserve"> REF _Ref175151529 \h </w:instrText>
      </w:r>
      <w:r w:rsidR="00B01A6F">
        <w:instrText xml:space="preserve"> \* MERGEFORMAT </w:instrText>
      </w:r>
      <w:r w:rsidR="00F044B6">
        <w:fldChar w:fldCharType="separate"/>
      </w:r>
      <w:r w:rsidR="00A35392">
        <w:t xml:space="preserve">Table </w:t>
      </w:r>
      <w:r w:rsidR="00A35392">
        <w:rPr>
          <w:noProof/>
        </w:rPr>
        <w:t>3</w:t>
      </w:r>
      <w:r w:rsidR="00F044B6">
        <w:fldChar w:fldCharType="end"/>
      </w:r>
      <w:r>
        <w:t xml:space="preserve"> </w:t>
      </w:r>
      <w:r w:rsidR="00EC7250">
        <w:t>is</w:t>
      </w:r>
      <w:r w:rsidR="00EC7250" w:rsidRPr="271B4DD2">
        <w:t xml:space="preserve"> </w:t>
      </w:r>
      <w:r>
        <w:t>that they are highly gender skewed</w:t>
      </w:r>
      <w:r>
        <w:rPr>
          <w:rFonts w:eastAsiaTheme="minorEastAsia"/>
        </w:rPr>
        <w:t xml:space="preserve">. Only a few, such as </w:t>
      </w:r>
      <w:r w:rsidR="000957DC">
        <w:rPr>
          <w:rFonts w:eastAsiaTheme="minorEastAsia"/>
        </w:rPr>
        <w:t>Solicitor</w:t>
      </w:r>
      <w:r>
        <w:rPr>
          <w:rFonts w:eastAsiaTheme="minorEastAsia"/>
        </w:rPr>
        <w:t xml:space="preserve"> and General Practitioner </w:t>
      </w:r>
      <w:r>
        <w:t xml:space="preserve">had a more balanced distribution of men and women. </w:t>
      </w:r>
      <w:r w:rsidR="00AA0C3F">
        <w:t xml:space="preserve">This </w:t>
      </w:r>
      <w:r>
        <w:t xml:space="preserve">is </w:t>
      </w:r>
      <w:r w:rsidRPr="271B4DD2">
        <w:t xml:space="preserve">elaborated in the </w:t>
      </w:r>
      <w:r w:rsidR="00AA0C3F">
        <w:t xml:space="preserve">following </w:t>
      </w:r>
      <w:r w:rsidRPr="271B4DD2">
        <w:t>section.</w:t>
      </w:r>
    </w:p>
    <w:p w14:paraId="60578D74" w14:textId="6E455724" w:rsidR="00E70D25" w:rsidRPr="005965A3" w:rsidRDefault="00E70D25" w:rsidP="00235EA8">
      <w:pPr>
        <w:pStyle w:val="ListBullet"/>
        <w:rPr>
          <w:lang w:val="en-AU"/>
        </w:rPr>
        <w:sectPr w:rsidR="00E70D25" w:rsidRPr="005965A3" w:rsidSect="00E70D25">
          <w:footerReference w:type="default" r:id="rId27"/>
          <w:footerReference w:type="first" r:id="rId28"/>
          <w:type w:val="continuous"/>
          <w:pgSz w:w="11906" w:h="16838"/>
          <w:pgMar w:top="1440" w:right="1440" w:bottom="1440" w:left="1440" w:header="0" w:footer="708" w:gutter="0"/>
          <w:pgNumType w:start="0"/>
          <w:cols w:space="708"/>
          <w:titlePg/>
          <w:docGrid w:linePitch="360"/>
        </w:sectPr>
      </w:pPr>
    </w:p>
    <w:p w14:paraId="7183A7BE" w14:textId="53D2E68B" w:rsidR="00E70D25" w:rsidRDefault="00F8268C" w:rsidP="00F8268C">
      <w:pPr>
        <w:pStyle w:val="Caption"/>
      </w:pPr>
      <w:bookmarkStart w:id="51" w:name="_Ref175151529"/>
      <w:bookmarkStart w:id="52" w:name="_Ref171432519"/>
      <w:bookmarkStart w:id="53" w:name="_Ref175151435"/>
      <w:bookmarkStart w:id="54" w:name="_Toc180136426"/>
      <w:r>
        <w:lastRenderedPageBreak/>
        <w:t xml:space="preserve">Table </w:t>
      </w:r>
      <w:r>
        <w:fldChar w:fldCharType="begin"/>
      </w:r>
      <w:r>
        <w:instrText xml:space="preserve"> SEQ Table \* ARABIC </w:instrText>
      </w:r>
      <w:r>
        <w:fldChar w:fldCharType="separate"/>
      </w:r>
      <w:r w:rsidR="00A35392">
        <w:rPr>
          <w:noProof/>
        </w:rPr>
        <w:t>3</w:t>
      </w:r>
      <w:r>
        <w:rPr>
          <w:noProof/>
        </w:rPr>
        <w:fldChar w:fldCharType="end"/>
      </w:r>
      <w:bookmarkEnd w:id="51"/>
      <w:r w:rsidR="00C56EE9">
        <w:t>:</w:t>
      </w:r>
      <w:bookmarkEnd w:id="52"/>
      <w:r w:rsidR="00E70D25">
        <w:t xml:space="preserve"> Top 20 largest employing occupations in </w:t>
      </w:r>
      <w:r w:rsidR="00C951D4">
        <w:t>Shortage</w:t>
      </w:r>
      <w:r w:rsidR="00E70D25">
        <w:t xml:space="preserve"> in </w:t>
      </w:r>
      <w:r w:rsidR="00FB57A0">
        <w:t xml:space="preserve">the </w:t>
      </w:r>
      <w:r w:rsidR="00E70D25">
        <w:t>2024 OSL</w:t>
      </w:r>
      <w:bookmarkEnd w:id="53"/>
      <w:bookmarkEnd w:id="54"/>
    </w:p>
    <w:tbl>
      <w:tblPr>
        <w:tblStyle w:val="JSATable1"/>
        <w:tblW w:w="0" w:type="auto"/>
        <w:tblLook w:val="0020" w:firstRow="1" w:lastRow="0" w:firstColumn="0" w:lastColumn="0" w:noHBand="0" w:noVBand="0"/>
      </w:tblPr>
      <w:tblGrid>
        <w:gridCol w:w="1702"/>
        <w:gridCol w:w="3260"/>
        <w:gridCol w:w="2249"/>
        <w:gridCol w:w="2249"/>
        <w:gridCol w:w="2447"/>
        <w:gridCol w:w="2051"/>
      </w:tblGrid>
      <w:tr w:rsidR="004856A0" w:rsidRPr="00B26C3D" w14:paraId="59933CB5" w14:textId="77777777" w:rsidTr="006D65C2">
        <w:trPr>
          <w:cnfStyle w:val="100000000000" w:firstRow="1" w:lastRow="0" w:firstColumn="0" w:lastColumn="0" w:oddVBand="0" w:evenVBand="0" w:oddHBand="0" w:evenHBand="0" w:firstRowFirstColumn="0" w:firstRowLastColumn="0" w:lastRowFirstColumn="0" w:lastRowLastColumn="0"/>
        </w:trPr>
        <w:tc>
          <w:tcPr>
            <w:tcW w:w="1702" w:type="dxa"/>
          </w:tcPr>
          <w:p w14:paraId="0F9B1466" w14:textId="42B9806F" w:rsidR="00436C5A" w:rsidRPr="00B26C3D" w:rsidRDefault="00436C5A" w:rsidP="00436C5A">
            <w:r w:rsidRPr="005A4228">
              <w:rPr>
                <w:lang w:eastAsia="en-AU"/>
              </w:rPr>
              <w:t>2022 ANZSCO Code</w:t>
            </w:r>
          </w:p>
        </w:tc>
        <w:tc>
          <w:tcPr>
            <w:tcW w:w="3260" w:type="dxa"/>
          </w:tcPr>
          <w:p w14:paraId="4B6A579C" w14:textId="4AC1E2E5" w:rsidR="00436C5A" w:rsidRPr="00B26C3D" w:rsidRDefault="00235790" w:rsidP="00436C5A">
            <w:r>
              <w:rPr>
                <w:lang w:eastAsia="en-AU"/>
              </w:rPr>
              <w:t>Occupation title</w:t>
            </w:r>
          </w:p>
        </w:tc>
        <w:tc>
          <w:tcPr>
            <w:tcW w:w="2249" w:type="dxa"/>
          </w:tcPr>
          <w:p w14:paraId="1746B1AE" w14:textId="45A3F611" w:rsidR="00436C5A" w:rsidRPr="00B26C3D" w:rsidRDefault="00436C5A" w:rsidP="00436C5A">
            <w:r w:rsidRPr="005A4228">
              <w:rPr>
                <w:lang w:eastAsia="en-AU"/>
              </w:rPr>
              <w:t xml:space="preserve">Years in </w:t>
            </w:r>
            <w:r w:rsidR="00C951D4">
              <w:rPr>
                <w:lang w:eastAsia="en-AU"/>
              </w:rPr>
              <w:t>S</w:t>
            </w:r>
            <w:r w:rsidR="00C951D4" w:rsidRPr="005A4228">
              <w:rPr>
                <w:lang w:eastAsia="en-AU"/>
              </w:rPr>
              <w:t xml:space="preserve">hortage </w:t>
            </w:r>
            <w:r w:rsidRPr="005A4228">
              <w:rPr>
                <w:lang w:eastAsia="en-AU"/>
              </w:rPr>
              <w:br/>
              <w:t>(from 2021 to 2024)</w:t>
            </w:r>
          </w:p>
        </w:tc>
        <w:tc>
          <w:tcPr>
            <w:tcW w:w="2249" w:type="dxa"/>
          </w:tcPr>
          <w:p w14:paraId="0E1B2467" w14:textId="79B02B6C" w:rsidR="00436C5A" w:rsidRPr="00B26C3D" w:rsidRDefault="00436C5A" w:rsidP="00436C5A">
            <w:r w:rsidRPr="005A4228">
              <w:rPr>
                <w:lang w:eastAsia="en-AU"/>
              </w:rPr>
              <w:t>Men employed (%)</w:t>
            </w:r>
            <w:r w:rsidRPr="005A4228">
              <w:rPr>
                <w:lang w:eastAsia="en-AU"/>
              </w:rPr>
              <w:br/>
              <w:t>(2021 Census)</w:t>
            </w:r>
          </w:p>
        </w:tc>
        <w:tc>
          <w:tcPr>
            <w:tcW w:w="2447" w:type="dxa"/>
          </w:tcPr>
          <w:p w14:paraId="49AFCB3F" w14:textId="7863C035" w:rsidR="00436C5A" w:rsidRPr="00B26C3D" w:rsidRDefault="00436C5A" w:rsidP="00436C5A">
            <w:r w:rsidRPr="005A4228">
              <w:rPr>
                <w:lang w:eastAsia="en-AU"/>
              </w:rPr>
              <w:t>Women employed (%)</w:t>
            </w:r>
            <w:r w:rsidRPr="005A4228">
              <w:rPr>
                <w:lang w:eastAsia="en-AU"/>
              </w:rPr>
              <w:br/>
              <w:t>(2021 Census)</w:t>
            </w:r>
          </w:p>
        </w:tc>
        <w:tc>
          <w:tcPr>
            <w:tcW w:w="2051" w:type="dxa"/>
          </w:tcPr>
          <w:p w14:paraId="781505FA" w14:textId="7A29D4E2" w:rsidR="00436C5A" w:rsidRPr="00B26C3D" w:rsidRDefault="00436C5A" w:rsidP="00436C5A">
            <w:r w:rsidRPr="005A4228">
              <w:t>Total employed</w:t>
            </w:r>
            <w:r w:rsidRPr="005A4228">
              <w:rPr>
                <w:rFonts w:eastAsia="Times New Roman" w:cs="Arial"/>
                <w:lang w:eastAsia="en-AU"/>
              </w:rPr>
              <w:br/>
              <w:t>(2021 Census)</w:t>
            </w:r>
          </w:p>
        </w:tc>
      </w:tr>
      <w:tr w:rsidR="00436C5A" w:rsidRPr="00B26C3D" w14:paraId="28E4844F" w14:textId="77777777" w:rsidTr="006D65C2">
        <w:tc>
          <w:tcPr>
            <w:tcW w:w="1702" w:type="dxa"/>
          </w:tcPr>
          <w:p w14:paraId="3709058D" w14:textId="70B98C28" w:rsidR="00436C5A" w:rsidRPr="00B26C3D" w:rsidRDefault="00436C5A" w:rsidP="00436C5A">
            <w:r w:rsidRPr="005965A3">
              <w:t>423111</w:t>
            </w:r>
          </w:p>
        </w:tc>
        <w:tc>
          <w:tcPr>
            <w:tcW w:w="3260" w:type="dxa"/>
          </w:tcPr>
          <w:p w14:paraId="7026CE3B" w14:textId="1942CDD9" w:rsidR="00436C5A" w:rsidRPr="00B26C3D" w:rsidRDefault="00436C5A" w:rsidP="005A4228">
            <w:r w:rsidRPr="005965A3">
              <w:t>Aged or Disabled Carer</w:t>
            </w:r>
          </w:p>
        </w:tc>
        <w:tc>
          <w:tcPr>
            <w:tcW w:w="2249" w:type="dxa"/>
          </w:tcPr>
          <w:p w14:paraId="1BC2AFBD" w14:textId="32DFC64A" w:rsidR="00436C5A" w:rsidRPr="00B26C3D" w:rsidRDefault="00436C5A" w:rsidP="00436C5A">
            <w:pPr>
              <w:jc w:val="right"/>
            </w:pPr>
            <w:r w:rsidRPr="005965A3">
              <w:t>4</w:t>
            </w:r>
          </w:p>
        </w:tc>
        <w:tc>
          <w:tcPr>
            <w:tcW w:w="2249" w:type="dxa"/>
          </w:tcPr>
          <w:p w14:paraId="16DC9458" w14:textId="4DC6D129" w:rsidR="00436C5A" w:rsidRPr="00B26C3D" w:rsidRDefault="00436C5A" w:rsidP="00436C5A">
            <w:pPr>
              <w:jc w:val="right"/>
            </w:pPr>
            <w:r w:rsidRPr="005965A3">
              <w:t>23.3%</w:t>
            </w:r>
          </w:p>
        </w:tc>
        <w:tc>
          <w:tcPr>
            <w:tcW w:w="2447" w:type="dxa"/>
          </w:tcPr>
          <w:p w14:paraId="2733ADAA" w14:textId="5F52E849" w:rsidR="00436C5A" w:rsidRPr="00B26C3D" w:rsidRDefault="00436C5A" w:rsidP="00436C5A">
            <w:pPr>
              <w:jc w:val="right"/>
            </w:pPr>
            <w:r w:rsidRPr="005965A3">
              <w:t>76.7%</w:t>
            </w:r>
          </w:p>
        </w:tc>
        <w:tc>
          <w:tcPr>
            <w:tcW w:w="2051" w:type="dxa"/>
          </w:tcPr>
          <w:p w14:paraId="049A275B" w14:textId="0AA622EC" w:rsidR="00436C5A" w:rsidRPr="00B26C3D" w:rsidRDefault="00436C5A" w:rsidP="00436C5A">
            <w:pPr>
              <w:jc w:val="right"/>
            </w:pPr>
            <w:r w:rsidRPr="005965A3">
              <w:t>227,542</w:t>
            </w:r>
          </w:p>
        </w:tc>
      </w:tr>
      <w:tr w:rsidR="004856A0" w:rsidRPr="00B26C3D" w14:paraId="476C12CC"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61B491A8" w14:textId="22966884" w:rsidR="00436C5A" w:rsidRPr="00B26C3D" w:rsidRDefault="00436C5A" w:rsidP="00436C5A">
            <w:r w:rsidRPr="005965A3">
              <w:t>241213</w:t>
            </w:r>
          </w:p>
        </w:tc>
        <w:tc>
          <w:tcPr>
            <w:tcW w:w="3260" w:type="dxa"/>
          </w:tcPr>
          <w:p w14:paraId="6744B465" w14:textId="7F344CF1" w:rsidR="00436C5A" w:rsidRPr="00B26C3D" w:rsidRDefault="00436C5A" w:rsidP="005A4228">
            <w:r w:rsidRPr="005965A3">
              <w:t>Primary School Teacher</w:t>
            </w:r>
          </w:p>
        </w:tc>
        <w:tc>
          <w:tcPr>
            <w:tcW w:w="2249" w:type="dxa"/>
          </w:tcPr>
          <w:p w14:paraId="51C962C7" w14:textId="1478B436" w:rsidR="00436C5A" w:rsidRPr="00B26C3D" w:rsidRDefault="00436C5A" w:rsidP="00436C5A">
            <w:pPr>
              <w:jc w:val="right"/>
            </w:pPr>
            <w:r w:rsidRPr="005965A3">
              <w:t>3</w:t>
            </w:r>
          </w:p>
        </w:tc>
        <w:tc>
          <w:tcPr>
            <w:tcW w:w="2249" w:type="dxa"/>
          </w:tcPr>
          <w:p w14:paraId="35DF4F33" w14:textId="75A63C6D" w:rsidR="00436C5A" w:rsidRPr="00B26C3D" w:rsidRDefault="00436C5A" w:rsidP="00436C5A">
            <w:pPr>
              <w:jc w:val="right"/>
            </w:pPr>
            <w:r w:rsidRPr="005965A3">
              <w:t>14.9%</w:t>
            </w:r>
          </w:p>
        </w:tc>
        <w:tc>
          <w:tcPr>
            <w:tcW w:w="2447" w:type="dxa"/>
          </w:tcPr>
          <w:p w14:paraId="52EE2860" w14:textId="05692660" w:rsidR="00436C5A" w:rsidRPr="00B26C3D" w:rsidRDefault="00436C5A" w:rsidP="00436C5A">
            <w:pPr>
              <w:jc w:val="right"/>
            </w:pPr>
            <w:r w:rsidRPr="005965A3">
              <w:t>85.1%</w:t>
            </w:r>
          </w:p>
        </w:tc>
        <w:tc>
          <w:tcPr>
            <w:tcW w:w="2051" w:type="dxa"/>
          </w:tcPr>
          <w:p w14:paraId="158FC458" w14:textId="2DF1DF42" w:rsidR="00436C5A" w:rsidRPr="00B26C3D" w:rsidRDefault="00436C5A" w:rsidP="00436C5A">
            <w:pPr>
              <w:jc w:val="right"/>
            </w:pPr>
            <w:r w:rsidRPr="005965A3">
              <w:t>164,895</w:t>
            </w:r>
          </w:p>
        </w:tc>
      </w:tr>
      <w:tr w:rsidR="00436C5A" w:rsidRPr="00B26C3D" w14:paraId="5E3E6686" w14:textId="77777777" w:rsidTr="006D65C2">
        <w:tc>
          <w:tcPr>
            <w:tcW w:w="1702" w:type="dxa"/>
          </w:tcPr>
          <w:p w14:paraId="181A0A1B" w14:textId="330EAB2A" w:rsidR="00436C5A" w:rsidRPr="00B26C3D" w:rsidRDefault="00436C5A" w:rsidP="00436C5A">
            <w:r w:rsidRPr="005965A3">
              <w:t>241411</w:t>
            </w:r>
          </w:p>
        </w:tc>
        <w:tc>
          <w:tcPr>
            <w:tcW w:w="3260" w:type="dxa"/>
          </w:tcPr>
          <w:p w14:paraId="3A027A29" w14:textId="54C928F9" w:rsidR="00436C5A" w:rsidRPr="00B26C3D" w:rsidRDefault="00436C5A" w:rsidP="005A4228">
            <w:r w:rsidRPr="005965A3">
              <w:t>Secondary School Teacher</w:t>
            </w:r>
          </w:p>
        </w:tc>
        <w:tc>
          <w:tcPr>
            <w:tcW w:w="2249" w:type="dxa"/>
          </w:tcPr>
          <w:p w14:paraId="0C155442" w14:textId="4435B392" w:rsidR="00436C5A" w:rsidRPr="00B26C3D" w:rsidRDefault="00436C5A" w:rsidP="00436C5A">
            <w:pPr>
              <w:jc w:val="right"/>
            </w:pPr>
            <w:r w:rsidRPr="005965A3">
              <w:t>3</w:t>
            </w:r>
          </w:p>
        </w:tc>
        <w:tc>
          <w:tcPr>
            <w:tcW w:w="2249" w:type="dxa"/>
          </w:tcPr>
          <w:p w14:paraId="294E27E4" w14:textId="5B36BD15" w:rsidR="00436C5A" w:rsidRPr="00B26C3D" w:rsidRDefault="00436C5A" w:rsidP="00436C5A">
            <w:pPr>
              <w:jc w:val="right"/>
            </w:pPr>
            <w:r w:rsidRPr="005965A3">
              <w:t>37.8%</w:t>
            </w:r>
          </w:p>
        </w:tc>
        <w:tc>
          <w:tcPr>
            <w:tcW w:w="2447" w:type="dxa"/>
          </w:tcPr>
          <w:p w14:paraId="365D2D58" w14:textId="5E00AEAF" w:rsidR="00436C5A" w:rsidRPr="00B26C3D" w:rsidRDefault="00436C5A" w:rsidP="00436C5A">
            <w:pPr>
              <w:jc w:val="right"/>
            </w:pPr>
            <w:r w:rsidRPr="005965A3">
              <w:t>62.2%</w:t>
            </w:r>
          </w:p>
        </w:tc>
        <w:tc>
          <w:tcPr>
            <w:tcW w:w="2051" w:type="dxa"/>
          </w:tcPr>
          <w:p w14:paraId="2FA168CE" w14:textId="5B3A6A88" w:rsidR="00436C5A" w:rsidRPr="00B26C3D" w:rsidRDefault="00436C5A" w:rsidP="00436C5A">
            <w:pPr>
              <w:jc w:val="right"/>
            </w:pPr>
            <w:r w:rsidRPr="005965A3">
              <w:t>155,850</w:t>
            </w:r>
          </w:p>
        </w:tc>
      </w:tr>
      <w:tr w:rsidR="004856A0" w:rsidRPr="00B26C3D" w14:paraId="15E76070"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1AF00BA8" w14:textId="6B15C004" w:rsidR="00436C5A" w:rsidRPr="00B26C3D" w:rsidRDefault="00436C5A" w:rsidP="00436C5A">
            <w:r w:rsidRPr="005965A3">
              <w:t>733111</w:t>
            </w:r>
          </w:p>
        </w:tc>
        <w:tc>
          <w:tcPr>
            <w:tcW w:w="3260" w:type="dxa"/>
          </w:tcPr>
          <w:p w14:paraId="05FBF1DE" w14:textId="3C7446C6" w:rsidR="00436C5A" w:rsidRPr="00B26C3D" w:rsidRDefault="00436C5A" w:rsidP="005A4228">
            <w:r w:rsidRPr="005965A3">
              <w:t>Truck Driver (General)</w:t>
            </w:r>
          </w:p>
        </w:tc>
        <w:tc>
          <w:tcPr>
            <w:tcW w:w="2249" w:type="dxa"/>
          </w:tcPr>
          <w:p w14:paraId="2D7A9037" w14:textId="53CBF45E" w:rsidR="00436C5A" w:rsidRPr="00B26C3D" w:rsidRDefault="00436C5A" w:rsidP="00436C5A">
            <w:pPr>
              <w:jc w:val="right"/>
            </w:pPr>
            <w:r w:rsidRPr="005965A3">
              <w:t>3</w:t>
            </w:r>
          </w:p>
        </w:tc>
        <w:tc>
          <w:tcPr>
            <w:tcW w:w="2249" w:type="dxa"/>
          </w:tcPr>
          <w:p w14:paraId="51FB5B28" w14:textId="526A9D34" w:rsidR="00436C5A" w:rsidRPr="00B26C3D" w:rsidRDefault="00436C5A" w:rsidP="00436C5A">
            <w:pPr>
              <w:jc w:val="right"/>
            </w:pPr>
            <w:r w:rsidRPr="005965A3">
              <w:t>95.6%</w:t>
            </w:r>
          </w:p>
        </w:tc>
        <w:tc>
          <w:tcPr>
            <w:tcW w:w="2447" w:type="dxa"/>
          </w:tcPr>
          <w:p w14:paraId="32E4EAD1" w14:textId="5F1DB2AC" w:rsidR="00436C5A" w:rsidRPr="00B26C3D" w:rsidRDefault="00436C5A" w:rsidP="00436C5A">
            <w:pPr>
              <w:jc w:val="right"/>
            </w:pPr>
            <w:r w:rsidRPr="005965A3">
              <w:t>4.4%</w:t>
            </w:r>
          </w:p>
        </w:tc>
        <w:tc>
          <w:tcPr>
            <w:tcW w:w="2051" w:type="dxa"/>
          </w:tcPr>
          <w:p w14:paraId="1311333D" w14:textId="115C6813" w:rsidR="00436C5A" w:rsidRPr="00B26C3D" w:rsidRDefault="00436C5A" w:rsidP="00436C5A">
            <w:pPr>
              <w:jc w:val="right"/>
            </w:pPr>
            <w:r w:rsidRPr="005965A3">
              <w:t>148,401</w:t>
            </w:r>
          </w:p>
        </w:tc>
      </w:tr>
      <w:tr w:rsidR="00436C5A" w:rsidRPr="00B26C3D" w14:paraId="705DDDD2" w14:textId="77777777" w:rsidTr="006D65C2">
        <w:tc>
          <w:tcPr>
            <w:tcW w:w="1702" w:type="dxa"/>
          </w:tcPr>
          <w:p w14:paraId="686B61C8" w14:textId="2111507C" w:rsidR="00436C5A" w:rsidRPr="00B26C3D" w:rsidRDefault="00436C5A" w:rsidP="00436C5A">
            <w:r w:rsidRPr="005965A3">
              <w:t>341111</w:t>
            </w:r>
          </w:p>
        </w:tc>
        <w:tc>
          <w:tcPr>
            <w:tcW w:w="3260" w:type="dxa"/>
          </w:tcPr>
          <w:p w14:paraId="7A931F3A" w14:textId="304965A3" w:rsidR="00436C5A" w:rsidRPr="00B26C3D" w:rsidRDefault="00436C5A" w:rsidP="005A4228">
            <w:r w:rsidRPr="005965A3">
              <w:t>Electrician (General)</w:t>
            </w:r>
          </w:p>
        </w:tc>
        <w:tc>
          <w:tcPr>
            <w:tcW w:w="2249" w:type="dxa"/>
          </w:tcPr>
          <w:p w14:paraId="7921F1A6" w14:textId="0ACCE7B9" w:rsidR="00436C5A" w:rsidRPr="00B26C3D" w:rsidRDefault="00436C5A" w:rsidP="00436C5A">
            <w:pPr>
              <w:jc w:val="right"/>
            </w:pPr>
            <w:r w:rsidRPr="005965A3">
              <w:t>4</w:t>
            </w:r>
          </w:p>
        </w:tc>
        <w:tc>
          <w:tcPr>
            <w:tcW w:w="2249" w:type="dxa"/>
          </w:tcPr>
          <w:p w14:paraId="264057A1" w14:textId="71E25EF3" w:rsidR="00436C5A" w:rsidRPr="00B26C3D" w:rsidRDefault="00436C5A" w:rsidP="00436C5A">
            <w:pPr>
              <w:jc w:val="right"/>
            </w:pPr>
            <w:r w:rsidRPr="005965A3">
              <w:t>97.9%</w:t>
            </w:r>
          </w:p>
        </w:tc>
        <w:tc>
          <w:tcPr>
            <w:tcW w:w="2447" w:type="dxa"/>
          </w:tcPr>
          <w:p w14:paraId="0D6E8BBD" w14:textId="146179B4" w:rsidR="00436C5A" w:rsidRPr="00B26C3D" w:rsidRDefault="00436C5A" w:rsidP="00436C5A">
            <w:pPr>
              <w:jc w:val="right"/>
            </w:pPr>
            <w:r w:rsidRPr="005965A3">
              <w:t>2.1%</w:t>
            </w:r>
          </w:p>
        </w:tc>
        <w:tc>
          <w:tcPr>
            <w:tcW w:w="2051" w:type="dxa"/>
          </w:tcPr>
          <w:p w14:paraId="64F399BD" w14:textId="7A86B7BE" w:rsidR="00436C5A" w:rsidRPr="00B26C3D" w:rsidRDefault="00436C5A" w:rsidP="00436C5A">
            <w:pPr>
              <w:jc w:val="right"/>
            </w:pPr>
            <w:r w:rsidRPr="005965A3">
              <w:t>128,285</w:t>
            </w:r>
          </w:p>
        </w:tc>
      </w:tr>
      <w:tr w:rsidR="004856A0" w:rsidRPr="00B26C3D" w14:paraId="1C15823F"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5C13AC49" w14:textId="1D43ED8F" w:rsidR="00436C5A" w:rsidRPr="00B26C3D" w:rsidRDefault="00436C5A" w:rsidP="00436C5A">
            <w:r w:rsidRPr="005965A3">
              <w:t>421111</w:t>
            </w:r>
          </w:p>
        </w:tc>
        <w:tc>
          <w:tcPr>
            <w:tcW w:w="3260" w:type="dxa"/>
          </w:tcPr>
          <w:p w14:paraId="79C5550B" w14:textId="51FD5267" w:rsidR="00436C5A" w:rsidRPr="00B26C3D" w:rsidRDefault="00436C5A" w:rsidP="005A4228">
            <w:r w:rsidRPr="005965A3">
              <w:t>Child Care Worker</w:t>
            </w:r>
          </w:p>
        </w:tc>
        <w:tc>
          <w:tcPr>
            <w:tcW w:w="2249" w:type="dxa"/>
          </w:tcPr>
          <w:p w14:paraId="225C6FBF" w14:textId="7E4F0FE2" w:rsidR="00436C5A" w:rsidRPr="00B26C3D" w:rsidRDefault="00436C5A" w:rsidP="00436C5A">
            <w:pPr>
              <w:jc w:val="right"/>
            </w:pPr>
            <w:r w:rsidRPr="005965A3">
              <w:t>4</w:t>
            </w:r>
          </w:p>
        </w:tc>
        <w:tc>
          <w:tcPr>
            <w:tcW w:w="2249" w:type="dxa"/>
          </w:tcPr>
          <w:p w14:paraId="4F37C9D4" w14:textId="3A214278" w:rsidR="00436C5A" w:rsidRPr="00B26C3D" w:rsidRDefault="00436C5A" w:rsidP="00436C5A">
            <w:pPr>
              <w:jc w:val="right"/>
            </w:pPr>
            <w:r w:rsidRPr="005965A3">
              <w:t>3.2%</w:t>
            </w:r>
          </w:p>
        </w:tc>
        <w:tc>
          <w:tcPr>
            <w:tcW w:w="2447" w:type="dxa"/>
          </w:tcPr>
          <w:p w14:paraId="2A46A2E2" w14:textId="28FFC8B1" w:rsidR="00436C5A" w:rsidRPr="00B26C3D" w:rsidRDefault="00436C5A" w:rsidP="00436C5A">
            <w:pPr>
              <w:jc w:val="right"/>
            </w:pPr>
            <w:r w:rsidRPr="005965A3">
              <w:t>96.8%</w:t>
            </w:r>
          </w:p>
        </w:tc>
        <w:tc>
          <w:tcPr>
            <w:tcW w:w="2051" w:type="dxa"/>
          </w:tcPr>
          <w:p w14:paraId="72E37BE9" w14:textId="77C2F2A2" w:rsidR="00436C5A" w:rsidRPr="00B26C3D" w:rsidRDefault="00436C5A" w:rsidP="00436C5A">
            <w:pPr>
              <w:jc w:val="right"/>
            </w:pPr>
            <w:r w:rsidRPr="005965A3">
              <w:t>123,815</w:t>
            </w:r>
          </w:p>
        </w:tc>
      </w:tr>
      <w:tr w:rsidR="00436C5A" w:rsidRPr="00B26C3D" w14:paraId="73729F68" w14:textId="77777777" w:rsidTr="006D65C2">
        <w:tc>
          <w:tcPr>
            <w:tcW w:w="1702" w:type="dxa"/>
          </w:tcPr>
          <w:p w14:paraId="7A98AA7B" w14:textId="0CE323DF" w:rsidR="00436C5A" w:rsidRPr="00B26C3D" w:rsidRDefault="00436C5A" w:rsidP="00436C5A">
            <w:r w:rsidRPr="005965A3">
              <w:t>131112</w:t>
            </w:r>
          </w:p>
        </w:tc>
        <w:tc>
          <w:tcPr>
            <w:tcW w:w="3260" w:type="dxa"/>
          </w:tcPr>
          <w:p w14:paraId="4DD12D37" w14:textId="00E3CE99" w:rsidR="00436C5A" w:rsidRPr="00B26C3D" w:rsidRDefault="00436C5A" w:rsidP="005A4228">
            <w:r w:rsidRPr="005965A3">
              <w:t>Sales and Marketing Manager</w:t>
            </w:r>
          </w:p>
        </w:tc>
        <w:tc>
          <w:tcPr>
            <w:tcW w:w="2249" w:type="dxa"/>
          </w:tcPr>
          <w:p w14:paraId="6CC06C9F" w14:textId="3E7979FB" w:rsidR="00436C5A" w:rsidRPr="00B26C3D" w:rsidRDefault="00436C5A" w:rsidP="00436C5A">
            <w:pPr>
              <w:jc w:val="right"/>
            </w:pPr>
            <w:r w:rsidRPr="005965A3">
              <w:t>2</w:t>
            </w:r>
          </w:p>
        </w:tc>
        <w:tc>
          <w:tcPr>
            <w:tcW w:w="2249" w:type="dxa"/>
          </w:tcPr>
          <w:p w14:paraId="2D140134" w14:textId="55496714" w:rsidR="00436C5A" w:rsidRPr="00B26C3D" w:rsidRDefault="00436C5A" w:rsidP="00436C5A">
            <w:pPr>
              <w:jc w:val="right"/>
            </w:pPr>
            <w:r w:rsidRPr="005965A3">
              <w:t>58.3%</w:t>
            </w:r>
          </w:p>
        </w:tc>
        <w:tc>
          <w:tcPr>
            <w:tcW w:w="2447" w:type="dxa"/>
          </w:tcPr>
          <w:p w14:paraId="737F0207" w14:textId="7C0447D9" w:rsidR="00436C5A" w:rsidRPr="00B26C3D" w:rsidRDefault="00436C5A" w:rsidP="00436C5A">
            <w:pPr>
              <w:jc w:val="right"/>
            </w:pPr>
            <w:r w:rsidRPr="005965A3">
              <w:t>41.7%</w:t>
            </w:r>
          </w:p>
        </w:tc>
        <w:tc>
          <w:tcPr>
            <w:tcW w:w="2051" w:type="dxa"/>
          </w:tcPr>
          <w:p w14:paraId="6A7DB416" w14:textId="4B454B04" w:rsidR="00436C5A" w:rsidRPr="00B26C3D" w:rsidRDefault="00436C5A" w:rsidP="00436C5A">
            <w:pPr>
              <w:jc w:val="right"/>
            </w:pPr>
            <w:r w:rsidRPr="005965A3">
              <w:t>119,702</w:t>
            </w:r>
          </w:p>
        </w:tc>
      </w:tr>
      <w:tr w:rsidR="004856A0" w:rsidRPr="00B26C3D" w14:paraId="34CD468C"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0F5A5CCF" w14:textId="3C5BA39B" w:rsidR="00436C5A" w:rsidRPr="00B26C3D" w:rsidRDefault="00436C5A" w:rsidP="00436C5A">
            <w:r w:rsidRPr="005965A3">
              <w:t>331212</w:t>
            </w:r>
          </w:p>
        </w:tc>
        <w:tc>
          <w:tcPr>
            <w:tcW w:w="3260" w:type="dxa"/>
          </w:tcPr>
          <w:p w14:paraId="18A726C7" w14:textId="22A05245" w:rsidR="00436C5A" w:rsidRPr="00B26C3D" w:rsidRDefault="00436C5A" w:rsidP="005A4228">
            <w:r w:rsidRPr="005965A3">
              <w:t>Carpenter</w:t>
            </w:r>
          </w:p>
        </w:tc>
        <w:tc>
          <w:tcPr>
            <w:tcW w:w="2249" w:type="dxa"/>
          </w:tcPr>
          <w:p w14:paraId="5F874EE6" w14:textId="7B80D630" w:rsidR="00436C5A" w:rsidRPr="00B26C3D" w:rsidRDefault="00436C5A" w:rsidP="00436C5A">
            <w:pPr>
              <w:jc w:val="right"/>
            </w:pPr>
            <w:r w:rsidRPr="005965A3">
              <w:t>4</w:t>
            </w:r>
          </w:p>
        </w:tc>
        <w:tc>
          <w:tcPr>
            <w:tcW w:w="2249" w:type="dxa"/>
          </w:tcPr>
          <w:p w14:paraId="64EAA6A4" w14:textId="18A5E753" w:rsidR="00436C5A" w:rsidRPr="00B26C3D" w:rsidRDefault="00436C5A" w:rsidP="00436C5A">
            <w:pPr>
              <w:jc w:val="right"/>
            </w:pPr>
            <w:r w:rsidRPr="005965A3">
              <w:t>99.0%</w:t>
            </w:r>
          </w:p>
        </w:tc>
        <w:tc>
          <w:tcPr>
            <w:tcW w:w="2447" w:type="dxa"/>
          </w:tcPr>
          <w:p w14:paraId="1907E0A9" w14:textId="2FA8269B" w:rsidR="00436C5A" w:rsidRPr="00B26C3D" w:rsidRDefault="00436C5A" w:rsidP="00436C5A">
            <w:pPr>
              <w:jc w:val="right"/>
            </w:pPr>
            <w:r w:rsidRPr="005965A3">
              <w:t>1.0%</w:t>
            </w:r>
          </w:p>
        </w:tc>
        <w:tc>
          <w:tcPr>
            <w:tcW w:w="2051" w:type="dxa"/>
          </w:tcPr>
          <w:p w14:paraId="5E426944" w14:textId="60DDDEC6" w:rsidR="00436C5A" w:rsidRPr="00B26C3D" w:rsidRDefault="00436C5A" w:rsidP="00436C5A">
            <w:pPr>
              <w:jc w:val="right"/>
            </w:pPr>
            <w:r w:rsidRPr="005965A3">
              <w:t>104,859</w:t>
            </w:r>
          </w:p>
        </w:tc>
      </w:tr>
      <w:tr w:rsidR="00436C5A" w:rsidRPr="00B26C3D" w14:paraId="0CC03813" w14:textId="77777777" w:rsidTr="006D65C2">
        <w:tc>
          <w:tcPr>
            <w:tcW w:w="1702" w:type="dxa"/>
          </w:tcPr>
          <w:p w14:paraId="42183177" w14:textId="3AB8434C" w:rsidR="00436C5A" w:rsidRPr="00B26C3D" w:rsidRDefault="00436C5A" w:rsidP="00436C5A">
            <w:r w:rsidRPr="005965A3">
              <w:t>351311</w:t>
            </w:r>
          </w:p>
        </w:tc>
        <w:tc>
          <w:tcPr>
            <w:tcW w:w="3260" w:type="dxa"/>
          </w:tcPr>
          <w:p w14:paraId="352E7C72" w14:textId="49FA8DA1" w:rsidR="00436C5A" w:rsidRPr="00B26C3D" w:rsidRDefault="00436C5A" w:rsidP="005A4228">
            <w:r w:rsidRPr="005965A3">
              <w:t>Chef</w:t>
            </w:r>
          </w:p>
        </w:tc>
        <w:tc>
          <w:tcPr>
            <w:tcW w:w="2249" w:type="dxa"/>
          </w:tcPr>
          <w:p w14:paraId="5368EF90" w14:textId="2C183D38" w:rsidR="00436C5A" w:rsidRPr="00B26C3D" w:rsidRDefault="00436C5A" w:rsidP="00436C5A">
            <w:pPr>
              <w:jc w:val="right"/>
            </w:pPr>
            <w:r w:rsidRPr="005965A3">
              <w:t>4</w:t>
            </w:r>
          </w:p>
        </w:tc>
        <w:tc>
          <w:tcPr>
            <w:tcW w:w="2249" w:type="dxa"/>
          </w:tcPr>
          <w:p w14:paraId="7BBB5275" w14:textId="38F15E1E" w:rsidR="00436C5A" w:rsidRPr="00B26C3D" w:rsidRDefault="00436C5A" w:rsidP="00436C5A">
            <w:pPr>
              <w:jc w:val="right"/>
            </w:pPr>
            <w:r w:rsidRPr="005965A3">
              <w:t>72.8%</w:t>
            </w:r>
          </w:p>
        </w:tc>
        <w:tc>
          <w:tcPr>
            <w:tcW w:w="2447" w:type="dxa"/>
          </w:tcPr>
          <w:p w14:paraId="5C5748F7" w14:textId="1EB47766" w:rsidR="00436C5A" w:rsidRPr="00B26C3D" w:rsidRDefault="00436C5A" w:rsidP="00436C5A">
            <w:pPr>
              <w:jc w:val="right"/>
            </w:pPr>
            <w:r w:rsidRPr="005965A3">
              <w:t>27.2%</w:t>
            </w:r>
          </w:p>
        </w:tc>
        <w:tc>
          <w:tcPr>
            <w:tcW w:w="2051" w:type="dxa"/>
          </w:tcPr>
          <w:p w14:paraId="1B970C51" w14:textId="0C553702" w:rsidR="00436C5A" w:rsidRPr="00B26C3D" w:rsidRDefault="00436C5A" w:rsidP="00436C5A">
            <w:pPr>
              <w:jc w:val="right"/>
            </w:pPr>
            <w:r w:rsidRPr="005965A3">
              <w:t>90,453</w:t>
            </w:r>
          </w:p>
        </w:tc>
      </w:tr>
      <w:tr w:rsidR="004856A0" w:rsidRPr="00B26C3D" w14:paraId="666F8F40"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4533F0AB" w14:textId="3C2C0EFC" w:rsidR="00436C5A" w:rsidRPr="00B26C3D" w:rsidRDefault="00436C5A" w:rsidP="00436C5A">
            <w:r w:rsidRPr="005965A3">
              <w:t>321211</w:t>
            </w:r>
          </w:p>
        </w:tc>
        <w:tc>
          <w:tcPr>
            <w:tcW w:w="3260" w:type="dxa"/>
          </w:tcPr>
          <w:p w14:paraId="74A499B3" w14:textId="0147A96D" w:rsidR="00436C5A" w:rsidRPr="00B26C3D" w:rsidRDefault="00436C5A" w:rsidP="005A4228">
            <w:r w:rsidRPr="005965A3">
              <w:t>Motor Mechanic (General)</w:t>
            </w:r>
          </w:p>
        </w:tc>
        <w:tc>
          <w:tcPr>
            <w:tcW w:w="2249" w:type="dxa"/>
          </w:tcPr>
          <w:p w14:paraId="69A9501A" w14:textId="353B5FD7" w:rsidR="00436C5A" w:rsidRPr="00B26C3D" w:rsidRDefault="00436C5A" w:rsidP="00436C5A">
            <w:pPr>
              <w:jc w:val="right"/>
            </w:pPr>
            <w:r w:rsidRPr="005965A3">
              <w:t>4</w:t>
            </w:r>
          </w:p>
        </w:tc>
        <w:tc>
          <w:tcPr>
            <w:tcW w:w="2249" w:type="dxa"/>
          </w:tcPr>
          <w:p w14:paraId="1F72DAD3" w14:textId="41D87926" w:rsidR="00436C5A" w:rsidRPr="00B26C3D" w:rsidRDefault="00436C5A" w:rsidP="00436C5A">
            <w:pPr>
              <w:jc w:val="right"/>
            </w:pPr>
            <w:r w:rsidRPr="005965A3">
              <w:t>98.1%</w:t>
            </w:r>
          </w:p>
        </w:tc>
        <w:tc>
          <w:tcPr>
            <w:tcW w:w="2447" w:type="dxa"/>
          </w:tcPr>
          <w:p w14:paraId="1441A147" w14:textId="28AC7512" w:rsidR="00436C5A" w:rsidRPr="00B26C3D" w:rsidRDefault="00436C5A" w:rsidP="00436C5A">
            <w:pPr>
              <w:jc w:val="right"/>
            </w:pPr>
            <w:r w:rsidRPr="005965A3">
              <w:t>1.9%</w:t>
            </w:r>
          </w:p>
        </w:tc>
        <w:tc>
          <w:tcPr>
            <w:tcW w:w="2051" w:type="dxa"/>
          </w:tcPr>
          <w:p w14:paraId="34D4E55A" w14:textId="7B13EFA1" w:rsidR="00436C5A" w:rsidRPr="00B26C3D" w:rsidRDefault="00436C5A" w:rsidP="00436C5A">
            <w:pPr>
              <w:jc w:val="right"/>
            </w:pPr>
            <w:r w:rsidRPr="005965A3">
              <w:t>79,296</w:t>
            </w:r>
          </w:p>
        </w:tc>
      </w:tr>
      <w:tr w:rsidR="00436C5A" w:rsidRPr="00B26C3D" w14:paraId="7144F981" w14:textId="77777777" w:rsidTr="006D65C2">
        <w:tc>
          <w:tcPr>
            <w:tcW w:w="1702" w:type="dxa"/>
          </w:tcPr>
          <w:p w14:paraId="60D7771E" w14:textId="46DCE741" w:rsidR="00436C5A" w:rsidRPr="00B26C3D" w:rsidRDefault="00436C5A" w:rsidP="00436C5A">
            <w:r w:rsidRPr="005965A3">
              <w:t>271311</w:t>
            </w:r>
          </w:p>
        </w:tc>
        <w:tc>
          <w:tcPr>
            <w:tcW w:w="3260" w:type="dxa"/>
          </w:tcPr>
          <w:p w14:paraId="4501B72E" w14:textId="23A07485" w:rsidR="00436C5A" w:rsidRPr="00B26C3D" w:rsidRDefault="00436C5A" w:rsidP="005A4228">
            <w:r w:rsidRPr="005965A3">
              <w:t>Solicitor</w:t>
            </w:r>
          </w:p>
        </w:tc>
        <w:tc>
          <w:tcPr>
            <w:tcW w:w="2249" w:type="dxa"/>
          </w:tcPr>
          <w:p w14:paraId="6DDD2E29" w14:textId="5DA2C5DE" w:rsidR="00436C5A" w:rsidRPr="00B26C3D" w:rsidRDefault="00436C5A" w:rsidP="00436C5A">
            <w:pPr>
              <w:jc w:val="right"/>
            </w:pPr>
            <w:r w:rsidRPr="005965A3">
              <w:t>2</w:t>
            </w:r>
          </w:p>
        </w:tc>
        <w:tc>
          <w:tcPr>
            <w:tcW w:w="2249" w:type="dxa"/>
          </w:tcPr>
          <w:p w14:paraId="5940BB8D" w14:textId="488DAE4A" w:rsidR="00436C5A" w:rsidRPr="00B26C3D" w:rsidRDefault="00436C5A" w:rsidP="00436C5A">
            <w:pPr>
              <w:jc w:val="right"/>
            </w:pPr>
            <w:r w:rsidRPr="005965A3">
              <w:t>45.8%</w:t>
            </w:r>
          </w:p>
        </w:tc>
        <w:tc>
          <w:tcPr>
            <w:tcW w:w="2447" w:type="dxa"/>
          </w:tcPr>
          <w:p w14:paraId="2367F65A" w14:textId="7E642226" w:rsidR="00436C5A" w:rsidRPr="00B26C3D" w:rsidRDefault="00436C5A" w:rsidP="00436C5A">
            <w:pPr>
              <w:jc w:val="right"/>
            </w:pPr>
            <w:r w:rsidRPr="005965A3">
              <w:t>54.2%</w:t>
            </w:r>
          </w:p>
        </w:tc>
        <w:tc>
          <w:tcPr>
            <w:tcW w:w="2051" w:type="dxa"/>
          </w:tcPr>
          <w:p w14:paraId="6662A446" w14:textId="627F00C4" w:rsidR="00436C5A" w:rsidRPr="00B26C3D" w:rsidRDefault="00436C5A" w:rsidP="00436C5A">
            <w:pPr>
              <w:jc w:val="right"/>
            </w:pPr>
            <w:r w:rsidRPr="005965A3">
              <w:t>69,704</w:t>
            </w:r>
          </w:p>
        </w:tc>
      </w:tr>
      <w:tr w:rsidR="004856A0" w:rsidRPr="00B26C3D" w14:paraId="3181C7C2"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7E24AF2A" w14:textId="3D4D4DDF" w:rsidR="00436C5A" w:rsidRPr="00B26C3D" w:rsidRDefault="00436C5A" w:rsidP="00436C5A">
            <w:r w:rsidRPr="005965A3">
              <w:t>323211</w:t>
            </w:r>
          </w:p>
        </w:tc>
        <w:tc>
          <w:tcPr>
            <w:tcW w:w="3260" w:type="dxa"/>
          </w:tcPr>
          <w:p w14:paraId="6060CE46" w14:textId="59B148B7" w:rsidR="00436C5A" w:rsidRPr="00B26C3D" w:rsidRDefault="00436C5A" w:rsidP="005A4228">
            <w:r w:rsidRPr="005965A3">
              <w:t>Fitter (General)</w:t>
            </w:r>
          </w:p>
        </w:tc>
        <w:tc>
          <w:tcPr>
            <w:tcW w:w="2249" w:type="dxa"/>
          </w:tcPr>
          <w:p w14:paraId="7CD6428C" w14:textId="013F731E" w:rsidR="00436C5A" w:rsidRPr="00B26C3D" w:rsidRDefault="00436C5A" w:rsidP="00436C5A">
            <w:pPr>
              <w:jc w:val="right"/>
            </w:pPr>
            <w:r w:rsidRPr="005965A3">
              <w:t>4</w:t>
            </w:r>
          </w:p>
        </w:tc>
        <w:tc>
          <w:tcPr>
            <w:tcW w:w="2249" w:type="dxa"/>
          </w:tcPr>
          <w:p w14:paraId="42C3DD03" w14:textId="7A30092E" w:rsidR="00436C5A" w:rsidRPr="00B26C3D" w:rsidRDefault="00436C5A" w:rsidP="00436C5A">
            <w:pPr>
              <w:jc w:val="right"/>
            </w:pPr>
            <w:r w:rsidRPr="005965A3">
              <w:t>97.9%</w:t>
            </w:r>
          </w:p>
        </w:tc>
        <w:tc>
          <w:tcPr>
            <w:tcW w:w="2447" w:type="dxa"/>
          </w:tcPr>
          <w:p w14:paraId="6F028225" w14:textId="1FDD2E43" w:rsidR="00436C5A" w:rsidRPr="00B26C3D" w:rsidRDefault="00436C5A" w:rsidP="00436C5A">
            <w:pPr>
              <w:jc w:val="right"/>
            </w:pPr>
            <w:r w:rsidRPr="005965A3">
              <w:t>2.1%</w:t>
            </w:r>
          </w:p>
        </w:tc>
        <w:tc>
          <w:tcPr>
            <w:tcW w:w="2051" w:type="dxa"/>
          </w:tcPr>
          <w:p w14:paraId="4E47BF46" w14:textId="03448BCC" w:rsidR="00436C5A" w:rsidRPr="00B26C3D" w:rsidRDefault="00436C5A" w:rsidP="00436C5A">
            <w:pPr>
              <w:jc w:val="right"/>
            </w:pPr>
            <w:r w:rsidRPr="005965A3">
              <w:t>68,498</w:t>
            </w:r>
          </w:p>
        </w:tc>
      </w:tr>
      <w:tr w:rsidR="00436C5A" w:rsidRPr="00B26C3D" w14:paraId="6895564C" w14:textId="77777777" w:rsidTr="006D65C2">
        <w:tc>
          <w:tcPr>
            <w:tcW w:w="1702" w:type="dxa"/>
          </w:tcPr>
          <w:p w14:paraId="5AD92375" w14:textId="77B3C136" w:rsidR="00436C5A" w:rsidRPr="00B26C3D" w:rsidRDefault="00436C5A" w:rsidP="00436C5A">
            <w:r w:rsidRPr="005965A3">
              <w:t>133111</w:t>
            </w:r>
          </w:p>
        </w:tc>
        <w:tc>
          <w:tcPr>
            <w:tcW w:w="3260" w:type="dxa"/>
          </w:tcPr>
          <w:p w14:paraId="5732325E" w14:textId="460825FC" w:rsidR="00436C5A" w:rsidRPr="00B26C3D" w:rsidRDefault="00436C5A" w:rsidP="005A4228">
            <w:r w:rsidRPr="005965A3">
              <w:t>Construction Project Manager</w:t>
            </w:r>
          </w:p>
        </w:tc>
        <w:tc>
          <w:tcPr>
            <w:tcW w:w="2249" w:type="dxa"/>
          </w:tcPr>
          <w:p w14:paraId="3BC32B72" w14:textId="41A61E92" w:rsidR="00436C5A" w:rsidRPr="00B26C3D" w:rsidRDefault="00436C5A" w:rsidP="00436C5A">
            <w:pPr>
              <w:jc w:val="right"/>
            </w:pPr>
            <w:r w:rsidRPr="005965A3">
              <w:t>4</w:t>
            </w:r>
          </w:p>
        </w:tc>
        <w:tc>
          <w:tcPr>
            <w:tcW w:w="2249" w:type="dxa"/>
          </w:tcPr>
          <w:p w14:paraId="49669273" w14:textId="1CEFA1B4" w:rsidR="00436C5A" w:rsidRPr="00B26C3D" w:rsidRDefault="00436C5A" w:rsidP="00436C5A">
            <w:pPr>
              <w:jc w:val="right"/>
            </w:pPr>
            <w:r w:rsidRPr="005965A3">
              <w:t>86.0%</w:t>
            </w:r>
          </w:p>
        </w:tc>
        <w:tc>
          <w:tcPr>
            <w:tcW w:w="2447" w:type="dxa"/>
          </w:tcPr>
          <w:p w14:paraId="7F0D1E0A" w14:textId="301B47FD" w:rsidR="00436C5A" w:rsidRPr="00B26C3D" w:rsidRDefault="00436C5A" w:rsidP="00436C5A">
            <w:pPr>
              <w:jc w:val="right"/>
            </w:pPr>
            <w:r w:rsidRPr="005965A3">
              <w:t>14.0%</w:t>
            </w:r>
          </w:p>
        </w:tc>
        <w:tc>
          <w:tcPr>
            <w:tcW w:w="2051" w:type="dxa"/>
          </w:tcPr>
          <w:p w14:paraId="354664C9" w14:textId="21A58755" w:rsidR="00436C5A" w:rsidRPr="00B26C3D" w:rsidRDefault="00436C5A" w:rsidP="00436C5A">
            <w:pPr>
              <w:jc w:val="right"/>
            </w:pPr>
            <w:r w:rsidRPr="005965A3">
              <w:t>64,866</w:t>
            </w:r>
          </w:p>
        </w:tc>
      </w:tr>
      <w:tr w:rsidR="004856A0" w:rsidRPr="00B26C3D" w14:paraId="19747C23"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0A60BEE8" w14:textId="66459A39" w:rsidR="00436C5A" w:rsidRPr="00B26C3D" w:rsidRDefault="00436C5A" w:rsidP="00436C5A">
            <w:r w:rsidRPr="005965A3">
              <w:t>261313</w:t>
            </w:r>
          </w:p>
        </w:tc>
        <w:tc>
          <w:tcPr>
            <w:tcW w:w="3260" w:type="dxa"/>
          </w:tcPr>
          <w:p w14:paraId="3C88888C" w14:textId="173A6E73" w:rsidR="00436C5A" w:rsidRPr="00B26C3D" w:rsidRDefault="00436C5A" w:rsidP="005A4228">
            <w:r w:rsidRPr="005965A3">
              <w:t>Software Engineer</w:t>
            </w:r>
          </w:p>
        </w:tc>
        <w:tc>
          <w:tcPr>
            <w:tcW w:w="2249" w:type="dxa"/>
          </w:tcPr>
          <w:p w14:paraId="5CEB3A86" w14:textId="37AC0147" w:rsidR="00436C5A" w:rsidRPr="00B26C3D" w:rsidRDefault="00436C5A" w:rsidP="00436C5A">
            <w:pPr>
              <w:jc w:val="right"/>
            </w:pPr>
            <w:r w:rsidRPr="005965A3">
              <w:t>4</w:t>
            </w:r>
          </w:p>
        </w:tc>
        <w:tc>
          <w:tcPr>
            <w:tcW w:w="2249" w:type="dxa"/>
          </w:tcPr>
          <w:p w14:paraId="47311473" w14:textId="5CB9CFEA" w:rsidR="00436C5A" w:rsidRPr="00B26C3D" w:rsidRDefault="00436C5A" w:rsidP="00436C5A">
            <w:pPr>
              <w:jc w:val="right"/>
            </w:pPr>
            <w:r w:rsidRPr="005965A3">
              <w:t>84.4%</w:t>
            </w:r>
          </w:p>
        </w:tc>
        <w:tc>
          <w:tcPr>
            <w:tcW w:w="2447" w:type="dxa"/>
          </w:tcPr>
          <w:p w14:paraId="40EA5D96" w14:textId="5F6A3D04" w:rsidR="00436C5A" w:rsidRPr="00B26C3D" w:rsidRDefault="00436C5A" w:rsidP="00436C5A">
            <w:pPr>
              <w:jc w:val="right"/>
            </w:pPr>
            <w:r w:rsidRPr="005965A3">
              <w:t>15.6%</w:t>
            </w:r>
          </w:p>
        </w:tc>
        <w:tc>
          <w:tcPr>
            <w:tcW w:w="2051" w:type="dxa"/>
          </w:tcPr>
          <w:p w14:paraId="7A152D36" w14:textId="09B3A9B5" w:rsidR="00436C5A" w:rsidRPr="00B26C3D" w:rsidRDefault="00436C5A" w:rsidP="00436C5A">
            <w:pPr>
              <w:jc w:val="right"/>
            </w:pPr>
            <w:r w:rsidRPr="005965A3">
              <w:t>54,294</w:t>
            </w:r>
          </w:p>
        </w:tc>
      </w:tr>
      <w:tr w:rsidR="00436C5A" w:rsidRPr="00B26C3D" w14:paraId="26B6BC55" w14:textId="77777777" w:rsidTr="006D65C2">
        <w:tc>
          <w:tcPr>
            <w:tcW w:w="1702" w:type="dxa"/>
          </w:tcPr>
          <w:p w14:paraId="24CB0696" w14:textId="4C8243C5" w:rsidR="00436C5A" w:rsidRPr="00B26C3D" w:rsidRDefault="00436C5A" w:rsidP="00436C5A">
            <w:r w:rsidRPr="005965A3">
              <w:t>391111</w:t>
            </w:r>
          </w:p>
        </w:tc>
        <w:tc>
          <w:tcPr>
            <w:tcW w:w="3260" w:type="dxa"/>
          </w:tcPr>
          <w:p w14:paraId="1BC860FE" w14:textId="3C6EAD31" w:rsidR="00436C5A" w:rsidRPr="00B26C3D" w:rsidRDefault="00436C5A" w:rsidP="005A4228">
            <w:r w:rsidRPr="005965A3">
              <w:t>Hairdresser</w:t>
            </w:r>
          </w:p>
        </w:tc>
        <w:tc>
          <w:tcPr>
            <w:tcW w:w="2249" w:type="dxa"/>
          </w:tcPr>
          <w:p w14:paraId="713DA219" w14:textId="7CF6F55B" w:rsidR="00436C5A" w:rsidRPr="00B26C3D" w:rsidRDefault="00436C5A" w:rsidP="00436C5A">
            <w:pPr>
              <w:jc w:val="right"/>
            </w:pPr>
            <w:r w:rsidRPr="005965A3">
              <w:t>4</w:t>
            </w:r>
          </w:p>
        </w:tc>
        <w:tc>
          <w:tcPr>
            <w:tcW w:w="2249" w:type="dxa"/>
          </w:tcPr>
          <w:p w14:paraId="64809144" w14:textId="292FABFB" w:rsidR="00436C5A" w:rsidRPr="00B26C3D" w:rsidRDefault="00436C5A" w:rsidP="00436C5A">
            <w:pPr>
              <w:jc w:val="right"/>
            </w:pPr>
            <w:r w:rsidRPr="005965A3">
              <w:t>16.3%</w:t>
            </w:r>
          </w:p>
        </w:tc>
        <w:tc>
          <w:tcPr>
            <w:tcW w:w="2447" w:type="dxa"/>
          </w:tcPr>
          <w:p w14:paraId="3351C508" w14:textId="24E582D8" w:rsidR="00436C5A" w:rsidRPr="00B26C3D" w:rsidRDefault="00436C5A" w:rsidP="00436C5A">
            <w:pPr>
              <w:jc w:val="right"/>
            </w:pPr>
            <w:r w:rsidRPr="005965A3">
              <w:t>83.7%</w:t>
            </w:r>
          </w:p>
        </w:tc>
        <w:tc>
          <w:tcPr>
            <w:tcW w:w="2051" w:type="dxa"/>
          </w:tcPr>
          <w:p w14:paraId="630089E3" w14:textId="13D956F6" w:rsidR="00436C5A" w:rsidRPr="00B26C3D" w:rsidRDefault="00436C5A" w:rsidP="00436C5A">
            <w:pPr>
              <w:jc w:val="right"/>
            </w:pPr>
            <w:r w:rsidRPr="005965A3">
              <w:t>53,579</w:t>
            </w:r>
          </w:p>
        </w:tc>
      </w:tr>
      <w:tr w:rsidR="004856A0" w:rsidRPr="00B26C3D" w14:paraId="76C4411E"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4B63CDD0" w14:textId="13E9E194" w:rsidR="00436C5A" w:rsidRPr="00B26C3D" w:rsidRDefault="00436C5A" w:rsidP="00436C5A">
            <w:r w:rsidRPr="005965A3">
              <w:t>253111</w:t>
            </w:r>
          </w:p>
        </w:tc>
        <w:tc>
          <w:tcPr>
            <w:tcW w:w="3260" w:type="dxa"/>
          </w:tcPr>
          <w:p w14:paraId="4EDB8299" w14:textId="0E7FA5D0" w:rsidR="00436C5A" w:rsidRPr="00B26C3D" w:rsidRDefault="00436C5A" w:rsidP="005A4228">
            <w:r w:rsidRPr="005965A3">
              <w:t>General Practitioner</w:t>
            </w:r>
          </w:p>
        </w:tc>
        <w:tc>
          <w:tcPr>
            <w:tcW w:w="2249" w:type="dxa"/>
          </w:tcPr>
          <w:p w14:paraId="562DFFD9" w14:textId="5208D522" w:rsidR="00436C5A" w:rsidRPr="00B26C3D" w:rsidRDefault="00436C5A" w:rsidP="00436C5A">
            <w:pPr>
              <w:jc w:val="right"/>
            </w:pPr>
            <w:r w:rsidRPr="005965A3">
              <w:t>4</w:t>
            </w:r>
          </w:p>
        </w:tc>
        <w:tc>
          <w:tcPr>
            <w:tcW w:w="2249" w:type="dxa"/>
          </w:tcPr>
          <w:p w14:paraId="3DBD009F" w14:textId="37E55883" w:rsidR="00436C5A" w:rsidRPr="00B26C3D" w:rsidRDefault="00436C5A" w:rsidP="00436C5A">
            <w:pPr>
              <w:jc w:val="right"/>
            </w:pPr>
            <w:r w:rsidRPr="005965A3">
              <w:t>52.3%</w:t>
            </w:r>
          </w:p>
        </w:tc>
        <w:tc>
          <w:tcPr>
            <w:tcW w:w="2447" w:type="dxa"/>
          </w:tcPr>
          <w:p w14:paraId="16CDB6F8" w14:textId="7481674A" w:rsidR="00436C5A" w:rsidRPr="00B26C3D" w:rsidRDefault="00436C5A" w:rsidP="00436C5A">
            <w:pPr>
              <w:jc w:val="right"/>
            </w:pPr>
            <w:r w:rsidRPr="005965A3">
              <w:t>47.7%</w:t>
            </w:r>
          </w:p>
        </w:tc>
        <w:tc>
          <w:tcPr>
            <w:tcW w:w="2051" w:type="dxa"/>
          </w:tcPr>
          <w:p w14:paraId="6CF10E73" w14:textId="23646996" w:rsidR="00436C5A" w:rsidRPr="00B26C3D" w:rsidRDefault="00436C5A" w:rsidP="00436C5A">
            <w:pPr>
              <w:jc w:val="right"/>
            </w:pPr>
            <w:r w:rsidRPr="005965A3">
              <w:t>48,705</w:t>
            </w:r>
          </w:p>
        </w:tc>
      </w:tr>
      <w:tr w:rsidR="00436C5A" w:rsidRPr="00B26C3D" w14:paraId="23A02384" w14:textId="77777777" w:rsidTr="006D65C2">
        <w:tc>
          <w:tcPr>
            <w:tcW w:w="1702" w:type="dxa"/>
          </w:tcPr>
          <w:p w14:paraId="6203191A" w14:textId="5E3361F4" w:rsidR="00436C5A" w:rsidRPr="00B26C3D" w:rsidRDefault="00436C5A" w:rsidP="00436C5A">
            <w:r w:rsidRPr="005965A3">
              <w:t>133112</w:t>
            </w:r>
          </w:p>
        </w:tc>
        <w:tc>
          <w:tcPr>
            <w:tcW w:w="3260" w:type="dxa"/>
          </w:tcPr>
          <w:p w14:paraId="2BE6E85E" w14:textId="7441ABE6" w:rsidR="00436C5A" w:rsidRPr="00B26C3D" w:rsidRDefault="00436C5A" w:rsidP="005A4228">
            <w:r w:rsidRPr="005965A3">
              <w:t>Project Builder</w:t>
            </w:r>
          </w:p>
        </w:tc>
        <w:tc>
          <w:tcPr>
            <w:tcW w:w="2249" w:type="dxa"/>
          </w:tcPr>
          <w:p w14:paraId="546D2388" w14:textId="166C83BA" w:rsidR="00436C5A" w:rsidRPr="00B26C3D" w:rsidRDefault="00436C5A" w:rsidP="00436C5A">
            <w:pPr>
              <w:jc w:val="right"/>
            </w:pPr>
            <w:r w:rsidRPr="005965A3">
              <w:t>4</w:t>
            </w:r>
          </w:p>
        </w:tc>
        <w:tc>
          <w:tcPr>
            <w:tcW w:w="2249" w:type="dxa"/>
          </w:tcPr>
          <w:p w14:paraId="79F8F9E2" w14:textId="5C064312" w:rsidR="00436C5A" w:rsidRPr="00B26C3D" w:rsidRDefault="00436C5A" w:rsidP="00436C5A">
            <w:pPr>
              <w:jc w:val="right"/>
            </w:pPr>
            <w:r w:rsidRPr="005965A3">
              <w:t>95.2%</w:t>
            </w:r>
          </w:p>
        </w:tc>
        <w:tc>
          <w:tcPr>
            <w:tcW w:w="2447" w:type="dxa"/>
          </w:tcPr>
          <w:p w14:paraId="5F975F5E" w14:textId="7747F4D5" w:rsidR="00436C5A" w:rsidRPr="00B26C3D" w:rsidRDefault="00436C5A" w:rsidP="00436C5A">
            <w:pPr>
              <w:jc w:val="right"/>
            </w:pPr>
            <w:r w:rsidRPr="005965A3">
              <w:t>4.8%</w:t>
            </w:r>
          </w:p>
        </w:tc>
        <w:tc>
          <w:tcPr>
            <w:tcW w:w="2051" w:type="dxa"/>
          </w:tcPr>
          <w:p w14:paraId="4D327430" w14:textId="1E8893C8" w:rsidR="00436C5A" w:rsidRPr="00B26C3D" w:rsidRDefault="00436C5A" w:rsidP="00436C5A">
            <w:pPr>
              <w:jc w:val="right"/>
            </w:pPr>
            <w:r w:rsidRPr="005965A3">
              <w:t>47,845</w:t>
            </w:r>
          </w:p>
        </w:tc>
      </w:tr>
      <w:tr w:rsidR="004856A0" w:rsidRPr="00B26C3D" w14:paraId="0B1ABE16"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517F3CC5" w14:textId="789A11A1" w:rsidR="00436C5A" w:rsidRPr="00B26C3D" w:rsidRDefault="00436C5A" w:rsidP="00436C5A">
            <w:r w:rsidRPr="005965A3">
              <w:t>261312</w:t>
            </w:r>
          </w:p>
        </w:tc>
        <w:tc>
          <w:tcPr>
            <w:tcW w:w="3260" w:type="dxa"/>
          </w:tcPr>
          <w:p w14:paraId="194B25CA" w14:textId="49A3539C" w:rsidR="00436C5A" w:rsidRPr="00B26C3D" w:rsidRDefault="00436C5A" w:rsidP="005A4228">
            <w:r w:rsidRPr="005965A3">
              <w:t>Developer Programmer</w:t>
            </w:r>
          </w:p>
        </w:tc>
        <w:tc>
          <w:tcPr>
            <w:tcW w:w="2249" w:type="dxa"/>
          </w:tcPr>
          <w:p w14:paraId="72F57026" w14:textId="19CB66E9" w:rsidR="00436C5A" w:rsidRPr="00B26C3D" w:rsidRDefault="00436C5A" w:rsidP="00436C5A">
            <w:pPr>
              <w:jc w:val="right"/>
            </w:pPr>
            <w:r w:rsidRPr="005965A3">
              <w:t>4</w:t>
            </w:r>
          </w:p>
        </w:tc>
        <w:tc>
          <w:tcPr>
            <w:tcW w:w="2249" w:type="dxa"/>
          </w:tcPr>
          <w:p w14:paraId="4CDC63BB" w14:textId="2B37A6F4" w:rsidR="00436C5A" w:rsidRPr="00B26C3D" w:rsidRDefault="00436C5A" w:rsidP="00436C5A">
            <w:pPr>
              <w:jc w:val="right"/>
            </w:pPr>
            <w:r w:rsidRPr="005965A3">
              <w:t>83.5%</w:t>
            </w:r>
          </w:p>
        </w:tc>
        <w:tc>
          <w:tcPr>
            <w:tcW w:w="2447" w:type="dxa"/>
          </w:tcPr>
          <w:p w14:paraId="3DEAD593" w14:textId="110C9BDC" w:rsidR="00436C5A" w:rsidRPr="00B26C3D" w:rsidRDefault="00436C5A" w:rsidP="00436C5A">
            <w:pPr>
              <w:jc w:val="right"/>
            </w:pPr>
            <w:r w:rsidRPr="005965A3">
              <w:t>16.5%</w:t>
            </w:r>
          </w:p>
        </w:tc>
        <w:tc>
          <w:tcPr>
            <w:tcW w:w="2051" w:type="dxa"/>
          </w:tcPr>
          <w:p w14:paraId="75103DAB" w14:textId="2BC409C2" w:rsidR="00436C5A" w:rsidRPr="00B26C3D" w:rsidRDefault="00436C5A" w:rsidP="00436C5A">
            <w:pPr>
              <w:jc w:val="right"/>
            </w:pPr>
            <w:r w:rsidRPr="005965A3">
              <w:t>43,946</w:t>
            </w:r>
          </w:p>
        </w:tc>
      </w:tr>
      <w:tr w:rsidR="00436C5A" w:rsidRPr="00B26C3D" w14:paraId="7BA8BBE6" w14:textId="77777777" w:rsidTr="006D65C2">
        <w:tc>
          <w:tcPr>
            <w:tcW w:w="1702" w:type="dxa"/>
          </w:tcPr>
          <w:p w14:paraId="1BFB1A4D" w14:textId="1AB73238" w:rsidR="00436C5A" w:rsidRPr="00B26C3D" w:rsidRDefault="00436C5A" w:rsidP="00436C5A">
            <w:r w:rsidRPr="005965A3">
              <w:t>322311</w:t>
            </w:r>
          </w:p>
        </w:tc>
        <w:tc>
          <w:tcPr>
            <w:tcW w:w="3260" w:type="dxa"/>
          </w:tcPr>
          <w:p w14:paraId="0B2CBA51" w14:textId="010E408D" w:rsidR="00436C5A" w:rsidRPr="00B26C3D" w:rsidRDefault="00436C5A" w:rsidP="005A4228">
            <w:r w:rsidRPr="005965A3">
              <w:t>Metal Fabricator</w:t>
            </w:r>
          </w:p>
        </w:tc>
        <w:tc>
          <w:tcPr>
            <w:tcW w:w="2249" w:type="dxa"/>
          </w:tcPr>
          <w:p w14:paraId="4DF46DB2" w14:textId="1ACF0929" w:rsidR="00436C5A" w:rsidRPr="00B26C3D" w:rsidRDefault="00436C5A" w:rsidP="00436C5A">
            <w:pPr>
              <w:jc w:val="right"/>
            </w:pPr>
            <w:r w:rsidRPr="005965A3">
              <w:t>4</w:t>
            </w:r>
          </w:p>
        </w:tc>
        <w:tc>
          <w:tcPr>
            <w:tcW w:w="2249" w:type="dxa"/>
          </w:tcPr>
          <w:p w14:paraId="35212F50" w14:textId="139F3C9F" w:rsidR="00436C5A" w:rsidRPr="00B26C3D" w:rsidRDefault="00436C5A" w:rsidP="00436C5A">
            <w:pPr>
              <w:jc w:val="right"/>
            </w:pPr>
            <w:r w:rsidRPr="005965A3">
              <w:t>98.9%</w:t>
            </w:r>
          </w:p>
        </w:tc>
        <w:tc>
          <w:tcPr>
            <w:tcW w:w="2447" w:type="dxa"/>
          </w:tcPr>
          <w:p w14:paraId="5520EE3F" w14:textId="5EE54CC1" w:rsidR="00436C5A" w:rsidRPr="00B26C3D" w:rsidRDefault="00436C5A" w:rsidP="00436C5A">
            <w:pPr>
              <w:jc w:val="right"/>
            </w:pPr>
            <w:r w:rsidRPr="005965A3">
              <w:t>1.1%</w:t>
            </w:r>
          </w:p>
        </w:tc>
        <w:tc>
          <w:tcPr>
            <w:tcW w:w="2051" w:type="dxa"/>
          </w:tcPr>
          <w:p w14:paraId="6B60CD16" w14:textId="1DBE7805" w:rsidR="00436C5A" w:rsidRPr="00B26C3D" w:rsidRDefault="00436C5A" w:rsidP="00436C5A">
            <w:pPr>
              <w:jc w:val="right"/>
            </w:pPr>
            <w:r w:rsidRPr="005965A3">
              <w:t>42,572</w:t>
            </w:r>
          </w:p>
        </w:tc>
      </w:tr>
      <w:tr w:rsidR="004856A0" w:rsidRPr="00B26C3D" w14:paraId="1686092E" w14:textId="77777777" w:rsidTr="006D65C2">
        <w:trPr>
          <w:cnfStyle w:val="000000010000" w:firstRow="0" w:lastRow="0" w:firstColumn="0" w:lastColumn="0" w:oddVBand="0" w:evenVBand="0" w:oddHBand="0" w:evenHBand="1" w:firstRowFirstColumn="0" w:firstRowLastColumn="0" w:lastRowFirstColumn="0" w:lastRowLastColumn="0"/>
        </w:trPr>
        <w:tc>
          <w:tcPr>
            <w:tcW w:w="1702" w:type="dxa"/>
          </w:tcPr>
          <w:p w14:paraId="133D70F3" w14:textId="2F0F2931" w:rsidR="00436C5A" w:rsidRPr="00B26C3D" w:rsidRDefault="00436C5A" w:rsidP="00436C5A">
            <w:r w:rsidRPr="005965A3">
              <w:t>423313</w:t>
            </w:r>
          </w:p>
        </w:tc>
        <w:tc>
          <w:tcPr>
            <w:tcW w:w="3260" w:type="dxa"/>
          </w:tcPr>
          <w:p w14:paraId="3722E0A3" w14:textId="73ABFA50" w:rsidR="00436C5A" w:rsidRPr="00B26C3D" w:rsidRDefault="00436C5A" w:rsidP="005A4228">
            <w:r w:rsidRPr="005965A3">
              <w:t>Personal Care Assistant</w:t>
            </w:r>
          </w:p>
        </w:tc>
        <w:tc>
          <w:tcPr>
            <w:tcW w:w="2249" w:type="dxa"/>
          </w:tcPr>
          <w:p w14:paraId="50109632" w14:textId="27AED423" w:rsidR="00436C5A" w:rsidRPr="00B26C3D" w:rsidRDefault="00436C5A" w:rsidP="00436C5A">
            <w:pPr>
              <w:jc w:val="right"/>
            </w:pPr>
            <w:r w:rsidRPr="005965A3">
              <w:t>4</w:t>
            </w:r>
          </w:p>
        </w:tc>
        <w:tc>
          <w:tcPr>
            <w:tcW w:w="2249" w:type="dxa"/>
          </w:tcPr>
          <w:p w14:paraId="275ED2DC" w14:textId="790D0CF7" w:rsidR="00436C5A" w:rsidRPr="00B26C3D" w:rsidRDefault="00436C5A" w:rsidP="00436C5A">
            <w:pPr>
              <w:jc w:val="right"/>
            </w:pPr>
            <w:r w:rsidRPr="005965A3">
              <w:t>13.6%</w:t>
            </w:r>
          </w:p>
        </w:tc>
        <w:tc>
          <w:tcPr>
            <w:tcW w:w="2447" w:type="dxa"/>
          </w:tcPr>
          <w:p w14:paraId="7BCBFB77" w14:textId="04B76029" w:rsidR="00436C5A" w:rsidRPr="00B26C3D" w:rsidRDefault="00436C5A" w:rsidP="00436C5A">
            <w:pPr>
              <w:jc w:val="right"/>
            </w:pPr>
            <w:r w:rsidRPr="005965A3">
              <w:t>86.4%</w:t>
            </w:r>
          </w:p>
        </w:tc>
        <w:tc>
          <w:tcPr>
            <w:tcW w:w="2051" w:type="dxa"/>
          </w:tcPr>
          <w:p w14:paraId="5B7AF140" w14:textId="09F0C543" w:rsidR="00436C5A" w:rsidRPr="00B26C3D" w:rsidRDefault="00436C5A" w:rsidP="00436C5A">
            <w:pPr>
              <w:jc w:val="right"/>
            </w:pPr>
            <w:r w:rsidRPr="005965A3">
              <w:t>42,336</w:t>
            </w:r>
          </w:p>
        </w:tc>
      </w:tr>
    </w:tbl>
    <w:p w14:paraId="68D1DB01" w14:textId="1065284D" w:rsidR="000059B5" w:rsidRPr="00BB35AF" w:rsidRDefault="00E70D25" w:rsidP="003B4428">
      <w:pPr>
        <w:pStyle w:val="Source"/>
      </w:pPr>
      <w:r w:rsidRPr="005965A3">
        <w:t>Source:</w:t>
      </w:r>
      <w:r w:rsidRPr="008777AD">
        <w:t xml:space="preserve"> Jobs and Skills Australia, Occupation Shortage List, 2021</w:t>
      </w:r>
      <w:r w:rsidR="000C6347" w:rsidRPr="00AA07EC">
        <w:t>–24</w:t>
      </w:r>
      <w:r w:rsidRPr="008777AD">
        <w:t xml:space="preserve">; </w:t>
      </w:r>
      <w:r w:rsidR="003154DD" w:rsidRPr="003154DD">
        <w:t>Australian Bureau of Statistics</w:t>
      </w:r>
      <w:r w:rsidRPr="008777AD">
        <w:t>, 2021 Census of Population and Housing.</w:t>
      </w:r>
    </w:p>
    <w:p w14:paraId="0FD11175" w14:textId="77777777" w:rsidR="00E70D25" w:rsidRDefault="00E70D25" w:rsidP="00E70D25">
      <w:pPr>
        <w:pStyle w:val="Heading2"/>
        <w:sectPr w:rsidR="00E70D25" w:rsidSect="009B2A15">
          <w:pgSz w:w="16838" w:h="11906" w:orient="landscape"/>
          <w:pgMar w:top="1366" w:right="1440" w:bottom="1366" w:left="1440" w:header="0" w:footer="709" w:gutter="0"/>
          <w:cols w:space="708"/>
          <w:titlePg/>
          <w:docGrid w:linePitch="360"/>
        </w:sectPr>
      </w:pPr>
    </w:p>
    <w:p w14:paraId="6297684E" w14:textId="49C4B1FA" w:rsidR="00E70D25" w:rsidRPr="00E70D25" w:rsidRDefault="00E70D25" w:rsidP="00E70D25">
      <w:pPr>
        <w:pStyle w:val="Heading2"/>
      </w:pPr>
      <w:bookmarkStart w:id="55" w:name="_Toc174355995"/>
      <w:bookmarkStart w:id="56" w:name="_Toc180136438"/>
      <w:r w:rsidRPr="00E70D25">
        <w:lastRenderedPageBreak/>
        <w:t>Gender-skew in occupations could impact shortages</w:t>
      </w:r>
      <w:bookmarkEnd w:id="55"/>
      <w:bookmarkEnd w:id="56"/>
    </w:p>
    <w:p w14:paraId="65895804" w14:textId="529B88CC" w:rsidR="00E70D25" w:rsidRPr="00705D81" w:rsidRDefault="00275BEC" w:rsidP="00E70D25">
      <w:r>
        <w:t xml:space="preserve">At the national level, </w:t>
      </w:r>
      <w:r w:rsidR="00E70D25" w:rsidRPr="1A647D3A">
        <w:t xml:space="preserve">employment by gender is almost even (52% </w:t>
      </w:r>
      <w:r w:rsidR="003218E3">
        <w:t>men</w:t>
      </w:r>
      <w:r w:rsidR="00E70D25" w:rsidRPr="1A647D3A">
        <w:t xml:space="preserve"> </w:t>
      </w:r>
      <w:r w:rsidR="00FD2842">
        <w:t>versus</w:t>
      </w:r>
      <w:r w:rsidR="00E70D25" w:rsidRPr="1A647D3A">
        <w:t xml:space="preserve"> 48% </w:t>
      </w:r>
      <w:r w:rsidR="003218E3">
        <w:t>women</w:t>
      </w:r>
      <w:r w:rsidR="00E70D25" w:rsidRPr="1A647D3A">
        <w:t xml:space="preserve">), but </w:t>
      </w:r>
      <w:r w:rsidR="00A35170">
        <w:t xml:space="preserve">some occupations have </w:t>
      </w:r>
      <w:r w:rsidR="00E70D25" w:rsidRPr="1A647D3A">
        <w:t xml:space="preserve">significant gender </w:t>
      </w:r>
      <w:r w:rsidR="00E70D25">
        <w:t>imbalance</w:t>
      </w:r>
      <w:r w:rsidR="002B31F6">
        <w:t>s</w:t>
      </w:r>
      <w:r w:rsidR="00E70D25" w:rsidRPr="1A647D3A">
        <w:t>.</w:t>
      </w:r>
    </w:p>
    <w:p w14:paraId="353A2DCF" w14:textId="1C5A4FC3" w:rsidR="005A111D" w:rsidRDefault="00E70D25" w:rsidP="00E70D25">
      <w:pPr>
        <w:rPr>
          <w:rFonts w:eastAsiaTheme="minorEastAsia"/>
        </w:rPr>
      </w:pPr>
      <w:r w:rsidRPr="1A647D3A">
        <w:t>Analysis of the 202</w:t>
      </w:r>
      <w:r>
        <w:t>4</w:t>
      </w:r>
      <w:r w:rsidRPr="1A647D3A">
        <w:t xml:space="preserve"> </w:t>
      </w:r>
      <w:r>
        <w:t>OSL</w:t>
      </w:r>
      <w:r w:rsidRPr="1A647D3A">
        <w:t xml:space="preserve"> </w:t>
      </w:r>
      <w:r w:rsidR="00EC0E21">
        <w:t xml:space="preserve">results </w:t>
      </w:r>
      <w:r w:rsidRPr="1A647D3A">
        <w:t>show</w:t>
      </w:r>
      <w:r w:rsidR="00880CDC">
        <w:t>ed</w:t>
      </w:r>
      <w:r w:rsidRPr="1A647D3A">
        <w:t xml:space="preserve"> that occupations </w:t>
      </w:r>
      <w:r>
        <w:t xml:space="preserve">with </w:t>
      </w:r>
      <w:r w:rsidR="007D11A6">
        <w:t>a</w:t>
      </w:r>
      <w:r>
        <w:t xml:space="preserve"> </w:t>
      </w:r>
      <w:r w:rsidR="008E178D">
        <w:t xml:space="preserve">gender-skewed </w:t>
      </w:r>
      <w:r>
        <w:t xml:space="preserve">workforce </w:t>
      </w:r>
      <w:r w:rsidRPr="1A647D3A">
        <w:rPr>
          <w:rFonts w:eastAsiaTheme="minorEastAsia"/>
        </w:rPr>
        <w:t xml:space="preserve">were more likely to be in </w:t>
      </w:r>
      <w:r w:rsidR="003F7F63">
        <w:rPr>
          <w:rFonts w:eastAsiaTheme="minorEastAsia"/>
        </w:rPr>
        <w:t>Shortage</w:t>
      </w:r>
      <w:r>
        <w:rPr>
          <w:rFonts w:eastAsiaTheme="minorEastAsia"/>
        </w:rPr>
        <w:t xml:space="preserve"> </w:t>
      </w:r>
      <w:r w:rsidRPr="1A647D3A">
        <w:rPr>
          <w:rFonts w:eastAsiaTheme="minorEastAsia"/>
        </w:rPr>
        <w:t>(</w:t>
      </w:r>
      <w:r w:rsidR="0062465C">
        <w:rPr>
          <w:rFonts w:eastAsiaTheme="minorEastAsia"/>
        </w:rPr>
        <w:fldChar w:fldCharType="begin"/>
      </w:r>
      <w:r w:rsidR="0062465C">
        <w:rPr>
          <w:rFonts w:eastAsiaTheme="minorEastAsia"/>
        </w:rPr>
        <w:instrText xml:space="preserve"> REF _Ref176192869 \h </w:instrText>
      </w:r>
      <w:r w:rsidR="0062465C">
        <w:rPr>
          <w:rFonts w:eastAsiaTheme="minorEastAsia"/>
        </w:rPr>
      </w:r>
      <w:r w:rsidR="0062465C">
        <w:rPr>
          <w:rFonts w:eastAsiaTheme="minorEastAsia"/>
        </w:rPr>
        <w:fldChar w:fldCharType="separate"/>
      </w:r>
      <w:r w:rsidR="00A35392">
        <w:t xml:space="preserve">Figure </w:t>
      </w:r>
      <w:r w:rsidR="00A35392">
        <w:rPr>
          <w:noProof/>
        </w:rPr>
        <w:t>10</w:t>
      </w:r>
      <w:r w:rsidR="0062465C">
        <w:rPr>
          <w:rFonts w:eastAsiaTheme="minorEastAsia"/>
        </w:rPr>
        <w:fldChar w:fldCharType="end"/>
      </w:r>
      <w:r w:rsidRPr="1A647D3A">
        <w:rPr>
          <w:rFonts w:eastAsiaTheme="minorEastAsia"/>
        </w:rPr>
        <w:t>)</w:t>
      </w:r>
      <w:r>
        <w:rPr>
          <w:rFonts w:eastAsiaTheme="minorEastAsia"/>
        </w:rPr>
        <w:t>.</w:t>
      </w:r>
      <w:r w:rsidRPr="1A647D3A">
        <w:rPr>
          <w:rFonts w:eastAsiaTheme="minorEastAsia"/>
        </w:rPr>
        <w:t xml:space="preserve"> </w:t>
      </w:r>
    </w:p>
    <w:p w14:paraId="364043B3" w14:textId="77A56823" w:rsidR="00EB0616" w:rsidRPr="005965A3" w:rsidRDefault="00427EC3" w:rsidP="00235EA8">
      <w:pPr>
        <w:pStyle w:val="ListBullet"/>
        <w:rPr>
          <w:lang w:val="en-AU"/>
        </w:rPr>
      </w:pPr>
      <w:r w:rsidRPr="005965A3">
        <w:rPr>
          <w:lang w:val="en-AU"/>
        </w:rPr>
        <w:t>Half</w:t>
      </w:r>
      <w:r w:rsidR="00EF6D85" w:rsidRPr="005965A3">
        <w:rPr>
          <w:lang w:val="en-AU"/>
        </w:rPr>
        <w:t xml:space="preserve"> (5</w:t>
      </w:r>
      <w:r w:rsidRPr="005965A3">
        <w:rPr>
          <w:lang w:val="en-AU"/>
        </w:rPr>
        <w:t>0</w:t>
      </w:r>
      <w:r w:rsidR="00EF6D85" w:rsidRPr="005965A3">
        <w:rPr>
          <w:lang w:val="en-AU"/>
        </w:rPr>
        <w:t xml:space="preserve">%) </w:t>
      </w:r>
      <w:r w:rsidR="00E70D25" w:rsidRPr="005965A3">
        <w:rPr>
          <w:lang w:val="en-AU"/>
        </w:rPr>
        <w:t xml:space="preserve">of </w:t>
      </w:r>
      <w:r w:rsidR="00280A9F" w:rsidRPr="005965A3">
        <w:rPr>
          <w:lang w:val="en-AU"/>
        </w:rPr>
        <w:t xml:space="preserve">the </w:t>
      </w:r>
      <w:r w:rsidR="00E70D25" w:rsidRPr="005965A3">
        <w:rPr>
          <w:lang w:val="en-AU"/>
        </w:rPr>
        <w:t xml:space="preserve">occupations where men </w:t>
      </w:r>
      <w:r w:rsidR="003C63E7" w:rsidRPr="005965A3">
        <w:rPr>
          <w:lang w:val="en-AU"/>
        </w:rPr>
        <w:t xml:space="preserve">constituted </w:t>
      </w:r>
      <w:r w:rsidR="00E70D25" w:rsidRPr="005965A3">
        <w:rPr>
          <w:lang w:val="en-AU"/>
        </w:rPr>
        <w:t xml:space="preserve">at least 80% of the workforce were in </w:t>
      </w:r>
      <w:r w:rsidR="003F7F63">
        <w:rPr>
          <w:lang w:val="en-AU"/>
        </w:rPr>
        <w:t>Shortage</w:t>
      </w:r>
      <w:r w:rsidR="00291381" w:rsidRPr="005965A3">
        <w:rPr>
          <w:lang w:val="en-AU"/>
        </w:rPr>
        <w:t>.</w:t>
      </w:r>
      <w:r w:rsidR="00E70D25" w:rsidRPr="005965A3">
        <w:rPr>
          <w:lang w:val="en-AU"/>
        </w:rPr>
        <w:t xml:space="preserve"> </w:t>
      </w:r>
      <w:r w:rsidR="0093629E" w:rsidRPr="005965A3">
        <w:rPr>
          <w:lang w:val="en-AU"/>
        </w:rPr>
        <w:t>These occupations</w:t>
      </w:r>
      <w:r w:rsidR="00481C66" w:rsidRPr="005965A3">
        <w:rPr>
          <w:lang w:val="en-AU"/>
        </w:rPr>
        <w:t xml:space="preserve"> were </w:t>
      </w:r>
      <w:r w:rsidR="00E70D25" w:rsidRPr="005965A3">
        <w:rPr>
          <w:lang w:val="en-AU"/>
        </w:rPr>
        <w:t>concentrated in</w:t>
      </w:r>
      <w:r w:rsidR="00393333" w:rsidRPr="005965A3">
        <w:rPr>
          <w:lang w:val="en-AU"/>
        </w:rPr>
        <w:t xml:space="preserve"> the</w:t>
      </w:r>
      <w:r w:rsidR="00E70D25" w:rsidRPr="005965A3">
        <w:rPr>
          <w:lang w:val="en-AU"/>
        </w:rPr>
        <w:t xml:space="preserve"> Technicians and Trades Workers, Machinery Operators and Drivers, and Labourers major groups. </w:t>
      </w:r>
      <w:r w:rsidR="00AF3A05" w:rsidRPr="005965A3">
        <w:rPr>
          <w:lang w:val="en-AU"/>
        </w:rPr>
        <w:t>However, m</w:t>
      </w:r>
      <w:r w:rsidR="00E70D25" w:rsidRPr="005965A3">
        <w:rPr>
          <w:lang w:val="en-AU"/>
        </w:rPr>
        <w:t>any ICT-based occupations</w:t>
      </w:r>
      <w:r w:rsidR="008B6E0B" w:rsidRPr="005965A3">
        <w:rPr>
          <w:lang w:val="en-AU"/>
        </w:rPr>
        <w:t>,</w:t>
      </w:r>
      <w:r w:rsidR="00AA54BB" w:rsidRPr="005965A3">
        <w:rPr>
          <w:lang w:val="en-AU"/>
        </w:rPr>
        <w:t xml:space="preserve"> </w:t>
      </w:r>
      <w:r w:rsidR="00662AF8" w:rsidRPr="005965A3">
        <w:rPr>
          <w:lang w:val="en-AU"/>
        </w:rPr>
        <w:t>with</w:t>
      </w:r>
      <w:r w:rsidR="00AA54BB" w:rsidRPr="005965A3">
        <w:rPr>
          <w:lang w:val="en-AU"/>
        </w:rPr>
        <w:t>in the Professionals major group</w:t>
      </w:r>
      <w:r w:rsidR="001E0CBE" w:rsidRPr="005965A3">
        <w:rPr>
          <w:lang w:val="en-AU"/>
        </w:rPr>
        <w:t xml:space="preserve">, </w:t>
      </w:r>
      <w:r w:rsidR="00475B2C" w:rsidRPr="005965A3">
        <w:rPr>
          <w:lang w:val="en-AU"/>
        </w:rPr>
        <w:t xml:space="preserve">employed men </w:t>
      </w:r>
      <w:r w:rsidR="00F47F95" w:rsidRPr="005965A3">
        <w:rPr>
          <w:lang w:val="en-AU"/>
        </w:rPr>
        <w:t xml:space="preserve">predominately </w:t>
      </w:r>
      <w:r w:rsidR="00475B2C" w:rsidRPr="005965A3">
        <w:rPr>
          <w:lang w:val="en-AU"/>
        </w:rPr>
        <w:t>and</w:t>
      </w:r>
      <w:r w:rsidR="001E0CBE" w:rsidRPr="005965A3">
        <w:rPr>
          <w:lang w:val="en-AU"/>
        </w:rPr>
        <w:t xml:space="preserve"> were also</w:t>
      </w:r>
      <w:r w:rsidR="00E70D25" w:rsidRPr="005965A3">
        <w:rPr>
          <w:lang w:val="en-AU"/>
        </w:rPr>
        <w:t xml:space="preserve"> in </w:t>
      </w:r>
      <w:r w:rsidR="003F7F63">
        <w:rPr>
          <w:lang w:val="en-AU"/>
        </w:rPr>
        <w:t>Shortage</w:t>
      </w:r>
      <w:r w:rsidR="00E70D25" w:rsidRPr="005965A3">
        <w:rPr>
          <w:lang w:val="en-AU"/>
        </w:rPr>
        <w:t xml:space="preserve">. </w:t>
      </w:r>
    </w:p>
    <w:p w14:paraId="7198E389" w14:textId="1F98F563" w:rsidR="00A019DD" w:rsidRPr="005965A3" w:rsidRDefault="00E70D25" w:rsidP="00235EA8">
      <w:pPr>
        <w:pStyle w:val="ListBullet"/>
        <w:rPr>
          <w:lang w:val="en-AU"/>
        </w:rPr>
      </w:pPr>
      <w:r w:rsidRPr="005965A3">
        <w:rPr>
          <w:lang w:val="en-AU"/>
        </w:rPr>
        <w:t>Further, 3</w:t>
      </w:r>
      <w:r w:rsidR="00044F01" w:rsidRPr="005965A3">
        <w:rPr>
          <w:lang w:val="en-AU"/>
        </w:rPr>
        <w:t>9</w:t>
      </w:r>
      <w:r w:rsidRPr="005965A3">
        <w:rPr>
          <w:lang w:val="en-AU"/>
        </w:rPr>
        <w:t xml:space="preserve">% of occupations where women </w:t>
      </w:r>
      <w:r w:rsidR="007E1C88" w:rsidRPr="005965A3">
        <w:rPr>
          <w:lang w:val="en-AU"/>
        </w:rPr>
        <w:t xml:space="preserve">were </w:t>
      </w:r>
      <w:r w:rsidRPr="005965A3">
        <w:rPr>
          <w:lang w:val="en-AU"/>
        </w:rPr>
        <w:t xml:space="preserve">at least 80% of the workforce were in </w:t>
      </w:r>
      <w:r w:rsidR="003F7F63">
        <w:rPr>
          <w:lang w:val="en-AU"/>
        </w:rPr>
        <w:t>Shortage</w:t>
      </w:r>
      <w:r w:rsidRPr="005965A3">
        <w:rPr>
          <w:lang w:val="en-AU"/>
        </w:rPr>
        <w:t>. These were concentrated in health</w:t>
      </w:r>
      <w:r w:rsidR="00251643" w:rsidRPr="005965A3">
        <w:rPr>
          <w:lang w:val="en-AU"/>
        </w:rPr>
        <w:t>-</w:t>
      </w:r>
      <w:r w:rsidRPr="005965A3">
        <w:rPr>
          <w:lang w:val="en-AU"/>
        </w:rPr>
        <w:t>related occupations</w:t>
      </w:r>
      <w:r w:rsidR="008E178D" w:rsidRPr="005965A3">
        <w:rPr>
          <w:lang w:val="en-AU"/>
        </w:rPr>
        <w:t xml:space="preserve"> (for example, </w:t>
      </w:r>
      <w:r w:rsidRPr="005965A3">
        <w:rPr>
          <w:lang w:val="en-AU"/>
        </w:rPr>
        <w:t>Registered Nurses</w:t>
      </w:r>
      <w:r w:rsidR="008E178D" w:rsidRPr="005965A3">
        <w:rPr>
          <w:lang w:val="en-AU"/>
        </w:rPr>
        <w:t>)</w:t>
      </w:r>
      <w:r w:rsidRPr="005965A3">
        <w:rPr>
          <w:lang w:val="en-AU"/>
        </w:rPr>
        <w:t>, early education and care-based occupations</w:t>
      </w:r>
      <w:r w:rsidR="005502C2" w:rsidRPr="005965A3">
        <w:rPr>
          <w:lang w:val="en-AU"/>
        </w:rPr>
        <w:t>.</w:t>
      </w:r>
      <w:r w:rsidR="001D2CE9" w:rsidRPr="005965A3">
        <w:rPr>
          <w:lang w:val="en-AU"/>
        </w:rPr>
        <w:t xml:space="preserve"> They were also found in </w:t>
      </w:r>
      <w:r w:rsidR="00AE453B" w:rsidRPr="005965A3">
        <w:rPr>
          <w:lang w:val="en-AU"/>
        </w:rPr>
        <w:t xml:space="preserve">other </w:t>
      </w:r>
      <w:r w:rsidRPr="005965A3">
        <w:rPr>
          <w:lang w:val="en-AU"/>
        </w:rPr>
        <w:t xml:space="preserve">occupations within </w:t>
      </w:r>
      <w:r w:rsidR="009D6633" w:rsidRPr="005965A3">
        <w:rPr>
          <w:lang w:val="en-AU"/>
        </w:rPr>
        <w:t>t</w:t>
      </w:r>
      <w:r w:rsidR="00580DE4" w:rsidRPr="005965A3">
        <w:rPr>
          <w:lang w:val="en-AU"/>
        </w:rPr>
        <w:t xml:space="preserve">he </w:t>
      </w:r>
      <w:r w:rsidRPr="005965A3">
        <w:rPr>
          <w:lang w:val="en-AU"/>
        </w:rPr>
        <w:t>Community and Personal Service Workers</w:t>
      </w:r>
      <w:r w:rsidR="00580DE4" w:rsidRPr="005965A3">
        <w:rPr>
          <w:lang w:val="en-AU"/>
        </w:rPr>
        <w:t xml:space="preserve"> major group</w:t>
      </w:r>
      <w:r w:rsidRPr="005965A3">
        <w:rPr>
          <w:lang w:val="en-AU"/>
        </w:rPr>
        <w:t>.</w:t>
      </w:r>
    </w:p>
    <w:p w14:paraId="51E2BB38" w14:textId="23C810A3" w:rsidR="00F53E01" w:rsidRPr="005965A3" w:rsidRDefault="00E70D25" w:rsidP="00235EA8">
      <w:pPr>
        <w:pStyle w:val="ListBullet"/>
        <w:rPr>
          <w:lang w:val="en-AU"/>
        </w:rPr>
      </w:pPr>
      <w:r w:rsidRPr="005965A3">
        <w:rPr>
          <w:lang w:val="en-AU"/>
        </w:rPr>
        <w:t xml:space="preserve">In contrast, </w:t>
      </w:r>
      <w:r w:rsidR="00C22D87" w:rsidRPr="005965A3">
        <w:rPr>
          <w:lang w:val="en-AU"/>
        </w:rPr>
        <w:t xml:space="preserve">only </w:t>
      </w:r>
      <w:r w:rsidRPr="005965A3">
        <w:rPr>
          <w:lang w:val="en-AU"/>
        </w:rPr>
        <w:t xml:space="preserve">22% of occupations with </w:t>
      </w:r>
      <w:r w:rsidR="00450809" w:rsidRPr="005965A3">
        <w:rPr>
          <w:lang w:val="en-AU"/>
        </w:rPr>
        <w:t xml:space="preserve">more gender </w:t>
      </w:r>
      <w:r w:rsidRPr="005965A3">
        <w:rPr>
          <w:lang w:val="en-AU"/>
        </w:rPr>
        <w:t>balanced workforce</w:t>
      </w:r>
      <w:r w:rsidR="00A019DD" w:rsidRPr="005965A3">
        <w:rPr>
          <w:lang w:val="en-AU"/>
        </w:rPr>
        <w:t>s</w:t>
      </w:r>
      <w:r w:rsidRPr="005965A3">
        <w:rPr>
          <w:lang w:val="en-AU"/>
        </w:rPr>
        <w:t xml:space="preserve"> were in </w:t>
      </w:r>
      <w:r w:rsidR="003F7F63">
        <w:rPr>
          <w:lang w:val="en-AU"/>
        </w:rPr>
        <w:t>Shortage</w:t>
      </w:r>
      <w:r w:rsidRPr="005965A3">
        <w:rPr>
          <w:lang w:val="en-AU"/>
        </w:rPr>
        <w:t xml:space="preserve">. Occupations that </w:t>
      </w:r>
      <w:r w:rsidR="00857B5C">
        <w:rPr>
          <w:lang w:val="en-AU"/>
        </w:rPr>
        <w:t>had a No Shortage rating</w:t>
      </w:r>
      <w:r w:rsidRPr="005965A3">
        <w:rPr>
          <w:lang w:val="en-AU"/>
        </w:rPr>
        <w:t xml:space="preserve"> </w:t>
      </w:r>
      <w:r w:rsidR="00B81461" w:rsidRPr="005965A3">
        <w:rPr>
          <w:lang w:val="en-AU"/>
        </w:rPr>
        <w:t>we</w:t>
      </w:r>
      <w:r w:rsidRPr="005965A3">
        <w:rPr>
          <w:lang w:val="en-AU"/>
        </w:rPr>
        <w:t>re more likely to have workforce</w:t>
      </w:r>
      <w:r w:rsidR="0014152D" w:rsidRPr="005965A3">
        <w:rPr>
          <w:lang w:val="en-AU"/>
        </w:rPr>
        <w:t>s</w:t>
      </w:r>
      <w:r w:rsidRPr="005965A3">
        <w:rPr>
          <w:lang w:val="en-AU"/>
        </w:rPr>
        <w:t xml:space="preserve"> that ha</w:t>
      </w:r>
      <w:r w:rsidR="00422CBB" w:rsidRPr="005965A3">
        <w:rPr>
          <w:lang w:val="en-AU"/>
        </w:rPr>
        <w:t>d</w:t>
      </w:r>
      <w:r w:rsidRPr="005965A3">
        <w:rPr>
          <w:lang w:val="en-AU"/>
        </w:rPr>
        <w:t xml:space="preserve"> at least 20% </w:t>
      </w:r>
      <w:r w:rsidR="003F621E" w:rsidRPr="005965A3">
        <w:rPr>
          <w:lang w:val="en-AU"/>
        </w:rPr>
        <w:t>of both genders</w:t>
      </w:r>
      <w:r w:rsidRPr="005965A3">
        <w:rPr>
          <w:lang w:val="en-AU"/>
        </w:rPr>
        <w:t xml:space="preserve">. These occupations </w:t>
      </w:r>
      <w:r w:rsidR="00C02FD7" w:rsidRPr="005965A3">
        <w:rPr>
          <w:lang w:val="en-AU"/>
        </w:rPr>
        <w:t>we</w:t>
      </w:r>
      <w:r w:rsidRPr="005965A3">
        <w:rPr>
          <w:lang w:val="en-AU"/>
        </w:rPr>
        <w:t xml:space="preserve">re commonly managerial and professional roles. </w:t>
      </w:r>
    </w:p>
    <w:p w14:paraId="5EA21F37" w14:textId="20B773DD" w:rsidR="00E70D25" w:rsidRPr="005451CC" w:rsidRDefault="0062465C" w:rsidP="00EF1382">
      <w:pPr>
        <w:pStyle w:val="Caption"/>
      </w:pPr>
      <w:bookmarkStart w:id="57" w:name="_Ref176192869"/>
      <w:bookmarkStart w:id="58" w:name="_Ref176192766"/>
      <w:bookmarkStart w:id="59" w:name="_Ref175139302"/>
      <w:bookmarkStart w:id="60" w:name="_Toc180136417"/>
      <w:r>
        <w:t xml:space="preserve">Figure </w:t>
      </w:r>
      <w:r w:rsidRPr="4F498787">
        <w:fldChar w:fldCharType="begin"/>
      </w:r>
      <w:r>
        <w:instrText xml:space="preserve"> SEQ Figure \* ARABIC </w:instrText>
      </w:r>
      <w:r w:rsidRPr="4F498787">
        <w:fldChar w:fldCharType="separate"/>
      </w:r>
      <w:r w:rsidR="00A35392">
        <w:rPr>
          <w:noProof/>
        </w:rPr>
        <w:t>10</w:t>
      </w:r>
      <w:r w:rsidRPr="4F498787">
        <w:rPr>
          <w:noProof/>
        </w:rPr>
        <w:fldChar w:fldCharType="end"/>
      </w:r>
      <w:bookmarkEnd w:id="57"/>
      <w:r>
        <w:t xml:space="preserve">: </w:t>
      </w:r>
      <w:bookmarkEnd w:id="58"/>
      <w:bookmarkEnd w:id="59"/>
      <w:r w:rsidR="006E3F6E">
        <w:t xml:space="preserve">Percentage </w:t>
      </w:r>
      <w:r w:rsidR="00BF53DA">
        <w:t xml:space="preserve">of gender-imbalanced occupations that were in </w:t>
      </w:r>
      <w:r w:rsidR="00857B5C">
        <w:t>Shortage</w:t>
      </w:r>
      <w:r w:rsidR="2BA5CF8E">
        <w:t xml:space="preserve"> (%)</w:t>
      </w:r>
      <w:r w:rsidR="006E3F6E">
        <w:t>,</w:t>
      </w:r>
      <w:r w:rsidR="00BF53DA">
        <w:t xml:space="preserve"> 2021</w:t>
      </w:r>
      <w:r w:rsidR="00B904D2">
        <w:t>–</w:t>
      </w:r>
      <w:r w:rsidR="00BF53DA">
        <w:t>24</w:t>
      </w:r>
      <w:r w:rsidR="007F1B7E">
        <w:rPr>
          <w:rStyle w:val="FootnoteReference"/>
        </w:rPr>
        <w:footnoteReference w:id="28"/>
      </w:r>
      <w:bookmarkEnd w:id="60"/>
      <w:r w:rsidR="00BF53DA">
        <w:t xml:space="preserve"> </w:t>
      </w:r>
    </w:p>
    <w:p w14:paraId="06859496" w14:textId="7B0E6B96" w:rsidR="00103480" w:rsidRPr="003C7324" w:rsidRDefault="00872A27" w:rsidP="00235EA8">
      <w:pPr>
        <w:pStyle w:val="Source"/>
      </w:pPr>
      <w:r>
        <w:rPr>
          <w:noProof/>
        </w:rPr>
        <w:drawing>
          <wp:inline distT="0" distB="0" distL="0" distR="0" wp14:anchorId="67B08ECA" wp14:editId="12EFABBB">
            <wp:extent cx="5731510" cy="3067200"/>
            <wp:effectExtent l="0" t="0" r="2540" b="0"/>
            <wp:docPr id="1839059348" name="Chart 1" descr="Figure 10 shows the percentage of gender-imbalanced occupations that were in shortage in 2021-2024 OSLs. In 2024, 50% of occupations where men comprise at least 80% of the workforce were in shortage, compared to 39% where women comprised at least 80% of the workforce, and 22% where there was more gender balance. ">
              <a:extLst xmlns:a="http://schemas.openxmlformats.org/drawingml/2006/main">
                <a:ext uri="{FF2B5EF4-FFF2-40B4-BE49-F238E27FC236}">
                  <a16:creationId xmlns:a16="http://schemas.microsoft.com/office/drawing/2014/main" id="{279E80F6-BDEF-4C07-9815-25B5586A40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40220C">
        <w:rPr>
          <w:noProof/>
        </w:rPr>
        <w:br/>
      </w:r>
      <w:r w:rsidR="00E70D25" w:rsidRPr="000224BD">
        <w:t>Source: J</w:t>
      </w:r>
      <w:r w:rsidR="00E70D25" w:rsidRPr="00860057">
        <w:t xml:space="preserve">obs and Skills Australia, </w:t>
      </w:r>
      <w:r w:rsidR="00E70D25" w:rsidRPr="00235EA8">
        <w:t>Occupation Shortage List</w:t>
      </w:r>
      <w:r w:rsidR="00E70D25" w:rsidRPr="00860057">
        <w:t>, 2021</w:t>
      </w:r>
      <w:r w:rsidR="00AF6242">
        <w:t>–</w:t>
      </w:r>
      <w:r w:rsidR="000C6347">
        <w:t>24</w:t>
      </w:r>
      <w:r w:rsidR="00E70D25" w:rsidRPr="00860057">
        <w:t xml:space="preserve">; </w:t>
      </w:r>
      <w:r w:rsidR="003154DD" w:rsidRPr="003154DD">
        <w:t>Australian Bureau of Statistics</w:t>
      </w:r>
      <w:r w:rsidR="00E70D25" w:rsidRPr="00860057">
        <w:t xml:space="preserve">, </w:t>
      </w:r>
      <w:r w:rsidR="00E70D25" w:rsidRPr="00235EA8">
        <w:t>2021 Census of Population and Housing</w:t>
      </w:r>
      <w:r w:rsidR="00E70D25" w:rsidRPr="00D97758">
        <w:t>.</w:t>
      </w:r>
    </w:p>
    <w:p w14:paraId="063CC80D" w14:textId="21625EA2" w:rsidR="00FF2500" w:rsidRPr="004F4714" w:rsidRDefault="00E65222" w:rsidP="00235EA8">
      <w:r>
        <w:rPr>
          <w:rFonts w:asciiTheme="minorHAnsi" w:eastAsiaTheme="minorEastAsia" w:hAnsiTheme="minorHAnsi"/>
        </w:rPr>
        <w:fldChar w:fldCharType="begin"/>
      </w:r>
      <w:r>
        <w:rPr>
          <w:rFonts w:asciiTheme="minorHAnsi" w:eastAsiaTheme="minorEastAsia" w:hAnsiTheme="minorHAnsi"/>
        </w:rPr>
        <w:instrText xml:space="preserve"> REF _Ref175151529 \h </w:instrText>
      </w:r>
      <w:r>
        <w:rPr>
          <w:rFonts w:asciiTheme="minorHAnsi" w:eastAsiaTheme="minorEastAsia" w:hAnsiTheme="minorHAnsi"/>
        </w:rPr>
      </w:r>
      <w:r>
        <w:rPr>
          <w:rFonts w:asciiTheme="minorHAnsi" w:eastAsiaTheme="minorEastAsia" w:hAnsiTheme="minorHAnsi"/>
        </w:rPr>
        <w:fldChar w:fldCharType="separate"/>
      </w:r>
      <w:r w:rsidR="00A35392">
        <w:t xml:space="preserve">Table </w:t>
      </w:r>
      <w:r w:rsidR="00A35392">
        <w:rPr>
          <w:noProof/>
        </w:rPr>
        <w:t>3</w:t>
      </w:r>
      <w:r>
        <w:rPr>
          <w:rFonts w:asciiTheme="minorHAnsi" w:eastAsiaTheme="minorEastAsia" w:hAnsiTheme="minorHAnsi"/>
        </w:rPr>
        <w:fldChar w:fldCharType="end"/>
      </w:r>
      <w:r w:rsidRPr="004F4714">
        <w:t xml:space="preserve"> </w:t>
      </w:r>
      <w:r w:rsidR="00AF6242" w:rsidRPr="004F4714">
        <w:t>(</w:t>
      </w:r>
      <w:r w:rsidR="292BBE7B" w:rsidRPr="004F4714">
        <w:t xml:space="preserve">in the </w:t>
      </w:r>
      <w:r w:rsidR="3275B311" w:rsidRPr="004F4714">
        <w:t>previous</w:t>
      </w:r>
      <w:r w:rsidR="004D696F" w:rsidRPr="004F4714">
        <w:t xml:space="preserve"> section</w:t>
      </w:r>
      <w:r w:rsidR="00AF6242" w:rsidRPr="004F4714">
        <w:t>)</w:t>
      </w:r>
      <w:r w:rsidR="004D696F" w:rsidRPr="004F4714">
        <w:t xml:space="preserve"> </w:t>
      </w:r>
      <w:r w:rsidRPr="004F4714">
        <w:t>highlights the relationship between gender imbalance</w:t>
      </w:r>
      <w:r w:rsidR="00AF6242" w:rsidRPr="004F4714">
        <w:t>s</w:t>
      </w:r>
      <w:r w:rsidRPr="004F4714">
        <w:t xml:space="preserve"> and likely occupation shortages. Within the top 20 employing occupations, 1</w:t>
      </w:r>
      <w:r w:rsidR="001A45AB" w:rsidRPr="004F4714">
        <w:t>4</w:t>
      </w:r>
      <w:r w:rsidRPr="004F4714">
        <w:t xml:space="preserve"> have gender imbalances</w:t>
      </w:r>
      <w:r w:rsidR="001A45AB" w:rsidRPr="004F4714">
        <w:t xml:space="preserve"> (</w:t>
      </w:r>
      <w:r w:rsidR="00580FF3" w:rsidRPr="004F4714">
        <w:t xml:space="preserve">that is, occupations with </w:t>
      </w:r>
      <w:r w:rsidR="00C76B5E" w:rsidRPr="004F4714">
        <w:t>at least 80% m</w:t>
      </w:r>
      <w:r w:rsidR="006B10F4" w:rsidRPr="004F4714">
        <w:t xml:space="preserve">en </w:t>
      </w:r>
      <w:r w:rsidR="00C76B5E" w:rsidRPr="004F4714">
        <w:t xml:space="preserve">or </w:t>
      </w:r>
      <w:r w:rsidR="006B10F4" w:rsidRPr="004F4714">
        <w:t xml:space="preserve">women </w:t>
      </w:r>
      <w:r w:rsidR="00C76B5E" w:rsidRPr="004F4714">
        <w:t>in the workforce)</w:t>
      </w:r>
      <w:r w:rsidRPr="004F4714">
        <w:t>.</w:t>
      </w:r>
    </w:p>
    <w:p w14:paraId="0AE152E2" w14:textId="77EE2C5A" w:rsidR="00AF0681" w:rsidRPr="005965A3" w:rsidRDefault="00FF2500" w:rsidP="00235EA8">
      <w:pPr>
        <w:pStyle w:val="ListBullet"/>
        <w:rPr>
          <w:lang w:val="en-AU"/>
        </w:rPr>
      </w:pPr>
      <w:r w:rsidRPr="005965A3">
        <w:rPr>
          <w:lang w:val="en-AU"/>
        </w:rPr>
        <w:lastRenderedPageBreak/>
        <w:t>T</w:t>
      </w:r>
      <w:r w:rsidR="00E65222" w:rsidRPr="005965A3">
        <w:rPr>
          <w:lang w:val="en-AU"/>
        </w:rPr>
        <w:t xml:space="preserve">he imbalance towards more women is seen in Child Care Worker (97% women employed), </w:t>
      </w:r>
      <w:r w:rsidR="004F5C37" w:rsidRPr="005965A3">
        <w:rPr>
          <w:lang w:val="en-AU"/>
        </w:rPr>
        <w:t xml:space="preserve">Personal Care Assistant (86%), </w:t>
      </w:r>
      <w:r w:rsidR="00E65222" w:rsidRPr="005965A3">
        <w:rPr>
          <w:lang w:val="en-AU"/>
        </w:rPr>
        <w:t xml:space="preserve">Primary School Teacher (85%) and Hairdresser (84%) occupations. </w:t>
      </w:r>
    </w:p>
    <w:p w14:paraId="6BC8ABAC" w14:textId="072864AC" w:rsidR="0062465C" w:rsidRPr="005965A3" w:rsidRDefault="00E65222" w:rsidP="00235EA8">
      <w:pPr>
        <w:pStyle w:val="ListBullet"/>
        <w:rPr>
          <w:lang w:val="en-AU"/>
        </w:rPr>
      </w:pPr>
      <w:r w:rsidRPr="005965A3">
        <w:rPr>
          <w:lang w:val="en-AU"/>
        </w:rPr>
        <w:t>For men it is seen in Carpenter (99% men employed),</w:t>
      </w:r>
      <w:r w:rsidR="00134144" w:rsidRPr="005965A3">
        <w:rPr>
          <w:lang w:val="en-AU"/>
        </w:rPr>
        <w:t xml:space="preserve"> </w:t>
      </w:r>
      <w:r w:rsidRPr="005965A3">
        <w:rPr>
          <w:lang w:val="en-AU"/>
        </w:rPr>
        <w:t>Metal Fabricator (99%), Motor Mechanic (General) (98%), Fitter (General) (98%), Electrician (General) (98%), Truck Driver (96%)</w:t>
      </w:r>
      <w:r w:rsidR="000459E0" w:rsidRPr="005965A3">
        <w:rPr>
          <w:lang w:val="en-AU"/>
        </w:rPr>
        <w:t>, Project Builder (95%), Construction Project Manager (86%),</w:t>
      </w:r>
      <w:r w:rsidRPr="005965A3">
        <w:rPr>
          <w:lang w:val="en-AU"/>
        </w:rPr>
        <w:t xml:space="preserve"> </w:t>
      </w:r>
      <w:r w:rsidR="0055669C" w:rsidRPr="005965A3">
        <w:rPr>
          <w:lang w:val="en-AU"/>
        </w:rPr>
        <w:t xml:space="preserve">Software Engineer (84%) </w:t>
      </w:r>
      <w:r w:rsidRPr="005965A3">
        <w:rPr>
          <w:lang w:val="en-AU"/>
        </w:rPr>
        <w:t xml:space="preserve">and </w:t>
      </w:r>
      <w:r w:rsidR="0055669C" w:rsidRPr="005965A3">
        <w:rPr>
          <w:lang w:val="en-AU"/>
        </w:rPr>
        <w:t>Developer Programmer</w:t>
      </w:r>
      <w:r w:rsidRPr="005965A3">
        <w:rPr>
          <w:lang w:val="en-AU"/>
        </w:rPr>
        <w:t xml:space="preserve"> (</w:t>
      </w:r>
      <w:r w:rsidR="0055669C" w:rsidRPr="005965A3">
        <w:rPr>
          <w:lang w:val="en-AU"/>
        </w:rPr>
        <w:t>84</w:t>
      </w:r>
      <w:r w:rsidRPr="005965A3">
        <w:rPr>
          <w:lang w:val="en-AU"/>
        </w:rPr>
        <w:t>%) occupations.</w:t>
      </w:r>
    </w:p>
    <w:p w14:paraId="3A72DDAC" w14:textId="344C23F4" w:rsidR="00CF62C0" w:rsidRDefault="002C3DB1" w:rsidP="00235EA8">
      <w:r>
        <w:t>As the</w:t>
      </w:r>
      <w:r w:rsidR="00DC2953">
        <w:t>se results</w:t>
      </w:r>
      <w:r>
        <w:t xml:space="preserve"> suggest, o</w:t>
      </w:r>
      <w:r w:rsidR="00E70D25">
        <w:t xml:space="preserve">ccupations </w:t>
      </w:r>
      <w:r w:rsidR="001B78A6">
        <w:t xml:space="preserve">in </w:t>
      </w:r>
      <w:r w:rsidR="00857B5C">
        <w:t>Shortage</w:t>
      </w:r>
      <w:r w:rsidR="001B78A6">
        <w:t xml:space="preserve"> and </w:t>
      </w:r>
      <w:r w:rsidR="00486A1E">
        <w:t xml:space="preserve">with </w:t>
      </w:r>
      <w:r w:rsidR="00E70D25" w:rsidRPr="1A647D3A">
        <w:t xml:space="preserve">a large gender skew towards </w:t>
      </w:r>
      <w:r w:rsidR="00E70D25">
        <w:t xml:space="preserve">men </w:t>
      </w:r>
      <w:r w:rsidR="00436EEC">
        <w:t xml:space="preserve">were </w:t>
      </w:r>
      <w:r w:rsidR="006E7B28">
        <w:t>noticeably</w:t>
      </w:r>
      <w:r w:rsidR="00436EEC">
        <w:t xml:space="preserve"> within </w:t>
      </w:r>
      <w:r w:rsidR="00E70D25" w:rsidRPr="1A647D3A">
        <w:t>the Machinery Operators and Drivers, Labourers</w:t>
      </w:r>
      <w:r w:rsidR="00B90163">
        <w:t>,</w:t>
      </w:r>
      <w:r w:rsidR="00E70D25" w:rsidRPr="1A647D3A">
        <w:t xml:space="preserve"> and Technicians and Trade</w:t>
      </w:r>
      <w:r w:rsidR="00E66BAE">
        <w:t>s</w:t>
      </w:r>
      <w:r w:rsidR="00E70D25" w:rsidRPr="1A647D3A">
        <w:t xml:space="preserve"> Workers major groups</w:t>
      </w:r>
      <w:r>
        <w:t>. This is more clearly illustrated in</w:t>
      </w:r>
      <w:r w:rsidR="00E70D25" w:rsidRPr="1A647D3A">
        <w:t xml:space="preserve"> </w:t>
      </w:r>
      <w:r w:rsidR="0062465C">
        <w:fldChar w:fldCharType="begin"/>
      </w:r>
      <w:r w:rsidR="0062465C">
        <w:instrText xml:space="preserve"> REF _Ref176192927 \h </w:instrText>
      </w:r>
      <w:r w:rsidR="0062465C">
        <w:fldChar w:fldCharType="separate"/>
      </w:r>
      <w:r w:rsidR="00A35392">
        <w:t xml:space="preserve">Figure </w:t>
      </w:r>
      <w:r w:rsidR="00A35392">
        <w:rPr>
          <w:noProof/>
        </w:rPr>
        <w:t>11</w:t>
      </w:r>
      <w:r w:rsidR="0062465C">
        <w:fldChar w:fldCharType="end"/>
      </w:r>
      <w:r w:rsidR="00E70D25" w:rsidRPr="1A647D3A">
        <w:t>.</w:t>
      </w:r>
      <w:r w:rsidR="00E70D25">
        <w:t xml:space="preserve"> </w:t>
      </w:r>
    </w:p>
    <w:p w14:paraId="48C99A7C" w14:textId="3717987D" w:rsidR="00D73E6A" w:rsidRDefault="00226195" w:rsidP="00D73E6A">
      <w:r>
        <w:t xml:space="preserve">The </w:t>
      </w:r>
      <w:r w:rsidR="00487EA6">
        <w:t>f</w:t>
      </w:r>
      <w:r w:rsidR="00D73E6A">
        <w:t xml:space="preserve">igure </w:t>
      </w:r>
      <w:r w:rsidR="00864E34">
        <w:t xml:space="preserve">shows </w:t>
      </w:r>
      <w:r w:rsidR="009D765B">
        <w:t xml:space="preserve">the percentage of occupations in </w:t>
      </w:r>
      <w:r w:rsidR="00857B5C">
        <w:t>Shortage</w:t>
      </w:r>
      <w:r w:rsidR="003E36B0">
        <w:t>, within each major group,</w:t>
      </w:r>
      <w:r w:rsidR="009D765B">
        <w:t xml:space="preserve"> </w:t>
      </w:r>
      <w:r w:rsidR="00445375">
        <w:t>where</w:t>
      </w:r>
      <w:r w:rsidR="00864E34">
        <w:t xml:space="preserve">: </w:t>
      </w:r>
    </w:p>
    <w:p w14:paraId="793856EB" w14:textId="7B65BCDB" w:rsidR="00D73E6A" w:rsidRPr="005965A3" w:rsidRDefault="00FA2C65" w:rsidP="00D73E6A">
      <w:pPr>
        <w:pStyle w:val="ListBullet"/>
        <w:rPr>
          <w:lang w:val="en-AU"/>
        </w:rPr>
      </w:pPr>
      <w:r w:rsidRPr="005965A3">
        <w:rPr>
          <w:lang w:val="en-AU"/>
        </w:rPr>
        <w:t>w</w:t>
      </w:r>
      <w:r w:rsidR="00D05A98" w:rsidRPr="005965A3">
        <w:rPr>
          <w:lang w:val="en-AU"/>
        </w:rPr>
        <w:t xml:space="preserve">omen </w:t>
      </w:r>
      <w:r w:rsidR="00445375">
        <w:rPr>
          <w:lang w:val="en-AU"/>
        </w:rPr>
        <w:t xml:space="preserve">constituted less </w:t>
      </w:r>
      <w:r w:rsidR="00AD4768">
        <w:rPr>
          <w:lang w:val="en-AU"/>
        </w:rPr>
        <w:t xml:space="preserve">than </w:t>
      </w:r>
      <w:r w:rsidR="00445375">
        <w:rPr>
          <w:lang w:val="en-AU"/>
        </w:rPr>
        <w:t xml:space="preserve">20% of the occupation workforce </w:t>
      </w:r>
    </w:p>
    <w:p w14:paraId="100045B8" w14:textId="090B1320" w:rsidR="00D543AE" w:rsidRPr="005965A3" w:rsidRDefault="00FA2C65" w:rsidP="00D73E6A">
      <w:pPr>
        <w:pStyle w:val="ListBullet"/>
        <w:rPr>
          <w:lang w:val="en-AU"/>
        </w:rPr>
      </w:pPr>
      <w:r w:rsidRPr="005965A3">
        <w:rPr>
          <w:lang w:val="en-AU"/>
        </w:rPr>
        <w:t>w</w:t>
      </w:r>
      <w:r w:rsidR="00085DDB" w:rsidRPr="005965A3">
        <w:rPr>
          <w:lang w:val="en-AU"/>
        </w:rPr>
        <w:t>omen and men</w:t>
      </w:r>
      <w:r w:rsidR="00ED6FDE">
        <w:rPr>
          <w:lang w:val="en-AU"/>
        </w:rPr>
        <w:t>, separately,</w:t>
      </w:r>
      <w:r w:rsidR="00085DDB" w:rsidRPr="005965A3">
        <w:rPr>
          <w:lang w:val="en-AU"/>
        </w:rPr>
        <w:t xml:space="preserve"> </w:t>
      </w:r>
      <w:r w:rsidR="00ED6FDE">
        <w:rPr>
          <w:lang w:val="en-AU"/>
        </w:rPr>
        <w:t xml:space="preserve">constituted at least </w:t>
      </w:r>
      <w:r w:rsidR="00D543AE" w:rsidRPr="005965A3">
        <w:rPr>
          <w:lang w:val="en-AU"/>
        </w:rPr>
        <w:t>20</w:t>
      </w:r>
      <w:r w:rsidR="00D73E6A" w:rsidRPr="005965A3">
        <w:rPr>
          <w:lang w:val="en-AU"/>
        </w:rPr>
        <w:t xml:space="preserve">% of </w:t>
      </w:r>
      <w:r w:rsidR="00D543AE" w:rsidRPr="005965A3">
        <w:rPr>
          <w:lang w:val="en-AU"/>
        </w:rPr>
        <w:t>the</w:t>
      </w:r>
      <w:r w:rsidR="004C0C5E" w:rsidRPr="005965A3">
        <w:rPr>
          <w:lang w:val="en-AU"/>
        </w:rPr>
        <w:t xml:space="preserve"> occupation</w:t>
      </w:r>
      <w:r w:rsidR="00D543AE" w:rsidRPr="005965A3">
        <w:rPr>
          <w:lang w:val="en-AU"/>
        </w:rPr>
        <w:t xml:space="preserve"> </w:t>
      </w:r>
      <w:r w:rsidR="00D73E6A" w:rsidRPr="005965A3">
        <w:rPr>
          <w:lang w:val="en-AU"/>
        </w:rPr>
        <w:t>work</w:t>
      </w:r>
      <w:r w:rsidR="00D543AE" w:rsidRPr="005965A3">
        <w:rPr>
          <w:lang w:val="en-AU"/>
        </w:rPr>
        <w:t>force</w:t>
      </w:r>
    </w:p>
    <w:p w14:paraId="106832B9" w14:textId="08E965F4" w:rsidR="00D73E6A" w:rsidRPr="005965A3" w:rsidRDefault="00FA2C65" w:rsidP="00D73E6A">
      <w:pPr>
        <w:pStyle w:val="ListBullet"/>
        <w:rPr>
          <w:lang w:val="en-AU"/>
        </w:rPr>
      </w:pPr>
      <w:r w:rsidRPr="005965A3">
        <w:rPr>
          <w:lang w:val="en-AU"/>
        </w:rPr>
        <w:t>m</w:t>
      </w:r>
      <w:r w:rsidR="004C0C5E" w:rsidRPr="005965A3">
        <w:rPr>
          <w:lang w:val="en-AU"/>
        </w:rPr>
        <w:t xml:space="preserve">en </w:t>
      </w:r>
      <w:r w:rsidR="00ED6FDE">
        <w:rPr>
          <w:lang w:val="en-AU"/>
        </w:rPr>
        <w:t xml:space="preserve">constituted </w:t>
      </w:r>
      <w:r w:rsidR="00AD4768">
        <w:rPr>
          <w:lang w:val="en-AU"/>
        </w:rPr>
        <w:t xml:space="preserve">less than </w:t>
      </w:r>
      <w:r w:rsidR="004C0C5E" w:rsidRPr="005965A3">
        <w:rPr>
          <w:lang w:val="en-AU"/>
        </w:rPr>
        <w:t>20% of the occupation workforce</w:t>
      </w:r>
      <w:r w:rsidRPr="005965A3">
        <w:rPr>
          <w:lang w:val="en-AU"/>
        </w:rPr>
        <w:t>.</w:t>
      </w:r>
      <w:r w:rsidR="00D73E6A" w:rsidRPr="005965A3">
        <w:rPr>
          <w:lang w:val="en-AU"/>
        </w:rPr>
        <w:t xml:space="preserve"> </w:t>
      </w:r>
    </w:p>
    <w:p w14:paraId="5771D4FC" w14:textId="3B877817" w:rsidR="0062465C" w:rsidRDefault="00E70D25" w:rsidP="00FD1318">
      <w:r w:rsidRPr="006D4DCD">
        <w:t xml:space="preserve">For </w:t>
      </w:r>
      <w:r w:rsidR="00B60E86" w:rsidRPr="006D4DCD">
        <w:t xml:space="preserve">the </w:t>
      </w:r>
      <w:r w:rsidRPr="006D4DCD">
        <w:t>Machinery Operators and Drivers and Labourers</w:t>
      </w:r>
      <w:r w:rsidR="00B60E86" w:rsidRPr="006D4DCD">
        <w:t xml:space="preserve"> major groups</w:t>
      </w:r>
      <w:r w:rsidRPr="006D4DCD">
        <w:t xml:space="preserve">, </w:t>
      </w:r>
      <w:r w:rsidR="00F04152" w:rsidRPr="006D4DCD">
        <w:t xml:space="preserve">most </w:t>
      </w:r>
      <w:r w:rsidRPr="006D4DCD">
        <w:t xml:space="preserve">occupations </w:t>
      </w:r>
      <w:r w:rsidR="008759D5" w:rsidRPr="006D4DCD">
        <w:t>(94</w:t>
      </w:r>
      <w:r w:rsidR="008759D5">
        <w:t>%</w:t>
      </w:r>
      <w:r w:rsidR="008759D5" w:rsidRPr="006D4DCD">
        <w:t xml:space="preserve"> and </w:t>
      </w:r>
      <w:r w:rsidR="00E22D55">
        <w:t>86</w:t>
      </w:r>
      <w:r w:rsidR="008759D5" w:rsidRPr="006D4DCD">
        <w:t>%, respectively)</w:t>
      </w:r>
      <w:r w:rsidRPr="006D4DCD">
        <w:t xml:space="preserve"> </w:t>
      </w:r>
      <w:r w:rsidR="00A63E02" w:rsidRPr="006D4DCD">
        <w:t xml:space="preserve">had workforces </w:t>
      </w:r>
      <w:r w:rsidR="00501DD5" w:rsidRPr="006D4DCD">
        <w:t xml:space="preserve">where women </w:t>
      </w:r>
      <w:r w:rsidR="000E480D">
        <w:t>constituted</w:t>
      </w:r>
      <w:r w:rsidR="00E427FE">
        <w:t xml:space="preserve"> less </w:t>
      </w:r>
      <w:r w:rsidR="00501DD5" w:rsidRPr="006D4DCD">
        <w:t xml:space="preserve">than 20% of </w:t>
      </w:r>
      <w:r w:rsidR="0043574A" w:rsidRPr="006D4DCD">
        <w:t xml:space="preserve">the </w:t>
      </w:r>
      <w:r w:rsidR="00501DD5" w:rsidRPr="006D4DCD">
        <w:t>work</w:t>
      </w:r>
      <w:r w:rsidR="0043574A" w:rsidRPr="006D4DCD">
        <w:t>ers</w:t>
      </w:r>
      <w:r w:rsidR="00501DD5" w:rsidRPr="006D4DCD">
        <w:t>.</w:t>
      </w:r>
      <w:r w:rsidR="00C77477" w:rsidRPr="006D4DCD">
        <w:t xml:space="preserve"> </w:t>
      </w:r>
      <w:r w:rsidR="00EE0AF4" w:rsidRPr="09A1BF89">
        <w:t xml:space="preserve">In </w:t>
      </w:r>
      <w:r w:rsidR="002D20F1">
        <w:t>8</w:t>
      </w:r>
      <w:r w:rsidR="007102E5">
        <w:t>1</w:t>
      </w:r>
      <w:r w:rsidR="00EE0AF4" w:rsidRPr="09A1BF89">
        <w:t>% of occupations within the Technicians and Trade</w:t>
      </w:r>
      <w:r w:rsidR="000B774B">
        <w:t>s</w:t>
      </w:r>
      <w:r w:rsidR="00EE0AF4" w:rsidRPr="09A1BF89">
        <w:t xml:space="preserve"> Workers major group, women constituted less than 20% of each workforce</w:t>
      </w:r>
      <w:r w:rsidR="00764D29" w:rsidRPr="09A1BF89">
        <w:t>.</w:t>
      </w:r>
      <w:bookmarkStart w:id="61" w:name="_Ref175139505"/>
    </w:p>
    <w:p w14:paraId="52380D84" w14:textId="4BC22F9A" w:rsidR="00866348" w:rsidRPr="00866348" w:rsidRDefault="0062465C" w:rsidP="0062465C">
      <w:pPr>
        <w:pStyle w:val="Caption"/>
      </w:pPr>
      <w:bookmarkStart w:id="62" w:name="_Ref176192927"/>
      <w:bookmarkStart w:id="63" w:name="_Toc180136418"/>
      <w:r>
        <w:t xml:space="preserve">Figure </w:t>
      </w:r>
      <w:r w:rsidRPr="4F498787">
        <w:fldChar w:fldCharType="begin"/>
      </w:r>
      <w:r>
        <w:instrText xml:space="preserve"> SEQ Figure \* ARABIC </w:instrText>
      </w:r>
      <w:r w:rsidRPr="4F498787">
        <w:fldChar w:fldCharType="separate"/>
      </w:r>
      <w:r w:rsidR="00A35392">
        <w:rPr>
          <w:noProof/>
        </w:rPr>
        <w:t>11</w:t>
      </w:r>
      <w:r w:rsidRPr="4F498787">
        <w:rPr>
          <w:noProof/>
        </w:rPr>
        <w:fldChar w:fldCharType="end"/>
      </w:r>
      <w:bookmarkEnd w:id="62"/>
      <w:r>
        <w:t xml:space="preserve">: </w:t>
      </w:r>
      <w:bookmarkEnd w:id="61"/>
      <w:r w:rsidR="00866348">
        <w:t xml:space="preserve">Gender breakdown of </w:t>
      </w:r>
      <w:r w:rsidR="006A68DD">
        <w:t xml:space="preserve">the percentage of </w:t>
      </w:r>
      <w:r w:rsidR="00866348">
        <w:t xml:space="preserve">occupations in </w:t>
      </w:r>
      <w:r w:rsidR="00857B5C">
        <w:t>Shortage</w:t>
      </w:r>
      <w:r w:rsidR="00866348">
        <w:t xml:space="preserve"> </w:t>
      </w:r>
      <w:r w:rsidR="006A68DD">
        <w:t xml:space="preserve">(%), </w:t>
      </w:r>
      <w:r w:rsidR="00866348">
        <w:t>by major group</w:t>
      </w:r>
      <w:r w:rsidR="00864FF7">
        <w:t>, 2024</w:t>
      </w:r>
      <w:bookmarkEnd w:id="63"/>
      <w:r w:rsidR="006A68DD">
        <w:t xml:space="preserve"> </w:t>
      </w:r>
    </w:p>
    <w:p w14:paraId="6D3E5119" w14:textId="15D689F1" w:rsidR="00E70D25" w:rsidRPr="000224BD" w:rsidRDefault="008F1BF3" w:rsidP="00235EA8">
      <w:pPr>
        <w:pStyle w:val="Source"/>
        <w:rPr>
          <w:rFonts w:eastAsiaTheme="minorEastAsia"/>
        </w:rPr>
      </w:pPr>
      <w:r>
        <w:rPr>
          <w:noProof/>
        </w:rPr>
        <w:drawing>
          <wp:inline distT="0" distB="0" distL="0" distR="0" wp14:anchorId="24876AEB" wp14:editId="0F9BF183">
            <wp:extent cx="5731200" cy="3067200"/>
            <wp:effectExtent l="0" t="0" r="3175" b="0"/>
            <wp:docPr id="739693587" name="Chart 1" descr="Figure 11 shows the gender breakdown of 2024 OSL occupations in shortage, by major group. Occupations with a large gender skew towards men included many roles within the Machinery Operators and Drivers, Labourers, and Technicians and Trade Workers major groups. ">
              <a:extLst xmlns:a="http://schemas.openxmlformats.org/drawingml/2006/main">
                <a:ext uri="{FF2B5EF4-FFF2-40B4-BE49-F238E27FC236}">
                  <a16:creationId xmlns:a16="http://schemas.microsoft.com/office/drawing/2014/main" id="{5A8B165A-8A92-46AC-9D29-2E26A0F56DCC}"/>
                </a:ext>
                <a:ext uri="{147F2762-F138-4A5C-976F-8EAC2B608ADB}">
                  <a16:predDERef xmlns:a16="http://schemas.microsoft.com/office/drawing/2014/main" pred="{2498A7B1-20C6-4F53-9E71-D64F9AD9E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E70D25" w:rsidRPr="003C7324">
        <w:br/>
      </w:r>
      <w:r w:rsidR="00E70D25" w:rsidRPr="000224BD">
        <w:t>Source: J</w:t>
      </w:r>
      <w:r w:rsidR="00E70D25">
        <w:t>obs and Skills Australia</w:t>
      </w:r>
      <w:r w:rsidR="00E70D25" w:rsidRPr="000224BD">
        <w:t xml:space="preserve">, </w:t>
      </w:r>
      <w:r w:rsidR="00E70D25">
        <w:t>Occupation Shortage List</w:t>
      </w:r>
      <w:r w:rsidR="00E70D25" w:rsidRPr="000224BD">
        <w:t xml:space="preserve">, </w:t>
      </w:r>
      <w:r w:rsidR="00E70D25">
        <w:t>202</w:t>
      </w:r>
      <w:r w:rsidR="00864FF7">
        <w:t>4</w:t>
      </w:r>
      <w:r w:rsidR="00E70D25">
        <w:t xml:space="preserve">; </w:t>
      </w:r>
      <w:r w:rsidR="003154DD" w:rsidRPr="003154DD">
        <w:t>Australian Bureau of Statistics</w:t>
      </w:r>
      <w:r w:rsidR="00E70D25" w:rsidRPr="00487893">
        <w:t xml:space="preserve">, </w:t>
      </w:r>
      <w:r w:rsidR="00E70D25" w:rsidRPr="00703892">
        <w:t>2021 Census of Population and Housi</w:t>
      </w:r>
      <w:r w:rsidR="00E70D25">
        <w:t>n</w:t>
      </w:r>
      <w:r w:rsidR="00E70D25" w:rsidRPr="00703892">
        <w:t>g</w:t>
      </w:r>
      <w:r w:rsidR="00E70D25">
        <w:t>.</w:t>
      </w:r>
    </w:p>
    <w:p w14:paraId="202B41C2" w14:textId="681783D0" w:rsidR="00E70D25" w:rsidRDefault="009C6E4B" w:rsidP="00E70D25">
      <w:r>
        <w:t>Therefore, h</w:t>
      </w:r>
      <w:r w:rsidR="00E70D25" w:rsidRPr="1A647D3A">
        <w:t>eavily gender</w:t>
      </w:r>
      <w:r w:rsidR="00E70D25">
        <w:t>-</w:t>
      </w:r>
      <w:r w:rsidR="00E70D25" w:rsidRPr="1A647D3A">
        <w:t>skewed workforce</w:t>
      </w:r>
      <w:r w:rsidR="00E70D25">
        <w:t>s</w:t>
      </w:r>
      <w:r w:rsidR="00E70D25" w:rsidRPr="1A647D3A">
        <w:t xml:space="preserve"> may </w:t>
      </w:r>
      <w:r w:rsidR="00260281">
        <w:t xml:space="preserve">inadvertently </w:t>
      </w:r>
      <w:r w:rsidR="00E70D25" w:rsidRPr="1A647D3A">
        <w:t xml:space="preserve">constrain </w:t>
      </w:r>
      <w:r w:rsidR="00E70D25">
        <w:t xml:space="preserve">the </w:t>
      </w:r>
      <w:r w:rsidR="00E70D25" w:rsidRPr="1A647D3A">
        <w:t>labour supply</w:t>
      </w:r>
      <w:r w:rsidR="00E70D25">
        <w:t>, thereby</w:t>
      </w:r>
      <w:r w:rsidR="00E70D25" w:rsidRPr="1A647D3A">
        <w:t xml:space="preserve"> increasing the likelihood of </w:t>
      </w:r>
      <w:r w:rsidR="00E70D25">
        <w:t>entrenched</w:t>
      </w:r>
      <w:r w:rsidR="00E70D25" w:rsidRPr="1A647D3A">
        <w:t xml:space="preserve"> shortage</w:t>
      </w:r>
      <w:r w:rsidR="00E70D25">
        <w:t>s</w:t>
      </w:r>
      <w:r w:rsidR="00E70D25" w:rsidRPr="1A647D3A">
        <w:t xml:space="preserve">. </w:t>
      </w:r>
      <w:r w:rsidR="00E70D25">
        <w:t>Addressing</w:t>
      </w:r>
      <w:r w:rsidR="00E70D25" w:rsidRPr="1A647D3A">
        <w:t xml:space="preserve"> the gender imbalance of occupations may be a </w:t>
      </w:r>
      <w:r w:rsidR="00E70D25">
        <w:t>sound long</w:t>
      </w:r>
      <w:r w:rsidR="00F52115">
        <w:t>-</w:t>
      </w:r>
      <w:r w:rsidR="00E70D25">
        <w:t xml:space="preserve">term strategy to mitigate occupation </w:t>
      </w:r>
      <w:r w:rsidR="00E70D25" w:rsidRPr="1A647D3A">
        <w:t xml:space="preserve">shortages </w:t>
      </w:r>
      <w:r w:rsidR="00E70D25">
        <w:t xml:space="preserve">in </w:t>
      </w:r>
      <w:r w:rsidR="00E70D25" w:rsidRPr="1A647D3A">
        <w:t>the labour market.</w:t>
      </w:r>
    </w:p>
    <w:p w14:paraId="36867742" w14:textId="745DC978" w:rsidR="00E70D25" w:rsidRPr="00E70D25" w:rsidRDefault="00E70D25" w:rsidP="00860057">
      <w:pPr>
        <w:pStyle w:val="Heading2"/>
      </w:pPr>
      <w:bookmarkStart w:id="64" w:name="_Toc174355996"/>
      <w:bookmarkStart w:id="65" w:name="_Toc180136439"/>
      <w:r w:rsidRPr="00E70D25">
        <w:lastRenderedPageBreak/>
        <w:t xml:space="preserve">Age distribution among occupations in </w:t>
      </w:r>
      <w:bookmarkEnd w:id="64"/>
      <w:r w:rsidR="00857B5C">
        <w:t>Shortage</w:t>
      </w:r>
      <w:bookmarkEnd w:id="65"/>
    </w:p>
    <w:p w14:paraId="21E339E8" w14:textId="68AD2A1A" w:rsidR="002D6B49" w:rsidRPr="004F4714" w:rsidRDefault="0062465C" w:rsidP="00235EA8">
      <w:r w:rsidRPr="005451CC">
        <w:rPr>
          <w:rFonts w:asciiTheme="minorHAnsi" w:hAnsiTheme="minorHAnsi"/>
        </w:rPr>
        <w:fldChar w:fldCharType="begin"/>
      </w:r>
      <w:r w:rsidRPr="005451CC">
        <w:rPr>
          <w:rFonts w:cs="Arial"/>
        </w:rPr>
        <w:instrText xml:space="preserve"> REF _Ref176192979 \h  \* MERGEFORMAT </w:instrText>
      </w:r>
      <w:r w:rsidRPr="005451CC">
        <w:rPr>
          <w:rFonts w:asciiTheme="minorHAnsi" w:hAnsiTheme="minorHAnsi"/>
        </w:rPr>
      </w:r>
      <w:r w:rsidRPr="005451CC">
        <w:rPr>
          <w:rFonts w:cs="Arial"/>
        </w:rPr>
        <w:fldChar w:fldCharType="separate"/>
      </w:r>
      <w:r w:rsidR="00A35392" w:rsidRPr="00A35392">
        <w:rPr>
          <w:rFonts w:cs="Arial"/>
        </w:rPr>
        <w:t xml:space="preserve">Figure </w:t>
      </w:r>
      <w:r w:rsidR="00A35392" w:rsidRPr="00A35392">
        <w:rPr>
          <w:rFonts w:cs="Arial"/>
          <w:noProof/>
        </w:rPr>
        <w:t>12</w:t>
      </w:r>
      <w:r w:rsidRPr="005451CC">
        <w:rPr>
          <w:rFonts w:cs="Arial"/>
        </w:rPr>
        <w:fldChar w:fldCharType="end"/>
      </w:r>
      <w:r w:rsidRPr="005451CC">
        <w:rPr>
          <w:rFonts w:cs="Arial"/>
        </w:rPr>
        <w:t xml:space="preserve"> </w:t>
      </w:r>
      <w:r w:rsidR="00E70D25" w:rsidRPr="005451CC">
        <w:rPr>
          <w:rFonts w:cs="Arial"/>
        </w:rPr>
        <w:t>shows</w:t>
      </w:r>
      <w:r w:rsidR="00E70D25" w:rsidRPr="00FE4FC9">
        <w:rPr>
          <w:rFonts w:cs="Arial"/>
        </w:rPr>
        <w:t xml:space="preserve"> the age distribution of workers in occupations</w:t>
      </w:r>
      <w:r w:rsidR="00BE3FBA">
        <w:rPr>
          <w:rFonts w:cs="Arial"/>
        </w:rPr>
        <w:t xml:space="preserve"> that were</w:t>
      </w:r>
      <w:r w:rsidR="00E70D25" w:rsidRPr="00FE4FC9">
        <w:rPr>
          <w:rFonts w:cs="Arial"/>
        </w:rPr>
        <w:t xml:space="preserve"> </w:t>
      </w:r>
      <w:r w:rsidR="00E70D25">
        <w:rPr>
          <w:rFonts w:cs="Arial"/>
        </w:rPr>
        <w:t xml:space="preserve">in </w:t>
      </w:r>
      <w:r w:rsidR="00857B5C">
        <w:rPr>
          <w:rFonts w:cs="Arial"/>
        </w:rPr>
        <w:t>Shortage</w:t>
      </w:r>
      <w:r w:rsidR="002A122F">
        <w:rPr>
          <w:rFonts w:cs="Arial"/>
        </w:rPr>
        <w:t xml:space="preserve"> (top panel)</w:t>
      </w:r>
      <w:r w:rsidR="00E70D25">
        <w:rPr>
          <w:rFonts w:cs="Arial"/>
        </w:rPr>
        <w:t xml:space="preserve"> and those</w:t>
      </w:r>
      <w:r w:rsidR="00BE4B27">
        <w:rPr>
          <w:rFonts w:cs="Arial"/>
        </w:rPr>
        <w:t xml:space="preserve"> that </w:t>
      </w:r>
      <w:r w:rsidR="008674B3">
        <w:rPr>
          <w:rFonts w:cs="Arial"/>
        </w:rPr>
        <w:t xml:space="preserve">had No Shortage ratings </w:t>
      </w:r>
      <w:r w:rsidR="002A122F">
        <w:rPr>
          <w:rFonts w:cs="Arial"/>
        </w:rPr>
        <w:t xml:space="preserve">(bottom panel), </w:t>
      </w:r>
      <w:r w:rsidR="00E70D25" w:rsidRPr="00FE4FC9">
        <w:rPr>
          <w:rFonts w:cs="Arial"/>
        </w:rPr>
        <w:t>by major occupation group</w:t>
      </w:r>
      <w:r w:rsidR="00E70D25">
        <w:rPr>
          <w:rFonts w:cs="Arial"/>
        </w:rPr>
        <w:t>.</w:t>
      </w:r>
    </w:p>
    <w:p w14:paraId="5752FBEB" w14:textId="5951BBB4" w:rsidR="00E65109" w:rsidRDefault="00E70D25" w:rsidP="0001562E">
      <w:r w:rsidRPr="00C55542">
        <w:t xml:space="preserve">The figure </w:t>
      </w:r>
      <w:r w:rsidR="003464ED">
        <w:rPr>
          <w:rFonts w:cs="Arial"/>
        </w:rPr>
        <w:t xml:space="preserve">shows </w:t>
      </w:r>
      <w:r w:rsidRPr="00FE4FC9">
        <w:t xml:space="preserve">occupations </w:t>
      </w:r>
      <w:r w:rsidR="00730C8A">
        <w:t xml:space="preserve">that were </w:t>
      </w:r>
      <w:r w:rsidR="0011753A">
        <w:t xml:space="preserve">rated as No Shortage </w:t>
      </w:r>
      <w:r w:rsidR="00730C8A" w:rsidRPr="00FE4FC9">
        <w:t>ha</w:t>
      </w:r>
      <w:r w:rsidR="00730C8A">
        <w:t>d</w:t>
      </w:r>
      <w:r w:rsidR="00730C8A" w:rsidRPr="00FE4FC9">
        <w:t xml:space="preserve"> </w:t>
      </w:r>
      <w:r w:rsidRPr="00FE4FC9">
        <w:t xml:space="preserve">a higher </w:t>
      </w:r>
      <w:r w:rsidR="00461089">
        <w:t>proportion</w:t>
      </w:r>
      <w:r w:rsidR="00461089" w:rsidRPr="00FE4FC9">
        <w:t xml:space="preserve"> </w:t>
      </w:r>
      <w:r w:rsidRPr="00FE4FC9">
        <w:t xml:space="preserve">of </w:t>
      </w:r>
      <w:r w:rsidR="00986BD1">
        <w:t xml:space="preserve">mature aged </w:t>
      </w:r>
      <w:r w:rsidRPr="00FE4FC9">
        <w:t>workers (</w:t>
      </w:r>
      <w:r>
        <w:t xml:space="preserve">aged </w:t>
      </w:r>
      <w:r w:rsidRPr="00FE4FC9">
        <w:t>55 and above) than those</w:t>
      </w:r>
      <w:r>
        <w:t xml:space="preserve"> </w:t>
      </w:r>
      <w:r w:rsidR="00376000">
        <w:t>that were</w:t>
      </w:r>
      <w:r w:rsidRPr="00FE4FC9">
        <w:t xml:space="preserve"> in </w:t>
      </w:r>
      <w:r w:rsidR="0011753A">
        <w:t>Shortage</w:t>
      </w:r>
      <w:r w:rsidRPr="00FE4FC9">
        <w:t xml:space="preserve"> (25% </w:t>
      </w:r>
      <w:r w:rsidR="00DE37A3">
        <w:t>versus</w:t>
      </w:r>
      <w:r w:rsidRPr="00FE4FC9">
        <w:t xml:space="preserve"> 2</w:t>
      </w:r>
      <w:r w:rsidR="008403F2">
        <w:t>0</w:t>
      </w:r>
      <w:r w:rsidRPr="00FE4FC9">
        <w:t>%)</w:t>
      </w:r>
      <w:r>
        <w:t xml:space="preserve">. This pattern is </w:t>
      </w:r>
      <w:r w:rsidRPr="00DB3E7D">
        <w:t>consistent</w:t>
      </w:r>
      <w:r w:rsidRPr="00FE4FC9">
        <w:t xml:space="preserve"> across </w:t>
      </w:r>
      <w:r>
        <w:t xml:space="preserve">all </w:t>
      </w:r>
      <w:r w:rsidRPr="00FE4FC9">
        <w:t>major groups</w:t>
      </w:r>
      <w:r w:rsidR="00DE37A3">
        <w:t xml:space="preserve">, with differences </w:t>
      </w:r>
      <w:r w:rsidR="00CD2C11">
        <w:t>rang</w:t>
      </w:r>
      <w:r w:rsidR="005B6169">
        <w:t>ing from</w:t>
      </w:r>
      <w:r w:rsidR="00CD2C11">
        <w:t xml:space="preserve"> 1 percentage point (</w:t>
      </w:r>
      <w:r w:rsidR="003A05B8">
        <w:t xml:space="preserve">for </w:t>
      </w:r>
      <w:r w:rsidR="00CD2C11">
        <w:t xml:space="preserve">Professionals) to </w:t>
      </w:r>
      <w:r w:rsidR="00B37F7D">
        <w:t>11 percentage points (</w:t>
      </w:r>
      <w:r w:rsidR="000C3EF2">
        <w:t xml:space="preserve">for </w:t>
      </w:r>
      <w:r w:rsidR="00B37F7D">
        <w:t>Labourers).</w:t>
      </w:r>
      <w:r w:rsidR="00EB5917">
        <w:t xml:space="preserve"> </w:t>
      </w:r>
      <w:r w:rsidR="00FF1B25">
        <w:t>Unsurprisingly, w</w:t>
      </w:r>
      <w:r w:rsidR="00E71B2C">
        <w:t xml:space="preserve">hether </w:t>
      </w:r>
      <w:r w:rsidR="003777AF">
        <w:t xml:space="preserve">rated as </w:t>
      </w:r>
      <w:r w:rsidR="0011753A">
        <w:t>Shortage</w:t>
      </w:r>
      <w:r w:rsidRPr="00FE4FC9">
        <w:t xml:space="preserve"> </w:t>
      </w:r>
      <w:r w:rsidR="00E71B2C">
        <w:t xml:space="preserve">or </w:t>
      </w:r>
      <w:r w:rsidR="0011753A">
        <w:t>No Shortage</w:t>
      </w:r>
      <w:r w:rsidR="00E03C79">
        <w:t>,</w:t>
      </w:r>
      <w:r w:rsidR="00FF1B25">
        <w:t xml:space="preserve"> </w:t>
      </w:r>
      <w:r w:rsidR="00DD70D9">
        <w:t xml:space="preserve">the </w:t>
      </w:r>
      <w:r w:rsidR="00E71B2C">
        <w:t>highe</w:t>
      </w:r>
      <w:r w:rsidR="00DD70D9">
        <w:t>st</w:t>
      </w:r>
      <w:r w:rsidR="00E71B2C">
        <w:t xml:space="preserve"> concentration of workers</w:t>
      </w:r>
      <w:r w:rsidR="00DD70D9">
        <w:t xml:space="preserve"> for all major groups was </w:t>
      </w:r>
      <w:r w:rsidR="00E71B2C">
        <w:t xml:space="preserve">in </w:t>
      </w:r>
      <w:r w:rsidRPr="00FE4FC9">
        <w:t>the primary working age group (</w:t>
      </w:r>
      <w:r w:rsidR="002E253E">
        <w:t xml:space="preserve">between </w:t>
      </w:r>
      <w:r w:rsidRPr="00FE4FC9">
        <w:t>25</w:t>
      </w:r>
      <w:r w:rsidR="002E253E">
        <w:t xml:space="preserve"> and </w:t>
      </w:r>
      <w:r w:rsidRPr="00FE4FC9">
        <w:t>44</w:t>
      </w:r>
      <w:r w:rsidR="002E253E">
        <w:t xml:space="preserve"> years of age</w:t>
      </w:r>
      <w:r w:rsidRPr="00FE4FC9">
        <w:t>)</w:t>
      </w:r>
      <w:r>
        <w:t>.</w:t>
      </w:r>
      <w:bookmarkStart w:id="66" w:name="_Ref175152745"/>
      <w:bookmarkStart w:id="67" w:name="_Ref175152726"/>
    </w:p>
    <w:p w14:paraId="1F3948A1" w14:textId="16107177" w:rsidR="002E2A13" w:rsidRPr="003D5AE3" w:rsidRDefault="0062465C" w:rsidP="005451CC">
      <w:pPr>
        <w:pStyle w:val="Caption"/>
      </w:pPr>
      <w:bookmarkStart w:id="68" w:name="_Ref176192979"/>
      <w:bookmarkStart w:id="69" w:name="_Toc180136419"/>
      <w:r>
        <w:t xml:space="preserve">Figure </w:t>
      </w:r>
      <w:r>
        <w:fldChar w:fldCharType="begin"/>
      </w:r>
      <w:r>
        <w:instrText xml:space="preserve"> SEQ Figure \* ARABIC </w:instrText>
      </w:r>
      <w:r>
        <w:fldChar w:fldCharType="separate"/>
      </w:r>
      <w:r w:rsidR="00A35392">
        <w:rPr>
          <w:noProof/>
        </w:rPr>
        <w:t>12</w:t>
      </w:r>
      <w:r>
        <w:rPr>
          <w:noProof/>
        </w:rPr>
        <w:fldChar w:fldCharType="end"/>
      </w:r>
      <w:bookmarkEnd w:id="68"/>
      <w:r w:rsidRPr="0062465C">
        <w:t xml:space="preserve">: </w:t>
      </w:r>
      <w:bookmarkEnd w:id="66"/>
      <w:r w:rsidR="00F51957" w:rsidRPr="003D5AE3">
        <w:t>Age distribution of workers in occupations</w:t>
      </w:r>
      <w:r w:rsidR="007240E6" w:rsidRPr="003D5AE3">
        <w:t xml:space="preserve"> (%)</w:t>
      </w:r>
      <w:r w:rsidR="00FA3A55" w:rsidRPr="003D5AE3">
        <w:t>, by shortage rating,</w:t>
      </w:r>
      <w:r w:rsidR="00F51957" w:rsidRPr="003D5AE3">
        <w:t xml:space="preserve"> by major group</w:t>
      </w:r>
      <w:r w:rsidR="00C0371C" w:rsidRPr="003D5AE3">
        <w:t xml:space="preserve">, </w:t>
      </w:r>
      <w:r w:rsidR="00B70CD1" w:rsidRPr="003D5AE3">
        <w:t>2024</w:t>
      </w:r>
      <w:bookmarkEnd w:id="67"/>
      <w:bookmarkEnd w:id="69"/>
    </w:p>
    <w:p w14:paraId="2EF8824F" w14:textId="2D47F617" w:rsidR="00E70D25" w:rsidRPr="00235EA8" w:rsidRDefault="00FB2C83" w:rsidP="00235EA8">
      <w:pPr>
        <w:pStyle w:val="Source"/>
      </w:pPr>
      <w:r>
        <w:rPr>
          <w:noProof/>
        </w:rPr>
        <mc:AlternateContent>
          <mc:Choice Requires="wpg">
            <w:drawing>
              <wp:inline distT="0" distB="0" distL="0" distR="0" wp14:anchorId="2F640A73" wp14:editId="20AAE0FF">
                <wp:extent cx="5731510" cy="6033902"/>
                <wp:effectExtent l="0" t="0" r="2540" b="5080"/>
                <wp:docPr id="1540703207" name="Group 3" descr="Figure 12 shows the age distribution of workers in occupations with skill shortages (top panel) versus those without shortage (bottom panel) in the 2024 SPL by major occupation group, using age data from the 2021 Census. Occupations that were not in shortage had a higher proportion of older workers (aged 55 and above) than those that were in shortage (25% versus 20%). This pattern is consistent across all major groups, with differences ranging from 1 percentage point (for Professionals) to 11 percentage points (for Labourers). Unsurprisingly, whether in shortage or not, the highest concentration of workers for all major groups was in the primary working age group (25-44)."/>
                <wp:cNvGraphicFramePr/>
                <a:graphic xmlns:a="http://schemas.openxmlformats.org/drawingml/2006/main">
                  <a:graphicData uri="http://schemas.microsoft.com/office/word/2010/wordprocessingGroup">
                    <wpg:wgp>
                      <wpg:cNvGrpSpPr/>
                      <wpg:grpSpPr>
                        <a:xfrm>
                          <a:off x="0" y="0"/>
                          <a:ext cx="5731510" cy="6033902"/>
                          <a:chOff x="0" y="0"/>
                          <a:chExt cx="5731510" cy="6033902"/>
                        </a:xfrm>
                      </wpg:grpSpPr>
                      <wpg:graphicFrame>
                        <wpg:cNvPr id="145921104" name="Chart 1" descr="Figure 12 shows the age distribution of workers in occupations with skill shortages (top panel) versus those without shortage (bottom panel) in the 2024 SPL by major occupation group, using age data from the 2021 Census. Overall, occupations in shortage have populations of workers more concentrated within the primary working age groups (25-44 and 45-54), while occupations in no shortages have more evenly distributed proportions of age groups and higher proportions of older workers. ">
                          <a:extLst>
                            <a:ext uri="{FF2B5EF4-FFF2-40B4-BE49-F238E27FC236}">
                              <a16:creationId xmlns:a16="http://schemas.microsoft.com/office/drawing/2014/main" id="{42FAEDBC-BBC9-4ABB-93D8-58A5750134AF}"/>
                            </a:ext>
                          </a:extLst>
                        </wpg:cNvPr>
                        <wpg:cNvFrPr/>
                        <wpg:xfrm>
                          <a:off x="0" y="2967487"/>
                          <a:ext cx="5731510" cy="3066415"/>
                        </wpg:xfrm>
                        <a:graphic>
                          <a:graphicData uri="http://schemas.openxmlformats.org/drawingml/2006/chart">
                            <c:chart xmlns:c="http://schemas.openxmlformats.org/drawingml/2006/chart" xmlns:r="http://schemas.openxmlformats.org/officeDocument/2006/relationships" r:id="rId31"/>
                          </a:graphicData>
                        </a:graphic>
                      </wpg:graphicFrame>
                      <wpg:graphicFrame>
                        <wpg:cNvPr id="1345415061" name="Chart 1" descr="Figure 12 shows the age distribution of workers in occupations with skill shortages (top panel) versus those without shortage (bottom panel) in the 2024 SPL by major occupation group, using age data from the 2021 Census. Overall, occupations in shortage have populations of workers more concentrated within the primary working age groups (25-44 and 45-54), while occupations in no shortages have more evenly distributed proportions of age groups and higher proportions of older workers. ">
                          <a:extLst>
                            <a:ext uri="{FF2B5EF4-FFF2-40B4-BE49-F238E27FC236}">
                              <a16:creationId xmlns:a16="http://schemas.microsoft.com/office/drawing/2014/main" id="{DA755B19-81F0-4035-9652-6F9AB572BF61}"/>
                            </a:ext>
                          </a:extLst>
                        </wpg:cNvPr>
                        <wpg:cNvFrPr/>
                        <wpg:xfrm>
                          <a:off x="0" y="0"/>
                          <a:ext cx="5731510" cy="3066415"/>
                        </wpg:xfrm>
                        <a:graphic>
                          <a:graphicData uri="http://schemas.openxmlformats.org/drawingml/2006/chart">
                            <c:chart xmlns:c="http://schemas.openxmlformats.org/drawingml/2006/chart" xmlns:r="http://schemas.openxmlformats.org/officeDocument/2006/relationships" r:id="rId32"/>
                          </a:graphicData>
                        </a:graphic>
                      </wpg:graphicFrame>
                      <wps:wsp>
                        <wps:cNvPr id="1313847236" name="Text Box 1"/>
                        <wps:cNvSpPr txBox="1"/>
                        <wps:spPr>
                          <a:xfrm>
                            <a:off x="34506" y="77638"/>
                            <a:ext cx="1638935" cy="232410"/>
                          </a:xfrm>
                          <a:prstGeom prst="rect">
                            <a:avLst/>
                          </a:prstGeom>
                          <a:solidFill>
                            <a:schemeClr val="lt1"/>
                          </a:solidFill>
                          <a:ln w="6350">
                            <a:noFill/>
                          </a:ln>
                        </wps:spPr>
                        <wps:txbx>
                          <w:txbxContent>
                            <w:p w14:paraId="5C1C19AD" w14:textId="77777777" w:rsidR="00E70D25" w:rsidRPr="00FE4FC9" w:rsidRDefault="00E70D25" w:rsidP="00E70D25">
                              <w:pPr>
                                <w:jc w:val="center"/>
                                <w:rPr>
                                  <w:b/>
                                  <w:bCs/>
                                  <w:sz w:val="18"/>
                                  <w:szCs w:val="18"/>
                                </w:rPr>
                              </w:pPr>
                              <w:r w:rsidRPr="00FE4FC9">
                                <w:rPr>
                                  <w:b/>
                                  <w:bCs/>
                                  <w:sz w:val="18"/>
                                  <w:szCs w:val="18"/>
                                </w:rPr>
                                <w:t>Shortage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7364463" name="Text Box 1"/>
                        <wps:cNvSpPr txBox="1"/>
                        <wps:spPr>
                          <a:xfrm>
                            <a:off x="34506" y="2976113"/>
                            <a:ext cx="1516380" cy="298450"/>
                          </a:xfrm>
                          <a:prstGeom prst="rect">
                            <a:avLst/>
                          </a:prstGeom>
                          <a:solidFill>
                            <a:schemeClr val="lt1"/>
                          </a:solidFill>
                          <a:ln w="6350">
                            <a:noFill/>
                          </a:ln>
                        </wps:spPr>
                        <wps:txbx>
                          <w:txbxContent>
                            <w:p w14:paraId="3D11EEF2" w14:textId="77777777" w:rsidR="00E70D25" w:rsidRPr="00FE4FC9" w:rsidRDefault="00E70D25" w:rsidP="00E70D25">
                              <w:pPr>
                                <w:jc w:val="center"/>
                                <w:rPr>
                                  <w:b/>
                                  <w:bCs/>
                                  <w:sz w:val="18"/>
                                  <w:szCs w:val="18"/>
                                </w:rPr>
                              </w:pPr>
                              <w:r>
                                <w:rPr>
                                  <w:b/>
                                  <w:bCs/>
                                  <w:sz w:val="18"/>
                                  <w:szCs w:val="18"/>
                                </w:rPr>
                                <w:t xml:space="preserve">No </w:t>
                              </w:r>
                              <w:r w:rsidRPr="00FE4FC9">
                                <w:rPr>
                                  <w:b/>
                                  <w:bCs/>
                                  <w:sz w:val="18"/>
                                  <w:szCs w:val="18"/>
                                </w:rPr>
                                <w:t>Shortag</w:t>
                              </w:r>
                              <w:r>
                                <w:rPr>
                                  <w:b/>
                                  <w:bCs/>
                                  <w:sz w:val="18"/>
                                  <w:szCs w:val="18"/>
                                </w:rPr>
                                <w:t>e</w:t>
                              </w:r>
                            </w:p>
                            <w:p w14:paraId="74087F5F" w14:textId="77777777" w:rsidR="00E70D25" w:rsidRDefault="00E70D25" w:rsidP="00E70D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F640A73" id="Group 3" o:spid="_x0000_s1026" alt="Figure 12 shows the age distribution of workers in occupations with skill shortages (top panel) versus those without shortage (bottom panel) in the 2024 SPL by major occupation group, using age data from the 2021 Census. Occupations that were not in shortage had a higher proportion of older workers (aged 55 and above) than those that were in shortage (25% versus 20%). This pattern is consistent across all major groups, with differences ranging from 1 percentage point (for Professionals) to 11 percentage points (for Labourers). Unsurprisingly, whether in shortage or not, the highest concentration of workers for all major groups was in the primary working age group (25-44)." style="width:451.3pt;height:475.1pt;mso-position-horizontal-relative:char;mso-position-vertical-relative:line" coordsize="57315,60339"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 o:spid="_x0000_s1027" type="#_x0000_t75" alt="Figure 12 shows the age distribution of workers in occupations with skill shortages (top panel) versus those without shortage (bottom panel) in the 2024 SPL by major occupation group, using age data from the 2021 Census. Overall, occupations in shortage have populations of workers more concentrated within the primary working age groups (25-44 and 45-54), while occupations in no shortages have more evenly distributed proportions of age groups and higher proportions of older workers. " style="position:absolute;top:29687;width:57302;height:30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">
                  <v:imagedata r:id="rId33" o:title=""/>
                  <o:lock v:ext="edit" aspectratio="f"/>
                </v:shape>
                <v:shape id="Chart 1" o:spid="_x0000_s1028" type="#_x0000_t75" alt="Figure 12 shows the age distribution of workers in occupations with skill shortages (top panel) versus those without shortage (bottom panel) in the 2024 SPL by major occupation group, using age data from the 2021 Census. Overall, occupations in shortage have populations of workers more concentrated within the primary working age groups (25-44 and 45-54), while occupations in no shortages have more evenly distributed proportions of age groups and higher proportions of older workers. " style="position:absolute;width:57302;height:306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">
                  <v:imagedata r:id="rId34" o:title=""/>
                  <o:lock v:ext="edit" aspectratio="f"/>
                </v:shape>
                <v:shapetype id="_x0000_t202" coordsize="21600,21600" o:spt="202" path="m,l,21600r21600,l21600,xe">
                  <v:stroke joinstyle="miter"/>
                  <v:path gradientshapeok="t" o:connecttype="rect"/>
                </v:shapetype>
                <v:shape id="Text Box 1" o:spid="_x0000_s1029" type="#_x0000_t202" style="position:absolute;left:345;top:776;width:16389;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" fillcolor="white [3201]" stroked="f" strokeweight=".5pt">
                  <v:textbox>
                    <w:txbxContent>
                      <w:p w14:paraId="5C1C19AD" w14:textId="77777777" w:rsidR="00E70D25" w:rsidRPr="00FE4FC9" w:rsidRDefault="00E70D25" w:rsidP="00E70D25">
                        <w:pPr>
                          <w:jc w:val="center"/>
                          <w:rPr>
                            <w:b/>
                            <w:bCs/>
                            <w:sz w:val="18"/>
                            <w:szCs w:val="18"/>
                          </w:rPr>
                        </w:pPr>
                        <w:r w:rsidRPr="00FE4FC9">
                          <w:rPr>
                            <w:b/>
                            <w:bCs/>
                            <w:sz w:val="18"/>
                            <w:szCs w:val="18"/>
                          </w:rPr>
                          <w:t>Shortage</w:t>
                        </w:r>
                      </w:p>
                    </w:txbxContent>
                  </v:textbox>
                </v:shape>
                <v:shape id="Text Box 1" o:spid="_x0000_s1030" type="#_x0000_t202" style="position:absolute;left:345;top:29761;width:1516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" fillcolor="white [3201]" stroked="f" strokeweight=".5pt">
                  <v:textbox>
                    <w:txbxContent>
                      <w:p w14:paraId="3D11EEF2" w14:textId="77777777" w:rsidR="00E70D25" w:rsidRPr="00FE4FC9" w:rsidRDefault="00E70D25" w:rsidP="00E70D25">
                        <w:pPr>
                          <w:jc w:val="center"/>
                          <w:rPr>
                            <w:b/>
                            <w:bCs/>
                            <w:sz w:val="18"/>
                            <w:szCs w:val="18"/>
                          </w:rPr>
                        </w:pPr>
                        <w:r>
                          <w:rPr>
                            <w:b/>
                            <w:bCs/>
                            <w:sz w:val="18"/>
                            <w:szCs w:val="18"/>
                          </w:rPr>
                          <w:t xml:space="preserve">No </w:t>
                        </w:r>
                        <w:r w:rsidRPr="00FE4FC9">
                          <w:rPr>
                            <w:b/>
                            <w:bCs/>
                            <w:sz w:val="18"/>
                            <w:szCs w:val="18"/>
                          </w:rPr>
                          <w:t>Shortag</w:t>
                        </w:r>
                        <w:r>
                          <w:rPr>
                            <w:b/>
                            <w:bCs/>
                            <w:sz w:val="18"/>
                            <w:szCs w:val="18"/>
                          </w:rPr>
                          <w:t>e</w:t>
                        </w:r>
                      </w:p>
                      <w:p w14:paraId="74087F5F" w14:textId="77777777" w:rsidR="00E70D25" w:rsidRDefault="00E70D25" w:rsidP="00E70D25"/>
                    </w:txbxContent>
                  </v:textbox>
                </v:shape>
                <w10:anchorlock/>
              </v:group>
            </w:pict>
          </mc:Fallback>
        </mc:AlternateContent>
      </w:r>
      <w:r w:rsidR="001816DE" w:rsidRPr="001816DE">
        <w:t xml:space="preserve"> </w:t>
      </w:r>
      <w:r w:rsidR="00D85B75">
        <w:br/>
      </w:r>
      <w:r w:rsidR="001816DE" w:rsidRPr="000224BD">
        <w:t>Source: J</w:t>
      </w:r>
      <w:r w:rsidR="001816DE" w:rsidRPr="00235EA8">
        <w:t xml:space="preserve">obs and Skills Australia, Occupation Shortage List, 2024; </w:t>
      </w:r>
      <w:r w:rsidR="003154DD" w:rsidRPr="003154DD">
        <w:t>Australian Bureau of Statistics</w:t>
      </w:r>
      <w:r w:rsidR="001816DE" w:rsidRPr="00235EA8">
        <w:t xml:space="preserve">, </w:t>
      </w:r>
      <w:r w:rsidR="00C92AD3">
        <w:t xml:space="preserve">2021 </w:t>
      </w:r>
      <w:r w:rsidR="001816DE" w:rsidRPr="00235EA8">
        <w:t>Census of Population and Housing.</w:t>
      </w:r>
    </w:p>
    <w:p w14:paraId="400678C8" w14:textId="77777777" w:rsidR="000147AE" w:rsidRDefault="000147AE">
      <w:pPr>
        <w:spacing w:after="160" w:line="259" w:lineRule="auto"/>
        <w:rPr>
          <w:sz w:val="18"/>
          <w:szCs w:val="18"/>
        </w:rPr>
      </w:pPr>
      <w:r>
        <w:br w:type="page"/>
      </w:r>
    </w:p>
    <w:p w14:paraId="40F405DE" w14:textId="33616B05" w:rsidR="00E96CC4" w:rsidRDefault="0062465C" w:rsidP="00E70D25">
      <w:r w:rsidRPr="0062465C">
        <w:rPr>
          <w:rFonts w:cs="Arial"/>
        </w:rPr>
        <w:lastRenderedPageBreak/>
        <w:fldChar w:fldCharType="begin"/>
      </w:r>
      <w:r w:rsidRPr="0062465C">
        <w:rPr>
          <w:rFonts w:cs="Arial"/>
        </w:rPr>
        <w:instrText xml:space="preserve"> REF _Ref176193024 \h </w:instrText>
      </w:r>
      <w:r w:rsidRPr="005451CC">
        <w:rPr>
          <w:rFonts w:cs="Arial"/>
        </w:rPr>
        <w:instrText xml:space="preserve"> \* MERGEFORMAT </w:instrText>
      </w:r>
      <w:r w:rsidRPr="0062465C">
        <w:rPr>
          <w:rFonts w:cs="Arial"/>
        </w:rPr>
      </w:r>
      <w:r w:rsidRPr="0062465C">
        <w:rPr>
          <w:rFonts w:cs="Arial"/>
        </w:rPr>
        <w:fldChar w:fldCharType="separate"/>
      </w:r>
      <w:r w:rsidR="00A35392" w:rsidRPr="0062465C">
        <w:t xml:space="preserve">Figure </w:t>
      </w:r>
      <w:r w:rsidR="00A35392">
        <w:rPr>
          <w:noProof/>
        </w:rPr>
        <w:t>13</w:t>
      </w:r>
      <w:r w:rsidRPr="0062465C">
        <w:rPr>
          <w:rFonts w:cs="Arial"/>
        </w:rPr>
        <w:fldChar w:fldCharType="end"/>
      </w:r>
      <w:r w:rsidRPr="0062465C">
        <w:rPr>
          <w:rFonts w:cs="Arial"/>
        </w:rPr>
        <w:t xml:space="preserve"> </w:t>
      </w:r>
      <w:r w:rsidR="00BF416D">
        <w:t xml:space="preserve">shows </w:t>
      </w:r>
      <w:r w:rsidR="00E70D25">
        <w:t xml:space="preserve">the </w:t>
      </w:r>
      <w:r w:rsidR="00346D79">
        <w:t xml:space="preserve">percentage </w:t>
      </w:r>
      <w:r w:rsidR="00E70D25">
        <w:t xml:space="preserve">of occupations </w:t>
      </w:r>
      <w:r w:rsidR="00346D79">
        <w:t xml:space="preserve">in </w:t>
      </w:r>
      <w:r w:rsidR="0011753A">
        <w:t>Shortage</w:t>
      </w:r>
      <w:r w:rsidR="00F550FB">
        <w:t xml:space="preserve">, by the </w:t>
      </w:r>
      <w:r w:rsidR="00346D79">
        <w:t xml:space="preserve">composition </w:t>
      </w:r>
      <w:r w:rsidR="005C1E6B">
        <w:t xml:space="preserve">of </w:t>
      </w:r>
      <w:r w:rsidR="000406C4">
        <w:t xml:space="preserve">mature aged </w:t>
      </w:r>
      <w:r w:rsidR="004F2243">
        <w:t>workers</w:t>
      </w:r>
      <w:r w:rsidR="00BB0B36">
        <w:t xml:space="preserve"> (</w:t>
      </w:r>
      <w:r w:rsidR="004F2243">
        <w:t>aged 55 or older</w:t>
      </w:r>
      <w:r w:rsidR="00BB0B36">
        <w:t>)</w:t>
      </w:r>
      <w:r w:rsidR="00AB0569">
        <w:t xml:space="preserve">. </w:t>
      </w:r>
      <w:r w:rsidR="00D20C51">
        <w:t xml:space="preserve">Each occupation </w:t>
      </w:r>
      <w:r w:rsidR="00665105">
        <w:t>has been</w:t>
      </w:r>
      <w:r w:rsidR="00D20C51">
        <w:t xml:space="preserve"> categorised into 1 of 3 groups: </w:t>
      </w:r>
    </w:p>
    <w:p w14:paraId="680AAAC3" w14:textId="787D2CE8" w:rsidR="00E96CC4" w:rsidRPr="005965A3" w:rsidRDefault="00E70D25" w:rsidP="00235EA8">
      <w:pPr>
        <w:pStyle w:val="ListBullet"/>
        <w:rPr>
          <w:lang w:val="en-AU"/>
        </w:rPr>
      </w:pPr>
      <w:r w:rsidRPr="005965A3">
        <w:rPr>
          <w:lang w:val="en-AU"/>
        </w:rPr>
        <w:t>less than 10%</w:t>
      </w:r>
      <w:r w:rsidR="009011B9" w:rsidRPr="005965A3">
        <w:rPr>
          <w:lang w:val="en-AU"/>
        </w:rPr>
        <w:t xml:space="preserve"> </w:t>
      </w:r>
      <w:r w:rsidR="009523E7">
        <w:rPr>
          <w:lang w:val="en-AU"/>
        </w:rPr>
        <w:t xml:space="preserve">of </w:t>
      </w:r>
      <w:r w:rsidR="000406C4">
        <w:rPr>
          <w:lang w:val="en-AU"/>
        </w:rPr>
        <w:t xml:space="preserve">mature aged </w:t>
      </w:r>
      <w:r w:rsidR="009011B9" w:rsidRPr="005965A3">
        <w:rPr>
          <w:lang w:val="en-AU"/>
        </w:rPr>
        <w:t>workers</w:t>
      </w:r>
      <w:r w:rsidRPr="005965A3">
        <w:rPr>
          <w:lang w:val="en-AU"/>
        </w:rPr>
        <w:t xml:space="preserve"> </w:t>
      </w:r>
    </w:p>
    <w:p w14:paraId="1A19A944" w14:textId="7530B29E" w:rsidR="00E96CC4" w:rsidRPr="005965A3" w:rsidRDefault="00E70D25" w:rsidP="00235EA8">
      <w:pPr>
        <w:pStyle w:val="ListBullet"/>
        <w:rPr>
          <w:lang w:val="en-AU"/>
        </w:rPr>
      </w:pPr>
      <w:r w:rsidRPr="005965A3">
        <w:rPr>
          <w:lang w:val="en-AU"/>
        </w:rPr>
        <w:t>between 10</w:t>
      </w:r>
      <w:r w:rsidR="00651A45" w:rsidRPr="005965A3">
        <w:rPr>
          <w:lang w:val="en-AU"/>
        </w:rPr>
        <w:t>%</w:t>
      </w:r>
      <w:r w:rsidRPr="005965A3">
        <w:rPr>
          <w:lang w:val="en-AU"/>
        </w:rPr>
        <w:t xml:space="preserve"> and 30%</w:t>
      </w:r>
      <w:r w:rsidR="00E96CC4" w:rsidRPr="005965A3">
        <w:rPr>
          <w:lang w:val="en-AU"/>
        </w:rPr>
        <w:t xml:space="preserve"> of </w:t>
      </w:r>
      <w:r w:rsidR="009523E7">
        <w:rPr>
          <w:lang w:val="en-AU"/>
        </w:rPr>
        <w:t xml:space="preserve">mature aged </w:t>
      </w:r>
      <w:r w:rsidR="009523E7" w:rsidRPr="005965A3">
        <w:rPr>
          <w:lang w:val="en-AU"/>
        </w:rPr>
        <w:t xml:space="preserve">workers </w:t>
      </w:r>
    </w:p>
    <w:p w14:paraId="33888F2A" w14:textId="68415ECB" w:rsidR="00E96CC4" w:rsidRPr="005965A3" w:rsidRDefault="00E70D25" w:rsidP="00235EA8">
      <w:pPr>
        <w:pStyle w:val="ListBullet"/>
        <w:rPr>
          <w:lang w:val="en-AU"/>
        </w:rPr>
      </w:pPr>
      <w:r w:rsidRPr="005965A3">
        <w:rPr>
          <w:lang w:val="en-AU"/>
        </w:rPr>
        <w:t xml:space="preserve">more </w:t>
      </w:r>
      <w:r w:rsidR="00100E9A" w:rsidRPr="005965A3">
        <w:rPr>
          <w:lang w:val="en-AU"/>
        </w:rPr>
        <w:t>than</w:t>
      </w:r>
      <w:r w:rsidRPr="005965A3">
        <w:rPr>
          <w:lang w:val="en-AU"/>
        </w:rPr>
        <w:t xml:space="preserve"> 30%</w:t>
      </w:r>
      <w:r w:rsidR="00E96CC4" w:rsidRPr="005965A3">
        <w:rPr>
          <w:lang w:val="en-AU"/>
        </w:rPr>
        <w:t xml:space="preserve"> of </w:t>
      </w:r>
      <w:r w:rsidR="009523E7">
        <w:rPr>
          <w:lang w:val="en-AU"/>
        </w:rPr>
        <w:t xml:space="preserve">mature aged </w:t>
      </w:r>
      <w:r w:rsidR="009523E7" w:rsidRPr="005965A3">
        <w:rPr>
          <w:lang w:val="en-AU"/>
        </w:rPr>
        <w:t>workers</w:t>
      </w:r>
      <w:r w:rsidRPr="005965A3">
        <w:rPr>
          <w:lang w:val="en-AU"/>
        </w:rPr>
        <w:t xml:space="preserve">. </w:t>
      </w:r>
    </w:p>
    <w:p w14:paraId="53ADA862" w14:textId="04AFA462" w:rsidR="00E70D25" w:rsidRPr="00812BC5" w:rsidRDefault="0062465C" w:rsidP="005451CC">
      <w:pPr>
        <w:pStyle w:val="Caption"/>
        <w:rPr>
          <w:rFonts w:eastAsia="Times New Roman"/>
        </w:rPr>
      </w:pPr>
      <w:bookmarkStart w:id="70" w:name="_Ref176193024"/>
      <w:bookmarkStart w:id="71" w:name="_Ref175140158"/>
      <w:bookmarkStart w:id="72" w:name="_Toc180136420"/>
      <w:r w:rsidRPr="0062465C">
        <w:t xml:space="preserve">Figure </w:t>
      </w:r>
      <w:r>
        <w:fldChar w:fldCharType="begin"/>
      </w:r>
      <w:r>
        <w:instrText xml:space="preserve"> SEQ Figure \* ARABIC </w:instrText>
      </w:r>
      <w:r>
        <w:fldChar w:fldCharType="separate"/>
      </w:r>
      <w:r w:rsidR="00A35392">
        <w:rPr>
          <w:noProof/>
        </w:rPr>
        <w:t>13</w:t>
      </w:r>
      <w:r>
        <w:rPr>
          <w:noProof/>
        </w:rPr>
        <w:fldChar w:fldCharType="end"/>
      </w:r>
      <w:bookmarkEnd w:id="70"/>
      <w:bookmarkEnd w:id="71"/>
      <w:r w:rsidR="009102CB" w:rsidRPr="00E33AFC">
        <w:t>:</w:t>
      </w:r>
      <w:r w:rsidR="00E70D25" w:rsidRPr="00E33AFC">
        <w:t xml:space="preserve"> </w:t>
      </w:r>
      <w:r w:rsidR="00346D79">
        <w:t xml:space="preserve">Percentage of occupations in </w:t>
      </w:r>
      <w:r w:rsidR="0011753A">
        <w:t>Shortage</w:t>
      </w:r>
      <w:r w:rsidR="0DAB1D13">
        <w:t xml:space="preserve"> (%)</w:t>
      </w:r>
      <w:r w:rsidR="00346D79">
        <w:t xml:space="preserve">, by </w:t>
      </w:r>
      <w:r w:rsidR="00972F62">
        <w:t xml:space="preserve">mature age </w:t>
      </w:r>
      <w:r w:rsidR="00346D79">
        <w:t>worker composition, 2021-2024</w:t>
      </w:r>
      <w:bookmarkEnd w:id="72"/>
    </w:p>
    <w:p w14:paraId="58A3FD8C" w14:textId="013708AA" w:rsidR="00E70D25" w:rsidRPr="00FE4FC9" w:rsidRDefault="00346D79" w:rsidP="00235EA8">
      <w:pPr>
        <w:pStyle w:val="Source"/>
        <w:rPr>
          <w:rFonts w:eastAsia="Times New Roman"/>
        </w:rPr>
      </w:pPr>
      <w:r>
        <w:rPr>
          <w:noProof/>
        </w:rPr>
        <w:drawing>
          <wp:inline distT="0" distB="0" distL="0" distR="0" wp14:anchorId="387C7FBA" wp14:editId="463E24B1">
            <wp:extent cx="5731510" cy="3067050"/>
            <wp:effectExtent l="0" t="0" r="2540" b="0"/>
            <wp:docPr id="222834526" name="Chart 1" descr="Figure 13 shows the percentage of  occupations that were in shortage by mature age worker composition in 2021-2024 OSLs. In 2024, 19% of occupations with at least 30% of mature aged workers were in shortage, whereas 36% and 44% of occupations were in shortage when workers were 10-30% and less than 10% of the workforce, respectively. ">
              <a:extLst xmlns:a="http://schemas.openxmlformats.org/drawingml/2006/main">
                <a:ext uri="{FF2B5EF4-FFF2-40B4-BE49-F238E27FC236}">
                  <a16:creationId xmlns:a16="http://schemas.microsoft.com/office/drawing/2014/main" id="{578E7B93-DCD3-4365-975B-646DCF661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D85B75">
        <w:br/>
      </w:r>
      <w:r w:rsidR="00E70D25" w:rsidRPr="000224BD">
        <w:t>Source: J</w:t>
      </w:r>
      <w:r w:rsidR="00E70D25" w:rsidRPr="008777AD">
        <w:t xml:space="preserve">obs and Skills Australia, Occupation Shortage List, </w:t>
      </w:r>
      <w:r w:rsidRPr="008777AD">
        <w:t>2021</w:t>
      </w:r>
      <w:r w:rsidR="00382206">
        <w:t>–</w:t>
      </w:r>
      <w:r w:rsidR="00E70D25" w:rsidRPr="008777AD">
        <w:t xml:space="preserve">24; </w:t>
      </w:r>
      <w:r w:rsidR="003154DD" w:rsidRPr="003154DD">
        <w:t>Australian Bureau of Statistics</w:t>
      </w:r>
      <w:r w:rsidR="00E70D25" w:rsidRPr="008777AD">
        <w:t xml:space="preserve">, </w:t>
      </w:r>
      <w:r w:rsidR="00C92AD3">
        <w:t xml:space="preserve">2021 </w:t>
      </w:r>
      <w:r w:rsidR="00E70D25" w:rsidRPr="008777AD">
        <w:t>Census of Population and Housing.</w:t>
      </w:r>
    </w:p>
    <w:p w14:paraId="3CA6BEF4" w14:textId="28CF0012" w:rsidR="00C46386" w:rsidRDefault="00D835E3" w:rsidP="00C46386">
      <w:bookmarkStart w:id="73" w:name="_Toc174355997"/>
      <w:r>
        <w:t xml:space="preserve">Consistent with </w:t>
      </w:r>
      <w:r w:rsidR="00C102D5">
        <w:t>previous insights</w:t>
      </w:r>
      <w:r>
        <w:t xml:space="preserve">, </w:t>
      </w:r>
      <w:r>
        <w:fldChar w:fldCharType="begin"/>
      </w:r>
      <w:r>
        <w:instrText xml:space="preserve"> REF _Ref176193024 \h </w:instrText>
      </w:r>
      <w:r>
        <w:fldChar w:fldCharType="separate"/>
      </w:r>
      <w:r w:rsidR="00A35392" w:rsidRPr="0062465C">
        <w:t xml:space="preserve">Figure </w:t>
      </w:r>
      <w:r w:rsidR="00A35392">
        <w:rPr>
          <w:noProof/>
        </w:rPr>
        <w:t>13</w:t>
      </w:r>
      <w:r>
        <w:fldChar w:fldCharType="end"/>
      </w:r>
      <w:r>
        <w:t xml:space="preserve"> implies that </w:t>
      </w:r>
      <w:r w:rsidR="004D1D6D">
        <w:t>an</w:t>
      </w:r>
      <w:r w:rsidRPr="005965A3">
        <w:t xml:space="preserve"> </w:t>
      </w:r>
      <w:r w:rsidRPr="00D835E3">
        <w:t>occupation that ha</w:t>
      </w:r>
      <w:r w:rsidR="004D1D6D">
        <w:t>s</w:t>
      </w:r>
      <w:r w:rsidRPr="00D835E3">
        <w:t xml:space="preserve"> a larger proportion of </w:t>
      </w:r>
      <w:r w:rsidR="00A0521E">
        <w:t xml:space="preserve">its </w:t>
      </w:r>
      <w:r w:rsidRPr="00D835E3">
        <w:t xml:space="preserve">workforce aged 55 years </w:t>
      </w:r>
      <w:r w:rsidR="00972F62">
        <w:t xml:space="preserve">or older </w:t>
      </w:r>
      <w:r w:rsidR="00975E1D">
        <w:t xml:space="preserve">were </w:t>
      </w:r>
      <w:r w:rsidRPr="00D835E3">
        <w:t xml:space="preserve">less likely to have a </w:t>
      </w:r>
      <w:r w:rsidR="0011753A">
        <w:t>Shortage</w:t>
      </w:r>
      <w:r w:rsidR="00411B08">
        <w:t xml:space="preserve"> rating</w:t>
      </w:r>
      <w:r>
        <w:t xml:space="preserve">: </w:t>
      </w:r>
    </w:p>
    <w:p w14:paraId="3EAF0CEE" w14:textId="712378C6" w:rsidR="00346D79" w:rsidRPr="005965A3" w:rsidRDefault="00346D79" w:rsidP="00FD1318">
      <w:pPr>
        <w:pStyle w:val="ListBullet"/>
        <w:rPr>
          <w:lang w:val="en-AU"/>
        </w:rPr>
      </w:pPr>
      <w:r w:rsidRPr="005965A3">
        <w:rPr>
          <w:lang w:val="en-AU"/>
        </w:rPr>
        <w:t xml:space="preserve">For occupations with at least 30% of workers aged 55 and above, 19% were in </w:t>
      </w:r>
      <w:r w:rsidR="0011753A">
        <w:rPr>
          <w:lang w:val="en-AU"/>
        </w:rPr>
        <w:t>Shortage</w:t>
      </w:r>
      <w:r w:rsidRPr="005965A3">
        <w:rPr>
          <w:lang w:val="en-AU"/>
        </w:rPr>
        <w:t>.</w:t>
      </w:r>
    </w:p>
    <w:p w14:paraId="741B2E22" w14:textId="78DD3358" w:rsidR="00346D79" w:rsidRPr="005965A3" w:rsidRDefault="00346D79" w:rsidP="00431905">
      <w:pPr>
        <w:pStyle w:val="ListBullet"/>
      </w:pPr>
      <w:r w:rsidRPr="005965A3">
        <w:rPr>
          <w:lang w:val="en-AU"/>
        </w:rPr>
        <w:t xml:space="preserve">For occupations with no more than 10% of workers aged 55 and above, 44% were in </w:t>
      </w:r>
      <w:r w:rsidR="0011753A">
        <w:rPr>
          <w:lang w:val="en-AU"/>
        </w:rPr>
        <w:t>Shortage</w:t>
      </w:r>
      <w:r w:rsidRPr="005965A3">
        <w:rPr>
          <w:lang w:val="en-AU"/>
        </w:rPr>
        <w:t>.</w:t>
      </w:r>
    </w:p>
    <w:p w14:paraId="2642C199" w14:textId="490393D0" w:rsidR="00E70D25" w:rsidRPr="004F4714" w:rsidRDefault="00E70D25" w:rsidP="00235EA8">
      <w:r w:rsidRPr="006F18E6">
        <w:t xml:space="preserve">The above results points to the importance of </w:t>
      </w:r>
      <w:r w:rsidR="00DD4889" w:rsidRPr="004F4714">
        <w:t>age-</w:t>
      </w:r>
      <w:r w:rsidRPr="004F4714">
        <w:t>inclusiveness in employment particularly in an ageing population as increasing employment for older workers may help</w:t>
      </w:r>
      <w:r w:rsidR="00750395" w:rsidRPr="004F4714">
        <w:t xml:space="preserve"> to</w:t>
      </w:r>
      <w:r w:rsidRPr="004F4714">
        <w:t xml:space="preserve"> alleviate occupations in shortage.</w:t>
      </w:r>
      <w:bookmarkEnd w:id="73"/>
      <w:r w:rsidR="00DD4889" w:rsidRPr="004F4714">
        <w:t xml:space="preserve"> </w:t>
      </w:r>
    </w:p>
    <w:p w14:paraId="6A09C6F9" w14:textId="7548C22C" w:rsidR="00E70D25" w:rsidRPr="00E70D25" w:rsidRDefault="00E70D25" w:rsidP="00E70D25">
      <w:pPr>
        <w:pStyle w:val="Heading2"/>
      </w:pPr>
      <w:bookmarkStart w:id="74" w:name="_Toc174355998"/>
      <w:bookmarkStart w:id="75" w:name="_Toc180136440"/>
      <w:r w:rsidRPr="00E70D25">
        <w:t xml:space="preserve">Occupation shortage </w:t>
      </w:r>
      <w:r w:rsidR="00FB2F0A">
        <w:t xml:space="preserve">pressures in </w:t>
      </w:r>
      <w:r w:rsidRPr="00E70D25">
        <w:t>industr</w:t>
      </w:r>
      <w:bookmarkEnd w:id="74"/>
      <w:r w:rsidR="00FB2F0A">
        <w:t>ies</w:t>
      </w:r>
      <w:bookmarkEnd w:id="75"/>
      <w:r w:rsidRPr="00E70D25">
        <w:t xml:space="preserve"> </w:t>
      </w:r>
    </w:p>
    <w:p w14:paraId="130BA9B7" w14:textId="17E1AF68" w:rsidR="003B0F21" w:rsidRPr="003B0F21" w:rsidRDefault="00683A3F" w:rsidP="00235EA8">
      <w:pPr>
        <w:rPr>
          <w:rFonts w:cs="Arial"/>
        </w:rPr>
      </w:pPr>
      <w:r>
        <w:t>A</w:t>
      </w:r>
      <w:r w:rsidR="00D15D47">
        <w:t xml:space="preserve">n industry is likely to feel </w:t>
      </w:r>
      <w:r>
        <w:t xml:space="preserve">shortage </w:t>
      </w:r>
      <w:r w:rsidR="00D15D47">
        <w:t>pressure</w:t>
      </w:r>
      <w:r w:rsidR="00AD3274">
        <w:t>s</w:t>
      </w:r>
      <w:r w:rsidR="00D15D47">
        <w:t xml:space="preserve"> when the largest </w:t>
      </w:r>
      <w:r w:rsidR="00CA0383">
        <w:t xml:space="preserve">employing </w:t>
      </w:r>
      <w:r w:rsidR="00D15D47">
        <w:t xml:space="preserve">occupations within that industry are in </w:t>
      </w:r>
      <w:r w:rsidR="00957939">
        <w:t>s</w:t>
      </w:r>
      <w:r w:rsidR="00D15D47" w:rsidRPr="006F4003">
        <w:t>hortage</w:t>
      </w:r>
      <w:r w:rsidR="00D15D47">
        <w:t xml:space="preserve">. </w:t>
      </w:r>
      <w:r w:rsidR="00E70D25">
        <w:t>To explore this</w:t>
      </w:r>
      <w:r w:rsidR="00AE76DD">
        <w:t>,</w:t>
      </w:r>
      <w:r w:rsidR="00482AD8">
        <w:t xml:space="preserve"> </w:t>
      </w:r>
      <w:r w:rsidR="008A4AC0" w:rsidRPr="008A4AC0">
        <w:t>employment size</w:t>
      </w:r>
      <w:r w:rsidR="00AE76DD">
        <w:t>s</w:t>
      </w:r>
      <w:r w:rsidR="008A4AC0">
        <w:t xml:space="preserve"> of occupations within an industry</w:t>
      </w:r>
      <w:r w:rsidR="008A4AC0" w:rsidRPr="008A4AC0">
        <w:t xml:space="preserve"> that </w:t>
      </w:r>
      <w:r w:rsidR="00C14DAD">
        <w:t xml:space="preserve">were </w:t>
      </w:r>
      <w:r w:rsidR="008A4AC0" w:rsidRPr="008A4AC0">
        <w:t xml:space="preserve">in </w:t>
      </w:r>
      <w:r w:rsidR="00C14DAD">
        <w:t>S</w:t>
      </w:r>
      <w:r w:rsidR="008A4AC0" w:rsidRPr="008A4AC0">
        <w:t xml:space="preserve">hortage </w:t>
      </w:r>
      <w:r w:rsidR="00C14DAD">
        <w:t xml:space="preserve">in the 2024 OSL </w:t>
      </w:r>
      <w:r w:rsidR="00AE76DD">
        <w:t xml:space="preserve">were summed </w:t>
      </w:r>
      <w:r w:rsidR="008A4AC0" w:rsidRPr="008A4AC0">
        <w:t xml:space="preserve">and </w:t>
      </w:r>
      <w:r w:rsidR="00AE76DD">
        <w:t>divided</w:t>
      </w:r>
      <w:r w:rsidR="008A4AC0">
        <w:t xml:space="preserve"> </w:t>
      </w:r>
      <w:r w:rsidR="008A4AC0" w:rsidRPr="008A4AC0">
        <w:t>by the total employment size of that industry</w:t>
      </w:r>
      <w:r w:rsidR="00DF53F5">
        <w:t>.</w:t>
      </w:r>
      <w:r w:rsidR="009A4107" w:rsidRPr="4F498787">
        <w:rPr>
          <w:rStyle w:val="FootnoteReference"/>
          <w:rFonts w:asciiTheme="minorHAnsi" w:hAnsiTheme="minorHAnsi"/>
        </w:rPr>
        <w:footnoteReference w:id="29"/>
      </w:r>
      <w:r w:rsidR="00E70D25">
        <w:t xml:space="preserve"> </w:t>
      </w:r>
      <w:r w:rsidR="00607896">
        <w:t>Essentially</w:t>
      </w:r>
      <w:r w:rsidR="004E409D">
        <w:t xml:space="preserve">, occupation shortage ratings </w:t>
      </w:r>
      <w:r w:rsidR="003739CA">
        <w:t xml:space="preserve">at the national level </w:t>
      </w:r>
      <w:r w:rsidR="001C7DDD">
        <w:t>were</w:t>
      </w:r>
      <w:r w:rsidR="001F5884">
        <w:t xml:space="preserve"> </w:t>
      </w:r>
      <w:r w:rsidR="003739CA">
        <w:t>weighted by the within-industry distribution of employment</w:t>
      </w:r>
      <w:r w:rsidR="00216EF9">
        <w:t>.</w:t>
      </w:r>
      <w:r w:rsidR="003739CA">
        <w:t xml:space="preserve"> </w:t>
      </w:r>
      <w:r w:rsidR="00627D55">
        <w:t xml:space="preserve">This </w:t>
      </w:r>
      <w:r w:rsidR="001C7DDD">
        <w:t>was</w:t>
      </w:r>
      <w:r w:rsidR="00CB5554">
        <w:t xml:space="preserve"> used to </w:t>
      </w:r>
      <w:r w:rsidR="009B42B9" w:rsidRPr="005965A3">
        <w:t>calculate</w:t>
      </w:r>
      <w:r w:rsidR="009B42B9">
        <w:t xml:space="preserve"> </w:t>
      </w:r>
      <w:r w:rsidR="003B0E8F">
        <w:t xml:space="preserve">a proxy for </w:t>
      </w:r>
      <w:r w:rsidR="00960377">
        <w:t xml:space="preserve">the </w:t>
      </w:r>
      <w:r w:rsidR="00545208" w:rsidRPr="003B0F21">
        <w:rPr>
          <w:rFonts w:cs="Arial"/>
        </w:rPr>
        <w:t xml:space="preserve">percentage </w:t>
      </w:r>
      <w:r w:rsidR="00960377" w:rsidRPr="003B0F21">
        <w:rPr>
          <w:rFonts w:cs="Arial"/>
        </w:rPr>
        <w:t>of work</w:t>
      </w:r>
      <w:r w:rsidR="00742989">
        <w:rPr>
          <w:rFonts w:cs="Arial"/>
        </w:rPr>
        <w:t xml:space="preserve">force shortage </w:t>
      </w:r>
      <w:r w:rsidR="00960377" w:rsidRPr="003B0F21">
        <w:rPr>
          <w:rFonts w:cs="Arial"/>
        </w:rPr>
        <w:t>in an industry</w:t>
      </w:r>
      <w:r w:rsidR="00960377" w:rsidRPr="005965A3">
        <w:rPr>
          <w:rFonts w:cs="Arial"/>
        </w:rPr>
        <w:t>.</w:t>
      </w:r>
    </w:p>
    <w:p w14:paraId="07D05C2C" w14:textId="5839D566" w:rsidR="00BA0F7A" w:rsidRDefault="0062465C" w:rsidP="00D113B2">
      <w:pPr>
        <w:pStyle w:val="Caption"/>
      </w:pPr>
      <w:bookmarkStart w:id="76" w:name="_Ref176193082"/>
      <w:bookmarkStart w:id="77" w:name="_Ref171433990"/>
      <w:bookmarkStart w:id="78" w:name="_Toc180136421"/>
      <w:r>
        <w:lastRenderedPageBreak/>
        <w:t xml:space="preserve">Figure </w:t>
      </w:r>
      <w:r w:rsidRPr="00C55542">
        <w:fldChar w:fldCharType="begin"/>
      </w:r>
      <w:r>
        <w:instrText xml:space="preserve"> SEQ Figure \* ARABIC </w:instrText>
      </w:r>
      <w:r w:rsidRPr="00C55542">
        <w:fldChar w:fldCharType="separate"/>
      </w:r>
      <w:r w:rsidR="00A35392">
        <w:rPr>
          <w:noProof/>
        </w:rPr>
        <w:t>14</w:t>
      </w:r>
      <w:r w:rsidRPr="00C55542">
        <w:fldChar w:fldCharType="end"/>
      </w:r>
      <w:bookmarkEnd w:id="76"/>
      <w:r>
        <w:t xml:space="preserve">: </w:t>
      </w:r>
      <w:bookmarkStart w:id="79" w:name="_Hlk171346286"/>
      <w:bookmarkEnd w:id="77"/>
      <w:r w:rsidR="00D16AF4">
        <w:t xml:space="preserve">Workforce </w:t>
      </w:r>
      <w:r w:rsidR="00924B12">
        <w:t>shortage pressures (%)</w:t>
      </w:r>
      <w:r w:rsidR="003B5006" w:rsidRPr="00235EA8">
        <w:t>, by industry,</w:t>
      </w:r>
      <w:r w:rsidR="009B5504" w:rsidRPr="00235EA8">
        <w:t xml:space="preserve"> </w:t>
      </w:r>
      <w:r w:rsidR="00E70D25" w:rsidRPr="00235EA8">
        <w:t>2021</w:t>
      </w:r>
      <w:r w:rsidR="00B904D2" w:rsidRPr="009A27F0">
        <w:t>–</w:t>
      </w:r>
      <w:r w:rsidR="00E70D25" w:rsidRPr="00235EA8">
        <w:t>24</w:t>
      </w:r>
      <w:bookmarkEnd w:id="78"/>
      <w:bookmarkEnd w:id="79"/>
    </w:p>
    <w:p w14:paraId="0D026879" w14:textId="19E00D1A" w:rsidR="003B0F21" w:rsidRPr="00680324" w:rsidRDefault="00154C2F" w:rsidP="00431905">
      <w:pPr>
        <w:pStyle w:val="Caption"/>
      </w:pPr>
      <w:r w:rsidRPr="005965A3">
        <w:rPr>
          <w:b w:val="0"/>
          <w:bCs w:val="0"/>
          <w:noProof/>
        </w:rPr>
        <w:drawing>
          <wp:inline distT="0" distB="0" distL="0" distR="0" wp14:anchorId="74EEEDBD" wp14:editId="504C7C3E">
            <wp:extent cx="5731510" cy="3067200"/>
            <wp:effectExtent l="0" t="0" r="2540" b="0"/>
            <wp:docPr id="58023177" name="Chart 1" descr="Figure 14 shows the proportion of occupations in shortages from 2021-2024, by industry. Construction, Health Care and Social Assistance, Mining, Other Services, and Education and Training appear to have the most acute shortage pressures. Compared to other industries, the shares of occupations in shortage are much higher in these five industries, and they are all above 50% particularly from 2022 to 2024.">
              <a:extLst xmlns:a="http://schemas.openxmlformats.org/drawingml/2006/main">
                <a:ext uri="{FF2B5EF4-FFF2-40B4-BE49-F238E27FC236}">
                  <a16:creationId xmlns:a16="http://schemas.microsoft.com/office/drawing/2014/main" id="{AD174E78-426A-4B8D-870F-A3E5C26F4A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680324">
        <w:br/>
      </w:r>
      <w:r w:rsidR="00E70D25" w:rsidRPr="00680324">
        <w:rPr>
          <w:b w:val="0"/>
          <w:bCs w:val="0"/>
        </w:rPr>
        <w:t>Source: Jobs and Skills Australia, Occupation Shortage List, 2021</w:t>
      </w:r>
      <w:r w:rsidR="000C6347" w:rsidRPr="00680324">
        <w:rPr>
          <w:b w:val="0"/>
          <w:bCs w:val="0"/>
        </w:rPr>
        <w:t>–24</w:t>
      </w:r>
      <w:r w:rsidR="00E70D25" w:rsidRPr="00680324">
        <w:rPr>
          <w:b w:val="0"/>
          <w:bCs w:val="0"/>
        </w:rPr>
        <w:t xml:space="preserve">; </w:t>
      </w:r>
      <w:r w:rsidR="003154DD" w:rsidRPr="003154DD">
        <w:rPr>
          <w:b w:val="0"/>
          <w:bCs w:val="0"/>
        </w:rPr>
        <w:t>Australian Bureau of Statistics</w:t>
      </w:r>
      <w:r w:rsidR="00E70D25" w:rsidRPr="00680324">
        <w:rPr>
          <w:b w:val="0"/>
          <w:bCs w:val="0"/>
        </w:rPr>
        <w:t>, 2021 Census of Population and Housing.</w:t>
      </w:r>
      <w:bookmarkStart w:id="80" w:name="_Toc174355999"/>
    </w:p>
    <w:p w14:paraId="4FD720CD" w14:textId="3D20E096" w:rsidR="00AE5D89" w:rsidRDefault="0051723D" w:rsidP="0051723D">
      <w:r w:rsidRPr="003B0F21">
        <w:rPr>
          <w:rFonts w:cs="Arial"/>
        </w:rPr>
        <w:t>Compared to other industries</w:t>
      </w:r>
      <w:r>
        <w:t>, Construction, Health Care and Social Assistance, Mining, Other Services, and Education and Training appear to have acute shortage pressures (</w:t>
      </w:r>
      <w:r w:rsidRPr="005451CC">
        <w:rPr>
          <w:rFonts w:cs="Arial"/>
        </w:rPr>
        <w:fldChar w:fldCharType="begin"/>
      </w:r>
      <w:r w:rsidRPr="005451CC">
        <w:rPr>
          <w:rFonts w:cs="Arial"/>
        </w:rPr>
        <w:instrText xml:space="preserve"> REF _Ref176193082 \h </w:instrText>
      </w:r>
      <w:r w:rsidRPr="0062465C">
        <w:rPr>
          <w:rFonts w:cs="Arial"/>
        </w:rPr>
        <w:instrText xml:space="preserve"> \* MERGEFORMAT </w:instrText>
      </w:r>
      <w:r w:rsidRPr="005451CC">
        <w:rPr>
          <w:rFonts w:cs="Arial"/>
        </w:rPr>
      </w:r>
      <w:r w:rsidRPr="005451CC">
        <w:rPr>
          <w:rFonts w:cs="Arial"/>
        </w:rPr>
        <w:fldChar w:fldCharType="separate"/>
      </w:r>
      <w:r w:rsidR="00A35392" w:rsidRPr="00A35392">
        <w:rPr>
          <w:rFonts w:cs="Arial"/>
        </w:rPr>
        <w:t xml:space="preserve">Figure </w:t>
      </w:r>
      <w:r w:rsidR="00A35392" w:rsidRPr="00A35392">
        <w:rPr>
          <w:rFonts w:cs="Arial"/>
          <w:noProof/>
        </w:rPr>
        <w:t>14</w:t>
      </w:r>
      <w:r w:rsidRPr="005451CC">
        <w:rPr>
          <w:rFonts w:cs="Arial"/>
        </w:rPr>
        <w:fldChar w:fldCharType="end"/>
      </w:r>
      <w:r>
        <w:rPr>
          <w:rFonts w:cs="Arial"/>
        </w:rPr>
        <w:t>).</w:t>
      </w:r>
      <w:r w:rsidRPr="4F498787">
        <w:rPr>
          <w:rStyle w:val="FootnoteReference"/>
          <w:rFonts w:asciiTheme="minorHAnsi" w:hAnsiTheme="minorHAnsi"/>
        </w:rPr>
        <w:footnoteReference w:id="30"/>
      </w:r>
      <w:r>
        <w:t xml:space="preserve"> </w:t>
      </w:r>
      <w:r w:rsidR="00D47494">
        <w:t>A</w:t>
      </w:r>
      <w:r>
        <w:t>ll 5 of these industries have had shortage pressures of 51</w:t>
      </w:r>
      <w:r w:rsidR="00AE5D89">
        <w:t xml:space="preserve">% to </w:t>
      </w:r>
      <w:r>
        <w:t xml:space="preserve">72%, since 2022. </w:t>
      </w:r>
    </w:p>
    <w:p w14:paraId="4D85C49E" w14:textId="510F8255" w:rsidR="008951ED" w:rsidRDefault="008951ED" w:rsidP="0051723D">
      <w:r>
        <w:t xml:space="preserve">The results reflect the percentage of </w:t>
      </w:r>
      <w:r w:rsidR="00306FB1">
        <w:t>health and teacher</w:t>
      </w:r>
      <w:r w:rsidR="0003541B">
        <w:t xml:space="preserve"> professional occupations </w:t>
      </w:r>
      <w:r w:rsidR="001F5295">
        <w:t xml:space="preserve">in </w:t>
      </w:r>
      <w:r w:rsidR="008B0438">
        <w:t>Shortage</w:t>
      </w:r>
      <w:r w:rsidR="001F5295">
        <w:t xml:space="preserve"> and concentrated in Health Care and Social Assistance</w:t>
      </w:r>
      <w:r w:rsidR="00A853E3">
        <w:t xml:space="preserve"> and Education and Training</w:t>
      </w:r>
      <w:r w:rsidR="0003541B">
        <w:t xml:space="preserve"> industries</w:t>
      </w:r>
      <w:r w:rsidR="0025731B">
        <w:t xml:space="preserve">, </w:t>
      </w:r>
      <w:r w:rsidR="00A9345D">
        <w:t xml:space="preserve">respectively. It also </w:t>
      </w:r>
      <w:r w:rsidR="007904E6">
        <w:t xml:space="preserve">reflects the </w:t>
      </w:r>
      <w:r w:rsidR="0025731B">
        <w:t xml:space="preserve">concentration of </w:t>
      </w:r>
      <w:r w:rsidR="004C0299">
        <w:t xml:space="preserve">Technicians and Trades Workers in </w:t>
      </w:r>
      <w:r w:rsidR="008B0438">
        <w:t>Shortage</w:t>
      </w:r>
      <w:r w:rsidR="004C0299">
        <w:t xml:space="preserve"> </w:t>
      </w:r>
      <w:r w:rsidR="00D874D2">
        <w:t xml:space="preserve">and employed </w:t>
      </w:r>
      <w:r w:rsidR="007E6C16">
        <w:t xml:space="preserve">in Construction and Mining. </w:t>
      </w:r>
    </w:p>
    <w:p w14:paraId="727C419E" w14:textId="38CAD08F" w:rsidR="00FA112E" w:rsidRDefault="00FA112E" w:rsidP="0051723D">
      <w:r>
        <w:t xml:space="preserve">The results also align with </w:t>
      </w:r>
      <w:r w:rsidR="001907DE">
        <w:t xml:space="preserve">the </w:t>
      </w:r>
      <w:r w:rsidR="00387937">
        <w:t xml:space="preserve">expected </w:t>
      </w:r>
      <w:r w:rsidR="001907DE">
        <w:t xml:space="preserve">impacts of population ageing </w:t>
      </w:r>
      <w:r w:rsidR="004D23DC">
        <w:t xml:space="preserve">and the flow on </w:t>
      </w:r>
      <w:r w:rsidR="000662F6">
        <w:t xml:space="preserve">increasing </w:t>
      </w:r>
      <w:r w:rsidR="004D23DC">
        <w:t>demand for health servi</w:t>
      </w:r>
      <w:r w:rsidR="00417816">
        <w:t>c</w:t>
      </w:r>
      <w:r w:rsidR="004D23DC">
        <w:t>es,</w:t>
      </w:r>
      <w:r w:rsidR="00417816">
        <w:t xml:space="preserve"> and the impact of backlog of infrastructure projects on the </w:t>
      </w:r>
      <w:r w:rsidR="00B030E2">
        <w:t>Construction</w:t>
      </w:r>
      <w:r w:rsidR="00417816">
        <w:t xml:space="preserve"> industry. </w:t>
      </w:r>
    </w:p>
    <w:p w14:paraId="612CC77C" w14:textId="397F82EE" w:rsidR="00E70D25" w:rsidRPr="00E70D25" w:rsidRDefault="00E70D25" w:rsidP="00E70D25">
      <w:pPr>
        <w:pStyle w:val="Heading2"/>
      </w:pPr>
      <w:bookmarkStart w:id="81" w:name="_Toc180136441"/>
      <w:r w:rsidRPr="00E70D25">
        <w:t>Employers rarely adjust wages to fill vacancies</w:t>
      </w:r>
      <w:bookmarkEnd w:id="80"/>
      <w:bookmarkEnd w:id="81"/>
    </w:p>
    <w:p w14:paraId="72836AC6" w14:textId="270C050A" w:rsidR="00CC659D" w:rsidRDefault="00832FBD" w:rsidP="00235EA8">
      <w:r>
        <w:t xml:space="preserve">Data from </w:t>
      </w:r>
      <w:r w:rsidR="00E70D25" w:rsidRPr="1A647D3A">
        <w:t>SERA</w:t>
      </w:r>
      <w:r w:rsidR="00302D9D">
        <w:t xml:space="preserve">, </w:t>
      </w:r>
      <w:r w:rsidR="0054795F">
        <w:t xml:space="preserve">for </w:t>
      </w:r>
      <w:r w:rsidR="00302D9D">
        <w:t>the 2024 OSL period,</w:t>
      </w:r>
      <w:r w:rsidR="00E70D25" w:rsidRPr="1A647D3A">
        <w:t xml:space="preserve"> </w:t>
      </w:r>
      <w:r>
        <w:t>indicat</w:t>
      </w:r>
      <w:r w:rsidR="0074309F">
        <w:t>ed</w:t>
      </w:r>
      <w:r>
        <w:t xml:space="preserve"> </w:t>
      </w:r>
      <w:r w:rsidR="00E70D25">
        <w:t xml:space="preserve">that </w:t>
      </w:r>
      <w:r w:rsidR="002F1ADC">
        <w:t xml:space="preserve">73% of </w:t>
      </w:r>
      <w:r w:rsidR="00E70D25" w:rsidRPr="1A647D3A">
        <w:t>employers continue</w:t>
      </w:r>
      <w:r w:rsidR="0074309F">
        <w:t>d</w:t>
      </w:r>
      <w:r w:rsidR="00E70D25" w:rsidRPr="1A647D3A">
        <w:t xml:space="preserve"> </w:t>
      </w:r>
      <w:r w:rsidR="00EA4B55">
        <w:t xml:space="preserve">to </w:t>
      </w:r>
      <w:r w:rsidR="00E70D25" w:rsidRPr="1A647D3A">
        <w:t>advertis</w:t>
      </w:r>
      <w:r>
        <w:t>e</w:t>
      </w:r>
      <w:r w:rsidR="00E70D25" w:rsidRPr="1A647D3A">
        <w:t xml:space="preserve"> in the same place in response to unfilled vacancies</w:t>
      </w:r>
      <w:r>
        <w:t>,</w:t>
      </w:r>
      <w:r w:rsidR="00E70D25">
        <w:t xml:space="preserve"> over </w:t>
      </w:r>
      <w:r w:rsidR="00E715FD">
        <w:t>the</w:t>
      </w:r>
      <w:r w:rsidR="00E70D25">
        <w:t xml:space="preserve"> course of a year</w:t>
      </w:r>
      <w:r w:rsidR="00302D9D">
        <w:t xml:space="preserve"> </w:t>
      </w:r>
      <w:r w:rsidR="00E70D25" w:rsidRPr="1A647D3A">
        <w:t>(</w:t>
      </w:r>
      <w:r w:rsidR="0062465C">
        <w:fldChar w:fldCharType="begin"/>
      </w:r>
      <w:r w:rsidR="0062465C">
        <w:instrText xml:space="preserve"> REF _Ref176193201 \h </w:instrText>
      </w:r>
      <w:r w:rsidR="0062465C">
        <w:fldChar w:fldCharType="separate"/>
      </w:r>
      <w:r w:rsidR="00A35392">
        <w:t xml:space="preserve">Figure </w:t>
      </w:r>
      <w:r w:rsidR="00A35392">
        <w:rPr>
          <w:noProof/>
        </w:rPr>
        <w:t>15</w:t>
      </w:r>
      <w:r w:rsidR="0062465C">
        <w:fldChar w:fldCharType="end"/>
      </w:r>
      <w:r w:rsidR="00E70D25" w:rsidRPr="1A647D3A">
        <w:t xml:space="preserve">). </w:t>
      </w:r>
      <w:r w:rsidR="00E70D25">
        <w:t>Other common actions include</w:t>
      </w:r>
      <w:r w:rsidR="005B5FF6">
        <w:t>d</w:t>
      </w:r>
      <w:r w:rsidR="00E70D25">
        <w:t xml:space="preserve"> </w:t>
      </w:r>
      <w:r w:rsidR="00E70D25" w:rsidRPr="1A647D3A">
        <w:t>s</w:t>
      </w:r>
      <w:r w:rsidR="00E70D25">
        <w:t xml:space="preserve">eeking </w:t>
      </w:r>
      <w:r w:rsidR="00E70D25" w:rsidRPr="1A647D3A">
        <w:t>applicants through different channels</w:t>
      </w:r>
      <w:r w:rsidR="00E70D25">
        <w:t>,</w:t>
      </w:r>
      <w:r w:rsidR="00E70D25" w:rsidRPr="1A647D3A">
        <w:t xml:space="preserve"> such as word of mouth (2</w:t>
      </w:r>
      <w:r w:rsidR="00E70D25">
        <w:t>4</w:t>
      </w:r>
      <w:r w:rsidR="00E70D25" w:rsidRPr="1A647D3A">
        <w:t xml:space="preserve">%) </w:t>
      </w:r>
      <w:r w:rsidR="005B5FF6">
        <w:t>and</w:t>
      </w:r>
      <w:r w:rsidR="005B5FF6" w:rsidRPr="1A647D3A">
        <w:t xml:space="preserve"> </w:t>
      </w:r>
      <w:r w:rsidR="00E70D25" w:rsidRPr="1A647D3A">
        <w:t xml:space="preserve">advertising </w:t>
      </w:r>
      <w:r w:rsidR="00E86819">
        <w:t>o</w:t>
      </w:r>
      <w:r w:rsidR="00E70D25" w:rsidRPr="1A647D3A">
        <w:t xml:space="preserve">n different </w:t>
      </w:r>
      <w:r w:rsidR="00440DBB">
        <w:t xml:space="preserve">sites or </w:t>
      </w:r>
      <w:r w:rsidR="00E70D25" w:rsidRPr="1A647D3A">
        <w:t>places (1</w:t>
      </w:r>
      <w:r w:rsidR="00E70D25">
        <w:t>5</w:t>
      </w:r>
      <w:r w:rsidR="00E70D25" w:rsidRPr="1A647D3A">
        <w:t xml:space="preserve">%). </w:t>
      </w:r>
      <w:r w:rsidR="005F64E1">
        <w:fldChar w:fldCharType="begin"/>
      </w:r>
      <w:r w:rsidR="005F64E1">
        <w:instrText xml:space="preserve"> REF _Ref176193201 \h </w:instrText>
      </w:r>
      <w:r w:rsidR="005F64E1">
        <w:fldChar w:fldCharType="separate"/>
      </w:r>
      <w:r w:rsidR="00A35392">
        <w:t xml:space="preserve">Figure </w:t>
      </w:r>
      <w:r w:rsidR="00A35392">
        <w:rPr>
          <w:noProof/>
        </w:rPr>
        <w:t>15</w:t>
      </w:r>
      <w:r w:rsidR="005F64E1">
        <w:fldChar w:fldCharType="end"/>
      </w:r>
      <w:r w:rsidR="005F64E1">
        <w:t xml:space="preserve"> show</w:t>
      </w:r>
      <w:r w:rsidR="00EA7EDB">
        <w:t>s</w:t>
      </w:r>
      <w:r w:rsidR="005F64E1">
        <w:t xml:space="preserve"> </w:t>
      </w:r>
      <w:r w:rsidR="00E70D25" w:rsidRPr="1A647D3A">
        <w:t xml:space="preserve">the most common </w:t>
      </w:r>
      <w:r w:rsidR="00A05BE2">
        <w:t>actions for</w:t>
      </w:r>
      <w:r w:rsidR="00D04B1D">
        <w:t xml:space="preserve"> the </w:t>
      </w:r>
      <w:r w:rsidR="00A05BE2" w:rsidRPr="1A647D3A">
        <w:t>2021 to 202</w:t>
      </w:r>
      <w:r w:rsidR="00A05BE2">
        <w:t xml:space="preserve">4 </w:t>
      </w:r>
      <w:r w:rsidR="00E70D25">
        <w:t>OSL</w:t>
      </w:r>
      <w:r w:rsidR="00E70D25" w:rsidRPr="1A647D3A">
        <w:t xml:space="preserve"> periods</w:t>
      </w:r>
      <w:r w:rsidR="00E70D25">
        <w:t>.</w:t>
      </w:r>
    </w:p>
    <w:p w14:paraId="2EA6BA42" w14:textId="2A13AD96" w:rsidR="001E3D6E" w:rsidRDefault="0062465C" w:rsidP="00235EA8">
      <w:pPr>
        <w:pStyle w:val="Caption"/>
      </w:pPr>
      <w:bookmarkStart w:id="82" w:name="_Ref176193201"/>
      <w:bookmarkStart w:id="83" w:name="_Ref171434038"/>
      <w:bookmarkStart w:id="84" w:name="_Toc180136422"/>
      <w:r>
        <w:lastRenderedPageBreak/>
        <w:t xml:space="preserve">Figure </w:t>
      </w:r>
      <w:r>
        <w:fldChar w:fldCharType="begin"/>
      </w:r>
      <w:r>
        <w:instrText xml:space="preserve"> SEQ Figure \* ARABIC </w:instrText>
      </w:r>
      <w:r>
        <w:fldChar w:fldCharType="separate"/>
      </w:r>
      <w:r w:rsidR="00A35392">
        <w:rPr>
          <w:noProof/>
        </w:rPr>
        <w:t>15</w:t>
      </w:r>
      <w:r>
        <w:rPr>
          <w:noProof/>
        </w:rPr>
        <w:fldChar w:fldCharType="end"/>
      </w:r>
      <w:bookmarkEnd w:id="82"/>
      <w:r>
        <w:t xml:space="preserve">: </w:t>
      </w:r>
      <w:bookmarkEnd w:id="83"/>
      <w:r w:rsidR="00F30CD4">
        <w:t>Percentage of e</w:t>
      </w:r>
      <w:r w:rsidR="00E70D25" w:rsidRPr="00705D81">
        <w:t>mployer</w:t>
      </w:r>
      <w:r w:rsidR="00494C30">
        <w:t xml:space="preserve">s’ </w:t>
      </w:r>
      <w:r w:rsidR="00E70D25" w:rsidRPr="00705D81">
        <w:t>responses to unfilled vacancies</w:t>
      </w:r>
      <w:r w:rsidR="0047070B">
        <w:t xml:space="preserve"> (%)</w:t>
      </w:r>
      <w:r w:rsidR="00492E3E">
        <w:t>, 2021</w:t>
      </w:r>
      <w:r w:rsidR="00B904D2" w:rsidRPr="009A27F0">
        <w:t>–</w:t>
      </w:r>
      <w:r w:rsidR="00492E3E">
        <w:t>24</w:t>
      </w:r>
      <w:bookmarkEnd w:id="84"/>
    </w:p>
    <w:p w14:paraId="75CA1692" w14:textId="47862182" w:rsidR="00E70D25" w:rsidRPr="00FC22BB" w:rsidRDefault="00774E4F" w:rsidP="00235EA8">
      <w:pPr>
        <w:pStyle w:val="Source"/>
      </w:pPr>
      <w:r>
        <w:rPr>
          <w:noProof/>
        </w:rPr>
        <w:drawing>
          <wp:inline distT="0" distB="0" distL="0" distR="0" wp14:anchorId="4496E43B" wp14:editId="41C2D7BE">
            <wp:extent cx="5731510" cy="3067200"/>
            <wp:effectExtent l="0" t="0" r="2540" b="0"/>
            <wp:docPr id="304886917" name="Chart 1" descr="Figure 15 shows the proportion of employer responses to unfilled vacancies from 2021-2024. In the 2024 OSL period, 73% of employers reported that they continue advertising in the same place in response to unfilled vacancies, while they also sought applicants through different channels, such as word of mouth (24%) or advertising in different places (15%). These three actions were the most common in each of the SPL periods from 2021 to 2024. Few employers (around 0-1%) changed the working conditions over 2021 to 2024 OSL periods, and only around 1% of employers adjusted remuneration to attract suitably skilled workers to fill vacancies. ">
              <a:extLst xmlns:a="http://schemas.openxmlformats.org/drawingml/2006/main">
                <a:ext uri="{FF2B5EF4-FFF2-40B4-BE49-F238E27FC236}">
                  <a16:creationId xmlns:a16="http://schemas.microsoft.com/office/drawing/2014/main" id="{0BE112B8-198F-C209-BA72-7599312BDE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E70D25">
        <w:br/>
      </w:r>
      <w:r w:rsidR="00E70D25" w:rsidRPr="0007535E">
        <w:t xml:space="preserve">Source: Jobs and Skills Australia, </w:t>
      </w:r>
      <w:r w:rsidR="00E70D25" w:rsidRPr="00235EA8">
        <w:t xml:space="preserve">Survey of Employers who </w:t>
      </w:r>
      <w:r w:rsidR="00921FF2">
        <w:t xml:space="preserve">have </w:t>
      </w:r>
      <w:r w:rsidR="00E70D25" w:rsidRPr="00235EA8">
        <w:t>Recently Advertised</w:t>
      </w:r>
      <w:r w:rsidR="00E70D25" w:rsidRPr="0007535E">
        <w:t>, 2</w:t>
      </w:r>
      <w:r w:rsidR="00E70D25" w:rsidRPr="00FC22BB">
        <w:t>02</w:t>
      </w:r>
      <w:r w:rsidR="00A57DAF">
        <w:t>1</w:t>
      </w:r>
      <w:r w:rsidR="000C6347" w:rsidRPr="00FC22BB">
        <w:t>–24</w:t>
      </w:r>
      <w:r w:rsidR="00E70D25" w:rsidRPr="00FC22BB">
        <w:t>.</w:t>
      </w:r>
    </w:p>
    <w:p w14:paraId="3B8A0546" w14:textId="1339AAB2" w:rsidR="00E70D25" w:rsidRDefault="00E70D25" w:rsidP="00235EA8">
      <w:r w:rsidRPr="005965A3">
        <w:t xml:space="preserve">Over the </w:t>
      </w:r>
      <w:r w:rsidR="00D91269" w:rsidRPr="005965A3">
        <w:t xml:space="preserve">4 </w:t>
      </w:r>
      <w:r w:rsidRPr="005965A3">
        <w:t xml:space="preserve">years from 2021 to 2024, few employers </w:t>
      </w:r>
      <w:r w:rsidR="00616625" w:rsidRPr="005965A3">
        <w:t>(</w:t>
      </w:r>
      <w:r w:rsidR="00290DC0" w:rsidRPr="005965A3">
        <w:t xml:space="preserve">between </w:t>
      </w:r>
      <w:r w:rsidR="00616625" w:rsidRPr="005965A3">
        <w:t>0</w:t>
      </w:r>
      <w:r w:rsidR="00290DC0" w:rsidRPr="005965A3">
        <w:t xml:space="preserve"> and </w:t>
      </w:r>
      <w:r w:rsidR="00616625" w:rsidRPr="005965A3">
        <w:t>1%)</w:t>
      </w:r>
      <w:r w:rsidRPr="005965A3">
        <w:t xml:space="preserve"> changed remuneration in response to unfilled vacancies. In the 2024 OSL period, around 1% of employers adjusted remuneration to attract suitably skilled workers to fill vacancies</w:t>
      </w:r>
      <w:r w:rsidR="0017651A" w:rsidRPr="005965A3">
        <w:t>. T</w:t>
      </w:r>
      <w:r w:rsidRPr="005965A3">
        <w:t>h</w:t>
      </w:r>
      <w:r w:rsidR="000D3CCF" w:rsidRPr="005965A3">
        <w:t xml:space="preserve">e percentage of employers with this response </w:t>
      </w:r>
      <w:r w:rsidRPr="005965A3">
        <w:t>was unchanged from 2023.</w:t>
      </w:r>
    </w:p>
    <w:p w14:paraId="74511855" w14:textId="06CBCC8C" w:rsidR="000274B1" w:rsidRDefault="000274B1" w:rsidP="00235EA8">
      <w:r>
        <w:t>Th</w:t>
      </w:r>
      <w:r w:rsidR="0007535E">
        <w:t xml:space="preserve">is </w:t>
      </w:r>
      <w:r w:rsidR="00544DD6">
        <w:t xml:space="preserve">result </w:t>
      </w:r>
      <w:r>
        <w:t xml:space="preserve">is supported by </w:t>
      </w:r>
      <w:r w:rsidR="006707B2">
        <w:t xml:space="preserve">weak relationships between wage growth and </w:t>
      </w:r>
      <w:r w:rsidR="00FC3181">
        <w:t>vacancy fill rates of occupations</w:t>
      </w:r>
      <w:r w:rsidR="00544DD6">
        <w:t xml:space="preserve"> (</w:t>
      </w:r>
      <w:r w:rsidR="00544DD6">
        <w:fldChar w:fldCharType="begin"/>
      </w:r>
      <w:r w:rsidR="00544DD6">
        <w:instrText xml:space="preserve"> REF _Ref176193233 \h </w:instrText>
      </w:r>
      <w:r w:rsidR="00544DD6">
        <w:fldChar w:fldCharType="separate"/>
      </w:r>
      <w:r w:rsidR="00A35392">
        <w:t xml:space="preserve">Figure </w:t>
      </w:r>
      <w:r w:rsidR="00A35392">
        <w:rPr>
          <w:noProof/>
        </w:rPr>
        <w:t>16</w:t>
      </w:r>
      <w:r w:rsidR="00544DD6">
        <w:fldChar w:fldCharType="end"/>
      </w:r>
      <w:r w:rsidR="00544DD6">
        <w:t>)</w:t>
      </w:r>
      <w:r w:rsidR="00FC3181">
        <w:t>.</w:t>
      </w:r>
    </w:p>
    <w:p w14:paraId="2FDCA436" w14:textId="2A5F4E21" w:rsidR="002E5476" w:rsidRPr="004F4714" w:rsidRDefault="0062465C" w:rsidP="000D08D0">
      <w:r>
        <w:fldChar w:fldCharType="begin"/>
      </w:r>
      <w:r>
        <w:instrText xml:space="preserve"> REF _Ref176193233 \h </w:instrText>
      </w:r>
      <w:r w:rsidR="000D08D0">
        <w:instrText xml:space="preserve"> \* MERGEFORMAT </w:instrText>
      </w:r>
      <w:r>
        <w:fldChar w:fldCharType="separate"/>
      </w:r>
      <w:r w:rsidR="00A35392">
        <w:t xml:space="preserve">Figure </w:t>
      </w:r>
      <w:r w:rsidR="00A35392">
        <w:rPr>
          <w:noProof/>
        </w:rPr>
        <w:t>16</w:t>
      </w:r>
      <w:r>
        <w:fldChar w:fldCharType="end"/>
      </w:r>
      <w:r w:rsidRPr="005965A3">
        <w:t xml:space="preserve"> </w:t>
      </w:r>
      <w:r w:rsidR="002E5476" w:rsidRPr="005965A3">
        <w:t xml:space="preserve">displays the relationship between wages growth and fill rates lagged by one year. </w:t>
      </w:r>
      <w:r w:rsidR="006924D1" w:rsidRPr="005965A3">
        <w:t xml:space="preserve">The fill rates </w:t>
      </w:r>
      <w:r w:rsidR="00EA7EDB">
        <w:t xml:space="preserve">were </w:t>
      </w:r>
      <w:r w:rsidR="006924D1" w:rsidRPr="005965A3">
        <w:t xml:space="preserve">lagged due to the </w:t>
      </w:r>
      <w:r w:rsidR="002E5476" w:rsidRPr="005965A3">
        <w:t xml:space="preserve">common finding that employers do not immediately respond to skill shortages or unfilled vacancies by raising wages. </w:t>
      </w:r>
      <w:r w:rsidR="00F167F2" w:rsidRPr="005965A3">
        <w:t xml:space="preserve">The </w:t>
      </w:r>
      <w:r w:rsidR="00470D9E" w:rsidRPr="005965A3">
        <w:t>f</w:t>
      </w:r>
      <w:r w:rsidR="00F167F2" w:rsidRPr="005965A3">
        <w:t xml:space="preserve">igure </w:t>
      </w:r>
      <w:r w:rsidR="002E5476" w:rsidRPr="005965A3">
        <w:t>reveals that w</w:t>
      </w:r>
      <w:r w:rsidR="002E5476" w:rsidRPr="004F4714">
        <w:t xml:space="preserve">ages growth is negatively associated with fill rates </w:t>
      </w:r>
      <w:r w:rsidR="00622A09" w:rsidRPr="004F4714">
        <w:t xml:space="preserve">and </w:t>
      </w:r>
      <w:r w:rsidR="009F6FEE" w:rsidRPr="004F4714">
        <w:t xml:space="preserve">that </w:t>
      </w:r>
      <w:r w:rsidR="002E5476" w:rsidRPr="004F4714">
        <w:t xml:space="preserve">the correlation is weak and statistically insignificant. This analysis </w:t>
      </w:r>
      <w:r w:rsidR="00AA4134" w:rsidRPr="000D08D0">
        <w:t>suggests</w:t>
      </w:r>
      <w:r w:rsidR="00AA4134" w:rsidRPr="004F4714">
        <w:t xml:space="preserve"> </w:t>
      </w:r>
      <w:r w:rsidR="002E5476" w:rsidRPr="004F4714">
        <w:t xml:space="preserve">that employers </w:t>
      </w:r>
      <w:r w:rsidR="00AA4134" w:rsidRPr="004F4714">
        <w:t xml:space="preserve">may seek other strategies </w:t>
      </w:r>
      <w:r w:rsidR="00A70C1E" w:rsidRPr="004F4714">
        <w:t xml:space="preserve">first before seeking to </w:t>
      </w:r>
      <w:r w:rsidR="002E5476" w:rsidRPr="004F4714">
        <w:t xml:space="preserve">adjustment wages to fill vacancies. </w:t>
      </w:r>
    </w:p>
    <w:p w14:paraId="3E94757F" w14:textId="54413145" w:rsidR="002E5476" w:rsidRPr="0012090E" w:rsidRDefault="006B6F32" w:rsidP="00235EA8">
      <w:r>
        <w:t>Further, p</w:t>
      </w:r>
      <w:r w:rsidR="001C2492">
        <w:t>revious r</w:t>
      </w:r>
      <w:r w:rsidR="002E5476" w:rsidRPr="005965A3">
        <w:t>esearch undertaken by the Reserve Bank of Australia show</w:t>
      </w:r>
      <w:r w:rsidR="009E174D">
        <w:t>ed</w:t>
      </w:r>
      <w:r w:rsidR="002E5476" w:rsidRPr="005965A3">
        <w:t xml:space="preserve"> limited evidence that firms raised wages in response to firm-wide or job-level skill shortages, at least in the short-term.</w:t>
      </w:r>
      <w:r w:rsidR="002E5476" w:rsidRPr="005965A3">
        <w:rPr>
          <w:rStyle w:val="FootnoteReference"/>
          <w:rFonts w:asciiTheme="minorHAnsi" w:eastAsiaTheme="minorEastAsia" w:hAnsiTheme="minorHAnsi"/>
        </w:rPr>
        <w:footnoteReference w:id="31"/>
      </w:r>
      <w:r w:rsidR="00575BB3" w:rsidRPr="005965A3">
        <w:t xml:space="preserve"> </w:t>
      </w:r>
    </w:p>
    <w:p w14:paraId="7C83E37E" w14:textId="540F3F1B" w:rsidR="00193374" w:rsidRPr="005C4E01" w:rsidRDefault="0062465C" w:rsidP="0062465C">
      <w:pPr>
        <w:pStyle w:val="Caption"/>
      </w:pPr>
      <w:bookmarkStart w:id="85" w:name="_Ref176193233"/>
      <w:bookmarkStart w:id="86" w:name="_Ref175140463"/>
      <w:bookmarkStart w:id="87" w:name="_Toc180136423"/>
      <w:r>
        <w:lastRenderedPageBreak/>
        <w:t xml:space="preserve">Figure </w:t>
      </w:r>
      <w:r>
        <w:fldChar w:fldCharType="begin"/>
      </w:r>
      <w:r>
        <w:instrText xml:space="preserve"> SEQ Figure \* ARABIC </w:instrText>
      </w:r>
      <w:r>
        <w:fldChar w:fldCharType="separate"/>
      </w:r>
      <w:r w:rsidR="00A35392">
        <w:rPr>
          <w:noProof/>
        </w:rPr>
        <w:t>16</w:t>
      </w:r>
      <w:r>
        <w:rPr>
          <w:noProof/>
        </w:rPr>
        <w:fldChar w:fldCharType="end"/>
      </w:r>
      <w:bookmarkEnd w:id="85"/>
      <w:bookmarkEnd w:id="86"/>
      <w:r w:rsidR="00A64507" w:rsidRPr="00235EA8">
        <w:t>:</w:t>
      </w:r>
      <w:r w:rsidR="00632FC1" w:rsidRPr="00235EA8">
        <w:t xml:space="preserve"> </w:t>
      </w:r>
      <w:r w:rsidR="00A26E59" w:rsidRPr="00235EA8">
        <w:t xml:space="preserve">Correlation of annual wage </w:t>
      </w:r>
      <w:r w:rsidR="00174E59" w:rsidRPr="00235EA8">
        <w:t>growth</w:t>
      </w:r>
      <w:r w:rsidR="00A26E59" w:rsidRPr="00235EA8">
        <w:t xml:space="preserve"> </w:t>
      </w:r>
      <w:r w:rsidR="00F66677">
        <w:t>(2021</w:t>
      </w:r>
      <w:r w:rsidR="00D86F90">
        <w:t>–</w:t>
      </w:r>
      <w:r w:rsidR="00F66677">
        <w:t xml:space="preserve">23) </w:t>
      </w:r>
      <w:r w:rsidR="00D171D1" w:rsidRPr="00235EA8">
        <w:t>and</w:t>
      </w:r>
      <w:r w:rsidR="0074332C" w:rsidRPr="00235EA8">
        <w:t xml:space="preserve"> </w:t>
      </w:r>
      <w:r w:rsidR="00A64507" w:rsidRPr="00235EA8">
        <w:t>fill</w:t>
      </w:r>
      <w:r w:rsidR="00A26E59" w:rsidRPr="00235EA8">
        <w:t xml:space="preserve"> rates</w:t>
      </w:r>
      <w:r w:rsidR="00D171D1" w:rsidRPr="00235EA8">
        <w:t xml:space="preserve"> lagged </w:t>
      </w:r>
      <w:r w:rsidR="00174E59" w:rsidRPr="00235EA8">
        <w:t>by</w:t>
      </w:r>
      <w:r w:rsidR="002F039D" w:rsidRPr="00235EA8">
        <w:t xml:space="preserve"> </w:t>
      </w:r>
      <w:r w:rsidR="00A26E59" w:rsidRPr="00235EA8">
        <w:t>1-year</w:t>
      </w:r>
      <w:r w:rsidR="00795341">
        <w:t xml:space="preserve"> (2020</w:t>
      </w:r>
      <w:r w:rsidR="00D86F90">
        <w:t>–</w:t>
      </w:r>
      <w:r w:rsidR="00795341">
        <w:t>22)</w:t>
      </w:r>
      <w:r w:rsidR="00174E59" w:rsidRPr="00235EA8">
        <w:t>,</w:t>
      </w:r>
      <w:r w:rsidR="00A26E59" w:rsidRPr="00235EA8">
        <w:t xml:space="preserve"> at ANZSCO </w:t>
      </w:r>
      <w:r w:rsidR="004B26AB">
        <w:t>unit group</w:t>
      </w:r>
      <w:bookmarkEnd w:id="87"/>
    </w:p>
    <w:p w14:paraId="2F742133" w14:textId="0F6A2971" w:rsidR="00B23D6D" w:rsidRPr="00E61ADA" w:rsidRDefault="00545200" w:rsidP="00431905">
      <w:pPr>
        <w:pStyle w:val="Source"/>
      </w:pPr>
      <w:r>
        <w:rPr>
          <w:noProof/>
        </w:rPr>
        <mc:AlternateContent>
          <mc:Choice Requires="wpg">
            <w:drawing>
              <wp:inline distT="0" distB="0" distL="0" distR="0" wp14:anchorId="1A9845E9" wp14:editId="42C60209">
                <wp:extent cx="5731200" cy="3067200"/>
                <wp:effectExtent l="0" t="0" r="3175" b="0"/>
                <wp:docPr id="2" name="Group 1" descr="Figure 16 shows the correlation between annual wage changes from 2021-23 and 1-year lagged fill rates for unit groups. There was a weak negative trend, but not statistically significant, reinforcing that employers rarely make significant adjustments to wages to fill vacancies.">
                  <a:extLst xmlns:a="http://schemas.openxmlformats.org/drawingml/2006/main">
                    <a:ext uri="{FF2B5EF4-FFF2-40B4-BE49-F238E27FC236}">
                      <a16:creationId xmlns:a16="http://schemas.microsoft.com/office/drawing/2014/main" id="{F7DBA704-8985-43D0-96C1-8CB4A10BF73D}"/>
                    </a:ext>
                  </a:extLst>
                </wp:docPr>
                <wp:cNvGraphicFramePr/>
                <a:graphic xmlns:a="http://schemas.openxmlformats.org/drawingml/2006/main">
                  <a:graphicData uri="http://schemas.microsoft.com/office/word/2010/wordprocessingGroup">
                    <wpg:wgp>
                      <wpg:cNvGrpSpPr/>
                      <wpg:grpSpPr>
                        <a:xfrm>
                          <a:off x="0" y="0"/>
                          <a:ext cx="5731200" cy="3067200"/>
                          <a:chOff x="-122597" y="0"/>
                          <a:chExt cx="4572000" cy="2731426"/>
                        </a:xfrm>
                      </wpg:grpSpPr>
                      <wpg:graphicFrame>
                        <wpg:cNvPr id="230435560" name="Chart 230435560">
                          <a:extLst>
                            <a:ext uri="{FF2B5EF4-FFF2-40B4-BE49-F238E27FC236}">
                              <a16:creationId xmlns:a16="http://schemas.microsoft.com/office/drawing/2014/main" id="{E8D01040-7077-0274-24B3-DA4CE94393A5}"/>
                            </a:ext>
                          </a:extLst>
                        </wpg:cNvPr>
                        <wpg:cNvFrPr/>
                        <wpg:xfrm>
                          <a:off x="-122597" y="0"/>
                          <a:ext cx="4572000" cy="2731426"/>
                        </wpg:xfrm>
                        <a:graphic>
                          <a:graphicData uri="http://schemas.openxmlformats.org/drawingml/2006/chart">
                            <c:chart xmlns:c="http://schemas.openxmlformats.org/drawingml/2006/chart" xmlns:r="http://schemas.openxmlformats.org/officeDocument/2006/relationships" r:id="rId38"/>
                          </a:graphicData>
                        </a:graphic>
                      </wpg:graphicFrame>
                      <wps:wsp>
                        <wps:cNvPr id="188281087" name="TextBox 3">
                          <a:extLst>
                            <a:ext uri="{FF2B5EF4-FFF2-40B4-BE49-F238E27FC236}">
                              <a16:creationId xmlns:a16="http://schemas.microsoft.com/office/drawing/2014/main" id="{E8D5FF83-88BA-F2FC-8F7F-F5C35569EE93}"/>
                            </a:ext>
                          </a:extLst>
                        </wps:cNvPr>
                        <wps:cNvSpPr txBox="1"/>
                        <wps:spPr>
                          <a:xfrm>
                            <a:off x="854075" y="378776"/>
                            <a:ext cx="1352550" cy="393701"/>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2BBA0CFB" w14:textId="77777777" w:rsidR="00545200" w:rsidRDefault="00545200" w:rsidP="00545200">
                              <w:pPr>
                                <w:rPr>
                                  <w:rFonts w:cs="Arial"/>
                                  <w:i/>
                                  <w:iCs/>
                                  <w:color w:val="000000"/>
                                  <w:sz w:val="18"/>
                                  <w:szCs w:val="18"/>
                                </w:rPr>
                              </w:pPr>
                              <w:r>
                                <w:rPr>
                                  <w:rFonts w:cs="Arial"/>
                                  <w:i/>
                                  <w:iCs/>
                                  <w:color w:val="000000"/>
                                  <w:sz w:val="18"/>
                                  <w:szCs w:val="18"/>
                                </w:rPr>
                                <w:t>R = -0.094, p = 0.18</w:t>
                              </w:r>
                            </w:p>
                          </w:txbxContent>
                        </wps:txbx>
                        <wps:bodyPr wrap="square" rtlCol="0" anchor="t"/>
                      </wps:wsp>
                    </wpg:wgp>
                  </a:graphicData>
                </a:graphic>
              </wp:inline>
            </w:drawing>
          </mc:Choice>
          <mc:Fallback>
            <w:pict>
              <v:group w14:anchorId="1A9845E9" id="Group 1" o:spid="_x0000_s1031" alt="Figure 16 shows the correlation between annual wage changes from 2021-23 and 1-year lagged fill rates for unit groups. There was a weak negative trend, but not statistically significant, reinforcing that employers rarely make significant adjustments to wages to fill vacancies." style="width:451.3pt;height:241.5pt;mso-position-horizontal-relative:char;mso-position-vertical-relative:line" coordorigin="-1225" coordsize="45720,27314"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">
                <v:shape id="Chart 230435560" o:spid="_x0000_s1032" type="#_x0000_t75" style="position:absolute;left:-1225;width:45711;height:273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">
                  <v:imagedata r:id="rId39" o:title=""/>
                  <o:lock v:ext="edit" aspectratio="f"/>
                </v:shape>
                <v:shape id="TextBox 3" o:spid="_x0000_s1033" type="#_x0000_t202" style="position:absolute;left:8540;top:3787;width:13526;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" fillcolor="white [3201]" stroked="f">
                  <v:textbox>
                    <w:txbxContent>
                      <w:p w14:paraId="2BBA0CFB" w14:textId="77777777" w:rsidR="00545200" w:rsidRDefault="00545200" w:rsidP="00545200">
                        <w:pPr>
                          <w:rPr>
                            <w:rFonts w:cs="Arial"/>
                            <w:i/>
                            <w:iCs/>
                            <w:color w:val="000000"/>
                            <w:sz w:val="18"/>
                            <w:szCs w:val="18"/>
                          </w:rPr>
                        </w:pPr>
                        <w:r>
                          <w:rPr>
                            <w:rFonts w:cs="Arial"/>
                            <w:i/>
                            <w:iCs/>
                            <w:color w:val="000000"/>
                            <w:sz w:val="18"/>
                            <w:szCs w:val="18"/>
                          </w:rPr>
                          <w:t>R = -0.094, p = 0.18</w:t>
                        </w:r>
                      </w:p>
                    </w:txbxContent>
                  </v:textbox>
                </v:shape>
                <w10:anchorlock/>
              </v:group>
            </w:pict>
          </mc:Fallback>
        </mc:AlternateContent>
      </w:r>
      <w:r w:rsidR="00C13204" w:rsidRPr="005A007F">
        <w:t xml:space="preserve">Source: Jobs and Skills Australia, Survey of Employers who </w:t>
      </w:r>
      <w:r w:rsidR="00C96117">
        <w:t xml:space="preserve">have </w:t>
      </w:r>
      <w:r w:rsidR="00C13204" w:rsidRPr="005A007F">
        <w:t xml:space="preserve">Recently Advertised (SERA), </w:t>
      </w:r>
      <w:r w:rsidR="00C13204" w:rsidRPr="007A6A63">
        <w:t>202</w:t>
      </w:r>
      <w:r w:rsidR="006E0EA9">
        <w:t>0</w:t>
      </w:r>
      <w:r w:rsidR="00C57E0A">
        <w:t>–</w:t>
      </w:r>
      <w:r w:rsidR="00C13204" w:rsidRPr="007A6A63">
        <w:t>2</w:t>
      </w:r>
      <w:r w:rsidR="006E0EA9">
        <w:t>2</w:t>
      </w:r>
      <w:r w:rsidR="00C13204" w:rsidRPr="005A007F">
        <w:t xml:space="preserve"> financial </w:t>
      </w:r>
      <w:r w:rsidR="00C13204" w:rsidRPr="007A6A63">
        <w:t>year</w:t>
      </w:r>
      <w:r w:rsidR="00697066">
        <w:t>s</w:t>
      </w:r>
      <w:r w:rsidR="00C13204" w:rsidRPr="005A007F">
        <w:t xml:space="preserve">; Australian Bureau of Statistics, Characteristics of Employment, August 2023, </w:t>
      </w:r>
      <w:proofErr w:type="spellStart"/>
      <w:r w:rsidR="00C13204" w:rsidRPr="005A007F">
        <w:t>TableBuilder</w:t>
      </w:r>
      <w:proofErr w:type="spellEnd"/>
      <w:r w:rsidR="00C13204" w:rsidRPr="005A007F">
        <w:t>.</w:t>
      </w:r>
      <w:bookmarkEnd w:id="0"/>
      <w:bookmarkEnd w:id="1"/>
    </w:p>
    <w:sectPr w:rsidR="00B23D6D" w:rsidRPr="00E61ADA" w:rsidSect="00262F8A">
      <w:footerReference w:type="first" r:id="rId40"/>
      <w:pgSz w:w="11906" w:h="16838"/>
      <w:pgMar w:top="1276" w:right="1440" w:bottom="1134" w:left="1440" w:header="0" w:footer="53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BA6DAB" w14:textId="77777777" w:rsidR="00D96EC4" w:rsidRDefault="00D96EC4" w:rsidP="008C0056">
      <w:r>
        <w:separator/>
      </w:r>
    </w:p>
  </w:endnote>
  <w:endnote w:type="continuationSeparator" w:id="0">
    <w:p w14:paraId="71F70225" w14:textId="77777777" w:rsidR="00D96EC4" w:rsidRDefault="00D96EC4" w:rsidP="008C0056">
      <w:r>
        <w:continuationSeparator/>
      </w:r>
    </w:p>
  </w:endnote>
  <w:endnote w:type="continuationNotice" w:id="1">
    <w:p w14:paraId="06C93E73" w14:textId="77777777" w:rsidR="00D96EC4" w:rsidRDefault="00D96EC4" w:rsidP="008C00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7053515"/>
      <w:docPartObj>
        <w:docPartGallery w:val="Page Numbers (Bottom of Page)"/>
        <w:docPartUnique/>
      </w:docPartObj>
    </w:sdtPr>
    <w:sdtEndPr>
      <w:rPr>
        <w:noProof/>
      </w:rPr>
    </w:sdtEndPr>
    <w:sdtContent>
      <w:p w14:paraId="1DE9E510" w14:textId="02521A20" w:rsidR="003708C1" w:rsidRPr="00991526" w:rsidRDefault="00051CBE" w:rsidP="00991526">
        <w:pPr>
          <w:pStyle w:val="Footer"/>
        </w:pPr>
        <w:r w:rsidRPr="00991526">
          <w:t xml:space="preserve">Jobs and Skills Australia – </w:t>
        </w:r>
        <w:sdt>
          <w:sdtPr>
            <w:alias w:val="Title"/>
            <w:tag w:val=""/>
            <w:id w:val="-1056470111"/>
            <w:placeholder>
              <w:docPart w:val="E4DB317D2DA340B1AF9BACDEE3AB05B6"/>
            </w:placeholder>
            <w:dataBinding w:prefixMappings="xmlns:ns0='http://purl.org/dc/elements/1.1/' xmlns:ns1='http://schemas.openxmlformats.org/package/2006/metadata/core-properties' " w:xpath="/ns1:coreProperties[1]/ns0:title[1]" w:storeItemID="{6C3C8BC8-F283-45AE-878A-BAB7291924A1}"/>
            <w:text/>
          </w:sdtPr>
          <w:sdtContent>
            <w:r w:rsidR="00F21F60">
              <w:t>2024 Occupation Shortage List</w:t>
            </w:r>
          </w:sdtContent>
        </w:sdt>
        <w:r w:rsidR="00991526">
          <w:tab/>
        </w:r>
        <w:r w:rsidR="00BE2AB7" w:rsidRPr="00991526">
          <w:fldChar w:fldCharType="begin"/>
        </w:r>
        <w:r w:rsidR="00BE2AB7" w:rsidRPr="00991526">
          <w:instrText xml:space="preserve"> PAGE   \* MERGEFORMAT </w:instrText>
        </w:r>
        <w:r w:rsidR="00BE2AB7" w:rsidRPr="00991526">
          <w:fldChar w:fldCharType="separate"/>
        </w:r>
        <w:r w:rsidR="00BE2AB7" w:rsidRPr="00991526">
          <w:rPr>
            <w:noProof/>
          </w:rPr>
          <w:t>2</w:t>
        </w:r>
        <w:r w:rsidR="00BE2AB7" w:rsidRPr="00991526">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576AB269" w14:paraId="20DF6BD7" w14:textId="77777777" w:rsidTr="576AB269">
      <w:trPr>
        <w:trHeight w:val="300"/>
      </w:trPr>
      <w:tc>
        <w:tcPr>
          <w:tcW w:w="3005" w:type="dxa"/>
        </w:tcPr>
        <w:p w14:paraId="023A381E" w14:textId="2E603919" w:rsidR="576AB269" w:rsidRDefault="576AB269" w:rsidP="576AB269">
          <w:pPr>
            <w:pStyle w:val="Header"/>
            <w:ind w:left="-115"/>
          </w:pPr>
        </w:p>
      </w:tc>
      <w:tc>
        <w:tcPr>
          <w:tcW w:w="3005" w:type="dxa"/>
        </w:tcPr>
        <w:p w14:paraId="4AB0E096" w14:textId="1E1D98F6" w:rsidR="576AB269" w:rsidRDefault="576AB269" w:rsidP="576AB269">
          <w:pPr>
            <w:pStyle w:val="Header"/>
            <w:jc w:val="center"/>
          </w:pPr>
        </w:p>
      </w:tc>
      <w:tc>
        <w:tcPr>
          <w:tcW w:w="3005" w:type="dxa"/>
        </w:tcPr>
        <w:p w14:paraId="2548FA19" w14:textId="4BA48CB4" w:rsidR="576AB269" w:rsidRDefault="576AB269" w:rsidP="576AB269">
          <w:pPr>
            <w:pStyle w:val="Header"/>
            <w:ind w:right="-115"/>
            <w:jc w:val="right"/>
          </w:pPr>
        </w:p>
      </w:tc>
    </w:tr>
  </w:tbl>
  <w:p w14:paraId="486D0428" w14:textId="4AFBFF1C" w:rsidR="576AB269" w:rsidRDefault="576AB269" w:rsidP="576AB2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0D2B8D" w14:textId="69830128" w:rsidR="00E70D25" w:rsidRPr="00C40E20" w:rsidRDefault="00E70D25" w:rsidP="00235EA8">
    <w:pPr>
      <w:pStyle w:val="Footer"/>
      <w:tabs>
        <w:tab w:val="clear" w:pos="9026"/>
        <w:tab w:val="right" w:pos="14428"/>
      </w:tabs>
    </w:pPr>
    <w:bookmarkStart w:id="50" w:name="_Hlk145580298"/>
    <w:r>
      <w:t>2024 Occupation Shortage List – Key Findings and Insights Report</w:t>
    </w:r>
    <w:bookmarkEnd w:id="50"/>
    <w:r w:rsidR="00FE0B5D">
      <w:tab/>
    </w:r>
    <w:sdt>
      <w:sdtPr>
        <w:id w:val="1230123552"/>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2</w:t>
        </w:r>
        <w:r w:rsidRPr="007B237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B50615" w14:textId="77777777" w:rsidR="00E70D25" w:rsidRDefault="00E70D25"/>
  <w:p w14:paraId="4BB729B9" w14:textId="0D039F05" w:rsidR="00E70D25" w:rsidRDefault="00E70D25" w:rsidP="00235EA8">
    <w:pPr>
      <w:pStyle w:val="Footer"/>
      <w:tabs>
        <w:tab w:val="clear" w:pos="9026"/>
        <w:tab w:val="right" w:pos="14428"/>
      </w:tabs>
    </w:pPr>
    <w:r>
      <w:t>2024</w:t>
    </w:r>
    <w:r w:rsidRPr="007E3A13">
      <w:t xml:space="preserve"> </w:t>
    </w:r>
    <w:r>
      <w:t>Occupation</w:t>
    </w:r>
    <w:r w:rsidRPr="007E3A13">
      <w:t xml:space="preserve"> </w:t>
    </w:r>
    <w:r>
      <w:t xml:space="preserve">Shortage </w:t>
    </w:r>
    <w:r w:rsidRPr="007E3A13">
      <w:t xml:space="preserve">List – Key Findings </w:t>
    </w:r>
    <w:r>
      <w:t xml:space="preserve">and Insights </w:t>
    </w:r>
    <w:r w:rsidRPr="007E3A13">
      <w:t>Report</w:t>
    </w:r>
    <w:r w:rsidR="00CB1A8C">
      <w:tab/>
    </w:r>
    <w:r>
      <w:fldChar w:fldCharType="begin"/>
    </w:r>
    <w:r>
      <w:instrText xml:space="preserve"> PAGE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694C29" w14:textId="77777777" w:rsidR="00835E27" w:rsidRDefault="00835E27"/>
  <w:p w14:paraId="056F7D02" w14:textId="7680A7CC" w:rsidR="00FF045A" w:rsidRDefault="00835E27" w:rsidP="00235EA8">
    <w:pPr>
      <w:pStyle w:val="Footer"/>
      <w:tabs>
        <w:tab w:val="clear" w:pos="9026"/>
        <w:tab w:val="right" w:pos="14428"/>
      </w:tabs>
    </w:pPr>
    <w:r>
      <w:t>2024</w:t>
    </w:r>
    <w:r w:rsidRPr="007E3A13">
      <w:t xml:space="preserve"> </w:t>
    </w:r>
    <w:r>
      <w:t>Occupation</w:t>
    </w:r>
    <w:r w:rsidRPr="007E3A13">
      <w:t xml:space="preserve"> </w:t>
    </w:r>
    <w:r>
      <w:t xml:space="preserve">Shortage </w:t>
    </w:r>
    <w:r w:rsidRPr="007E3A13">
      <w:t xml:space="preserve">List – Key Findings </w:t>
    </w:r>
    <w:r>
      <w:t xml:space="preserve">and Insights </w:t>
    </w:r>
    <w:r w:rsidRPr="007E3A13">
      <w:t>Report</w:t>
    </w:r>
    <w:r>
      <w:tab/>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60D7B0" w14:textId="77777777" w:rsidR="00D96EC4" w:rsidRDefault="00D96EC4" w:rsidP="008C0056">
      <w:r>
        <w:separator/>
      </w:r>
    </w:p>
  </w:footnote>
  <w:footnote w:type="continuationSeparator" w:id="0">
    <w:p w14:paraId="52099CFD" w14:textId="77777777" w:rsidR="00D96EC4" w:rsidRDefault="00D96EC4" w:rsidP="008C0056">
      <w:r>
        <w:continuationSeparator/>
      </w:r>
    </w:p>
  </w:footnote>
  <w:footnote w:type="continuationNotice" w:id="1">
    <w:p w14:paraId="6B71E85A" w14:textId="77777777" w:rsidR="00D96EC4" w:rsidRDefault="00D96EC4" w:rsidP="008C0056"/>
  </w:footnote>
  <w:footnote w:id="2">
    <w:p w14:paraId="7AAC401B" w14:textId="304DA3C9" w:rsidR="004A6D46" w:rsidRPr="00623797" w:rsidRDefault="004A6D46" w:rsidP="004A6D46">
      <w:pPr>
        <w:pStyle w:val="FootnoteText"/>
        <w:rPr>
          <w:sz w:val="16"/>
          <w:szCs w:val="16"/>
        </w:rPr>
      </w:pPr>
      <w:r w:rsidRPr="00623797">
        <w:rPr>
          <w:rStyle w:val="FootnoteReference"/>
          <w:sz w:val="16"/>
          <w:szCs w:val="16"/>
        </w:rPr>
        <w:footnoteRef/>
      </w:r>
      <w:r w:rsidRPr="00623797">
        <w:rPr>
          <w:sz w:val="16"/>
          <w:szCs w:val="16"/>
        </w:rPr>
        <w:t xml:space="preserve"> </w:t>
      </w:r>
      <w:r w:rsidR="00372082" w:rsidRPr="00623797">
        <w:rPr>
          <w:sz w:val="16"/>
          <w:szCs w:val="16"/>
        </w:rPr>
        <w:t xml:space="preserve">In this report, Shortage (with a capital S) </w:t>
      </w:r>
      <w:r w:rsidR="00372082">
        <w:rPr>
          <w:sz w:val="16"/>
          <w:szCs w:val="16"/>
        </w:rPr>
        <w:t xml:space="preserve">is used </w:t>
      </w:r>
      <w:r w:rsidR="00372082" w:rsidRPr="00623797">
        <w:rPr>
          <w:sz w:val="16"/>
          <w:szCs w:val="16"/>
        </w:rPr>
        <w:t>to indicate an OSL rating. When referring to a labour market condition, lowercase s for shortage</w:t>
      </w:r>
      <w:r w:rsidR="00372082">
        <w:rPr>
          <w:sz w:val="16"/>
          <w:szCs w:val="16"/>
        </w:rPr>
        <w:t xml:space="preserve"> is used</w:t>
      </w:r>
      <w:r w:rsidR="00372082" w:rsidRPr="005B353B">
        <w:rPr>
          <w:sz w:val="16"/>
          <w:szCs w:val="16"/>
        </w:rPr>
        <w:t>.</w:t>
      </w:r>
    </w:p>
  </w:footnote>
  <w:footnote w:id="3">
    <w:p w14:paraId="4925D14C" w14:textId="6533BDD1" w:rsidR="001B6B03" w:rsidRDefault="001B6B03">
      <w:pPr>
        <w:pStyle w:val="FootnoteText"/>
      </w:pPr>
      <w:r w:rsidRPr="00431905">
        <w:rPr>
          <w:rStyle w:val="FootnoteReference"/>
          <w:sz w:val="16"/>
          <w:szCs w:val="16"/>
        </w:rPr>
        <w:footnoteRef/>
      </w:r>
      <w:r w:rsidRPr="00431905">
        <w:rPr>
          <w:sz w:val="16"/>
          <w:szCs w:val="16"/>
        </w:rPr>
        <w:t xml:space="preserve"> </w:t>
      </w:r>
      <w:r w:rsidR="00A737AD">
        <w:rPr>
          <w:sz w:val="16"/>
          <w:szCs w:val="16"/>
        </w:rPr>
        <w:t xml:space="preserve">Only the </w:t>
      </w:r>
      <w:r w:rsidR="00E22A7B">
        <w:rPr>
          <w:sz w:val="16"/>
          <w:szCs w:val="16"/>
        </w:rPr>
        <w:t xml:space="preserve">product </w:t>
      </w:r>
      <w:r w:rsidR="009C63E9">
        <w:rPr>
          <w:sz w:val="16"/>
          <w:szCs w:val="16"/>
        </w:rPr>
        <w:t xml:space="preserve">branding has changed. </w:t>
      </w:r>
      <w:r>
        <w:rPr>
          <w:sz w:val="16"/>
          <w:szCs w:val="16"/>
        </w:rPr>
        <w:t>To be consistent with the current title of the report, all reports published in previous years</w:t>
      </w:r>
      <w:r w:rsidRPr="00431905">
        <w:rPr>
          <w:sz w:val="16"/>
          <w:szCs w:val="16"/>
        </w:rPr>
        <w:t xml:space="preserve"> </w:t>
      </w:r>
      <w:r w:rsidR="0062648A">
        <w:rPr>
          <w:sz w:val="16"/>
          <w:szCs w:val="16"/>
        </w:rPr>
        <w:t xml:space="preserve">will be referred to </w:t>
      </w:r>
      <w:r w:rsidR="00706E01">
        <w:rPr>
          <w:sz w:val="16"/>
          <w:szCs w:val="16"/>
        </w:rPr>
        <w:t xml:space="preserve">as the </w:t>
      </w:r>
      <w:r>
        <w:rPr>
          <w:sz w:val="16"/>
          <w:szCs w:val="16"/>
        </w:rPr>
        <w:t>OSL</w:t>
      </w:r>
      <w:r w:rsidR="00690F93">
        <w:rPr>
          <w:sz w:val="16"/>
          <w:szCs w:val="16"/>
        </w:rPr>
        <w:t xml:space="preserve"> in this report and </w:t>
      </w:r>
      <w:r w:rsidR="00EA4DC2">
        <w:rPr>
          <w:sz w:val="16"/>
          <w:szCs w:val="16"/>
        </w:rPr>
        <w:t xml:space="preserve">other </w:t>
      </w:r>
      <w:r w:rsidR="00135972">
        <w:rPr>
          <w:sz w:val="16"/>
          <w:szCs w:val="16"/>
        </w:rPr>
        <w:t xml:space="preserve">2024 OSL </w:t>
      </w:r>
      <w:r w:rsidR="004A2765">
        <w:rPr>
          <w:sz w:val="16"/>
          <w:szCs w:val="16"/>
        </w:rPr>
        <w:t>outputs.</w:t>
      </w:r>
      <w:r>
        <w:rPr>
          <w:sz w:val="16"/>
          <w:szCs w:val="16"/>
        </w:rPr>
        <w:t xml:space="preserve"> </w:t>
      </w:r>
    </w:p>
  </w:footnote>
  <w:footnote w:id="4">
    <w:p w14:paraId="7BBDD418" w14:textId="3F6F53AE" w:rsidR="00152F3E" w:rsidRPr="00E17AE7" w:rsidRDefault="00152F3E" w:rsidP="00152F3E">
      <w:pPr>
        <w:pStyle w:val="FootnoteText"/>
        <w:rPr>
          <w:sz w:val="16"/>
          <w:szCs w:val="16"/>
        </w:rPr>
      </w:pPr>
      <w:r w:rsidRPr="00E17AE7">
        <w:rPr>
          <w:rStyle w:val="FootnoteReference"/>
          <w:sz w:val="16"/>
          <w:szCs w:val="16"/>
        </w:rPr>
        <w:footnoteRef/>
      </w:r>
      <w:r w:rsidRPr="00E17AE7">
        <w:rPr>
          <w:sz w:val="16"/>
          <w:szCs w:val="16"/>
        </w:rPr>
        <w:t xml:space="preserve"> The 2024 OSL assessment period includes data from April 2023 to June 2024. The 2023 OSL </w:t>
      </w:r>
      <w:r w:rsidR="009E1493">
        <w:rPr>
          <w:sz w:val="16"/>
          <w:szCs w:val="16"/>
        </w:rPr>
        <w:t>assessment period is similar</w:t>
      </w:r>
      <w:r w:rsidRPr="00E17AE7">
        <w:rPr>
          <w:sz w:val="16"/>
          <w:szCs w:val="16"/>
        </w:rPr>
        <w:t xml:space="preserve">. </w:t>
      </w:r>
    </w:p>
  </w:footnote>
  <w:footnote w:id="5">
    <w:p w14:paraId="2AB47EE2" w14:textId="17761E4E" w:rsidR="00825B8A" w:rsidRPr="00235EA8" w:rsidRDefault="00825B8A">
      <w:pPr>
        <w:pStyle w:val="FootnoteText"/>
        <w:rPr>
          <w:sz w:val="16"/>
          <w:szCs w:val="16"/>
        </w:rPr>
      </w:pPr>
      <w:r w:rsidRPr="00235EA8">
        <w:rPr>
          <w:rStyle w:val="FootnoteReference"/>
          <w:sz w:val="16"/>
          <w:szCs w:val="16"/>
        </w:rPr>
        <w:footnoteRef/>
      </w:r>
      <w:r w:rsidRPr="00235EA8">
        <w:rPr>
          <w:sz w:val="16"/>
          <w:szCs w:val="16"/>
        </w:rPr>
        <w:t xml:space="preserve"> ANZSCO </w:t>
      </w:r>
      <w:r w:rsidR="006E4D39" w:rsidRPr="00235EA8">
        <w:rPr>
          <w:sz w:val="16"/>
          <w:szCs w:val="16"/>
        </w:rPr>
        <w:t xml:space="preserve">is a skill-based classification used to classify all occupations and jobs in the Australian and New Zealand labour markets. </w:t>
      </w:r>
      <w:r w:rsidR="0009058B">
        <w:rPr>
          <w:sz w:val="16"/>
          <w:szCs w:val="16"/>
        </w:rPr>
        <w:t>It is organised into a 5-level hierarchy</w:t>
      </w:r>
      <w:r w:rsidR="00D623EC">
        <w:rPr>
          <w:sz w:val="16"/>
          <w:szCs w:val="16"/>
        </w:rPr>
        <w:t>:</w:t>
      </w:r>
      <w:r w:rsidR="00072529">
        <w:rPr>
          <w:sz w:val="16"/>
          <w:szCs w:val="16"/>
        </w:rPr>
        <w:t xml:space="preserve"> </w:t>
      </w:r>
      <w:r w:rsidR="000F7DA9" w:rsidRPr="00235EA8">
        <w:rPr>
          <w:sz w:val="16"/>
          <w:szCs w:val="16"/>
        </w:rPr>
        <w:t>major group</w:t>
      </w:r>
      <w:r w:rsidR="00D623EC">
        <w:rPr>
          <w:sz w:val="16"/>
          <w:szCs w:val="16"/>
        </w:rPr>
        <w:t>s</w:t>
      </w:r>
      <w:r w:rsidR="000F7DA9" w:rsidRPr="00235EA8">
        <w:rPr>
          <w:sz w:val="16"/>
          <w:szCs w:val="16"/>
        </w:rPr>
        <w:t>, sub-major group</w:t>
      </w:r>
      <w:r w:rsidR="00D623EC">
        <w:rPr>
          <w:sz w:val="16"/>
          <w:szCs w:val="16"/>
        </w:rPr>
        <w:t>s</w:t>
      </w:r>
      <w:r w:rsidR="000F7DA9" w:rsidRPr="00235EA8">
        <w:rPr>
          <w:sz w:val="16"/>
          <w:szCs w:val="16"/>
        </w:rPr>
        <w:t>, minor group</w:t>
      </w:r>
      <w:r w:rsidR="00D623EC">
        <w:rPr>
          <w:sz w:val="16"/>
          <w:szCs w:val="16"/>
        </w:rPr>
        <w:t>s</w:t>
      </w:r>
      <w:r w:rsidR="000F7DA9" w:rsidRPr="00235EA8">
        <w:rPr>
          <w:sz w:val="16"/>
          <w:szCs w:val="16"/>
        </w:rPr>
        <w:t>, unit group</w:t>
      </w:r>
      <w:r w:rsidR="00D623EC">
        <w:rPr>
          <w:sz w:val="16"/>
          <w:szCs w:val="16"/>
        </w:rPr>
        <w:t>s</w:t>
      </w:r>
      <w:r w:rsidR="000F7DA9" w:rsidRPr="00235EA8">
        <w:rPr>
          <w:sz w:val="16"/>
          <w:szCs w:val="16"/>
        </w:rPr>
        <w:t xml:space="preserve"> and occupation</w:t>
      </w:r>
      <w:r w:rsidR="00D623EC">
        <w:rPr>
          <w:sz w:val="16"/>
          <w:szCs w:val="16"/>
        </w:rPr>
        <w:t>s</w:t>
      </w:r>
      <w:r w:rsidR="000F7DA9" w:rsidRPr="00235EA8">
        <w:rPr>
          <w:sz w:val="16"/>
          <w:szCs w:val="16"/>
        </w:rPr>
        <w:t>.</w:t>
      </w:r>
      <w:r w:rsidR="00A0193C">
        <w:rPr>
          <w:sz w:val="16"/>
          <w:szCs w:val="16"/>
        </w:rPr>
        <w:t xml:space="preserve"> Occupation </w:t>
      </w:r>
      <w:r w:rsidR="00FA62A0">
        <w:rPr>
          <w:sz w:val="16"/>
          <w:szCs w:val="16"/>
        </w:rPr>
        <w:t xml:space="preserve">level refers to the most granular </w:t>
      </w:r>
      <w:proofErr w:type="gramStart"/>
      <w:r w:rsidR="00FA62A0">
        <w:rPr>
          <w:sz w:val="16"/>
          <w:szCs w:val="16"/>
        </w:rPr>
        <w:t>6</w:t>
      </w:r>
      <w:r w:rsidR="00E62FD3">
        <w:rPr>
          <w:sz w:val="16"/>
          <w:szCs w:val="16"/>
        </w:rPr>
        <w:t xml:space="preserve"> </w:t>
      </w:r>
      <w:r w:rsidR="00FA62A0">
        <w:rPr>
          <w:sz w:val="16"/>
          <w:szCs w:val="16"/>
        </w:rPr>
        <w:t>digit</w:t>
      </w:r>
      <w:proofErr w:type="gramEnd"/>
      <w:r w:rsidR="00FA62A0">
        <w:rPr>
          <w:sz w:val="16"/>
          <w:szCs w:val="16"/>
        </w:rPr>
        <w:t xml:space="preserve"> ANZSCO</w:t>
      </w:r>
      <w:r w:rsidR="00740106">
        <w:rPr>
          <w:sz w:val="16"/>
          <w:szCs w:val="16"/>
        </w:rPr>
        <w:t>.</w:t>
      </w:r>
      <w:r w:rsidR="000535D8" w:rsidRPr="00235EA8">
        <w:rPr>
          <w:sz w:val="16"/>
          <w:szCs w:val="16"/>
        </w:rPr>
        <w:t xml:space="preserve"> </w:t>
      </w:r>
      <w:r w:rsidR="00242433" w:rsidRPr="00235EA8">
        <w:rPr>
          <w:sz w:val="16"/>
          <w:szCs w:val="16"/>
        </w:rPr>
        <w:t>For</w:t>
      </w:r>
      <w:r w:rsidR="003B6103" w:rsidRPr="00235EA8">
        <w:rPr>
          <w:sz w:val="16"/>
          <w:szCs w:val="16"/>
        </w:rPr>
        <w:t xml:space="preserve"> </w:t>
      </w:r>
      <w:r w:rsidR="000535D8" w:rsidRPr="00235EA8">
        <w:rPr>
          <w:sz w:val="16"/>
          <w:szCs w:val="16"/>
        </w:rPr>
        <w:t xml:space="preserve">more details </w:t>
      </w:r>
      <w:r w:rsidR="00242433" w:rsidRPr="00235EA8">
        <w:rPr>
          <w:sz w:val="16"/>
          <w:szCs w:val="16"/>
        </w:rPr>
        <w:t>on</w:t>
      </w:r>
      <w:r w:rsidR="000535D8" w:rsidRPr="00235EA8">
        <w:rPr>
          <w:sz w:val="16"/>
          <w:szCs w:val="16"/>
        </w:rPr>
        <w:t xml:space="preserve"> ANZSCO</w:t>
      </w:r>
      <w:r w:rsidR="00ED3C7B" w:rsidRPr="00235EA8">
        <w:rPr>
          <w:sz w:val="16"/>
          <w:szCs w:val="16"/>
        </w:rPr>
        <w:t xml:space="preserve"> </w:t>
      </w:r>
      <w:r w:rsidR="00242433" w:rsidRPr="00235EA8">
        <w:rPr>
          <w:sz w:val="16"/>
          <w:szCs w:val="16"/>
        </w:rPr>
        <w:t>refer to</w:t>
      </w:r>
      <w:r w:rsidR="00ED3C7B" w:rsidRPr="00235EA8">
        <w:rPr>
          <w:sz w:val="16"/>
          <w:szCs w:val="16"/>
        </w:rPr>
        <w:t xml:space="preserve"> the </w:t>
      </w:r>
      <w:hyperlink r:id="rId1" w:history="1">
        <w:r w:rsidR="00ED3C7B" w:rsidRPr="00235EA8">
          <w:rPr>
            <w:rStyle w:val="Hyperlink"/>
            <w:sz w:val="16"/>
            <w:szCs w:val="16"/>
          </w:rPr>
          <w:t>A</w:t>
        </w:r>
        <w:r w:rsidR="0077729E">
          <w:rPr>
            <w:rStyle w:val="Hyperlink"/>
            <w:sz w:val="16"/>
            <w:szCs w:val="16"/>
          </w:rPr>
          <w:t xml:space="preserve">ustralian </w:t>
        </w:r>
        <w:r w:rsidR="00ED3C7B" w:rsidRPr="00235EA8">
          <w:rPr>
            <w:rStyle w:val="Hyperlink"/>
            <w:sz w:val="16"/>
            <w:szCs w:val="16"/>
          </w:rPr>
          <w:t>B</w:t>
        </w:r>
        <w:r w:rsidR="0077729E">
          <w:rPr>
            <w:rStyle w:val="Hyperlink"/>
            <w:sz w:val="16"/>
            <w:szCs w:val="16"/>
          </w:rPr>
          <w:t xml:space="preserve">ureau of </w:t>
        </w:r>
        <w:r w:rsidR="00126FE2" w:rsidRPr="00235EA8">
          <w:rPr>
            <w:rStyle w:val="Hyperlink"/>
            <w:sz w:val="16"/>
            <w:szCs w:val="16"/>
          </w:rPr>
          <w:t>S</w:t>
        </w:r>
        <w:r w:rsidR="00126FE2">
          <w:rPr>
            <w:rStyle w:val="Hyperlink"/>
            <w:sz w:val="16"/>
            <w:szCs w:val="16"/>
          </w:rPr>
          <w:t>tatistics</w:t>
        </w:r>
        <w:r w:rsidR="0077729E">
          <w:rPr>
            <w:rStyle w:val="Hyperlink"/>
            <w:sz w:val="16"/>
            <w:szCs w:val="16"/>
          </w:rPr>
          <w:t xml:space="preserve"> (ABS)</w:t>
        </w:r>
        <w:r w:rsidR="00ED3C7B" w:rsidRPr="00235EA8">
          <w:rPr>
            <w:rStyle w:val="Hyperlink"/>
            <w:sz w:val="16"/>
            <w:szCs w:val="16"/>
          </w:rPr>
          <w:t xml:space="preserve"> website</w:t>
        </w:r>
      </w:hyperlink>
      <w:r w:rsidR="003B6103" w:rsidRPr="00235EA8">
        <w:rPr>
          <w:sz w:val="16"/>
          <w:szCs w:val="16"/>
        </w:rPr>
        <w:t>.</w:t>
      </w:r>
      <w:r w:rsidR="00362038" w:rsidRPr="00235EA8">
        <w:rPr>
          <w:sz w:val="16"/>
          <w:szCs w:val="16"/>
        </w:rPr>
        <w:t xml:space="preserve"> </w:t>
      </w:r>
    </w:p>
  </w:footnote>
  <w:footnote w:id="6">
    <w:p w14:paraId="0964042B" w14:textId="0F9C2A88" w:rsidR="00A25826" w:rsidRPr="00235EA8" w:rsidRDefault="00A25826">
      <w:pPr>
        <w:pStyle w:val="FootnoteText"/>
        <w:rPr>
          <w:sz w:val="16"/>
          <w:szCs w:val="16"/>
        </w:rPr>
      </w:pPr>
      <w:r w:rsidRPr="00235EA8">
        <w:rPr>
          <w:rStyle w:val="FootnoteReference"/>
          <w:sz w:val="16"/>
          <w:szCs w:val="16"/>
        </w:rPr>
        <w:footnoteRef/>
      </w:r>
      <w:r w:rsidRPr="00235EA8">
        <w:rPr>
          <w:sz w:val="16"/>
          <w:szCs w:val="16"/>
        </w:rPr>
        <w:t xml:space="preserve"> </w:t>
      </w:r>
      <w:r w:rsidR="00376DA3" w:rsidRPr="00235EA8">
        <w:rPr>
          <w:sz w:val="16"/>
          <w:szCs w:val="16"/>
        </w:rPr>
        <w:t xml:space="preserve">Skill Level 5 occupations </w:t>
      </w:r>
      <w:r w:rsidR="00004C1A" w:rsidRPr="00235EA8">
        <w:rPr>
          <w:sz w:val="16"/>
          <w:szCs w:val="16"/>
        </w:rPr>
        <w:t xml:space="preserve">only require the equivalent of </w:t>
      </w:r>
      <w:r w:rsidR="007B099F" w:rsidRPr="00235EA8">
        <w:rPr>
          <w:sz w:val="16"/>
          <w:szCs w:val="16"/>
        </w:rPr>
        <w:t>compulsory school education</w:t>
      </w:r>
      <w:r w:rsidR="00961FDD" w:rsidRPr="00235EA8">
        <w:rPr>
          <w:sz w:val="16"/>
          <w:szCs w:val="16"/>
        </w:rPr>
        <w:t>.</w:t>
      </w:r>
    </w:p>
  </w:footnote>
  <w:footnote w:id="7">
    <w:p w14:paraId="40D0F196" w14:textId="77777777" w:rsidR="00F21F60" w:rsidRPr="00235EA8" w:rsidRDefault="00F21F60" w:rsidP="00F21F60">
      <w:pPr>
        <w:pStyle w:val="FootnoteText"/>
        <w:rPr>
          <w:sz w:val="16"/>
          <w:szCs w:val="16"/>
        </w:rPr>
      </w:pPr>
      <w:r w:rsidRPr="00235EA8">
        <w:rPr>
          <w:rStyle w:val="FootnoteReference"/>
          <w:sz w:val="16"/>
          <w:szCs w:val="16"/>
        </w:rPr>
        <w:footnoteRef/>
      </w:r>
      <w:r w:rsidRPr="00235EA8">
        <w:rPr>
          <w:sz w:val="16"/>
          <w:szCs w:val="16"/>
        </w:rPr>
        <w:t xml:space="preserve"> Refer to the </w:t>
      </w:r>
      <w:r w:rsidRPr="00097D36">
        <w:rPr>
          <w:sz w:val="16"/>
          <w:szCs w:val="16"/>
        </w:rPr>
        <w:t>2024 OSL Methodology Paper</w:t>
      </w:r>
      <w:r w:rsidRPr="00235EA8">
        <w:rPr>
          <w:sz w:val="16"/>
          <w:szCs w:val="16"/>
        </w:rPr>
        <w:t xml:space="preserve"> for more details.</w:t>
      </w:r>
    </w:p>
  </w:footnote>
  <w:footnote w:id="8">
    <w:p w14:paraId="2AD0D5CB" w14:textId="7257A9D4" w:rsidR="00F21F60" w:rsidRDefault="00F21F60" w:rsidP="00F21F60">
      <w:pPr>
        <w:pStyle w:val="FootnoteText"/>
      </w:pPr>
      <w:r w:rsidRPr="00235EA8">
        <w:rPr>
          <w:rStyle w:val="FootnoteReference"/>
          <w:sz w:val="16"/>
          <w:szCs w:val="16"/>
        </w:rPr>
        <w:footnoteRef/>
      </w:r>
      <w:r w:rsidRPr="00235EA8">
        <w:rPr>
          <w:sz w:val="16"/>
          <w:szCs w:val="16"/>
        </w:rPr>
        <w:t xml:space="preserve"> </w:t>
      </w:r>
      <w:r w:rsidR="00CB55BE" w:rsidRPr="00235EA8">
        <w:rPr>
          <w:sz w:val="16"/>
          <w:szCs w:val="16"/>
        </w:rPr>
        <w:t>As above</w:t>
      </w:r>
      <w:r w:rsidR="00A873F6" w:rsidRPr="00235EA8">
        <w:rPr>
          <w:sz w:val="16"/>
          <w:szCs w:val="16"/>
        </w:rPr>
        <w:t>.</w:t>
      </w:r>
    </w:p>
  </w:footnote>
  <w:footnote w:id="9">
    <w:p w14:paraId="020874C9" w14:textId="3C290377" w:rsidR="00B37C60" w:rsidRPr="006741BE" w:rsidRDefault="00B37C60" w:rsidP="00B37C60">
      <w:pPr>
        <w:pStyle w:val="FootnoteText"/>
        <w:rPr>
          <w:sz w:val="16"/>
          <w:szCs w:val="16"/>
        </w:rPr>
      </w:pPr>
      <w:r w:rsidRPr="006741BE">
        <w:rPr>
          <w:rStyle w:val="FootnoteReference"/>
          <w:sz w:val="16"/>
          <w:szCs w:val="16"/>
        </w:rPr>
        <w:footnoteRef/>
      </w:r>
      <w:r w:rsidRPr="006741BE">
        <w:rPr>
          <w:rStyle w:val="FootnoteReference"/>
          <w:sz w:val="16"/>
          <w:szCs w:val="16"/>
        </w:rPr>
        <w:t xml:space="preserve"> </w:t>
      </w:r>
      <w:r w:rsidRPr="00E47FBF">
        <w:rPr>
          <w:sz w:val="16"/>
          <w:szCs w:val="16"/>
        </w:rPr>
        <w:t xml:space="preserve">The recruitment difficulty rate is the proportion of </w:t>
      </w:r>
      <w:r w:rsidR="007F596B">
        <w:rPr>
          <w:sz w:val="16"/>
          <w:szCs w:val="16"/>
        </w:rPr>
        <w:t xml:space="preserve">all </w:t>
      </w:r>
      <w:r w:rsidRPr="00E47FBF">
        <w:rPr>
          <w:sz w:val="16"/>
          <w:szCs w:val="16"/>
        </w:rPr>
        <w:t xml:space="preserve">recruiting employers who </w:t>
      </w:r>
      <w:r w:rsidR="008742B6">
        <w:rPr>
          <w:sz w:val="16"/>
          <w:szCs w:val="16"/>
        </w:rPr>
        <w:t xml:space="preserve">reported </w:t>
      </w:r>
      <w:proofErr w:type="gramStart"/>
      <w:r w:rsidRPr="00E47FBF">
        <w:rPr>
          <w:sz w:val="16"/>
          <w:szCs w:val="16"/>
        </w:rPr>
        <w:t>experienc</w:t>
      </w:r>
      <w:r w:rsidR="00916329">
        <w:rPr>
          <w:sz w:val="16"/>
          <w:szCs w:val="16"/>
        </w:rPr>
        <w:t xml:space="preserve">ing </w:t>
      </w:r>
      <w:r w:rsidRPr="00E47FBF">
        <w:rPr>
          <w:sz w:val="16"/>
          <w:szCs w:val="16"/>
        </w:rPr>
        <w:t>difficulty</w:t>
      </w:r>
      <w:proofErr w:type="gramEnd"/>
      <w:r w:rsidRPr="00E47FBF">
        <w:rPr>
          <w:sz w:val="16"/>
          <w:szCs w:val="16"/>
        </w:rPr>
        <w:t xml:space="preserve"> hiring. The indicator is calculated as: employers who recruited and reported difficulty, divided by all employers who recruited (excluding ‘unsure’ responses).</w:t>
      </w:r>
      <w:r w:rsidRPr="002C3BC4">
        <w:rPr>
          <w:sz w:val="16"/>
          <w:szCs w:val="16"/>
        </w:rPr>
        <w:t xml:space="preserve"> See detailed explanation in </w:t>
      </w:r>
      <w:hyperlink r:id="rId2" w:anchor="methodology" w:history="1">
        <w:r w:rsidRPr="006741BE">
          <w:rPr>
            <w:rStyle w:val="Hyperlink"/>
            <w:sz w:val="16"/>
            <w:szCs w:val="16"/>
          </w:rPr>
          <w:t>REOS - concepts methods and questionnaire</w:t>
        </w:r>
      </w:hyperlink>
      <w:r w:rsidRPr="00E47FBF">
        <w:rPr>
          <w:sz w:val="16"/>
          <w:szCs w:val="16"/>
        </w:rPr>
        <w:t>.</w:t>
      </w:r>
    </w:p>
  </w:footnote>
  <w:footnote w:id="10">
    <w:p w14:paraId="05E6DBC8" w14:textId="0A7C556C" w:rsidR="00617EE8" w:rsidRPr="00431905" w:rsidRDefault="00617EE8" w:rsidP="00431905">
      <w:pPr>
        <w:spacing w:after="0" w:line="240" w:lineRule="auto"/>
        <w:rPr>
          <w:sz w:val="16"/>
          <w:szCs w:val="16"/>
        </w:rPr>
      </w:pPr>
      <w:r w:rsidRPr="00431905">
        <w:rPr>
          <w:rStyle w:val="FootnoteReference"/>
          <w:sz w:val="16"/>
          <w:szCs w:val="16"/>
        </w:rPr>
        <w:footnoteRef/>
      </w:r>
      <w:r w:rsidRPr="00431905">
        <w:rPr>
          <w:sz w:val="16"/>
          <w:szCs w:val="16"/>
        </w:rPr>
        <w:t xml:space="preserve"> </w:t>
      </w:r>
      <w:r w:rsidR="00C761A9" w:rsidRPr="00431905">
        <w:rPr>
          <w:sz w:val="16"/>
          <w:szCs w:val="16"/>
        </w:rPr>
        <w:t>The OSL has four ratings to classify the shortage status on a specific occupation</w:t>
      </w:r>
      <w:r w:rsidR="00E32791">
        <w:rPr>
          <w:sz w:val="16"/>
          <w:szCs w:val="16"/>
        </w:rPr>
        <w:t>.</w:t>
      </w:r>
      <w:r w:rsidR="00C761A9">
        <w:rPr>
          <w:sz w:val="16"/>
          <w:szCs w:val="16"/>
        </w:rPr>
        <w:t xml:space="preserve"> </w:t>
      </w:r>
      <w:r w:rsidR="00C761A9" w:rsidRPr="00431905">
        <w:rPr>
          <w:sz w:val="16"/>
          <w:szCs w:val="16"/>
        </w:rPr>
        <w:t xml:space="preserve">Shortage: An occupation is in </w:t>
      </w:r>
      <w:r w:rsidR="008733CC">
        <w:rPr>
          <w:sz w:val="16"/>
          <w:szCs w:val="16"/>
        </w:rPr>
        <w:t>n</w:t>
      </w:r>
      <w:r w:rsidR="00C761A9" w:rsidRPr="00431905">
        <w:rPr>
          <w:sz w:val="16"/>
          <w:szCs w:val="16"/>
        </w:rPr>
        <w:t xml:space="preserve">ational </w:t>
      </w:r>
      <w:r w:rsidR="008362F7">
        <w:rPr>
          <w:sz w:val="16"/>
          <w:szCs w:val="16"/>
        </w:rPr>
        <w:t>s</w:t>
      </w:r>
      <w:r w:rsidR="00C761A9" w:rsidRPr="00431905">
        <w:rPr>
          <w:sz w:val="16"/>
          <w:szCs w:val="16"/>
        </w:rPr>
        <w:t xml:space="preserve">hortage or </w:t>
      </w:r>
      <w:r w:rsidR="008362F7">
        <w:rPr>
          <w:sz w:val="16"/>
          <w:szCs w:val="16"/>
        </w:rPr>
        <w:t>o</w:t>
      </w:r>
      <w:r w:rsidR="00C761A9" w:rsidRPr="00431905">
        <w:rPr>
          <w:sz w:val="16"/>
          <w:szCs w:val="16"/>
        </w:rPr>
        <w:t xml:space="preserve">verall </w:t>
      </w:r>
      <w:r w:rsidR="008362F7">
        <w:rPr>
          <w:sz w:val="16"/>
          <w:szCs w:val="16"/>
        </w:rPr>
        <w:t>s</w:t>
      </w:r>
      <w:r w:rsidR="00C761A9" w:rsidRPr="00431905">
        <w:rPr>
          <w:sz w:val="16"/>
          <w:szCs w:val="16"/>
        </w:rPr>
        <w:t>hortage</w:t>
      </w:r>
      <w:r w:rsidR="00C761A9">
        <w:rPr>
          <w:sz w:val="16"/>
          <w:szCs w:val="16"/>
        </w:rPr>
        <w:t xml:space="preserve">; </w:t>
      </w:r>
      <w:r w:rsidR="00C761A9" w:rsidRPr="00431905">
        <w:rPr>
          <w:sz w:val="16"/>
          <w:szCs w:val="16"/>
        </w:rPr>
        <w:t>Metropolitan Shortage: An occupation is in shortage in a metropolitan area</w:t>
      </w:r>
      <w:r w:rsidR="00C761A9">
        <w:rPr>
          <w:sz w:val="16"/>
          <w:szCs w:val="16"/>
        </w:rPr>
        <w:t xml:space="preserve">; </w:t>
      </w:r>
      <w:r w:rsidR="00C761A9" w:rsidRPr="00431905">
        <w:rPr>
          <w:sz w:val="16"/>
          <w:szCs w:val="16"/>
        </w:rPr>
        <w:t>Regional Shortage: An occupation is in shortage in a regional area</w:t>
      </w:r>
      <w:r w:rsidR="00C761A9">
        <w:rPr>
          <w:sz w:val="16"/>
          <w:szCs w:val="16"/>
        </w:rPr>
        <w:t xml:space="preserve">; </w:t>
      </w:r>
      <w:r w:rsidR="00C761A9" w:rsidRPr="00431905">
        <w:rPr>
          <w:sz w:val="16"/>
          <w:szCs w:val="16"/>
        </w:rPr>
        <w:t>No Shortage: An occupation is not in shortage.</w:t>
      </w:r>
    </w:p>
  </w:footnote>
  <w:footnote w:id="11">
    <w:p w14:paraId="6B24AE85" w14:textId="2A623568" w:rsidR="752D9DA6" w:rsidRPr="00C761A9" w:rsidRDefault="752D9DA6" w:rsidP="00C761A9">
      <w:pPr>
        <w:pStyle w:val="FootnoteText"/>
        <w:rPr>
          <w:sz w:val="16"/>
          <w:szCs w:val="16"/>
        </w:rPr>
      </w:pPr>
      <w:r w:rsidRPr="00431905">
        <w:rPr>
          <w:rStyle w:val="FootnoteReference"/>
          <w:sz w:val="16"/>
          <w:szCs w:val="16"/>
        </w:rPr>
        <w:footnoteRef/>
      </w:r>
      <w:r w:rsidR="7AC229EE" w:rsidRPr="00431905">
        <w:rPr>
          <w:sz w:val="16"/>
          <w:szCs w:val="16"/>
        </w:rPr>
        <w:t xml:space="preserve"> </w:t>
      </w:r>
      <w:r w:rsidR="7AC229EE" w:rsidRPr="00C761A9">
        <w:rPr>
          <w:sz w:val="16"/>
          <w:szCs w:val="16"/>
        </w:rPr>
        <w:t>All analyses in this report are based on the ABS ANZSCO 2022 version.</w:t>
      </w:r>
    </w:p>
  </w:footnote>
  <w:footnote w:id="12">
    <w:p w14:paraId="4537241A" w14:textId="7D3E2A2A" w:rsidR="007A26A0" w:rsidRPr="00431905" w:rsidRDefault="007A26A0">
      <w:pPr>
        <w:pStyle w:val="FootnoteText"/>
        <w:rPr>
          <w:sz w:val="16"/>
          <w:szCs w:val="16"/>
        </w:rPr>
      </w:pPr>
      <w:r w:rsidRPr="00431905">
        <w:rPr>
          <w:rStyle w:val="FootnoteReference"/>
          <w:sz w:val="16"/>
          <w:szCs w:val="16"/>
        </w:rPr>
        <w:footnoteRef/>
      </w:r>
      <w:r w:rsidRPr="00431905">
        <w:rPr>
          <w:sz w:val="16"/>
          <w:szCs w:val="16"/>
        </w:rPr>
        <w:t xml:space="preserve"> </w:t>
      </w:r>
      <w:r w:rsidRPr="00C761A9">
        <w:rPr>
          <w:sz w:val="16"/>
          <w:szCs w:val="16"/>
        </w:rPr>
        <w:t>The 2024 OSL assessment period includes data from April 2023 to June 2024. The 2023 OSL assessment period is similar.</w:t>
      </w:r>
    </w:p>
  </w:footnote>
  <w:footnote w:id="13">
    <w:p w14:paraId="059742F1" w14:textId="0C76CB2B" w:rsidR="008C2414" w:rsidRPr="00235EA8" w:rsidRDefault="008C2414">
      <w:pPr>
        <w:pStyle w:val="FootnoteText"/>
        <w:rPr>
          <w:sz w:val="16"/>
          <w:szCs w:val="16"/>
        </w:rPr>
      </w:pPr>
      <w:r w:rsidRPr="00C761A9">
        <w:rPr>
          <w:rStyle w:val="FootnoteReference"/>
          <w:sz w:val="16"/>
          <w:szCs w:val="16"/>
        </w:rPr>
        <w:footnoteRef/>
      </w:r>
      <w:r w:rsidRPr="00C761A9">
        <w:rPr>
          <w:sz w:val="16"/>
          <w:szCs w:val="16"/>
        </w:rPr>
        <w:t xml:space="preserve"> These fill rates are generated by </w:t>
      </w:r>
      <w:r w:rsidR="00A76B28" w:rsidRPr="00C761A9">
        <w:rPr>
          <w:sz w:val="16"/>
          <w:szCs w:val="16"/>
        </w:rPr>
        <w:t xml:space="preserve">a </w:t>
      </w:r>
      <w:r w:rsidR="00007E9A" w:rsidRPr="00C761A9">
        <w:rPr>
          <w:sz w:val="16"/>
          <w:szCs w:val="16"/>
        </w:rPr>
        <w:t>Gradient Boosting M</w:t>
      </w:r>
      <w:r w:rsidR="00A76B28" w:rsidRPr="00C761A9">
        <w:rPr>
          <w:sz w:val="16"/>
          <w:szCs w:val="16"/>
        </w:rPr>
        <w:t xml:space="preserve">achine </w:t>
      </w:r>
      <w:r w:rsidR="001C1E76" w:rsidRPr="00C761A9">
        <w:rPr>
          <w:sz w:val="16"/>
          <w:szCs w:val="16"/>
        </w:rPr>
        <w:t>l</w:t>
      </w:r>
      <w:r w:rsidR="00A76B28" w:rsidRPr="00C761A9">
        <w:rPr>
          <w:sz w:val="16"/>
          <w:szCs w:val="16"/>
        </w:rPr>
        <w:t xml:space="preserve">earning </w:t>
      </w:r>
      <w:r w:rsidR="000F688A" w:rsidRPr="00C761A9">
        <w:rPr>
          <w:sz w:val="16"/>
          <w:szCs w:val="16"/>
        </w:rPr>
        <w:t>m</w:t>
      </w:r>
      <w:r w:rsidR="00A76B28" w:rsidRPr="00C761A9">
        <w:rPr>
          <w:sz w:val="16"/>
          <w:szCs w:val="16"/>
        </w:rPr>
        <w:t>odel</w:t>
      </w:r>
      <w:r w:rsidR="006D420E" w:rsidRPr="00C761A9">
        <w:rPr>
          <w:sz w:val="16"/>
          <w:szCs w:val="16"/>
        </w:rPr>
        <w:t xml:space="preserve">, which produces fill rates for all </w:t>
      </w:r>
      <w:r w:rsidR="0049175E" w:rsidRPr="00C761A9">
        <w:rPr>
          <w:sz w:val="16"/>
          <w:szCs w:val="16"/>
        </w:rPr>
        <w:t xml:space="preserve">ANZSCO </w:t>
      </w:r>
      <w:r w:rsidR="00616F21" w:rsidRPr="00C761A9">
        <w:rPr>
          <w:sz w:val="16"/>
          <w:szCs w:val="16"/>
        </w:rPr>
        <w:t xml:space="preserve">Skill Level 1 to 4 </w:t>
      </w:r>
      <w:r w:rsidR="0049175E" w:rsidRPr="00C761A9">
        <w:rPr>
          <w:sz w:val="16"/>
          <w:szCs w:val="16"/>
        </w:rPr>
        <w:t>occupations</w:t>
      </w:r>
      <w:r w:rsidR="003C401F" w:rsidRPr="00C761A9">
        <w:rPr>
          <w:sz w:val="16"/>
          <w:szCs w:val="16"/>
        </w:rPr>
        <w:t xml:space="preserve">. These fill rates differ from </w:t>
      </w:r>
      <w:r w:rsidR="00B8074C" w:rsidRPr="00C761A9">
        <w:rPr>
          <w:sz w:val="16"/>
          <w:szCs w:val="16"/>
        </w:rPr>
        <w:t>those based only</w:t>
      </w:r>
      <w:r w:rsidR="00B8074C" w:rsidRPr="00235EA8">
        <w:rPr>
          <w:sz w:val="16"/>
          <w:szCs w:val="16"/>
        </w:rPr>
        <w:t xml:space="preserve"> on SERA data</w:t>
      </w:r>
      <w:r w:rsidR="00457548" w:rsidRPr="00235EA8">
        <w:rPr>
          <w:sz w:val="16"/>
          <w:szCs w:val="16"/>
        </w:rPr>
        <w:t xml:space="preserve">, reported on page </w:t>
      </w:r>
      <w:r w:rsidR="0082441E">
        <w:rPr>
          <w:sz w:val="16"/>
          <w:szCs w:val="16"/>
        </w:rPr>
        <w:fldChar w:fldCharType="begin"/>
      </w:r>
      <w:r w:rsidR="0082441E">
        <w:rPr>
          <w:sz w:val="16"/>
          <w:szCs w:val="16"/>
        </w:rPr>
        <w:instrText xml:space="preserve"> PAGEREF SERA_Fill_Rates \h </w:instrText>
      </w:r>
      <w:r w:rsidR="0082441E">
        <w:rPr>
          <w:sz w:val="16"/>
          <w:szCs w:val="16"/>
        </w:rPr>
      </w:r>
      <w:r w:rsidR="0082441E">
        <w:rPr>
          <w:sz w:val="16"/>
          <w:szCs w:val="16"/>
        </w:rPr>
        <w:fldChar w:fldCharType="separate"/>
      </w:r>
      <w:r w:rsidR="0082441E">
        <w:rPr>
          <w:noProof/>
          <w:sz w:val="16"/>
          <w:szCs w:val="16"/>
        </w:rPr>
        <w:t>5</w:t>
      </w:r>
      <w:r w:rsidR="0082441E">
        <w:rPr>
          <w:sz w:val="16"/>
          <w:szCs w:val="16"/>
        </w:rPr>
        <w:fldChar w:fldCharType="end"/>
      </w:r>
      <w:r w:rsidR="00D7084A" w:rsidRPr="00235EA8">
        <w:rPr>
          <w:sz w:val="16"/>
          <w:szCs w:val="16"/>
        </w:rPr>
        <w:t xml:space="preserve">. </w:t>
      </w:r>
    </w:p>
  </w:footnote>
  <w:footnote w:id="14">
    <w:p w14:paraId="25FF956B" w14:textId="57D448B2" w:rsidR="00AD18B8" w:rsidRDefault="00AD18B8" w:rsidP="00AD18B8">
      <w:pPr>
        <w:pStyle w:val="FootnoteText"/>
      </w:pPr>
      <w:r w:rsidRPr="00235EA8">
        <w:rPr>
          <w:rStyle w:val="FootnoteReference"/>
          <w:sz w:val="16"/>
          <w:szCs w:val="16"/>
        </w:rPr>
        <w:footnoteRef/>
      </w:r>
      <w:r w:rsidRPr="00235EA8">
        <w:rPr>
          <w:sz w:val="16"/>
          <w:szCs w:val="16"/>
        </w:rPr>
        <w:t xml:space="preserve"> An</w:t>
      </w:r>
      <w:r w:rsidRPr="00235EA8">
        <w:rPr>
          <w:rFonts w:asciiTheme="minorHAnsi" w:eastAsiaTheme="minorEastAsia" w:hAnsiTheme="minorHAnsi"/>
          <w:sz w:val="16"/>
          <w:szCs w:val="16"/>
        </w:rPr>
        <w:t xml:space="preserve">alysis also shows that the percentage of occupations with fill rates below 67% at an 80% confidence interval has fallen in the 2024 OSL compared to the 2023 OSL. A confidence interval is the range of values a measure (in this case the fill rate) is expected to lie within, with a certain level of </w:t>
      </w:r>
      <w:r w:rsidR="003B214B">
        <w:rPr>
          <w:rFonts w:asciiTheme="minorHAnsi" w:eastAsiaTheme="minorEastAsia" w:hAnsiTheme="minorHAnsi"/>
          <w:sz w:val="16"/>
          <w:szCs w:val="16"/>
        </w:rPr>
        <w:t xml:space="preserve">confidence or </w:t>
      </w:r>
      <w:r w:rsidRPr="00235EA8">
        <w:rPr>
          <w:rFonts w:asciiTheme="minorHAnsi" w:eastAsiaTheme="minorEastAsia" w:hAnsiTheme="minorHAnsi"/>
          <w:sz w:val="16"/>
          <w:szCs w:val="16"/>
        </w:rPr>
        <w:t xml:space="preserve">certainty. An occupation can have a range of fill rates within the year, from low to high. The analysis shows that for occupations, generally, more fill rates were above 67% and fewer </w:t>
      </w:r>
      <w:r w:rsidR="00E610E3">
        <w:rPr>
          <w:rFonts w:asciiTheme="minorHAnsi" w:eastAsiaTheme="minorEastAsia" w:hAnsiTheme="minorHAnsi"/>
          <w:sz w:val="16"/>
          <w:szCs w:val="16"/>
        </w:rPr>
        <w:t xml:space="preserve">with fill rates </w:t>
      </w:r>
      <w:r w:rsidRPr="00235EA8">
        <w:rPr>
          <w:rFonts w:asciiTheme="minorHAnsi" w:eastAsiaTheme="minorEastAsia" w:hAnsiTheme="minorHAnsi"/>
          <w:sz w:val="16"/>
          <w:szCs w:val="16"/>
        </w:rPr>
        <w:t>less than 67%. Jobs and Skills Australia uses a fill rate threshold of 67% to determine the likelihood of an occupation shortage, with fill rates below 67% implying a higher likelihood of an occupation in shortage.</w:t>
      </w:r>
    </w:p>
  </w:footnote>
  <w:footnote w:id="15">
    <w:p w14:paraId="383EEC01" w14:textId="445CE96B" w:rsidR="00387728" w:rsidRPr="00235EA8" w:rsidRDefault="00387728" w:rsidP="006E5308">
      <w:pPr>
        <w:pStyle w:val="FootnoteText"/>
        <w:rPr>
          <w:rStyle w:val="FootnoteReference"/>
        </w:rPr>
      </w:pPr>
      <w:r w:rsidRPr="00235EA8">
        <w:rPr>
          <w:rStyle w:val="FootnoteReference"/>
          <w:sz w:val="16"/>
          <w:szCs w:val="16"/>
        </w:rPr>
        <w:footnoteRef/>
      </w:r>
      <w:r w:rsidRPr="00235EA8">
        <w:rPr>
          <w:sz w:val="16"/>
          <w:szCs w:val="16"/>
        </w:rPr>
        <w:t xml:space="preserve"> </w:t>
      </w:r>
      <w:r w:rsidR="00296865" w:rsidRPr="00235EA8">
        <w:rPr>
          <w:sz w:val="16"/>
          <w:szCs w:val="16"/>
        </w:rPr>
        <w:t>A Gradient Boost</w:t>
      </w:r>
      <w:r w:rsidR="00007E9A" w:rsidRPr="00235EA8">
        <w:rPr>
          <w:sz w:val="16"/>
          <w:szCs w:val="16"/>
        </w:rPr>
        <w:t>ing</w:t>
      </w:r>
      <w:r w:rsidR="00296865" w:rsidRPr="00235EA8">
        <w:rPr>
          <w:sz w:val="16"/>
          <w:szCs w:val="16"/>
        </w:rPr>
        <w:t xml:space="preserve"> Machine </w:t>
      </w:r>
      <w:r w:rsidR="00FC5B13">
        <w:rPr>
          <w:sz w:val="16"/>
          <w:szCs w:val="16"/>
        </w:rPr>
        <w:t>l</w:t>
      </w:r>
      <w:r w:rsidR="00296865" w:rsidRPr="00235EA8">
        <w:rPr>
          <w:sz w:val="16"/>
          <w:szCs w:val="16"/>
        </w:rPr>
        <w:t xml:space="preserve">earning model is used to predict fill rates for </w:t>
      </w:r>
      <w:r w:rsidR="00354C86" w:rsidRPr="00235EA8">
        <w:rPr>
          <w:sz w:val="16"/>
          <w:szCs w:val="16"/>
        </w:rPr>
        <w:t>the 916 occupations</w:t>
      </w:r>
      <w:r w:rsidR="00207673" w:rsidRPr="00235EA8">
        <w:rPr>
          <w:sz w:val="16"/>
          <w:szCs w:val="16"/>
        </w:rPr>
        <w:t xml:space="preserve"> used in this analysis.</w:t>
      </w:r>
    </w:p>
  </w:footnote>
  <w:footnote w:id="16">
    <w:p w14:paraId="1257C01E" w14:textId="0E2C514F" w:rsidR="005F3959" w:rsidRPr="00E708FE" w:rsidRDefault="005F3959" w:rsidP="006E5308">
      <w:pPr>
        <w:pStyle w:val="FootnoteText"/>
        <w:rPr>
          <w:sz w:val="16"/>
          <w:szCs w:val="16"/>
        </w:rPr>
      </w:pPr>
      <w:r w:rsidRPr="00E708FE">
        <w:rPr>
          <w:rStyle w:val="FootnoteReference"/>
          <w:sz w:val="16"/>
          <w:szCs w:val="16"/>
        </w:rPr>
        <w:footnoteRef/>
      </w:r>
      <w:r>
        <w:t xml:space="preserve"> </w:t>
      </w:r>
      <w:r w:rsidRPr="00E708FE">
        <w:rPr>
          <w:sz w:val="16"/>
          <w:szCs w:val="16"/>
        </w:rPr>
        <w:t xml:space="preserve">The difference in </w:t>
      </w:r>
      <w:r w:rsidR="00D42C30" w:rsidRPr="00E708FE">
        <w:rPr>
          <w:sz w:val="16"/>
          <w:szCs w:val="16"/>
        </w:rPr>
        <w:t xml:space="preserve">the total applicants per vacancy, 8.1, is rounded. It is derived </w:t>
      </w:r>
      <w:r w:rsidR="00415B5C">
        <w:rPr>
          <w:sz w:val="16"/>
          <w:szCs w:val="16"/>
        </w:rPr>
        <w:t xml:space="preserve">by subtracting </w:t>
      </w:r>
      <w:r w:rsidR="0070067E" w:rsidRPr="00E708FE">
        <w:rPr>
          <w:sz w:val="16"/>
          <w:szCs w:val="16"/>
        </w:rPr>
        <w:t>16.05 in 2022</w:t>
      </w:r>
      <w:r w:rsidR="002C7EFC">
        <w:t>–</w:t>
      </w:r>
      <w:r w:rsidR="0070067E" w:rsidRPr="00E708FE">
        <w:rPr>
          <w:sz w:val="16"/>
          <w:szCs w:val="16"/>
        </w:rPr>
        <w:t xml:space="preserve">23 </w:t>
      </w:r>
      <w:r w:rsidR="00415B5C">
        <w:rPr>
          <w:sz w:val="16"/>
          <w:szCs w:val="16"/>
        </w:rPr>
        <w:t xml:space="preserve">from </w:t>
      </w:r>
      <w:r w:rsidR="0070067E" w:rsidRPr="00E708FE">
        <w:rPr>
          <w:sz w:val="16"/>
          <w:szCs w:val="16"/>
        </w:rPr>
        <w:t>24.12 in 2023</w:t>
      </w:r>
      <w:r w:rsidR="00A54827">
        <w:t>–</w:t>
      </w:r>
      <w:r w:rsidR="0070067E" w:rsidRPr="00E708FE">
        <w:rPr>
          <w:sz w:val="16"/>
          <w:szCs w:val="16"/>
        </w:rPr>
        <w:t xml:space="preserve">24. </w:t>
      </w:r>
    </w:p>
  </w:footnote>
  <w:footnote w:id="17">
    <w:p w14:paraId="277A160C" w14:textId="5A38E574" w:rsidR="00E70D25" w:rsidRPr="00235EA8" w:rsidRDefault="00E70D25" w:rsidP="00E70D25">
      <w:pPr>
        <w:pStyle w:val="FootnoteText"/>
        <w:rPr>
          <w:sz w:val="16"/>
          <w:szCs w:val="16"/>
        </w:rPr>
      </w:pPr>
      <w:r w:rsidRPr="00235EA8">
        <w:rPr>
          <w:rStyle w:val="FootnoteReference"/>
          <w:sz w:val="16"/>
          <w:szCs w:val="16"/>
        </w:rPr>
        <w:footnoteRef/>
      </w:r>
      <w:r w:rsidRPr="00235EA8">
        <w:rPr>
          <w:sz w:val="16"/>
          <w:szCs w:val="16"/>
        </w:rPr>
        <w:t xml:space="preserve"> The full list of occupations in</w:t>
      </w:r>
      <w:r w:rsidR="002B677D">
        <w:rPr>
          <w:sz w:val="16"/>
          <w:szCs w:val="16"/>
        </w:rPr>
        <w:t xml:space="preserve"> No S</w:t>
      </w:r>
      <w:r w:rsidR="00812ED1" w:rsidRPr="00235EA8">
        <w:rPr>
          <w:sz w:val="16"/>
          <w:szCs w:val="16"/>
        </w:rPr>
        <w:t xml:space="preserve">hortage in 2023 </w:t>
      </w:r>
      <w:r w:rsidR="00F46B1E">
        <w:rPr>
          <w:sz w:val="16"/>
          <w:szCs w:val="16"/>
        </w:rPr>
        <w:t>and S</w:t>
      </w:r>
      <w:r w:rsidR="00F46B1E" w:rsidRPr="00E17AE7">
        <w:rPr>
          <w:sz w:val="16"/>
          <w:szCs w:val="16"/>
        </w:rPr>
        <w:t xml:space="preserve">hortage in 2024 </w:t>
      </w:r>
      <w:r w:rsidR="00F46B1E">
        <w:rPr>
          <w:sz w:val="16"/>
          <w:szCs w:val="16"/>
        </w:rPr>
        <w:t xml:space="preserve">is </w:t>
      </w:r>
      <w:r w:rsidRPr="00235EA8">
        <w:rPr>
          <w:sz w:val="16"/>
          <w:szCs w:val="16"/>
        </w:rPr>
        <w:t>in Appendix A</w:t>
      </w:r>
      <w:r w:rsidR="002E1D7C">
        <w:rPr>
          <w:sz w:val="16"/>
          <w:szCs w:val="16"/>
        </w:rPr>
        <w:t xml:space="preserve"> of the 2024 OSL Key Findings Report Appendices</w:t>
      </w:r>
      <w:r w:rsidRPr="00235EA8">
        <w:rPr>
          <w:sz w:val="16"/>
          <w:szCs w:val="16"/>
        </w:rPr>
        <w:t>.</w:t>
      </w:r>
    </w:p>
  </w:footnote>
  <w:footnote w:id="18">
    <w:p w14:paraId="389691DD" w14:textId="38FD48C7" w:rsidR="00267BED" w:rsidRPr="00E17AE7" w:rsidRDefault="00267BED" w:rsidP="00267BED">
      <w:pPr>
        <w:pStyle w:val="FootnoteText"/>
        <w:rPr>
          <w:sz w:val="16"/>
          <w:szCs w:val="16"/>
        </w:rPr>
      </w:pPr>
      <w:r w:rsidRPr="00E17AE7">
        <w:rPr>
          <w:rStyle w:val="FootnoteReference"/>
          <w:sz w:val="16"/>
          <w:szCs w:val="16"/>
        </w:rPr>
        <w:footnoteRef/>
      </w:r>
      <w:r w:rsidRPr="00E17AE7">
        <w:rPr>
          <w:sz w:val="16"/>
          <w:szCs w:val="16"/>
        </w:rPr>
        <w:t xml:space="preserve"> The full list of occupations </w:t>
      </w:r>
      <w:r w:rsidR="002B677D">
        <w:rPr>
          <w:sz w:val="16"/>
          <w:szCs w:val="16"/>
        </w:rPr>
        <w:t xml:space="preserve">in </w:t>
      </w:r>
      <w:r w:rsidR="00F46B1E">
        <w:rPr>
          <w:sz w:val="16"/>
          <w:szCs w:val="16"/>
        </w:rPr>
        <w:t>S</w:t>
      </w:r>
      <w:r w:rsidR="00F46B1E" w:rsidRPr="00E17AE7">
        <w:rPr>
          <w:sz w:val="16"/>
          <w:szCs w:val="16"/>
        </w:rPr>
        <w:t>hortage in 2023</w:t>
      </w:r>
      <w:r w:rsidR="00F46B1E">
        <w:rPr>
          <w:sz w:val="16"/>
          <w:szCs w:val="16"/>
        </w:rPr>
        <w:t xml:space="preserve"> and </w:t>
      </w:r>
      <w:r w:rsidR="002B677D">
        <w:rPr>
          <w:sz w:val="16"/>
          <w:szCs w:val="16"/>
        </w:rPr>
        <w:t>No S</w:t>
      </w:r>
      <w:r w:rsidRPr="00E17AE7">
        <w:rPr>
          <w:sz w:val="16"/>
          <w:szCs w:val="16"/>
        </w:rPr>
        <w:t xml:space="preserve">hortage in 2024 </w:t>
      </w:r>
      <w:r w:rsidR="00F46B1E">
        <w:rPr>
          <w:sz w:val="16"/>
          <w:szCs w:val="16"/>
        </w:rPr>
        <w:t xml:space="preserve">is </w:t>
      </w:r>
      <w:r w:rsidRPr="00E17AE7">
        <w:rPr>
          <w:sz w:val="16"/>
          <w:szCs w:val="16"/>
        </w:rPr>
        <w:t>in Appendix B</w:t>
      </w:r>
      <w:r w:rsidR="000559B2">
        <w:rPr>
          <w:sz w:val="16"/>
          <w:szCs w:val="16"/>
        </w:rPr>
        <w:t xml:space="preserve"> of the 2024 OSL Key Findings Report Appendices</w:t>
      </w:r>
      <w:r w:rsidRPr="00E17AE7">
        <w:rPr>
          <w:sz w:val="16"/>
          <w:szCs w:val="16"/>
        </w:rPr>
        <w:t xml:space="preserve">. </w:t>
      </w:r>
    </w:p>
  </w:footnote>
  <w:footnote w:id="19">
    <w:p w14:paraId="25F637C8" w14:textId="5B5A5B22" w:rsidR="00E70D25" w:rsidRPr="00235EA8" w:rsidRDefault="00E70D25" w:rsidP="00E70D25">
      <w:pPr>
        <w:pStyle w:val="FootnoteText"/>
        <w:rPr>
          <w:sz w:val="16"/>
          <w:szCs w:val="16"/>
        </w:rPr>
      </w:pPr>
      <w:r w:rsidRPr="00235EA8">
        <w:rPr>
          <w:rStyle w:val="FootnoteReference"/>
          <w:sz w:val="16"/>
          <w:szCs w:val="16"/>
        </w:rPr>
        <w:footnoteRef/>
      </w:r>
      <w:r w:rsidRPr="00235EA8">
        <w:rPr>
          <w:sz w:val="16"/>
          <w:szCs w:val="16"/>
        </w:rPr>
        <w:t xml:space="preserve"> The full list of occupations in </w:t>
      </w:r>
      <w:r w:rsidR="00F33F73">
        <w:rPr>
          <w:sz w:val="16"/>
          <w:szCs w:val="16"/>
        </w:rPr>
        <w:t>S</w:t>
      </w:r>
      <w:r w:rsidR="00F33F73" w:rsidRPr="00235EA8">
        <w:rPr>
          <w:sz w:val="16"/>
          <w:szCs w:val="16"/>
        </w:rPr>
        <w:t xml:space="preserve">hortage </w:t>
      </w:r>
      <w:r w:rsidR="00096245">
        <w:rPr>
          <w:sz w:val="16"/>
          <w:szCs w:val="16"/>
        </w:rPr>
        <w:t xml:space="preserve">in </w:t>
      </w:r>
      <w:r w:rsidRPr="00235EA8">
        <w:rPr>
          <w:sz w:val="16"/>
          <w:szCs w:val="16"/>
        </w:rPr>
        <w:t xml:space="preserve">both 2023 and 2024 </w:t>
      </w:r>
      <w:r w:rsidR="00F46B1E">
        <w:rPr>
          <w:sz w:val="16"/>
          <w:szCs w:val="16"/>
        </w:rPr>
        <w:t>is</w:t>
      </w:r>
      <w:r w:rsidRPr="00235EA8">
        <w:rPr>
          <w:sz w:val="16"/>
          <w:szCs w:val="16"/>
        </w:rPr>
        <w:t xml:space="preserve"> in Appendix C</w:t>
      </w:r>
      <w:r w:rsidR="000559B2">
        <w:rPr>
          <w:sz w:val="16"/>
          <w:szCs w:val="16"/>
        </w:rPr>
        <w:t xml:space="preserve"> of the 2024 OSL Key Findings Report Appendices</w:t>
      </w:r>
      <w:r w:rsidRPr="00235EA8">
        <w:rPr>
          <w:sz w:val="16"/>
          <w:szCs w:val="16"/>
        </w:rPr>
        <w:t>.</w:t>
      </w:r>
    </w:p>
  </w:footnote>
  <w:footnote w:id="20">
    <w:p w14:paraId="2FA07AC7" w14:textId="77777777" w:rsidR="009F4E6A" w:rsidRPr="00235EA8" w:rsidRDefault="009F4E6A" w:rsidP="009F4E6A">
      <w:pPr>
        <w:pStyle w:val="FootnoteText"/>
        <w:rPr>
          <w:sz w:val="16"/>
          <w:szCs w:val="16"/>
        </w:rPr>
      </w:pPr>
      <w:r w:rsidRPr="00235EA8">
        <w:rPr>
          <w:rStyle w:val="FootnoteReference"/>
          <w:sz w:val="16"/>
          <w:szCs w:val="16"/>
        </w:rPr>
        <w:footnoteRef/>
      </w:r>
      <w:r w:rsidRPr="00235EA8">
        <w:rPr>
          <w:sz w:val="16"/>
          <w:szCs w:val="16"/>
        </w:rPr>
        <w:t xml:space="preserve"> The full list of occupations in </w:t>
      </w:r>
      <w:r>
        <w:rPr>
          <w:sz w:val="16"/>
          <w:szCs w:val="16"/>
        </w:rPr>
        <w:t>R</w:t>
      </w:r>
      <w:r w:rsidRPr="00235EA8">
        <w:rPr>
          <w:sz w:val="16"/>
          <w:szCs w:val="16"/>
        </w:rPr>
        <w:t xml:space="preserve">egional </w:t>
      </w:r>
      <w:r>
        <w:rPr>
          <w:sz w:val="16"/>
          <w:szCs w:val="16"/>
        </w:rPr>
        <w:t>S</w:t>
      </w:r>
      <w:r w:rsidRPr="00235EA8">
        <w:rPr>
          <w:sz w:val="16"/>
          <w:szCs w:val="16"/>
        </w:rPr>
        <w:t xml:space="preserve">hortage only </w:t>
      </w:r>
      <w:r w:rsidRPr="00DE334E">
        <w:rPr>
          <w:sz w:val="16"/>
          <w:szCs w:val="16"/>
        </w:rPr>
        <w:t>is</w:t>
      </w:r>
      <w:r w:rsidRPr="00235EA8">
        <w:rPr>
          <w:sz w:val="16"/>
          <w:szCs w:val="16"/>
        </w:rPr>
        <w:t xml:space="preserve"> in Appendix E</w:t>
      </w:r>
      <w:r>
        <w:rPr>
          <w:sz w:val="16"/>
          <w:szCs w:val="16"/>
        </w:rPr>
        <w:t xml:space="preserve"> of the 2024 OSL Key Findings Report Appendices</w:t>
      </w:r>
      <w:r w:rsidRPr="00235EA8">
        <w:rPr>
          <w:sz w:val="16"/>
          <w:szCs w:val="16"/>
        </w:rPr>
        <w:t>.</w:t>
      </w:r>
    </w:p>
  </w:footnote>
  <w:footnote w:id="21">
    <w:p w14:paraId="3A930254" w14:textId="39612D3E" w:rsidR="009F4E6A" w:rsidRPr="001A6A74" w:rsidRDefault="009F4E6A" w:rsidP="009F4E6A">
      <w:pPr>
        <w:pStyle w:val="FootnoteText"/>
        <w:rPr>
          <w:sz w:val="16"/>
          <w:szCs w:val="16"/>
        </w:rPr>
      </w:pPr>
      <w:r w:rsidRPr="00235EA8">
        <w:rPr>
          <w:rStyle w:val="FootnoteReference"/>
          <w:sz w:val="16"/>
          <w:szCs w:val="16"/>
        </w:rPr>
        <w:footnoteRef/>
      </w:r>
      <w:r w:rsidRPr="00235EA8">
        <w:rPr>
          <w:sz w:val="16"/>
          <w:szCs w:val="16"/>
        </w:rPr>
        <w:t xml:space="preserve"> </w:t>
      </w:r>
      <w:r w:rsidR="0029467B">
        <w:rPr>
          <w:sz w:val="16"/>
          <w:szCs w:val="16"/>
        </w:rPr>
        <w:t xml:space="preserve">As per Footnote </w:t>
      </w:r>
      <w:r w:rsidR="00E46A43">
        <w:rPr>
          <w:sz w:val="16"/>
          <w:szCs w:val="16"/>
        </w:rPr>
        <w:t xml:space="preserve">9, </w:t>
      </w:r>
      <w:r>
        <w:rPr>
          <w:sz w:val="16"/>
          <w:szCs w:val="16"/>
        </w:rPr>
        <w:t xml:space="preserve">Metropolitan Shortage refers to shortages in a metropolitan area, while Regional Shortage refers to shortages in a regional area. </w:t>
      </w:r>
      <w:r w:rsidRPr="00A64297">
        <w:rPr>
          <w:sz w:val="16"/>
          <w:szCs w:val="16"/>
        </w:rPr>
        <w:t xml:space="preserve">The term metropolitan area refers to state and territory </w:t>
      </w:r>
      <w:r w:rsidR="002A081C">
        <w:rPr>
          <w:sz w:val="16"/>
          <w:szCs w:val="16"/>
        </w:rPr>
        <w:t>C</w:t>
      </w:r>
      <w:r w:rsidRPr="00A64297">
        <w:rPr>
          <w:sz w:val="16"/>
          <w:szCs w:val="16"/>
        </w:rPr>
        <w:t xml:space="preserve">apital </w:t>
      </w:r>
      <w:r w:rsidR="002A081C">
        <w:rPr>
          <w:sz w:val="16"/>
          <w:szCs w:val="16"/>
        </w:rPr>
        <w:t>City</w:t>
      </w:r>
      <w:r>
        <w:rPr>
          <w:sz w:val="16"/>
          <w:szCs w:val="16"/>
        </w:rPr>
        <w:t>, while</w:t>
      </w:r>
      <w:r w:rsidRPr="00A64297">
        <w:rPr>
          <w:sz w:val="16"/>
          <w:szCs w:val="16"/>
        </w:rPr>
        <w:t xml:space="preserve"> regional refers to the </w:t>
      </w:r>
      <w:r w:rsidR="00541B36">
        <w:rPr>
          <w:sz w:val="16"/>
          <w:szCs w:val="16"/>
        </w:rPr>
        <w:t>R</w:t>
      </w:r>
      <w:r w:rsidRPr="00A64297">
        <w:rPr>
          <w:sz w:val="16"/>
          <w:szCs w:val="16"/>
        </w:rPr>
        <w:t xml:space="preserve">est of the </w:t>
      </w:r>
      <w:r w:rsidR="00F72B55">
        <w:rPr>
          <w:sz w:val="16"/>
          <w:szCs w:val="16"/>
        </w:rPr>
        <w:t>S</w:t>
      </w:r>
      <w:r w:rsidRPr="00A64297">
        <w:rPr>
          <w:sz w:val="16"/>
          <w:szCs w:val="16"/>
        </w:rPr>
        <w:t xml:space="preserve">tate </w:t>
      </w:r>
      <w:r w:rsidR="00E46A43">
        <w:rPr>
          <w:sz w:val="16"/>
          <w:szCs w:val="16"/>
        </w:rPr>
        <w:t xml:space="preserve">as defined by </w:t>
      </w:r>
      <w:r w:rsidR="00F72B55">
        <w:rPr>
          <w:sz w:val="16"/>
          <w:szCs w:val="16"/>
        </w:rPr>
        <w:t xml:space="preserve">the </w:t>
      </w:r>
      <w:r w:rsidR="007E36F7">
        <w:rPr>
          <w:sz w:val="16"/>
          <w:szCs w:val="16"/>
        </w:rPr>
        <w:t>ABS</w:t>
      </w:r>
      <w:r w:rsidR="00F72B55">
        <w:rPr>
          <w:sz w:val="16"/>
          <w:szCs w:val="16"/>
        </w:rPr>
        <w:t xml:space="preserve"> </w:t>
      </w:r>
      <w:r w:rsidR="00773387" w:rsidRPr="00184D3E">
        <w:rPr>
          <w:i/>
          <w:iCs/>
          <w:sz w:val="16"/>
          <w:szCs w:val="16"/>
        </w:rPr>
        <w:t>Australian Statistical Geography Standard</w:t>
      </w:r>
      <w:r w:rsidR="00B93389">
        <w:rPr>
          <w:i/>
          <w:iCs/>
          <w:sz w:val="16"/>
          <w:szCs w:val="16"/>
        </w:rPr>
        <w:t xml:space="preserve"> </w:t>
      </w:r>
      <w:r w:rsidR="00B93389" w:rsidRPr="00184D3E">
        <w:rPr>
          <w:sz w:val="16"/>
          <w:szCs w:val="16"/>
        </w:rPr>
        <w:t>(ASGS)</w:t>
      </w:r>
      <w:r w:rsidRPr="00A64297">
        <w:rPr>
          <w:sz w:val="16"/>
          <w:szCs w:val="16"/>
        </w:rPr>
        <w:t>.</w:t>
      </w:r>
    </w:p>
  </w:footnote>
  <w:footnote w:id="22">
    <w:p w14:paraId="42C4DE35" w14:textId="77777777" w:rsidR="00986DF5" w:rsidRDefault="00986DF5" w:rsidP="00986DF5">
      <w:pPr>
        <w:pStyle w:val="FootnoteText"/>
      </w:pPr>
      <w:r w:rsidRPr="001A6A74">
        <w:rPr>
          <w:rStyle w:val="FootnoteReference"/>
          <w:sz w:val="16"/>
          <w:szCs w:val="16"/>
        </w:rPr>
        <w:footnoteRef/>
      </w:r>
      <w:r w:rsidRPr="001A6A74">
        <w:rPr>
          <w:sz w:val="16"/>
          <w:szCs w:val="16"/>
        </w:rPr>
        <w:t xml:space="preserve"> </w:t>
      </w:r>
      <w:r w:rsidRPr="001A6A74">
        <w:rPr>
          <w:rFonts w:asciiTheme="minorHAnsi" w:eastAsiaTheme="minorEastAsia" w:hAnsiTheme="minorHAnsi"/>
          <w:sz w:val="16"/>
          <w:szCs w:val="16"/>
          <w:lang w:val="en-GB"/>
        </w:rPr>
        <w:t xml:space="preserve">For details on how feedback was incorporated, </w:t>
      </w:r>
      <w:r w:rsidRPr="001A6A74">
        <w:rPr>
          <w:sz w:val="16"/>
          <w:szCs w:val="16"/>
        </w:rPr>
        <w:t>refer to the 2024 OSL Methodology Paper.</w:t>
      </w:r>
      <w:r w:rsidRPr="00235EA8">
        <w:rPr>
          <w:sz w:val="16"/>
          <w:szCs w:val="16"/>
        </w:rPr>
        <w:t xml:space="preserve"> </w:t>
      </w:r>
    </w:p>
  </w:footnote>
  <w:footnote w:id="23">
    <w:p w14:paraId="4F04BDD0" w14:textId="55380A81" w:rsidR="00A950C3" w:rsidRDefault="00A950C3">
      <w:pPr>
        <w:pStyle w:val="FootnoteText"/>
      </w:pPr>
      <w:r w:rsidRPr="00E708FE">
        <w:rPr>
          <w:rStyle w:val="FootnoteReference"/>
          <w:sz w:val="16"/>
          <w:szCs w:val="16"/>
        </w:rPr>
        <w:footnoteRef/>
      </w:r>
      <w:r w:rsidRPr="00E708FE">
        <w:rPr>
          <w:sz w:val="16"/>
          <w:szCs w:val="16"/>
        </w:rPr>
        <w:t xml:space="preserve"> </w:t>
      </w:r>
      <w:r w:rsidR="00E57BBB" w:rsidRPr="00E57BBB">
        <w:rPr>
          <w:sz w:val="16"/>
          <w:szCs w:val="16"/>
        </w:rPr>
        <w:t>Persiste</w:t>
      </w:r>
      <w:r w:rsidR="00E57BBB">
        <w:rPr>
          <w:sz w:val="16"/>
          <w:szCs w:val="16"/>
        </w:rPr>
        <w:t xml:space="preserve">nt </w:t>
      </w:r>
      <w:r w:rsidR="00C5254B">
        <w:rPr>
          <w:sz w:val="16"/>
          <w:szCs w:val="16"/>
        </w:rPr>
        <w:t xml:space="preserve">shortage </w:t>
      </w:r>
      <w:r w:rsidR="004F6980">
        <w:rPr>
          <w:sz w:val="16"/>
          <w:szCs w:val="16"/>
        </w:rPr>
        <w:t xml:space="preserve">is defined as occupations being in Shortage for 3 or more years. </w:t>
      </w:r>
    </w:p>
  </w:footnote>
  <w:footnote w:id="24">
    <w:p w14:paraId="71C6B165" w14:textId="7ECB8FFE" w:rsidR="00E70D25" w:rsidRDefault="00E70D25" w:rsidP="00E70D25">
      <w:pPr>
        <w:pStyle w:val="FootnoteText"/>
      </w:pPr>
      <w:r w:rsidRPr="00235EA8">
        <w:rPr>
          <w:rStyle w:val="FootnoteReference"/>
          <w:sz w:val="16"/>
          <w:szCs w:val="16"/>
        </w:rPr>
        <w:footnoteRef/>
      </w:r>
      <w:r w:rsidRPr="00235EA8">
        <w:rPr>
          <w:sz w:val="16"/>
          <w:szCs w:val="16"/>
        </w:rPr>
        <w:t xml:space="preserve"> The full list of occupations in </w:t>
      </w:r>
      <w:r w:rsidR="00C5254B">
        <w:rPr>
          <w:sz w:val="16"/>
          <w:szCs w:val="16"/>
        </w:rPr>
        <w:t>S</w:t>
      </w:r>
      <w:r w:rsidR="00C5254B" w:rsidRPr="00235EA8">
        <w:rPr>
          <w:sz w:val="16"/>
          <w:szCs w:val="16"/>
        </w:rPr>
        <w:t xml:space="preserve">hortage </w:t>
      </w:r>
      <w:r w:rsidRPr="00235EA8">
        <w:rPr>
          <w:sz w:val="16"/>
          <w:szCs w:val="16"/>
        </w:rPr>
        <w:t xml:space="preserve">across all </w:t>
      </w:r>
      <w:r w:rsidR="00240287">
        <w:rPr>
          <w:sz w:val="16"/>
          <w:szCs w:val="16"/>
        </w:rPr>
        <w:t>2021</w:t>
      </w:r>
      <w:r w:rsidR="000C6347">
        <w:rPr>
          <w:sz w:val="16"/>
          <w:szCs w:val="16"/>
        </w:rPr>
        <w:t>–24</w:t>
      </w:r>
      <w:r w:rsidR="00240287" w:rsidRPr="00235EA8">
        <w:rPr>
          <w:sz w:val="16"/>
          <w:szCs w:val="16"/>
        </w:rPr>
        <w:t xml:space="preserve"> </w:t>
      </w:r>
      <w:r w:rsidRPr="00235EA8">
        <w:rPr>
          <w:sz w:val="16"/>
          <w:szCs w:val="16"/>
        </w:rPr>
        <w:t xml:space="preserve">OSLs </w:t>
      </w:r>
      <w:r w:rsidR="00240287">
        <w:rPr>
          <w:sz w:val="16"/>
          <w:szCs w:val="16"/>
        </w:rPr>
        <w:t>is</w:t>
      </w:r>
      <w:r w:rsidR="00240287" w:rsidRPr="00235EA8">
        <w:rPr>
          <w:sz w:val="16"/>
          <w:szCs w:val="16"/>
        </w:rPr>
        <w:t xml:space="preserve"> </w:t>
      </w:r>
      <w:r w:rsidRPr="00235EA8">
        <w:rPr>
          <w:sz w:val="16"/>
          <w:szCs w:val="16"/>
        </w:rPr>
        <w:t>in Appendix D</w:t>
      </w:r>
      <w:r w:rsidR="000559B2">
        <w:rPr>
          <w:sz w:val="16"/>
          <w:szCs w:val="16"/>
        </w:rPr>
        <w:t xml:space="preserve"> of the 2024 OSL Key Findings Report Appendices</w:t>
      </w:r>
      <w:r w:rsidRPr="00235EA8">
        <w:rPr>
          <w:sz w:val="16"/>
          <w:szCs w:val="16"/>
        </w:rPr>
        <w:t>.</w:t>
      </w:r>
    </w:p>
  </w:footnote>
  <w:footnote w:id="25">
    <w:p w14:paraId="386148EF" w14:textId="77777777" w:rsidR="00714774" w:rsidRDefault="00714774" w:rsidP="00714774">
      <w:pPr>
        <w:pStyle w:val="FootnoteText"/>
      </w:pPr>
      <w:r w:rsidRPr="00235EA8">
        <w:rPr>
          <w:rStyle w:val="FootnoteReference"/>
          <w:sz w:val="16"/>
          <w:szCs w:val="16"/>
        </w:rPr>
        <w:footnoteRef/>
      </w:r>
      <w:r w:rsidRPr="00235EA8">
        <w:rPr>
          <w:sz w:val="16"/>
          <w:szCs w:val="16"/>
        </w:rPr>
        <w:t xml:space="preserve"> The Australian Bureau of Statistics provides information on the concept of Skill Levels as part of its </w:t>
      </w:r>
      <w:hyperlink r:id="rId3" w:history="1">
        <w:r w:rsidRPr="00235EA8">
          <w:rPr>
            <w:rStyle w:val="Hyperlink"/>
            <w:sz w:val="16"/>
            <w:szCs w:val="16"/>
          </w:rPr>
          <w:t>Conceptual basis of ANZSCO</w:t>
        </w:r>
      </w:hyperlink>
      <w:r w:rsidRPr="00235EA8">
        <w:rPr>
          <w:sz w:val="16"/>
          <w:szCs w:val="16"/>
        </w:rPr>
        <w:t>.</w:t>
      </w:r>
    </w:p>
  </w:footnote>
  <w:footnote w:id="26">
    <w:p w14:paraId="2238EB09" w14:textId="62600BCB" w:rsidR="00A96D19" w:rsidRDefault="00A96D19" w:rsidP="00A96D19">
      <w:pPr>
        <w:pStyle w:val="FootnoteText"/>
      </w:pPr>
      <w:r w:rsidRPr="00C2736B">
        <w:rPr>
          <w:rStyle w:val="FootnoteReference"/>
          <w:sz w:val="16"/>
          <w:szCs w:val="16"/>
        </w:rPr>
        <w:footnoteRef/>
      </w:r>
      <w:r w:rsidRPr="00201CA3">
        <w:rPr>
          <w:sz w:val="16"/>
          <w:szCs w:val="16"/>
        </w:rPr>
        <w:t xml:space="preserve"> The percentage of occupations in </w:t>
      </w:r>
      <w:r w:rsidR="00414F85">
        <w:rPr>
          <w:sz w:val="16"/>
          <w:szCs w:val="16"/>
        </w:rPr>
        <w:t>S</w:t>
      </w:r>
      <w:r w:rsidR="00414F85" w:rsidRPr="00201CA3">
        <w:rPr>
          <w:sz w:val="16"/>
          <w:szCs w:val="16"/>
        </w:rPr>
        <w:t xml:space="preserve">hortage </w:t>
      </w:r>
      <w:r w:rsidRPr="00201CA3">
        <w:rPr>
          <w:sz w:val="16"/>
          <w:szCs w:val="16"/>
        </w:rPr>
        <w:t xml:space="preserve">for Skill Level 4 occupations fell from 22.6% to 15.4%, making the difference 7.2 percentage points. </w:t>
      </w:r>
    </w:p>
  </w:footnote>
  <w:footnote w:id="27">
    <w:p w14:paraId="1C985EA4" w14:textId="41C0B228" w:rsidR="00E70D25" w:rsidRPr="00235EA8" w:rsidRDefault="00E70D25" w:rsidP="00E70D25">
      <w:pPr>
        <w:pStyle w:val="FootnoteText"/>
        <w:rPr>
          <w:sz w:val="16"/>
          <w:szCs w:val="16"/>
        </w:rPr>
      </w:pPr>
      <w:r w:rsidRPr="00235EA8">
        <w:rPr>
          <w:rStyle w:val="FootnoteReference"/>
          <w:sz w:val="16"/>
          <w:szCs w:val="16"/>
        </w:rPr>
        <w:footnoteRef/>
      </w:r>
      <w:r w:rsidRPr="00235EA8">
        <w:rPr>
          <w:sz w:val="16"/>
          <w:szCs w:val="16"/>
        </w:rPr>
        <w:t xml:space="preserve"> </w:t>
      </w:r>
      <w:r w:rsidRPr="00A264AE">
        <w:rPr>
          <w:sz w:val="16"/>
          <w:szCs w:val="16"/>
        </w:rPr>
        <w:t>There are 916 occupations</w:t>
      </w:r>
      <w:r w:rsidR="00D71162" w:rsidRPr="00A264AE">
        <w:rPr>
          <w:sz w:val="16"/>
          <w:szCs w:val="16"/>
        </w:rPr>
        <w:t xml:space="preserve"> at Skill Level</w:t>
      </w:r>
      <w:r w:rsidR="00D5114D" w:rsidRPr="00A264AE">
        <w:rPr>
          <w:sz w:val="16"/>
          <w:szCs w:val="16"/>
        </w:rPr>
        <w:t>s</w:t>
      </w:r>
      <w:r w:rsidR="00D71162" w:rsidRPr="00A264AE">
        <w:rPr>
          <w:sz w:val="16"/>
          <w:szCs w:val="16"/>
        </w:rPr>
        <w:t xml:space="preserve"> 1 to 4 </w:t>
      </w:r>
      <w:r w:rsidRPr="00A264AE">
        <w:rPr>
          <w:sz w:val="16"/>
          <w:szCs w:val="16"/>
        </w:rPr>
        <w:t xml:space="preserve">in the </w:t>
      </w:r>
      <w:r w:rsidR="00626C25" w:rsidRPr="00A264AE">
        <w:rPr>
          <w:sz w:val="16"/>
          <w:szCs w:val="16"/>
        </w:rPr>
        <w:t xml:space="preserve">2024 </w:t>
      </w:r>
      <w:r w:rsidRPr="00A264AE">
        <w:rPr>
          <w:sz w:val="16"/>
          <w:szCs w:val="16"/>
        </w:rPr>
        <w:t>OSL.</w:t>
      </w:r>
      <w:r w:rsidR="00561827" w:rsidRPr="00A264AE">
        <w:rPr>
          <w:sz w:val="16"/>
          <w:szCs w:val="16"/>
        </w:rPr>
        <w:t xml:space="preserve"> For full details </w:t>
      </w:r>
      <w:r w:rsidR="002C23AF" w:rsidRPr="00A264AE">
        <w:rPr>
          <w:sz w:val="16"/>
          <w:szCs w:val="16"/>
        </w:rPr>
        <w:t>on occupation inclusions/exclusions, refer to the 2024 OSL Methodology Paper</w:t>
      </w:r>
      <w:r w:rsidR="00BC1FDB" w:rsidRPr="00A264AE">
        <w:rPr>
          <w:sz w:val="16"/>
          <w:szCs w:val="16"/>
        </w:rPr>
        <w:t>.</w:t>
      </w:r>
    </w:p>
  </w:footnote>
  <w:footnote w:id="28">
    <w:p w14:paraId="339D4C66" w14:textId="1E69E7F0" w:rsidR="007F1B7E" w:rsidRPr="00157684" w:rsidRDefault="007F1B7E">
      <w:pPr>
        <w:pStyle w:val="FootnoteText"/>
        <w:rPr>
          <w:sz w:val="16"/>
          <w:szCs w:val="16"/>
        </w:rPr>
      </w:pPr>
      <w:r w:rsidRPr="00157684">
        <w:rPr>
          <w:rStyle w:val="FootnoteReference"/>
          <w:sz w:val="16"/>
          <w:szCs w:val="16"/>
        </w:rPr>
        <w:footnoteRef/>
      </w:r>
      <w:r w:rsidRPr="00157684">
        <w:rPr>
          <w:sz w:val="16"/>
          <w:szCs w:val="16"/>
        </w:rPr>
        <w:t xml:space="preserve"> </w:t>
      </w:r>
      <w:r w:rsidR="008E59F4" w:rsidRPr="00157684">
        <w:rPr>
          <w:sz w:val="16"/>
          <w:szCs w:val="16"/>
        </w:rPr>
        <w:t>Historical data</w:t>
      </w:r>
      <w:r w:rsidR="007F0876" w:rsidRPr="00157684">
        <w:rPr>
          <w:sz w:val="16"/>
          <w:szCs w:val="16"/>
        </w:rPr>
        <w:t xml:space="preserve"> has been updated to </w:t>
      </w:r>
      <w:r w:rsidR="000E6A15">
        <w:rPr>
          <w:sz w:val="16"/>
          <w:szCs w:val="16"/>
        </w:rPr>
        <w:t xml:space="preserve">align with </w:t>
      </w:r>
      <w:r w:rsidR="007F0876" w:rsidRPr="00157684">
        <w:rPr>
          <w:sz w:val="16"/>
          <w:szCs w:val="16"/>
        </w:rPr>
        <w:t>the</w:t>
      </w:r>
      <w:r w:rsidR="008E59F4" w:rsidRPr="00157684">
        <w:rPr>
          <w:sz w:val="16"/>
          <w:szCs w:val="16"/>
        </w:rPr>
        <w:t xml:space="preserve"> current</w:t>
      </w:r>
      <w:r w:rsidR="00DD0726">
        <w:rPr>
          <w:sz w:val="16"/>
          <w:szCs w:val="16"/>
        </w:rPr>
        <w:t xml:space="preserve"> scope of </w:t>
      </w:r>
      <w:r w:rsidR="00892746">
        <w:rPr>
          <w:sz w:val="16"/>
          <w:szCs w:val="16"/>
        </w:rPr>
        <w:t xml:space="preserve">occupations included in </w:t>
      </w:r>
      <w:r w:rsidR="00E468B3" w:rsidRPr="00157684">
        <w:rPr>
          <w:sz w:val="16"/>
          <w:szCs w:val="16"/>
        </w:rPr>
        <w:t>the 2024 OSL</w:t>
      </w:r>
      <w:r w:rsidR="00BC3BE6">
        <w:rPr>
          <w:sz w:val="16"/>
          <w:szCs w:val="16"/>
        </w:rPr>
        <w:t xml:space="preserve">. </w:t>
      </w:r>
      <w:r w:rsidR="00E44E48">
        <w:rPr>
          <w:sz w:val="16"/>
          <w:szCs w:val="16"/>
        </w:rPr>
        <w:t xml:space="preserve">For example, </w:t>
      </w:r>
      <w:r w:rsidR="001561F4">
        <w:rPr>
          <w:sz w:val="16"/>
          <w:szCs w:val="16"/>
        </w:rPr>
        <w:t xml:space="preserve">Detectives </w:t>
      </w:r>
      <w:r w:rsidR="00C24B1C">
        <w:rPr>
          <w:sz w:val="16"/>
          <w:szCs w:val="16"/>
        </w:rPr>
        <w:t>were</w:t>
      </w:r>
      <w:r w:rsidR="00623E30">
        <w:rPr>
          <w:sz w:val="16"/>
          <w:szCs w:val="16"/>
        </w:rPr>
        <w:t xml:space="preserve"> not included within the </w:t>
      </w:r>
      <w:r w:rsidR="00310AEC">
        <w:rPr>
          <w:sz w:val="16"/>
          <w:szCs w:val="16"/>
        </w:rPr>
        <w:t xml:space="preserve">2024 OSL occupations but were </w:t>
      </w:r>
      <w:r w:rsidR="00A12028">
        <w:rPr>
          <w:sz w:val="16"/>
          <w:szCs w:val="16"/>
        </w:rPr>
        <w:t xml:space="preserve">so in the 2022 OSL. </w:t>
      </w:r>
      <w:r w:rsidR="000F627A">
        <w:rPr>
          <w:sz w:val="16"/>
          <w:szCs w:val="16"/>
        </w:rPr>
        <w:t xml:space="preserve">The change </w:t>
      </w:r>
      <w:r w:rsidR="00A40649">
        <w:rPr>
          <w:sz w:val="16"/>
          <w:szCs w:val="16"/>
        </w:rPr>
        <w:t xml:space="preserve">has </w:t>
      </w:r>
      <w:r w:rsidR="00C95CBA">
        <w:rPr>
          <w:sz w:val="16"/>
          <w:szCs w:val="16"/>
        </w:rPr>
        <w:t>result</w:t>
      </w:r>
      <w:r w:rsidR="00A40649">
        <w:rPr>
          <w:sz w:val="16"/>
          <w:szCs w:val="16"/>
        </w:rPr>
        <w:t>ed</w:t>
      </w:r>
      <w:r w:rsidR="00C95CBA">
        <w:rPr>
          <w:sz w:val="16"/>
          <w:szCs w:val="16"/>
        </w:rPr>
        <w:t xml:space="preserve"> in a</w:t>
      </w:r>
      <w:r w:rsidR="003A2D89">
        <w:rPr>
          <w:sz w:val="16"/>
          <w:szCs w:val="16"/>
        </w:rPr>
        <w:t xml:space="preserve"> m</w:t>
      </w:r>
      <w:r w:rsidR="007322C5">
        <w:rPr>
          <w:sz w:val="16"/>
          <w:szCs w:val="16"/>
        </w:rPr>
        <w:t>inor</w:t>
      </w:r>
      <w:r w:rsidR="001357DD">
        <w:rPr>
          <w:sz w:val="16"/>
          <w:szCs w:val="16"/>
        </w:rPr>
        <w:t xml:space="preserve"> </w:t>
      </w:r>
      <w:r w:rsidR="00C30F34">
        <w:rPr>
          <w:sz w:val="16"/>
          <w:szCs w:val="16"/>
        </w:rPr>
        <w:t xml:space="preserve">difference </w:t>
      </w:r>
      <w:r w:rsidR="00A40649">
        <w:rPr>
          <w:sz w:val="16"/>
          <w:szCs w:val="16"/>
        </w:rPr>
        <w:t>in</w:t>
      </w:r>
      <w:r w:rsidR="00740EFA">
        <w:rPr>
          <w:sz w:val="16"/>
          <w:szCs w:val="16"/>
        </w:rPr>
        <w:t xml:space="preserve"> the data reported </w:t>
      </w:r>
      <w:r w:rsidR="00A40649">
        <w:rPr>
          <w:sz w:val="16"/>
          <w:szCs w:val="16"/>
        </w:rPr>
        <w:t>on</w:t>
      </w:r>
      <w:r w:rsidR="00740EFA">
        <w:rPr>
          <w:sz w:val="16"/>
          <w:szCs w:val="16"/>
        </w:rPr>
        <w:t xml:space="preserve"> the </w:t>
      </w:r>
      <w:r w:rsidR="0003255A">
        <w:rPr>
          <w:sz w:val="16"/>
          <w:szCs w:val="16"/>
        </w:rPr>
        <w:t xml:space="preserve">percentage of </w:t>
      </w:r>
      <w:r w:rsidR="003A2D89">
        <w:rPr>
          <w:sz w:val="16"/>
          <w:szCs w:val="16"/>
        </w:rPr>
        <w:t>m</w:t>
      </w:r>
      <w:r w:rsidR="000D785D">
        <w:rPr>
          <w:sz w:val="16"/>
          <w:szCs w:val="16"/>
        </w:rPr>
        <w:t>en</w:t>
      </w:r>
      <w:r w:rsidR="003A2D89">
        <w:rPr>
          <w:sz w:val="16"/>
          <w:szCs w:val="16"/>
        </w:rPr>
        <w:t xml:space="preserve"> dominated </w:t>
      </w:r>
      <w:r w:rsidR="00707875">
        <w:rPr>
          <w:sz w:val="16"/>
          <w:szCs w:val="16"/>
        </w:rPr>
        <w:t>occupations</w:t>
      </w:r>
      <w:r w:rsidR="002D1CCC">
        <w:rPr>
          <w:sz w:val="16"/>
          <w:szCs w:val="16"/>
        </w:rPr>
        <w:t xml:space="preserve"> in </w:t>
      </w:r>
      <w:r w:rsidR="00F14D1B">
        <w:rPr>
          <w:sz w:val="16"/>
          <w:szCs w:val="16"/>
        </w:rPr>
        <w:t>S</w:t>
      </w:r>
      <w:r w:rsidR="002D1CCC">
        <w:rPr>
          <w:sz w:val="16"/>
          <w:szCs w:val="16"/>
        </w:rPr>
        <w:t>hort</w:t>
      </w:r>
      <w:r w:rsidR="00080FB2">
        <w:rPr>
          <w:sz w:val="16"/>
          <w:szCs w:val="16"/>
        </w:rPr>
        <w:t>age</w:t>
      </w:r>
      <w:r w:rsidR="007322C5">
        <w:rPr>
          <w:sz w:val="16"/>
          <w:szCs w:val="16"/>
        </w:rPr>
        <w:t xml:space="preserve"> </w:t>
      </w:r>
      <w:r w:rsidR="0003255A">
        <w:rPr>
          <w:sz w:val="16"/>
          <w:szCs w:val="16"/>
        </w:rPr>
        <w:t xml:space="preserve">in </w:t>
      </w:r>
      <w:r w:rsidR="007322C5">
        <w:rPr>
          <w:sz w:val="16"/>
          <w:szCs w:val="16"/>
        </w:rPr>
        <w:t>2022</w:t>
      </w:r>
      <w:r w:rsidR="00B844E4">
        <w:rPr>
          <w:sz w:val="16"/>
          <w:szCs w:val="16"/>
        </w:rPr>
        <w:t xml:space="preserve">, </w:t>
      </w:r>
      <w:r w:rsidR="006234FE">
        <w:rPr>
          <w:sz w:val="16"/>
          <w:szCs w:val="16"/>
        </w:rPr>
        <w:t xml:space="preserve">which changes </w:t>
      </w:r>
      <w:r w:rsidR="00B844E4">
        <w:rPr>
          <w:sz w:val="16"/>
          <w:szCs w:val="16"/>
        </w:rPr>
        <w:t>from</w:t>
      </w:r>
      <w:r w:rsidR="00707875">
        <w:rPr>
          <w:sz w:val="16"/>
          <w:szCs w:val="16"/>
        </w:rPr>
        <w:t xml:space="preserve"> </w:t>
      </w:r>
      <w:r w:rsidR="003A2D89">
        <w:rPr>
          <w:sz w:val="16"/>
          <w:szCs w:val="16"/>
        </w:rPr>
        <w:t xml:space="preserve">49% </w:t>
      </w:r>
      <w:r w:rsidR="006234FE">
        <w:rPr>
          <w:sz w:val="16"/>
          <w:szCs w:val="16"/>
        </w:rPr>
        <w:t>(</w:t>
      </w:r>
      <w:r w:rsidR="00B844E4">
        <w:rPr>
          <w:sz w:val="16"/>
          <w:szCs w:val="16"/>
        </w:rPr>
        <w:t xml:space="preserve">as </w:t>
      </w:r>
      <w:r w:rsidR="003A2D89">
        <w:rPr>
          <w:sz w:val="16"/>
          <w:szCs w:val="16"/>
        </w:rPr>
        <w:t xml:space="preserve">reported in </w:t>
      </w:r>
      <w:r w:rsidR="00085CEA">
        <w:rPr>
          <w:sz w:val="16"/>
          <w:szCs w:val="16"/>
        </w:rPr>
        <w:t>2023 OSL</w:t>
      </w:r>
      <w:r w:rsidR="006234FE">
        <w:rPr>
          <w:sz w:val="16"/>
          <w:szCs w:val="16"/>
        </w:rPr>
        <w:t>) to</w:t>
      </w:r>
      <w:r w:rsidR="00085CEA">
        <w:rPr>
          <w:sz w:val="16"/>
          <w:szCs w:val="16"/>
        </w:rPr>
        <w:t xml:space="preserve"> 50% </w:t>
      </w:r>
      <w:r w:rsidR="006234FE">
        <w:rPr>
          <w:sz w:val="16"/>
          <w:szCs w:val="16"/>
        </w:rPr>
        <w:t>(</w:t>
      </w:r>
      <w:r w:rsidR="00260635">
        <w:rPr>
          <w:sz w:val="16"/>
          <w:szCs w:val="16"/>
        </w:rPr>
        <w:t xml:space="preserve">as shown </w:t>
      </w:r>
      <w:r w:rsidR="00085CEA">
        <w:rPr>
          <w:sz w:val="16"/>
          <w:szCs w:val="16"/>
        </w:rPr>
        <w:t xml:space="preserve">in </w:t>
      </w:r>
      <w:r w:rsidR="00260635">
        <w:rPr>
          <w:sz w:val="16"/>
          <w:szCs w:val="16"/>
        </w:rPr>
        <w:t>Figure 10</w:t>
      </w:r>
      <w:r w:rsidR="006234FE">
        <w:rPr>
          <w:sz w:val="16"/>
          <w:szCs w:val="16"/>
        </w:rPr>
        <w:t>)</w:t>
      </w:r>
      <w:r w:rsidR="00C35AC1">
        <w:rPr>
          <w:sz w:val="16"/>
          <w:szCs w:val="16"/>
        </w:rPr>
        <w:t xml:space="preserve">. </w:t>
      </w:r>
    </w:p>
  </w:footnote>
  <w:footnote w:id="29">
    <w:p w14:paraId="29352B8B" w14:textId="5565801E" w:rsidR="009A4107" w:rsidRPr="00235EA8" w:rsidRDefault="009A4107">
      <w:pPr>
        <w:pStyle w:val="FootnoteText"/>
        <w:rPr>
          <w:sz w:val="16"/>
          <w:szCs w:val="16"/>
        </w:rPr>
      </w:pPr>
      <w:r w:rsidRPr="00235EA8">
        <w:rPr>
          <w:rStyle w:val="FootnoteReference"/>
          <w:sz w:val="16"/>
          <w:szCs w:val="16"/>
        </w:rPr>
        <w:footnoteRef/>
      </w:r>
      <w:r w:rsidRPr="00235EA8">
        <w:rPr>
          <w:sz w:val="16"/>
          <w:szCs w:val="16"/>
        </w:rPr>
        <w:t xml:space="preserve"> </w:t>
      </w:r>
      <w:r w:rsidR="0000394C" w:rsidRPr="00235EA8">
        <w:rPr>
          <w:sz w:val="16"/>
          <w:szCs w:val="16"/>
        </w:rPr>
        <w:t xml:space="preserve">The </w:t>
      </w:r>
      <w:r w:rsidR="004539DD">
        <w:rPr>
          <w:sz w:val="16"/>
          <w:szCs w:val="16"/>
        </w:rPr>
        <w:t xml:space="preserve">definition of industry </w:t>
      </w:r>
      <w:r w:rsidR="008F397E">
        <w:rPr>
          <w:sz w:val="16"/>
          <w:szCs w:val="16"/>
        </w:rPr>
        <w:t xml:space="preserve">is </w:t>
      </w:r>
      <w:r w:rsidR="004539DD">
        <w:rPr>
          <w:sz w:val="16"/>
          <w:szCs w:val="16"/>
        </w:rPr>
        <w:t xml:space="preserve">based on </w:t>
      </w:r>
      <w:r w:rsidR="0000394C" w:rsidRPr="00184D3E">
        <w:rPr>
          <w:i/>
          <w:iCs/>
          <w:sz w:val="16"/>
          <w:szCs w:val="16"/>
        </w:rPr>
        <w:t>Australian and New Zealand Standard Industrial Classification</w:t>
      </w:r>
      <w:r w:rsidR="0000394C" w:rsidRPr="00235EA8">
        <w:rPr>
          <w:sz w:val="16"/>
          <w:szCs w:val="16"/>
        </w:rPr>
        <w:t xml:space="preserve"> (ANZSIC)</w:t>
      </w:r>
      <w:r w:rsidR="008F397E">
        <w:rPr>
          <w:sz w:val="16"/>
          <w:szCs w:val="16"/>
        </w:rPr>
        <w:t xml:space="preserve">, see the </w:t>
      </w:r>
      <w:hyperlink r:id="rId4" w:anchor="anzsic-structure" w:history="1">
        <w:r w:rsidR="00E7444E" w:rsidRPr="00235EA8">
          <w:rPr>
            <w:rStyle w:val="Hyperlink"/>
            <w:sz w:val="16"/>
            <w:szCs w:val="16"/>
          </w:rPr>
          <w:t>ABS website</w:t>
        </w:r>
      </w:hyperlink>
      <w:r w:rsidR="00E7444E" w:rsidRPr="00235EA8">
        <w:rPr>
          <w:sz w:val="16"/>
          <w:szCs w:val="16"/>
        </w:rPr>
        <w:t xml:space="preserve">. </w:t>
      </w:r>
    </w:p>
  </w:footnote>
  <w:footnote w:id="30">
    <w:p w14:paraId="74AFC524" w14:textId="77777777" w:rsidR="0051723D" w:rsidRDefault="0051723D" w:rsidP="0051723D">
      <w:pPr>
        <w:pStyle w:val="FootnoteText"/>
      </w:pPr>
      <w:r w:rsidRPr="00235EA8">
        <w:rPr>
          <w:rStyle w:val="FootnoteReference"/>
          <w:sz w:val="16"/>
          <w:szCs w:val="16"/>
        </w:rPr>
        <w:footnoteRef/>
      </w:r>
      <w:r w:rsidRPr="00235EA8">
        <w:rPr>
          <w:sz w:val="16"/>
          <w:szCs w:val="16"/>
        </w:rPr>
        <w:t xml:space="preserve"> Other Services includes a broad range of services like hairdressing and beauty services; diet and weight management centres; funerals, crematoriums and cemeteries; religious services; car repair and maintenance; machinery repair services; private households employing staff; and other personal services. For more information</w:t>
      </w:r>
      <w:r w:rsidRPr="00A56224">
        <w:rPr>
          <w:sz w:val="16"/>
          <w:szCs w:val="16"/>
        </w:rPr>
        <w:t xml:space="preserve">, see the </w:t>
      </w:r>
      <w:hyperlink r:id="rId5" w:anchor="anzsic-structure" w:history="1">
        <w:r w:rsidRPr="00A56224">
          <w:rPr>
            <w:rStyle w:val="Hyperlink"/>
            <w:sz w:val="16"/>
            <w:szCs w:val="16"/>
          </w:rPr>
          <w:t>ABS webpage on ANZISC</w:t>
        </w:r>
      </w:hyperlink>
      <w:r w:rsidRPr="00A56224">
        <w:rPr>
          <w:sz w:val="16"/>
          <w:szCs w:val="16"/>
        </w:rPr>
        <w:t>.</w:t>
      </w:r>
    </w:p>
  </w:footnote>
  <w:footnote w:id="31">
    <w:p w14:paraId="606C66B8" w14:textId="405C0345" w:rsidR="002E5476" w:rsidRPr="00235EA8" w:rsidRDefault="002E5476" w:rsidP="002E5476">
      <w:pPr>
        <w:rPr>
          <w:sz w:val="16"/>
          <w:szCs w:val="16"/>
        </w:rPr>
      </w:pPr>
      <w:r w:rsidRPr="00235EA8">
        <w:rPr>
          <w:rStyle w:val="FootnoteReference"/>
          <w:sz w:val="16"/>
          <w:szCs w:val="16"/>
        </w:rPr>
        <w:footnoteRef/>
      </w:r>
      <w:r w:rsidRPr="00235EA8">
        <w:rPr>
          <w:sz w:val="16"/>
          <w:szCs w:val="16"/>
        </w:rPr>
        <w:t xml:space="preserve"> Leal H (2019), </w:t>
      </w:r>
      <w:hyperlink r:id="rId6" w:history="1">
        <w:r w:rsidRPr="00235EA8">
          <w:rPr>
            <w:rStyle w:val="Hyperlink"/>
            <w:i/>
            <w:sz w:val="16"/>
            <w:szCs w:val="16"/>
          </w:rPr>
          <w:t>Firm-level insights into skills shortages and wages growth</w:t>
        </w:r>
      </w:hyperlink>
      <w:r w:rsidRPr="00235EA8">
        <w:rPr>
          <w:sz w:val="16"/>
          <w:szCs w:val="16"/>
        </w:rPr>
        <w:t xml:space="preserve">, RBA (Reserve Bank Australia), accessed 4 September 2022; Agarwal N, Bishop J (2023), </w:t>
      </w:r>
      <w:r w:rsidRPr="00235EA8">
        <w:rPr>
          <w:i/>
          <w:sz w:val="16"/>
          <w:szCs w:val="16"/>
        </w:rPr>
        <w:t>Do firms respond to skill shortages with wages increases?</w:t>
      </w:r>
      <w:r w:rsidRPr="00235EA8">
        <w:rPr>
          <w:sz w:val="16"/>
          <w:szCs w:val="16"/>
        </w:rPr>
        <w:t xml:space="preserve"> (Unpublished presentation), RBA (Reserve Bank Australia), accessed </w:t>
      </w:r>
      <w:r w:rsidR="0077611A">
        <w:rPr>
          <w:sz w:val="16"/>
          <w:szCs w:val="16"/>
        </w:rPr>
        <w:t xml:space="preserve">6 </w:t>
      </w:r>
      <w:r w:rsidRPr="00235EA8">
        <w:rPr>
          <w:sz w:val="16"/>
          <w:szCs w:val="16"/>
        </w:rPr>
        <w:t>September 202</w:t>
      </w:r>
      <w:r w:rsidR="0077611A">
        <w:rPr>
          <w:sz w:val="16"/>
          <w:szCs w:val="16"/>
        </w:rPr>
        <w:t>3</w:t>
      </w:r>
      <w:r w:rsidRPr="00235EA8">
        <w:rPr>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576AB269" w14:paraId="5A712252" w14:textId="77777777" w:rsidTr="576AB269">
      <w:trPr>
        <w:trHeight w:val="300"/>
      </w:trPr>
      <w:tc>
        <w:tcPr>
          <w:tcW w:w="3005" w:type="dxa"/>
        </w:tcPr>
        <w:p w14:paraId="4D4D91D2" w14:textId="6A42D6FB" w:rsidR="576AB269" w:rsidRDefault="576AB269" w:rsidP="576AB269">
          <w:pPr>
            <w:pStyle w:val="Header"/>
            <w:ind w:left="-115"/>
          </w:pPr>
        </w:p>
      </w:tc>
      <w:tc>
        <w:tcPr>
          <w:tcW w:w="3005" w:type="dxa"/>
        </w:tcPr>
        <w:p w14:paraId="51609BDA" w14:textId="0A0C651B" w:rsidR="576AB269" w:rsidRDefault="576AB269" w:rsidP="576AB269">
          <w:pPr>
            <w:pStyle w:val="Header"/>
            <w:jc w:val="center"/>
          </w:pPr>
        </w:p>
      </w:tc>
      <w:tc>
        <w:tcPr>
          <w:tcW w:w="3005" w:type="dxa"/>
        </w:tcPr>
        <w:p w14:paraId="1E653625" w14:textId="30193F51" w:rsidR="576AB269" w:rsidRDefault="576AB269" w:rsidP="576AB269">
          <w:pPr>
            <w:pStyle w:val="Header"/>
            <w:ind w:right="-115"/>
            <w:jc w:val="right"/>
          </w:pPr>
        </w:p>
      </w:tc>
    </w:tr>
  </w:tbl>
  <w:p w14:paraId="3730D40E" w14:textId="1FC5D652" w:rsidR="576AB269" w:rsidRDefault="576AB269" w:rsidP="576AB2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576AB269" w14:paraId="06EBD6A4" w14:textId="77777777" w:rsidTr="576AB269">
      <w:trPr>
        <w:trHeight w:val="300"/>
      </w:trPr>
      <w:tc>
        <w:tcPr>
          <w:tcW w:w="3005" w:type="dxa"/>
        </w:tcPr>
        <w:p w14:paraId="6FA94443" w14:textId="074FC6DD" w:rsidR="576AB269" w:rsidRDefault="576AB269" w:rsidP="576AB269">
          <w:pPr>
            <w:pStyle w:val="Header"/>
            <w:ind w:left="-115"/>
          </w:pPr>
        </w:p>
      </w:tc>
      <w:tc>
        <w:tcPr>
          <w:tcW w:w="3005" w:type="dxa"/>
        </w:tcPr>
        <w:p w14:paraId="30F5AC60" w14:textId="2B5DCB08" w:rsidR="576AB269" w:rsidRDefault="576AB269" w:rsidP="576AB269">
          <w:pPr>
            <w:pStyle w:val="Header"/>
            <w:jc w:val="center"/>
          </w:pPr>
        </w:p>
      </w:tc>
      <w:tc>
        <w:tcPr>
          <w:tcW w:w="3005" w:type="dxa"/>
        </w:tcPr>
        <w:p w14:paraId="2EAF1768" w14:textId="027CFF36" w:rsidR="576AB269" w:rsidRDefault="576AB269" w:rsidP="576AB269">
          <w:pPr>
            <w:pStyle w:val="Header"/>
            <w:ind w:right="-115"/>
            <w:jc w:val="right"/>
          </w:pPr>
        </w:p>
      </w:tc>
    </w:tr>
  </w:tbl>
  <w:p w14:paraId="0532DD90" w14:textId="67F12944" w:rsidR="576AB269" w:rsidRDefault="576AB269" w:rsidP="576AB2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5A0ABCA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246EA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4E4592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652D80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C2A156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8"/>
    <w:multiLevelType w:val="singleLevel"/>
    <w:tmpl w:val="3DF2DE40"/>
    <w:lvl w:ilvl="0">
      <w:start w:val="1"/>
      <w:numFmt w:val="decimal"/>
      <w:lvlText w:val="%1."/>
      <w:lvlJc w:val="left"/>
      <w:pPr>
        <w:tabs>
          <w:tab w:val="num" w:pos="360"/>
        </w:tabs>
        <w:ind w:left="360" w:hanging="360"/>
      </w:pPr>
    </w:lvl>
  </w:abstractNum>
  <w:abstractNum w:abstractNumId="6" w15:restartNumberingAfterBreak="0">
    <w:nsid w:val="005E3D9B"/>
    <w:multiLevelType w:val="hybridMultilevel"/>
    <w:tmpl w:val="41E2C7E4"/>
    <w:lvl w:ilvl="0" w:tplc="229E5C60">
      <w:start w:val="1"/>
      <w:numFmt w:val="bullet"/>
      <w:lvlText w:val=""/>
      <w:lvlJc w:val="left"/>
      <w:pPr>
        <w:ind w:left="720" w:hanging="360"/>
      </w:pPr>
      <w:rPr>
        <w:rFonts w:ascii="Symbol" w:hAnsi="Symbol"/>
      </w:rPr>
    </w:lvl>
    <w:lvl w:ilvl="1" w:tplc="4F922DF8">
      <w:start w:val="1"/>
      <w:numFmt w:val="bullet"/>
      <w:lvlText w:val=""/>
      <w:lvlJc w:val="left"/>
      <w:pPr>
        <w:ind w:left="720" w:hanging="360"/>
      </w:pPr>
      <w:rPr>
        <w:rFonts w:ascii="Symbol" w:hAnsi="Symbol"/>
      </w:rPr>
    </w:lvl>
    <w:lvl w:ilvl="2" w:tplc="EE08713A">
      <w:start w:val="1"/>
      <w:numFmt w:val="bullet"/>
      <w:lvlText w:val=""/>
      <w:lvlJc w:val="left"/>
      <w:pPr>
        <w:ind w:left="720" w:hanging="360"/>
      </w:pPr>
      <w:rPr>
        <w:rFonts w:ascii="Symbol" w:hAnsi="Symbol"/>
      </w:rPr>
    </w:lvl>
    <w:lvl w:ilvl="3" w:tplc="574EB3AA">
      <w:start w:val="1"/>
      <w:numFmt w:val="bullet"/>
      <w:lvlText w:val=""/>
      <w:lvlJc w:val="left"/>
      <w:pPr>
        <w:ind w:left="720" w:hanging="360"/>
      </w:pPr>
      <w:rPr>
        <w:rFonts w:ascii="Symbol" w:hAnsi="Symbol"/>
      </w:rPr>
    </w:lvl>
    <w:lvl w:ilvl="4" w:tplc="F6666DBA">
      <w:start w:val="1"/>
      <w:numFmt w:val="bullet"/>
      <w:lvlText w:val=""/>
      <w:lvlJc w:val="left"/>
      <w:pPr>
        <w:ind w:left="720" w:hanging="360"/>
      </w:pPr>
      <w:rPr>
        <w:rFonts w:ascii="Symbol" w:hAnsi="Symbol"/>
      </w:rPr>
    </w:lvl>
    <w:lvl w:ilvl="5" w:tplc="025A718E">
      <w:start w:val="1"/>
      <w:numFmt w:val="bullet"/>
      <w:lvlText w:val=""/>
      <w:lvlJc w:val="left"/>
      <w:pPr>
        <w:ind w:left="720" w:hanging="360"/>
      </w:pPr>
      <w:rPr>
        <w:rFonts w:ascii="Symbol" w:hAnsi="Symbol"/>
      </w:rPr>
    </w:lvl>
    <w:lvl w:ilvl="6" w:tplc="F3C6AEB8">
      <w:start w:val="1"/>
      <w:numFmt w:val="bullet"/>
      <w:lvlText w:val=""/>
      <w:lvlJc w:val="left"/>
      <w:pPr>
        <w:ind w:left="720" w:hanging="360"/>
      </w:pPr>
      <w:rPr>
        <w:rFonts w:ascii="Symbol" w:hAnsi="Symbol"/>
      </w:rPr>
    </w:lvl>
    <w:lvl w:ilvl="7" w:tplc="4E849498">
      <w:start w:val="1"/>
      <w:numFmt w:val="bullet"/>
      <w:lvlText w:val=""/>
      <w:lvlJc w:val="left"/>
      <w:pPr>
        <w:ind w:left="720" w:hanging="360"/>
      </w:pPr>
      <w:rPr>
        <w:rFonts w:ascii="Symbol" w:hAnsi="Symbol"/>
      </w:rPr>
    </w:lvl>
    <w:lvl w:ilvl="8" w:tplc="F314E962">
      <w:start w:val="1"/>
      <w:numFmt w:val="bullet"/>
      <w:lvlText w:val=""/>
      <w:lvlJc w:val="left"/>
      <w:pPr>
        <w:ind w:left="720" w:hanging="360"/>
      </w:pPr>
      <w:rPr>
        <w:rFonts w:ascii="Symbol" w:hAnsi="Symbol"/>
      </w:rPr>
    </w:lvl>
  </w:abstractNum>
  <w:abstractNum w:abstractNumId="7" w15:restartNumberingAfterBreak="0">
    <w:nsid w:val="03504C10"/>
    <w:multiLevelType w:val="hybridMultilevel"/>
    <w:tmpl w:val="7D3616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97C163D"/>
    <w:multiLevelType w:val="hybridMultilevel"/>
    <w:tmpl w:val="594C2E34"/>
    <w:lvl w:ilvl="0" w:tplc="0C090001">
      <w:start w:val="1"/>
      <w:numFmt w:val="bullet"/>
      <w:lvlText w:val=""/>
      <w:lvlJc w:val="left"/>
      <w:pPr>
        <w:ind w:left="720" w:hanging="360"/>
      </w:pPr>
      <w:rPr>
        <w:rFonts w:ascii="Symbol" w:hAnsi="Symbol" w:hint="default"/>
      </w:rPr>
    </w:lvl>
    <w:lvl w:ilvl="1" w:tplc="70D2A66E">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C9674A"/>
    <w:multiLevelType w:val="hybridMultilevel"/>
    <w:tmpl w:val="BE14A2F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0" w15:restartNumberingAfterBreak="0">
    <w:nsid w:val="1BA96197"/>
    <w:multiLevelType w:val="hybridMultilevel"/>
    <w:tmpl w:val="309672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D585F53"/>
    <w:multiLevelType w:val="multilevel"/>
    <w:tmpl w:val="A3E88540"/>
    <w:name w:val="ListBullets"/>
    <w:lvl w:ilvl="0">
      <w:start w:val="1"/>
      <w:numFmt w:val="bullet"/>
      <w:lvlText w:val="•"/>
      <w:lvlJc w:val="left"/>
      <w:pPr>
        <w:ind w:left="340" w:hanging="340"/>
      </w:pPr>
      <w:rPr>
        <w:rFonts w:ascii="Calibri" w:hAnsi="Calibri" w:hint="default"/>
        <w:color w:val="auto"/>
      </w:rPr>
    </w:lvl>
    <w:lvl w:ilvl="1">
      <w:start w:val="1"/>
      <w:numFmt w:val="bullet"/>
      <w:lvlText w:val="–"/>
      <w:lvlJc w:val="left"/>
      <w:pPr>
        <w:ind w:left="680" w:hanging="340"/>
      </w:pPr>
      <w:rPr>
        <w:rFonts w:ascii="Arial" w:hAnsi="Arial" w:hint="default"/>
        <w:color w:val="auto"/>
      </w:rPr>
    </w:lvl>
    <w:lvl w:ilvl="2">
      <w:start w:val="1"/>
      <w:numFmt w:val="bullet"/>
      <w:lvlText w:val="○"/>
      <w:lvlJc w:val="left"/>
      <w:pPr>
        <w:ind w:left="1020" w:hanging="340"/>
      </w:pPr>
      <w:rPr>
        <w:rFonts w:ascii="Times New Roman" w:hAnsi="Times New Roman" w:cs="Times New Roman" w:hint="default"/>
        <w:color w:val="auto"/>
      </w:rPr>
    </w:lvl>
    <w:lvl w:ilvl="3">
      <w:start w:val="1"/>
      <w:numFmt w:val="bullet"/>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12" w15:restartNumberingAfterBreak="0">
    <w:nsid w:val="27D85117"/>
    <w:multiLevelType w:val="hybridMultilevel"/>
    <w:tmpl w:val="3D4AC2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2551E19"/>
    <w:multiLevelType w:val="hybridMultilevel"/>
    <w:tmpl w:val="B4F48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4667452"/>
    <w:multiLevelType w:val="multilevel"/>
    <w:tmpl w:val="873ED2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15:restartNumberingAfterBreak="0">
    <w:nsid w:val="376F56A1"/>
    <w:multiLevelType w:val="multilevel"/>
    <w:tmpl w:val="285CDA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4D742108"/>
    <w:multiLevelType w:val="hybridMultilevel"/>
    <w:tmpl w:val="0C96245A"/>
    <w:lvl w:ilvl="0" w:tplc="F010303C">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48007AF"/>
    <w:multiLevelType w:val="hybridMultilevel"/>
    <w:tmpl w:val="EB70EC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56071980"/>
    <w:multiLevelType w:val="hybridMultilevel"/>
    <w:tmpl w:val="107018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E852B6A"/>
    <w:multiLevelType w:val="hybridMultilevel"/>
    <w:tmpl w:val="C5CA8F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FEB691B"/>
    <w:multiLevelType w:val="multilevel"/>
    <w:tmpl w:val="2362D8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1A80D02"/>
    <w:multiLevelType w:val="hybridMultilevel"/>
    <w:tmpl w:val="158ABB4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B2B0659"/>
    <w:multiLevelType w:val="multilevel"/>
    <w:tmpl w:val="5CDE43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337269666">
    <w:abstractNumId w:val="22"/>
  </w:num>
  <w:num w:numId="2" w16cid:durableId="1668050683">
    <w:abstractNumId w:val="15"/>
  </w:num>
  <w:num w:numId="3" w16cid:durableId="1683042470">
    <w:abstractNumId w:val="8"/>
  </w:num>
  <w:num w:numId="4" w16cid:durableId="133523604">
    <w:abstractNumId w:val="20"/>
  </w:num>
  <w:num w:numId="5" w16cid:durableId="1994024302">
    <w:abstractNumId w:val="21"/>
  </w:num>
  <w:num w:numId="6" w16cid:durableId="1358852113">
    <w:abstractNumId w:val="14"/>
  </w:num>
  <w:num w:numId="7" w16cid:durableId="2047246184">
    <w:abstractNumId w:val="11"/>
  </w:num>
  <w:num w:numId="8" w16cid:durableId="1985233239">
    <w:abstractNumId w:val="4"/>
  </w:num>
  <w:num w:numId="9" w16cid:durableId="2105372984">
    <w:abstractNumId w:val="5"/>
  </w:num>
  <w:num w:numId="10" w16cid:durableId="935869809">
    <w:abstractNumId w:val="3"/>
  </w:num>
  <w:num w:numId="11" w16cid:durableId="1109662273">
    <w:abstractNumId w:val="2"/>
  </w:num>
  <w:num w:numId="12" w16cid:durableId="2049716342">
    <w:abstractNumId w:val="1"/>
  </w:num>
  <w:num w:numId="13" w16cid:durableId="1578317811">
    <w:abstractNumId w:val="0"/>
  </w:num>
  <w:num w:numId="14" w16cid:durableId="1127550344">
    <w:abstractNumId w:val="12"/>
  </w:num>
  <w:num w:numId="15" w16cid:durableId="406730085">
    <w:abstractNumId w:val="10"/>
  </w:num>
  <w:num w:numId="16" w16cid:durableId="1181316132">
    <w:abstractNumId w:val="16"/>
  </w:num>
  <w:num w:numId="17" w16cid:durableId="172064381">
    <w:abstractNumId w:val="6"/>
  </w:num>
  <w:num w:numId="18" w16cid:durableId="1880315292">
    <w:abstractNumId w:val="9"/>
  </w:num>
  <w:num w:numId="19" w16cid:durableId="1269853684">
    <w:abstractNumId w:val="7"/>
  </w:num>
  <w:num w:numId="20" w16cid:durableId="170419392">
    <w:abstractNumId w:val="18"/>
  </w:num>
  <w:num w:numId="21" w16cid:durableId="1585069813">
    <w:abstractNumId w:val="19"/>
  </w:num>
  <w:num w:numId="22" w16cid:durableId="831219416">
    <w:abstractNumId w:val="13"/>
  </w:num>
  <w:num w:numId="23" w16cid:durableId="16266983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F3A"/>
    <w:rsid w:val="0000157C"/>
    <w:rsid w:val="0000167F"/>
    <w:rsid w:val="00001CB8"/>
    <w:rsid w:val="00001CF2"/>
    <w:rsid w:val="00002344"/>
    <w:rsid w:val="0000238B"/>
    <w:rsid w:val="00002594"/>
    <w:rsid w:val="000027CF"/>
    <w:rsid w:val="00002BD0"/>
    <w:rsid w:val="00002CCA"/>
    <w:rsid w:val="00003409"/>
    <w:rsid w:val="0000394C"/>
    <w:rsid w:val="0000398C"/>
    <w:rsid w:val="000039CE"/>
    <w:rsid w:val="00003A1B"/>
    <w:rsid w:val="00003A33"/>
    <w:rsid w:val="00003B68"/>
    <w:rsid w:val="00003DE3"/>
    <w:rsid w:val="00003E8E"/>
    <w:rsid w:val="000040BC"/>
    <w:rsid w:val="000042C0"/>
    <w:rsid w:val="000043C8"/>
    <w:rsid w:val="000045C3"/>
    <w:rsid w:val="000049F1"/>
    <w:rsid w:val="00004C1A"/>
    <w:rsid w:val="00004EBC"/>
    <w:rsid w:val="00005110"/>
    <w:rsid w:val="000058B0"/>
    <w:rsid w:val="000059B5"/>
    <w:rsid w:val="00006CB3"/>
    <w:rsid w:val="00006F95"/>
    <w:rsid w:val="00007A7B"/>
    <w:rsid w:val="00007E9A"/>
    <w:rsid w:val="0001046C"/>
    <w:rsid w:val="0001057D"/>
    <w:rsid w:val="0001077C"/>
    <w:rsid w:val="0001089A"/>
    <w:rsid w:val="000108E5"/>
    <w:rsid w:val="00010EE8"/>
    <w:rsid w:val="00011066"/>
    <w:rsid w:val="000110CD"/>
    <w:rsid w:val="00011112"/>
    <w:rsid w:val="00011157"/>
    <w:rsid w:val="00011345"/>
    <w:rsid w:val="000119DF"/>
    <w:rsid w:val="00011A72"/>
    <w:rsid w:val="00011FB7"/>
    <w:rsid w:val="00012491"/>
    <w:rsid w:val="00012914"/>
    <w:rsid w:val="00013067"/>
    <w:rsid w:val="000131AE"/>
    <w:rsid w:val="000132F4"/>
    <w:rsid w:val="00013A66"/>
    <w:rsid w:val="00013B4F"/>
    <w:rsid w:val="00013C17"/>
    <w:rsid w:val="00013F37"/>
    <w:rsid w:val="0001441D"/>
    <w:rsid w:val="00014471"/>
    <w:rsid w:val="000147AE"/>
    <w:rsid w:val="00014867"/>
    <w:rsid w:val="0001487D"/>
    <w:rsid w:val="00014BC2"/>
    <w:rsid w:val="00014F9D"/>
    <w:rsid w:val="00015351"/>
    <w:rsid w:val="0001562E"/>
    <w:rsid w:val="00015A51"/>
    <w:rsid w:val="00015D5D"/>
    <w:rsid w:val="000162FC"/>
    <w:rsid w:val="00016B3C"/>
    <w:rsid w:val="00016F3B"/>
    <w:rsid w:val="00017318"/>
    <w:rsid w:val="00017530"/>
    <w:rsid w:val="00017FF1"/>
    <w:rsid w:val="00020265"/>
    <w:rsid w:val="0002052B"/>
    <w:rsid w:val="00020BBB"/>
    <w:rsid w:val="000212DE"/>
    <w:rsid w:val="00021647"/>
    <w:rsid w:val="000217C8"/>
    <w:rsid w:val="00021C4D"/>
    <w:rsid w:val="00021EB4"/>
    <w:rsid w:val="0002232B"/>
    <w:rsid w:val="00022390"/>
    <w:rsid w:val="000224F1"/>
    <w:rsid w:val="00022552"/>
    <w:rsid w:val="00022591"/>
    <w:rsid w:val="0002288C"/>
    <w:rsid w:val="00022BAA"/>
    <w:rsid w:val="00022DCF"/>
    <w:rsid w:val="00023171"/>
    <w:rsid w:val="00023469"/>
    <w:rsid w:val="0002353C"/>
    <w:rsid w:val="00023B63"/>
    <w:rsid w:val="00023BBE"/>
    <w:rsid w:val="00023C0B"/>
    <w:rsid w:val="00023E62"/>
    <w:rsid w:val="00023F42"/>
    <w:rsid w:val="00024165"/>
    <w:rsid w:val="00024619"/>
    <w:rsid w:val="000249FE"/>
    <w:rsid w:val="00024B3C"/>
    <w:rsid w:val="00024D90"/>
    <w:rsid w:val="0002516A"/>
    <w:rsid w:val="000257A8"/>
    <w:rsid w:val="00025BD0"/>
    <w:rsid w:val="00025E00"/>
    <w:rsid w:val="00025F13"/>
    <w:rsid w:val="000261A3"/>
    <w:rsid w:val="00027214"/>
    <w:rsid w:val="000274B1"/>
    <w:rsid w:val="00027625"/>
    <w:rsid w:val="000278EE"/>
    <w:rsid w:val="000279AA"/>
    <w:rsid w:val="00027B89"/>
    <w:rsid w:val="00027BC7"/>
    <w:rsid w:val="00027D33"/>
    <w:rsid w:val="00027FC5"/>
    <w:rsid w:val="00030784"/>
    <w:rsid w:val="00031920"/>
    <w:rsid w:val="000319D0"/>
    <w:rsid w:val="00031D89"/>
    <w:rsid w:val="0003255A"/>
    <w:rsid w:val="00032C8E"/>
    <w:rsid w:val="0003316F"/>
    <w:rsid w:val="00033632"/>
    <w:rsid w:val="00033D59"/>
    <w:rsid w:val="000342F0"/>
    <w:rsid w:val="00034AE0"/>
    <w:rsid w:val="0003541B"/>
    <w:rsid w:val="00035530"/>
    <w:rsid w:val="00035661"/>
    <w:rsid w:val="000361D6"/>
    <w:rsid w:val="000364D7"/>
    <w:rsid w:val="000365E6"/>
    <w:rsid w:val="00036B4B"/>
    <w:rsid w:val="000376D1"/>
    <w:rsid w:val="00037EB9"/>
    <w:rsid w:val="0004022C"/>
    <w:rsid w:val="000404CE"/>
    <w:rsid w:val="000406C4"/>
    <w:rsid w:val="000409ED"/>
    <w:rsid w:val="00040F19"/>
    <w:rsid w:val="0004100D"/>
    <w:rsid w:val="00041070"/>
    <w:rsid w:val="00041073"/>
    <w:rsid w:val="000414C6"/>
    <w:rsid w:val="00041571"/>
    <w:rsid w:val="00041776"/>
    <w:rsid w:val="00041B87"/>
    <w:rsid w:val="000424BF"/>
    <w:rsid w:val="00042611"/>
    <w:rsid w:val="000429E1"/>
    <w:rsid w:val="000429EF"/>
    <w:rsid w:val="00042A35"/>
    <w:rsid w:val="000431EB"/>
    <w:rsid w:val="0004347F"/>
    <w:rsid w:val="000439C6"/>
    <w:rsid w:val="00043C37"/>
    <w:rsid w:val="00043D02"/>
    <w:rsid w:val="000449DC"/>
    <w:rsid w:val="00044C43"/>
    <w:rsid w:val="00044F01"/>
    <w:rsid w:val="000455A4"/>
    <w:rsid w:val="000459E0"/>
    <w:rsid w:val="00045D6B"/>
    <w:rsid w:val="00046501"/>
    <w:rsid w:val="0004673D"/>
    <w:rsid w:val="00046BEA"/>
    <w:rsid w:val="00046C5A"/>
    <w:rsid w:val="00047124"/>
    <w:rsid w:val="00047477"/>
    <w:rsid w:val="00047915"/>
    <w:rsid w:val="00047B19"/>
    <w:rsid w:val="00047F36"/>
    <w:rsid w:val="00050450"/>
    <w:rsid w:val="00050A9A"/>
    <w:rsid w:val="00050BA9"/>
    <w:rsid w:val="00050E14"/>
    <w:rsid w:val="000514DF"/>
    <w:rsid w:val="000518AC"/>
    <w:rsid w:val="00051931"/>
    <w:rsid w:val="000519D9"/>
    <w:rsid w:val="00051A0E"/>
    <w:rsid w:val="00051CBE"/>
    <w:rsid w:val="00051E7B"/>
    <w:rsid w:val="00051E9F"/>
    <w:rsid w:val="00051F04"/>
    <w:rsid w:val="00051F0E"/>
    <w:rsid w:val="000521B3"/>
    <w:rsid w:val="0005268A"/>
    <w:rsid w:val="000528EF"/>
    <w:rsid w:val="000528FD"/>
    <w:rsid w:val="00052CE7"/>
    <w:rsid w:val="000535D8"/>
    <w:rsid w:val="00053A16"/>
    <w:rsid w:val="00053D52"/>
    <w:rsid w:val="00054045"/>
    <w:rsid w:val="00054BAC"/>
    <w:rsid w:val="00054CC2"/>
    <w:rsid w:val="00054F90"/>
    <w:rsid w:val="00055085"/>
    <w:rsid w:val="000550B3"/>
    <w:rsid w:val="00055184"/>
    <w:rsid w:val="0005518A"/>
    <w:rsid w:val="0005548E"/>
    <w:rsid w:val="0005550A"/>
    <w:rsid w:val="000556DF"/>
    <w:rsid w:val="00055794"/>
    <w:rsid w:val="0005581F"/>
    <w:rsid w:val="000559B2"/>
    <w:rsid w:val="00055E36"/>
    <w:rsid w:val="00055FC6"/>
    <w:rsid w:val="000560B0"/>
    <w:rsid w:val="000568D7"/>
    <w:rsid w:val="000571DB"/>
    <w:rsid w:val="000572BD"/>
    <w:rsid w:val="000574B2"/>
    <w:rsid w:val="00057CC8"/>
    <w:rsid w:val="0006002B"/>
    <w:rsid w:val="0006059D"/>
    <w:rsid w:val="000605A0"/>
    <w:rsid w:val="00060955"/>
    <w:rsid w:val="00060EC5"/>
    <w:rsid w:val="00060F2E"/>
    <w:rsid w:val="000610F4"/>
    <w:rsid w:val="000614D0"/>
    <w:rsid w:val="00061579"/>
    <w:rsid w:val="000617DE"/>
    <w:rsid w:val="00061A9F"/>
    <w:rsid w:val="00061F06"/>
    <w:rsid w:val="000621D2"/>
    <w:rsid w:val="00062E65"/>
    <w:rsid w:val="00062E93"/>
    <w:rsid w:val="0006321F"/>
    <w:rsid w:val="00063387"/>
    <w:rsid w:val="0006365A"/>
    <w:rsid w:val="000637D0"/>
    <w:rsid w:val="00063921"/>
    <w:rsid w:val="00064F73"/>
    <w:rsid w:val="00065380"/>
    <w:rsid w:val="000656A8"/>
    <w:rsid w:val="00065BA8"/>
    <w:rsid w:val="00065F61"/>
    <w:rsid w:val="000662F6"/>
    <w:rsid w:val="000667F3"/>
    <w:rsid w:val="0006684B"/>
    <w:rsid w:val="00066B5F"/>
    <w:rsid w:val="00066C56"/>
    <w:rsid w:val="00067192"/>
    <w:rsid w:val="00067E61"/>
    <w:rsid w:val="00067EFE"/>
    <w:rsid w:val="0007022E"/>
    <w:rsid w:val="00070382"/>
    <w:rsid w:val="000703C1"/>
    <w:rsid w:val="00070A5A"/>
    <w:rsid w:val="00070AA2"/>
    <w:rsid w:val="00070E18"/>
    <w:rsid w:val="00070EF4"/>
    <w:rsid w:val="0007145D"/>
    <w:rsid w:val="000714E5"/>
    <w:rsid w:val="000714EA"/>
    <w:rsid w:val="000719CB"/>
    <w:rsid w:val="00071C0B"/>
    <w:rsid w:val="000724F8"/>
    <w:rsid w:val="00072529"/>
    <w:rsid w:val="00072640"/>
    <w:rsid w:val="0007283E"/>
    <w:rsid w:val="00072989"/>
    <w:rsid w:val="00073186"/>
    <w:rsid w:val="0007391E"/>
    <w:rsid w:val="000739CD"/>
    <w:rsid w:val="00073C45"/>
    <w:rsid w:val="00073C96"/>
    <w:rsid w:val="00074339"/>
    <w:rsid w:val="000747F9"/>
    <w:rsid w:val="00074D75"/>
    <w:rsid w:val="0007535E"/>
    <w:rsid w:val="00075523"/>
    <w:rsid w:val="00075CC8"/>
    <w:rsid w:val="00075E7E"/>
    <w:rsid w:val="000760BE"/>
    <w:rsid w:val="00076874"/>
    <w:rsid w:val="00076A7F"/>
    <w:rsid w:val="00076D7D"/>
    <w:rsid w:val="00076F29"/>
    <w:rsid w:val="00080482"/>
    <w:rsid w:val="0008049F"/>
    <w:rsid w:val="0008051B"/>
    <w:rsid w:val="00080D6C"/>
    <w:rsid w:val="00080EEA"/>
    <w:rsid w:val="00080FB2"/>
    <w:rsid w:val="00081D12"/>
    <w:rsid w:val="00081E93"/>
    <w:rsid w:val="00081F92"/>
    <w:rsid w:val="00082002"/>
    <w:rsid w:val="000828D1"/>
    <w:rsid w:val="00082EE4"/>
    <w:rsid w:val="000835F4"/>
    <w:rsid w:val="00083698"/>
    <w:rsid w:val="000838B8"/>
    <w:rsid w:val="000839E4"/>
    <w:rsid w:val="00083F14"/>
    <w:rsid w:val="000843B7"/>
    <w:rsid w:val="00084492"/>
    <w:rsid w:val="00084523"/>
    <w:rsid w:val="0008459C"/>
    <w:rsid w:val="000847B2"/>
    <w:rsid w:val="00085ADF"/>
    <w:rsid w:val="00085BFF"/>
    <w:rsid w:val="00085CEA"/>
    <w:rsid w:val="00085D41"/>
    <w:rsid w:val="00085DDB"/>
    <w:rsid w:val="000866A1"/>
    <w:rsid w:val="00086822"/>
    <w:rsid w:val="00087C0F"/>
    <w:rsid w:val="00087C2D"/>
    <w:rsid w:val="00087F86"/>
    <w:rsid w:val="0009058B"/>
    <w:rsid w:val="0009097B"/>
    <w:rsid w:val="00090BF8"/>
    <w:rsid w:val="00091D52"/>
    <w:rsid w:val="000923D8"/>
    <w:rsid w:val="0009268F"/>
    <w:rsid w:val="00092C8C"/>
    <w:rsid w:val="0009329E"/>
    <w:rsid w:val="00093309"/>
    <w:rsid w:val="000936F8"/>
    <w:rsid w:val="00093A4B"/>
    <w:rsid w:val="00093B1C"/>
    <w:rsid w:val="00093F46"/>
    <w:rsid w:val="00094178"/>
    <w:rsid w:val="000945AE"/>
    <w:rsid w:val="0009481B"/>
    <w:rsid w:val="00094FC5"/>
    <w:rsid w:val="0009508D"/>
    <w:rsid w:val="00095363"/>
    <w:rsid w:val="000957DC"/>
    <w:rsid w:val="00095CD7"/>
    <w:rsid w:val="00095E11"/>
    <w:rsid w:val="00095F13"/>
    <w:rsid w:val="00095FCD"/>
    <w:rsid w:val="00096245"/>
    <w:rsid w:val="000965B3"/>
    <w:rsid w:val="00096C8A"/>
    <w:rsid w:val="000970C1"/>
    <w:rsid w:val="0009759F"/>
    <w:rsid w:val="00097D36"/>
    <w:rsid w:val="000A0080"/>
    <w:rsid w:val="000A017D"/>
    <w:rsid w:val="000A06C5"/>
    <w:rsid w:val="000A09BA"/>
    <w:rsid w:val="000A0D57"/>
    <w:rsid w:val="000A1430"/>
    <w:rsid w:val="000A145A"/>
    <w:rsid w:val="000A1C20"/>
    <w:rsid w:val="000A2257"/>
    <w:rsid w:val="000A26C4"/>
    <w:rsid w:val="000A26ED"/>
    <w:rsid w:val="000A2EFD"/>
    <w:rsid w:val="000A3A37"/>
    <w:rsid w:val="000A3C31"/>
    <w:rsid w:val="000A3D27"/>
    <w:rsid w:val="000A3EBD"/>
    <w:rsid w:val="000A49D6"/>
    <w:rsid w:val="000A4B90"/>
    <w:rsid w:val="000A4E41"/>
    <w:rsid w:val="000A4FCA"/>
    <w:rsid w:val="000A5263"/>
    <w:rsid w:val="000A57BD"/>
    <w:rsid w:val="000A5D6F"/>
    <w:rsid w:val="000A6167"/>
    <w:rsid w:val="000A62BF"/>
    <w:rsid w:val="000A6415"/>
    <w:rsid w:val="000A65B6"/>
    <w:rsid w:val="000A676A"/>
    <w:rsid w:val="000A71A5"/>
    <w:rsid w:val="000A747D"/>
    <w:rsid w:val="000A7F1E"/>
    <w:rsid w:val="000B0F51"/>
    <w:rsid w:val="000B11F5"/>
    <w:rsid w:val="000B12E1"/>
    <w:rsid w:val="000B1528"/>
    <w:rsid w:val="000B1710"/>
    <w:rsid w:val="000B18E6"/>
    <w:rsid w:val="000B1E12"/>
    <w:rsid w:val="000B1E57"/>
    <w:rsid w:val="000B1E8F"/>
    <w:rsid w:val="000B1F4A"/>
    <w:rsid w:val="000B245C"/>
    <w:rsid w:val="000B2C04"/>
    <w:rsid w:val="000B2CDC"/>
    <w:rsid w:val="000B35CB"/>
    <w:rsid w:val="000B38A5"/>
    <w:rsid w:val="000B3F76"/>
    <w:rsid w:val="000B40B5"/>
    <w:rsid w:val="000B4284"/>
    <w:rsid w:val="000B436A"/>
    <w:rsid w:val="000B453F"/>
    <w:rsid w:val="000B4FD8"/>
    <w:rsid w:val="000B531B"/>
    <w:rsid w:val="000B54A7"/>
    <w:rsid w:val="000B57D6"/>
    <w:rsid w:val="000B587C"/>
    <w:rsid w:val="000B5E8F"/>
    <w:rsid w:val="000B6250"/>
    <w:rsid w:val="000B6324"/>
    <w:rsid w:val="000B6419"/>
    <w:rsid w:val="000B6831"/>
    <w:rsid w:val="000B6AB0"/>
    <w:rsid w:val="000B6BBE"/>
    <w:rsid w:val="000B717C"/>
    <w:rsid w:val="000B717F"/>
    <w:rsid w:val="000B720D"/>
    <w:rsid w:val="000B76A8"/>
    <w:rsid w:val="000B76FA"/>
    <w:rsid w:val="000B774B"/>
    <w:rsid w:val="000B7950"/>
    <w:rsid w:val="000B79A8"/>
    <w:rsid w:val="000B7AD1"/>
    <w:rsid w:val="000B7DD3"/>
    <w:rsid w:val="000C003E"/>
    <w:rsid w:val="000C063B"/>
    <w:rsid w:val="000C083D"/>
    <w:rsid w:val="000C0B0C"/>
    <w:rsid w:val="000C0BA2"/>
    <w:rsid w:val="000C0C39"/>
    <w:rsid w:val="000C118F"/>
    <w:rsid w:val="000C11CA"/>
    <w:rsid w:val="000C127C"/>
    <w:rsid w:val="000C149D"/>
    <w:rsid w:val="000C19A6"/>
    <w:rsid w:val="000C1BAB"/>
    <w:rsid w:val="000C2738"/>
    <w:rsid w:val="000C2C29"/>
    <w:rsid w:val="000C31FC"/>
    <w:rsid w:val="000C3353"/>
    <w:rsid w:val="000C3444"/>
    <w:rsid w:val="000C3AF4"/>
    <w:rsid w:val="000C3BA6"/>
    <w:rsid w:val="000C3C7B"/>
    <w:rsid w:val="000C3E8C"/>
    <w:rsid w:val="000C3EF2"/>
    <w:rsid w:val="000C3F1A"/>
    <w:rsid w:val="000C3FFB"/>
    <w:rsid w:val="000C41B4"/>
    <w:rsid w:val="000C452C"/>
    <w:rsid w:val="000C4733"/>
    <w:rsid w:val="000C47BD"/>
    <w:rsid w:val="000C48C1"/>
    <w:rsid w:val="000C4D66"/>
    <w:rsid w:val="000C510C"/>
    <w:rsid w:val="000C54BF"/>
    <w:rsid w:val="000C585C"/>
    <w:rsid w:val="000C5C83"/>
    <w:rsid w:val="000C5DE6"/>
    <w:rsid w:val="000C5F86"/>
    <w:rsid w:val="000C6276"/>
    <w:rsid w:val="000C6347"/>
    <w:rsid w:val="000C63F6"/>
    <w:rsid w:val="000C6BDF"/>
    <w:rsid w:val="000C6F96"/>
    <w:rsid w:val="000C72A5"/>
    <w:rsid w:val="000C74A6"/>
    <w:rsid w:val="000C76C7"/>
    <w:rsid w:val="000C7C9B"/>
    <w:rsid w:val="000D02DA"/>
    <w:rsid w:val="000D0819"/>
    <w:rsid w:val="000D08D0"/>
    <w:rsid w:val="000D0D50"/>
    <w:rsid w:val="000D0FC7"/>
    <w:rsid w:val="000D1072"/>
    <w:rsid w:val="000D1278"/>
    <w:rsid w:val="000D1806"/>
    <w:rsid w:val="000D1D47"/>
    <w:rsid w:val="000D1F48"/>
    <w:rsid w:val="000D28B7"/>
    <w:rsid w:val="000D359A"/>
    <w:rsid w:val="000D3644"/>
    <w:rsid w:val="000D3B77"/>
    <w:rsid w:val="000D3CCF"/>
    <w:rsid w:val="000D3D03"/>
    <w:rsid w:val="000D40FB"/>
    <w:rsid w:val="000D4135"/>
    <w:rsid w:val="000D4926"/>
    <w:rsid w:val="000D4A7C"/>
    <w:rsid w:val="000D4BA7"/>
    <w:rsid w:val="000D4CBA"/>
    <w:rsid w:val="000D4E5C"/>
    <w:rsid w:val="000D50A0"/>
    <w:rsid w:val="000D50AC"/>
    <w:rsid w:val="000D53B4"/>
    <w:rsid w:val="000D58E7"/>
    <w:rsid w:val="000D5AEA"/>
    <w:rsid w:val="000D5E73"/>
    <w:rsid w:val="000D5FCE"/>
    <w:rsid w:val="000D6745"/>
    <w:rsid w:val="000D6B36"/>
    <w:rsid w:val="000D6B3A"/>
    <w:rsid w:val="000D74D5"/>
    <w:rsid w:val="000D76F8"/>
    <w:rsid w:val="000D785D"/>
    <w:rsid w:val="000E08A8"/>
    <w:rsid w:val="000E0A72"/>
    <w:rsid w:val="000E0DA0"/>
    <w:rsid w:val="000E1F17"/>
    <w:rsid w:val="000E2078"/>
    <w:rsid w:val="000E2106"/>
    <w:rsid w:val="000E26F6"/>
    <w:rsid w:val="000E38BA"/>
    <w:rsid w:val="000E3EDE"/>
    <w:rsid w:val="000E480D"/>
    <w:rsid w:val="000E4BCA"/>
    <w:rsid w:val="000E4F52"/>
    <w:rsid w:val="000E5779"/>
    <w:rsid w:val="000E586E"/>
    <w:rsid w:val="000E5E4E"/>
    <w:rsid w:val="000E5FA1"/>
    <w:rsid w:val="000E6293"/>
    <w:rsid w:val="000E64A6"/>
    <w:rsid w:val="000E650F"/>
    <w:rsid w:val="000E68A1"/>
    <w:rsid w:val="000E68D1"/>
    <w:rsid w:val="000E6A15"/>
    <w:rsid w:val="000E6AAA"/>
    <w:rsid w:val="000E6B73"/>
    <w:rsid w:val="000E6C1C"/>
    <w:rsid w:val="000E7042"/>
    <w:rsid w:val="000E7179"/>
    <w:rsid w:val="000E73DF"/>
    <w:rsid w:val="000E775E"/>
    <w:rsid w:val="000E7CED"/>
    <w:rsid w:val="000E7D75"/>
    <w:rsid w:val="000E7EFA"/>
    <w:rsid w:val="000E7FE0"/>
    <w:rsid w:val="000F00BE"/>
    <w:rsid w:val="000F0221"/>
    <w:rsid w:val="000F035D"/>
    <w:rsid w:val="000F07FC"/>
    <w:rsid w:val="000F112A"/>
    <w:rsid w:val="000F1297"/>
    <w:rsid w:val="000F155B"/>
    <w:rsid w:val="000F15B0"/>
    <w:rsid w:val="000F174E"/>
    <w:rsid w:val="000F1A08"/>
    <w:rsid w:val="000F1B11"/>
    <w:rsid w:val="000F1BBE"/>
    <w:rsid w:val="000F22EF"/>
    <w:rsid w:val="000F25A5"/>
    <w:rsid w:val="000F2B6F"/>
    <w:rsid w:val="000F2C94"/>
    <w:rsid w:val="000F3531"/>
    <w:rsid w:val="000F35EF"/>
    <w:rsid w:val="000F3A43"/>
    <w:rsid w:val="000F3A97"/>
    <w:rsid w:val="000F407A"/>
    <w:rsid w:val="000F4277"/>
    <w:rsid w:val="000F46F0"/>
    <w:rsid w:val="000F49CC"/>
    <w:rsid w:val="000F4FD0"/>
    <w:rsid w:val="000F51BD"/>
    <w:rsid w:val="000F559E"/>
    <w:rsid w:val="000F5BBB"/>
    <w:rsid w:val="000F5C5D"/>
    <w:rsid w:val="000F5C8E"/>
    <w:rsid w:val="000F5FCD"/>
    <w:rsid w:val="000F61C8"/>
    <w:rsid w:val="000F627A"/>
    <w:rsid w:val="000F657A"/>
    <w:rsid w:val="000F688A"/>
    <w:rsid w:val="000F6EB6"/>
    <w:rsid w:val="000F6FBE"/>
    <w:rsid w:val="000F7508"/>
    <w:rsid w:val="000F7637"/>
    <w:rsid w:val="000F7755"/>
    <w:rsid w:val="000F77BB"/>
    <w:rsid w:val="000F7DA9"/>
    <w:rsid w:val="000F7DC3"/>
    <w:rsid w:val="000F7E3B"/>
    <w:rsid w:val="000F7FC1"/>
    <w:rsid w:val="00100B95"/>
    <w:rsid w:val="00100BC1"/>
    <w:rsid w:val="00100E9A"/>
    <w:rsid w:val="001019D3"/>
    <w:rsid w:val="00101EE1"/>
    <w:rsid w:val="00101FBF"/>
    <w:rsid w:val="001021C5"/>
    <w:rsid w:val="00102314"/>
    <w:rsid w:val="00102D11"/>
    <w:rsid w:val="00102DFF"/>
    <w:rsid w:val="0010324B"/>
    <w:rsid w:val="001032BC"/>
    <w:rsid w:val="00103420"/>
    <w:rsid w:val="00103480"/>
    <w:rsid w:val="001038E7"/>
    <w:rsid w:val="00103AC8"/>
    <w:rsid w:val="00103C54"/>
    <w:rsid w:val="001048C8"/>
    <w:rsid w:val="00104B79"/>
    <w:rsid w:val="00104BC9"/>
    <w:rsid w:val="001050A9"/>
    <w:rsid w:val="00105102"/>
    <w:rsid w:val="00105297"/>
    <w:rsid w:val="00105714"/>
    <w:rsid w:val="001057C3"/>
    <w:rsid w:val="00105848"/>
    <w:rsid w:val="00105B6A"/>
    <w:rsid w:val="00105D82"/>
    <w:rsid w:val="00106199"/>
    <w:rsid w:val="0010627C"/>
    <w:rsid w:val="0010630D"/>
    <w:rsid w:val="0010645D"/>
    <w:rsid w:val="0010654D"/>
    <w:rsid w:val="00106C3B"/>
    <w:rsid w:val="00106F90"/>
    <w:rsid w:val="00106FA8"/>
    <w:rsid w:val="00107298"/>
    <w:rsid w:val="001074ED"/>
    <w:rsid w:val="0010755E"/>
    <w:rsid w:val="0010757B"/>
    <w:rsid w:val="001076E6"/>
    <w:rsid w:val="00107BF2"/>
    <w:rsid w:val="00107C2B"/>
    <w:rsid w:val="00107C34"/>
    <w:rsid w:val="0011006F"/>
    <w:rsid w:val="00110109"/>
    <w:rsid w:val="001104C9"/>
    <w:rsid w:val="00110A83"/>
    <w:rsid w:val="0011119D"/>
    <w:rsid w:val="00111334"/>
    <w:rsid w:val="00111341"/>
    <w:rsid w:val="001114C6"/>
    <w:rsid w:val="0011190E"/>
    <w:rsid w:val="00111B59"/>
    <w:rsid w:val="00111C41"/>
    <w:rsid w:val="00111F1C"/>
    <w:rsid w:val="00112145"/>
    <w:rsid w:val="00112511"/>
    <w:rsid w:val="0011252B"/>
    <w:rsid w:val="0011269B"/>
    <w:rsid w:val="00113033"/>
    <w:rsid w:val="0011348A"/>
    <w:rsid w:val="001134ED"/>
    <w:rsid w:val="00113831"/>
    <w:rsid w:val="00113961"/>
    <w:rsid w:val="00113AD4"/>
    <w:rsid w:val="00114667"/>
    <w:rsid w:val="00114673"/>
    <w:rsid w:val="001148AD"/>
    <w:rsid w:val="00114CBF"/>
    <w:rsid w:val="00114D23"/>
    <w:rsid w:val="00114ECF"/>
    <w:rsid w:val="00114F4D"/>
    <w:rsid w:val="00115316"/>
    <w:rsid w:val="00115AE9"/>
    <w:rsid w:val="00115E75"/>
    <w:rsid w:val="00115EBF"/>
    <w:rsid w:val="00116413"/>
    <w:rsid w:val="001169C9"/>
    <w:rsid w:val="00116B34"/>
    <w:rsid w:val="00116BFD"/>
    <w:rsid w:val="00116CCC"/>
    <w:rsid w:val="0011730D"/>
    <w:rsid w:val="001174AF"/>
    <w:rsid w:val="0011753A"/>
    <w:rsid w:val="00117B38"/>
    <w:rsid w:val="00117C95"/>
    <w:rsid w:val="00120509"/>
    <w:rsid w:val="0012090E"/>
    <w:rsid w:val="00120A2E"/>
    <w:rsid w:val="001216AE"/>
    <w:rsid w:val="0012222F"/>
    <w:rsid w:val="00122467"/>
    <w:rsid w:val="001225D2"/>
    <w:rsid w:val="001229F1"/>
    <w:rsid w:val="00122C5E"/>
    <w:rsid w:val="00122EF5"/>
    <w:rsid w:val="00123111"/>
    <w:rsid w:val="0012369A"/>
    <w:rsid w:val="001238B0"/>
    <w:rsid w:val="00123A86"/>
    <w:rsid w:val="00123DFA"/>
    <w:rsid w:val="00123FE4"/>
    <w:rsid w:val="00124250"/>
    <w:rsid w:val="00124AB9"/>
    <w:rsid w:val="00124B5E"/>
    <w:rsid w:val="00124D9E"/>
    <w:rsid w:val="001250D7"/>
    <w:rsid w:val="00125C36"/>
    <w:rsid w:val="00126726"/>
    <w:rsid w:val="00126CBE"/>
    <w:rsid w:val="00126EA5"/>
    <w:rsid w:val="00126FE2"/>
    <w:rsid w:val="00127049"/>
    <w:rsid w:val="00127775"/>
    <w:rsid w:val="00127C1C"/>
    <w:rsid w:val="00127F98"/>
    <w:rsid w:val="0013018F"/>
    <w:rsid w:val="00130298"/>
    <w:rsid w:val="001305C6"/>
    <w:rsid w:val="00130632"/>
    <w:rsid w:val="001306D6"/>
    <w:rsid w:val="0013071F"/>
    <w:rsid w:val="001309F0"/>
    <w:rsid w:val="00130BCD"/>
    <w:rsid w:val="00130D05"/>
    <w:rsid w:val="0013127B"/>
    <w:rsid w:val="00131603"/>
    <w:rsid w:val="00131DFF"/>
    <w:rsid w:val="00131E99"/>
    <w:rsid w:val="00132DE7"/>
    <w:rsid w:val="00134144"/>
    <w:rsid w:val="00134843"/>
    <w:rsid w:val="0013489D"/>
    <w:rsid w:val="00135718"/>
    <w:rsid w:val="001357DD"/>
    <w:rsid w:val="00135972"/>
    <w:rsid w:val="00136040"/>
    <w:rsid w:val="00136790"/>
    <w:rsid w:val="001369CA"/>
    <w:rsid w:val="00136C45"/>
    <w:rsid w:val="00136D7C"/>
    <w:rsid w:val="00136E9B"/>
    <w:rsid w:val="00137A34"/>
    <w:rsid w:val="00137B5D"/>
    <w:rsid w:val="00137C5C"/>
    <w:rsid w:val="00137F6F"/>
    <w:rsid w:val="0014007D"/>
    <w:rsid w:val="00140230"/>
    <w:rsid w:val="00140924"/>
    <w:rsid w:val="00140A40"/>
    <w:rsid w:val="00140D94"/>
    <w:rsid w:val="001411CA"/>
    <w:rsid w:val="00141493"/>
    <w:rsid w:val="0014152D"/>
    <w:rsid w:val="00141538"/>
    <w:rsid w:val="001422B6"/>
    <w:rsid w:val="00142389"/>
    <w:rsid w:val="00142705"/>
    <w:rsid w:val="001428CA"/>
    <w:rsid w:val="00143208"/>
    <w:rsid w:val="0014321D"/>
    <w:rsid w:val="001433D4"/>
    <w:rsid w:val="00143D9E"/>
    <w:rsid w:val="00143DC5"/>
    <w:rsid w:val="00144AD6"/>
    <w:rsid w:val="00144F6E"/>
    <w:rsid w:val="00144FF1"/>
    <w:rsid w:val="00145F1F"/>
    <w:rsid w:val="0014634D"/>
    <w:rsid w:val="00146EFE"/>
    <w:rsid w:val="001473CC"/>
    <w:rsid w:val="00147A50"/>
    <w:rsid w:val="00150128"/>
    <w:rsid w:val="0015031C"/>
    <w:rsid w:val="00150A73"/>
    <w:rsid w:val="00150B66"/>
    <w:rsid w:val="00150EEF"/>
    <w:rsid w:val="00150F5C"/>
    <w:rsid w:val="00151263"/>
    <w:rsid w:val="001512E9"/>
    <w:rsid w:val="0015145D"/>
    <w:rsid w:val="001516BF"/>
    <w:rsid w:val="00151779"/>
    <w:rsid w:val="00151A63"/>
    <w:rsid w:val="00151DE5"/>
    <w:rsid w:val="00152B4A"/>
    <w:rsid w:val="00152CED"/>
    <w:rsid w:val="00152F3E"/>
    <w:rsid w:val="00152F90"/>
    <w:rsid w:val="00153026"/>
    <w:rsid w:val="0015314C"/>
    <w:rsid w:val="001531CC"/>
    <w:rsid w:val="00153464"/>
    <w:rsid w:val="001534EA"/>
    <w:rsid w:val="0015362F"/>
    <w:rsid w:val="00154289"/>
    <w:rsid w:val="001543BA"/>
    <w:rsid w:val="0015491F"/>
    <w:rsid w:val="0015495D"/>
    <w:rsid w:val="00154A4F"/>
    <w:rsid w:val="00154C2F"/>
    <w:rsid w:val="00154D48"/>
    <w:rsid w:val="00155505"/>
    <w:rsid w:val="001558BF"/>
    <w:rsid w:val="00155945"/>
    <w:rsid w:val="001561F4"/>
    <w:rsid w:val="00156B6A"/>
    <w:rsid w:val="00156BD1"/>
    <w:rsid w:val="00157684"/>
    <w:rsid w:val="00157768"/>
    <w:rsid w:val="001578F7"/>
    <w:rsid w:val="0015794E"/>
    <w:rsid w:val="00157A6B"/>
    <w:rsid w:val="00157B5B"/>
    <w:rsid w:val="00157BCA"/>
    <w:rsid w:val="00157F1D"/>
    <w:rsid w:val="00160078"/>
    <w:rsid w:val="00160085"/>
    <w:rsid w:val="001603E1"/>
    <w:rsid w:val="00160434"/>
    <w:rsid w:val="001605F4"/>
    <w:rsid w:val="001609CF"/>
    <w:rsid w:val="001610A7"/>
    <w:rsid w:val="0016165F"/>
    <w:rsid w:val="00161DDD"/>
    <w:rsid w:val="00161F41"/>
    <w:rsid w:val="00162836"/>
    <w:rsid w:val="00162967"/>
    <w:rsid w:val="00162AB2"/>
    <w:rsid w:val="0016308D"/>
    <w:rsid w:val="001634E5"/>
    <w:rsid w:val="0016396F"/>
    <w:rsid w:val="00163B7C"/>
    <w:rsid w:val="00163BAA"/>
    <w:rsid w:val="00163F14"/>
    <w:rsid w:val="0016402F"/>
    <w:rsid w:val="0016406C"/>
    <w:rsid w:val="00164247"/>
    <w:rsid w:val="001644A4"/>
    <w:rsid w:val="00164614"/>
    <w:rsid w:val="00164746"/>
    <w:rsid w:val="0016483D"/>
    <w:rsid w:val="001649B2"/>
    <w:rsid w:val="00165028"/>
    <w:rsid w:val="0016518D"/>
    <w:rsid w:val="00165695"/>
    <w:rsid w:val="00165CDB"/>
    <w:rsid w:val="00165D20"/>
    <w:rsid w:val="00165F8F"/>
    <w:rsid w:val="001667F3"/>
    <w:rsid w:val="00166B5D"/>
    <w:rsid w:val="00166DD2"/>
    <w:rsid w:val="00167170"/>
    <w:rsid w:val="0016769D"/>
    <w:rsid w:val="0016796D"/>
    <w:rsid w:val="00167978"/>
    <w:rsid w:val="00167AE8"/>
    <w:rsid w:val="00170926"/>
    <w:rsid w:val="00170ED7"/>
    <w:rsid w:val="00171087"/>
    <w:rsid w:val="00171170"/>
    <w:rsid w:val="001716BA"/>
    <w:rsid w:val="0017170F"/>
    <w:rsid w:val="00171B34"/>
    <w:rsid w:val="00171BFD"/>
    <w:rsid w:val="00171D70"/>
    <w:rsid w:val="001721F9"/>
    <w:rsid w:val="0017237C"/>
    <w:rsid w:val="0017247A"/>
    <w:rsid w:val="00172540"/>
    <w:rsid w:val="00172B23"/>
    <w:rsid w:val="00172FA6"/>
    <w:rsid w:val="0017330B"/>
    <w:rsid w:val="0017358C"/>
    <w:rsid w:val="001736D6"/>
    <w:rsid w:val="00173854"/>
    <w:rsid w:val="001738BB"/>
    <w:rsid w:val="001739BD"/>
    <w:rsid w:val="00173EE1"/>
    <w:rsid w:val="00173F26"/>
    <w:rsid w:val="001741A7"/>
    <w:rsid w:val="001744D6"/>
    <w:rsid w:val="0017464C"/>
    <w:rsid w:val="00174799"/>
    <w:rsid w:val="00174890"/>
    <w:rsid w:val="00174E59"/>
    <w:rsid w:val="00175359"/>
    <w:rsid w:val="001756A2"/>
    <w:rsid w:val="0017574A"/>
    <w:rsid w:val="00175F40"/>
    <w:rsid w:val="00175FEF"/>
    <w:rsid w:val="001764B5"/>
    <w:rsid w:val="001764E3"/>
    <w:rsid w:val="0017651A"/>
    <w:rsid w:val="001769ED"/>
    <w:rsid w:val="001769F0"/>
    <w:rsid w:val="001776CF"/>
    <w:rsid w:val="00177B4B"/>
    <w:rsid w:val="001801F4"/>
    <w:rsid w:val="00180341"/>
    <w:rsid w:val="00180585"/>
    <w:rsid w:val="00180CE8"/>
    <w:rsid w:val="00180F94"/>
    <w:rsid w:val="00181418"/>
    <w:rsid w:val="001816DE"/>
    <w:rsid w:val="00181767"/>
    <w:rsid w:val="00182139"/>
    <w:rsid w:val="00182340"/>
    <w:rsid w:val="00182430"/>
    <w:rsid w:val="0018262D"/>
    <w:rsid w:val="00182F20"/>
    <w:rsid w:val="001835BF"/>
    <w:rsid w:val="001836FB"/>
    <w:rsid w:val="00183BB5"/>
    <w:rsid w:val="00183BCB"/>
    <w:rsid w:val="00184050"/>
    <w:rsid w:val="00184200"/>
    <w:rsid w:val="00184BCB"/>
    <w:rsid w:val="00184D3E"/>
    <w:rsid w:val="00185A94"/>
    <w:rsid w:val="00185B3B"/>
    <w:rsid w:val="00185EB6"/>
    <w:rsid w:val="0018653B"/>
    <w:rsid w:val="001866C4"/>
    <w:rsid w:val="00186DC1"/>
    <w:rsid w:val="00186DE3"/>
    <w:rsid w:val="001874D1"/>
    <w:rsid w:val="001905FD"/>
    <w:rsid w:val="0019073C"/>
    <w:rsid w:val="001907DE"/>
    <w:rsid w:val="00190A21"/>
    <w:rsid w:val="00190F94"/>
    <w:rsid w:val="0019135A"/>
    <w:rsid w:val="001917A1"/>
    <w:rsid w:val="00191E95"/>
    <w:rsid w:val="00192BED"/>
    <w:rsid w:val="00192C98"/>
    <w:rsid w:val="00193374"/>
    <w:rsid w:val="00193C3E"/>
    <w:rsid w:val="0019413E"/>
    <w:rsid w:val="0019422C"/>
    <w:rsid w:val="00194240"/>
    <w:rsid w:val="001944BE"/>
    <w:rsid w:val="0019495A"/>
    <w:rsid w:val="00194BE3"/>
    <w:rsid w:val="00194E28"/>
    <w:rsid w:val="00194E54"/>
    <w:rsid w:val="00194FB2"/>
    <w:rsid w:val="0019528A"/>
    <w:rsid w:val="001959C9"/>
    <w:rsid w:val="001962F4"/>
    <w:rsid w:val="001966FF"/>
    <w:rsid w:val="0019687E"/>
    <w:rsid w:val="00196E95"/>
    <w:rsid w:val="00196F44"/>
    <w:rsid w:val="00196F4F"/>
    <w:rsid w:val="0019750D"/>
    <w:rsid w:val="00197517"/>
    <w:rsid w:val="00197620"/>
    <w:rsid w:val="00197759"/>
    <w:rsid w:val="00197EF4"/>
    <w:rsid w:val="001A057C"/>
    <w:rsid w:val="001A082C"/>
    <w:rsid w:val="001A09DD"/>
    <w:rsid w:val="001A0BD0"/>
    <w:rsid w:val="001A0C78"/>
    <w:rsid w:val="001A15E6"/>
    <w:rsid w:val="001A1A47"/>
    <w:rsid w:val="001A22A8"/>
    <w:rsid w:val="001A233C"/>
    <w:rsid w:val="001A23CE"/>
    <w:rsid w:val="001A2422"/>
    <w:rsid w:val="001A2429"/>
    <w:rsid w:val="001A24C3"/>
    <w:rsid w:val="001A2526"/>
    <w:rsid w:val="001A287F"/>
    <w:rsid w:val="001A347B"/>
    <w:rsid w:val="001A366F"/>
    <w:rsid w:val="001A3B32"/>
    <w:rsid w:val="001A440A"/>
    <w:rsid w:val="001A45AB"/>
    <w:rsid w:val="001A4DB8"/>
    <w:rsid w:val="001A4DF6"/>
    <w:rsid w:val="001A52D0"/>
    <w:rsid w:val="001A5531"/>
    <w:rsid w:val="001A569C"/>
    <w:rsid w:val="001A5736"/>
    <w:rsid w:val="001A5B6C"/>
    <w:rsid w:val="001A5D89"/>
    <w:rsid w:val="001A6027"/>
    <w:rsid w:val="001A6030"/>
    <w:rsid w:val="001A61AB"/>
    <w:rsid w:val="001A6430"/>
    <w:rsid w:val="001A6A74"/>
    <w:rsid w:val="001A6DA7"/>
    <w:rsid w:val="001A7522"/>
    <w:rsid w:val="001A759E"/>
    <w:rsid w:val="001B048D"/>
    <w:rsid w:val="001B05EF"/>
    <w:rsid w:val="001B0D3E"/>
    <w:rsid w:val="001B0F5A"/>
    <w:rsid w:val="001B18E2"/>
    <w:rsid w:val="001B24F3"/>
    <w:rsid w:val="001B272F"/>
    <w:rsid w:val="001B2850"/>
    <w:rsid w:val="001B291E"/>
    <w:rsid w:val="001B297F"/>
    <w:rsid w:val="001B357B"/>
    <w:rsid w:val="001B3813"/>
    <w:rsid w:val="001B3E13"/>
    <w:rsid w:val="001B3EAB"/>
    <w:rsid w:val="001B442B"/>
    <w:rsid w:val="001B4568"/>
    <w:rsid w:val="001B5403"/>
    <w:rsid w:val="001B5767"/>
    <w:rsid w:val="001B57B3"/>
    <w:rsid w:val="001B6334"/>
    <w:rsid w:val="001B6B03"/>
    <w:rsid w:val="001B6C46"/>
    <w:rsid w:val="001B6D8C"/>
    <w:rsid w:val="001B7035"/>
    <w:rsid w:val="001B7199"/>
    <w:rsid w:val="001B7816"/>
    <w:rsid w:val="001B7856"/>
    <w:rsid w:val="001B78A6"/>
    <w:rsid w:val="001B7BC1"/>
    <w:rsid w:val="001B7F1C"/>
    <w:rsid w:val="001C00BB"/>
    <w:rsid w:val="001C02D7"/>
    <w:rsid w:val="001C074C"/>
    <w:rsid w:val="001C0CB2"/>
    <w:rsid w:val="001C0D18"/>
    <w:rsid w:val="001C1271"/>
    <w:rsid w:val="001C1618"/>
    <w:rsid w:val="001C1A5E"/>
    <w:rsid w:val="001C1A97"/>
    <w:rsid w:val="001C1D7C"/>
    <w:rsid w:val="001C1E76"/>
    <w:rsid w:val="001C1F90"/>
    <w:rsid w:val="001C2492"/>
    <w:rsid w:val="001C2625"/>
    <w:rsid w:val="001C2DB5"/>
    <w:rsid w:val="001C2EC0"/>
    <w:rsid w:val="001C3091"/>
    <w:rsid w:val="001C34EB"/>
    <w:rsid w:val="001C3628"/>
    <w:rsid w:val="001C381D"/>
    <w:rsid w:val="001C3BAE"/>
    <w:rsid w:val="001C3FB2"/>
    <w:rsid w:val="001C4112"/>
    <w:rsid w:val="001C46ED"/>
    <w:rsid w:val="001C4A34"/>
    <w:rsid w:val="001C4F2D"/>
    <w:rsid w:val="001C5072"/>
    <w:rsid w:val="001C55A3"/>
    <w:rsid w:val="001C5655"/>
    <w:rsid w:val="001C5A5C"/>
    <w:rsid w:val="001C6106"/>
    <w:rsid w:val="001C6220"/>
    <w:rsid w:val="001C6A16"/>
    <w:rsid w:val="001C6BA8"/>
    <w:rsid w:val="001C6BAE"/>
    <w:rsid w:val="001C7086"/>
    <w:rsid w:val="001C746A"/>
    <w:rsid w:val="001C7475"/>
    <w:rsid w:val="001C7573"/>
    <w:rsid w:val="001C7A95"/>
    <w:rsid w:val="001C7AE1"/>
    <w:rsid w:val="001C7DDD"/>
    <w:rsid w:val="001D0143"/>
    <w:rsid w:val="001D019D"/>
    <w:rsid w:val="001D0281"/>
    <w:rsid w:val="001D06AD"/>
    <w:rsid w:val="001D0718"/>
    <w:rsid w:val="001D0741"/>
    <w:rsid w:val="001D0867"/>
    <w:rsid w:val="001D0A3E"/>
    <w:rsid w:val="001D0B0B"/>
    <w:rsid w:val="001D0E7B"/>
    <w:rsid w:val="001D1253"/>
    <w:rsid w:val="001D1287"/>
    <w:rsid w:val="001D183F"/>
    <w:rsid w:val="001D1921"/>
    <w:rsid w:val="001D1BBB"/>
    <w:rsid w:val="001D1DD0"/>
    <w:rsid w:val="001D2098"/>
    <w:rsid w:val="001D228E"/>
    <w:rsid w:val="001D24A0"/>
    <w:rsid w:val="001D2B55"/>
    <w:rsid w:val="001D2CE9"/>
    <w:rsid w:val="001D304A"/>
    <w:rsid w:val="001D329A"/>
    <w:rsid w:val="001D3465"/>
    <w:rsid w:val="001D36AD"/>
    <w:rsid w:val="001D39F9"/>
    <w:rsid w:val="001D4069"/>
    <w:rsid w:val="001D439B"/>
    <w:rsid w:val="001D48BB"/>
    <w:rsid w:val="001D4B6F"/>
    <w:rsid w:val="001D5475"/>
    <w:rsid w:val="001D5744"/>
    <w:rsid w:val="001D5E86"/>
    <w:rsid w:val="001D5F61"/>
    <w:rsid w:val="001D71E2"/>
    <w:rsid w:val="001D730B"/>
    <w:rsid w:val="001D73A8"/>
    <w:rsid w:val="001D7626"/>
    <w:rsid w:val="001D7B59"/>
    <w:rsid w:val="001D7FB4"/>
    <w:rsid w:val="001E02AC"/>
    <w:rsid w:val="001E0583"/>
    <w:rsid w:val="001E07FB"/>
    <w:rsid w:val="001E0B22"/>
    <w:rsid w:val="001E0C0C"/>
    <w:rsid w:val="001E0CA9"/>
    <w:rsid w:val="001E0CBE"/>
    <w:rsid w:val="001E1512"/>
    <w:rsid w:val="001E1730"/>
    <w:rsid w:val="001E177C"/>
    <w:rsid w:val="001E1885"/>
    <w:rsid w:val="001E1B90"/>
    <w:rsid w:val="001E1DE3"/>
    <w:rsid w:val="001E1E3F"/>
    <w:rsid w:val="001E2035"/>
    <w:rsid w:val="001E246F"/>
    <w:rsid w:val="001E2678"/>
    <w:rsid w:val="001E2937"/>
    <w:rsid w:val="001E2CBB"/>
    <w:rsid w:val="001E2EE8"/>
    <w:rsid w:val="001E3054"/>
    <w:rsid w:val="001E3916"/>
    <w:rsid w:val="001E3AAA"/>
    <w:rsid w:val="001E3D6E"/>
    <w:rsid w:val="001E402A"/>
    <w:rsid w:val="001E4155"/>
    <w:rsid w:val="001E4404"/>
    <w:rsid w:val="001E4423"/>
    <w:rsid w:val="001E453A"/>
    <w:rsid w:val="001E47A5"/>
    <w:rsid w:val="001E4880"/>
    <w:rsid w:val="001E4923"/>
    <w:rsid w:val="001E4AA2"/>
    <w:rsid w:val="001E4F48"/>
    <w:rsid w:val="001E5411"/>
    <w:rsid w:val="001E58C4"/>
    <w:rsid w:val="001E59BB"/>
    <w:rsid w:val="001E5B2D"/>
    <w:rsid w:val="001E5D8F"/>
    <w:rsid w:val="001E611E"/>
    <w:rsid w:val="001E6A2D"/>
    <w:rsid w:val="001E6AD7"/>
    <w:rsid w:val="001E6E57"/>
    <w:rsid w:val="001E76C5"/>
    <w:rsid w:val="001E7883"/>
    <w:rsid w:val="001E7D7F"/>
    <w:rsid w:val="001F0260"/>
    <w:rsid w:val="001F0604"/>
    <w:rsid w:val="001F0EE5"/>
    <w:rsid w:val="001F1290"/>
    <w:rsid w:val="001F12E0"/>
    <w:rsid w:val="001F12F0"/>
    <w:rsid w:val="001F135E"/>
    <w:rsid w:val="001F1362"/>
    <w:rsid w:val="001F1904"/>
    <w:rsid w:val="001F193A"/>
    <w:rsid w:val="001F1AC2"/>
    <w:rsid w:val="001F1B5E"/>
    <w:rsid w:val="001F2132"/>
    <w:rsid w:val="001F2173"/>
    <w:rsid w:val="001F2557"/>
    <w:rsid w:val="001F2FF5"/>
    <w:rsid w:val="001F2FFE"/>
    <w:rsid w:val="001F3067"/>
    <w:rsid w:val="001F34D4"/>
    <w:rsid w:val="001F36D6"/>
    <w:rsid w:val="001F3753"/>
    <w:rsid w:val="001F376F"/>
    <w:rsid w:val="001F3951"/>
    <w:rsid w:val="001F3CE1"/>
    <w:rsid w:val="001F3F82"/>
    <w:rsid w:val="001F426E"/>
    <w:rsid w:val="001F43B1"/>
    <w:rsid w:val="001F51D2"/>
    <w:rsid w:val="001F5295"/>
    <w:rsid w:val="001F5434"/>
    <w:rsid w:val="001F5884"/>
    <w:rsid w:val="001F59D3"/>
    <w:rsid w:val="001F5C32"/>
    <w:rsid w:val="001F6D0D"/>
    <w:rsid w:val="001F6EB3"/>
    <w:rsid w:val="001F76F2"/>
    <w:rsid w:val="001F7A7A"/>
    <w:rsid w:val="001F7C26"/>
    <w:rsid w:val="00200131"/>
    <w:rsid w:val="0020088F"/>
    <w:rsid w:val="00201673"/>
    <w:rsid w:val="002017CB"/>
    <w:rsid w:val="00201849"/>
    <w:rsid w:val="0020194A"/>
    <w:rsid w:val="00201984"/>
    <w:rsid w:val="00201B74"/>
    <w:rsid w:val="00201E3B"/>
    <w:rsid w:val="002023AF"/>
    <w:rsid w:val="00202BE8"/>
    <w:rsid w:val="00203799"/>
    <w:rsid w:val="00203868"/>
    <w:rsid w:val="00203892"/>
    <w:rsid w:val="00203CA3"/>
    <w:rsid w:val="00204415"/>
    <w:rsid w:val="0020474C"/>
    <w:rsid w:val="002055B4"/>
    <w:rsid w:val="002059C0"/>
    <w:rsid w:val="00205A10"/>
    <w:rsid w:val="00205B62"/>
    <w:rsid w:val="00205C48"/>
    <w:rsid w:val="00205D4C"/>
    <w:rsid w:val="00206184"/>
    <w:rsid w:val="00206249"/>
    <w:rsid w:val="002071B8"/>
    <w:rsid w:val="00207673"/>
    <w:rsid w:val="00207A94"/>
    <w:rsid w:val="00207F6C"/>
    <w:rsid w:val="00210453"/>
    <w:rsid w:val="00210924"/>
    <w:rsid w:val="0021133F"/>
    <w:rsid w:val="002115EB"/>
    <w:rsid w:val="002116DD"/>
    <w:rsid w:val="002117C4"/>
    <w:rsid w:val="002122ED"/>
    <w:rsid w:val="002123DC"/>
    <w:rsid w:val="002124BF"/>
    <w:rsid w:val="0021265F"/>
    <w:rsid w:val="002126E8"/>
    <w:rsid w:val="00212A0C"/>
    <w:rsid w:val="00212C7F"/>
    <w:rsid w:val="00213236"/>
    <w:rsid w:val="00214114"/>
    <w:rsid w:val="002148EC"/>
    <w:rsid w:val="00214B39"/>
    <w:rsid w:val="002152BD"/>
    <w:rsid w:val="002153F8"/>
    <w:rsid w:val="00215578"/>
    <w:rsid w:val="00215D5D"/>
    <w:rsid w:val="00215DE4"/>
    <w:rsid w:val="00215E9B"/>
    <w:rsid w:val="00216010"/>
    <w:rsid w:val="00216021"/>
    <w:rsid w:val="002160AB"/>
    <w:rsid w:val="0021615B"/>
    <w:rsid w:val="00216713"/>
    <w:rsid w:val="00216B11"/>
    <w:rsid w:val="00216B34"/>
    <w:rsid w:val="00216B40"/>
    <w:rsid w:val="00216EF9"/>
    <w:rsid w:val="002170F5"/>
    <w:rsid w:val="002173E5"/>
    <w:rsid w:val="00217483"/>
    <w:rsid w:val="002178E1"/>
    <w:rsid w:val="00217A54"/>
    <w:rsid w:val="002201C7"/>
    <w:rsid w:val="0022032A"/>
    <w:rsid w:val="00220747"/>
    <w:rsid w:val="0022077C"/>
    <w:rsid w:val="00220D0B"/>
    <w:rsid w:val="002212D1"/>
    <w:rsid w:val="002216DB"/>
    <w:rsid w:val="00221A2C"/>
    <w:rsid w:val="00221CF6"/>
    <w:rsid w:val="00221D7F"/>
    <w:rsid w:val="002224E5"/>
    <w:rsid w:val="002224EB"/>
    <w:rsid w:val="002225CE"/>
    <w:rsid w:val="0022269B"/>
    <w:rsid w:val="002228D4"/>
    <w:rsid w:val="00222A91"/>
    <w:rsid w:val="00222B27"/>
    <w:rsid w:val="00223312"/>
    <w:rsid w:val="0022348C"/>
    <w:rsid w:val="00223AB1"/>
    <w:rsid w:val="00223FA5"/>
    <w:rsid w:val="00223FE2"/>
    <w:rsid w:val="00224540"/>
    <w:rsid w:val="00224D31"/>
    <w:rsid w:val="00224D4F"/>
    <w:rsid w:val="00224E58"/>
    <w:rsid w:val="00224FCB"/>
    <w:rsid w:val="00225058"/>
    <w:rsid w:val="002251F6"/>
    <w:rsid w:val="0022531B"/>
    <w:rsid w:val="002254E7"/>
    <w:rsid w:val="0022559B"/>
    <w:rsid w:val="0022561C"/>
    <w:rsid w:val="00225722"/>
    <w:rsid w:val="00225BBD"/>
    <w:rsid w:val="00225C69"/>
    <w:rsid w:val="00226080"/>
    <w:rsid w:val="00226195"/>
    <w:rsid w:val="0022679F"/>
    <w:rsid w:val="002269E3"/>
    <w:rsid w:val="00226AA7"/>
    <w:rsid w:val="00226B05"/>
    <w:rsid w:val="00226BD3"/>
    <w:rsid w:val="00226CFA"/>
    <w:rsid w:val="00226F93"/>
    <w:rsid w:val="002271A2"/>
    <w:rsid w:val="0022742A"/>
    <w:rsid w:val="00227582"/>
    <w:rsid w:val="00227F78"/>
    <w:rsid w:val="00230338"/>
    <w:rsid w:val="0023051C"/>
    <w:rsid w:val="002305D8"/>
    <w:rsid w:val="002313A9"/>
    <w:rsid w:val="002317FA"/>
    <w:rsid w:val="00231972"/>
    <w:rsid w:val="00231B9F"/>
    <w:rsid w:val="00231E05"/>
    <w:rsid w:val="002326EB"/>
    <w:rsid w:val="00232826"/>
    <w:rsid w:val="00232982"/>
    <w:rsid w:val="00232B99"/>
    <w:rsid w:val="0023339F"/>
    <w:rsid w:val="002334CD"/>
    <w:rsid w:val="00233899"/>
    <w:rsid w:val="00233A75"/>
    <w:rsid w:val="00233B65"/>
    <w:rsid w:val="00233D8E"/>
    <w:rsid w:val="00233DCA"/>
    <w:rsid w:val="00233DD4"/>
    <w:rsid w:val="00233E31"/>
    <w:rsid w:val="00233EDD"/>
    <w:rsid w:val="00233EEF"/>
    <w:rsid w:val="002340D9"/>
    <w:rsid w:val="00234236"/>
    <w:rsid w:val="0023435A"/>
    <w:rsid w:val="002344E0"/>
    <w:rsid w:val="00234B31"/>
    <w:rsid w:val="002351BE"/>
    <w:rsid w:val="00235790"/>
    <w:rsid w:val="00235830"/>
    <w:rsid w:val="00235ADD"/>
    <w:rsid w:val="00235EA8"/>
    <w:rsid w:val="002369C0"/>
    <w:rsid w:val="00236B79"/>
    <w:rsid w:val="00236E36"/>
    <w:rsid w:val="00236F22"/>
    <w:rsid w:val="002371B9"/>
    <w:rsid w:val="00237206"/>
    <w:rsid w:val="00237485"/>
    <w:rsid w:val="00237888"/>
    <w:rsid w:val="00237A72"/>
    <w:rsid w:val="00237B38"/>
    <w:rsid w:val="00240287"/>
    <w:rsid w:val="002408EE"/>
    <w:rsid w:val="00240B77"/>
    <w:rsid w:val="00240D48"/>
    <w:rsid w:val="00240D9B"/>
    <w:rsid w:val="00240EBA"/>
    <w:rsid w:val="00240EF5"/>
    <w:rsid w:val="00241078"/>
    <w:rsid w:val="00241C36"/>
    <w:rsid w:val="002420CB"/>
    <w:rsid w:val="00242433"/>
    <w:rsid w:val="00242563"/>
    <w:rsid w:val="00242829"/>
    <w:rsid w:val="00242E01"/>
    <w:rsid w:val="00242F97"/>
    <w:rsid w:val="002433BD"/>
    <w:rsid w:val="0024374A"/>
    <w:rsid w:val="0024377F"/>
    <w:rsid w:val="0024392D"/>
    <w:rsid w:val="002439CE"/>
    <w:rsid w:val="00243CE7"/>
    <w:rsid w:val="00244550"/>
    <w:rsid w:val="00244719"/>
    <w:rsid w:val="00244792"/>
    <w:rsid w:val="002447BB"/>
    <w:rsid w:val="002447DC"/>
    <w:rsid w:val="00244875"/>
    <w:rsid w:val="00244D27"/>
    <w:rsid w:val="002451BC"/>
    <w:rsid w:val="00245723"/>
    <w:rsid w:val="00245D9B"/>
    <w:rsid w:val="00245E6B"/>
    <w:rsid w:val="00245F55"/>
    <w:rsid w:val="002462DD"/>
    <w:rsid w:val="002462F5"/>
    <w:rsid w:val="0024690E"/>
    <w:rsid w:val="00246EE8"/>
    <w:rsid w:val="00247019"/>
    <w:rsid w:val="0024767B"/>
    <w:rsid w:val="00247AF5"/>
    <w:rsid w:val="00247DCD"/>
    <w:rsid w:val="00250262"/>
    <w:rsid w:val="00250279"/>
    <w:rsid w:val="002502D0"/>
    <w:rsid w:val="0025030A"/>
    <w:rsid w:val="00250575"/>
    <w:rsid w:val="00251018"/>
    <w:rsid w:val="00251643"/>
    <w:rsid w:val="002516F7"/>
    <w:rsid w:val="00251912"/>
    <w:rsid w:val="002519AB"/>
    <w:rsid w:val="00251D8E"/>
    <w:rsid w:val="0025269E"/>
    <w:rsid w:val="00252B86"/>
    <w:rsid w:val="00252FE2"/>
    <w:rsid w:val="00252FEC"/>
    <w:rsid w:val="002535F3"/>
    <w:rsid w:val="002536F8"/>
    <w:rsid w:val="00253DE4"/>
    <w:rsid w:val="00253EDB"/>
    <w:rsid w:val="00254142"/>
    <w:rsid w:val="00254552"/>
    <w:rsid w:val="00254626"/>
    <w:rsid w:val="002550E8"/>
    <w:rsid w:val="00255F00"/>
    <w:rsid w:val="00256ABC"/>
    <w:rsid w:val="00256E74"/>
    <w:rsid w:val="0025731B"/>
    <w:rsid w:val="0025760E"/>
    <w:rsid w:val="00257836"/>
    <w:rsid w:val="00260281"/>
    <w:rsid w:val="002604E5"/>
    <w:rsid w:val="00260635"/>
    <w:rsid w:val="00260725"/>
    <w:rsid w:val="00260812"/>
    <w:rsid w:val="00260A91"/>
    <w:rsid w:val="00260C23"/>
    <w:rsid w:val="00260C5A"/>
    <w:rsid w:val="00260ED6"/>
    <w:rsid w:val="002611FA"/>
    <w:rsid w:val="00261843"/>
    <w:rsid w:val="002618DF"/>
    <w:rsid w:val="00261CD2"/>
    <w:rsid w:val="00261D00"/>
    <w:rsid w:val="002621EC"/>
    <w:rsid w:val="0026258C"/>
    <w:rsid w:val="002625A8"/>
    <w:rsid w:val="00262BCE"/>
    <w:rsid w:val="00262F8A"/>
    <w:rsid w:val="00263357"/>
    <w:rsid w:val="002633D9"/>
    <w:rsid w:val="00263558"/>
    <w:rsid w:val="00263CC4"/>
    <w:rsid w:val="00263D7B"/>
    <w:rsid w:val="00264523"/>
    <w:rsid w:val="0026452B"/>
    <w:rsid w:val="002652D9"/>
    <w:rsid w:val="002655E6"/>
    <w:rsid w:val="002655F1"/>
    <w:rsid w:val="00265FAD"/>
    <w:rsid w:val="002664E8"/>
    <w:rsid w:val="002665D3"/>
    <w:rsid w:val="00266759"/>
    <w:rsid w:val="00266B8A"/>
    <w:rsid w:val="00266F56"/>
    <w:rsid w:val="00267BED"/>
    <w:rsid w:val="00267E2F"/>
    <w:rsid w:val="0027002B"/>
    <w:rsid w:val="0027015A"/>
    <w:rsid w:val="00270248"/>
    <w:rsid w:val="0027027C"/>
    <w:rsid w:val="0027041A"/>
    <w:rsid w:val="00270964"/>
    <w:rsid w:val="00270CE4"/>
    <w:rsid w:val="00271743"/>
    <w:rsid w:val="00271C94"/>
    <w:rsid w:val="00271F66"/>
    <w:rsid w:val="002721C8"/>
    <w:rsid w:val="002722AB"/>
    <w:rsid w:val="002723A4"/>
    <w:rsid w:val="002723FF"/>
    <w:rsid w:val="0027271A"/>
    <w:rsid w:val="0027289B"/>
    <w:rsid w:val="00272ADF"/>
    <w:rsid w:val="00272D91"/>
    <w:rsid w:val="00273350"/>
    <w:rsid w:val="00273388"/>
    <w:rsid w:val="00273632"/>
    <w:rsid w:val="0027398D"/>
    <w:rsid w:val="00273F9E"/>
    <w:rsid w:val="00274ADC"/>
    <w:rsid w:val="00274CF0"/>
    <w:rsid w:val="00275148"/>
    <w:rsid w:val="0027545D"/>
    <w:rsid w:val="00275BEC"/>
    <w:rsid w:val="00275DDC"/>
    <w:rsid w:val="002766E2"/>
    <w:rsid w:val="00276C84"/>
    <w:rsid w:val="00276E34"/>
    <w:rsid w:val="002778F6"/>
    <w:rsid w:val="00277FA9"/>
    <w:rsid w:val="00280695"/>
    <w:rsid w:val="0028077C"/>
    <w:rsid w:val="00280939"/>
    <w:rsid w:val="00280A9F"/>
    <w:rsid w:val="00280AC6"/>
    <w:rsid w:val="00280B52"/>
    <w:rsid w:val="0028119C"/>
    <w:rsid w:val="0028134C"/>
    <w:rsid w:val="002824C3"/>
    <w:rsid w:val="002827C5"/>
    <w:rsid w:val="00282C8A"/>
    <w:rsid w:val="00282CD9"/>
    <w:rsid w:val="00282D6E"/>
    <w:rsid w:val="0028322B"/>
    <w:rsid w:val="002832D3"/>
    <w:rsid w:val="00283552"/>
    <w:rsid w:val="0028399C"/>
    <w:rsid w:val="00283B0A"/>
    <w:rsid w:val="00284100"/>
    <w:rsid w:val="0028415E"/>
    <w:rsid w:val="002842A6"/>
    <w:rsid w:val="00284383"/>
    <w:rsid w:val="00284593"/>
    <w:rsid w:val="00285000"/>
    <w:rsid w:val="00285099"/>
    <w:rsid w:val="002851E6"/>
    <w:rsid w:val="002851FD"/>
    <w:rsid w:val="002852EF"/>
    <w:rsid w:val="00285727"/>
    <w:rsid w:val="00285AF3"/>
    <w:rsid w:val="002860B6"/>
    <w:rsid w:val="00286267"/>
    <w:rsid w:val="00286AC0"/>
    <w:rsid w:val="00287362"/>
    <w:rsid w:val="002874FD"/>
    <w:rsid w:val="002879E0"/>
    <w:rsid w:val="00287B50"/>
    <w:rsid w:val="00287CF0"/>
    <w:rsid w:val="00290249"/>
    <w:rsid w:val="002902CF"/>
    <w:rsid w:val="00290DC0"/>
    <w:rsid w:val="002911CE"/>
    <w:rsid w:val="00291381"/>
    <w:rsid w:val="002917EF"/>
    <w:rsid w:val="00291BB7"/>
    <w:rsid w:val="00292219"/>
    <w:rsid w:val="002922EE"/>
    <w:rsid w:val="00292734"/>
    <w:rsid w:val="00292753"/>
    <w:rsid w:val="002927C6"/>
    <w:rsid w:val="002927DB"/>
    <w:rsid w:val="0029311B"/>
    <w:rsid w:val="0029342C"/>
    <w:rsid w:val="0029387E"/>
    <w:rsid w:val="00293B88"/>
    <w:rsid w:val="002941A2"/>
    <w:rsid w:val="0029467B"/>
    <w:rsid w:val="002947A0"/>
    <w:rsid w:val="00294804"/>
    <w:rsid w:val="00294E73"/>
    <w:rsid w:val="002950ED"/>
    <w:rsid w:val="00295167"/>
    <w:rsid w:val="002951B5"/>
    <w:rsid w:val="0029520B"/>
    <w:rsid w:val="0029594C"/>
    <w:rsid w:val="00295C40"/>
    <w:rsid w:val="00295E63"/>
    <w:rsid w:val="0029608D"/>
    <w:rsid w:val="00296166"/>
    <w:rsid w:val="00296468"/>
    <w:rsid w:val="00296730"/>
    <w:rsid w:val="00296865"/>
    <w:rsid w:val="00296B23"/>
    <w:rsid w:val="00296B69"/>
    <w:rsid w:val="00296C16"/>
    <w:rsid w:val="00296D4A"/>
    <w:rsid w:val="0029700A"/>
    <w:rsid w:val="00297556"/>
    <w:rsid w:val="00297706"/>
    <w:rsid w:val="00297F18"/>
    <w:rsid w:val="002A06AF"/>
    <w:rsid w:val="002A081C"/>
    <w:rsid w:val="002A0C11"/>
    <w:rsid w:val="002A0E72"/>
    <w:rsid w:val="002A10FF"/>
    <w:rsid w:val="002A122F"/>
    <w:rsid w:val="002A127D"/>
    <w:rsid w:val="002A15BB"/>
    <w:rsid w:val="002A1756"/>
    <w:rsid w:val="002A1821"/>
    <w:rsid w:val="002A1F13"/>
    <w:rsid w:val="002A2A42"/>
    <w:rsid w:val="002A2FAD"/>
    <w:rsid w:val="002A31F2"/>
    <w:rsid w:val="002A33BC"/>
    <w:rsid w:val="002A353C"/>
    <w:rsid w:val="002A36DD"/>
    <w:rsid w:val="002A385C"/>
    <w:rsid w:val="002A3B3C"/>
    <w:rsid w:val="002A3D2A"/>
    <w:rsid w:val="002A3FA3"/>
    <w:rsid w:val="002A4466"/>
    <w:rsid w:val="002A48A0"/>
    <w:rsid w:val="002A4922"/>
    <w:rsid w:val="002A495E"/>
    <w:rsid w:val="002A4B17"/>
    <w:rsid w:val="002A4B56"/>
    <w:rsid w:val="002A4C1E"/>
    <w:rsid w:val="002A4E29"/>
    <w:rsid w:val="002A5566"/>
    <w:rsid w:val="002A55EE"/>
    <w:rsid w:val="002A564F"/>
    <w:rsid w:val="002A5BF8"/>
    <w:rsid w:val="002A5EBF"/>
    <w:rsid w:val="002A62D2"/>
    <w:rsid w:val="002A6413"/>
    <w:rsid w:val="002A677B"/>
    <w:rsid w:val="002A6822"/>
    <w:rsid w:val="002A7307"/>
    <w:rsid w:val="002A739A"/>
    <w:rsid w:val="002A7B96"/>
    <w:rsid w:val="002A7C15"/>
    <w:rsid w:val="002B0157"/>
    <w:rsid w:val="002B0285"/>
    <w:rsid w:val="002B04AB"/>
    <w:rsid w:val="002B117C"/>
    <w:rsid w:val="002B1524"/>
    <w:rsid w:val="002B1879"/>
    <w:rsid w:val="002B1968"/>
    <w:rsid w:val="002B1A37"/>
    <w:rsid w:val="002B1CEA"/>
    <w:rsid w:val="002B262D"/>
    <w:rsid w:val="002B2B1E"/>
    <w:rsid w:val="002B2C60"/>
    <w:rsid w:val="002B31F6"/>
    <w:rsid w:val="002B329C"/>
    <w:rsid w:val="002B335F"/>
    <w:rsid w:val="002B38D0"/>
    <w:rsid w:val="002B39C9"/>
    <w:rsid w:val="002B403F"/>
    <w:rsid w:val="002B4927"/>
    <w:rsid w:val="002B4D23"/>
    <w:rsid w:val="002B4ECF"/>
    <w:rsid w:val="002B4F70"/>
    <w:rsid w:val="002B56AD"/>
    <w:rsid w:val="002B5893"/>
    <w:rsid w:val="002B5C33"/>
    <w:rsid w:val="002B677D"/>
    <w:rsid w:val="002B68E2"/>
    <w:rsid w:val="002B6928"/>
    <w:rsid w:val="002B696A"/>
    <w:rsid w:val="002B6AD8"/>
    <w:rsid w:val="002B6B2D"/>
    <w:rsid w:val="002B6C64"/>
    <w:rsid w:val="002B6EC0"/>
    <w:rsid w:val="002B7149"/>
    <w:rsid w:val="002B735F"/>
    <w:rsid w:val="002B73AD"/>
    <w:rsid w:val="002B745A"/>
    <w:rsid w:val="002B74D7"/>
    <w:rsid w:val="002B76E2"/>
    <w:rsid w:val="002B79C6"/>
    <w:rsid w:val="002C00E3"/>
    <w:rsid w:val="002C0220"/>
    <w:rsid w:val="002C064E"/>
    <w:rsid w:val="002C0A41"/>
    <w:rsid w:val="002C0DA2"/>
    <w:rsid w:val="002C0F8E"/>
    <w:rsid w:val="002C0FAE"/>
    <w:rsid w:val="002C13D5"/>
    <w:rsid w:val="002C14C5"/>
    <w:rsid w:val="002C19C1"/>
    <w:rsid w:val="002C1BBD"/>
    <w:rsid w:val="002C208D"/>
    <w:rsid w:val="002C222C"/>
    <w:rsid w:val="002C2349"/>
    <w:rsid w:val="002C23AF"/>
    <w:rsid w:val="002C24D8"/>
    <w:rsid w:val="002C2511"/>
    <w:rsid w:val="002C2BCE"/>
    <w:rsid w:val="002C2D56"/>
    <w:rsid w:val="002C30E8"/>
    <w:rsid w:val="002C3667"/>
    <w:rsid w:val="002C3B5F"/>
    <w:rsid w:val="002C3BC4"/>
    <w:rsid w:val="002C3DB1"/>
    <w:rsid w:val="002C3E57"/>
    <w:rsid w:val="002C40C4"/>
    <w:rsid w:val="002C40D4"/>
    <w:rsid w:val="002C43E5"/>
    <w:rsid w:val="002C445B"/>
    <w:rsid w:val="002C50AD"/>
    <w:rsid w:val="002C50E3"/>
    <w:rsid w:val="002C6525"/>
    <w:rsid w:val="002C685B"/>
    <w:rsid w:val="002C6B9D"/>
    <w:rsid w:val="002C6CAE"/>
    <w:rsid w:val="002C6FEA"/>
    <w:rsid w:val="002C72C9"/>
    <w:rsid w:val="002C73C7"/>
    <w:rsid w:val="002C75BE"/>
    <w:rsid w:val="002C7840"/>
    <w:rsid w:val="002C79B6"/>
    <w:rsid w:val="002C7EFC"/>
    <w:rsid w:val="002C7FF9"/>
    <w:rsid w:val="002D00D8"/>
    <w:rsid w:val="002D0B73"/>
    <w:rsid w:val="002D0D1E"/>
    <w:rsid w:val="002D1032"/>
    <w:rsid w:val="002D11BE"/>
    <w:rsid w:val="002D1263"/>
    <w:rsid w:val="002D1539"/>
    <w:rsid w:val="002D160C"/>
    <w:rsid w:val="002D17C9"/>
    <w:rsid w:val="002D1C30"/>
    <w:rsid w:val="002D1CCC"/>
    <w:rsid w:val="002D1E4F"/>
    <w:rsid w:val="002D1E57"/>
    <w:rsid w:val="002D20F1"/>
    <w:rsid w:val="002D288D"/>
    <w:rsid w:val="002D28E1"/>
    <w:rsid w:val="002D29FF"/>
    <w:rsid w:val="002D2A7B"/>
    <w:rsid w:val="002D3171"/>
    <w:rsid w:val="002D341B"/>
    <w:rsid w:val="002D349E"/>
    <w:rsid w:val="002D3AE9"/>
    <w:rsid w:val="002D3B55"/>
    <w:rsid w:val="002D416F"/>
    <w:rsid w:val="002D41E8"/>
    <w:rsid w:val="002D4662"/>
    <w:rsid w:val="002D4F53"/>
    <w:rsid w:val="002D5431"/>
    <w:rsid w:val="002D555E"/>
    <w:rsid w:val="002D5C61"/>
    <w:rsid w:val="002D5FF7"/>
    <w:rsid w:val="002D68E2"/>
    <w:rsid w:val="002D6B49"/>
    <w:rsid w:val="002D6C59"/>
    <w:rsid w:val="002D6E1A"/>
    <w:rsid w:val="002D6EE1"/>
    <w:rsid w:val="002D7018"/>
    <w:rsid w:val="002D78E3"/>
    <w:rsid w:val="002D7A46"/>
    <w:rsid w:val="002D7B6A"/>
    <w:rsid w:val="002D7BC7"/>
    <w:rsid w:val="002D7C56"/>
    <w:rsid w:val="002D7E89"/>
    <w:rsid w:val="002E03B7"/>
    <w:rsid w:val="002E0403"/>
    <w:rsid w:val="002E054F"/>
    <w:rsid w:val="002E0677"/>
    <w:rsid w:val="002E088E"/>
    <w:rsid w:val="002E095D"/>
    <w:rsid w:val="002E0ADA"/>
    <w:rsid w:val="002E0E18"/>
    <w:rsid w:val="002E13F0"/>
    <w:rsid w:val="002E1D7C"/>
    <w:rsid w:val="002E23EC"/>
    <w:rsid w:val="002E253E"/>
    <w:rsid w:val="002E284D"/>
    <w:rsid w:val="002E28F7"/>
    <w:rsid w:val="002E295E"/>
    <w:rsid w:val="002E2A13"/>
    <w:rsid w:val="002E2D23"/>
    <w:rsid w:val="002E3069"/>
    <w:rsid w:val="002E30C1"/>
    <w:rsid w:val="002E31D8"/>
    <w:rsid w:val="002E34FE"/>
    <w:rsid w:val="002E3743"/>
    <w:rsid w:val="002E3984"/>
    <w:rsid w:val="002E3C35"/>
    <w:rsid w:val="002E3EC7"/>
    <w:rsid w:val="002E40C9"/>
    <w:rsid w:val="002E412B"/>
    <w:rsid w:val="002E414E"/>
    <w:rsid w:val="002E48BE"/>
    <w:rsid w:val="002E4A17"/>
    <w:rsid w:val="002E4B1E"/>
    <w:rsid w:val="002E4BF4"/>
    <w:rsid w:val="002E4CC1"/>
    <w:rsid w:val="002E4E8C"/>
    <w:rsid w:val="002E5476"/>
    <w:rsid w:val="002E55C8"/>
    <w:rsid w:val="002E5B03"/>
    <w:rsid w:val="002E5C0C"/>
    <w:rsid w:val="002E62C7"/>
    <w:rsid w:val="002E6388"/>
    <w:rsid w:val="002E68D2"/>
    <w:rsid w:val="002E6E1A"/>
    <w:rsid w:val="002E6E2F"/>
    <w:rsid w:val="002E6F8E"/>
    <w:rsid w:val="002E7134"/>
    <w:rsid w:val="002E717F"/>
    <w:rsid w:val="002E769A"/>
    <w:rsid w:val="002E77E6"/>
    <w:rsid w:val="002E79E5"/>
    <w:rsid w:val="002E7A2A"/>
    <w:rsid w:val="002E7EA9"/>
    <w:rsid w:val="002F039D"/>
    <w:rsid w:val="002F045B"/>
    <w:rsid w:val="002F0465"/>
    <w:rsid w:val="002F05E5"/>
    <w:rsid w:val="002F06AF"/>
    <w:rsid w:val="002F08BF"/>
    <w:rsid w:val="002F0BF0"/>
    <w:rsid w:val="002F1146"/>
    <w:rsid w:val="002F116D"/>
    <w:rsid w:val="002F1ADC"/>
    <w:rsid w:val="002F1BEB"/>
    <w:rsid w:val="002F22C0"/>
    <w:rsid w:val="002F29BD"/>
    <w:rsid w:val="002F34B4"/>
    <w:rsid w:val="002F354E"/>
    <w:rsid w:val="002F3DC1"/>
    <w:rsid w:val="002F3EB5"/>
    <w:rsid w:val="002F4021"/>
    <w:rsid w:val="002F418D"/>
    <w:rsid w:val="002F4BCA"/>
    <w:rsid w:val="002F4DE5"/>
    <w:rsid w:val="002F4E16"/>
    <w:rsid w:val="002F4E64"/>
    <w:rsid w:val="002F5069"/>
    <w:rsid w:val="002F5690"/>
    <w:rsid w:val="002F57B8"/>
    <w:rsid w:val="002F59EA"/>
    <w:rsid w:val="002F5A59"/>
    <w:rsid w:val="002F60F2"/>
    <w:rsid w:val="002F637D"/>
    <w:rsid w:val="002F6423"/>
    <w:rsid w:val="002F692A"/>
    <w:rsid w:val="002F7113"/>
    <w:rsid w:val="002F7303"/>
    <w:rsid w:val="002F75CD"/>
    <w:rsid w:val="002F76D5"/>
    <w:rsid w:val="002F783D"/>
    <w:rsid w:val="002F7F42"/>
    <w:rsid w:val="00300811"/>
    <w:rsid w:val="00300853"/>
    <w:rsid w:val="003008D2"/>
    <w:rsid w:val="00300CA7"/>
    <w:rsid w:val="00300EA0"/>
    <w:rsid w:val="00301199"/>
    <w:rsid w:val="003015AB"/>
    <w:rsid w:val="00301B70"/>
    <w:rsid w:val="00301E67"/>
    <w:rsid w:val="00302070"/>
    <w:rsid w:val="00302232"/>
    <w:rsid w:val="003025D0"/>
    <w:rsid w:val="00302875"/>
    <w:rsid w:val="00302905"/>
    <w:rsid w:val="00302CFD"/>
    <w:rsid w:val="00302D9D"/>
    <w:rsid w:val="00302DD7"/>
    <w:rsid w:val="003032A7"/>
    <w:rsid w:val="003033FE"/>
    <w:rsid w:val="00303641"/>
    <w:rsid w:val="00304139"/>
    <w:rsid w:val="003041D0"/>
    <w:rsid w:val="00304567"/>
    <w:rsid w:val="00304A5B"/>
    <w:rsid w:val="00304DB4"/>
    <w:rsid w:val="00305048"/>
    <w:rsid w:val="00305937"/>
    <w:rsid w:val="00305B1D"/>
    <w:rsid w:val="00305B29"/>
    <w:rsid w:val="00305E1F"/>
    <w:rsid w:val="003060CC"/>
    <w:rsid w:val="00306357"/>
    <w:rsid w:val="00306472"/>
    <w:rsid w:val="00306575"/>
    <w:rsid w:val="00306C05"/>
    <w:rsid w:val="00306C0E"/>
    <w:rsid w:val="00306FB1"/>
    <w:rsid w:val="00307F43"/>
    <w:rsid w:val="00310298"/>
    <w:rsid w:val="0031035F"/>
    <w:rsid w:val="003105A8"/>
    <w:rsid w:val="00310A35"/>
    <w:rsid w:val="00310AEC"/>
    <w:rsid w:val="00310C67"/>
    <w:rsid w:val="00310CA1"/>
    <w:rsid w:val="00311E00"/>
    <w:rsid w:val="003122CC"/>
    <w:rsid w:val="00312EF8"/>
    <w:rsid w:val="00313143"/>
    <w:rsid w:val="003134EA"/>
    <w:rsid w:val="0031373E"/>
    <w:rsid w:val="00313934"/>
    <w:rsid w:val="00313B29"/>
    <w:rsid w:val="00314092"/>
    <w:rsid w:val="00314253"/>
    <w:rsid w:val="00314B37"/>
    <w:rsid w:val="00314E27"/>
    <w:rsid w:val="0031519E"/>
    <w:rsid w:val="0031522F"/>
    <w:rsid w:val="0031536A"/>
    <w:rsid w:val="003154DD"/>
    <w:rsid w:val="00315630"/>
    <w:rsid w:val="003156EB"/>
    <w:rsid w:val="003158A5"/>
    <w:rsid w:val="00315A95"/>
    <w:rsid w:val="00315AC4"/>
    <w:rsid w:val="00315AEC"/>
    <w:rsid w:val="00316109"/>
    <w:rsid w:val="00316213"/>
    <w:rsid w:val="00316306"/>
    <w:rsid w:val="0031646D"/>
    <w:rsid w:val="00316A3D"/>
    <w:rsid w:val="00316A71"/>
    <w:rsid w:val="00316C22"/>
    <w:rsid w:val="00317A54"/>
    <w:rsid w:val="00320A9F"/>
    <w:rsid w:val="00320AF1"/>
    <w:rsid w:val="0032152C"/>
    <w:rsid w:val="003218E3"/>
    <w:rsid w:val="00321CA9"/>
    <w:rsid w:val="00321E88"/>
    <w:rsid w:val="00321EC8"/>
    <w:rsid w:val="00322B69"/>
    <w:rsid w:val="00322C36"/>
    <w:rsid w:val="00323050"/>
    <w:rsid w:val="00323077"/>
    <w:rsid w:val="0032372C"/>
    <w:rsid w:val="00323792"/>
    <w:rsid w:val="00323952"/>
    <w:rsid w:val="00323A19"/>
    <w:rsid w:val="00323B6F"/>
    <w:rsid w:val="00323B9A"/>
    <w:rsid w:val="00324360"/>
    <w:rsid w:val="003243F3"/>
    <w:rsid w:val="00324441"/>
    <w:rsid w:val="00324697"/>
    <w:rsid w:val="00324BA4"/>
    <w:rsid w:val="00324FDA"/>
    <w:rsid w:val="0032519B"/>
    <w:rsid w:val="0032526D"/>
    <w:rsid w:val="00325415"/>
    <w:rsid w:val="00325FA5"/>
    <w:rsid w:val="00326097"/>
    <w:rsid w:val="00326197"/>
    <w:rsid w:val="0032676B"/>
    <w:rsid w:val="00326B55"/>
    <w:rsid w:val="00327495"/>
    <w:rsid w:val="003275B4"/>
    <w:rsid w:val="0032763F"/>
    <w:rsid w:val="00327AB4"/>
    <w:rsid w:val="00327B87"/>
    <w:rsid w:val="00327C8E"/>
    <w:rsid w:val="00330035"/>
    <w:rsid w:val="0033015A"/>
    <w:rsid w:val="00330598"/>
    <w:rsid w:val="003311E1"/>
    <w:rsid w:val="003313AF"/>
    <w:rsid w:val="003315D0"/>
    <w:rsid w:val="00331CA3"/>
    <w:rsid w:val="00331CF7"/>
    <w:rsid w:val="00332644"/>
    <w:rsid w:val="0033305A"/>
    <w:rsid w:val="0033317E"/>
    <w:rsid w:val="00333A51"/>
    <w:rsid w:val="00333F04"/>
    <w:rsid w:val="0033414C"/>
    <w:rsid w:val="0033444B"/>
    <w:rsid w:val="00334B61"/>
    <w:rsid w:val="003350D3"/>
    <w:rsid w:val="00335727"/>
    <w:rsid w:val="003357FE"/>
    <w:rsid w:val="003358EE"/>
    <w:rsid w:val="00335B21"/>
    <w:rsid w:val="00335B53"/>
    <w:rsid w:val="00335D99"/>
    <w:rsid w:val="00337004"/>
    <w:rsid w:val="0033712F"/>
    <w:rsid w:val="0033752C"/>
    <w:rsid w:val="00337850"/>
    <w:rsid w:val="00337C7B"/>
    <w:rsid w:val="00337F95"/>
    <w:rsid w:val="00340119"/>
    <w:rsid w:val="003402B7"/>
    <w:rsid w:val="003409CC"/>
    <w:rsid w:val="00340A97"/>
    <w:rsid w:val="00340AA2"/>
    <w:rsid w:val="003411BB"/>
    <w:rsid w:val="00341C17"/>
    <w:rsid w:val="00341D0E"/>
    <w:rsid w:val="00342B2B"/>
    <w:rsid w:val="00342D5E"/>
    <w:rsid w:val="003430A5"/>
    <w:rsid w:val="003434C3"/>
    <w:rsid w:val="003435A5"/>
    <w:rsid w:val="003435B5"/>
    <w:rsid w:val="003438F4"/>
    <w:rsid w:val="00343A8B"/>
    <w:rsid w:val="00343FA6"/>
    <w:rsid w:val="003441B3"/>
    <w:rsid w:val="00344282"/>
    <w:rsid w:val="00344327"/>
    <w:rsid w:val="0034484E"/>
    <w:rsid w:val="003448CB"/>
    <w:rsid w:val="00344CBD"/>
    <w:rsid w:val="003450DF"/>
    <w:rsid w:val="003454FA"/>
    <w:rsid w:val="00345D1E"/>
    <w:rsid w:val="00345F15"/>
    <w:rsid w:val="003464C4"/>
    <w:rsid w:val="003464ED"/>
    <w:rsid w:val="0034690A"/>
    <w:rsid w:val="00346D79"/>
    <w:rsid w:val="00346F80"/>
    <w:rsid w:val="00347A7F"/>
    <w:rsid w:val="00347A94"/>
    <w:rsid w:val="00347D89"/>
    <w:rsid w:val="00350BB5"/>
    <w:rsid w:val="00350D90"/>
    <w:rsid w:val="00350FCC"/>
    <w:rsid w:val="0035131B"/>
    <w:rsid w:val="00351550"/>
    <w:rsid w:val="0035156A"/>
    <w:rsid w:val="0035171A"/>
    <w:rsid w:val="00351AE7"/>
    <w:rsid w:val="00351B1A"/>
    <w:rsid w:val="00351D9C"/>
    <w:rsid w:val="00351FF1"/>
    <w:rsid w:val="0035200D"/>
    <w:rsid w:val="003524B5"/>
    <w:rsid w:val="00352678"/>
    <w:rsid w:val="00352856"/>
    <w:rsid w:val="0035333F"/>
    <w:rsid w:val="0035425D"/>
    <w:rsid w:val="0035448D"/>
    <w:rsid w:val="00354C86"/>
    <w:rsid w:val="003550C6"/>
    <w:rsid w:val="0035517D"/>
    <w:rsid w:val="003554BC"/>
    <w:rsid w:val="00355ABF"/>
    <w:rsid w:val="00355EEC"/>
    <w:rsid w:val="00356180"/>
    <w:rsid w:val="00356690"/>
    <w:rsid w:val="00356E6D"/>
    <w:rsid w:val="0035752C"/>
    <w:rsid w:val="0035786C"/>
    <w:rsid w:val="0035798C"/>
    <w:rsid w:val="00357AE3"/>
    <w:rsid w:val="00357B66"/>
    <w:rsid w:val="00357BFA"/>
    <w:rsid w:val="00357CBD"/>
    <w:rsid w:val="00357F32"/>
    <w:rsid w:val="003600AD"/>
    <w:rsid w:val="00360780"/>
    <w:rsid w:val="00360C78"/>
    <w:rsid w:val="00360EEA"/>
    <w:rsid w:val="00360F58"/>
    <w:rsid w:val="003611C1"/>
    <w:rsid w:val="003616D5"/>
    <w:rsid w:val="00361917"/>
    <w:rsid w:val="00361AD6"/>
    <w:rsid w:val="00362038"/>
    <w:rsid w:val="00362581"/>
    <w:rsid w:val="003627E9"/>
    <w:rsid w:val="00362A78"/>
    <w:rsid w:val="003634C7"/>
    <w:rsid w:val="0036398A"/>
    <w:rsid w:val="00363CBF"/>
    <w:rsid w:val="003643DF"/>
    <w:rsid w:val="00364DFC"/>
    <w:rsid w:val="003656E2"/>
    <w:rsid w:val="00365A11"/>
    <w:rsid w:val="00365CC7"/>
    <w:rsid w:val="003664CF"/>
    <w:rsid w:val="00366923"/>
    <w:rsid w:val="00366AC4"/>
    <w:rsid w:val="00366D3E"/>
    <w:rsid w:val="00367891"/>
    <w:rsid w:val="00367FB3"/>
    <w:rsid w:val="003702F5"/>
    <w:rsid w:val="0037089B"/>
    <w:rsid w:val="003708C1"/>
    <w:rsid w:val="00370ACF"/>
    <w:rsid w:val="00370BA7"/>
    <w:rsid w:val="00370DB6"/>
    <w:rsid w:val="00370EF0"/>
    <w:rsid w:val="003715C9"/>
    <w:rsid w:val="00371D58"/>
    <w:rsid w:val="00371F9F"/>
    <w:rsid w:val="0037200B"/>
    <w:rsid w:val="00372063"/>
    <w:rsid w:val="00372082"/>
    <w:rsid w:val="00372AB7"/>
    <w:rsid w:val="003736E5"/>
    <w:rsid w:val="003737A5"/>
    <w:rsid w:val="003739A8"/>
    <w:rsid w:val="003739CA"/>
    <w:rsid w:val="00373BCE"/>
    <w:rsid w:val="00374276"/>
    <w:rsid w:val="003743AD"/>
    <w:rsid w:val="00374531"/>
    <w:rsid w:val="00374573"/>
    <w:rsid w:val="003745A6"/>
    <w:rsid w:val="003745F2"/>
    <w:rsid w:val="0037489F"/>
    <w:rsid w:val="0037496C"/>
    <w:rsid w:val="00374E01"/>
    <w:rsid w:val="00374E1D"/>
    <w:rsid w:val="0037505F"/>
    <w:rsid w:val="0037529C"/>
    <w:rsid w:val="003756CE"/>
    <w:rsid w:val="00375AC5"/>
    <w:rsid w:val="00375E44"/>
    <w:rsid w:val="00376000"/>
    <w:rsid w:val="003766FC"/>
    <w:rsid w:val="00376BF2"/>
    <w:rsid w:val="00376D9A"/>
    <w:rsid w:val="00376DA3"/>
    <w:rsid w:val="0037738E"/>
    <w:rsid w:val="00377510"/>
    <w:rsid w:val="00377729"/>
    <w:rsid w:val="003777AF"/>
    <w:rsid w:val="003777EF"/>
    <w:rsid w:val="003778F7"/>
    <w:rsid w:val="00377975"/>
    <w:rsid w:val="00377BBC"/>
    <w:rsid w:val="00377D48"/>
    <w:rsid w:val="00380EF3"/>
    <w:rsid w:val="00381268"/>
    <w:rsid w:val="0038215C"/>
    <w:rsid w:val="00382206"/>
    <w:rsid w:val="0038236F"/>
    <w:rsid w:val="00382D1C"/>
    <w:rsid w:val="00382E55"/>
    <w:rsid w:val="00382F17"/>
    <w:rsid w:val="003830C7"/>
    <w:rsid w:val="0038369E"/>
    <w:rsid w:val="00383AF0"/>
    <w:rsid w:val="003846BE"/>
    <w:rsid w:val="00384ED9"/>
    <w:rsid w:val="00384F9B"/>
    <w:rsid w:val="00385377"/>
    <w:rsid w:val="0038541D"/>
    <w:rsid w:val="0038557F"/>
    <w:rsid w:val="00385788"/>
    <w:rsid w:val="00385ABF"/>
    <w:rsid w:val="00385C66"/>
    <w:rsid w:val="003861B3"/>
    <w:rsid w:val="003865E5"/>
    <w:rsid w:val="003868A8"/>
    <w:rsid w:val="00386B68"/>
    <w:rsid w:val="00387175"/>
    <w:rsid w:val="003871E8"/>
    <w:rsid w:val="00387728"/>
    <w:rsid w:val="00387909"/>
    <w:rsid w:val="00387937"/>
    <w:rsid w:val="00390753"/>
    <w:rsid w:val="00390E4F"/>
    <w:rsid w:val="0039115D"/>
    <w:rsid w:val="00391723"/>
    <w:rsid w:val="003918D8"/>
    <w:rsid w:val="003919AD"/>
    <w:rsid w:val="00391A49"/>
    <w:rsid w:val="00391A56"/>
    <w:rsid w:val="00391B5A"/>
    <w:rsid w:val="00391B6F"/>
    <w:rsid w:val="00391D34"/>
    <w:rsid w:val="00391DB3"/>
    <w:rsid w:val="00391F28"/>
    <w:rsid w:val="00392326"/>
    <w:rsid w:val="00392395"/>
    <w:rsid w:val="003926FD"/>
    <w:rsid w:val="00392B20"/>
    <w:rsid w:val="00392B6B"/>
    <w:rsid w:val="00392C0A"/>
    <w:rsid w:val="00393333"/>
    <w:rsid w:val="003933C7"/>
    <w:rsid w:val="003933D5"/>
    <w:rsid w:val="00393520"/>
    <w:rsid w:val="00394322"/>
    <w:rsid w:val="003945A8"/>
    <w:rsid w:val="00394846"/>
    <w:rsid w:val="00394CEB"/>
    <w:rsid w:val="003953D6"/>
    <w:rsid w:val="00395581"/>
    <w:rsid w:val="00395854"/>
    <w:rsid w:val="00395E7D"/>
    <w:rsid w:val="00395F4F"/>
    <w:rsid w:val="0039620E"/>
    <w:rsid w:val="003963E0"/>
    <w:rsid w:val="003964DA"/>
    <w:rsid w:val="00396523"/>
    <w:rsid w:val="00396CBF"/>
    <w:rsid w:val="00396EA8"/>
    <w:rsid w:val="00397B74"/>
    <w:rsid w:val="00397BAD"/>
    <w:rsid w:val="00397E18"/>
    <w:rsid w:val="003A05B8"/>
    <w:rsid w:val="003A0A0F"/>
    <w:rsid w:val="003A1060"/>
    <w:rsid w:val="003A112A"/>
    <w:rsid w:val="003A1BE5"/>
    <w:rsid w:val="003A1DC5"/>
    <w:rsid w:val="003A2224"/>
    <w:rsid w:val="003A22AE"/>
    <w:rsid w:val="003A2337"/>
    <w:rsid w:val="003A2829"/>
    <w:rsid w:val="003A29E5"/>
    <w:rsid w:val="003A2D89"/>
    <w:rsid w:val="003A2EC6"/>
    <w:rsid w:val="003A342A"/>
    <w:rsid w:val="003A373B"/>
    <w:rsid w:val="003A383E"/>
    <w:rsid w:val="003A3E54"/>
    <w:rsid w:val="003A4F60"/>
    <w:rsid w:val="003A5391"/>
    <w:rsid w:val="003A53CF"/>
    <w:rsid w:val="003A548B"/>
    <w:rsid w:val="003A565B"/>
    <w:rsid w:val="003A580D"/>
    <w:rsid w:val="003A5B52"/>
    <w:rsid w:val="003A5C64"/>
    <w:rsid w:val="003A634B"/>
    <w:rsid w:val="003A6E8F"/>
    <w:rsid w:val="003A6F50"/>
    <w:rsid w:val="003A77E2"/>
    <w:rsid w:val="003A78BD"/>
    <w:rsid w:val="003A799B"/>
    <w:rsid w:val="003A7DFF"/>
    <w:rsid w:val="003B0205"/>
    <w:rsid w:val="003B0469"/>
    <w:rsid w:val="003B0580"/>
    <w:rsid w:val="003B0D5D"/>
    <w:rsid w:val="003B0E1A"/>
    <w:rsid w:val="003B0E8F"/>
    <w:rsid w:val="003B0F21"/>
    <w:rsid w:val="003B1734"/>
    <w:rsid w:val="003B1B67"/>
    <w:rsid w:val="003B1F92"/>
    <w:rsid w:val="003B207B"/>
    <w:rsid w:val="003B208E"/>
    <w:rsid w:val="003B214B"/>
    <w:rsid w:val="003B242A"/>
    <w:rsid w:val="003B27E1"/>
    <w:rsid w:val="003B292E"/>
    <w:rsid w:val="003B2A5B"/>
    <w:rsid w:val="003B2F26"/>
    <w:rsid w:val="003B332B"/>
    <w:rsid w:val="003B3427"/>
    <w:rsid w:val="003B348A"/>
    <w:rsid w:val="003B3495"/>
    <w:rsid w:val="003B3F39"/>
    <w:rsid w:val="003B4192"/>
    <w:rsid w:val="003B4428"/>
    <w:rsid w:val="003B44A5"/>
    <w:rsid w:val="003B474F"/>
    <w:rsid w:val="003B49B5"/>
    <w:rsid w:val="003B49CE"/>
    <w:rsid w:val="003B4B41"/>
    <w:rsid w:val="003B5006"/>
    <w:rsid w:val="003B51A9"/>
    <w:rsid w:val="003B54E6"/>
    <w:rsid w:val="003B56E9"/>
    <w:rsid w:val="003B5801"/>
    <w:rsid w:val="003B6034"/>
    <w:rsid w:val="003B60B6"/>
    <w:rsid w:val="003B6103"/>
    <w:rsid w:val="003B65B6"/>
    <w:rsid w:val="003B6618"/>
    <w:rsid w:val="003B6871"/>
    <w:rsid w:val="003B6AE1"/>
    <w:rsid w:val="003B6D11"/>
    <w:rsid w:val="003B70D5"/>
    <w:rsid w:val="003B718C"/>
    <w:rsid w:val="003B7818"/>
    <w:rsid w:val="003B7ABD"/>
    <w:rsid w:val="003B7DBD"/>
    <w:rsid w:val="003C0817"/>
    <w:rsid w:val="003C1078"/>
    <w:rsid w:val="003C1657"/>
    <w:rsid w:val="003C1733"/>
    <w:rsid w:val="003C1B64"/>
    <w:rsid w:val="003C1DF2"/>
    <w:rsid w:val="003C1F11"/>
    <w:rsid w:val="003C234F"/>
    <w:rsid w:val="003C25F7"/>
    <w:rsid w:val="003C29AD"/>
    <w:rsid w:val="003C2AA5"/>
    <w:rsid w:val="003C2E93"/>
    <w:rsid w:val="003C2FE5"/>
    <w:rsid w:val="003C323F"/>
    <w:rsid w:val="003C3916"/>
    <w:rsid w:val="003C3A9D"/>
    <w:rsid w:val="003C3AAF"/>
    <w:rsid w:val="003C3DD2"/>
    <w:rsid w:val="003C3F70"/>
    <w:rsid w:val="003C401F"/>
    <w:rsid w:val="003C41F3"/>
    <w:rsid w:val="003C447E"/>
    <w:rsid w:val="003C44E0"/>
    <w:rsid w:val="003C4572"/>
    <w:rsid w:val="003C482E"/>
    <w:rsid w:val="003C4979"/>
    <w:rsid w:val="003C4A0C"/>
    <w:rsid w:val="003C4B9B"/>
    <w:rsid w:val="003C4D8B"/>
    <w:rsid w:val="003C4E03"/>
    <w:rsid w:val="003C5054"/>
    <w:rsid w:val="003C578F"/>
    <w:rsid w:val="003C5A36"/>
    <w:rsid w:val="003C5C9C"/>
    <w:rsid w:val="003C5DA1"/>
    <w:rsid w:val="003C63E7"/>
    <w:rsid w:val="003C7140"/>
    <w:rsid w:val="003C7175"/>
    <w:rsid w:val="003C72C3"/>
    <w:rsid w:val="003C7324"/>
    <w:rsid w:val="003C7C7D"/>
    <w:rsid w:val="003C7D3C"/>
    <w:rsid w:val="003C7F49"/>
    <w:rsid w:val="003D009D"/>
    <w:rsid w:val="003D0357"/>
    <w:rsid w:val="003D06E0"/>
    <w:rsid w:val="003D0BE1"/>
    <w:rsid w:val="003D0CD5"/>
    <w:rsid w:val="003D11C0"/>
    <w:rsid w:val="003D1771"/>
    <w:rsid w:val="003D17FC"/>
    <w:rsid w:val="003D1A7F"/>
    <w:rsid w:val="003D1CCB"/>
    <w:rsid w:val="003D1D53"/>
    <w:rsid w:val="003D211F"/>
    <w:rsid w:val="003D2268"/>
    <w:rsid w:val="003D2382"/>
    <w:rsid w:val="003D2411"/>
    <w:rsid w:val="003D2559"/>
    <w:rsid w:val="003D283D"/>
    <w:rsid w:val="003D2E6B"/>
    <w:rsid w:val="003D31CA"/>
    <w:rsid w:val="003D33C2"/>
    <w:rsid w:val="003D366A"/>
    <w:rsid w:val="003D3BBD"/>
    <w:rsid w:val="003D3C9C"/>
    <w:rsid w:val="003D3FBA"/>
    <w:rsid w:val="003D4020"/>
    <w:rsid w:val="003D4371"/>
    <w:rsid w:val="003D4556"/>
    <w:rsid w:val="003D45CC"/>
    <w:rsid w:val="003D47FC"/>
    <w:rsid w:val="003D48E5"/>
    <w:rsid w:val="003D4D2F"/>
    <w:rsid w:val="003D4E52"/>
    <w:rsid w:val="003D54C3"/>
    <w:rsid w:val="003D551A"/>
    <w:rsid w:val="003D5AE3"/>
    <w:rsid w:val="003D5BB2"/>
    <w:rsid w:val="003D6167"/>
    <w:rsid w:val="003D65E5"/>
    <w:rsid w:val="003D6A7A"/>
    <w:rsid w:val="003D6B50"/>
    <w:rsid w:val="003D7929"/>
    <w:rsid w:val="003E0796"/>
    <w:rsid w:val="003E0B70"/>
    <w:rsid w:val="003E0F44"/>
    <w:rsid w:val="003E12B8"/>
    <w:rsid w:val="003E19CD"/>
    <w:rsid w:val="003E1B5B"/>
    <w:rsid w:val="003E1BCF"/>
    <w:rsid w:val="003E1C03"/>
    <w:rsid w:val="003E1ECC"/>
    <w:rsid w:val="003E1EEC"/>
    <w:rsid w:val="003E1F10"/>
    <w:rsid w:val="003E1F7C"/>
    <w:rsid w:val="003E2294"/>
    <w:rsid w:val="003E2547"/>
    <w:rsid w:val="003E29A2"/>
    <w:rsid w:val="003E2C17"/>
    <w:rsid w:val="003E2FDE"/>
    <w:rsid w:val="003E30D8"/>
    <w:rsid w:val="003E32DD"/>
    <w:rsid w:val="003E3395"/>
    <w:rsid w:val="003E33E3"/>
    <w:rsid w:val="003E3469"/>
    <w:rsid w:val="003E3637"/>
    <w:rsid w:val="003E368D"/>
    <w:rsid w:val="003E36B0"/>
    <w:rsid w:val="003E3ACD"/>
    <w:rsid w:val="003E3DF5"/>
    <w:rsid w:val="003E419E"/>
    <w:rsid w:val="003E4355"/>
    <w:rsid w:val="003E51A1"/>
    <w:rsid w:val="003E51E6"/>
    <w:rsid w:val="003E58CA"/>
    <w:rsid w:val="003E5A0D"/>
    <w:rsid w:val="003E614F"/>
    <w:rsid w:val="003E650E"/>
    <w:rsid w:val="003E71A6"/>
    <w:rsid w:val="003E730E"/>
    <w:rsid w:val="003E77E9"/>
    <w:rsid w:val="003E7932"/>
    <w:rsid w:val="003E7D6B"/>
    <w:rsid w:val="003F022C"/>
    <w:rsid w:val="003F038D"/>
    <w:rsid w:val="003F03B5"/>
    <w:rsid w:val="003F07FC"/>
    <w:rsid w:val="003F0962"/>
    <w:rsid w:val="003F0BD8"/>
    <w:rsid w:val="003F0C01"/>
    <w:rsid w:val="003F0C6A"/>
    <w:rsid w:val="003F0FF0"/>
    <w:rsid w:val="003F168B"/>
    <w:rsid w:val="003F1CE0"/>
    <w:rsid w:val="003F1E1C"/>
    <w:rsid w:val="003F225D"/>
    <w:rsid w:val="003F22CD"/>
    <w:rsid w:val="003F232C"/>
    <w:rsid w:val="003F235B"/>
    <w:rsid w:val="003F2375"/>
    <w:rsid w:val="003F273B"/>
    <w:rsid w:val="003F27BA"/>
    <w:rsid w:val="003F3328"/>
    <w:rsid w:val="003F35AF"/>
    <w:rsid w:val="003F4123"/>
    <w:rsid w:val="003F442F"/>
    <w:rsid w:val="003F47E9"/>
    <w:rsid w:val="003F4B4D"/>
    <w:rsid w:val="003F4D61"/>
    <w:rsid w:val="003F4FBD"/>
    <w:rsid w:val="003F56BA"/>
    <w:rsid w:val="003F576F"/>
    <w:rsid w:val="003F58A6"/>
    <w:rsid w:val="003F591A"/>
    <w:rsid w:val="003F595D"/>
    <w:rsid w:val="003F6203"/>
    <w:rsid w:val="003F621E"/>
    <w:rsid w:val="003F62F8"/>
    <w:rsid w:val="003F73EC"/>
    <w:rsid w:val="003F7517"/>
    <w:rsid w:val="003F78EE"/>
    <w:rsid w:val="003F799B"/>
    <w:rsid w:val="003F7BF1"/>
    <w:rsid w:val="003F7F63"/>
    <w:rsid w:val="0040013F"/>
    <w:rsid w:val="0040092A"/>
    <w:rsid w:val="00400C14"/>
    <w:rsid w:val="00400C1D"/>
    <w:rsid w:val="00400FB2"/>
    <w:rsid w:val="0040119A"/>
    <w:rsid w:val="0040163A"/>
    <w:rsid w:val="00401C98"/>
    <w:rsid w:val="00401DA3"/>
    <w:rsid w:val="0040220C"/>
    <w:rsid w:val="00402263"/>
    <w:rsid w:val="00402783"/>
    <w:rsid w:val="00402ACD"/>
    <w:rsid w:val="00402B6E"/>
    <w:rsid w:val="00402F03"/>
    <w:rsid w:val="0040302A"/>
    <w:rsid w:val="004032F6"/>
    <w:rsid w:val="0040349B"/>
    <w:rsid w:val="0040355E"/>
    <w:rsid w:val="004038E8"/>
    <w:rsid w:val="00404366"/>
    <w:rsid w:val="00404380"/>
    <w:rsid w:val="00404CC1"/>
    <w:rsid w:val="00404F4D"/>
    <w:rsid w:val="00405075"/>
    <w:rsid w:val="004050FB"/>
    <w:rsid w:val="00405508"/>
    <w:rsid w:val="0040588A"/>
    <w:rsid w:val="00405B9B"/>
    <w:rsid w:val="00405ECF"/>
    <w:rsid w:val="004061AA"/>
    <w:rsid w:val="0040650C"/>
    <w:rsid w:val="004065D9"/>
    <w:rsid w:val="00406864"/>
    <w:rsid w:val="0040707D"/>
    <w:rsid w:val="0040728A"/>
    <w:rsid w:val="0040785A"/>
    <w:rsid w:val="00410086"/>
    <w:rsid w:val="0041072F"/>
    <w:rsid w:val="00410CA0"/>
    <w:rsid w:val="00410E8C"/>
    <w:rsid w:val="00411425"/>
    <w:rsid w:val="004115C7"/>
    <w:rsid w:val="004116CA"/>
    <w:rsid w:val="0041182D"/>
    <w:rsid w:val="00411861"/>
    <w:rsid w:val="00411B08"/>
    <w:rsid w:val="00411C3A"/>
    <w:rsid w:val="00411C43"/>
    <w:rsid w:val="00411CEA"/>
    <w:rsid w:val="004120DE"/>
    <w:rsid w:val="00412205"/>
    <w:rsid w:val="0041251F"/>
    <w:rsid w:val="0041285D"/>
    <w:rsid w:val="00412B19"/>
    <w:rsid w:val="00412D21"/>
    <w:rsid w:val="00413939"/>
    <w:rsid w:val="00413B7E"/>
    <w:rsid w:val="00413DAB"/>
    <w:rsid w:val="004144E1"/>
    <w:rsid w:val="0041450F"/>
    <w:rsid w:val="00414781"/>
    <w:rsid w:val="00414A4A"/>
    <w:rsid w:val="00414F85"/>
    <w:rsid w:val="00415B5C"/>
    <w:rsid w:val="00415C02"/>
    <w:rsid w:val="00415E19"/>
    <w:rsid w:val="00415E36"/>
    <w:rsid w:val="00416798"/>
    <w:rsid w:val="0041694B"/>
    <w:rsid w:val="00416B73"/>
    <w:rsid w:val="00416FCE"/>
    <w:rsid w:val="004174D1"/>
    <w:rsid w:val="00417816"/>
    <w:rsid w:val="004178A0"/>
    <w:rsid w:val="00417981"/>
    <w:rsid w:val="00417CFC"/>
    <w:rsid w:val="00420B24"/>
    <w:rsid w:val="00420F89"/>
    <w:rsid w:val="00421003"/>
    <w:rsid w:val="0042117F"/>
    <w:rsid w:val="00421D5A"/>
    <w:rsid w:val="00421DA2"/>
    <w:rsid w:val="00421E9B"/>
    <w:rsid w:val="004223F4"/>
    <w:rsid w:val="00422597"/>
    <w:rsid w:val="004225AA"/>
    <w:rsid w:val="00422622"/>
    <w:rsid w:val="00422843"/>
    <w:rsid w:val="004229B4"/>
    <w:rsid w:val="00422AD4"/>
    <w:rsid w:val="00422CBB"/>
    <w:rsid w:val="004231AD"/>
    <w:rsid w:val="00423AEC"/>
    <w:rsid w:val="00423BC0"/>
    <w:rsid w:val="004242D9"/>
    <w:rsid w:val="00424ADC"/>
    <w:rsid w:val="00424D9F"/>
    <w:rsid w:val="004253A5"/>
    <w:rsid w:val="00425A0F"/>
    <w:rsid w:val="00425B31"/>
    <w:rsid w:val="00425F3A"/>
    <w:rsid w:val="00426389"/>
    <w:rsid w:val="004269C8"/>
    <w:rsid w:val="00426ABE"/>
    <w:rsid w:val="0042747E"/>
    <w:rsid w:val="00427C4C"/>
    <w:rsid w:val="00427C71"/>
    <w:rsid w:val="00427EC3"/>
    <w:rsid w:val="00430107"/>
    <w:rsid w:val="004301D3"/>
    <w:rsid w:val="00430430"/>
    <w:rsid w:val="00430A45"/>
    <w:rsid w:val="00430B5E"/>
    <w:rsid w:val="00430C8C"/>
    <w:rsid w:val="00430D78"/>
    <w:rsid w:val="00430FA1"/>
    <w:rsid w:val="00431052"/>
    <w:rsid w:val="00431905"/>
    <w:rsid w:val="00431BE4"/>
    <w:rsid w:val="00431BFC"/>
    <w:rsid w:val="004320C5"/>
    <w:rsid w:val="00432253"/>
    <w:rsid w:val="0043238C"/>
    <w:rsid w:val="0043245A"/>
    <w:rsid w:val="00432543"/>
    <w:rsid w:val="004326D5"/>
    <w:rsid w:val="00432832"/>
    <w:rsid w:val="00432B1C"/>
    <w:rsid w:val="00432BDF"/>
    <w:rsid w:val="00432C98"/>
    <w:rsid w:val="00432FE5"/>
    <w:rsid w:val="004335EE"/>
    <w:rsid w:val="00433648"/>
    <w:rsid w:val="00433FF0"/>
    <w:rsid w:val="00434478"/>
    <w:rsid w:val="004346D3"/>
    <w:rsid w:val="00434B3A"/>
    <w:rsid w:val="00434B43"/>
    <w:rsid w:val="00434CAB"/>
    <w:rsid w:val="00434D60"/>
    <w:rsid w:val="0043516D"/>
    <w:rsid w:val="0043574A"/>
    <w:rsid w:val="004359AB"/>
    <w:rsid w:val="00435A20"/>
    <w:rsid w:val="00435F84"/>
    <w:rsid w:val="00436C5A"/>
    <w:rsid w:val="00436DE9"/>
    <w:rsid w:val="00436EEC"/>
    <w:rsid w:val="004373AF"/>
    <w:rsid w:val="004379DF"/>
    <w:rsid w:val="004400D7"/>
    <w:rsid w:val="00440576"/>
    <w:rsid w:val="00440A93"/>
    <w:rsid w:val="00440AA8"/>
    <w:rsid w:val="00440AB2"/>
    <w:rsid w:val="00440C82"/>
    <w:rsid w:val="00440D46"/>
    <w:rsid w:val="00440D7C"/>
    <w:rsid w:val="00440DBB"/>
    <w:rsid w:val="0044166B"/>
    <w:rsid w:val="0044183A"/>
    <w:rsid w:val="00441CBB"/>
    <w:rsid w:val="004420D8"/>
    <w:rsid w:val="0044211F"/>
    <w:rsid w:val="00442228"/>
    <w:rsid w:val="00442478"/>
    <w:rsid w:val="0044252B"/>
    <w:rsid w:val="00442BC7"/>
    <w:rsid w:val="0044351B"/>
    <w:rsid w:val="00443827"/>
    <w:rsid w:val="004438E2"/>
    <w:rsid w:val="00443923"/>
    <w:rsid w:val="00443B35"/>
    <w:rsid w:val="00443BFF"/>
    <w:rsid w:val="004440ED"/>
    <w:rsid w:val="004440FE"/>
    <w:rsid w:val="004447DD"/>
    <w:rsid w:val="00444D8F"/>
    <w:rsid w:val="00445375"/>
    <w:rsid w:val="00445961"/>
    <w:rsid w:val="00446427"/>
    <w:rsid w:val="00446AB1"/>
    <w:rsid w:val="00446CD8"/>
    <w:rsid w:val="00447674"/>
    <w:rsid w:val="00447870"/>
    <w:rsid w:val="004479A1"/>
    <w:rsid w:val="00447C91"/>
    <w:rsid w:val="00447FE1"/>
    <w:rsid w:val="00450809"/>
    <w:rsid w:val="004514CD"/>
    <w:rsid w:val="00451547"/>
    <w:rsid w:val="00451A64"/>
    <w:rsid w:val="00452095"/>
    <w:rsid w:val="004520BF"/>
    <w:rsid w:val="004526BF"/>
    <w:rsid w:val="00452990"/>
    <w:rsid w:val="00452DB8"/>
    <w:rsid w:val="00452E82"/>
    <w:rsid w:val="00453512"/>
    <w:rsid w:val="0045386B"/>
    <w:rsid w:val="004539DD"/>
    <w:rsid w:val="00453B59"/>
    <w:rsid w:val="00453BF1"/>
    <w:rsid w:val="0045418E"/>
    <w:rsid w:val="0045427C"/>
    <w:rsid w:val="00454545"/>
    <w:rsid w:val="00454EBD"/>
    <w:rsid w:val="00454EF2"/>
    <w:rsid w:val="0045505D"/>
    <w:rsid w:val="00455AE7"/>
    <w:rsid w:val="00455CAB"/>
    <w:rsid w:val="00456132"/>
    <w:rsid w:val="004565A7"/>
    <w:rsid w:val="004569FB"/>
    <w:rsid w:val="00456C3C"/>
    <w:rsid w:val="004570BB"/>
    <w:rsid w:val="004571EB"/>
    <w:rsid w:val="00457400"/>
    <w:rsid w:val="00457548"/>
    <w:rsid w:val="00457735"/>
    <w:rsid w:val="00457B43"/>
    <w:rsid w:val="004602C3"/>
    <w:rsid w:val="0046057A"/>
    <w:rsid w:val="00460753"/>
    <w:rsid w:val="004609AA"/>
    <w:rsid w:val="00460BBE"/>
    <w:rsid w:val="00461089"/>
    <w:rsid w:val="00461184"/>
    <w:rsid w:val="004618A8"/>
    <w:rsid w:val="00461E4D"/>
    <w:rsid w:val="00461E82"/>
    <w:rsid w:val="00461FE3"/>
    <w:rsid w:val="004620C3"/>
    <w:rsid w:val="004623AF"/>
    <w:rsid w:val="00462AF6"/>
    <w:rsid w:val="00462BFF"/>
    <w:rsid w:val="00462D36"/>
    <w:rsid w:val="004631AF"/>
    <w:rsid w:val="004632D8"/>
    <w:rsid w:val="00463477"/>
    <w:rsid w:val="00463520"/>
    <w:rsid w:val="004637EC"/>
    <w:rsid w:val="00463C52"/>
    <w:rsid w:val="00463F0C"/>
    <w:rsid w:val="00464235"/>
    <w:rsid w:val="00464371"/>
    <w:rsid w:val="0046467F"/>
    <w:rsid w:val="00464761"/>
    <w:rsid w:val="0046484F"/>
    <w:rsid w:val="0046486C"/>
    <w:rsid w:val="00464A5A"/>
    <w:rsid w:val="00464BC2"/>
    <w:rsid w:val="00464BC7"/>
    <w:rsid w:val="004650BC"/>
    <w:rsid w:val="004655BE"/>
    <w:rsid w:val="00465736"/>
    <w:rsid w:val="004658D7"/>
    <w:rsid w:val="00465A15"/>
    <w:rsid w:val="00465B15"/>
    <w:rsid w:val="00465D37"/>
    <w:rsid w:val="00466049"/>
    <w:rsid w:val="0046663A"/>
    <w:rsid w:val="0046665C"/>
    <w:rsid w:val="00466926"/>
    <w:rsid w:val="0046694A"/>
    <w:rsid w:val="00466B52"/>
    <w:rsid w:val="004671E7"/>
    <w:rsid w:val="004674AE"/>
    <w:rsid w:val="00467EDF"/>
    <w:rsid w:val="00467EE5"/>
    <w:rsid w:val="00470142"/>
    <w:rsid w:val="0047070B"/>
    <w:rsid w:val="00470844"/>
    <w:rsid w:val="00470996"/>
    <w:rsid w:val="00470B76"/>
    <w:rsid w:val="00470C2E"/>
    <w:rsid w:val="00470D9E"/>
    <w:rsid w:val="00470EE9"/>
    <w:rsid w:val="00471738"/>
    <w:rsid w:val="00471F0A"/>
    <w:rsid w:val="00471F83"/>
    <w:rsid w:val="00471F9A"/>
    <w:rsid w:val="004722B3"/>
    <w:rsid w:val="00472C6B"/>
    <w:rsid w:val="00472DEF"/>
    <w:rsid w:val="0047333F"/>
    <w:rsid w:val="0047342B"/>
    <w:rsid w:val="004735DA"/>
    <w:rsid w:val="004738F9"/>
    <w:rsid w:val="00474080"/>
    <w:rsid w:val="0047469C"/>
    <w:rsid w:val="004747EE"/>
    <w:rsid w:val="00474B61"/>
    <w:rsid w:val="00474E59"/>
    <w:rsid w:val="00474EA7"/>
    <w:rsid w:val="00475029"/>
    <w:rsid w:val="004751A4"/>
    <w:rsid w:val="00475259"/>
    <w:rsid w:val="0047559F"/>
    <w:rsid w:val="004755DF"/>
    <w:rsid w:val="00475B2C"/>
    <w:rsid w:val="004760CB"/>
    <w:rsid w:val="00476685"/>
    <w:rsid w:val="0047688E"/>
    <w:rsid w:val="00476B58"/>
    <w:rsid w:val="00477012"/>
    <w:rsid w:val="00477365"/>
    <w:rsid w:val="004773D3"/>
    <w:rsid w:val="0047754B"/>
    <w:rsid w:val="00477568"/>
    <w:rsid w:val="0047760E"/>
    <w:rsid w:val="00477CF7"/>
    <w:rsid w:val="00480668"/>
    <w:rsid w:val="004809D4"/>
    <w:rsid w:val="00480C12"/>
    <w:rsid w:val="004811E9"/>
    <w:rsid w:val="004813C5"/>
    <w:rsid w:val="00481725"/>
    <w:rsid w:val="004818DE"/>
    <w:rsid w:val="00481BF0"/>
    <w:rsid w:val="00481C66"/>
    <w:rsid w:val="00481E3C"/>
    <w:rsid w:val="00481F20"/>
    <w:rsid w:val="0048244F"/>
    <w:rsid w:val="004824B0"/>
    <w:rsid w:val="0048296D"/>
    <w:rsid w:val="00482AD8"/>
    <w:rsid w:val="00482E16"/>
    <w:rsid w:val="0048301C"/>
    <w:rsid w:val="00483053"/>
    <w:rsid w:val="00483467"/>
    <w:rsid w:val="004837FC"/>
    <w:rsid w:val="00483F20"/>
    <w:rsid w:val="004856A0"/>
    <w:rsid w:val="0048571E"/>
    <w:rsid w:val="004857FE"/>
    <w:rsid w:val="00485AE7"/>
    <w:rsid w:val="00485BF5"/>
    <w:rsid w:val="0048606B"/>
    <w:rsid w:val="00486156"/>
    <w:rsid w:val="004867DB"/>
    <w:rsid w:val="004869EB"/>
    <w:rsid w:val="00486A1E"/>
    <w:rsid w:val="00486A2F"/>
    <w:rsid w:val="0048770D"/>
    <w:rsid w:val="00487895"/>
    <w:rsid w:val="00487C1D"/>
    <w:rsid w:val="00487C5B"/>
    <w:rsid w:val="00487D3C"/>
    <w:rsid w:val="00487EA6"/>
    <w:rsid w:val="00487FA9"/>
    <w:rsid w:val="0049055F"/>
    <w:rsid w:val="0049065D"/>
    <w:rsid w:val="00490814"/>
    <w:rsid w:val="00490C7E"/>
    <w:rsid w:val="00490C9C"/>
    <w:rsid w:val="004910B5"/>
    <w:rsid w:val="0049175E"/>
    <w:rsid w:val="004918C4"/>
    <w:rsid w:val="004919BB"/>
    <w:rsid w:val="004919C3"/>
    <w:rsid w:val="00491C5F"/>
    <w:rsid w:val="00491E82"/>
    <w:rsid w:val="00492635"/>
    <w:rsid w:val="004927BD"/>
    <w:rsid w:val="00492B54"/>
    <w:rsid w:val="00492CCC"/>
    <w:rsid w:val="00492E3E"/>
    <w:rsid w:val="00492EE8"/>
    <w:rsid w:val="00492F09"/>
    <w:rsid w:val="00492F55"/>
    <w:rsid w:val="00493316"/>
    <w:rsid w:val="0049345B"/>
    <w:rsid w:val="0049382B"/>
    <w:rsid w:val="0049475D"/>
    <w:rsid w:val="004948F8"/>
    <w:rsid w:val="00494A8A"/>
    <w:rsid w:val="00494B53"/>
    <w:rsid w:val="00494C30"/>
    <w:rsid w:val="00494D74"/>
    <w:rsid w:val="00495161"/>
    <w:rsid w:val="00495637"/>
    <w:rsid w:val="004959E6"/>
    <w:rsid w:val="00495CBF"/>
    <w:rsid w:val="00495E1F"/>
    <w:rsid w:val="00496248"/>
    <w:rsid w:val="004964AA"/>
    <w:rsid w:val="00496664"/>
    <w:rsid w:val="004966D6"/>
    <w:rsid w:val="00496901"/>
    <w:rsid w:val="004969FC"/>
    <w:rsid w:val="00496FE3"/>
    <w:rsid w:val="0049739F"/>
    <w:rsid w:val="004976EF"/>
    <w:rsid w:val="00497A41"/>
    <w:rsid w:val="004A04F8"/>
    <w:rsid w:val="004A07BA"/>
    <w:rsid w:val="004A0A6F"/>
    <w:rsid w:val="004A0C27"/>
    <w:rsid w:val="004A1447"/>
    <w:rsid w:val="004A159F"/>
    <w:rsid w:val="004A1756"/>
    <w:rsid w:val="004A199A"/>
    <w:rsid w:val="004A1A3B"/>
    <w:rsid w:val="004A24A0"/>
    <w:rsid w:val="004A2553"/>
    <w:rsid w:val="004A2611"/>
    <w:rsid w:val="004A2765"/>
    <w:rsid w:val="004A276A"/>
    <w:rsid w:val="004A2848"/>
    <w:rsid w:val="004A2854"/>
    <w:rsid w:val="004A3362"/>
    <w:rsid w:val="004A3E5C"/>
    <w:rsid w:val="004A40BE"/>
    <w:rsid w:val="004A46C2"/>
    <w:rsid w:val="004A4E65"/>
    <w:rsid w:val="004A5450"/>
    <w:rsid w:val="004A54E0"/>
    <w:rsid w:val="004A5BB8"/>
    <w:rsid w:val="004A5C33"/>
    <w:rsid w:val="004A61F4"/>
    <w:rsid w:val="004A62CB"/>
    <w:rsid w:val="004A66BD"/>
    <w:rsid w:val="004A6D46"/>
    <w:rsid w:val="004A6DAB"/>
    <w:rsid w:val="004A7D4B"/>
    <w:rsid w:val="004B0552"/>
    <w:rsid w:val="004B06DE"/>
    <w:rsid w:val="004B08B0"/>
    <w:rsid w:val="004B0CFB"/>
    <w:rsid w:val="004B0F98"/>
    <w:rsid w:val="004B182A"/>
    <w:rsid w:val="004B1AA7"/>
    <w:rsid w:val="004B1C8A"/>
    <w:rsid w:val="004B2304"/>
    <w:rsid w:val="004B26AB"/>
    <w:rsid w:val="004B2B54"/>
    <w:rsid w:val="004B2C29"/>
    <w:rsid w:val="004B391D"/>
    <w:rsid w:val="004B3CBB"/>
    <w:rsid w:val="004B3D52"/>
    <w:rsid w:val="004B3E07"/>
    <w:rsid w:val="004B3EED"/>
    <w:rsid w:val="004B42B1"/>
    <w:rsid w:val="004B45F3"/>
    <w:rsid w:val="004B4779"/>
    <w:rsid w:val="004B4A23"/>
    <w:rsid w:val="004B4A51"/>
    <w:rsid w:val="004B4E26"/>
    <w:rsid w:val="004B55FB"/>
    <w:rsid w:val="004B5BF9"/>
    <w:rsid w:val="004B5CA5"/>
    <w:rsid w:val="004B5FC1"/>
    <w:rsid w:val="004B66E8"/>
    <w:rsid w:val="004B6C38"/>
    <w:rsid w:val="004B6CF0"/>
    <w:rsid w:val="004B6D86"/>
    <w:rsid w:val="004B7D38"/>
    <w:rsid w:val="004B7E5D"/>
    <w:rsid w:val="004C0055"/>
    <w:rsid w:val="004C0299"/>
    <w:rsid w:val="004C0469"/>
    <w:rsid w:val="004C0C5E"/>
    <w:rsid w:val="004C1036"/>
    <w:rsid w:val="004C12FC"/>
    <w:rsid w:val="004C19C9"/>
    <w:rsid w:val="004C1B66"/>
    <w:rsid w:val="004C27C3"/>
    <w:rsid w:val="004C29E7"/>
    <w:rsid w:val="004C392B"/>
    <w:rsid w:val="004C3E79"/>
    <w:rsid w:val="004C4AA7"/>
    <w:rsid w:val="004C5209"/>
    <w:rsid w:val="004C542A"/>
    <w:rsid w:val="004C58DC"/>
    <w:rsid w:val="004C61AE"/>
    <w:rsid w:val="004C6224"/>
    <w:rsid w:val="004C63B4"/>
    <w:rsid w:val="004C6A6B"/>
    <w:rsid w:val="004C705B"/>
    <w:rsid w:val="004C74BE"/>
    <w:rsid w:val="004C77C4"/>
    <w:rsid w:val="004C7C72"/>
    <w:rsid w:val="004C7DA9"/>
    <w:rsid w:val="004C7EB8"/>
    <w:rsid w:val="004D038E"/>
    <w:rsid w:val="004D06D9"/>
    <w:rsid w:val="004D0F14"/>
    <w:rsid w:val="004D13D7"/>
    <w:rsid w:val="004D1993"/>
    <w:rsid w:val="004D1D6D"/>
    <w:rsid w:val="004D2059"/>
    <w:rsid w:val="004D22A5"/>
    <w:rsid w:val="004D23D6"/>
    <w:rsid w:val="004D23DC"/>
    <w:rsid w:val="004D2D9C"/>
    <w:rsid w:val="004D3224"/>
    <w:rsid w:val="004D32B1"/>
    <w:rsid w:val="004D35B6"/>
    <w:rsid w:val="004D37E3"/>
    <w:rsid w:val="004D3A08"/>
    <w:rsid w:val="004D404F"/>
    <w:rsid w:val="004D41DE"/>
    <w:rsid w:val="004D43C6"/>
    <w:rsid w:val="004D441C"/>
    <w:rsid w:val="004D494A"/>
    <w:rsid w:val="004D49A7"/>
    <w:rsid w:val="004D5587"/>
    <w:rsid w:val="004D573E"/>
    <w:rsid w:val="004D5BC5"/>
    <w:rsid w:val="004D5DD8"/>
    <w:rsid w:val="004D67AE"/>
    <w:rsid w:val="004D6837"/>
    <w:rsid w:val="004D696F"/>
    <w:rsid w:val="004D6DB4"/>
    <w:rsid w:val="004D7247"/>
    <w:rsid w:val="004D765D"/>
    <w:rsid w:val="004D771F"/>
    <w:rsid w:val="004D7A4D"/>
    <w:rsid w:val="004E033C"/>
    <w:rsid w:val="004E05AA"/>
    <w:rsid w:val="004E0A2C"/>
    <w:rsid w:val="004E0B8B"/>
    <w:rsid w:val="004E0C6A"/>
    <w:rsid w:val="004E197E"/>
    <w:rsid w:val="004E1DC4"/>
    <w:rsid w:val="004E1F5D"/>
    <w:rsid w:val="004E272F"/>
    <w:rsid w:val="004E2BA8"/>
    <w:rsid w:val="004E2F98"/>
    <w:rsid w:val="004E30E3"/>
    <w:rsid w:val="004E3623"/>
    <w:rsid w:val="004E3756"/>
    <w:rsid w:val="004E3FAB"/>
    <w:rsid w:val="004E409D"/>
    <w:rsid w:val="004E4134"/>
    <w:rsid w:val="004E4E2D"/>
    <w:rsid w:val="004E5506"/>
    <w:rsid w:val="004E584C"/>
    <w:rsid w:val="004E5D1F"/>
    <w:rsid w:val="004E6044"/>
    <w:rsid w:val="004E6EE4"/>
    <w:rsid w:val="004E7997"/>
    <w:rsid w:val="004E7EAD"/>
    <w:rsid w:val="004E7F42"/>
    <w:rsid w:val="004F0A1B"/>
    <w:rsid w:val="004F0B89"/>
    <w:rsid w:val="004F19C3"/>
    <w:rsid w:val="004F2243"/>
    <w:rsid w:val="004F2369"/>
    <w:rsid w:val="004F24E8"/>
    <w:rsid w:val="004F2961"/>
    <w:rsid w:val="004F29B8"/>
    <w:rsid w:val="004F2A4B"/>
    <w:rsid w:val="004F2DC8"/>
    <w:rsid w:val="004F4714"/>
    <w:rsid w:val="004F4B34"/>
    <w:rsid w:val="004F4BED"/>
    <w:rsid w:val="004F551B"/>
    <w:rsid w:val="004F5A15"/>
    <w:rsid w:val="004F5A3C"/>
    <w:rsid w:val="004F5C37"/>
    <w:rsid w:val="004F5E1A"/>
    <w:rsid w:val="004F5EC4"/>
    <w:rsid w:val="004F6261"/>
    <w:rsid w:val="004F64E5"/>
    <w:rsid w:val="004F6980"/>
    <w:rsid w:val="004F6BE9"/>
    <w:rsid w:val="004F6EBF"/>
    <w:rsid w:val="004F758F"/>
    <w:rsid w:val="004F77C5"/>
    <w:rsid w:val="004F7AC7"/>
    <w:rsid w:val="005009B9"/>
    <w:rsid w:val="00500A83"/>
    <w:rsid w:val="00501150"/>
    <w:rsid w:val="00501411"/>
    <w:rsid w:val="0050148E"/>
    <w:rsid w:val="00501A62"/>
    <w:rsid w:val="00501ADC"/>
    <w:rsid w:val="00501B47"/>
    <w:rsid w:val="00501DD5"/>
    <w:rsid w:val="00501FDF"/>
    <w:rsid w:val="00501FFF"/>
    <w:rsid w:val="00502052"/>
    <w:rsid w:val="0050266A"/>
    <w:rsid w:val="00502BA2"/>
    <w:rsid w:val="00503907"/>
    <w:rsid w:val="00503F0B"/>
    <w:rsid w:val="00504184"/>
    <w:rsid w:val="005049FC"/>
    <w:rsid w:val="00504FD8"/>
    <w:rsid w:val="00505025"/>
    <w:rsid w:val="005051DF"/>
    <w:rsid w:val="00505838"/>
    <w:rsid w:val="005068DE"/>
    <w:rsid w:val="00506B81"/>
    <w:rsid w:val="00506CD7"/>
    <w:rsid w:val="00507029"/>
    <w:rsid w:val="005073F6"/>
    <w:rsid w:val="0050748D"/>
    <w:rsid w:val="00507778"/>
    <w:rsid w:val="00507A6C"/>
    <w:rsid w:val="00510174"/>
    <w:rsid w:val="005101EF"/>
    <w:rsid w:val="00510804"/>
    <w:rsid w:val="005109B7"/>
    <w:rsid w:val="00510F59"/>
    <w:rsid w:val="005111F6"/>
    <w:rsid w:val="0051174A"/>
    <w:rsid w:val="005117F1"/>
    <w:rsid w:val="005121D4"/>
    <w:rsid w:val="00512347"/>
    <w:rsid w:val="005127B1"/>
    <w:rsid w:val="0051281B"/>
    <w:rsid w:val="00512ED8"/>
    <w:rsid w:val="00513188"/>
    <w:rsid w:val="0051347D"/>
    <w:rsid w:val="00513B13"/>
    <w:rsid w:val="00513C8F"/>
    <w:rsid w:val="00514103"/>
    <w:rsid w:val="00514278"/>
    <w:rsid w:val="00514404"/>
    <w:rsid w:val="005145A4"/>
    <w:rsid w:val="0051507F"/>
    <w:rsid w:val="00515192"/>
    <w:rsid w:val="005153E8"/>
    <w:rsid w:val="00515848"/>
    <w:rsid w:val="00515E17"/>
    <w:rsid w:val="00516814"/>
    <w:rsid w:val="00516B8D"/>
    <w:rsid w:val="0051723D"/>
    <w:rsid w:val="00517825"/>
    <w:rsid w:val="00517ACF"/>
    <w:rsid w:val="00517DC7"/>
    <w:rsid w:val="00520D56"/>
    <w:rsid w:val="00520F57"/>
    <w:rsid w:val="005211CF"/>
    <w:rsid w:val="005217B8"/>
    <w:rsid w:val="00521B17"/>
    <w:rsid w:val="00521C20"/>
    <w:rsid w:val="005223E2"/>
    <w:rsid w:val="00522465"/>
    <w:rsid w:val="00522974"/>
    <w:rsid w:val="00522D78"/>
    <w:rsid w:val="00522DE3"/>
    <w:rsid w:val="00523455"/>
    <w:rsid w:val="005234C9"/>
    <w:rsid w:val="0052383E"/>
    <w:rsid w:val="005241FF"/>
    <w:rsid w:val="00524E91"/>
    <w:rsid w:val="0052512F"/>
    <w:rsid w:val="00525585"/>
    <w:rsid w:val="005255B1"/>
    <w:rsid w:val="005256C4"/>
    <w:rsid w:val="00525C80"/>
    <w:rsid w:val="00525CC4"/>
    <w:rsid w:val="00526542"/>
    <w:rsid w:val="00526C5F"/>
    <w:rsid w:val="00526EE8"/>
    <w:rsid w:val="00526FFA"/>
    <w:rsid w:val="0052736E"/>
    <w:rsid w:val="005276CC"/>
    <w:rsid w:val="00527D63"/>
    <w:rsid w:val="00527E04"/>
    <w:rsid w:val="00530036"/>
    <w:rsid w:val="00530428"/>
    <w:rsid w:val="005304E4"/>
    <w:rsid w:val="0053064E"/>
    <w:rsid w:val="0053129A"/>
    <w:rsid w:val="005315EF"/>
    <w:rsid w:val="005319FC"/>
    <w:rsid w:val="00531AD0"/>
    <w:rsid w:val="00531D66"/>
    <w:rsid w:val="005321C8"/>
    <w:rsid w:val="005324D4"/>
    <w:rsid w:val="005326E1"/>
    <w:rsid w:val="00532929"/>
    <w:rsid w:val="00532CF8"/>
    <w:rsid w:val="00532FAE"/>
    <w:rsid w:val="0053332D"/>
    <w:rsid w:val="005333F0"/>
    <w:rsid w:val="005334AB"/>
    <w:rsid w:val="00533882"/>
    <w:rsid w:val="005346F5"/>
    <w:rsid w:val="00534715"/>
    <w:rsid w:val="005349EB"/>
    <w:rsid w:val="00534E6F"/>
    <w:rsid w:val="00534FCC"/>
    <w:rsid w:val="00535889"/>
    <w:rsid w:val="00535980"/>
    <w:rsid w:val="0053598D"/>
    <w:rsid w:val="00535A99"/>
    <w:rsid w:val="00535B0C"/>
    <w:rsid w:val="00535CEA"/>
    <w:rsid w:val="00536531"/>
    <w:rsid w:val="005367AF"/>
    <w:rsid w:val="00536B0C"/>
    <w:rsid w:val="00536ECA"/>
    <w:rsid w:val="00537195"/>
    <w:rsid w:val="005374FE"/>
    <w:rsid w:val="00537A47"/>
    <w:rsid w:val="00537B2A"/>
    <w:rsid w:val="00537E12"/>
    <w:rsid w:val="005407ED"/>
    <w:rsid w:val="00540851"/>
    <w:rsid w:val="005410D2"/>
    <w:rsid w:val="005411A8"/>
    <w:rsid w:val="005418A8"/>
    <w:rsid w:val="005418F1"/>
    <w:rsid w:val="00541B36"/>
    <w:rsid w:val="00541BB2"/>
    <w:rsid w:val="00542597"/>
    <w:rsid w:val="00542EAE"/>
    <w:rsid w:val="00543354"/>
    <w:rsid w:val="00543492"/>
    <w:rsid w:val="005435FE"/>
    <w:rsid w:val="00543D06"/>
    <w:rsid w:val="005446B5"/>
    <w:rsid w:val="00544993"/>
    <w:rsid w:val="00544DD6"/>
    <w:rsid w:val="005450CE"/>
    <w:rsid w:val="005451CC"/>
    <w:rsid w:val="00545200"/>
    <w:rsid w:val="00545208"/>
    <w:rsid w:val="00545311"/>
    <w:rsid w:val="00545626"/>
    <w:rsid w:val="005457EC"/>
    <w:rsid w:val="005459B0"/>
    <w:rsid w:val="005459FF"/>
    <w:rsid w:val="0054672D"/>
    <w:rsid w:val="00546752"/>
    <w:rsid w:val="00546A54"/>
    <w:rsid w:val="0054722B"/>
    <w:rsid w:val="005474C2"/>
    <w:rsid w:val="0054795F"/>
    <w:rsid w:val="00547F0C"/>
    <w:rsid w:val="005502C2"/>
    <w:rsid w:val="00550ABF"/>
    <w:rsid w:val="0055153A"/>
    <w:rsid w:val="00551703"/>
    <w:rsid w:val="0055211C"/>
    <w:rsid w:val="00552535"/>
    <w:rsid w:val="00552D84"/>
    <w:rsid w:val="00553179"/>
    <w:rsid w:val="005532AF"/>
    <w:rsid w:val="005533B5"/>
    <w:rsid w:val="0055366C"/>
    <w:rsid w:val="00553E56"/>
    <w:rsid w:val="00553E63"/>
    <w:rsid w:val="005544A1"/>
    <w:rsid w:val="00554F56"/>
    <w:rsid w:val="00555630"/>
    <w:rsid w:val="0055572B"/>
    <w:rsid w:val="00555DAC"/>
    <w:rsid w:val="00555FC5"/>
    <w:rsid w:val="005561E2"/>
    <w:rsid w:val="005563BA"/>
    <w:rsid w:val="0055667E"/>
    <w:rsid w:val="0055669C"/>
    <w:rsid w:val="0055692C"/>
    <w:rsid w:val="00556DE6"/>
    <w:rsid w:val="00556F99"/>
    <w:rsid w:val="00557199"/>
    <w:rsid w:val="00557A03"/>
    <w:rsid w:val="00557A51"/>
    <w:rsid w:val="00557B84"/>
    <w:rsid w:val="00560811"/>
    <w:rsid w:val="00560AF9"/>
    <w:rsid w:val="0056113B"/>
    <w:rsid w:val="005611D5"/>
    <w:rsid w:val="00561827"/>
    <w:rsid w:val="005620A7"/>
    <w:rsid w:val="005622BC"/>
    <w:rsid w:val="005627E7"/>
    <w:rsid w:val="0056296E"/>
    <w:rsid w:val="00562AE1"/>
    <w:rsid w:val="00563305"/>
    <w:rsid w:val="005634CA"/>
    <w:rsid w:val="00563942"/>
    <w:rsid w:val="00563B7A"/>
    <w:rsid w:val="00563D0F"/>
    <w:rsid w:val="00564234"/>
    <w:rsid w:val="00564EFA"/>
    <w:rsid w:val="00564F9D"/>
    <w:rsid w:val="005657F6"/>
    <w:rsid w:val="00565948"/>
    <w:rsid w:val="005659AE"/>
    <w:rsid w:val="00565FE3"/>
    <w:rsid w:val="005660EF"/>
    <w:rsid w:val="00566107"/>
    <w:rsid w:val="00566489"/>
    <w:rsid w:val="00566AE4"/>
    <w:rsid w:val="00566F51"/>
    <w:rsid w:val="005674A1"/>
    <w:rsid w:val="005676C4"/>
    <w:rsid w:val="0056782D"/>
    <w:rsid w:val="005679C6"/>
    <w:rsid w:val="00567E50"/>
    <w:rsid w:val="00567F5B"/>
    <w:rsid w:val="00567F60"/>
    <w:rsid w:val="00570031"/>
    <w:rsid w:val="0057025F"/>
    <w:rsid w:val="005702EC"/>
    <w:rsid w:val="005703C4"/>
    <w:rsid w:val="00570711"/>
    <w:rsid w:val="00570798"/>
    <w:rsid w:val="00570EA9"/>
    <w:rsid w:val="0057100F"/>
    <w:rsid w:val="00571140"/>
    <w:rsid w:val="0057143D"/>
    <w:rsid w:val="005714A1"/>
    <w:rsid w:val="0057156D"/>
    <w:rsid w:val="00571895"/>
    <w:rsid w:val="005718D0"/>
    <w:rsid w:val="00571C6D"/>
    <w:rsid w:val="00571CEF"/>
    <w:rsid w:val="00572133"/>
    <w:rsid w:val="005721C5"/>
    <w:rsid w:val="00572C75"/>
    <w:rsid w:val="0057301B"/>
    <w:rsid w:val="00573174"/>
    <w:rsid w:val="00573267"/>
    <w:rsid w:val="0057398E"/>
    <w:rsid w:val="00573AC4"/>
    <w:rsid w:val="00573C92"/>
    <w:rsid w:val="00573DF8"/>
    <w:rsid w:val="0057416F"/>
    <w:rsid w:val="005745CE"/>
    <w:rsid w:val="00575BB3"/>
    <w:rsid w:val="0057630D"/>
    <w:rsid w:val="005764B8"/>
    <w:rsid w:val="00576A85"/>
    <w:rsid w:val="00576C61"/>
    <w:rsid w:val="00576E49"/>
    <w:rsid w:val="005778C6"/>
    <w:rsid w:val="00577A5F"/>
    <w:rsid w:val="00580787"/>
    <w:rsid w:val="005809E8"/>
    <w:rsid w:val="00580DE4"/>
    <w:rsid w:val="00580FF3"/>
    <w:rsid w:val="00581DBC"/>
    <w:rsid w:val="00581FA5"/>
    <w:rsid w:val="005824DF"/>
    <w:rsid w:val="005825C8"/>
    <w:rsid w:val="00582BC5"/>
    <w:rsid w:val="00582E62"/>
    <w:rsid w:val="00582EAA"/>
    <w:rsid w:val="005836F0"/>
    <w:rsid w:val="005839B2"/>
    <w:rsid w:val="00583AB5"/>
    <w:rsid w:val="00583CE7"/>
    <w:rsid w:val="00583EBD"/>
    <w:rsid w:val="005842DC"/>
    <w:rsid w:val="00584DDC"/>
    <w:rsid w:val="00584E9E"/>
    <w:rsid w:val="00585491"/>
    <w:rsid w:val="005857F5"/>
    <w:rsid w:val="00585BDC"/>
    <w:rsid w:val="00585ED3"/>
    <w:rsid w:val="00586330"/>
    <w:rsid w:val="005868F5"/>
    <w:rsid w:val="005870BA"/>
    <w:rsid w:val="00587272"/>
    <w:rsid w:val="005872EB"/>
    <w:rsid w:val="0058761F"/>
    <w:rsid w:val="005877BB"/>
    <w:rsid w:val="00587B31"/>
    <w:rsid w:val="00587B73"/>
    <w:rsid w:val="00587C74"/>
    <w:rsid w:val="00587EE7"/>
    <w:rsid w:val="00590031"/>
    <w:rsid w:val="0059003E"/>
    <w:rsid w:val="00590B37"/>
    <w:rsid w:val="00590B4E"/>
    <w:rsid w:val="00590B5B"/>
    <w:rsid w:val="005911CD"/>
    <w:rsid w:val="00591330"/>
    <w:rsid w:val="0059166D"/>
    <w:rsid w:val="00591FFA"/>
    <w:rsid w:val="00592584"/>
    <w:rsid w:val="00592597"/>
    <w:rsid w:val="00592621"/>
    <w:rsid w:val="005928C1"/>
    <w:rsid w:val="005928D5"/>
    <w:rsid w:val="0059291B"/>
    <w:rsid w:val="005929C9"/>
    <w:rsid w:val="00592C26"/>
    <w:rsid w:val="00592E16"/>
    <w:rsid w:val="00592E56"/>
    <w:rsid w:val="0059318D"/>
    <w:rsid w:val="00593344"/>
    <w:rsid w:val="0059341F"/>
    <w:rsid w:val="00593471"/>
    <w:rsid w:val="0059355B"/>
    <w:rsid w:val="00593564"/>
    <w:rsid w:val="00593AD3"/>
    <w:rsid w:val="005940D0"/>
    <w:rsid w:val="005940D5"/>
    <w:rsid w:val="005943DE"/>
    <w:rsid w:val="00594B64"/>
    <w:rsid w:val="00594BD5"/>
    <w:rsid w:val="00594FD9"/>
    <w:rsid w:val="0059502B"/>
    <w:rsid w:val="0059527D"/>
    <w:rsid w:val="00595509"/>
    <w:rsid w:val="00595995"/>
    <w:rsid w:val="00595CBB"/>
    <w:rsid w:val="00595EA6"/>
    <w:rsid w:val="00596064"/>
    <w:rsid w:val="005964AC"/>
    <w:rsid w:val="005965A3"/>
    <w:rsid w:val="005965F7"/>
    <w:rsid w:val="005965FB"/>
    <w:rsid w:val="005967BC"/>
    <w:rsid w:val="0059682C"/>
    <w:rsid w:val="00596D2A"/>
    <w:rsid w:val="00596DE0"/>
    <w:rsid w:val="00596F89"/>
    <w:rsid w:val="005971FD"/>
    <w:rsid w:val="00597B05"/>
    <w:rsid w:val="00597ED5"/>
    <w:rsid w:val="00597EF7"/>
    <w:rsid w:val="005A007F"/>
    <w:rsid w:val="005A03BE"/>
    <w:rsid w:val="005A0742"/>
    <w:rsid w:val="005A0A06"/>
    <w:rsid w:val="005A0AD3"/>
    <w:rsid w:val="005A0B81"/>
    <w:rsid w:val="005A0D69"/>
    <w:rsid w:val="005A111D"/>
    <w:rsid w:val="005A1776"/>
    <w:rsid w:val="005A199E"/>
    <w:rsid w:val="005A1A34"/>
    <w:rsid w:val="005A2058"/>
    <w:rsid w:val="005A21F9"/>
    <w:rsid w:val="005A285B"/>
    <w:rsid w:val="005A2862"/>
    <w:rsid w:val="005A2921"/>
    <w:rsid w:val="005A29F4"/>
    <w:rsid w:val="005A3150"/>
    <w:rsid w:val="005A33FC"/>
    <w:rsid w:val="005A3468"/>
    <w:rsid w:val="005A3867"/>
    <w:rsid w:val="005A39DF"/>
    <w:rsid w:val="005A4020"/>
    <w:rsid w:val="005A4228"/>
    <w:rsid w:val="005A424C"/>
    <w:rsid w:val="005A42F5"/>
    <w:rsid w:val="005A44CD"/>
    <w:rsid w:val="005A4FEC"/>
    <w:rsid w:val="005A50F4"/>
    <w:rsid w:val="005A57D6"/>
    <w:rsid w:val="005A5D5C"/>
    <w:rsid w:val="005A606D"/>
    <w:rsid w:val="005A6260"/>
    <w:rsid w:val="005A635C"/>
    <w:rsid w:val="005A63AD"/>
    <w:rsid w:val="005A6504"/>
    <w:rsid w:val="005A6B5B"/>
    <w:rsid w:val="005A6BB0"/>
    <w:rsid w:val="005A6D60"/>
    <w:rsid w:val="005A6E5D"/>
    <w:rsid w:val="005A71F2"/>
    <w:rsid w:val="005A74FB"/>
    <w:rsid w:val="005A7D12"/>
    <w:rsid w:val="005B0331"/>
    <w:rsid w:val="005B053F"/>
    <w:rsid w:val="005B0550"/>
    <w:rsid w:val="005B10EA"/>
    <w:rsid w:val="005B1155"/>
    <w:rsid w:val="005B115D"/>
    <w:rsid w:val="005B138D"/>
    <w:rsid w:val="005B14A7"/>
    <w:rsid w:val="005B158D"/>
    <w:rsid w:val="005B167F"/>
    <w:rsid w:val="005B1C1D"/>
    <w:rsid w:val="005B200D"/>
    <w:rsid w:val="005B2318"/>
    <w:rsid w:val="005B263E"/>
    <w:rsid w:val="005B29DC"/>
    <w:rsid w:val="005B2DA3"/>
    <w:rsid w:val="005B2F41"/>
    <w:rsid w:val="005B3320"/>
    <w:rsid w:val="005B33DC"/>
    <w:rsid w:val="005B353B"/>
    <w:rsid w:val="005B3C9F"/>
    <w:rsid w:val="005B4138"/>
    <w:rsid w:val="005B44B7"/>
    <w:rsid w:val="005B46B2"/>
    <w:rsid w:val="005B54F2"/>
    <w:rsid w:val="005B5626"/>
    <w:rsid w:val="005B59AD"/>
    <w:rsid w:val="005B5A7A"/>
    <w:rsid w:val="005B5FF6"/>
    <w:rsid w:val="005B60AC"/>
    <w:rsid w:val="005B6169"/>
    <w:rsid w:val="005B69C4"/>
    <w:rsid w:val="005B6BB5"/>
    <w:rsid w:val="005B6BC4"/>
    <w:rsid w:val="005B6D70"/>
    <w:rsid w:val="005B7436"/>
    <w:rsid w:val="005B7A19"/>
    <w:rsid w:val="005B7A41"/>
    <w:rsid w:val="005C04CF"/>
    <w:rsid w:val="005C06FB"/>
    <w:rsid w:val="005C0D58"/>
    <w:rsid w:val="005C1000"/>
    <w:rsid w:val="005C10E8"/>
    <w:rsid w:val="005C12B8"/>
    <w:rsid w:val="005C1E6B"/>
    <w:rsid w:val="005C2281"/>
    <w:rsid w:val="005C26C5"/>
    <w:rsid w:val="005C2C88"/>
    <w:rsid w:val="005C2F7E"/>
    <w:rsid w:val="005C3073"/>
    <w:rsid w:val="005C3975"/>
    <w:rsid w:val="005C41A1"/>
    <w:rsid w:val="005C47B4"/>
    <w:rsid w:val="005C497A"/>
    <w:rsid w:val="005C498D"/>
    <w:rsid w:val="005C4DC8"/>
    <w:rsid w:val="005C4E01"/>
    <w:rsid w:val="005C5600"/>
    <w:rsid w:val="005C5673"/>
    <w:rsid w:val="005C56F9"/>
    <w:rsid w:val="005C597A"/>
    <w:rsid w:val="005C5BF0"/>
    <w:rsid w:val="005C5EB3"/>
    <w:rsid w:val="005C5FE1"/>
    <w:rsid w:val="005C6471"/>
    <w:rsid w:val="005C6E2F"/>
    <w:rsid w:val="005C73B7"/>
    <w:rsid w:val="005C74CB"/>
    <w:rsid w:val="005D05FE"/>
    <w:rsid w:val="005D065E"/>
    <w:rsid w:val="005D066F"/>
    <w:rsid w:val="005D0D0F"/>
    <w:rsid w:val="005D132B"/>
    <w:rsid w:val="005D1CE3"/>
    <w:rsid w:val="005D1F5F"/>
    <w:rsid w:val="005D22FE"/>
    <w:rsid w:val="005D230F"/>
    <w:rsid w:val="005D240F"/>
    <w:rsid w:val="005D24AD"/>
    <w:rsid w:val="005D27B6"/>
    <w:rsid w:val="005D2F8C"/>
    <w:rsid w:val="005D306F"/>
    <w:rsid w:val="005D3920"/>
    <w:rsid w:val="005D3C9E"/>
    <w:rsid w:val="005D412E"/>
    <w:rsid w:val="005D42AA"/>
    <w:rsid w:val="005D45EF"/>
    <w:rsid w:val="005D467D"/>
    <w:rsid w:val="005D495A"/>
    <w:rsid w:val="005D4AEC"/>
    <w:rsid w:val="005D52D6"/>
    <w:rsid w:val="005D5B5E"/>
    <w:rsid w:val="005D5B7C"/>
    <w:rsid w:val="005D5DC9"/>
    <w:rsid w:val="005D68BC"/>
    <w:rsid w:val="005D6BCA"/>
    <w:rsid w:val="005D72CF"/>
    <w:rsid w:val="005D7692"/>
    <w:rsid w:val="005D7A01"/>
    <w:rsid w:val="005D7A02"/>
    <w:rsid w:val="005E013B"/>
    <w:rsid w:val="005E0301"/>
    <w:rsid w:val="005E06B3"/>
    <w:rsid w:val="005E152B"/>
    <w:rsid w:val="005E167D"/>
    <w:rsid w:val="005E18D8"/>
    <w:rsid w:val="005E1C52"/>
    <w:rsid w:val="005E24C5"/>
    <w:rsid w:val="005E25BF"/>
    <w:rsid w:val="005E26C4"/>
    <w:rsid w:val="005E2861"/>
    <w:rsid w:val="005E2A42"/>
    <w:rsid w:val="005E2CF1"/>
    <w:rsid w:val="005E305F"/>
    <w:rsid w:val="005E32C1"/>
    <w:rsid w:val="005E37E0"/>
    <w:rsid w:val="005E452B"/>
    <w:rsid w:val="005E47E2"/>
    <w:rsid w:val="005E509E"/>
    <w:rsid w:val="005E526B"/>
    <w:rsid w:val="005E53C0"/>
    <w:rsid w:val="005E5D01"/>
    <w:rsid w:val="005E6378"/>
    <w:rsid w:val="005E6726"/>
    <w:rsid w:val="005E6760"/>
    <w:rsid w:val="005E67C7"/>
    <w:rsid w:val="005E72CA"/>
    <w:rsid w:val="005E7A2C"/>
    <w:rsid w:val="005E7DAB"/>
    <w:rsid w:val="005F00ED"/>
    <w:rsid w:val="005F0B72"/>
    <w:rsid w:val="005F0CD7"/>
    <w:rsid w:val="005F0DD2"/>
    <w:rsid w:val="005F1070"/>
    <w:rsid w:val="005F1212"/>
    <w:rsid w:val="005F1BD1"/>
    <w:rsid w:val="005F1DDD"/>
    <w:rsid w:val="005F1E8D"/>
    <w:rsid w:val="005F1FC3"/>
    <w:rsid w:val="005F2010"/>
    <w:rsid w:val="005F2015"/>
    <w:rsid w:val="005F2D2D"/>
    <w:rsid w:val="005F2FD4"/>
    <w:rsid w:val="005F33E1"/>
    <w:rsid w:val="005F3414"/>
    <w:rsid w:val="005F349A"/>
    <w:rsid w:val="005F3959"/>
    <w:rsid w:val="005F3EF8"/>
    <w:rsid w:val="005F4467"/>
    <w:rsid w:val="005F4B63"/>
    <w:rsid w:val="005F54F8"/>
    <w:rsid w:val="005F55AD"/>
    <w:rsid w:val="005F55FF"/>
    <w:rsid w:val="005F57FF"/>
    <w:rsid w:val="005F5A2C"/>
    <w:rsid w:val="005F5C1B"/>
    <w:rsid w:val="005F5C7A"/>
    <w:rsid w:val="005F61E3"/>
    <w:rsid w:val="005F64E1"/>
    <w:rsid w:val="005F6A17"/>
    <w:rsid w:val="005F6D9E"/>
    <w:rsid w:val="005F6F28"/>
    <w:rsid w:val="005F7794"/>
    <w:rsid w:val="005F781D"/>
    <w:rsid w:val="00600284"/>
    <w:rsid w:val="006003FD"/>
    <w:rsid w:val="00600880"/>
    <w:rsid w:val="00600BDB"/>
    <w:rsid w:val="00600F35"/>
    <w:rsid w:val="00601197"/>
    <w:rsid w:val="006013F5"/>
    <w:rsid w:val="0060155A"/>
    <w:rsid w:val="006017FA"/>
    <w:rsid w:val="00601A63"/>
    <w:rsid w:val="006029D6"/>
    <w:rsid w:val="00602F37"/>
    <w:rsid w:val="00603441"/>
    <w:rsid w:val="00603A13"/>
    <w:rsid w:val="00604127"/>
    <w:rsid w:val="0060453E"/>
    <w:rsid w:val="00605446"/>
    <w:rsid w:val="00605B1C"/>
    <w:rsid w:val="00605B5E"/>
    <w:rsid w:val="00605C03"/>
    <w:rsid w:val="00605EC6"/>
    <w:rsid w:val="006066C4"/>
    <w:rsid w:val="00607072"/>
    <w:rsid w:val="00607896"/>
    <w:rsid w:val="006109D8"/>
    <w:rsid w:val="00610F44"/>
    <w:rsid w:val="006111F2"/>
    <w:rsid w:val="0061196A"/>
    <w:rsid w:val="00611FA5"/>
    <w:rsid w:val="00612274"/>
    <w:rsid w:val="00612452"/>
    <w:rsid w:val="0061246C"/>
    <w:rsid w:val="00612622"/>
    <w:rsid w:val="00612BB8"/>
    <w:rsid w:val="00612E39"/>
    <w:rsid w:val="00612EDA"/>
    <w:rsid w:val="00613044"/>
    <w:rsid w:val="00613629"/>
    <w:rsid w:val="0061366F"/>
    <w:rsid w:val="00614287"/>
    <w:rsid w:val="006144EE"/>
    <w:rsid w:val="0061504E"/>
    <w:rsid w:val="006154E9"/>
    <w:rsid w:val="0061592C"/>
    <w:rsid w:val="0061597B"/>
    <w:rsid w:val="00615D6C"/>
    <w:rsid w:val="0061622E"/>
    <w:rsid w:val="006164CE"/>
    <w:rsid w:val="00616625"/>
    <w:rsid w:val="0061675B"/>
    <w:rsid w:val="006167C7"/>
    <w:rsid w:val="00616F21"/>
    <w:rsid w:val="0061741E"/>
    <w:rsid w:val="00617610"/>
    <w:rsid w:val="006179DA"/>
    <w:rsid w:val="00617CAF"/>
    <w:rsid w:val="00617EE8"/>
    <w:rsid w:val="00617F3E"/>
    <w:rsid w:val="00620879"/>
    <w:rsid w:val="00620B13"/>
    <w:rsid w:val="00620C7D"/>
    <w:rsid w:val="00620F4D"/>
    <w:rsid w:val="006216DC"/>
    <w:rsid w:val="00621AA5"/>
    <w:rsid w:val="006222CA"/>
    <w:rsid w:val="00622921"/>
    <w:rsid w:val="00622A09"/>
    <w:rsid w:val="00622B03"/>
    <w:rsid w:val="00622DC5"/>
    <w:rsid w:val="006234FE"/>
    <w:rsid w:val="00623566"/>
    <w:rsid w:val="00623869"/>
    <w:rsid w:val="00623A31"/>
    <w:rsid w:val="00623A37"/>
    <w:rsid w:val="00623B19"/>
    <w:rsid w:val="00623B3B"/>
    <w:rsid w:val="00623C02"/>
    <w:rsid w:val="00623E30"/>
    <w:rsid w:val="0062444F"/>
    <w:rsid w:val="006245FF"/>
    <w:rsid w:val="0062465C"/>
    <w:rsid w:val="00624934"/>
    <w:rsid w:val="00624A1C"/>
    <w:rsid w:val="00624BEE"/>
    <w:rsid w:val="00625021"/>
    <w:rsid w:val="0062510E"/>
    <w:rsid w:val="00625719"/>
    <w:rsid w:val="00625741"/>
    <w:rsid w:val="00625822"/>
    <w:rsid w:val="00625A04"/>
    <w:rsid w:val="00625C6F"/>
    <w:rsid w:val="00625D8F"/>
    <w:rsid w:val="00625F43"/>
    <w:rsid w:val="0062648A"/>
    <w:rsid w:val="006264E6"/>
    <w:rsid w:val="00626C25"/>
    <w:rsid w:val="00626D4C"/>
    <w:rsid w:val="00627128"/>
    <w:rsid w:val="006273BD"/>
    <w:rsid w:val="00627405"/>
    <w:rsid w:val="006276BB"/>
    <w:rsid w:val="00627A98"/>
    <w:rsid w:val="00627BB7"/>
    <w:rsid w:val="00627D55"/>
    <w:rsid w:val="00630378"/>
    <w:rsid w:val="00630A61"/>
    <w:rsid w:val="0063112B"/>
    <w:rsid w:val="006312C0"/>
    <w:rsid w:val="00631632"/>
    <w:rsid w:val="00631828"/>
    <w:rsid w:val="00631A84"/>
    <w:rsid w:val="00631E38"/>
    <w:rsid w:val="00631EDA"/>
    <w:rsid w:val="006325F2"/>
    <w:rsid w:val="006329B2"/>
    <w:rsid w:val="00632A0B"/>
    <w:rsid w:val="00632AD2"/>
    <w:rsid w:val="00632FC1"/>
    <w:rsid w:val="00633129"/>
    <w:rsid w:val="006331EA"/>
    <w:rsid w:val="006348C1"/>
    <w:rsid w:val="00634980"/>
    <w:rsid w:val="00634AE0"/>
    <w:rsid w:val="00635255"/>
    <w:rsid w:val="00635566"/>
    <w:rsid w:val="00635582"/>
    <w:rsid w:val="006355F0"/>
    <w:rsid w:val="0063596C"/>
    <w:rsid w:val="00635A42"/>
    <w:rsid w:val="00635B02"/>
    <w:rsid w:val="00635B63"/>
    <w:rsid w:val="00635CE2"/>
    <w:rsid w:val="00636692"/>
    <w:rsid w:val="0063689E"/>
    <w:rsid w:val="006368AA"/>
    <w:rsid w:val="00636C31"/>
    <w:rsid w:val="00636CE2"/>
    <w:rsid w:val="00637487"/>
    <w:rsid w:val="006374DE"/>
    <w:rsid w:val="0063793E"/>
    <w:rsid w:val="0063794F"/>
    <w:rsid w:val="0064002D"/>
    <w:rsid w:val="006400D5"/>
    <w:rsid w:val="0064054B"/>
    <w:rsid w:val="00640D62"/>
    <w:rsid w:val="00641167"/>
    <w:rsid w:val="0064116B"/>
    <w:rsid w:val="0064122C"/>
    <w:rsid w:val="006417E9"/>
    <w:rsid w:val="00641882"/>
    <w:rsid w:val="00641B17"/>
    <w:rsid w:val="006426F5"/>
    <w:rsid w:val="00642710"/>
    <w:rsid w:val="0064294A"/>
    <w:rsid w:val="00642A9A"/>
    <w:rsid w:val="00642F65"/>
    <w:rsid w:val="00643D26"/>
    <w:rsid w:val="006440FE"/>
    <w:rsid w:val="0064414A"/>
    <w:rsid w:val="00644209"/>
    <w:rsid w:val="00644237"/>
    <w:rsid w:val="00644252"/>
    <w:rsid w:val="00644EB9"/>
    <w:rsid w:val="00645895"/>
    <w:rsid w:val="00646072"/>
    <w:rsid w:val="00646500"/>
    <w:rsid w:val="006467BF"/>
    <w:rsid w:val="00646826"/>
    <w:rsid w:val="0064689C"/>
    <w:rsid w:val="0064695C"/>
    <w:rsid w:val="006469E7"/>
    <w:rsid w:val="00646D8A"/>
    <w:rsid w:val="006470D6"/>
    <w:rsid w:val="00647B4B"/>
    <w:rsid w:val="00647BDE"/>
    <w:rsid w:val="00647C05"/>
    <w:rsid w:val="00647F38"/>
    <w:rsid w:val="00650E5D"/>
    <w:rsid w:val="00651008"/>
    <w:rsid w:val="00651885"/>
    <w:rsid w:val="00651905"/>
    <w:rsid w:val="00651963"/>
    <w:rsid w:val="006519B7"/>
    <w:rsid w:val="00651A45"/>
    <w:rsid w:val="00651B58"/>
    <w:rsid w:val="00651D97"/>
    <w:rsid w:val="00652C3C"/>
    <w:rsid w:val="00653218"/>
    <w:rsid w:val="00653BD3"/>
    <w:rsid w:val="00653D14"/>
    <w:rsid w:val="0065436A"/>
    <w:rsid w:val="00654C4E"/>
    <w:rsid w:val="00654E28"/>
    <w:rsid w:val="006557D4"/>
    <w:rsid w:val="00655BCA"/>
    <w:rsid w:val="00655CDD"/>
    <w:rsid w:val="00656259"/>
    <w:rsid w:val="00656DA1"/>
    <w:rsid w:val="00656EEE"/>
    <w:rsid w:val="006572BC"/>
    <w:rsid w:val="006573D5"/>
    <w:rsid w:val="0065770C"/>
    <w:rsid w:val="0065782B"/>
    <w:rsid w:val="00657AF8"/>
    <w:rsid w:val="00657D80"/>
    <w:rsid w:val="00657E1C"/>
    <w:rsid w:val="00660321"/>
    <w:rsid w:val="006606E0"/>
    <w:rsid w:val="006609D9"/>
    <w:rsid w:val="00660CD1"/>
    <w:rsid w:val="00660E64"/>
    <w:rsid w:val="00660EF0"/>
    <w:rsid w:val="00661771"/>
    <w:rsid w:val="00661D91"/>
    <w:rsid w:val="00662055"/>
    <w:rsid w:val="006620EC"/>
    <w:rsid w:val="006621A3"/>
    <w:rsid w:val="006623CC"/>
    <w:rsid w:val="00662784"/>
    <w:rsid w:val="00662952"/>
    <w:rsid w:val="00662A37"/>
    <w:rsid w:val="00662AF8"/>
    <w:rsid w:val="00662FD7"/>
    <w:rsid w:val="006634E3"/>
    <w:rsid w:val="00663532"/>
    <w:rsid w:val="00663B90"/>
    <w:rsid w:val="00663D61"/>
    <w:rsid w:val="00664447"/>
    <w:rsid w:val="00664554"/>
    <w:rsid w:val="006645C4"/>
    <w:rsid w:val="00664A7F"/>
    <w:rsid w:val="00664BC3"/>
    <w:rsid w:val="006650ED"/>
    <w:rsid w:val="00665105"/>
    <w:rsid w:val="00665440"/>
    <w:rsid w:val="0066589F"/>
    <w:rsid w:val="00665DBF"/>
    <w:rsid w:val="00665FF8"/>
    <w:rsid w:val="006665A4"/>
    <w:rsid w:val="00666A4F"/>
    <w:rsid w:val="00666D7E"/>
    <w:rsid w:val="00666EC9"/>
    <w:rsid w:val="006670A4"/>
    <w:rsid w:val="00667F1A"/>
    <w:rsid w:val="00670157"/>
    <w:rsid w:val="00670507"/>
    <w:rsid w:val="006707B2"/>
    <w:rsid w:val="00670866"/>
    <w:rsid w:val="006714C5"/>
    <w:rsid w:val="006715FD"/>
    <w:rsid w:val="0067189D"/>
    <w:rsid w:val="00671962"/>
    <w:rsid w:val="00671AA2"/>
    <w:rsid w:val="00671BA7"/>
    <w:rsid w:val="00671C3D"/>
    <w:rsid w:val="00671F3A"/>
    <w:rsid w:val="006728F0"/>
    <w:rsid w:val="00672A55"/>
    <w:rsid w:val="00672B78"/>
    <w:rsid w:val="00672FF7"/>
    <w:rsid w:val="0067331E"/>
    <w:rsid w:val="00673444"/>
    <w:rsid w:val="0067349D"/>
    <w:rsid w:val="00673792"/>
    <w:rsid w:val="0067389E"/>
    <w:rsid w:val="00673E01"/>
    <w:rsid w:val="006741BE"/>
    <w:rsid w:val="006748A3"/>
    <w:rsid w:val="0067492C"/>
    <w:rsid w:val="00674B3E"/>
    <w:rsid w:val="00674B66"/>
    <w:rsid w:val="00675535"/>
    <w:rsid w:val="00675A8D"/>
    <w:rsid w:val="00675BC6"/>
    <w:rsid w:val="00675C46"/>
    <w:rsid w:val="00675E13"/>
    <w:rsid w:val="00676455"/>
    <w:rsid w:val="00676663"/>
    <w:rsid w:val="006768A4"/>
    <w:rsid w:val="00676A6A"/>
    <w:rsid w:val="00676DCD"/>
    <w:rsid w:val="00677034"/>
    <w:rsid w:val="0067721B"/>
    <w:rsid w:val="0067738D"/>
    <w:rsid w:val="006776D7"/>
    <w:rsid w:val="00677923"/>
    <w:rsid w:val="00677D2E"/>
    <w:rsid w:val="00677DD4"/>
    <w:rsid w:val="00680324"/>
    <w:rsid w:val="00680350"/>
    <w:rsid w:val="006804BB"/>
    <w:rsid w:val="006811A2"/>
    <w:rsid w:val="00681C5D"/>
    <w:rsid w:val="00681DD4"/>
    <w:rsid w:val="006822AA"/>
    <w:rsid w:val="00682905"/>
    <w:rsid w:val="006830A1"/>
    <w:rsid w:val="00683767"/>
    <w:rsid w:val="00683A3F"/>
    <w:rsid w:val="00683C6F"/>
    <w:rsid w:val="00683E60"/>
    <w:rsid w:val="00685029"/>
    <w:rsid w:val="00685374"/>
    <w:rsid w:val="006856F9"/>
    <w:rsid w:val="00685826"/>
    <w:rsid w:val="00685852"/>
    <w:rsid w:val="006861BC"/>
    <w:rsid w:val="00686F3A"/>
    <w:rsid w:val="0068709D"/>
    <w:rsid w:val="006870D6"/>
    <w:rsid w:val="00687DA0"/>
    <w:rsid w:val="006906F9"/>
    <w:rsid w:val="00690853"/>
    <w:rsid w:val="00690924"/>
    <w:rsid w:val="00690F93"/>
    <w:rsid w:val="00690F99"/>
    <w:rsid w:val="006917F1"/>
    <w:rsid w:val="00691C65"/>
    <w:rsid w:val="00691C86"/>
    <w:rsid w:val="00691D4E"/>
    <w:rsid w:val="006922CD"/>
    <w:rsid w:val="0069230B"/>
    <w:rsid w:val="006923C6"/>
    <w:rsid w:val="0069240E"/>
    <w:rsid w:val="006924D1"/>
    <w:rsid w:val="00692845"/>
    <w:rsid w:val="0069339F"/>
    <w:rsid w:val="00693857"/>
    <w:rsid w:val="00693BA4"/>
    <w:rsid w:val="00693E00"/>
    <w:rsid w:val="00693F36"/>
    <w:rsid w:val="00694116"/>
    <w:rsid w:val="006945C0"/>
    <w:rsid w:val="00694C14"/>
    <w:rsid w:val="00694D0A"/>
    <w:rsid w:val="00694E0B"/>
    <w:rsid w:val="0069539C"/>
    <w:rsid w:val="00695652"/>
    <w:rsid w:val="00695EA6"/>
    <w:rsid w:val="00695EC4"/>
    <w:rsid w:val="0069608B"/>
    <w:rsid w:val="00696320"/>
    <w:rsid w:val="00696425"/>
    <w:rsid w:val="00696620"/>
    <w:rsid w:val="00696751"/>
    <w:rsid w:val="00696B2B"/>
    <w:rsid w:val="00697066"/>
    <w:rsid w:val="00697200"/>
    <w:rsid w:val="0069760B"/>
    <w:rsid w:val="00697611"/>
    <w:rsid w:val="00697D75"/>
    <w:rsid w:val="006A0406"/>
    <w:rsid w:val="006A042F"/>
    <w:rsid w:val="006A04F6"/>
    <w:rsid w:val="006A0641"/>
    <w:rsid w:val="006A09AC"/>
    <w:rsid w:val="006A0E1C"/>
    <w:rsid w:val="006A10B0"/>
    <w:rsid w:val="006A1125"/>
    <w:rsid w:val="006A12A1"/>
    <w:rsid w:val="006A13E9"/>
    <w:rsid w:val="006A19F4"/>
    <w:rsid w:val="006A1D9D"/>
    <w:rsid w:val="006A1EB9"/>
    <w:rsid w:val="006A299B"/>
    <w:rsid w:val="006A2C89"/>
    <w:rsid w:val="006A2E2C"/>
    <w:rsid w:val="006A363E"/>
    <w:rsid w:val="006A3693"/>
    <w:rsid w:val="006A3906"/>
    <w:rsid w:val="006A3FCC"/>
    <w:rsid w:val="006A432B"/>
    <w:rsid w:val="006A4D3C"/>
    <w:rsid w:val="006A501D"/>
    <w:rsid w:val="006A5F90"/>
    <w:rsid w:val="006A6056"/>
    <w:rsid w:val="006A61F9"/>
    <w:rsid w:val="006A6259"/>
    <w:rsid w:val="006A68DD"/>
    <w:rsid w:val="006A6E14"/>
    <w:rsid w:val="006A70FF"/>
    <w:rsid w:val="006A76E1"/>
    <w:rsid w:val="006A7B29"/>
    <w:rsid w:val="006A7CFF"/>
    <w:rsid w:val="006A7FCC"/>
    <w:rsid w:val="006B0941"/>
    <w:rsid w:val="006B0F37"/>
    <w:rsid w:val="006B10F4"/>
    <w:rsid w:val="006B1211"/>
    <w:rsid w:val="006B1413"/>
    <w:rsid w:val="006B19E1"/>
    <w:rsid w:val="006B1B6E"/>
    <w:rsid w:val="006B243A"/>
    <w:rsid w:val="006B2B63"/>
    <w:rsid w:val="006B33A9"/>
    <w:rsid w:val="006B3822"/>
    <w:rsid w:val="006B3D02"/>
    <w:rsid w:val="006B3F24"/>
    <w:rsid w:val="006B42F5"/>
    <w:rsid w:val="006B4396"/>
    <w:rsid w:val="006B4575"/>
    <w:rsid w:val="006B462F"/>
    <w:rsid w:val="006B4651"/>
    <w:rsid w:val="006B49F4"/>
    <w:rsid w:val="006B4A02"/>
    <w:rsid w:val="006B4C31"/>
    <w:rsid w:val="006B52A2"/>
    <w:rsid w:val="006B53A2"/>
    <w:rsid w:val="006B54C5"/>
    <w:rsid w:val="006B54CF"/>
    <w:rsid w:val="006B55CD"/>
    <w:rsid w:val="006B5ED7"/>
    <w:rsid w:val="006B642D"/>
    <w:rsid w:val="006B645B"/>
    <w:rsid w:val="006B6C94"/>
    <w:rsid w:val="006B6F32"/>
    <w:rsid w:val="006B7429"/>
    <w:rsid w:val="006B74FA"/>
    <w:rsid w:val="006B7622"/>
    <w:rsid w:val="006C023C"/>
    <w:rsid w:val="006C0601"/>
    <w:rsid w:val="006C06BF"/>
    <w:rsid w:val="006C06C8"/>
    <w:rsid w:val="006C094F"/>
    <w:rsid w:val="006C09DA"/>
    <w:rsid w:val="006C0A8D"/>
    <w:rsid w:val="006C0ACD"/>
    <w:rsid w:val="006C0AD9"/>
    <w:rsid w:val="006C0D51"/>
    <w:rsid w:val="006C0FDA"/>
    <w:rsid w:val="006C119F"/>
    <w:rsid w:val="006C1987"/>
    <w:rsid w:val="006C211F"/>
    <w:rsid w:val="006C282B"/>
    <w:rsid w:val="006C299C"/>
    <w:rsid w:val="006C2F24"/>
    <w:rsid w:val="006C30C6"/>
    <w:rsid w:val="006C3145"/>
    <w:rsid w:val="006C3E66"/>
    <w:rsid w:val="006C430A"/>
    <w:rsid w:val="006C4941"/>
    <w:rsid w:val="006C55B3"/>
    <w:rsid w:val="006C6886"/>
    <w:rsid w:val="006C6DBD"/>
    <w:rsid w:val="006C6FBF"/>
    <w:rsid w:val="006C75A2"/>
    <w:rsid w:val="006C7A32"/>
    <w:rsid w:val="006D01D4"/>
    <w:rsid w:val="006D04BE"/>
    <w:rsid w:val="006D0C8D"/>
    <w:rsid w:val="006D0CDB"/>
    <w:rsid w:val="006D0E70"/>
    <w:rsid w:val="006D13B8"/>
    <w:rsid w:val="006D151C"/>
    <w:rsid w:val="006D1FC6"/>
    <w:rsid w:val="006D22B0"/>
    <w:rsid w:val="006D22C3"/>
    <w:rsid w:val="006D2345"/>
    <w:rsid w:val="006D2C0D"/>
    <w:rsid w:val="006D2D58"/>
    <w:rsid w:val="006D2E71"/>
    <w:rsid w:val="006D3159"/>
    <w:rsid w:val="006D31FE"/>
    <w:rsid w:val="006D3281"/>
    <w:rsid w:val="006D3DE3"/>
    <w:rsid w:val="006D3E13"/>
    <w:rsid w:val="006D3F9F"/>
    <w:rsid w:val="006D420E"/>
    <w:rsid w:val="006D435C"/>
    <w:rsid w:val="006D45B0"/>
    <w:rsid w:val="006D490E"/>
    <w:rsid w:val="006D4B53"/>
    <w:rsid w:val="006D4BFA"/>
    <w:rsid w:val="006D4C18"/>
    <w:rsid w:val="006D4D69"/>
    <w:rsid w:val="006D4DCD"/>
    <w:rsid w:val="006D4FAF"/>
    <w:rsid w:val="006D5229"/>
    <w:rsid w:val="006D5544"/>
    <w:rsid w:val="006D5D94"/>
    <w:rsid w:val="006D5DAD"/>
    <w:rsid w:val="006D5E84"/>
    <w:rsid w:val="006D5EF8"/>
    <w:rsid w:val="006D5F00"/>
    <w:rsid w:val="006D6128"/>
    <w:rsid w:val="006D65C2"/>
    <w:rsid w:val="006D6C7A"/>
    <w:rsid w:val="006D6FA5"/>
    <w:rsid w:val="006D74E9"/>
    <w:rsid w:val="006D7C59"/>
    <w:rsid w:val="006D7ED7"/>
    <w:rsid w:val="006E05CE"/>
    <w:rsid w:val="006E06ED"/>
    <w:rsid w:val="006E09D5"/>
    <w:rsid w:val="006E0A6A"/>
    <w:rsid w:val="006E0EA9"/>
    <w:rsid w:val="006E1136"/>
    <w:rsid w:val="006E1C49"/>
    <w:rsid w:val="006E1DA6"/>
    <w:rsid w:val="006E25D7"/>
    <w:rsid w:val="006E26AA"/>
    <w:rsid w:val="006E2BAA"/>
    <w:rsid w:val="006E2C2E"/>
    <w:rsid w:val="006E2D93"/>
    <w:rsid w:val="006E2EB8"/>
    <w:rsid w:val="006E31FC"/>
    <w:rsid w:val="006E341D"/>
    <w:rsid w:val="006E3903"/>
    <w:rsid w:val="006E3F6E"/>
    <w:rsid w:val="006E3F76"/>
    <w:rsid w:val="006E40DD"/>
    <w:rsid w:val="006E4A47"/>
    <w:rsid w:val="006E4D39"/>
    <w:rsid w:val="006E50B2"/>
    <w:rsid w:val="006E5308"/>
    <w:rsid w:val="006E54DF"/>
    <w:rsid w:val="006E5D49"/>
    <w:rsid w:val="006E5FAF"/>
    <w:rsid w:val="006E65F8"/>
    <w:rsid w:val="006E6602"/>
    <w:rsid w:val="006E6683"/>
    <w:rsid w:val="006E69D3"/>
    <w:rsid w:val="006E6AB8"/>
    <w:rsid w:val="006E6BCE"/>
    <w:rsid w:val="006E6CBB"/>
    <w:rsid w:val="006E703B"/>
    <w:rsid w:val="006E70E0"/>
    <w:rsid w:val="006E766D"/>
    <w:rsid w:val="006E79F4"/>
    <w:rsid w:val="006E7B28"/>
    <w:rsid w:val="006E7C5F"/>
    <w:rsid w:val="006E7DD5"/>
    <w:rsid w:val="006F0BC0"/>
    <w:rsid w:val="006F0EB4"/>
    <w:rsid w:val="006F12A0"/>
    <w:rsid w:val="006F1369"/>
    <w:rsid w:val="006F14E0"/>
    <w:rsid w:val="006F18E6"/>
    <w:rsid w:val="006F1AF6"/>
    <w:rsid w:val="006F1C2A"/>
    <w:rsid w:val="006F1D9A"/>
    <w:rsid w:val="006F1E6F"/>
    <w:rsid w:val="006F202E"/>
    <w:rsid w:val="006F21B3"/>
    <w:rsid w:val="006F2300"/>
    <w:rsid w:val="006F235B"/>
    <w:rsid w:val="006F254C"/>
    <w:rsid w:val="006F26B9"/>
    <w:rsid w:val="006F28FD"/>
    <w:rsid w:val="006F2F75"/>
    <w:rsid w:val="006F3165"/>
    <w:rsid w:val="006F33FE"/>
    <w:rsid w:val="006F370F"/>
    <w:rsid w:val="006F3BD5"/>
    <w:rsid w:val="006F3C86"/>
    <w:rsid w:val="006F3F5C"/>
    <w:rsid w:val="006F4310"/>
    <w:rsid w:val="006F4541"/>
    <w:rsid w:val="006F4BEF"/>
    <w:rsid w:val="006F4E94"/>
    <w:rsid w:val="006F5CB9"/>
    <w:rsid w:val="006F5CCF"/>
    <w:rsid w:val="006F60E5"/>
    <w:rsid w:val="006F6181"/>
    <w:rsid w:val="006F64B0"/>
    <w:rsid w:val="006F66D9"/>
    <w:rsid w:val="006F7125"/>
    <w:rsid w:val="006F7520"/>
    <w:rsid w:val="006F78FD"/>
    <w:rsid w:val="00700046"/>
    <w:rsid w:val="007001C5"/>
    <w:rsid w:val="007005FE"/>
    <w:rsid w:val="00700603"/>
    <w:rsid w:val="0070067E"/>
    <w:rsid w:val="00700998"/>
    <w:rsid w:val="00700F7F"/>
    <w:rsid w:val="007014BE"/>
    <w:rsid w:val="00701669"/>
    <w:rsid w:val="007017B9"/>
    <w:rsid w:val="00701978"/>
    <w:rsid w:val="00701CE7"/>
    <w:rsid w:val="00702CB5"/>
    <w:rsid w:val="00703260"/>
    <w:rsid w:val="007032AB"/>
    <w:rsid w:val="007036C2"/>
    <w:rsid w:val="007037B0"/>
    <w:rsid w:val="00703BF1"/>
    <w:rsid w:val="00703F12"/>
    <w:rsid w:val="007040F5"/>
    <w:rsid w:val="00704EFA"/>
    <w:rsid w:val="0070513E"/>
    <w:rsid w:val="00705D22"/>
    <w:rsid w:val="00705E06"/>
    <w:rsid w:val="00705F28"/>
    <w:rsid w:val="007063B3"/>
    <w:rsid w:val="00706431"/>
    <w:rsid w:val="007065C2"/>
    <w:rsid w:val="0070663F"/>
    <w:rsid w:val="00706B70"/>
    <w:rsid w:val="00706B7E"/>
    <w:rsid w:val="00706E01"/>
    <w:rsid w:val="00706F19"/>
    <w:rsid w:val="007073A9"/>
    <w:rsid w:val="007074DD"/>
    <w:rsid w:val="00707535"/>
    <w:rsid w:val="00707875"/>
    <w:rsid w:val="00710060"/>
    <w:rsid w:val="007102E5"/>
    <w:rsid w:val="0071062F"/>
    <w:rsid w:val="0071063B"/>
    <w:rsid w:val="007108E2"/>
    <w:rsid w:val="00710DAA"/>
    <w:rsid w:val="00710DBF"/>
    <w:rsid w:val="00711356"/>
    <w:rsid w:val="0071143C"/>
    <w:rsid w:val="007117F1"/>
    <w:rsid w:val="00711913"/>
    <w:rsid w:val="0071197D"/>
    <w:rsid w:val="007119BB"/>
    <w:rsid w:val="00711EC9"/>
    <w:rsid w:val="0071232C"/>
    <w:rsid w:val="0071256F"/>
    <w:rsid w:val="007126E1"/>
    <w:rsid w:val="0071282F"/>
    <w:rsid w:val="0071285A"/>
    <w:rsid w:val="007136B6"/>
    <w:rsid w:val="00713AC8"/>
    <w:rsid w:val="00713FDB"/>
    <w:rsid w:val="00713FDF"/>
    <w:rsid w:val="007140E5"/>
    <w:rsid w:val="00714774"/>
    <w:rsid w:val="007157E6"/>
    <w:rsid w:val="007159EB"/>
    <w:rsid w:val="00715A2B"/>
    <w:rsid w:val="00715DCA"/>
    <w:rsid w:val="00716294"/>
    <w:rsid w:val="0071629A"/>
    <w:rsid w:val="00716339"/>
    <w:rsid w:val="0071676C"/>
    <w:rsid w:val="00716773"/>
    <w:rsid w:val="007167E4"/>
    <w:rsid w:val="00716A5A"/>
    <w:rsid w:val="00716E4D"/>
    <w:rsid w:val="00717636"/>
    <w:rsid w:val="007177A7"/>
    <w:rsid w:val="007177EA"/>
    <w:rsid w:val="0071794B"/>
    <w:rsid w:val="00717A01"/>
    <w:rsid w:val="00717D7E"/>
    <w:rsid w:val="00720123"/>
    <w:rsid w:val="007201F2"/>
    <w:rsid w:val="00720489"/>
    <w:rsid w:val="00720A37"/>
    <w:rsid w:val="007211E3"/>
    <w:rsid w:val="007213F9"/>
    <w:rsid w:val="007215A7"/>
    <w:rsid w:val="0072160D"/>
    <w:rsid w:val="007217AF"/>
    <w:rsid w:val="00721B32"/>
    <w:rsid w:val="00721BAE"/>
    <w:rsid w:val="00721C51"/>
    <w:rsid w:val="00721E68"/>
    <w:rsid w:val="00722405"/>
    <w:rsid w:val="00722973"/>
    <w:rsid w:val="00722AF9"/>
    <w:rsid w:val="00722EDE"/>
    <w:rsid w:val="00722EF4"/>
    <w:rsid w:val="0072310F"/>
    <w:rsid w:val="00723340"/>
    <w:rsid w:val="00723477"/>
    <w:rsid w:val="00723614"/>
    <w:rsid w:val="0072362D"/>
    <w:rsid w:val="0072388D"/>
    <w:rsid w:val="00723B68"/>
    <w:rsid w:val="007240E6"/>
    <w:rsid w:val="00724107"/>
    <w:rsid w:val="00724227"/>
    <w:rsid w:val="007245E2"/>
    <w:rsid w:val="00724671"/>
    <w:rsid w:val="00724947"/>
    <w:rsid w:val="0072510F"/>
    <w:rsid w:val="007255DD"/>
    <w:rsid w:val="00725822"/>
    <w:rsid w:val="00725C1F"/>
    <w:rsid w:val="0072616C"/>
    <w:rsid w:val="0072674E"/>
    <w:rsid w:val="0072681C"/>
    <w:rsid w:val="00726C59"/>
    <w:rsid w:val="00726E65"/>
    <w:rsid w:val="00727389"/>
    <w:rsid w:val="007273D2"/>
    <w:rsid w:val="007277D5"/>
    <w:rsid w:val="007278D4"/>
    <w:rsid w:val="00727AD7"/>
    <w:rsid w:val="00727DA1"/>
    <w:rsid w:val="00730357"/>
    <w:rsid w:val="00730C8A"/>
    <w:rsid w:val="00730F4B"/>
    <w:rsid w:val="00730FA8"/>
    <w:rsid w:val="007310C4"/>
    <w:rsid w:val="007311C6"/>
    <w:rsid w:val="0073132D"/>
    <w:rsid w:val="0073146C"/>
    <w:rsid w:val="00731810"/>
    <w:rsid w:val="0073197A"/>
    <w:rsid w:val="00731E7C"/>
    <w:rsid w:val="0073209F"/>
    <w:rsid w:val="007322C5"/>
    <w:rsid w:val="00732782"/>
    <w:rsid w:val="00733493"/>
    <w:rsid w:val="007334CF"/>
    <w:rsid w:val="00733880"/>
    <w:rsid w:val="00733E7A"/>
    <w:rsid w:val="007343CB"/>
    <w:rsid w:val="007347FC"/>
    <w:rsid w:val="00734A2F"/>
    <w:rsid w:val="00734BE8"/>
    <w:rsid w:val="00734C6A"/>
    <w:rsid w:val="007350AC"/>
    <w:rsid w:val="0073513A"/>
    <w:rsid w:val="007352A7"/>
    <w:rsid w:val="00735FD7"/>
    <w:rsid w:val="00736218"/>
    <w:rsid w:val="0073636A"/>
    <w:rsid w:val="0073657E"/>
    <w:rsid w:val="00736A58"/>
    <w:rsid w:val="00736A6F"/>
    <w:rsid w:val="00736A70"/>
    <w:rsid w:val="00736BE9"/>
    <w:rsid w:val="007371B3"/>
    <w:rsid w:val="007374F9"/>
    <w:rsid w:val="007375C3"/>
    <w:rsid w:val="007375F1"/>
    <w:rsid w:val="00737BC7"/>
    <w:rsid w:val="00737CAC"/>
    <w:rsid w:val="00737CCE"/>
    <w:rsid w:val="00737DB5"/>
    <w:rsid w:val="00737E15"/>
    <w:rsid w:val="00737E7C"/>
    <w:rsid w:val="00740106"/>
    <w:rsid w:val="007401E1"/>
    <w:rsid w:val="0074036B"/>
    <w:rsid w:val="00740736"/>
    <w:rsid w:val="00740EFA"/>
    <w:rsid w:val="007416C4"/>
    <w:rsid w:val="0074172C"/>
    <w:rsid w:val="00741A3B"/>
    <w:rsid w:val="00742132"/>
    <w:rsid w:val="00742989"/>
    <w:rsid w:val="00742A41"/>
    <w:rsid w:val="00742AD9"/>
    <w:rsid w:val="00742EC1"/>
    <w:rsid w:val="0074307D"/>
    <w:rsid w:val="0074309F"/>
    <w:rsid w:val="00743119"/>
    <w:rsid w:val="007432B0"/>
    <w:rsid w:val="0074332C"/>
    <w:rsid w:val="00743506"/>
    <w:rsid w:val="00743C02"/>
    <w:rsid w:val="00743E28"/>
    <w:rsid w:val="00743FC3"/>
    <w:rsid w:val="007443F6"/>
    <w:rsid w:val="007444AF"/>
    <w:rsid w:val="007448B8"/>
    <w:rsid w:val="00744B10"/>
    <w:rsid w:val="00744EE2"/>
    <w:rsid w:val="00745320"/>
    <w:rsid w:val="00745B8A"/>
    <w:rsid w:val="00745EA6"/>
    <w:rsid w:val="00745EE5"/>
    <w:rsid w:val="007462F8"/>
    <w:rsid w:val="007465E2"/>
    <w:rsid w:val="0074669E"/>
    <w:rsid w:val="007468A4"/>
    <w:rsid w:val="0074697B"/>
    <w:rsid w:val="00746A43"/>
    <w:rsid w:val="00746D6F"/>
    <w:rsid w:val="0074728D"/>
    <w:rsid w:val="0074763E"/>
    <w:rsid w:val="00747749"/>
    <w:rsid w:val="00747D98"/>
    <w:rsid w:val="007500B6"/>
    <w:rsid w:val="00750395"/>
    <w:rsid w:val="0075073D"/>
    <w:rsid w:val="00750CA0"/>
    <w:rsid w:val="00750E4E"/>
    <w:rsid w:val="00750EA6"/>
    <w:rsid w:val="00751013"/>
    <w:rsid w:val="0075116E"/>
    <w:rsid w:val="007521DF"/>
    <w:rsid w:val="007522DE"/>
    <w:rsid w:val="007522FA"/>
    <w:rsid w:val="00753001"/>
    <w:rsid w:val="007537CA"/>
    <w:rsid w:val="007539D1"/>
    <w:rsid w:val="00753B6B"/>
    <w:rsid w:val="00753FEA"/>
    <w:rsid w:val="0075430D"/>
    <w:rsid w:val="0075432A"/>
    <w:rsid w:val="0075446F"/>
    <w:rsid w:val="00754AAF"/>
    <w:rsid w:val="00754AB9"/>
    <w:rsid w:val="00755415"/>
    <w:rsid w:val="0075551B"/>
    <w:rsid w:val="00755C8F"/>
    <w:rsid w:val="00755DE0"/>
    <w:rsid w:val="00755DF6"/>
    <w:rsid w:val="00756111"/>
    <w:rsid w:val="007564FD"/>
    <w:rsid w:val="0075726D"/>
    <w:rsid w:val="00757856"/>
    <w:rsid w:val="00757C7E"/>
    <w:rsid w:val="00757CB5"/>
    <w:rsid w:val="00757D23"/>
    <w:rsid w:val="00757D60"/>
    <w:rsid w:val="007601C6"/>
    <w:rsid w:val="00761342"/>
    <w:rsid w:val="00761379"/>
    <w:rsid w:val="00761623"/>
    <w:rsid w:val="007619B6"/>
    <w:rsid w:val="00761B6B"/>
    <w:rsid w:val="00762467"/>
    <w:rsid w:val="00762D77"/>
    <w:rsid w:val="007631C7"/>
    <w:rsid w:val="00763744"/>
    <w:rsid w:val="007638E0"/>
    <w:rsid w:val="00763D36"/>
    <w:rsid w:val="00763D44"/>
    <w:rsid w:val="00763FEB"/>
    <w:rsid w:val="0076402F"/>
    <w:rsid w:val="007644B9"/>
    <w:rsid w:val="007648B2"/>
    <w:rsid w:val="00764B10"/>
    <w:rsid w:val="00764D29"/>
    <w:rsid w:val="00765A90"/>
    <w:rsid w:val="00765AB8"/>
    <w:rsid w:val="00765B8A"/>
    <w:rsid w:val="00765BBE"/>
    <w:rsid w:val="00766F66"/>
    <w:rsid w:val="00766FE4"/>
    <w:rsid w:val="00767823"/>
    <w:rsid w:val="0076786B"/>
    <w:rsid w:val="00767964"/>
    <w:rsid w:val="00767AF4"/>
    <w:rsid w:val="00767C3A"/>
    <w:rsid w:val="00767E4A"/>
    <w:rsid w:val="00767E52"/>
    <w:rsid w:val="0077029E"/>
    <w:rsid w:val="007704F6"/>
    <w:rsid w:val="00770A09"/>
    <w:rsid w:val="00771176"/>
    <w:rsid w:val="007711A7"/>
    <w:rsid w:val="00771E3B"/>
    <w:rsid w:val="0077219E"/>
    <w:rsid w:val="007723ED"/>
    <w:rsid w:val="00772553"/>
    <w:rsid w:val="007728D8"/>
    <w:rsid w:val="00772A7B"/>
    <w:rsid w:val="00772CCE"/>
    <w:rsid w:val="0077317B"/>
    <w:rsid w:val="00773297"/>
    <w:rsid w:val="007732A2"/>
    <w:rsid w:val="007732EB"/>
    <w:rsid w:val="00773387"/>
    <w:rsid w:val="007735CD"/>
    <w:rsid w:val="007740D5"/>
    <w:rsid w:val="007741A2"/>
    <w:rsid w:val="00774267"/>
    <w:rsid w:val="00774328"/>
    <w:rsid w:val="00774567"/>
    <w:rsid w:val="00774717"/>
    <w:rsid w:val="00774BF0"/>
    <w:rsid w:val="00774E4F"/>
    <w:rsid w:val="00775021"/>
    <w:rsid w:val="007751EB"/>
    <w:rsid w:val="007755A7"/>
    <w:rsid w:val="00775BF2"/>
    <w:rsid w:val="00775D7F"/>
    <w:rsid w:val="00775DDE"/>
    <w:rsid w:val="00775F99"/>
    <w:rsid w:val="0077611A"/>
    <w:rsid w:val="00776914"/>
    <w:rsid w:val="0077729E"/>
    <w:rsid w:val="00777657"/>
    <w:rsid w:val="0077798C"/>
    <w:rsid w:val="00777CC8"/>
    <w:rsid w:val="00777E51"/>
    <w:rsid w:val="00777F96"/>
    <w:rsid w:val="00780164"/>
    <w:rsid w:val="007802BC"/>
    <w:rsid w:val="0078030E"/>
    <w:rsid w:val="00780534"/>
    <w:rsid w:val="0078059C"/>
    <w:rsid w:val="007810F2"/>
    <w:rsid w:val="00781BFC"/>
    <w:rsid w:val="00782490"/>
    <w:rsid w:val="00782691"/>
    <w:rsid w:val="007829A8"/>
    <w:rsid w:val="00782EB7"/>
    <w:rsid w:val="0078300A"/>
    <w:rsid w:val="007830FB"/>
    <w:rsid w:val="0078339C"/>
    <w:rsid w:val="007840B7"/>
    <w:rsid w:val="00784263"/>
    <w:rsid w:val="007842B6"/>
    <w:rsid w:val="0078463B"/>
    <w:rsid w:val="007847F1"/>
    <w:rsid w:val="00784D50"/>
    <w:rsid w:val="0078551A"/>
    <w:rsid w:val="007856FD"/>
    <w:rsid w:val="00785731"/>
    <w:rsid w:val="007859BD"/>
    <w:rsid w:val="00785AF3"/>
    <w:rsid w:val="00785C26"/>
    <w:rsid w:val="00785C76"/>
    <w:rsid w:val="00785D4E"/>
    <w:rsid w:val="00786424"/>
    <w:rsid w:val="0078648A"/>
    <w:rsid w:val="007866FA"/>
    <w:rsid w:val="00786BC6"/>
    <w:rsid w:val="00787493"/>
    <w:rsid w:val="00787AA4"/>
    <w:rsid w:val="00787F22"/>
    <w:rsid w:val="00787F68"/>
    <w:rsid w:val="00790250"/>
    <w:rsid w:val="00790269"/>
    <w:rsid w:val="007903F8"/>
    <w:rsid w:val="00790412"/>
    <w:rsid w:val="007904C1"/>
    <w:rsid w:val="007904E6"/>
    <w:rsid w:val="00790A4A"/>
    <w:rsid w:val="00790AB7"/>
    <w:rsid w:val="00790C91"/>
    <w:rsid w:val="00790D7D"/>
    <w:rsid w:val="007912C4"/>
    <w:rsid w:val="007934FE"/>
    <w:rsid w:val="00794049"/>
    <w:rsid w:val="0079417A"/>
    <w:rsid w:val="0079495C"/>
    <w:rsid w:val="00794E08"/>
    <w:rsid w:val="00794EF9"/>
    <w:rsid w:val="00794FE1"/>
    <w:rsid w:val="00795341"/>
    <w:rsid w:val="00797066"/>
    <w:rsid w:val="00797359"/>
    <w:rsid w:val="0079762C"/>
    <w:rsid w:val="00797809"/>
    <w:rsid w:val="007978C7"/>
    <w:rsid w:val="00797949"/>
    <w:rsid w:val="00797CD0"/>
    <w:rsid w:val="00797E4D"/>
    <w:rsid w:val="007A0017"/>
    <w:rsid w:val="007A0629"/>
    <w:rsid w:val="007A0A11"/>
    <w:rsid w:val="007A0FE0"/>
    <w:rsid w:val="007A1530"/>
    <w:rsid w:val="007A1620"/>
    <w:rsid w:val="007A1FFD"/>
    <w:rsid w:val="007A2675"/>
    <w:rsid w:val="007A26A0"/>
    <w:rsid w:val="007A26BB"/>
    <w:rsid w:val="007A28C8"/>
    <w:rsid w:val="007A2A71"/>
    <w:rsid w:val="007A38A2"/>
    <w:rsid w:val="007A3999"/>
    <w:rsid w:val="007A3C57"/>
    <w:rsid w:val="007A3E3A"/>
    <w:rsid w:val="007A3F61"/>
    <w:rsid w:val="007A4E97"/>
    <w:rsid w:val="007A5211"/>
    <w:rsid w:val="007A548A"/>
    <w:rsid w:val="007A5668"/>
    <w:rsid w:val="007A5F6C"/>
    <w:rsid w:val="007A630A"/>
    <w:rsid w:val="007A6431"/>
    <w:rsid w:val="007A6759"/>
    <w:rsid w:val="007A6A63"/>
    <w:rsid w:val="007A6A7B"/>
    <w:rsid w:val="007A70C4"/>
    <w:rsid w:val="007A70D9"/>
    <w:rsid w:val="007A7333"/>
    <w:rsid w:val="007A738B"/>
    <w:rsid w:val="007A7572"/>
    <w:rsid w:val="007A75B5"/>
    <w:rsid w:val="007A77E5"/>
    <w:rsid w:val="007A786F"/>
    <w:rsid w:val="007A7BA7"/>
    <w:rsid w:val="007A7DD7"/>
    <w:rsid w:val="007B0797"/>
    <w:rsid w:val="007B099F"/>
    <w:rsid w:val="007B0BB7"/>
    <w:rsid w:val="007B0C63"/>
    <w:rsid w:val="007B0EC1"/>
    <w:rsid w:val="007B100A"/>
    <w:rsid w:val="007B12A5"/>
    <w:rsid w:val="007B19F8"/>
    <w:rsid w:val="007B21A5"/>
    <w:rsid w:val="007B2519"/>
    <w:rsid w:val="007B2ABC"/>
    <w:rsid w:val="007B2AD6"/>
    <w:rsid w:val="007B2F4F"/>
    <w:rsid w:val="007B3392"/>
    <w:rsid w:val="007B344A"/>
    <w:rsid w:val="007B348D"/>
    <w:rsid w:val="007B3498"/>
    <w:rsid w:val="007B377E"/>
    <w:rsid w:val="007B3938"/>
    <w:rsid w:val="007B3F67"/>
    <w:rsid w:val="007B4B25"/>
    <w:rsid w:val="007B4DBD"/>
    <w:rsid w:val="007B523F"/>
    <w:rsid w:val="007B5292"/>
    <w:rsid w:val="007B5A71"/>
    <w:rsid w:val="007B5BA1"/>
    <w:rsid w:val="007B602C"/>
    <w:rsid w:val="007B61C1"/>
    <w:rsid w:val="007B6520"/>
    <w:rsid w:val="007B696F"/>
    <w:rsid w:val="007B6D41"/>
    <w:rsid w:val="007B6F05"/>
    <w:rsid w:val="007B709B"/>
    <w:rsid w:val="007B71CE"/>
    <w:rsid w:val="007B74ED"/>
    <w:rsid w:val="007B7913"/>
    <w:rsid w:val="007B7A2E"/>
    <w:rsid w:val="007B7B13"/>
    <w:rsid w:val="007C0183"/>
    <w:rsid w:val="007C069A"/>
    <w:rsid w:val="007C0A0E"/>
    <w:rsid w:val="007C0D6B"/>
    <w:rsid w:val="007C0F2E"/>
    <w:rsid w:val="007C158B"/>
    <w:rsid w:val="007C165D"/>
    <w:rsid w:val="007C17D4"/>
    <w:rsid w:val="007C18B0"/>
    <w:rsid w:val="007C1962"/>
    <w:rsid w:val="007C1A93"/>
    <w:rsid w:val="007C23D8"/>
    <w:rsid w:val="007C288B"/>
    <w:rsid w:val="007C290C"/>
    <w:rsid w:val="007C2A70"/>
    <w:rsid w:val="007C2E21"/>
    <w:rsid w:val="007C2F8E"/>
    <w:rsid w:val="007C342A"/>
    <w:rsid w:val="007C4498"/>
    <w:rsid w:val="007C4796"/>
    <w:rsid w:val="007C4E8A"/>
    <w:rsid w:val="007C506A"/>
    <w:rsid w:val="007C549B"/>
    <w:rsid w:val="007C5578"/>
    <w:rsid w:val="007C5B30"/>
    <w:rsid w:val="007C5D0D"/>
    <w:rsid w:val="007C5FE8"/>
    <w:rsid w:val="007C6176"/>
    <w:rsid w:val="007C64AF"/>
    <w:rsid w:val="007C695E"/>
    <w:rsid w:val="007C6AEC"/>
    <w:rsid w:val="007C6C81"/>
    <w:rsid w:val="007C6ECB"/>
    <w:rsid w:val="007C76F8"/>
    <w:rsid w:val="007C7BE6"/>
    <w:rsid w:val="007C7E6C"/>
    <w:rsid w:val="007D0FF6"/>
    <w:rsid w:val="007D1041"/>
    <w:rsid w:val="007D11A6"/>
    <w:rsid w:val="007D12A2"/>
    <w:rsid w:val="007D1E6B"/>
    <w:rsid w:val="007D305B"/>
    <w:rsid w:val="007D30FE"/>
    <w:rsid w:val="007D3566"/>
    <w:rsid w:val="007D35D7"/>
    <w:rsid w:val="007D3923"/>
    <w:rsid w:val="007D3B69"/>
    <w:rsid w:val="007D3B86"/>
    <w:rsid w:val="007D3CFF"/>
    <w:rsid w:val="007D3D18"/>
    <w:rsid w:val="007D3D3F"/>
    <w:rsid w:val="007D403D"/>
    <w:rsid w:val="007D4233"/>
    <w:rsid w:val="007D4ADC"/>
    <w:rsid w:val="007D4C75"/>
    <w:rsid w:val="007D4D05"/>
    <w:rsid w:val="007D4DA7"/>
    <w:rsid w:val="007D4ED8"/>
    <w:rsid w:val="007D4EE0"/>
    <w:rsid w:val="007D5814"/>
    <w:rsid w:val="007D5950"/>
    <w:rsid w:val="007D59D4"/>
    <w:rsid w:val="007D5B7B"/>
    <w:rsid w:val="007D5C3B"/>
    <w:rsid w:val="007D65D2"/>
    <w:rsid w:val="007D668B"/>
    <w:rsid w:val="007D78BD"/>
    <w:rsid w:val="007D7969"/>
    <w:rsid w:val="007D799D"/>
    <w:rsid w:val="007D7B11"/>
    <w:rsid w:val="007D7DD6"/>
    <w:rsid w:val="007E005C"/>
    <w:rsid w:val="007E0721"/>
    <w:rsid w:val="007E09B4"/>
    <w:rsid w:val="007E0AAE"/>
    <w:rsid w:val="007E0AD8"/>
    <w:rsid w:val="007E0E26"/>
    <w:rsid w:val="007E0E29"/>
    <w:rsid w:val="007E1027"/>
    <w:rsid w:val="007E130B"/>
    <w:rsid w:val="007E1831"/>
    <w:rsid w:val="007E1C88"/>
    <w:rsid w:val="007E1CC0"/>
    <w:rsid w:val="007E1F74"/>
    <w:rsid w:val="007E2E61"/>
    <w:rsid w:val="007E346C"/>
    <w:rsid w:val="007E36F7"/>
    <w:rsid w:val="007E3868"/>
    <w:rsid w:val="007E3C4A"/>
    <w:rsid w:val="007E4240"/>
    <w:rsid w:val="007E4650"/>
    <w:rsid w:val="007E46A4"/>
    <w:rsid w:val="007E485C"/>
    <w:rsid w:val="007E5358"/>
    <w:rsid w:val="007E53D3"/>
    <w:rsid w:val="007E5ABC"/>
    <w:rsid w:val="007E6399"/>
    <w:rsid w:val="007E6C16"/>
    <w:rsid w:val="007E7F68"/>
    <w:rsid w:val="007F004D"/>
    <w:rsid w:val="007F004F"/>
    <w:rsid w:val="007F064D"/>
    <w:rsid w:val="007F0876"/>
    <w:rsid w:val="007F1011"/>
    <w:rsid w:val="007F12CA"/>
    <w:rsid w:val="007F13B2"/>
    <w:rsid w:val="007F187B"/>
    <w:rsid w:val="007F195A"/>
    <w:rsid w:val="007F1AC7"/>
    <w:rsid w:val="007F1B7E"/>
    <w:rsid w:val="007F1FA3"/>
    <w:rsid w:val="007F22BE"/>
    <w:rsid w:val="007F24F6"/>
    <w:rsid w:val="007F2E05"/>
    <w:rsid w:val="007F2FB0"/>
    <w:rsid w:val="007F3685"/>
    <w:rsid w:val="007F36B7"/>
    <w:rsid w:val="007F3AA0"/>
    <w:rsid w:val="007F3AE2"/>
    <w:rsid w:val="007F426B"/>
    <w:rsid w:val="007F42CC"/>
    <w:rsid w:val="007F4982"/>
    <w:rsid w:val="007F57B9"/>
    <w:rsid w:val="007F596B"/>
    <w:rsid w:val="007F59A2"/>
    <w:rsid w:val="007F59E7"/>
    <w:rsid w:val="007F5B8D"/>
    <w:rsid w:val="007F5BAC"/>
    <w:rsid w:val="007F5D60"/>
    <w:rsid w:val="007F6475"/>
    <w:rsid w:val="007F66AD"/>
    <w:rsid w:val="007F697B"/>
    <w:rsid w:val="007F71A0"/>
    <w:rsid w:val="007F7461"/>
    <w:rsid w:val="007F75A2"/>
    <w:rsid w:val="007F7698"/>
    <w:rsid w:val="007F7DBD"/>
    <w:rsid w:val="007F7E0B"/>
    <w:rsid w:val="00800037"/>
    <w:rsid w:val="008003D8"/>
    <w:rsid w:val="0080098F"/>
    <w:rsid w:val="00800B44"/>
    <w:rsid w:val="00800E11"/>
    <w:rsid w:val="008011DE"/>
    <w:rsid w:val="008015C2"/>
    <w:rsid w:val="00801B96"/>
    <w:rsid w:val="008020C5"/>
    <w:rsid w:val="00802167"/>
    <w:rsid w:val="0080255C"/>
    <w:rsid w:val="0080279F"/>
    <w:rsid w:val="00802A81"/>
    <w:rsid w:val="00802BDA"/>
    <w:rsid w:val="00802C56"/>
    <w:rsid w:val="00802CE2"/>
    <w:rsid w:val="00802F0D"/>
    <w:rsid w:val="008038F2"/>
    <w:rsid w:val="008039CA"/>
    <w:rsid w:val="008039F2"/>
    <w:rsid w:val="00803B81"/>
    <w:rsid w:val="00803DCB"/>
    <w:rsid w:val="00803DCC"/>
    <w:rsid w:val="00803DE2"/>
    <w:rsid w:val="008044C6"/>
    <w:rsid w:val="00805492"/>
    <w:rsid w:val="00805AB5"/>
    <w:rsid w:val="00806007"/>
    <w:rsid w:val="008064C3"/>
    <w:rsid w:val="00806667"/>
    <w:rsid w:val="00806F96"/>
    <w:rsid w:val="00807029"/>
    <w:rsid w:val="00807884"/>
    <w:rsid w:val="00807D9F"/>
    <w:rsid w:val="008101E3"/>
    <w:rsid w:val="00810572"/>
    <w:rsid w:val="0081060C"/>
    <w:rsid w:val="008109E7"/>
    <w:rsid w:val="00810C63"/>
    <w:rsid w:val="00810CA9"/>
    <w:rsid w:val="0081130C"/>
    <w:rsid w:val="0081136A"/>
    <w:rsid w:val="008118E0"/>
    <w:rsid w:val="00811B37"/>
    <w:rsid w:val="00811B4C"/>
    <w:rsid w:val="00812545"/>
    <w:rsid w:val="00812678"/>
    <w:rsid w:val="00812A2B"/>
    <w:rsid w:val="00812BC5"/>
    <w:rsid w:val="00812ED1"/>
    <w:rsid w:val="008131B3"/>
    <w:rsid w:val="008131F7"/>
    <w:rsid w:val="0081393B"/>
    <w:rsid w:val="00814255"/>
    <w:rsid w:val="00814C9D"/>
    <w:rsid w:val="00814D30"/>
    <w:rsid w:val="0081566E"/>
    <w:rsid w:val="00815A75"/>
    <w:rsid w:val="00815E16"/>
    <w:rsid w:val="00815EFA"/>
    <w:rsid w:val="00816374"/>
    <w:rsid w:val="00816850"/>
    <w:rsid w:val="00816910"/>
    <w:rsid w:val="0081693C"/>
    <w:rsid w:val="00816CB9"/>
    <w:rsid w:val="00816CE8"/>
    <w:rsid w:val="00816D51"/>
    <w:rsid w:val="00817AE6"/>
    <w:rsid w:val="00817BD2"/>
    <w:rsid w:val="008200DB"/>
    <w:rsid w:val="00820137"/>
    <w:rsid w:val="008204FA"/>
    <w:rsid w:val="00821ACD"/>
    <w:rsid w:val="00821CC7"/>
    <w:rsid w:val="0082207B"/>
    <w:rsid w:val="008220F4"/>
    <w:rsid w:val="00822317"/>
    <w:rsid w:val="00822626"/>
    <w:rsid w:val="00822D0E"/>
    <w:rsid w:val="00823123"/>
    <w:rsid w:val="008234C5"/>
    <w:rsid w:val="00823C77"/>
    <w:rsid w:val="00823EC6"/>
    <w:rsid w:val="0082407E"/>
    <w:rsid w:val="0082441E"/>
    <w:rsid w:val="00824AD2"/>
    <w:rsid w:val="00824CD5"/>
    <w:rsid w:val="00824F26"/>
    <w:rsid w:val="0082582E"/>
    <w:rsid w:val="00825B8A"/>
    <w:rsid w:val="00825BE1"/>
    <w:rsid w:val="0082625D"/>
    <w:rsid w:val="008262D4"/>
    <w:rsid w:val="008262DD"/>
    <w:rsid w:val="008264BF"/>
    <w:rsid w:val="00827158"/>
    <w:rsid w:val="008276C5"/>
    <w:rsid w:val="00827D2E"/>
    <w:rsid w:val="00827EEC"/>
    <w:rsid w:val="008301E0"/>
    <w:rsid w:val="00830667"/>
    <w:rsid w:val="00830B2E"/>
    <w:rsid w:val="00830BB7"/>
    <w:rsid w:val="00830F99"/>
    <w:rsid w:val="00831154"/>
    <w:rsid w:val="00831A06"/>
    <w:rsid w:val="00831BB0"/>
    <w:rsid w:val="008325BB"/>
    <w:rsid w:val="00832E02"/>
    <w:rsid w:val="00832E9F"/>
    <w:rsid w:val="00832FBD"/>
    <w:rsid w:val="008330AF"/>
    <w:rsid w:val="008333F0"/>
    <w:rsid w:val="00833554"/>
    <w:rsid w:val="008336BE"/>
    <w:rsid w:val="00834786"/>
    <w:rsid w:val="00834A5E"/>
    <w:rsid w:val="00834ABD"/>
    <w:rsid w:val="008350DA"/>
    <w:rsid w:val="00835393"/>
    <w:rsid w:val="00835634"/>
    <w:rsid w:val="00835CED"/>
    <w:rsid w:val="00835D1C"/>
    <w:rsid w:val="00835DC9"/>
    <w:rsid w:val="00835E27"/>
    <w:rsid w:val="00835F05"/>
    <w:rsid w:val="0083609F"/>
    <w:rsid w:val="00836236"/>
    <w:rsid w:val="008362F7"/>
    <w:rsid w:val="008362F8"/>
    <w:rsid w:val="00836B6A"/>
    <w:rsid w:val="00836C3C"/>
    <w:rsid w:val="00837218"/>
    <w:rsid w:val="00837608"/>
    <w:rsid w:val="00837757"/>
    <w:rsid w:val="00837EDC"/>
    <w:rsid w:val="00840103"/>
    <w:rsid w:val="0084025C"/>
    <w:rsid w:val="008403F2"/>
    <w:rsid w:val="0084052F"/>
    <w:rsid w:val="00840D55"/>
    <w:rsid w:val="00840DAA"/>
    <w:rsid w:val="00840F3F"/>
    <w:rsid w:val="008415A9"/>
    <w:rsid w:val="0084197B"/>
    <w:rsid w:val="0084245B"/>
    <w:rsid w:val="00842564"/>
    <w:rsid w:val="00842D48"/>
    <w:rsid w:val="00842D91"/>
    <w:rsid w:val="00842F09"/>
    <w:rsid w:val="008439F2"/>
    <w:rsid w:val="00844223"/>
    <w:rsid w:val="008442C0"/>
    <w:rsid w:val="008446A1"/>
    <w:rsid w:val="00844C31"/>
    <w:rsid w:val="00844D73"/>
    <w:rsid w:val="00845310"/>
    <w:rsid w:val="0084548B"/>
    <w:rsid w:val="008456DD"/>
    <w:rsid w:val="008457E3"/>
    <w:rsid w:val="008458A2"/>
    <w:rsid w:val="00845D0C"/>
    <w:rsid w:val="00845D3C"/>
    <w:rsid w:val="0084740A"/>
    <w:rsid w:val="0084754E"/>
    <w:rsid w:val="008500E8"/>
    <w:rsid w:val="00850369"/>
    <w:rsid w:val="008505AA"/>
    <w:rsid w:val="00850A0E"/>
    <w:rsid w:val="00850D72"/>
    <w:rsid w:val="00850D7D"/>
    <w:rsid w:val="00851314"/>
    <w:rsid w:val="00851C19"/>
    <w:rsid w:val="00852428"/>
    <w:rsid w:val="00852DE6"/>
    <w:rsid w:val="00852E26"/>
    <w:rsid w:val="00853343"/>
    <w:rsid w:val="00853918"/>
    <w:rsid w:val="00853D9E"/>
    <w:rsid w:val="00854362"/>
    <w:rsid w:val="008549EB"/>
    <w:rsid w:val="00854BCE"/>
    <w:rsid w:val="00854C67"/>
    <w:rsid w:val="0085562F"/>
    <w:rsid w:val="0085602E"/>
    <w:rsid w:val="00856103"/>
    <w:rsid w:val="008564E0"/>
    <w:rsid w:val="00856A5D"/>
    <w:rsid w:val="00856EAF"/>
    <w:rsid w:val="00857878"/>
    <w:rsid w:val="00857AD8"/>
    <w:rsid w:val="00857B5C"/>
    <w:rsid w:val="00857CC9"/>
    <w:rsid w:val="00857CCC"/>
    <w:rsid w:val="00857E1B"/>
    <w:rsid w:val="00857E87"/>
    <w:rsid w:val="00857F88"/>
    <w:rsid w:val="00860057"/>
    <w:rsid w:val="00860363"/>
    <w:rsid w:val="0086088B"/>
    <w:rsid w:val="00860C21"/>
    <w:rsid w:val="0086110D"/>
    <w:rsid w:val="0086172E"/>
    <w:rsid w:val="00861C0C"/>
    <w:rsid w:val="00861D4B"/>
    <w:rsid w:val="00861D99"/>
    <w:rsid w:val="0086262D"/>
    <w:rsid w:val="008629F1"/>
    <w:rsid w:val="00862E3D"/>
    <w:rsid w:val="00863485"/>
    <w:rsid w:val="008634C2"/>
    <w:rsid w:val="008643CD"/>
    <w:rsid w:val="00864573"/>
    <w:rsid w:val="00864A4C"/>
    <w:rsid w:val="00864E34"/>
    <w:rsid w:val="00864E63"/>
    <w:rsid w:val="00864EEA"/>
    <w:rsid w:val="00864F01"/>
    <w:rsid w:val="00864FF7"/>
    <w:rsid w:val="008653DC"/>
    <w:rsid w:val="00865448"/>
    <w:rsid w:val="00865AE0"/>
    <w:rsid w:val="00865D04"/>
    <w:rsid w:val="00865E4F"/>
    <w:rsid w:val="00866348"/>
    <w:rsid w:val="00866663"/>
    <w:rsid w:val="00866C55"/>
    <w:rsid w:val="00866DC1"/>
    <w:rsid w:val="0086747B"/>
    <w:rsid w:val="008674AB"/>
    <w:rsid w:val="008674B3"/>
    <w:rsid w:val="008676F2"/>
    <w:rsid w:val="008677AB"/>
    <w:rsid w:val="008705B0"/>
    <w:rsid w:val="00870A27"/>
    <w:rsid w:val="00870AA9"/>
    <w:rsid w:val="00870C31"/>
    <w:rsid w:val="00870FB0"/>
    <w:rsid w:val="0087134E"/>
    <w:rsid w:val="0087194A"/>
    <w:rsid w:val="008720D3"/>
    <w:rsid w:val="00872990"/>
    <w:rsid w:val="00872A14"/>
    <w:rsid w:val="00872A27"/>
    <w:rsid w:val="00872F2B"/>
    <w:rsid w:val="008733CC"/>
    <w:rsid w:val="00873483"/>
    <w:rsid w:val="00873861"/>
    <w:rsid w:val="00873A8B"/>
    <w:rsid w:val="00873B77"/>
    <w:rsid w:val="00873BE2"/>
    <w:rsid w:val="00873BE7"/>
    <w:rsid w:val="00873D26"/>
    <w:rsid w:val="00873E61"/>
    <w:rsid w:val="00873EFD"/>
    <w:rsid w:val="008742B6"/>
    <w:rsid w:val="0087430F"/>
    <w:rsid w:val="008743B1"/>
    <w:rsid w:val="0087490F"/>
    <w:rsid w:val="00874935"/>
    <w:rsid w:val="00874BAE"/>
    <w:rsid w:val="0087500D"/>
    <w:rsid w:val="008755E5"/>
    <w:rsid w:val="00875792"/>
    <w:rsid w:val="008759D5"/>
    <w:rsid w:val="00875B75"/>
    <w:rsid w:val="00875C3E"/>
    <w:rsid w:val="0087623E"/>
    <w:rsid w:val="008764D8"/>
    <w:rsid w:val="0087657E"/>
    <w:rsid w:val="00876B7A"/>
    <w:rsid w:val="00876C0E"/>
    <w:rsid w:val="0087706C"/>
    <w:rsid w:val="0087708E"/>
    <w:rsid w:val="00877281"/>
    <w:rsid w:val="008773B5"/>
    <w:rsid w:val="00877782"/>
    <w:rsid w:val="008777AD"/>
    <w:rsid w:val="00877CCB"/>
    <w:rsid w:val="008801B9"/>
    <w:rsid w:val="0088036A"/>
    <w:rsid w:val="008803E6"/>
    <w:rsid w:val="0088061A"/>
    <w:rsid w:val="00880CDC"/>
    <w:rsid w:val="00880DA9"/>
    <w:rsid w:val="00881255"/>
    <w:rsid w:val="008813CF"/>
    <w:rsid w:val="008817EE"/>
    <w:rsid w:val="008818E0"/>
    <w:rsid w:val="00881BFC"/>
    <w:rsid w:val="00881C78"/>
    <w:rsid w:val="00881E1C"/>
    <w:rsid w:val="0088228F"/>
    <w:rsid w:val="0088237E"/>
    <w:rsid w:val="00882914"/>
    <w:rsid w:val="00882E24"/>
    <w:rsid w:val="00882E8D"/>
    <w:rsid w:val="00883558"/>
    <w:rsid w:val="00884914"/>
    <w:rsid w:val="00884B4D"/>
    <w:rsid w:val="00884E6A"/>
    <w:rsid w:val="0088532E"/>
    <w:rsid w:val="008854FE"/>
    <w:rsid w:val="00885D0E"/>
    <w:rsid w:val="00886835"/>
    <w:rsid w:val="00886A15"/>
    <w:rsid w:val="00886C19"/>
    <w:rsid w:val="0088713A"/>
    <w:rsid w:val="0088789E"/>
    <w:rsid w:val="00887A95"/>
    <w:rsid w:val="00887E94"/>
    <w:rsid w:val="00890D74"/>
    <w:rsid w:val="008910EB"/>
    <w:rsid w:val="008914CE"/>
    <w:rsid w:val="00891A8F"/>
    <w:rsid w:val="00891E13"/>
    <w:rsid w:val="00892746"/>
    <w:rsid w:val="00892B1F"/>
    <w:rsid w:val="00892BC4"/>
    <w:rsid w:val="0089301C"/>
    <w:rsid w:val="00893071"/>
    <w:rsid w:val="00893110"/>
    <w:rsid w:val="0089317B"/>
    <w:rsid w:val="008935F9"/>
    <w:rsid w:val="00893F44"/>
    <w:rsid w:val="0089491B"/>
    <w:rsid w:val="00894CC0"/>
    <w:rsid w:val="00894E6B"/>
    <w:rsid w:val="008951ED"/>
    <w:rsid w:val="008953EE"/>
    <w:rsid w:val="00895522"/>
    <w:rsid w:val="00895859"/>
    <w:rsid w:val="00895918"/>
    <w:rsid w:val="008959BE"/>
    <w:rsid w:val="00896C92"/>
    <w:rsid w:val="00897BCF"/>
    <w:rsid w:val="00897C8D"/>
    <w:rsid w:val="00897F91"/>
    <w:rsid w:val="008A0315"/>
    <w:rsid w:val="008A05F6"/>
    <w:rsid w:val="008A0EEF"/>
    <w:rsid w:val="008A1DBB"/>
    <w:rsid w:val="008A2264"/>
    <w:rsid w:val="008A29DD"/>
    <w:rsid w:val="008A2C20"/>
    <w:rsid w:val="008A31AD"/>
    <w:rsid w:val="008A356F"/>
    <w:rsid w:val="008A3D86"/>
    <w:rsid w:val="008A42B9"/>
    <w:rsid w:val="008A4AC0"/>
    <w:rsid w:val="008A4DBD"/>
    <w:rsid w:val="008A4E13"/>
    <w:rsid w:val="008A562B"/>
    <w:rsid w:val="008A5883"/>
    <w:rsid w:val="008A5A62"/>
    <w:rsid w:val="008A5B32"/>
    <w:rsid w:val="008A5B4B"/>
    <w:rsid w:val="008A5B7F"/>
    <w:rsid w:val="008A5BE8"/>
    <w:rsid w:val="008A5FAB"/>
    <w:rsid w:val="008A6486"/>
    <w:rsid w:val="008A65CB"/>
    <w:rsid w:val="008A68E8"/>
    <w:rsid w:val="008A6964"/>
    <w:rsid w:val="008A6F47"/>
    <w:rsid w:val="008A7CCA"/>
    <w:rsid w:val="008B03C7"/>
    <w:rsid w:val="008B0401"/>
    <w:rsid w:val="008B0438"/>
    <w:rsid w:val="008B0521"/>
    <w:rsid w:val="008B0776"/>
    <w:rsid w:val="008B0CD4"/>
    <w:rsid w:val="008B1B7C"/>
    <w:rsid w:val="008B219F"/>
    <w:rsid w:val="008B2990"/>
    <w:rsid w:val="008B2C1A"/>
    <w:rsid w:val="008B39E0"/>
    <w:rsid w:val="008B3B60"/>
    <w:rsid w:val="008B3E8F"/>
    <w:rsid w:val="008B3FBA"/>
    <w:rsid w:val="008B4232"/>
    <w:rsid w:val="008B4389"/>
    <w:rsid w:val="008B4BE8"/>
    <w:rsid w:val="008B4D03"/>
    <w:rsid w:val="008B4F5A"/>
    <w:rsid w:val="008B4F65"/>
    <w:rsid w:val="008B56AC"/>
    <w:rsid w:val="008B592D"/>
    <w:rsid w:val="008B5C5D"/>
    <w:rsid w:val="008B5C97"/>
    <w:rsid w:val="008B5EA6"/>
    <w:rsid w:val="008B5ED6"/>
    <w:rsid w:val="008B67CA"/>
    <w:rsid w:val="008B6E0B"/>
    <w:rsid w:val="008B6F18"/>
    <w:rsid w:val="008B7079"/>
    <w:rsid w:val="008B77DA"/>
    <w:rsid w:val="008B79C7"/>
    <w:rsid w:val="008B79DC"/>
    <w:rsid w:val="008B7A3A"/>
    <w:rsid w:val="008C0056"/>
    <w:rsid w:val="008C04C0"/>
    <w:rsid w:val="008C0604"/>
    <w:rsid w:val="008C0704"/>
    <w:rsid w:val="008C0AF1"/>
    <w:rsid w:val="008C0D70"/>
    <w:rsid w:val="008C1293"/>
    <w:rsid w:val="008C1751"/>
    <w:rsid w:val="008C183F"/>
    <w:rsid w:val="008C19B7"/>
    <w:rsid w:val="008C1DD1"/>
    <w:rsid w:val="008C21E1"/>
    <w:rsid w:val="008C2414"/>
    <w:rsid w:val="008C33EA"/>
    <w:rsid w:val="008C36EC"/>
    <w:rsid w:val="008C416E"/>
    <w:rsid w:val="008C4256"/>
    <w:rsid w:val="008C4EAE"/>
    <w:rsid w:val="008C52CE"/>
    <w:rsid w:val="008C563D"/>
    <w:rsid w:val="008C5769"/>
    <w:rsid w:val="008C58BD"/>
    <w:rsid w:val="008C5D77"/>
    <w:rsid w:val="008C5EF3"/>
    <w:rsid w:val="008C747F"/>
    <w:rsid w:val="008C76FC"/>
    <w:rsid w:val="008C7B06"/>
    <w:rsid w:val="008C7DCD"/>
    <w:rsid w:val="008D008A"/>
    <w:rsid w:val="008D09A1"/>
    <w:rsid w:val="008D106F"/>
    <w:rsid w:val="008D10A1"/>
    <w:rsid w:val="008D1409"/>
    <w:rsid w:val="008D2649"/>
    <w:rsid w:val="008D2934"/>
    <w:rsid w:val="008D35C4"/>
    <w:rsid w:val="008D3700"/>
    <w:rsid w:val="008D3FAD"/>
    <w:rsid w:val="008D4029"/>
    <w:rsid w:val="008D4063"/>
    <w:rsid w:val="008D43FE"/>
    <w:rsid w:val="008D46BB"/>
    <w:rsid w:val="008D4CBE"/>
    <w:rsid w:val="008D5143"/>
    <w:rsid w:val="008D544D"/>
    <w:rsid w:val="008D5A9C"/>
    <w:rsid w:val="008D5B34"/>
    <w:rsid w:val="008D61BF"/>
    <w:rsid w:val="008D622C"/>
    <w:rsid w:val="008D63E4"/>
    <w:rsid w:val="008D6518"/>
    <w:rsid w:val="008D682E"/>
    <w:rsid w:val="008D693C"/>
    <w:rsid w:val="008D6AAE"/>
    <w:rsid w:val="008D6E83"/>
    <w:rsid w:val="008D6FD0"/>
    <w:rsid w:val="008D76F6"/>
    <w:rsid w:val="008E00EF"/>
    <w:rsid w:val="008E065D"/>
    <w:rsid w:val="008E091D"/>
    <w:rsid w:val="008E0AEA"/>
    <w:rsid w:val="008E0B59"/>
    <w:rsid w:val="008E1352"/>
    <w:rsid w:val="008E15A1"/>
    <w:rsid w:val="008E178D"/>
    <w:rsid w:val="008E1F8D"/>
    <w:rsid w:val="008E21E0"/>
    <w:rsid w:val="008E2A30"/>
    <w:rsid w:val="008E30EC"/>
    <w:rsid w:val="008E3209"/>
    <w:rsid w:val="008E3B05"/>
    <w:rsid w:val="008E3BA3"/>
    <w:rsid w:val="008E3CAA"/>
    <w:rsid w:val="008E3CC3"/>
    <w:rsid w:val="008E3E2B"/>
    <w:rsid w:val="008E463B"/>
    <w:rsid w:val="008E4695"/>
    <w:rsid w:val="008E55AF"/>
    <w:rsid w:val="008E591A"/>
    <w:rsid w:val="008E59ED"/>
    <w:rsid w:val="008E59F4"/>
    <w:rsid w:val="008E60E7"/>
    <w:rsid w:val="008E620E"/>
    <w:rsid w:val="008E6453"/>
    <w:rsid w:val="008E7518"/>
    <w:rsid w:val="008E781A"/>
    <w:rsid w:val="008E7AB6"/>
    <w:rsid w:val="008E7C1B"/>
    <w:rsid w:val="008F0052"/>
    <w:rsid w:val="008F01F3"/>
    <w:rsid w:val="008F037F"/>
    <w:rsid w:val="008F03EA"/>
    <w:rsid w:val="008F0A13"/>
    <w:rsid w:val="008F103F"/>
    <w:rsid w:val="008F182B"/>
    <w:rsid w:val="008F1B3E"/>
    <w:rsid w:val="008F1BF3"/>
    <w:rsid w:val="008F2D52"/>
    <w:rsid w:val="008F2DF4"/>
    <w:rsid w:val="008F2E73"/>
    <w:rsid w:val="008F2F17"/>
    <w:rsid w:val="008F2F5C"/>
    <w:rsid w:val="008F301F"/>
    <w:rsid w:val="008F371B"/>
    <w:rsid w:val="008F38AB"/>
    <w:rsid w:val="008F397E"/>
    <w:rsid w:val="008F3C5D"/>
    <w:rsid w:val="008F4364"/>
    <w:rsid w:val="008F47CD"/>
    <w:rsid w:val="008F48B1"/>
    <w:rsid w:val="008F5015"/>
    <w:rsid w:val="008F5128"/>
    <w:rsid w:val="008F54D1"/>
    <w:rsid w:val="008F54EC"/>
    <w:rsid w:val="008F555E"/>
    <w:rsid w:val="008F5797"/>
    <w:rsid w:val="008F5AD6"/>
    <w:rsid w:val="008F5E8B"/>
    <w:rsid w:val="008F5FA8"/>
    <w:rsid w:val="008F66A1"/>
    <w:rsid w:val="008F67C4"/>
    <w:rsid w:val="008F719E"/>
    <w:rsid w:val="008F72BF"/>
    <w:rsid w:val="008F7382"/>
    <w:rsid w:val="008F753F"/>
    <w:rsid w:val="008F75D8"/>
    <w:rsid w:val="008F7628"/>
    <w:rsid w:val="008F7AFA"/>
    <w:rsid w:val="008F7CA0"/>
    <w:rsid w:val="0090012E"/>
    <w:rsid w:val="00900D7E"/>
    <w:rsid w:val="00900DBE"/>
    <w:rsid w:val="00900FA9"/>
    <w:rsid w:val="00901052"/>
    <w:rsid w:val="009011B9"/>
    <w:rsid w:val="009020E9"/>
    <w:rsid w:val="00902864"/>
    <w:rsid w:val="00902B30"/>
    <w:rsid w:val="00902EE7"/>
    <w:rsid w:val="0090304F"/>
    <w:rsid w:val="0090350C"/>
    <w:rsid w:val="00903681"/>
    <w:rsid w:val="00904324"/>
    <w:rsid w:val="00904ECD"/>
    <w:rsid w:val="00905189"/>
    <w:rsid w:val="009057BF"/>
    <w:rsid w:val="00905AB3"/>
    <w:rsid w:val="00905C75"/>
    <w:rsid w:val="0090607E"/>
    <w:rsid w:val="009062AE"/>
    <w:rsid w:val="009063AF"/>
    <w:rsid w:val="0090661A"/>
    <w:rsid w:val="0090662E"/>
    <w:rsid w:val="00906A0F"/>
    <w:rsid w:val="00906B78"/>
    <w:rsid w:val="00906DBD"/>
    <w:rsid w:val="00906FC2"/>
    <w:rsid w:val="00907C20"/>
    <w:rsid w:val="00907D13"/>
    <w:rsid w:val="00910249"/>
    <w:rsid w:val="009102CB"/>
    <w:rsid w:val="0091072E"/>
    <w:rsid w:val="00911084"/>
    <w:rsid w:val="0091137C"/>
    <w:rsid w:val="009113D4"/>
    <w:rsid w:val="0091146B"/>
    <w:rsid w:val="00911A06"/>
    <w:rsid w:val="00911C03"/>
    <w:rsid w:val="00911F1D"/>
    <w:rsid w:val="009121A4"/>
    <w:rsid w:val="009121AB"/>
    <w:rsid w:val="009125DC"/>
    <w:rsid w:val="0091272A"/>
    <w:rsid w:val="00912A16"/>
    <w:rsid w:val="00912AC8"/>
    <w:rsid w:val="00912F78"/>
    <w:rsid w:val="009134F8"/>
    <w:rsid w:val="00914220"/>
    <w:rsid w:val="009146DA"/>
    <w:rsid w:val="009148F1"/>
    <w:rsid w:val="009153B1"/>
    <w:rsid w:val="00915732"/>
    <w:rsid w:val="00915874"/>
    <w:rsid w:val="009158B9"/>
    <w:rsid w:val="00915EB6"/>
    <w:rsid w:val="0091600B"/>
    <w:rsid w:val="00916117"/>
    <w:rsid w:val="00916329"/>
    <w:rsid w:val="009166C2"/>
    <w:rsid w:val="00916AA8"/>
    <w:rsid w:val="009170F0"/>
    <w:rsid w:val="009171A6"/>
    <w:rsid w:val="00917249"/>
    <w:rsid w:val="00917558"/>
    <w:rsid w:val="009177A5"/>
    <w:rsid w:val="00917C47"/>
    <w:rsid w:val="0092002E"/>
    <w:rsid w:val="0092006C"/>
    <w:rsid w:val="00920A14"/>
    <w:rsid w:val="00920B2B"/>
    <w:rsid w:val="00920E75"/>
    <w:rsid w:val="00920E9E"/>
    <w:rsid w:val="00921411"/>
    <w:rsid w:val="009218D1"/>
    <w:rsid w:val="00921FF2"/>
    <w:rsid w:val="0092208E"/>
    <w:rsid w:val="00922B29"/>
    <w:rsid w:val="00923674"/>
    <w:rsid w:val="009237C7"/>
    <w:rsid w:val="00923800"/>
    <w:rsid w:val="00923A79"/>
    <w:rsid w:val="00923B08"/>
    <w:rsid w:val="00923B0D"/>
    <w:rsid w:val="00923B6E"/>
    <w:rsid w:val="009241A0"/>
    <w:rsid w:val="009245A5"/>
    <w:rsid w:val="0092474F"/>
    <w:rsid w:val="0092478E"/>
    <w:rsid w:val="00924862"/>
    <w:rsid w:val="00924B12"/>
    <w:rsid w:val="00924B48"/>
    <w:rsid w:val="00924B5C"/>
    <w:rsid w:val="009250D3"/>
    <w:rsid w:val="00925705"/>
    <w:rsid w:val="009279F1"/>
    <w:rsid w:val="0093065A"/>
    <w:rsid w:val="0093094E"/>
    <w:rsid w:val="00930E06"/>
    <w:rsid w:val="00930E20"/>
    <w:rsid w:val="009310A3"/>
    <w:rsid w:val="009318B9"/>
    <w:rsid w:val="0093193F"/>
    <w:rsid w:val="00931986"/>
    <w:rsid w:val="00931ABA"/>
    <w:rsid w:val="00931CAD"/>
    <w:rsid w:val="00931F40"/>
    <w:rsid w:val="00931FD8"/>
    <w:rsid w:val="00933226"/>
    <w:rsid w:val="0093366E"/>
    <w:rsid w:val="00933D73"/>
    <w:rsid w:val="00933E13"/>
    <w:rsid w:val="00934497"/>
    <w:rsid w:val="00935297"/>
    <w:rsid w:val="009360A6"/>
    <w:rsid w:val="0093629E"/>
    <w:rsid w:val="009371BB"/>
    <w:rsid w:val="00937A11"/>
    <w:rsid w:val="00937B94"/>
    <w:rsid w:val="00940220"/>
    <w:rsid w:val="00940335"/>
    <w:rsid w:val="0094045D"/>
    <w:rsid w:val="009405BA"/>
    <w:rsid w:val="0094070B"/>
    <w:rsid w:val="00940DC9"/>
    <w:rsid w:val="00940E8D"/>
    <w:rsid w:val="00940F24"/>
    <w:rsid w:val="00941555"/>
    <w:rsid w:val="0094171E"/>
    <w:rsid w:val="009417F7"/>
    <w:rsid w:val="00941BDB"/>
    <w:rsid w:val="00941E4C"/>
    <w:rsid w:val="009421B6"/>
    <w:rsid w:val="009424F2"/>
    <w:rsid w:val="009426F3"/>
    <w:rsid w:val="009428E2"/>
    <w:rsid w:val="00942EF3"/>
    <w:rsid w:val="00942FD0"/>
    <w:rsid w:val="009431FB"/>
    <w:rsid w:val="0094363A"/>
    <w:rsid w:val="009443C4"/>
    <w:rsid w:val="00944881"/>
    <w:rsid w:val="00944B26"/>
    <w:rsid w:val="009454EC"/>
    <w:rsid w:val="00945713"/>
    <w:rsid w:val="00945C4A"/>
    <w:rsid w:val="00946054"/>
    <w:rsid w:val="0094660B"/>
    <w:rsid w:val="009468C1"/>
    <w:rsid w:val="00946B67"/>
    <w:rsid w:val="00946CE7"/>
    <w:rsid w:val="00947FA7"/>
    <w:rsid w:val="00950781"/>
    <w:rsid w:val="0095079D"/>
    <w:rsid w:val="009507E6"/>
    <w:rsid w:val="009508AD"/>
    <w:rsid w:val="00950912"/>
    <w:rsid w:val="00950A35"/>
    <w:rsid w:val="00950C24"/>
    <w:rsid w:val="00950C66"/>
    <w:rsid w:val="009510FF"/>
    <w:rsid w:val="009511B2"/>
    <w:rsid w:val="00951776"/>
    <w:rsid w:val="00952121"/>
    <w:rsid w:val="009523E7"/>
    <w:rsid w:val="00952CA5"/>
    <w:rsid w:val="00952E10"/>
    <w:rsid w:val="00952EA9"/>
    <w:rsid w:val="009530EB"/>
    <w:rsid w:val="00953300"/>
    <w:rsid w:val="00953498"/>
    <w:rsid w:val="00953527"/>
    <w:rsid w:val="00953616"/>
    <w:rsid w:val="00953B5A"/>
    <w:rsid w:val="00953CD1"/>
    <w:rsid w:val="00953D9A"/>
    <w:rsid w:val="00953FA0"/>
    <w:rsid w:val="00954193"/>
    <w:rsid w:val="009546BD"/>
    <w:rsid w:val="00954854"/>
    <w:rsid w:val="00954DFA"/>
    <w:rsid w:val="00954EF1"/>
    <w:rsid w:val="00955205"/>
    <w:rsid w:val="00955531"/>
    <w:rsid w:val="00955B82"/>
    <w:rsid w:val="00955BCD"/>
    <w:rsid w:val="00955EE8"/>
    <w:rsid w:val="00955F91"/>
    <w:rsid w:val="00955FD2"/>
    <w:rsid w:val="00956179"/>
    <w:rsid w:val="009562C2"/>
    <w:rsid w:val="00956758"/>
    <w:rsid w:val="00956A25"/>
    <w:rsid w:val="00956B66"/>
    <w:rsid w:val="00956E79"/>
    <w:rsid w:val="0095756F"/>
    <w:rsid w:val="009576F4"/>
    <w:rsid w:val="00957939"/>
    <w:rsid w:val="00957BA5"/>
    <w:rsid w:val="00960036"/>
    <w:rsid w:val="00960131"/>
    <w:rsid w:val="00960377"/>
    <w:rsid w:val="00960625"/>
    <w:rsid w:val="00960659"/>
    <w:rsid w:val="00960D9A"/>
    <w:rsid w:val="00960F20"/>
    <w:rsid w:val="00961082"/>
    <w:rsid w:val="00961846"/>
    <w:rsid w:val="00961BCB"/>
    <w:rsid w:val="00961FDD"/>
    <w:rsid w:val="00961FF2"/>
    <w:rsid w:val="009625DB"/>
    <w:rsid w:val="00962F4F"/>
    <w:rsid w:val="0096312F"/>
    <w:rsid w:val="00963C9F"/>
    <w:rsid w:val="00963D8F"/>
    <w:rsid w:val="00963DDC"/>
    <w:rsid w:val="00963DDF"/>
    <w:rsid w:val="00963EEF"/>
    <w:rsid w:val="00963F49"/>
    <w:rsid w:val="00963F4D"/>
    <w:rsid w:val="00964436"/>
    <w:rsid w:val="0096445A"/>
    <w:rsid w:val="00964550"/>
    <w:rsid w:val="0096517C"/>
    <w:rsid w:val="00965197"/>
    <w:rsid w:val="009652CD"/>
    <w:rsid w:val="009654ED"/>
    <w:rsid w:val="0096561E"/>
    <w:rsid w:val="00965AF8"/>
    <w:rsid w:val="00966619"/>
    <w:rsid w:val="009666CC"/>
    <w:rsid w:val="00966950"/>
    <w:rsid w:val="00966D22"/>
    <w:rsid w:val="00966DBA"/>
    <w:rsid w:val="00966DEE"/>
    <w:rsid w:val="00966DF5"/>
    <w:rsid w:val="00967027"/>
    <w:rsid w:val="009674C0"/>
    <w:rsid w:val="009675C4"/>
    <w:rsid w:val="009679E4"/>
    <w:rsid w:val="00967E66"/>
    <w:rsid w:val="00970592"/>
    <w:rsid w:val="00970BDB"/>
    <w:rsid w:val="00971CCC"/>
    <w:rsid w:val="009720C3"/>
    <w:rsid w:val="00972E13"/>
    <w:rsid w:val="00972F62"/>
    <w:rsid w:val="00973117"/>
    <w:rsid w:val="009734EC"/>
    <w:rsid w:val="00973612"/>
    <w:rsid w:val="009736E4"/>
    <w:rsid w:val="00973963"/>
    <w:rsid w:val="00973D58"/>
    <w:rsid w:val="009740B5"/>
    <w:rsid w:val="00974162"/>
    <w:rsid w:val="00974445"/>
    <w:rsid w:val="00974E4D"/>
    <w:rsid w:val="0097530A"/>
    <w:rsid w:val="00975365"/>
    <w:rsid w:val="00975936"/>
    <w:rsid w:val="00975B7B"/>
    <w:rsid w:val="00975D1F"/>
    <w:rsid w:val="00975E1D"/>
    <w:rsid w:val="0097616A"/>
    <w:rsid w:val="009761A9"/>
    <w:rsid w:val="009761B7"/>
    <w:rsid w:val="009763D1"/>
    <w:rsid w:val="00976660"/>
    <w:rsid w:val="00976BE3"/>
    <w:rsid w:val="00976E8E"/>
    <w:rsid w:val="0097746A"/>
    <w:rsid w:val="00980240"/>
    <w:rsid w:val="00980A0F"/>
    <w:rsid w:val="00980B15"/>
    <w:rsid w:val="00980D90"/>
    <w:rsid w:val="00981066"/>
    <w:rsid w:val="009811B4"/>
    <w:rsid w:val="009813AD"/>
    <w:rsid w:val="009819F6"/>
    <w:rsid w:val="009821A5"/>
    <w:rsid w:val="00982237"/>
    <w:rsid w:val="009825EB"/>
    <w:rsid w:val="009826E1"/>
    <w:rsid w:val="00982866"/>
    <w:rsid w:val="009828D7"/>
    <w:rsid w:val="00982A64"/>
    <w:rsid w:val="00982D60"/>
    <w:rsid w:val="00982DF1"/>
    <w:rsid w:val="009833ED"/>
    <w:rsid w:val="00983C69"/>
    <w:rsid w:val="00983D6C"/>
    <w:rsid w:val="00984297"/>
    <w:rsid w:val="00984A01"/>
    <w:rsid w:val="009853B4"/>
    <w:rsid w:val="009858C3"/>
    <w:rsid w:val="00985BBA"/>
    <w:rsid w:val="00985EB6"/>
    <w:rsid w:val="0098613B"/>
    <w:rsid w:val="009862E3"/>
    <w:rsid w:val="00986410"/>
    <w:rsid w:val="009865FA"/>
    <w:rsid w:val="009867F6"/>
    <w:rsid w:val="00986BD1"/>
    <w:rsid w:val="00986CCA"/>
    <w:rsid w:val="00986D12"/>
    <w:rsid w:val="00986DF5"/>
    <w:rsid w:val="00986E39"/>
    <w:rsid w:val="00987047"/>
    <w:rsid w:val="0098709E"/>
    <w:rsid w:val="0098766F"/>
    <w:rsid w:val="00987A13"/>
    <w:rsid w:val="00987CEB"/>
    <w:rsid w:val="00987DF2"/>
    <w:rsid w:val="00987EF6"/>
    <w:rsid w:val="009902D6"/>
    <w:rsid w:val="00990928"/>
    <w:rsid w:val="00990FCA"/>
    <w:rsid w:val="00991526"/>
    <w:rsid w:val="00991601"/>
    <w:rsid w:val="0099160C"/>
    <w:rsid w:val="00991BDB"/>
    <w:rsid w:val="00991DED"/>
    <w:rsid w:val="009921F0"/>
    <w:rsid w:val="009925B4"/>
    <w:rsid w:val="00992DCB"/>
    <w:rsid w:val="009930E3"/>
    <w:rsid w:val="0099315D"/>
    <w:rsid w:val="0099326B"/>
    <w:rsid w:val="00993605"/>
    <w:rsid w:val="009947E9"/>
    <w:rsid w:val="009948B4"/>
    <w:rsid w:val="00994C94"/>
    <w:rsid w:val="009955C3"/>
    <w:rsid w:val="00995D5F"/>
    <w:rsid w:val="00996198"/>
    <w:rsid w:val="00996595"/>
    <w:rsid w:val="00997026"/>
    <w:rsid w:val="009971F3"/>
    <w:rsid w:val="009972A8"/>
    <w:rsid w:val="0099735C"/>
    <w:rsid w:val="00997F58"/>
    <w:rsid w:val="00997F6C"/>
    <w:rsid w:val="009A0440"/>
    <w:rsid w:val="009A04BF"/>
    <w:rsid w:val="009A0E01"/>
    <w:rsid w:val="009A0E76"/>
    <w:rsid w:val="009A0F50"/>
    <w:rsid w:val="009A130C"/>
    <w:rsid w:val="009A19EB"/>
    <w:rsid w:val="009A1BDF"/>
    <w:rsid w:val="009A1F9E"/>
    <w:rsid w:val="009A2001"/>
    <w:rsid w:val="009A2098"/>
    <w:rsid w:val="009A21B1"/>
    <w:rsid w:val="009A26BD"/>
    <w:rsid w:val="009A27F0"/>
    <w:rsid w:val="009A289F"/>
    <w:rsid w:val="009A3148"/>
    <w:rsid w:val="009A3A52"/>
    <w:rsid w:val="009A4107"/>
    <w:rsid w:val="009A451B"/>
    <w:rsid w:val="009A495A"/>
    <w:rsid w:val="009A4B3D"/>
    <w:rsid w:val="009A4EFF"/>
    <w:rsid w:val="009A57FD"/>
    <w:rsid w:val="009A5890"/>
    <w:rsid w:val="009A5B2F"/>
    <w:rsid w:val="009A5BB5"/>
    <w:rsid w:val="009A5BC4"/>
    <w:rsid w:val="009A648C"/>
    <w:rsid w:val="009A6CB7"/>
    <w:rsid w:val="009A6E55"/>
    <w:rsid w:val="009A7377"/>
    <w:rsid w:val="009A7B79"/>
    <w:rsid w:val="009B01B4"/>
    <w:rsid w:val="009B01D7"/>
    <w:rsid w:val="009B0519"/>
    <w:rsid w:val="009B0AE8"/>
    <w:rsid w:val="009B0BC5"/>
    <w:rsid w:val="009B0FAA"/>
    <w:rsid w:val="009B1C67"/>
    <w:rsid w:val="009B20A6"/>
    <w:rsid w:val="009B27A4"/>
    <w:rsid w:val="009B2A15"/>
    <w:rsid w:val="009B3028"/>
    <w:rsid w:val="009B34AC"/>
    <w:rsid w:val="009B34E5"/>
    <w:rsid w:val="009B37C1"/>
    <w:rsid w:val="009B3983"/>
    <w:rsid w:val="009B39A5"/>
    <w:rsid w:val="009B3A82"/>
    <w:rsid w:val="009B400D"/>
    <w:rsid w:val="009B42B9"/>
    <w:rsid w:val="009B4A1A"/>
    <w:rsid w:val="009B4C2A"/>
    <w:rsid w:val="009B5076"/>
    <w:rsid w:val="009B50B4"/>
    <w:rsid w:val="009B5504"/>
    <w:rsid w:val="009B5554"/>
    <w:rsid w:val="009B64DA"/>
    <w:rsid w:val="009B7138"/>
    <w:rsid w:val="009B723A"/>
    <w:rsid w:val="009B744A"/>
    <w:rsid w:val="009B7459"/>
    <w:rsid w:val="009B747B"/>
    <w:rsid w:val="009B75FE"/>
    <w:rsid w:val="009B7B28"/>
    <w:rsid w:val="009C00C0"/>
    <w:rsid w:val="009C04F4"/>
    <w:rsid w:val="009C06B4"/>
    <w:rsid w:val="009C07BE"/>
    <w:rsid w:val="009C0886"/>
    <w:rsid w:val="009C0D98"/>
    <w:rsid w:val="009C1005"/>
    <w:rsid w:val="009C11F0"/>
    <w:rsid w:val="009C14CD"/>
    <w:rsid w:val="009C14E0"/>
    <w:rsid w:val="009C19BC"/>
    <w:rsid w:val="009C1BC7"/>
    <w:rsid w:val="009C1BF8"/>
    <w:rsid w:val="009C1F08"/>
    <w:rsid w:val="009C25FA"/>
    <w:rsid w:val="009C2D9B"/>
    <w:rsid w:val="009C2F5E"/>
    <w:rsid w:val="009C3646"/>
    <w:rsid w:val="009C3651"/>
    <w:rsid w:val="009C38CC"/>
    <w:rsid w:val="009C3CB0"/>
    <w:rsid w:val="009C406B"/>
    <w:rsid w:val="009C40DF"/>
    <w:rsid w:val="009C4275"/>
    <w:rsid w:val="009C4A8B"/>
    <w:rsid w:val="009C4CA6"/>
    <w:rsid w:val="009C4FFB"/>
    <w:rsid w:val="009C5021"/>
    <w:rsid w:val="009C5071"/>
    <w:rsid w:val="009C56D1"/>
    <w:rsid w:val="009C5777"/>
    <w:rsid w:val="009C5960"/>
    <w:rsid w:val="009C5A71"/>
    <w:rsid w:val="009C5EF3"/>
    <w:rsid w:val="009C6045"/>
    <w:rsid w:val="009C63E9"/>
    <w:rsid w:val="009C66C2"/>
    <w:rsid w:val="009C66DC"/>
    <w:rsid w:val="009C6BFA"/>
    <w:rsid w:val="009C6E4B"/>
    <w:rsid w:val="009C7281"/>
    <w:rsid w:val="009C73BF"/>
    <w:rsid w:val="009C7479"/>
    <w:rsid w:val="009C754D"/>
    <w:rsid w:val="009C7674"/>
    <w:rsid w:val="009C7777"/>
    <w:rsid w:val="009C7859"/>
    <w:rsid w:val="009C78C9"/>
    <w:rsid w:val="009C7A31"/>
    <w:rsid w:val="009D0085"/>
    <w:rsid w:val="009D00D2"/>
    <w:rsid w:val="009D00FA"/>
    <w:rsid w:val="009D0288"/>
    <w:rsid w:val="009D02D0"/>
    <w:rsid w:val="009D0703"/>
    <w:rsid w:val="009D10A8"/>
    <w:rsid w:val="009D14D2"/>
    <w:rsid w:val="009D18B8"/>
    <w:rsid w:val="009D18C2"/>
    <w:rsid w:val="009D1AC2"/>
    <w:rsid w:val="009D1B32"/>
    <w:rsid w:val="009D1BA0"/>
    <w:rsid w:val="009D30C7"/>
    <w:rsid w:val="009D34E1"/>
    <w:rsid w:val="009D3F1E"/>
    <w:rsid w:val="009D40A5"/>
    <w:rsid w:val="009D4326"/>
    <w:rsid w:val="009D44A2"/>
    <w:rsid w:val="009D47E9"/>
    <w:rsid w:val="009D4EAB"/>
    <w:rsid w:val="009D4F98"/>
    <w:rsid w:val="009D5179"/>
    <w:rsid w:val="009D51E6"/>
    <w:rsid w:val="009D5552"/>
    <w:rsid w:val="009D557A"/>
    <w:rsid w:val="009D5734"/>
    <w:rsid w:val="009D596D"/>
    <w:rsid w:val="009D5A36"/>
    <w:rsid w:val="009D5D92"/>
    <w:rsid w:val="009D5F01"/>
    <w:rsid w:val="009D6094"/>
    <w:rsid w:val="009D62DC"/>
    <w:rsid w:val="009D637F"/>
    <w:rsid w:val="009D63E5"/>
    <w:rsid w:val="009D6633"/>
    <w:rsid w:val="009D6A9E"/>
    <w:rsid w:val="009D765B"/>
    <w:rsid w:val="009D76FF"/>
    <w:rsid w:val="009D7C50"/>
    <w:rsid w:val="009E0010"/>
    <w:rsid w:val="009E08C3"/>
    <w:rsid w:val="009E0D75"/>
    <w:rsid w:val="009E102E"/>
    <w:rsid w:val="009E1493"/>
    <w:rsid w:val="009E15CE"/>
    <w:rsid w:val="009E174D"/>
    <w:rsid w:val="009E1B7D"/>
    <w:rsid w:val="009E1F48"/>
    <w:rsid w:val="009E1FBD"/>
    <w:rsid w:val="009E250E"/>
    <w:rsid w:val="009E258B"/>
    <w:rsid w:val="009E285C"/>
    <w:rsid w:val="009E2A67"/>
    <w:rsid w:val="009E2DAD"/>
    <w:rsid w:val="009E2F21"/>
    <w:rsid w:val="009E314D"/>
    <w:rsid w:val="009E3343"/>
    <w:rsid w:val="009E34D5"/>
    <w:rsid w:val="009E394D"/>
    <w:rsid w:val="009E3CEC"/>
    <w:rsid w:val="009E4054"/>
    <w:rsid w:val="009E4136"/>
    <w:rsid w:val="009E50DD"/>
    <w:rsid w:val="009E51D3"/>
    <w:rsid w:val="009E5329"/>
    <w:rsid w:val="009E55A1"/>
    <w:rsid w:val="009E57D1"/>
    <w:rsid w:val="009E5D48"/>
    <w:rsid w:val="009E5F9C"/>
    <w:rsid w:val="009E67B1"/>
    <w:rsid w:val="009E6DBD"/>
    <w:rsid w:val="009E704F"/>
    <w:rsid w:val="009E7671"/>
    <w:rsid w:val="009E791C"/>
    <w:rsid w:val="009E7D3F"/>
    <w:rsid w:val="009E7FF4"/>
    <w:rsid w:val="009F03D0"/>
    <w:rsid w:val="009F07F9"/>
    <w:rsid w:val="009F0BB6"/>
    <w:rsid w:val="009F0E34"/>
    <w:rsid w:val="009F1C17"/>
    <w:rsid w:val="009F1FBA"/>
    <w:rsid w:val="009F210F"/>
    <w:rsid w:val="009F2117"/>
    <w:rsid w:val="009F28D0"/>
    <w:rsid w:val="009F2CDC"/>
    <w:rsid w:val="009F2D38"/>
    <w:rsid w:val="009F2E1D"/>
    <w:rsid w:val="009F32C9"/>
    <w:rsid w:val="009F3834"/>
    <w:rsid w:val="009F3FA9"/>
    <w:rsid w:val="009F412D"/>
    <w:rsid w:val="009F4CD0"/>
    <w:rsid w:val="009F4D35"/>
    <w:rsid w:val="009F4D4B"/>
    <w:rsid w:val="009F4E6A"/>
    <w:rsid w:val="009F5434"/>
    <w:rsid w:val="009F5B6B"/>
    <w:rsid w:val="009F5BB9"/>
    <w:rsid w:val="009F5E69"/>
    <w:rsid w:val="009F6004"/>
    <w:rsid w:val="009F6054"/>
    <w:rsid w:val="009F689A"/>
    <w:rsid w:val="009F6CF2"/>
    <w:rsid w:val="009F6E49"/>
    <w:rsid w:val="009F6FEE"/>
    <w:rsid w:val="009F75F2"/>
    <w:rsid w:val="009F78A2"/>
    <w:rsid w:val="009F7A5A"/>
    <w:rsid w:val="009F7FF0"/>
    <w:rsid w:val="00A001DE"/>
    <w:rsid w:val="00A004B2"/>
    <w:rsid w:val="00A0062C"/>
    <w:rsid w:val="00A00777"/>
    <w:rsid w:val="00A007AC"/>
    <w:rsid w:val="00A007B0"/>
    <w:rsid w:val="00A009DE"/>
    <w:rsid w:val="00A015FE"/>
    <w:rsid w:val="00A01824"/>
    <w:rsid w:val="00A0193C"/>
    <w:rsid w:val="00A019DD"/>
    <w:rsid w:val="00A01D16"/>
    <w:rsid w:val="00A02285"/>
    <w:rsid w:val="00A028ED"/>
    <w:rsid w:val="00A02D67"/>
    <w:rsid w:val="00A02EAE"/>
    <w:rsid w:val="00A0332D"/>
    <w:rsid w:val="00A033BD"/>
    <w:rsid w:val="00A038DE"/>
    <w:rsid w:val="00A039FE"/>
    <w:rsid w:val="00A03AD2"/>
    <w:rsid w:val="00A03AE5"/>
    <w:rsid w:val="00A03C15"/>
    <w:rsid w:val="00A04424"/>
    <w:rsid w:val="00A04ACB"/>
    <w:rsid w:val="00A04E01"/>
    <w:rsid w:val="00A0521E"/>
    <w:rsid w:val="00A05292"/>
    <w:rsid w:val="00A05BE2"/>
    <w:rsid w:val="00A06207"/>
    <w:rsid w:val="00A06272"/>
    <w:rsid w:val="00A06794"/>
    <w:rsid w:val="00A06B96"/>
    <w:rsid w:val="00A06E30"/>
    <w:rsid w:val="00A06E93"/>
    <w:rsid w:val="00A070B7"/>
    <w:rsid w:val="00A074A1"/>
    <w:rsid w:val="00A07581"/>
    <w:rsid w:val="00A07A31"/>
    <w:rsid w:val="00A07C5F"/>
    <w:rsid w:val="00A07F8B"/>
    <w:rsid w:val="00A10153"/>
    <w:rsid w:val="00A10604"/>
    <w:rsid w:val="00A10658"/>
    <w:rsid w:val="00A106DA"/>
    <w:rsid w:val="00A118F7"/>
    <w:rsid w:val="00A11CF4"/>
    <w:rsid w:val="00A12028"/>
    <w:rsid w:val="00A1206E"/>
    <w:rsid w:val="00A12091"/>
    <w:rsid w:val="00A12514"/>
    <w:rsid w:val="00A128D1"/>
    <w:rsid w:val="00A12E66"/>
    <w:rsid w:val="00A13064"/>
    <w:rsid w:val="00A13691"/>
    <w:rsid w:val="00A13D3A"/>
    <w:rsid w:val="00A14353"/>
    <w:rsid w:val="00A14752"/>
    <w:rsid w:val="00A14C6B"/>
    <w:rsid w:val="00A14EC3"/>
    <w:rsid w:val="00A15069"/>
    <w:rsid w:val="00A1595F"/>
    <w:rsid w:val="00A15C36"/>
    <w:rsid w:val="00A163AF"/>
    <w:rsid w:val="00A164C7"/>
    <w:rsid w:val="00A16ACB"/>
    <w:rsid w:val="00A16C52"/>
    <w:rsid w:val="00A16E19"/>
    <w:rsid w:val="00A17087"/>
    <w:rsid w:val="00A172EF"/>
    <w:rsid w:val="00A1736B"/>
    <w:rsid w:val="00A1763E"/>
    <w:rsid w:val="00A17A24"/>
    <w:rsid w:val="00A2022A"/>
    <w:rsid w:val="00A2036F"/>
    <w:rsid w:val="00A20840"/>
    <w:rsid w:val="00A20945"/>
    <w:rsid w:val="00A20A30"/>
    <w:rsid w:val="00A20A54"/>
    <w:rsid w:val="00A20D8F"/>
    <w:rsid w:val="00A20F7E"/>
    <w:rsid w:val="00A20FA9"/>
    <w:rsid w:val="00A211F1"/>
    <w:rsid w:val="00A212CD"/>
    <w:rsid w:val="00A216B1"/>
    <w:rsid w:val="00A216B4"/>
    <w:rsid w:val="00A21C64"/>
    <w:rsid w:val="00A21EDF"/>
    <w:rsid w:val="00A221BC"/>
    <w:rsid w:val="00A223CB"/>
    <w:rsid w:val="00A224C9"/>
    <w:rsid w:val="00A22654"/>
    <w:rsid w:val="00A22B91"/>
    <w:rsid w:val="00A22D28"/>
    <w:rsid w:val="00A231B9"/>
    <w:rsid w:val="00A23AB0"/>
    <w:rsid w:val="00A23D5A"/>
    <w:rsid w:val="00A23F27"/>
    <w:rsid w:val="00A245AE"/>
    <w:rsid w:val="00A24B77"/>
    <w:rsid w:val="00A25826"/>
    <w:rsid w:val="00A259D7"/>
    <w:rsid w:val="00A261AC"/>
    <w:rsid w:val="00A261DE"/>
    <w:rsid w:val="00A2634F"/>
    <w:rsid w:val="00A26488"/>
    <w:rsid w:val="00A264AE"/>
    <w:rsid w:val="00A26E59"/>
    <w:rsid w:val="00A270B2"/>
    <w:rsid w:val="00A273B9"/>
    <w:rsid w:val="00A2743E"/>
    <w:rsid w:val="00A27764"/>
    <w:rsid w:val="00A278A8"/>
    <w:rsid w:val="00A27CCE"/>
    <w:rsid w:val="00A27F26"/>
    <w:rsid w:val="00A3014F"/>
    <w:rsid w:val="00A3043E"/>
    <w:rsid w:val="00A3101B"/>
    <w:rsid w:val="00A3190E"/>
    <w:rsid w:val="00A31E74"/>
    <w:rsid w:val="00A32210"/>
    <w:rsid w:val="00A327F2"/>
    <w:rsid w:val="00A32D9B"/>
    <w:rsid w:val="00A32DD9"/>
    <w:rsid w:val="00A33494"/>
    <w:rsid w:val="00A33D1F"/>
    <w:rsid w:val="00A33D53"/>
    <w:rsid w:val="00A34322"/>
    <w:rsid w:val="00A343A3"/>
    <w:rsid w:val="00A3455A"/>
    <w:rsid w:val="00A3484C"/>
    <w:rsid w:val="00A34A20"/>
    <w:rsid w:val="00A34E18"/>
    <w:rsid w:val="00A34E47"/>
    <w:rsid w:val="00A34EE1"/>
    <w:rsid w:val="00A35170"/>
    <w:rsid w:val="00A35392"/>
    <w:rsid w:val="00A3562C"/>
    <w:rsid w:val="00A35740"/>
    <w:rsid w:val="00A35BE7"/>
    <w:rsid w:val="00A35D9B"/>
    <w:rsid w:val="00A35EC1"/>
    <w:rsid w:val="00A35F00"/>
    <w:rsid w:val="00A3601E"/>
    <w:rsid w:val="00A3615D"/>
    <w:rsid w:val="00A362D4"/>
    <w:rsid w:val="00A362D5"/>
    <w:rsid w:val="00A364AE"/>
    <w:rsid w:val="00A36658"/>
    <w:rsid w:val="00A36734"/>
    <w:rsid w:val="00A367A1"/>
    <w:rsid w:val="00A368FC"/>
    <w:rsid w:val="00A369AC"/>
    <w:rsid w:val="00A369F6"/>
    <w:rsid w:val="00A36B0A"/>
    <w:rsid w:val="00A36CF2"/>
    <w:rsid w:val="00A37A77"/>
    <w:rsid w:val="00A37BA7"/>
    <w:rsid w:val="00A37BD3"/>
    <w:rsid w:val="00A37C2B"/>
    <w:rsid w:val="00A40649"/>
    <w:rsid w:val="00A406C1"/>
    <w:rsid w:val="00A40AB6"/>
    <w:rsid w:val="00A40F36"/>
    <w:rsid w:val="00A414D4"/>
    <w:rsid w:val="00A4164E"/>
    <w:rsid w:val="00A4222A"/>
    <w:rsid w:val="00A42756"/>
    <w:rsid w:val="00A42A66"/>
    <w:rsid w:val="00A43021"/>
    <w:rsid w:val="00A4307C"/>
    <w:rsid w:val="00A432A2"/>
    <w:rsid w:val="00A437C9"/>
    <w:rsid w:val="00A43C5F"/>
    <w:rsid w:val="00A43F2C"/>
    <w:rsid w:val="00A4461A"/>
    <w:rsid w:val="00A44C68"/>
    <w:rsid w:val="00A44CCB"/>
    <w:rsid w:val="00A44E38"/>
    <w:rsid w:val="00A44EF0"/>
    <w:rsid w:val="00A452CB"/>
    <w:rsid w:val="00A459DE"/>
    <w:rsid w:val="00A4604A"/>
    <w:rsid w:val="00A46052"/>
    <w:rsid w:val="00A462D9"/>
    <w:rsid w:val="00A465B9"/>
    <w:rsid w:val="00A469E6"/>
    <w:rsid w:val="00A46D66"/>
    <w:rsid w:val="00A46DA9"/>
    <w:rsid w:val="00A4737C"/>
    <w:rsid w:val="00A477FF"/>
    <w:rsid w:val="00A50785"/>
    <w:rsid w:val="00A509D3"/>
    <w:rsid w:val="00A50D02"/>
    <w:rsid w:val="00A51214"/>
    <w:rsid w:val="00A51469"/>
    <w:rsid w:val="00A51763"/>
    <w:rsid w:val="00A5192B"/>
    <w:rsid w:val="00A519E8"/>
    <w:rsid w:val="00A523D5"/>
    <w:rsid w:val="00A5248C"/>
    <w:rsid w:val="00A5248D"/>
    <w:rsid w:val="00A5263F"/>
    <w:rsid w:val="00A52F1E"/>
    <w:rsid w:val="00A52F7D"/>
    <w:rsid w:val="00A53184"/>
    <w:rsid w:val="00A53467"/>
    <w:rsid w:val="00A53606"/>
    <w:rsid w:val="00A53B1B"/>
    <w:rsid w:val="00A53BC4"/>
    <w:rsid w:val="00A53DF8"/>
    <w:rsid w:val="00A5403B"/>
    <w:rsid w:val="00A5433E"/>
    <w:rsid w:val="00A54827"/>
    <w:rsid w:val="00A54E95"/>
    <w:rsid w:val="00A5508E"/>
    <w:rsid w:val="00A55B62"/>
    <w:rsid w:val="00A56224"/>
    <w:rsid w:val="00A5671D"/>
    <w:rsid w:val="00A56737"/>
    <w:rsid w:val="00A5677A"/>
    <w:rsid w:val="00A56871"/>
    <w:rsid w:val="00A5688F"/>
    <w:rsid w:val="00A56EFB"/>
    <w:rsid w:val="00A5719E"/>
    <w:rsid w:val="00A57576"/>
    <w:rsid w:val="00A577EC"/>
    <w:rsid w:val="00A57BE9"/>
    <w:rsid w:val="00A57DAF"/>
    <w:rsid w:val="00A600C5"/>
    <w:rsid w:val="00A606C0"/>
    <w:rsid w:val="00A608F6"/>
    <w:rsid w:val="00A60BEE"/>
    <w:rsid w:val="00A60DC1"/>
    <w:rsid w:val="00A60ECD"/>
    <w:rsid w:val="00A612B0"/>
    <w:rsid w:val="00A61F62"/>
    <w:rsid w:val="00A62216"/>
    <w:rsid w:val="00A63024"/>
    <w:rsid w:val="00A63216"/>
    <w:rsid w:val="00A6343A"/>
    <w:rsid w:val="00A63545"/>
    <w:rsid w:val="00A63753"/>
    <w:rsid w:val="00A63B03"/>
    <w:rsid w:val="00A63E02"/>
    <w:rsid w:val="00A63F38"/>
    <w:rsid w:val="00A640C4"/>
    <w:rsid w:val="00A64297"/>
    <w:rsid w:val="00A644A4"/>
    <w:rsid w:val="00A64507"/>
    <w:rsid w:val="00A6467F"/>
    <w:rsid w:val="00A64981"/>
    <w:rsid w:val="00A651F6"/>
    <w:rsid w:val="00A653D6"/>
    <w:rsid w:val="00A65913"/>
    <w:rsid w:val="00A65CA0"/>
    <w:rsid w:val="00A65FFE"/>
    <w:rsid w:val="00A66127"/>
    <w:rsid w:val="00A66700"/>
    <w:rsid w:val="00A66C1D"/>
    <w:rsid w:val="00A66F75"/>
    <w:rsid w:val="00A67464"/>
    <w:rsid w:val="00A676AC"/>
    <w:rsid w:val="00A67A02"/>
    <w:rsid w:val="00A703D6"/>
    <w:rsid w:val="00A7084F"/>
    <w:rsid w:val="00A70A4D"/>
    <w:rsid w:val="00A70C1E"/>
    <w:rsid w:val="00A71347"/>
    <w:rsid w:val="00A71363"/>
    <w:rsid w:val="00A7143F"/>
    <w:rsid w:val="00A715C3"/>
    <w:rsid w:val="00A7229C"/>
    <w:rsid w:val="00A72FED"/>
    <w:rsid w:val="00A7330F"/>
    <w:rsid w:val="00A737AD"/>
    <w:rsid w:val="00A740E0"/>
    <w:rsid w:val="00A74E0F"/>
    <w:rsid w:val="00A75877"/>
    <w:rsid w:val="00A7593D"/>
    <w:rsid w:val="00A75BC6"/>
    <w:rsid w:val="00A75D0C"/>
    <w:rsid w:val="00A75EBD"/>
    <w:rsid w:val="00A760D1"/>
    <w:rsid w:val="00A764F6"/>
    <w:rsid w:val="00A764FB"/>
    <w:rsid w:val="00A76B28"/>
    <w:rsid w:val="00A76F46"/>
    <w:rsid w:val="00A7707E"/>
    <w:rsid w:val="00A774AA"/>
    <w:rsid w:val="00A775AD"/>
    <w:rsid w:val="00A777B5"/>
    <w:rsid w:val="00A77A3D"/>
    <w:rsid w:val="00A77D4E"/>
    <w:rsid w:val="00A808F0"/>
    <w:rsid w:val="00A80E09"/>
    <w:rsid w:val="00A80FDB"/>
    <w:rsid w:val="00A81493"/>
    <w:rsid w:val="00A81528"/>
    <w:rsid w:val="00A81614"/>
    <w:rsid w:val="00A81DC1"/>
    <w:rsid w:val="00A822C9"/>
    <w:rsid w:val="00A8261F"/>
    <w:rsid w:val="00A8277C"/>
    <w:rsid w:val="00A82967"/>
    <w:rsid w:val="00A8299F"/>
    <w:rsid w:val="00A82E71"/>
    <w:rsid w:val="00A82EE1"/>
    <w:rsid w:val="00A83775"/>
    <w:rsid w:val="00A83BAB"/>
    <w:rsid w:val="00A83D54"/>
    <w:rsid w:val="00A840C1"/>
    <w:rsid w:val="00A84560"/>
    <w:rsid w:val="00A8468B"/>
    <w:rsid w:val="00A848C8"/>
    <w:rsid w:val="00A84D6C"/>
    <w:rsid w:val="00A85014"/>
    <w:rsid w:val="00A851E3"/>
    <w:rsid w:val="00A853E3"/>
    <w:rsid w:val="00A854FE"/>
    <w:rsid w:val="00A85969"/>
    <w:rsid w:val="00A8615E"/>
    <w:rsid w:val="00A86237"/>
    <w:rsid w:val="00A86703"/>
    <w:rsid w:val="00A868BC"/>
    <w:rsid w:val="00A8726A"/>
    <w:rsid w:val="00A873F6"/>
    <w:rsid w:val="00A87875"/>
    <w:rsid w:val="00A87C56"/>
    <w:rsid w:val="00A87DF0"/>
    <w:rsid w:val="00A9005F"/>
    <w:rsid w:val="00A9012A"/>
    <w:rsid w:val="00A9026D"/>
    <w:rsid w:val="00A905C5"/>
    <w:rsid w:val="00A90EF1"/>
    <w:rsid w:val="00A913AD"/>
    <w:rsid w:val="00A91449"/>
    <w:rsid w:val="00A91585"/>
    <w:rsid w:val="00A92822"/>
    <w:rsid w:val="00A9290B"/>
    <w:rsid w:val="00A92FD5"/>
    <w:rsid w:val="00A930B7"/>
    <w:rsid w:val="00A9345D"/>
    <w:rsid w:val="00A934CE"/>
    <w:rsid w:val="00A936E4"/>
    <w:rsid w:val="00A93DF6"/>
    <w:rsid w:val="00A943AF"/>
    <w:rsid w:val="00A945A8"/>
    <w:rsid w:val="00A9468D"/>
    <w:rsid w:val="00A948E3"/>
    <w:rsid w:val="00A948F0"/>
    <w:rsid w:val="00A94B8C"/>
    <w:rsid w:val="00A94DED"/>
    <w:rsid w:val="00A94E5E"/>
    <w:rsid w:val="00A94EC2"/>
    <w:rsid w:val="00A94FF2"/>
    <w:rsid w:val="00A950C3"/>
    <w:rsid w:val="00A956F8"/>
    <w:rsid w:val="00A95B98"/>
    <w:rsid w:val="00A96D19"/>
    <w:rsid w:val="00A971F8"/>
    <w:rsid w:val="00A97368"/>
    <w:rsid w:val="00A97A26"/>
    <w:rsid w:val="00A97F34"/>
    <w:rsid w:val="00AA0394"/>
    <w:rsid w:val="00AA0444"/>
    <w:rsid w:val="00AA07EC"/>
    <w:rsid w:val="00AA0C3F"/>
    <w:rsid w:val="00AA0FB7"/>
    <w:rsid w:val="00AA12A1"/>
    <w:rsid w:val="00AA12C0"/>
    <w:rsid w:val="00AA13AB"/>
    <w:rsid w:val="00AA16C6"/>
    <w:rsid w:val="00AA1947"/>
    <w:rsid w:val="00AA1B74"/>
    <w:rsid w:val="00AA2212"/>
    <w:rsid w:val="00AA3284"/>
    <w:rsid w:val="00AA3378"/>
    <w:rsid w:val="00AA3A84"/>
    <w:rsid w:val="00AA3B74"/>
    <w:rsid w:val="00AA3BAA"/>
    <w:rsid w:val="00AA4134"/>
    <w:rsid w:val="00AA475C"/>
    <w:rsid w:val="00AA49A7"/>
    <w:rsid w:val="00AA4AC1"/>
    <w:rsid w:val="00AA525E"/>
    <w:rsid w:val="00AA54BB"/>
    <w:rsid w:val="00AA55E6"/>
    <w:rsid w:val="00AA5771"/>
    <w:rsid w:val="00AA5BAC"/>
    <w:rsid w:val="00AA5FD6"/>
    <w:rsid w:val="00AA6004"/>
    <w:rsid w:val="00AA601A"/>
    <w:rsid w:val="00AA605E"/>
    <w:rsid w:val="00AA60AC"/>
    <w:rsid w:val="00AA61DB"/>
    <w:rsid w:val="00AA6217"/>
    <w:rsid w:val="00AA6398"/>
    <w:rsid w:val="00AA6971"/>
    <w:rsid w:val="00AA6A4B"/>
    <w:rsid w:val="00AA6B25"/>
    <w:rsid w:val="00AA7958"/>
    <w:rsid w:val="00AB02D2"/>
    <w:rsid w:val="00AB02EF"/>
    <w:rsid w:val="00AB0569"/>
    <w:rsid w:val="00AB096C"/>
    <w:rsid w:val="00AB0B3D"/>
    <w:rsid w:val="00AB0EF9"/>
    <w:rsid w:val="00AB0F78"/>
    <w:rsid w:val="00AB0FCB"/>
    <w:rsid w:val="00AB12F1"/>
    <w:rsid w:val="00AB195E"/>
    <w:rsid w:val="00AB1A01"/>
    <w:rsid w:val="00AB1B03"/>
    <w:rsid w:val="00AB1B18"/>
    <w:rsid w:val="00AB1D22"/>
    <w:rsid w:val="00AB1DDC"/>
    <w:rsid w:val="00AB2140"/>
    <w:rsid w:val="00AB2221"/>
    <w:rsid w:val="00AB2495"/>
    <w:rsid w:val="00AB28A0"/>
    <w:rsid w:val="00AB2FCB"/>
    <w:rsid w:val="00AB30E2"/>
    <w:rsid w:val="00AB3153"/>
    <w:rsid w:val="00AB345A"/>
    <w:rsid w:val="00AB37D2"/>
    <w:rsid w:val="00AB3AF2"/>
    <w:rsid w:val="00AB3CF9"/>
    <w:rsid w:val="00AB40C4"/>
    <w:rsid w:val="00AB43C3"/>
    <w:rsid w:val="00AB4791"/>
    <w:rsid w:val="00AB4D69"/>
    <w:rsid w:val="00AB4FB9"/>
    <w:rsid w:val="00AB5810"/>
    <w:rsid w:val="00AB594F"/>
    <w:rsid w:val="00AB5E73"/>
    <w:rsid w:val="00AB6539"/>
    <w:rsid w:val="00AB6C94"/>
    <w:rsid w:val="00AB6D1B"/>
    <w:rsid w:val="00AB7462"/>
    <w:rsid w:val="00AB74C8"/>
    <w:rsid w:val="00AC0124"/>
    <w:rsid w:val="00AC02E3"/>
    <w:rsid w:val="00AC04D5"/>
    <w:rsid w:val="00AC08D2"/>
    <w:rsid w:val="00AC0A79"/>
    <w:rsid w:val="00AC0B4C"/>
    <w:rsid w:val="00AC0C6D"/>
    <w:rsid w:val="00AC1087"/>
    <w:rsid w:val="00AC10CE"/>
    <w:rsid w:val="00AC13C1"/>
    <w:rsid w:val="00AC1489"/>
    <w:rsid w:val="00AC1BEE"/>
    <w:rsid w:val="00AC257F"/>
    <w:rsid w:val="00AC288B"/>
    <w:rsid w:val="00AC28DC"/>
    <w:rsid w:val="00AC2BEC"/>
    <w:rsid w:val="00AC2DE3"/>
    <w:rsid w:val="00AC37E9"/>
    <w:rsid w:val="00AC3E56"/>
    <w:rsid w:val="00AC3FF8"/>
    <w:rsid w:val="00AC4080"/>
    <w:rsid w:val="00AC4772"/>
    <w:rsid w:val="00AC4BDA"/>
    <w:rsid w:val="00AC5C02"/>
    <w:rsid w:val="00AC5CBD"/>
    <w:rsid w:val="00AC5EF1"/>
    <w:rsid w:val="00AC67B8"/>
    <w:rsid w:val="00AC6883"/>
    <w:rsid w:val="00AC6A61"/>
    <w:rsid w:val="00AC6F80"/>
    <w:rsid w:val="00AC778F"/>
    <w:rsid w:val="00AD009E"/>
    <w:rsid w:val="00AD0208"/>
    <w:rsid w:val="00AD0257"/>
    <w:rsid w:val="00AD06B8"/>
    <w:rsid w:val="00AD0735"/>
    <w:rsid w:val="00AD0C81"/>
    <w:rsid w:val="00AD0F8F"/>
    <w:rsid w:val="00AD18B8"/>
    <w:rsid w:val="00AD1F21"/>
    <w:rsid w:val="00AD222D"/>
    <w:rsid w:val="00AD2342"/>
    <w:rsid w:val="00AD2E6E"/>
    <w:rsid w:val="00AD3274"/>
    <w:rsid w:val="00AD396B"/>
    <w:rsid w:val="00AD3B59"/>
    <w:rsid w:val="00AD4536"/>
    <w:rsid w:val="00AD45E9"/>
    <w:rsid w:val="00AD4691"/>
    <w:rsid w:val="00AD4768"/>
    <w:rsid w:val="00AD4F98"/>
    <w:rsid w:val="00AD519E"/>
    <w:rsid w:val="00AD520F"/>
    <w:rsid w:val="00AD52EF"/>
    <w:rsid w:val="00AD53BC"/>
    <w:rsid w:val="00AD556D"/>
    <w:rsid w:val="00AD65E4"/>
    <w:rsid w:val="00AD6A6B"/>
    <w:rsid w:val="00AD6D00"/>
    <w:rsid w:val="00AD6E6F"/>
    <w:rsid w:val="00AD7236"/>
    <w:rsid w:val="00AD73C8"/>
    <w:rsid w:val="00AD7BD8"/>
    <w:rsid w:val="00AE0326"/>
    <w:rsid w:val="00AE076D"/>
    <w:rsid w:val="00AE079E"/>
    <w:rsid w:val="00AE0887"/>
    <w:rsid w:val="00AE0B40"/>
    <w:rsid w:val="00AE1708"/>
    <w:rsid w:val="00AE1804"/>
    <w:rsid w:val="00AE1EED"/>
    <w:rsid w:val="00AE1FD7"/>
    <w:rsid w:val="00AE203E"/>
    <w:rsid w:val="00AE2278"/>
    <w:rsid w:val="00AE2868"/>
    <w:rsid w:val="00AE2BC7"/>
    <w:rsid w:val="00AE2CE3"/>
    <w:rsid w:val="00AE30EE"/>
    <w:rsid w:val="00AE327C"/>
    <w:rsid w:val="00AE3394"/>
    <w:rsid w:val="00AE37E3"/>
    <w:rsid w:val="00AE3860"/>
    <w:rsid w:val="00AE39B7"/>
    <w:rsid w:val="00AE3E41"/>
    <w:rsid w:val="00AE453B"/>
    <w:rsid w:val="00AE5103"/>
    <w:rsid w:val="00AE51A6"/>
    <w:rsid w:val="00AE5230"/>
    <w:rsid w:val="00AE52DC"/>
    <w:rsid w:val="00AE52E5"/>
    <w:rsid w:val="00AE5D89"/>
    <w:rsid w:val="00AE5E99"/>
    <w:rsid w:val="00AE5F58"/>
    <w:rsid w:val="00AE61A9"/>
    <w:rsid w:val="00AE67EF"/>
    <w:rsid w:val="00AE68CA"/>
    <w:rsid w:val="00AE7663"/>
    <w:rsid w:val="00AE76DD"/>
    <w:rsid w:val="00AE76FD"/>
    <w:rsid w:val="00AE7877"/>
    <w:rsid w:val="00AE79C8"/>
    <w:rsid w:val="00AE7BE6"/>
    <w:rsid w:val="00AE7E6E"/>
    <w:rsid w:val="00AF00A5"/>
    <w:rsid w:val="00AF0681"/>
    <w:rsid w:val="00AF0A35"/>
    <w:rsid w:val="00AF0A73"/>
    <w:rsid w:val="00AF0B31"/>
    <w:rsid w:val="00AF0BAA"/>
    <w:rsid w:val="00AF0FA3"/>
    <w:rsid w:val="00AF1754"/>
    <w:rsid w:val="00AF1B58"/>
    <w:rsid w:val="00AF204A"/>
    <w:rsid w:val="00AF2568"/>
    <w:rsid w:val="00AF2783"/>
    <w:rsid w:val="00AF291B"/>
    <w:rsid w:val="00AF2E74"/>
    <w:rsid w:val="00AF3215"/>
    <w:rsid w:val="00AF3A05"/>
    <w:rsid w:val="00AF3AAD"/>
    <w:rsid w:val="00AF3BAC"/>
    <w:rsid w:val="00AF3C82"/>
    <w:rsid w:val="00AF3C91"/>
    <w:rsid w:val="00AF40A4"/>
    <w:rsid w:val="00AF4AA6"/>
    <w:rsid w:val="00AF4CD8"/>
    <w:rsid w:val="00AF4F2A"/>
    <w:rsid w:val="00AF5092"/>
    <w:rsid w:val="00AF50A5"/>
    <w:rsid w:val="00AF5119"/>
    <w:rsid w:val="00AF552B"/>
    <w:rsid w:val="00AF57B3"/>
    <w:rsid w:val="00AF5819"/>
    <w:rsid w:val="00AF5A4E"/>
    <w:rsid w:val="00AF6242"/>
    <w:rsid w:val="00AF6525"/>
    <w:rsid w:val="00AF65A0"/>
    <w:rsid w:val="00AF69ED"/>
    <w:rsid w:val="00AF6B99"/>
    <w:rsid w:val="00AF6C01"/>
    <w:rsid w:val="00AF6FCF"/>
    <w:rsid w:val="00AF7CCB"/>
    <w:rsid w:val="00AF7EB1"/>
    <w:rsid w:val="00B004D1"/>
    <w:rsid w:val="00B005EE"/>
    <w:rsid w:val="00B00CE9"/>
    <w:rsid w:val="00B00E4F"/>
    <w:rsid w:val="00B0119E"/>
    <w:rsid w:val="00B01248"/>
    <w:rsid w:val="00B01505"/>
    <w:rsid w:val="00B01981"/>
    <w:rsid w:val="00B01A6F"/>
    <w:rsid w:val="00B02012"/>
    <w:rsid w:val="00B020E9"/>
    <w:rsid w:val="00B0249F"/>
    <w:rsid w:val="00B02598"/>
    <w:rsid w:val="00B028CE"/>
    <w:rsid w:val="00B02B5B"/>
    <w:rsid w:val="00B02C52"/>
    <w:rsid w:val="00B030E2"/>
    <w:rsid w:val="00B0342C"/>
    <w:rsid w:val="00B0356E"/>
    <w:rsid w:val="00B03721"/>
    <w:rsid w:val="00B03789"/>
    <w:rsid w:val="00B03BE5"/>
    <w:rsid w:val="00B03C2C"/>
    <w:rsid w:val="00B03FFB"/>
    <w:rsid w:val="00B04033"/>
    <w:rsid w:val="00B04521"/>
    <w:rsid w:val="00B04E3B"/>
    <w:rsid w:val="00B053B7"/>
    <w:rsid w:val="00B05A3F"/>
    <w:rsid w:val="00B05A9F"/>
    <w:rsid w:val="00B062A3"/>
    <w:rsid w:val="00B0674E"/>
    <w:rsid w:val="00B06ECF"/>
    <w:rsid w:val="00B06EFB"/>
    <w:rsid w:val="00B06FBB"/>
    <w:rsid w:val="00B07DB5"/>
    <w:rsid w:val="00B07E55"/>
    <w:rsid w:val="00B10051"/>
    <w:rsid w:val="00B104E0"/>
    <w:rsid w:val="00B106C9"/>
    <w:rsid w:val="00B10C3A"/>
    <w:rsid w:val="00B10E30"/>
    <w:rsid w:val="00B10F13"/>
    <w:rsid w:val="00B10FC9"/>
    <w:rsid w:val="00B115F1"/>
    <w:rsid w:val="00B11937"/>
    <w:rsid w:val="00B12498"/>
    <w:rsid w:val="00B125E8"/>
    <w:rsid w:val="00B12AB3"/>
    <w:rsid w:val="00B12DCB"/>
    <w:rsid w:val="00B13087"/>
    <w:rsid w:val="00B13362"/>
    <w:rsid w:val="00B13385"/>
    <w:rsid w:val="00B13447"/>
    <w:rsid w:val="00B13E20"/>
    <w:rsid w:val="00B14323"/>
    <w:rsid w:val="00B143A2"/>
    <w:rsid w:val="00B149F3"/>
    <w:rsid w:val="00B150C9"/>
    <w:rsid w:val="00B152E5"/>
    <w:rsid w:val="00B157FD"/>
    <w:rsid w:val="00B158A7"/>
    <w:rsid w:val="00B15F0D"/>
    <w:rsid w:val="00B1626B"/>
    <w:rsid w:val="00B16766"/>
    <w:rsid w:val="00B16BDD"/>
    <w:rsid w:val="00B16FFF"/>
    <w:rsid w:val="00B17133"/>
    <w:rsid w:val="00B175AB"/>
    <w:rsid w:val="00B178EE"/>
    <w:rsid w:val="00B17C36"/>
    <w:rsid w:val="00B17EDA"/>
    <w:rsid w:val="00B20012"/>
    <w:rsid w:val="00B20015"/>
    <w:rsid w:val="00B2050F"/>
    <w:rsid w:val="00B20CA3"/>
    <w:rsid w:val="00B20EEB"/>
    <w:rsid w:val="00B215EF"/>
    <w:rsid w:val="00B21D14"/>
    <w:rsid w:val="00B21D79"/>
    <w:rsid w:val="00B21E09"/>
    <w:rsid w:val="00B222F1"/>
    <w:rsid w:val="00B22345"/>
    <w:rsid w:val="00B22435"/>
    <w:rsid w:val="00B2245C"/>
    <w:rsid w:val="00B22C49"/>
    <w:rsid w:val="00B23142"/>
    <w:rsid w:val="00B23218"/>
    <w:rsid w:val="00B233A8"/>
    <w:rsid w:val="00B23577"/>
    <w:rsid w:val="00B23866"/>
    <w:rsid w:val="00B23D6D"/>
    <w:rsid w:val="00B240EF"/>
    <w:rsid w:val="00B2415D"/>
    <w:rsid w:val="00B24228"/>
    <w:rsid w:val="00B24232"/>
    <w:rsid w:val="00B24325"/>
    <w:rsid w:val="00B24380"/>
    <w:rsid w:val="00B24944"/>
    <w:rsid w:val="00B24C2B"/>
    <w:rsid w:val="00B25531"/>
    <w:rsid w:val="00B259D6"/>
    <w:rsid w:val="00B25A9F"/>
    <w:rsid w:val="00B26103"/>
    <w:rsid w:val="00B26530"/>
    <w:rsid w:val="00B2658F"/>
    <w:rsid w:val="00B26C13"/>
    <w:rsid w:val="00B26C3D"/>
    <w:rsid w:val="00B26C77"/>
    <w:rsid w:val="00B275AC"/>
    <w:rsid w:val="00B2771F"/>
    <w:rsid w:val="00B27734"/>
    <w:rsid w:val="00B3001E"/>
    <w:rsid w:val="00B304FA"/>
    <w:rsid w:val="00B307BA"/>
    <w:rsid w:val="00B30AC6"/>
    <w:rsid w:val="00B30E7C"/>
    <w:rsid w:val="00B31280"/>
    <w:rsid w:val="00B313C3"/>
    <w:rsid w:val="00B31838"/>
    <w:rsid w:val="00B31997"/>
    <w:rsid w:val="00B31F20"/>
    <w:rsid w:val="00B32201"/>
    <w:rsid w:val="00B32918"/>
    <w:rsid w:val="00B3292F"/>
    <w:rsid w:val="00B32A14"/>
    <w:rsid w:val="00B32AE1"/>
    <w:rsid w:val="00B32B97"/>
    <w:rsid w:val="00B32CDC"/>
    <w:rsid w:val="00B330F5"/>
    <w:rsid w:val="00B33BA3"/>
    <w:rsid w:val="00B33E2A"/>
    <w:rsid w:val="00B34386"/>
    <w:rsid w:val="00B343ED"/>
    <w:rsid w:val="00B345DB"/>
    <w:rsid w:val="00B34602"/>
    <w:rsid w:val="00B34952"/>
    <w:rsid w:val="00B34BE9"/>
    <w:rsid w:val="00B35075"/>
    <w:rsid w:val="00B35BFA"/>
    <w:rsid w:val="00B35C3C"/>
    <w:rsid w:val="00B35CF5"/>
    <w:rsid w:val="00B35FB0"/>
    <w:rsid w:val="00B36479"/>
    <w:rsid w:val="00B366DB"/>
    <w:rsid w:val="00B36A34"/>
    <w:rsid w:val="00B36D39"/>
    <w:rsid w:val="00B3739C"/>
    <w:rsid w:val="00B37520"/>
    <w:rsid w:val="00B37667"/>
    <w:rsid w:val="00B378F4"/>
    <w:rsid w:val="00B37C60"/>
    <w:rsid w:val="00B37DE0"/>
    <w:rsid w:val="00B37F7D"/>
    <w:rsid w:val="00B37FC0"/>
    <w:rsid w:val="00B40533"/>
    <w:rsid w:val="00B4071C"/>
    <w:rsid w:val="00B4073C"/>
    <w:rsid w:val="00B4075C"/>
    <w:rsid w:val="00B40D05"/>
    <w:rsid w:val="00B41877"/>
    <w:rsid w:val="00B419AD"/>
    <w:rsid w:val="00B41A1A"/>
    <w:rsid w:val="00B41A5D"/>
    <w:rsid w:val="00B41B69"/>
    <w:rsid w:val="00B42188"/>
    <w:rsid w:val="00B42456"/>
    <w:rsid w:val="00B4261A"/>
    <w:rsid w:val="00B4270A"/>
    <w:rsid w:val="00B427E0"/>
    <w:rsid w:val="00B428D6"/>
    <w:rsid w:val="00B42F39"/>
    <w:rsid w:val="00B43362"/>
    <w:rsid w:val="00B43480"/>
    <w:rsid w:val="00B43980"/>
    <w:rsid w:val="00B43C22"/>
    <w:rsid w:val="00B43F49"/>
    <w:rsid w:val="00B44758"/>
    <w:rsid w:val="00B44AD1"/>
    <w:rsid w:val="00B44B46"/>
    <w:rsid w:val="00B44BFF"/>
    <w:rsid w:val="00B452DA"/>
    <w:rsid w:val="00B453A5"/>
    <w:rsid w:val="00B4565D"/>
    <w:rsid w:val="00B4583B"/>
    <w:rsid w:val="00B459E0"/>
    <w:rsid w:val="00B45E7C"/>
    <w:rsid w:val="00B4661B"/>
    <w:rsid w:val="00B46858"/>
    <w:rsid w:val="00B47D53"/>
    <w:rsid w:val="00B47F67"/>
    <w:rsid w:val="00B5047D"/>
    <w:rsid w:val="00B50500"/>
    <w:rsid w:val="00B50EF4"/>
    <w:rsid w:val="00B5117D"/>
    <w:rsid w:val="00B51760"/>
    <w:rsid w:val="00B518E5"/>
    <w:rsid w:val="00B51A7E"/>
    <w:rsid w:val="00B51C7C"/>
    <w:rsid w:val="00B52191"/>
    <w:rsid w:val="00B524D6"/>
    <w:rsid w:val="00B52B03"/>
    <w:rsid w:val="00B52BDF"/>
    <w:rsid w:val="00B5302A"/>
    <w:rsid w:val="00B532DB"/>
    <w:rsid w:val="00B53505"/>
    <w:rsid w:val="00B53895"/>
    <w:rsid w:val="00B5399E"/>
    <w:rsid w:val="00B53CEC"/>
    <w:rsid w:val="00B545CC"/>
    <w:rsid w:val="00B54603"/>
    <w:rsid w:val="00B54794"/>
    <w:rsid w:val="00B54B66"/>
    <w:rsid w:val="00B5520D"/>
    <w:rsid w:val="00B55614"/>
    <w:rsid w:val="00B5567D"/>
    <w:rsid w:val="00B558EF"/>
    <w:rsid w:val="00B55F1A"/>
    <w:rsid w:val="00B55F38"/>
    <w:rsid w:val="00B565E6"/>
    <w:rsid w:val="00B566BC"/>
    <w:rsid w:val="00B5672B"/>
    <w:rsid w:val="00B569E4"/>
    <w:rsid w:val="00B56F58"/>
    <w:rsid w:val="00B570B0"/>
    <w:rsid w:val="00B572AC"/>
    <w:rsid w:val="00B6072E"/>
    <w:rsid w:val="00B60D74"/>
    <w:rsid w:val="00B60E86"/>
    <w:rsid w:val="00B61B40"/>
    <w:rsid w:val="00B61D11"/>
    <w:rsid w:val="00B61E4E"/>
    <w:rsid w:val="00B62B0B"/>
    <w:rsid w:val="00B62D1E"/>
    <w:rsid w:val="00B6316D"/>
    <w:rsid w:val="00B63A18"/>
    <w:rsid w:val="00B63B99"/>
    <w:rsid w:val="00B64137"/>
    <w:rsid w:val="00B6429A"/>
    <w:rsid w:val="00B64679"/>
    <w:rsid w:val="00B648BE"/>
    <w:rsid w:val="00B648DB"/>
    <w:rsid w:val="00B64AD2"/>
    <w:rsid w:val="00B65854"/>
    <w:rsid w:val="00B65F1F"/>
    <w:rsid w:val="00B66201"/>
    <w:rsid w:val="00B668DD"/>
    <w:rsid w:val="00B66ED9"/>
    <w:rsid w:val="00B6755A"/>
    <w:rsid w:val="00B70209"/>
    <w:rsid w:val="00B70998"/>
    <w:rsid w:val="00B70B50"/>
    <w:rsid w:val="00B70B69"/>
    <w:rsid w:val="00B70BF3"/>
    <w:rsid w:val="00B70CD1"/>
    <w:rsid w:val="00B70F4D"/>
    <w:rsid w:val="00B71240"/>
    <w:rsid w:val="00B71289"/>
    <w:rsid w:val="00B7139B"/>
    <w:rsid w:val="00B7147E"/>
    <w:rsid w:val="00B71E8C"/>
    <w:rsid w:val="00B723F6"/>
    <w:rsid w:val="00B72844"/>
    <w:rsid w:val="00B72A60"/>
    <w:rsid w:val="00B72A6C"/>
    <w:rsid w:val="00B72B74"/>
    <w:rsid w:val="00B72CBC"/>
    <w:rsid w:val="00B72D1E"/>
    <w:rsid w:val="00B72DF1"/>
    <w:rsid w:val="00B72E31"/>
    <w:rsid w:val="00B72F07"/>
    <w:rsid w:val="00B732C0"/>
    <w:rsid w:val="00B73946"/>
    <w:rsid w:val="00B739A2"/>
    <w:rsid w:val="00B73E42"/>
    <w:rsid w:val="00B740BA"/>
    <w:rsid w:val="00B74197"/>
    <w:rsid w:val="00B741B6"/>
    <w:rsid w:val="00B7433C"/>
    <w:rsid w:val="00B74351"/>
    <w:rsid w:val="00B74779"/>
    <w:rsid w:val="00B74CCD"/>
    <w:rsid w:val="00B74ECF"/>
    <w:rsid w:val="00B752C2"/>
    <w:rsid w:val="00B76961"/>
    <w:rsid w:val="00B76C7C"/>
    <w:rsid w:val="00B77133"/>
    <w:rsid w:val="00B77196"/>
    <w:rsid w:val="00B77253"/>
    <w:rsid w:val="00B77C8F"/>
    <w:rsid w:val="00B80092"/>
    <w:rsid w:val="00B8062F"/>
    <w:rsid w:val="00B8064E"/>
    <w:rsid w:val="00B8074C"/>
    <w:rsid w:val="00B808D6"/>
    <w:rsid w:val="00B8117C"/>
    <w:rsid w:val="00B81461"/>
    <w:rsid w:val="00B82751"/>
    <w:rsid w:val="00B8287F"/>
    <w:rsid w:val="00B82CF5"/>
    <w:rsid w:val="00B83904"/>
    <w:rsid w:val="00B83B9A"/>
    <w:rsid w:val="00B83EF3"/>
    <w:rsid w:val="00B83F0A"/>
    <w:rsid w:val="00B844E4"/>
    <w:rsid w:val="00B847B2"/>
    <w:rsid w:val="00B848F2"/>
    <w:rsid w:val="00B84D9E"/>
    <w:rsid w:val="00B8597B"/>
    <w:rsid w:val="00B85C60"/>
    <w:rsid w:val="00B85D39"/>
    <w:rsid w:val="00B85FDC"/>
    <w:rsid w:val="00B86146"/>
    <w:rsid w:val="00B864CE"/>
    <w:rsid w:val="00B87472"/>
    <w:rsid w:val="00B87C7C"/>
    <w:rsid w:val="00B87D4E"/>
    <w:rsid w:val="00B90163"/>
    <w:rsid w:val="00B904D2"/>
    <w:rsid w:val="00B906B8"/>
    <w:rsid w:val="00B90816"/>
    <w:rsid w:val="00B90A4B"/>
    <w:rsid w:val="00B90CFA"/>
    <w:rsid w:val="00B90DF9"/>
    <w:rsid w:val="00B90F03"/>
    <w:rsid w:val="00B91208"/>
    <w:rsid w:val="00B91294"/>
    <w:rsid w:val="00B917CD"/>
    <w:rsid w:val="00B9182D"/>
    <w:rsid w:val="00B9193F"/>
    <w:rsid w:val="00B91B36"/>
    <w:rsid w:val="00B92424"/>
    <w:rsid w:val="00B9257B"/>
    <w:rsid w:val="00B92AF7"/>
    <w:rsid w:val="00B92D73"/>
    <w:rsid w:val="00B93389"/>
    <w:rsid w:val="00B94111"/>
    <w:rsid w:val="00B9475D"/>
    <w:rsid w:val="00B94E0B"/>
    <w:rsid w:val="00B94E56"/>
    <w:rsid w:val="00B94F0A"/>
    <w:rsid w:val="00B95076"/>
    <w:rsid w:val="00B95367"/>
    <w:rsid w:val="00B95FED"/>
    <w:rsid w:val="00B9611B"/>
    <w:rsid w:val="00B9625F"/>
    <w:rsid w:val="00B962C9"/>
    <w:rsid w:val="00B968D0"/>
    <w:rsid w:val="00B96ADF"/>
    <w:rsid w:val="00B96DB4"/>
    <w:rsid w:val="00B96E5F"/>
    <w:rsid w:val="00B96FEF"/>
    <w:rsid w:val="00B97092"/>
    <w:rsid w:val="00B978EF"/>
    <w:rsid w:val="00B97911"/>
    <w:rsid w:val="00B979E8"/>
    <w:rsid w:val="00B97EB3"/>
    <w:rsid w:val="00BA0351"/>
    <w:rsid w:val="00BA0457"/>
    <w:rsid w:val="00BA0533"/>
    <w:rsid w:val="00BA0F7A"/>
    <w:rsid w:val="00BA13F8"/>
    <w:rsid w:val="00BA160C"/>
    <w:rsid w:val="00BA1840"/>
    <w:rsid w:val="00BA185B"/>
    <w:rsid w:val="00BA18F6"/>
    <w:rsid w:val="00BA1B00"/>
    <w:rsid w:val="00BA20C8"/>
    <w:rsid w:val="00BA25B3"/>
    <w:rsid w:val="00BA2758"/>
    <w:rsid w:val="00BA2805"/>
    <w:rsid w:val="00BA3019"/>
    <w:rsid w:val="00BA3464"/>
    <w:rsid w:val="00BA381E"/>
    <w:rsid w:val="00BA389F"/>
    <w:rsid w:val="00BA38B9"/>
    <w:rsid w:val="00BA46FF"/>
    <w:rsid w:val="00BA4854"/>
    <w:rsid w:val="00BA4D78"/>
    <w:rsid w:val="00BA5905"/>
    <w:rsid w:val="00BA5930"/>
    <w:rsid w:val="00BA6016"/>
    <w:rsid w:val="00BA6093"/>
    <w:rsid w:val="00BA6531"/>
    <w:rsid w:val="00BA6B8F"/>
    <w:rsid w:val="00BA6C15"/>
    <w:rsid w:val="00BA6CE3"/>
    <w:rsid w:val="00BA6F44"/>
    <w:rsid w:val="00BA7393"/>
    <w:rsid w:val="00BA7DBC"/>
    <w:rsid w:val="00BB0A2C"/>
    <w:rsid w:val="00BB0B36"/>
    <w:rsid w:val="00BB0C52"/>
    <w:rsid w:val="00BB1D8B"/>
    <w:rsid w:val="00BB1F34"/>
    <w:rsid w:val="00BB273A"/>
    <w:rsid w:val="00BB2ACB"/>
    <w:rsid w:val="00BB2F91"/>
    <w:rsid w:val="00BB3469"/>
    <w:rsid w:val="00BB35AF"/>
    <w:rsid w:val="00BB3E41"/>
    <w:rsid w:val="00BB3F65"/>
    <w:rsid w:val="00BB415D"/>
    <w:rsid w:val="00BB4340"/>
    <w:rsid w:val="00BB44E0"/>
    <w:rsid w:val="00BB45EA"/>
    <w:rsid w:val="00BB4791"/>
    <w:rsid w:val="00BB4E1F"/>
    <w:rsid w:val="00BB5288"/>
    <w:rsid w:val="00BB545A"/>
    <w:rsid w:val="00BB59C6"/>
    <w:rsid w:val="00BB5E24"/>
    <w:rsid w:val="00BB6349"/>
    <w:rsid w:val="00BB63B8"/>
    <w:rsid w:val="00BB6887"/>
    <w:rsid w:val="00BB6921"/>
    <w:rsid w:val="00BB693E"/>
    <w:rsid w:val="00BB708D"/>
    <w:rsid w:val="00BB760B"/>
    <w:rsid w:val="00BB769D"/>
    <w:rsid w:val="00BB7E38"/>
    <w:rsid w:val="00BB7E6D"/>
    <w:rsid w:val="00BC04B3"/>
    <w:rsid w:val="00BC0B3D"/>
    <w:rsid w:val="00BC0C9E"/>
    <w:rsid w:val="00BC0D42"/>
    <w:rsid w:val="00BC0EDC"/>
    <w:rsid w:val="00BC10E4"/>
    <w:rsid w:val="00BC1331"/>
    <w:rsid w:val="00BC15C3"/>
    <w:rsid w:val="00BC1A29"/>
    <w:rsid w:val="00BC1D6F"/>
    <w:rsid w:val="00BC1FDB"/>
    <w:rsid w:val="00BC207C"/>
    <w:rsid w:val="00BC22D6"/>
    <w:rsid w:val="00BC236D"/>
    <w:rsid w:val="00BC29C5"/>
    <w:rsid w:val="00BC34C2"/>
    <w:rsid w:val="00BC3BE6"/>
    <w:rsid w:val="00BC3D73"/>
    <w:rsid w:val="00BC447C"/>
    <w:rsid w:val="00BC44BE"/>
    <w:rsid w:val="00BC4681"/>
    <w:rsid w:val="00BC4742"/>
    <w:rsid w:val="00BC4AF9"/>
    <w:rsid w:val="00BC4CC9"/>
    <w:rsid w:val="00BC51A0"/>
    <w:rsid w:val="00BC521D"/>
    <w:rsid w:val="00BC53DF"/>
    <w:rsid w:val="00BC5CC9"/>
    <w:rsid w:val="00BC5EAF"/>
    <w:rsid w:val="00BC60DC"/>
    <w:rsid w:val="00BC63E6"/>
    <w:rsid w:val="00BC655A"/>
    <w:rsid w:val="00BC6836"/>
    <w:rsid w:val="00BC6D00"/>
    <w:rsid w:val="00BC73DE"/>
    <w:rsid w:val="00BC73E8"/>
    <w:rsid w:val="00BC7D4E"/>
    <w:rsid w:val="00BD009E"/>
    <w:rsid w:val="00BD01EB"/>
    <w:rsid w:val="00BD088F"/>
    <w:rsid w:val="00BD0A2A"/>
    <w:rsid w:val="00BD0ABE"/>
    <w:rsid w:val="00BD1354"/>
    <w:rsid w:val="00BD16CB"/>
    <w:rsid w:val="00BD18A5"/>
    <w:rsid w:val="00BD19E0"/>
    <w:rsid w:val="00BD1E67"/>
    <w:rsid w:val="00BD1F19"/>
    <w:rsid w:val="00BD26AC"/>
    <w:rsid w:val="00BD2BE7"/>
    <w:rsid w:val="00BD34B3"/>
    <w:rsid w:val="00BD34BE"/>
    <w:rsid w:val="00BD3958"/>
    <w:rsid w:val="00BD3B21"/>
    <w:rsid w:val="00BD3C3A"/>
    <w:rsid w:val="00BD3FC9"/>
    <w:rsid w:val="00BD40E8"/>
    <w:rsid w:val="00BD41E6"/>
    <w:rsid w:val="00BD467E"/>
    <w:rsid w:val="00BD4A35"/>
    <w:rsid w:val="00BD4BEA"/>
    <w:rsid w:val="00BD4CC2"/>
    <w:rsid w:val="00BD50F3"/>
    <w:rsid w:val="00BD5583"/>
    <w:rsid w:val="00BD56CC"/>
    <w:rsid w:val="00BD5724"/>
    <w:rsid w:val="00BD5B14"/>
    <w:rsid w:val="00BD5FC8"/>
    <w:rsid w:val="00BD618E"/>
    <w:rsid w:val="00BD62F8"/>
    <w:rsid w:val="00BD6355"/>
    <w:rsid w:val="00BD639B"/>
    <w:rsid w:val="00BD6457"/>
    <w:rsid w:val="00BD684F"/>
    <w:rsid w:val="00BD6F19"/>
    <w:rsid w:val="00BD753F"/>
    <w:rsid w:val="00BD75A4"/>
    <w:rsid w:val="00BD7870"/>
    <w:rsid w:val="00BD7A71"/>
    <w:rsid w:val="00BD7EA2"/>
    <w:rsid w:val="00BE06E6"/>
    <w:rsid w:val="00BE0A23"/>
    <w:rsid w:val="00BE0DAA"/>
    <w:rsid w:val="00BE0E15"/>
    <w:rsid w:val="00BE0FD7"/>
    <w:rsid w:val="00BE0FFD"/>
    <w:rsid w:val="00BE138D"/>
    <w:rsid w:val="00BE13B4"/>
    <w:rsid w:val="00BE210F"/>
    <w:rsid w:val="00BE2454"/>
    <w:rsid w:val="00BE24F7"/>
    <w:rsid w:val="00BE25E7"/>
    <w:rsid w:val="00BE29DF"/>
    <w:rsid w:val="00BE2AB7"/>
    <w:rsid w:val="00BE2D75"/>
    <w:rsid w:val="00BE2E61"/>
    <w:rsid w:val="00BE306F"/>
    <w:rsid w:val="00BE335A"/>
    <w:rsid w:val="00BE38BE"/>
    <w:rsid w:val="00BE3FBA"/>
    <w:rsid w:val="00BE454A"/>
    <w:rsid w:val="00BE4587"/>
    <w:rsid w:val="00BE45B5"/>
    <w:rsid w:val="00BE484C"/>
    <w:rsid w:val="00BE4B27"/>
    <w:rsid w:val="00BE508E"/>
    <w:rsid w:val="00BE50FA"/>
    <w:rsid w:val="00BE5400"/>
    <w:rsid w:val="00BE551D"/>
    <w:rsid w:val="00BE55E2"/>
    <w:rsid w:val="00BE5F13"/>
    <w:rsid w:val="00BE68F3"/>
    <w:rsid w:val="00BE7322"/>
    <w:rsid w:val="00BE7358"/>
    <w:rsid w:val="00BE7A51"/>
    <w:rsid w:val="00BE7BFD"/>
    <w:rsid w:val="00BE7CC1"/>
    <w:rsid w:val="00BF0722"/>
    <w:rsid w:val="00BF0832"/>
    <w:rsid w:val="00BF083C"/>
    <w:rsid w:val="00BF1458"/>
    <w:rsid w:val="00BF1475"/>
    <w:rsid w:val="00BF1CA2"/>
    <w:rsid w:val="00BF1F84"/>
    <w:rsid w:val="00BF2226"/>
    <w:rsid w:val="00BF24BE"/>
    <w:rsid w:val="00BF2744"/>
    <w:rsid w:val="00BF29E1"/>
    <w:rsid w:val="00BF2ED3"/>
    <w:rsid w:val="00BF302B"/>
    <w:rsid w:val="00BF3121"/>
    <w:rsid w:val="00BF3271"/>
    <w:rsid w:val="00BF3278"/>
    <w:rsid w:val="00BF32CC"/>
    <w:rsid w:val="00BF33B3"/>
    <w:rsid w:val="00BF34A1"/>
    <w:rsid w:val="00BF3528"/>
    <w:rsid w:val="00BF3BFF"/>
    <w:rsid w:val="00BF416D"/>
    <w:rsid w:val="00BF41FB"/>
    <w:rsid w:val="00BF430A"/>
    <w:rsid w:val="00BF444A"/>
    <w:rsid w:val="00BF4F2E"/>
    <w:rsid w:val="00BF4FB1"/>
    <w:rsid w:val="00BF50D5"/>
    <w:rsid w:val="00BF53DA"/>
    <w:rsid w:val="00BF5866"/>
    <w:rsid w:val="00BF645B"/>
    <w:rsid w:val="00BF6B23"/>
    <w:rsid w:val="00BF6F35"/>
    <w:rsid w:val="00BF72DE"/>
    <w:rsid w:val="00BF72EE"/>
    <w:rsid w:val="00BF7392"/>
    <w:rsid w:val="00BF770E"/>
    <w:rsid w:val="00BF7BF6"/>
    <w:rsid w:val="00BF7EA4"/>
    <w:rsid w:val="00C0018A"/>
    <w:rsid w:val="00C00679"/>
    <w:rsid w:val="00C0083E"/>
    <w:rsid w:val="00C0097D"/>
    <w:rsid w:val="00C00C0F"/>
    <w:rsid w:val="00C01216"/>
    <w:rsid w:val="00C01411"/>
    <w:rsid w:val="00C0164B"/>
    <w:rsid w:val="00C0194F"/>
    <w:rsid w:val="00C01BA8"/>
    <w:rsid w:val="00C0225C"/>
    <w:rsid w:val="00C02472"/>
    <w:rsid w:val="00C0275C"/>
    <w:rsid w:val="00C02981"/>
    <w:rsid w:val="00C02CC3"/>
    <w:rsid w:val="00C02DD9"/>
    <w:rsid w:val="00C02FD7"/>
    <w:rsid w:val="00C03451"/>
    <w:rsid w:val="00C036B2"/>
    <w:rsid w:val="00C0371C"/>
    <w:rsid w:val="00C03955"/>
    <w:rsid w:val="00C040C7"/>
    <w:rsid w:val="00C041FA"/>
    <w:rsid w:val="00C0423D"/>
    <w:rsid w:val="00C044E9"/>
    <w:rsid w:val="00C04998"/>
    <w:rsid w:val="00C04AB5"/>
    <w:rsid w:val="00C04AF9"/>
    <w:rsid w:val="00C051C3"/>
    <w:rsid w:val="00C058EA"/>
    <w:rsid w:val="00C05B94"/>
    <w:rsid w:val="00C05D9C"/>
    <w:rsid w:val="00C06227"/>
    <w:rsid w:val="00C063F0"/>
    <w:rsid w:val="00C06BF4"/>
    <w:rsid w:val="00C06C64"/>
    <w:rsid w:val="00C06F35"/>
    <w:rsid w:val="00C073E3"/>
    <w:rsid w:val="00C075A5"/>
    <w:rsid w:val="00C07D62"/>
    <w:rsid w:val="00C07F53"/>
    <w:rsid w:val="00C102D5"/>
    <w:rsid w:val="00C107B0"/>
    <w:rsid w:val="00C108E8"/>
    <w:rsid w:val="00C114E1"/>
    <w:rsid w:val="00C117C1"/>
    <w:rsid w:val="00C11BA6"/>
    <w:rsid w:val="00C12024"/>
    <w:rsid w:val="00C12062"/>
    <w:rsid w:val="00C12464"/>
    <w:rsid w:val="00C1278C"/>
    <w:rsid w:val="00C12CF0"/>
    <w:rsid w:val="00C12E72"/>
    <w:rsid w:val="00C12F61"/>
    <w:rsid w:val="00C13204"/>
    <w:rsid w:val="00C1360A"/>
    <w:rsid w:val="00C139A7"/>
    <w:rsid w:val="00C13A90"/>
    <w:rsid w:val="00C13B7F"/>
    <w:rsid w:val="00C142B8"/>
    <w:rsid w:val="00C14AE2"/>
    <w:rsid w:val="00C14CFB"/>
    <w:rsid w:val="00C14DAD"/>
    <w:rsid w:val="00C15713"/>
    <w:rsid w:val="00C157A9"/>
    <w:rsid w:val="00C1598E"/>
    <w:rsid w:val="00C15D17"/>
    <w:rsid w:val="00C16ACE"/>
    <w:rsid w:val="00C16BD9"/>
    <w:rsid w:val="00C17685"/>
    <w:rsid w:val="00C17CB9"/>
    <w:rsid w:val="00C2002B"/>
    <w:rsid w:val="00C2057C"/>
    <w:rsid w:val="00C20BA2"/>
    <w:rsid w:val="00C20DDC"/>
    <w:rsid w:val="00C20EF9"/>
    <w:rsid w:val="00C20F9A"/>
    <w:rsid w:val="00C21D1D"/>
    <w:rsid w:val="00C226B7"/>
    <w:rsid w:val="00C226CA"/>
    <w:rsid w:val="00C22D87"/>
    <w:rsid w:val="00C23135"/>
    <w:rsid w:val="00C237A2"/>
    <w:rsid w:val="00C23C9A"/>
    <w:rsid w:val="00C23FB4"/>
    <w:rsid w:val="00C24A99"/>
    <w:rsid w:val="00C24B1C"/>
    <w:rsid w:val="00C24FBA"/>
    <w:rsid w:val="00C25D51"/>
    <w:rsid w:val="00C25D7A"/>
    <w:rsid w:val="00C25E64"/>
    <w:rsid w:val="00C25E7F"/>
    <w:rsid w:val="00C268F2"/>
    <w:rsid w:val="00C26A54"/>
    <w:rsid w:val="00C26A83"/>
    <w:rsid w:val="00C2736B"/>
    <w:rsid w:val="00C27B04"/>
    <w:rsid w:val="00C27D1E"/>
    <w:rsid w:val="00C27D57"/>
    <w:rsid w:val="00C27FFB"/>
    <w:rsid w:val="00C301CF"/>
    <w:rsid w:val="00C30229"/>
    <w:rsid w:val="00C3046E"/>
    <w:rsid w:val="00C3063A"/>
    <w:rsid w:val="00C309BB"/>
    <w:rsid w:val="00C30E2F"/>
    <w:rsid w:val="00C30F34"/>
    <w:rsid w:val="00C31413"/>
    <w:rsid w:val="00C3145B"/>
    <w:rsid w:val="00C319A1"/>
    <w:rsid w:val="00C31E68"/>
    <w:rsid w:val="00C32641"/>
    <w:rsid w:val="00C32AE9"/>
    <w:rsid w:val="00C32F1F"/>
    <w:rsid w:val="00C332D2"/>
    <w:rsid w:val="00C337DD"/>
    <w:rsid w:val="00C33C53"/>
    <w:rsid w:val="00C34294"/>
    <w:rsid w:val="00C351EB"/>
    <w:rsid w:val="00C354CB"/>
    <w:rsid w:val="00C356D5"/>
    <w:rsid w:val="00C35AC1"/>
    <w:rsid w:val="00C35F15"/>
    <w:rsid w:val="00C35F1B"/>
    <w:rsid w:val="00C3605F"/>
    <w:rsid w:val="00C36481"/>
    <w:rsid w:val="00C36516"/>
    <w:rsid w:val="00C365D5"/>
    <w:rsid w:val="00C36706"/>
    <w:rsid w:val="00C3675C"/>
    <w:rsid w:val="00C36FA7"/>
    <w:rsid w:val="00C37034"/>
    <w:rsid w:val="00C37089"/>
    <w:rsid w:val="00C37143"/>
    <w:rsid w:val="00C37285"/>
    <w:rsid w:val="00C372B1"/>
    <w:rsid w:val="00C37710"/>
    <w:rsid w:val="00C37A42"/>
    <w:rsid w:val="00C403C4"/>
    <w:rsid w:val="00C40E20"/>
    <w:rsid w:val="00C4108B"/>
    <w:rsid w:val="00C418E4"/>
    <w:rsid w:val="00C418EE"/>
    <w:rsid w:val="00C4230E"/>
    <w:rsid w:val="00C4241E"/>
    <w:rsid w:val="00C424BB"/>
    <w:rsid w:val="00C4285B"/>
    <w:rsid w:val="00C42944"/>
    <w:rsid w:val="00C42A88"/>
    <w:rsid w:val="00C4324D"/>
    <w:rsid w:val="00C438F8"/>
    <w:rsid w:val="00C43AF6"/>
    <w:rsid w:val="00C43B76"/>
    <w:rsid w:val="00C44157"/>
    <w:rsid w:val="00C449AB"/>
    <w:rsid w:val="00C450F0"/>
    <w:rsid w:val="00C460E6"/>
    <w:rsid w:val="00C46386"/>
    <w:rsid w:val="00C46672"/>
    <w:rsid w:val="00C466CE"/>
    <w:rsid w:val="00C471E6"/>
    <w:rsid w:val="00C472BE"/>
    <w:rsid w:val="00C473E4"/>
    <w:rsid w:val="00C476B4"/>
    <w:rsid w:val="00C47B54"/>
    <w:rsid w:val="00C47D2A"/>
    <w:rsid w:val="00C505F1"/>
    <w:rsid w:val="00C50606"/>
    <w:rsid w:val="00C50832"/>
    <w:rsid w:val="00C50A1C"/>
    <w:rsid w:val="00C50A23"/>
    <w:rsid w:val="00C51060"/>
    <w:rsid w:val="00C51116"/>
    <w:rsid w:val="00C5114A"/>
    <w:rsid w:val="00C5162A"/>
    <w:rsid w:val="00C516C3"/>
    <w:rsid w:val="00C51F85"/>
    <w:rsid w:val="00C52269"/>
    <w:rsid w:val="00C52456"/>
    <w:rsid w:val="00C5254B"/>
    <w:rsid w:val="00C52AE4"/>
    <w:rsid w:val="00C52F23"/>
    <w:rsid w:val="00C535A4"/>
    <w:rsid w:val="00C53842"/>
    <w:rsid w:val="00C5427D"/>
    <w:rsid w:val="00C544A0"/>
    <w:rsid w:val="00C54A0A"/>
    <w:rsid w:val="00C54F37"/>
    <w:rsid w:val="00C54FF9"/>
    <w:rsid w:val="00C55030"/>
    <w:rsid w:val="00C55542"/>
    <w:rsid w:val="00C55629"/>
    <w:rsid w:val="00C55B74"/>
    <w:rsid w:val="00C56508"/>
    <w:rsid w:val="00C56625"/>
    <w:rsid w:val="00C56DF2"/>
    <w:rsid w:val="00C56EE9"/>
    <w:rsid w:val="00C5719E"/>
    <w:rsid w:val="00C57242"/>
    <w:rsid w:val="00C5733A"/>
    <w:rsid w:val="00C57B9C"/>
    <w:rsid w:val="00C57C36"/>
    <w:rsid w:val="00C57E0A"/>
    <w:rsid w:val="00C605D0"/>
    <w:rsid w:val="00C60DB7"/>
    <w:rsid w:val="00C61204"/>
    <w:rsid w:val="00C61915"/>
    <w:rsid w:val="00C61F3E"/>
    <w:rsid w:val="00C62357"/>
    <w:rsid w:val="00C62528"/>
    <w:rsid w:val="00C626AC"/>
    <w:rsid w:val="00C6280A"/>
    <w:rsid w:val="00C63336"/>
    <w:rsid w:val="00C63922"/>
    <w:rsid w:val="00C63A93"/>
    <w:rsid w:val="00C63CBE"/>
    <w:rsid w:val="00C63F09"/>
    <w:rsid w:val="00C643F0"/>
    <w:rsid w:val="00C6447C"/>
    <w:rsid w:val="00C644DA"/>
    <w:rsid w:val="00C647FC"/>
    <w:rsid w:val="00C648F3"/>
    <w:rsid w:val="00C64F36"/>
    <w:rsid w:val="00C65073"/>
    <w:rsid w:val="00C652E1"/>
    <w:rsid w:val="00C6554A"/>
    <w:rsid w:val="00C65D00"/>
    <w:rsid w:val="00C65D3D"/>
    <w:rsid w:val="00C65F27"/>
    <w:rsid w:val="00C661B2"/>
    <w:rsid w:val="00C665D9"/>
    <w:rsid w:val="00C666BA"/>
    <w:rsid w:val="00C6685E"/>
    <w:rsid w:val="00C668EC"/>
    <w:rsid w:val="00C66B6C"/>
    <w:rsid w:val="00C66C78"/>
    <w:rsid w:val="00C6710B"/>
    <w:rsid w:val="00C67C02"/>
    <w:rsid w:val="00C67C52"/>
    <w:rsid w:val="00C67E7F"/>
    <w:rsid w:val="00C70A07"/>
    <w:rsid w:val="00C70DF3"/>
    <w:rsid w:val="00C71062"/>
    <w:rsid w:val="00C71279"/>
    <w:rsid w:val="00C7162B"/>
    <w:rsid w:val="00C717B2"/>
    <w:rsid w:val="00C719F8"/>
    <w:rsid w:val="00C71B5E"/>
    <w:rsid w:val="00C71BBD"/>
    <w:rsid w:val="00C71BEE"/>
    <w:rsid w:val="00C71E09"/>
    <w:rsid w:val="00C72094"/>
    <w:rsid w:val="00C72261"/>
    <w:rsid w:val="00C72454"/>
    <w:rsid w:val="00C72798"/>
    <w:rsid w:val="00C7319B"/>
    <w:rsid w:val="00C73685"/>
    <w:rsid w:val="00C73CA2"/>
    <w:rsid w:val="00C73EE1"/>
    <w:rsid w:val="00C7552F"/>
    <w:rsid w:val="00C75B59"/>
    <w:rsid w:val="00C75ED7"/>
    <w:rsid w:val="00C76025"/>
    <w:rsid w:val="00C761A9"/>
    <w:rsid w:val="00C762F7"/>
    <w:rsid w:val="00C76B5E"/>
    <w:rsid w:val="00C773EC"/>
    <w:rsid w:val="00C773FA"/>
    <w:rsid w:val="00C77438"/>
    <w:rsid w:val="00C77477"/>
    <w:rsid w:val="00C77AE5"/>
    <w:rsid w:val="00C80469"/>
    <w:rsid w:val="00C80FB0"/>
    <w:rsid w:val="00C80FB2"/>
    <w:rsid w:val="00C8128F"/>
    <w:rsid w:val="00C816EB"/>
    <w:rsid w:val="00C817E5"/>
    <w:rsid w:val="00C82073"/>
    <w:rsid w:val="00C8281A"/>
    <w:rsid w:val="00C82CF5"/>
    <w:rsid w:val="00C82EFB"/>
    <w:rsid w:val="00C83361"/>
    <w:rsid w:val="00C8346F"/>
    <w:rsid w:val="00C834E4"/>
    <w:rsid w:val="00C83737"/>
    <w:rsid w:val="00C83934"/>
    <w:rsid w:val="00C83BBA"/>
    <w:rsid w:val="00C84562"/>
    <w:rsid w:val="00C84B60"/>
    <w:rsid w:val="00C84BB8"/>
    <w:rsid w:val="00C84ED9"/>
    <w:rsid w:val="00C855D9"/>
    <w:rsid w:val="00C855FF"/>
    <w:rsid w:val="00C858F0"/>
    <w:rsid w:val="00C859C4"/>
    <w:rsid w:val="00C85E38"/>
    <w:rsid w:val="00C860E0"/>
    <w:rsid w:val="00C8616F"/>
    <w:rsid w:val="00C861A9"/>
    <w:rsid w:val="00C86616"/>
    <w:rsid w:val="00C86770"/>
    <w:rsid w:val="00C87AD8"/>
    <w:rsid w:val="00C87CC7"/>
    <w:rsid w:val="00C9001C"/>
    <w:rsid w:val="00C901DF"/>
    <w:rsid w:val="00C90AB6"/>
    <w:rsid w:val="00C90AE9"/>
    <w:rsid w:val="00C90E42"/>
    <w:rsid w:val="00C90F53"/>
    <w:rsid w:val="00C910AE"/>
    <w:rsid w:val="00C910FB"/>
    <w:rsid w:val="00C91366"/>
    <w:rsid w:val="00C91F4E"/>
    <w:rsid w:val="00C92457"/>
    <w:rsid w:val="00C92532"/>
    <w:rsid w:val="00C925C9"/>
    <w:rsid w:val="00C92AD3"/>
    <w:rsid w:val="00C93018"/>
    <w:rsid w:val="00C93280"/>
    <w:rsid w:val="00C9380A"/>
    <w:rsid w:val="00C9381D"/>
    <w:rsid w:val="00C93C73"/>
    <w:rsid w:val="00C93F5A"/>
    <w:rsid w:val="00C941F2"/>
    <w:rsid w:val="00C9426B"/>
    <w:rsid w:val="00C94664"/>
    <w:rsid w:val="00C946A0"/>
    <w:rsid w:val="00C9477E"/>
    <w:rsid w:val="00C95043"/>
    <w:rsid w:val="00C951D4"/>
    <w:rsid w:val="00C9546E"/>
    <w:rsid w:val="00C95C72"/>
    <w:rsid w:val="00C95C7F"/>
    <w:rsid w:val="00C95CBA"/>
    <w:rsid w:val="00C96117"/>
    <w:rsid w:val="00C96BC1"/>
    <w:rsid w:val="00C96CB8"/>
    <w:rsid w:val="00C9711F"/>
    <w:rsid w:val="00C97730"/>
    <w:rsid w:val="00CA0383"/>
    <w:rsid w:val="00CA06FD"/>
    <w:rsid w:val="00CA0832"/>
    <w:rsid w:val="00CA098C"/>
    <w:rsid w:val="00CA1734"/>
    <w:rsid w:val="00CA1D4C"/>
    <w:rsid w:val="00CA1E79"/>
    <w:rsid w:val="00CA1FC0"/>
    <w:rsid w:val="00CA2058"/>
    <w:rsid w:val="00CA2483"/>
    <w:rsid w:val="00CA26EA"/>
    <w:rsid w:val="00CA374B"/>
    <w:rsid w:val="00CA3869"/>
    <w:rsid w:val="00CA39CF"/>
    <w:rsid w:val="00CA3DB7"/>
    <w:rsid w:val="00CA40F1"/>
    <w:rsid w:val="00CA4825"/>
    <w:rsid w:val="00CA49A2"/>
    <w:rsid w:val="00CA4A09"/>
    <w:rsid w:val="00CA59B7"/>
    <w:rsid w:val="00CA5F1A"/>
    <w:rsid w:val="00CA6134"/>
    <w:rsid w:val="00CA6558"/>
    <w:rsid w:val="00CA6E60"/>
    <w:rsid w:val="00CA6F75"/>
    <w:rsid w:val="00CA6F9A"/>
    <w:rsid w:val="00CA7902"/>
    <w:rsid w:val="00CA7B2E"/>
    <w:rsid w:val="00CA7CAD"/>
    <w:rsid w:val="00CA7F58"/>
    <w:rsid w:val="00CB00ED"/>
    <w:rsid w:val="00CB0301"/>
    <w:rsid w:val="00CB0715"/>
    <w:rsid w:val="00CB0939"/>
    <w:rsid w:val="00CB09EC"/>
    <w:rsid w:val="00CB0A66"/>
    <w:rsid w:val="00CB0A71"/>
    <w:rsid w:val="00CB129B"/>
    <w:rsid w:val="00CB13F9"/>
    <w:rsid w:val="00CB15A9"/>
    <w:rsid w:val="00CB15CC"/>
    <w:rsid w:val="00CB1A8C"/>
    <w:rsid w:val="00CB1A91"/>
    <w:rsid w:val="00CB1F9C"/>
    <w:rsid w:val="00CB2565"/>
    <w:rsid w:val="00CB2843"/>
    <w:rsid w:val="00CB2887"/>
    <w:rsid w:val="00CB37C3"/>
    <w:rsid w:val="00CB3F29"/>
    <w:rsid w:val="00CB4043"/>
    <w:rsid w:val="00CB4060"/>
    <w:rsid w:val="00CB4B6C"/>
    <w:rsid w:val="00CB5554"/>
    <w:rsid w:val="00CB55BE"/>
    <w:rsid w:val="00CB580C"/>
    <w:rsid w:val="00CB5ABA"/>
    <w:rsid w:val="00CB6449"/>
    <w:rsid w:val="00CB6500"/>
    <w:rsid w:val="00CB716A"/>
    <w:rsid w:val="00CB7478"/>
    <w:rsid w:val="00CB79A9"/>
    <w:rsid w:val="00CB7AE8"/>
    <w:rsid w:val="00CC017C"/>
    <w:rsid w:val="00CC0392"/>
    <w:rsid w:val="00CC045E"/>
    <w:rsid w:val="00CC0EB6"/>
    <w:rsid w:val="00CC1131"/>
    <w:rsid w:val="00CC1773"/>
    <w:rsid w:val="00CC1831"/>
    <w:rsid w:val="00CC1C4A"/>
    <w:rsid w:val="00CC206E"/>
    <w:rsid w:val="00CC23AE"/>
    <w:rsid w:val="00CC260E"/>
    <w:rsid w:val="00CC33FF"/>
    <w:rsid w:val="00CC3595"/>
    <w:rsid w:val="00CC35FC"/>
    <w:rsid w:val="00CC37E4"/>
    <w:rsid w:val="00CC39CA"/>
    <w:rsid w:val="00CC3D15"/>
    <w:rsid w:val="00CC3DB8"/>
    <w:rsid w:val="00CC3DED"/>
    <w:rsid w:val="00CC4435"/>
    <w:rsid w:val="00CC46FA"/>
    <w:rsid w:val="00CC4A57"/>
    <w:rsid w:val="00CC4BB2"/>
    <w:rsid w:val="00CC4FAD"/>
    <w:rsid w:val="00CC4FF9"/>
    <w:rsid w:val="00CC5407"/>
    <w:rsid w:val="00CC57B9"/>
    <w:rsid w:val="00CC6115"/>
    <w:rsid w:val="00CC659D"/>
    <w:rsid w:val="00CC682A"/>
    <w:rsid w:val="00CC6C55"/>
    <w:rsid w:val="00CC730E"/>
    <w:rsid w:val="00CC79A4"/>
    <w:rsid w:val="00CC7A09"/>
    <w:rsid w:val="00CD0493"/>
    <w:rsid w:val="00CD05CA"/>
    <w:rsid w:val="00CD0B3D"/>
    <w:rsid w:val="00CD0C73"/>
    <w:rsid w:val="00CD0D9D"/>
    <w:rsid w:val="00CD154B"/>
    <w:rsid w:val="00CD1929"/>
    <w:rsid w:val="00CD1F19"/>
    <w:rsid w:val="00CD21F6"/>
    <w:rsid w:val="00CD231C"/>
    <w:rsid w:val="00CD2A06"/>
    <w:rsid w:val="00CD2C11"/>
    <w:rsid w:val="00CD325D"/>
    <w:rsid w:val="00CD364C"/>
    <w:rsid w:val="00CD39E9"/>
    <w:rsid w:val="00CD4501"/>
    <w:rsid w:val="00CD4D7A"/>
    <w:rsid w:val="00CD5801"/>
    <w:rsid w:val="00CD5960"/>
    <w:rsid w:val="00CD686B"/>
    <w:rsid w:val="00CD6958"/>
    <w:rsid w:val="00CD6B6A"/>
    <w:rsid w:val="00CD6BFE"/>
    <w:rsid w:val="00CD6F13"/>
    <w:rsid w:val="00CD735B"/>
    <w:rsid w:val="00CD75CD"/>
    <w:rsid w:val="00CD7642"/>
    <w:rsid w:val="00CE00DD"/>
    <w:rsid w:val="00CE03A4"/>
    <w:rsid w:val="00CE0528"/>
    <w:rsid w:val="00CE085B"/>
    <w:rsid w:val="00CE0B4A"/>
    <w:rsid w:val="00CE1012"/>
    <w:rsid w:val="00CE1027"/>
    <w:rsid w:val="00CE1281"/>
    <w:rsid w:val="00CE13FC"/>
    <w:rsid w:val="00CE1816"/>
    <w:rsid w:val="00CE1BB1"/>
    <w:rsid w:val="00CE1F8A"/>
    <w:rsid w:val="00CE1FAC"/>
    <w:rsid w:val="00CE1FDF"/>
    <w:rsid w:val="00CE2C3A"/>
    <w:rsid w:val="00CE3711"/>
    <w:rsid w:val="00CE3A6D"/>
    <w:rsid w:val="00CE3B2A"/>
    <w:rsid w:val="00CE3C14"/>
    <w:rsid w:val="00CE40CC"/>
    <w:rsid w:val="00CE4990"/>
    <w:rsid w:val="00CE49C9"/>
    <w:rsid w:val="00CE4AE6"/>
    <w:rsid w:val="00CE4B1E"/>
    <w:rsid w:val="00CE5D76"/>
    <w:rsid w:val="00CE5FE1"/>
    <w:rsid w:val="00CE5FF8"/>
    <w:rsid w:val="00CE60CF"/>
    <w:rsid w:val="00CE614E"/>
    <w:rsid w:val="00CE62B2"/>
    <w:rsid w:val="00CE6355"/>
    <w:rsid w:val="00CE6358"/>
    <w:rsid w:val="00CE63FE"/>
    <w:rsid w:val="00CE6EEC"/>
    <w:rsid w:val="00CE71A4"/>
    <w:rsid w:val="00CE74F6"/>
    <w:rsid w:val="00CE76B7"/>
    <w:rsid w:val="00CE7AE0"/>
    <w:rsid w:val="00CE7B6E"/>
    <w:rsid w:val="00CE7BBA"/>
    <w:rsid w:val="00CF023B"/>
    <w:rsid w:val="00CF032A"/>
    <w:rsid w:val="00CF0612"/>
    <w:rsid w:val="00CF07F0"/>
    <w:rsid w:val="00CF1B81"/>
    <w:rsid w:val="00CF1C10"/>
    <w:rsid w:val="00CF1E1C"/>
    <w:rsid w:val="00CF1F33"/>
    <w:rsid w:val="00CF2093"/>
    <w:rsid w:val="00CF263A"/>
    <w:rsid w:val="00CF277F"/>
    <w:rsid w:val="00CF3022"/>
    <w:rsid w:val="00CF309A"/>
    <w:rsid w:val="00CF318C"/>
    <w:rsid w:val="00CF3C29"/>
    <w:rsid w:val="00CF44F7"/>
    <w:rsid w:val="00CF5576"/>
    <w:rsid w:val="00CF59AD"/>
    <w:rsid w:val="00CF5D12"/>
    <w:rsid w:val="00CF5D59"/>
    <w:rsid w:val="00CF5FFA"/>
    <w:rsid w:val="00CF62C0"/>
    <w:rsid w:val="00CF62D4"/>
    <w:rsid w:val="00CF64E8"/>
    <w:rsid w:val="00CF6A12"/>
    <w:rsid w:val="00CF6F08"/>
    <w:rsid w:val="00CF6FF2"/>
    <w:rsid w:val="00CF7763"/>
    <w:rsid w:val="00CF78A9"/>
    <w:rsid w:val="00CF78B0"/>
    <w:rsid w:val="00CF7DCD"/>
    <w:rsid w:val="00D00464"/>
    <w:rsid w:val="00D005DB"/>
    <w:rsid w:val="00D008B0"/>
    <w:rsid w:val="00D00AC0"/>
    <w:rsid w:val="00D00BDA"/>
    <w:rsid w:val="00D0159E"/>
    <w:rsid w:val="00D01779"/>
    <w:rsid w:val="00D01867"/>
    <w:rsid w:val="00D01DB3"/>
    <w:rsid w:val="00D02115"/>
    <w:rsid w:val="00D02369"/>
    <w:rsid w:val="00D02376"/>
    <w:rsid w:val="00D024C0"/>
    <w:rsid w:val="00D02692"/>
    <w:rsid w:val="00D0278C"/>
    <w:rsid w:val="00D02F5A"/>
    <w:rsid w:val="00D030A7"/>
    <w:rsid w:val="00D031C6"/>
    <w:rsid w:val="00D03812"/>
    <w:rsid w:val="00D0388C"/>
    <w:rsid w:val="00D03D43"/>
    <w:rsid w:val="00D03F2C"/>
    <w:rsid w:val="00D03F64"/>
    <w:rsid w:val="00D045C6"/>
    <w:rsid w:val="00D0478D"/>
    <w:rsid w:val="00D048F7"/>
    <w:rsid w:val="00D04959"/>
    <w:rsid w:val="00D04B1D"/>
    <w:rsid w:val="00D04DEA"/>
    <w:rsid w:val="00D05054"/>
    <w:rsid w:val="00D0535F"/>
    <w:rsid w:val="00D054EB"/>
    <w:rsid w:val="00D05A7F"/>
    <w:rsid w:val="00D05A98"/>
    <w:rsid w:val="00D05AB4"/>
    <w:rsid w:val="00D05B97"/>
    <w:rsid w:val="00D0629E"/>
    <w:rsid w:val="00D069B0"/>
    <w:rsid w:val="00D06BEC"/>
    <w:rsid w:val="00D06D0A"/>
    <w:rsid w:val="00D0712C"/>
    <w:rsid w:val="00D07271"/>
    <w:rsid w:val="00D073E2"/>
    <w:rsid w:val="00D075C8"/>
    <w:rsid w:val="00D078C3"/>
    <w:rsid w:val="00D07CF4"/>
    <w:rsid w:val="00D1012C"/>
    <w:rsid w:val="00D102B2"/>
    <w:rsid w:val="00D10507"/>
    <w:rsid w:val="00D10911"/>
    <w:rsid w:val="00D10BBA"/>
    <w:rsid w:val="00D10D69"/>
    <w:rsid w:val="00D10DE4"/>
    <w:rsid w:val="00D113B2"/>
    <w:rsid w:val="00D114F1"/>
    <w:rsid w:val="00D11A10"/>
    <w:rsid w:val="00D122D5"/>
    <w:rsid w:val="00D125F6"/>
    <w:rsid w:val="00D12938"/>
    <w:rsid w:val="00D12C9F"/>
    <w:rsid w:val="00D12F79"/>
    <w:rsid w:val="00D13898"/>
    <w:rsid w:val="00D144DB"/>
    <w:rsid w:val="00D1453C"/>
    <w:rsid w:val="00D1460B"/>
    <w:rsid w:val="00D14720"/>
    <w:rsid w:val="00D1495B"/>
    <w:rsid w:val="00D14D77"/>
    <w:rsid w:val="00D1529E"/>
    <w:rsid w:val="00D15436"/>
    <w:rsid w:val="00D15461"/>
    <w:rsid w:val="00D155E3"/>
    <w:rsid w:val="00D1577C"/>
    <w:rsid w:val="00D15D47"/>
    <w:rsid w:val="00D15DD5"/>
    <w:rsid w:val="00D16699"/>
    <w:rsid w:val="00D16714"/>
    <w:rsid w:val="00D16AF4"/>
    <w:rsid w:val="00D171D1"/>
    <w:rsid w:val="00D172FA"/>
    <w:rsid w:val="00D17532"/>
    <w:rsid w:val="00D17670"/>
    <w:rsid w:val="00D17EEF"/>
    <w:rsid w:val="00D20143"/>
    <w:rsid w:val="00D20387"/>
    <w:rsid w:val="00D20C51"/>
    <w:rsid w:val="00D21154"/>
    <w:rsid w:val="00D21811"/>
    <w:rsid w:val="00D21A8E"/>
    <w:rsid w:val="00D21F38"/>
    <w:rsid w:val="00D22143"/>
    <w:rsid w:val="00D223C7"/>
    <w:rsid w:val="00D226E1"/>
    <w:rsid w:val="00D22998"/>
    <w:rsid w:val="00D22D20"/>
    <w:rsid w:val="00D22E29"/>
    <w:rsid w:val="00D22E74"/>
    <w:rsid w:val="00D23484"/>
    <w:rsid w:val="00D238E3"/>
    <w:rsid w:val="00D23C92"/>
    <w:rsid w:val="00D23DEA"/>
    <w:rsid w:val="00D23E9E"/>
    <w:rsid w:val="00D23F0E"/>
    <w:rsid w:val="00D24111"/>
    <w:rsid w:val="00D241DE"/>
    <w:rsid w:val="00D24514"/>
    <w:rsid w:val="00D24BB1"/>
    <w:rsid w:val="00D24D89"/>
    <w:rsid w:val="00D24E41"/>
    <w:rsid w:val="00D24FCC"/>
    <w:rsid w:val="00D258BF"/>
    <w:rsid w:val="00D259D8"/>
    <w:rsid w:val="00D25A08"/>
    <w:rsid w:val="00D25AAC"/>
    <w:rsid w:val="00D25AF5"/>
    <w:rsid w:val="00D25B8E"/>
    <w:rsid w:val="00D25CAC"/>
    <w:rsid w:val="00D25EB0"/>
    <w:rsid w:val="00D25EBA"/>
    <w:rsid w:val="00D25F2B"/>
    <w:rsid w:val="00D26389"/>
    <w:rsid w:val="00D26A23"/>
    <w:rsid w:val="00D27026"/>
    <w:rsid w:val="00D27245"/>
    <w:rsid w:val="00D278E4"/>
    <w:rsid w:val="00D27903"/>
    <w:rsid w:val="00D27BE0"/>
    <w:rsid w:val="00D30B7B"/>
    <w:rsid w:val="00D30FA3"/>
    <w:rsid w:val="00D31218"/>
    <w:rsid w:val="00D3131D"/>
    <w:rsid w:val="00D315EC"/>
    <w:rsid w:val="00D31AB9"/>
    <w:rsid w:val="00D31E65"/>
    <w:rsid w:val="00D31FDA"/>
    <w:rsid w:val="00D322D5"/>
    <w:rsid w:val="00D32532"/>
    <w:rsid w:val="00D32841"/>
    <w:rsid w:val="00D32A7C"/>
    <w:rsid w:val="00D32F07"/>
    <w:rsid w:val="00D3316F"/>
    <w:rsid w:val="00D33220"/>
    <w:rsid w:val="00D3334B"/>
    <w:rsid w:val="00D335EA"/>
    <w:rsid w:val="00D33625"/>
    <w:rsid w:val="00D337B2"/>
    <w:rsid w:val="00D3384B"/>
    <w:rsid w:val="00D33E0D"/>
    <w:rsid w:val="00D33E7E"/>
    <w:rsid w:val="00D34133"/>
    <w:rsid w:val="00D346EE"/>
    <w:rsid w:val="00D349E4"/>
    <w:rsid w:val="00D34E97"/>
    <w:rsid w:val="00D35096"/>
    <w:rsid w:val="00D35206"/>
    <w:rsid w:val="00D353ED"/>
    <w:rsid w:val="00D353F5"/>
    <w:rsid w:val="00D35482"/>
    <w:rsid w:val="00D355DE"/>
    <w:rsid w:val="00D35853"/>
    <w:rsid w:val="00D359CE"/>
    <w:rsid w:val="00D35AF9"/>
    <w:rsid w:val="00D362CA"/>
    <w:rsid w:val="00D367B6"/>
    <w:rsid w:val="00D36C96"/>
    <w:rsid w:val="00D37828"/>
    <w:rsid w:val="00D37DB6"/>
    <w:rsid w:val="00D402D4"/>
    <w:rsid w:val="00D404E2"/>
    <w:rsid w:val="00D4055A"/>
    <w:rsid w:val="00D4058E"/>
    <w:rsid w:val="00D40665"/>
    <w:rsid w:val="00D4069C"/>
    <w:rsid w:val="00D40D66"/>
    <w:rsid w:val="00D41047"/>
    <w:rsid w:val="00D41675"/>
    <w:rsid w:val="00D4195F"/>
    <w:rsid w:val="00D41BA2"/>
    <w:rsid w:val="00D41E6B"/>
    <w:rsid w:val="00D4241F"/>
    <w:rsid w:val="00D42989"/>
    <w:rsid w:val="00D42A5B"/>
    <w:rsid w:val="00D42BCE"/>
    <w:rsid w:val="00D42C30"/>
    <w:rsid w:val="00D42D73"/>
    <w:rsid w:val="00D42DB6"/>
    <w:rsid w:val="00D4302A"/>
    <w:rsid w:val="00D430AA"/>
    <w:rsid w:val="00D436E8"/>
    <w:rsid w:val="00D43779"/>
    <w:rsid w:val="00D43D16"/>
    <w:rsid w:val="00D43EFB"/>
    <w:rsid w:val="00D43F20"/>
    <w:rsid w:val="00D44519"/>
    <w:rsid w:val="00D4454D"/>
    <w:rsid w:val="00D45213"/>
    <w:rsid w:val="00D45639"/>
    <w:rsid w:val="00D4564A"/>
    <w:rsid w:val="00D456AE"/>
    <w:rsid w:val="00D459D4"/>
    <w:rsid w:val="00D46A9C"/>
    <w:rsid w:val="00D46C3A"/>
    <w:rsid w:val="00D473B2"/>
    <w:rsid w:val="00D47490"/>
    <w:rsid w:val="00D47494"/>
    <w:rsid w:val="00D47530"/>
    <w:rsid w:val="00D47CB8"/>
    <w:rsid w:val="00D47CEC"/>
    <w:rsid w:val="00D500BB"/>
    <w:rsid w:val="00D50504"/>
    <w:rsid w:val="00D50635"/>
    <w:rsid w:val="00D508F1"/>
    <w:rsid w:val="00D509E4"/>
    <w:rsid w:val="00D510D5"/>
    <w:rsid w:val="00D5114D"/>
    <w:rsid w:val="00D5120D"/>
    <w:rsid w:val="00D51319"/>
    <w:rsid w:val="00D52082"/>
    <w:rsid w:val="00D52771"/>
    <w:rsid w:val="00D52790"/>
    <w:rsid w:val="00D5291C"/>
    <w:rsid w:val="00D52B97"/>
    <w:rsid w:val="00D52C29"/>
    <w:rsid w:val="00D53074"/>
    <w:rsid w:val="00D534EB"/>
    <w:rsid w:val="00D53AC8"/>
    <w:rsid w:val="00D5418F"/>
    <w:rsid w:val="00D542B4"/>
    <w:rsid w:val="00D5431C"/>
    <w:rsid w:val="00D543AE"/>
    <w:rsid w:val="00D54408"/>
    <w:rsid w:val="00D54AF1"/>
    <w:rsid w:val="00D54E59"/>
    <w:rsid w:val="00D54EE0"/>
    <w:rsid w:val="00D55522"/>
    <w:rsid w:val="00D5581E"/>
    <w:rsid w:val="00D56072"/>
    <w:rsid w:val="00D561F2"/>
    <w:rsid w:val="00D56A08"/>
    <w:rsid w:val="00D56A5B"/>
    <w:rsid w:val="00D56B38"/>
    <w:rsid w:val="00D56DC8"/>
    <w:rsid w:val="00D5710B"/>
    <w:rsid w:val="00D573E5"/>
    <w:rsid w:val="00D577D4"/>
    <w:rsid w:val="00D57880"/>
    <w:rsid w:val="00D57AC3"/>
    <w:rsid w:val="00D57B1A"/>
    <w:rsid w:val="00D57F31"/>
    <w:rsid w:val="00D6006D"/>
    <w:rsid w:val="00D60742"/>
    <w:rsid w:val="00D6086A"/>
    <w:rsid w:val="00D609B0"/>
    <w:rsid w:val="00D60E8D"/>
    <w:rsid w:val="00D6147E"/>
    <w:rsid w:val="00D616EA"/>
    <w:rsid w:val="00D616FE"/>
    <w:rsid w:val="00D61A15"/>
    <w:rsid w:val="00D61CC4"/>
    <w:rsid w:val="00D61F2D"/>
    <w:rsid w:val="00D62039"/>
    <w:rsid w:val="00D623EC"/>
    <w:rsid w:val="00D6291C"/>
    <w:rsid w:val="00D629B9"/>
    <w:rsid w:val="00D62F08"/>
    <w:rsid w:val="00D633CA"/>
    <w:rsid w:val="00D63700"/>
    <w:rsid w:val="00D646BB"/>
    <w:rsid w:val="00D648E0"/>
    <w:rsid w:val="00D649B0"/>
    <w:rsid w:val="00D64C26"/>
    <w:rsid w:val="00D651E3"/>
    <w:rsid w:val="00D658D0"/>
    <w:rsid w:val="00D659E6"/>
    <w:rsid w:val="00D65A95"/>
    <w:rsid w:val="00D66059"/>
    <w:rsid w:val="00D6611C"/>
    <w:rsid w:val="00D66BE6"/>
    <w:rsid w:val="00D66C2A"/>
    <w:rsid w:val="00D671B1"/>
    <w:rsid w:val="00D671B7"/>
    <w:rsid w:val="00D67C9B"/>
    <w:rsid w:val="00D67D26"/>
    <w:rsid w:val="00D7084A"/>
    <w:rsid w:val="00D7094D"/>
    <w:rsid w:val="00D70A31"/>
    <w:rsid w:val="00D70F03"/>
    <w:rsid w:val="00D70F8A"/>
    <w:rsid w:val="00D71162"/>
    <w:rsid w:val="00D71358"/>
    <w:rsid w:val="00D716F2"/>
    <w:rsid w:val="00D71B78"/>
    <w:rsid w:val="00D71CA1"/>
    <w:rsid w:val="00D71D1D"/>
    <w:rsid w:val="00D71EFE"/>
    <w:rsid w:val="00D72062"/>
    <w:rsid w:val="00D722A1"/>
    <w:rsid w:val="00D72D4F"/>
    <w:rsid w:val="00D73022"/>
    <w:rsid w:val="00D7392C"/>
    <w:rsid w:val="00D73E6A"/>
    <w:rsid w:val="00D73EA4"/>
    <w:rsid w:val="00D73F15"/>
    <w:rsid w:val="00D74367"/>
    <w:rsid w:val="00D743BE"/>
    <w:rsid w:val="00D74448"/>
    <w:rsid w:val="00D74B3E"/>
    <w:rsid w:val="00D74C2E"/>
    <w:rsid w:val="00D74CFA"/>
    <w:rsid w:val="00D75263"/>
    <w:rsid w:val="00D75999"/>
    <w:rsid w:val="00D75EC6"/>
    <w:rsid w:val="00D762DA"/>
    <w:rsid w:val="00D76E67"/>
    <w:rsid w:val="00D7779C"/>
    <w:rsid w:val="00D7793A"/>
    <w:rsid w:val="00D800EE"/>
    <w:rsid w:val="00D805E2"/>
    <w:rsid w:val="00D80C7F"/>
    <w:rsid w:val="00D810BF"/>
    <w:rsid w:val="00D81D78"/>
    <w:rsid w:val="00D81F78"/>
    <w:rsid w:val="00D82891"/>
    <w:rsid w:val="00D828CA"/>
    <w:rsid w:val="00D82C43"/>
    <w:rsid w:val="00D82F19"/>
    <w:rsid w:val="00D831A6"/>
    <w:rsid w:val="00D8323E"/>
    <w:rsid w:val="00D835E3"/>
    <w:rsid w:val="00D83907"/>
    <w:rsid w:val="00D83D80"/>
    <w:rsid w:val="00D83E36"/>
    <w:rsid w:val="00D841CA"/>
    <w:rsid w:val="00D841F1"/>
    <w:rsid w:val="00D84216"/>
    <w:rsid w:val="00D84923"/>
    <w:rsid w:val="00D84D05"/>
    <w:rsid w:val="00D8523F"/>
    <w:rsid w:val="00D8583A"/>
    <w:rsid w:val="00D8599F"/>
    <w:rsid w:val="00D859A1"/>
    <w:rsid w:val="00D85AB0"/>
    <w:rsid w:val="00D85B6A"/>
    <w:rsid w:val="00D85B75"/>
    <w:rsid w:val="00D86AC7"/>
    <w:rsid w:val="00D86F90"/>
    <w:rsid w:val="00D874D2"/>
    <w:rsid w:val="00D87530"/>
    <w:rsid w:val="00D875E7"/>
    <w:rsid w:val="00D879E9"/>
    <w:rsid w:val="00D87E07"/>
    <w:rsid w:val="00D901A5"/>
    <w:rsid w:val="00D908AB"/>
    <w:rsid w:val="00D90CD4"/>
    <w:rsid w:val="00D91269"/>
    <w:rsid w:val="00D91582"/>
    <w:rsid w:val="00D91614"/>
    <w:rsid w:val="00D91B57"/>
    <w:rsid w:val="00D91ECB"/>
    <w:rsid w:val="00D91FAC"/>
    <w:rsid w:val="00D92118"/>
    <w:rsid w:val="00D926B6"/>
    <w:rsid w:val="00D92732"/>
    <w:rsid w:val="00D9280D"/>
    <w:rsid w:val="00D92CA5"/>
    <w:rsid w:val="00D92D01"/>
    <w:rsid w:val="00D92DF1"/>
    <w:rsid w:val="00D93564"/>
    <w:rsid w:val="00D93C04"/>
    <w:rsid w:val="00D93E9F"/>
    <w:rsid w:val="00D94A5C"/>
    <w:rsid w:val="00D94CB5"/>
    <w:rsid w:val="00D94D39"/>
    <w:rsid w:val="00D9566E"/>
    <w:rsid w:val="00D95881"/>
    <w:rsid w:val="00D95949"/>
    <w:rsid w:val="00D95A8A"/>
    <w:rsid w:val="00D95C7C"/>
    <w:rsid w:val="00D95EEB"/>
    <w:rsid w:val="00D962A2"/>
    <w:rsid w:val="00D96542"/>
    <w:rsid w:val="00D96910"/>
    <w:rsid w:val="00D96A1E"/>
    <w:rsid w:val="00D96EC4"/>
    <w:rsid w:val="00D9726B"/>
    <w:rsid w:val="00D974A0"/>
    <w:rsid w:val="00D976C4"/>
    <w:rsid w:val="00D97758"/>
    <w:rsid w:val="00D97B78"/>
    <w:rsid w:val="00D97DE6"/>
    <w:rsid w:val="00DA0243"/>
    <w:rsid w:val="00DA03CD"/>
    <w:rsid w:val="00DA0543"/>
    <w:rsid w:val="00DA0BB3"/>
    <w:rsid w:val="00DA1152"/>
    <w:rsid w:val="00DA136A"/>
    <w:rsid w:val="00DA157D"/>
    <w:rsid w:val="00DA1C99"/>
    <w:rsid w:val="00DA1E89"/>
    <w:rsid w:val="00DA2454"/>
    <w:rsid w:val="00DA318A"/>
    <w:rsid w:val="00DA32CE"/>
    <w:rsid w:val="00DA3FE3"/>
    <w:rsid w:val="00DA47C4"/>
    <w:rsid w:val="00DA4C9C"/>
    <w:rsid w:val="00DA4CC3"/>
    <w:rsid w:val="00DA55A2"/>
    <w:rsid w:val="00DA56DE"/>
    <w:rsid w:val="00DA61DC"/>
    <w:rsid w:val="00DA630F"/>
    <w:rsid w:val="00DA6B1E"/>
    <w:rsid w:val="00DA7013"/>
    <w:rsid w:val="00DA729A"/>
    <w:rsid w:val="00DA7940"/>
    <w:rsid w:val="00DA7CD6"/>
    <w:rsid w:val="00DA7D43"/>
    <w:rsid w:val="00DB031A"/>
    <w:rsid w:val="00DB08FD"/>
    <w:rsid w:val="00DB0916"/>
    <w:rsid w:val="00DB0BA3"/>
    <w:rsid w:val="00DB0DE0"/>
    <w:rsid w:val="00DB0E4C"/>
    <w:rsid w:val="00DB0F06"/>
    <w:rsid w:val="00DB0FF8"/>
    <w:rsid w:val="00DB13E2"/>
    <w:rsid w:val="00DB16DC"/>
    <w:rsid w:val="00DB1AF3"/>
    <w:rsid w:val="00DB1D26"/>
    <w:rsid w:val="00DB2575"/>
    <w:rsid w:val="00DB273D"/>
    <w:rsid w:val="00DB28A6"/>
    <w:rsid w:val="00DB2C06"/>
    <w:rsid w:val="00DB2FED"/>
    <w:rsid w:val="00DB3366"/>
    <w:rsid w:val="00DB3486"/>
    <w:rsid w:val="00DB3D42"/>
    <w:rsid w:val="00DB3EA7"/>
    <w:rsid w:val="00DB4063"/>
    <w:rsid w:val="00DB4565"/>
    <w:rsid w:val="00DB457F"/>
    <w:rsid w:val="00DB46B3"/>
    <w:rsid w:val="00DB47CB"/>
    <w:rsid w:val="00DB481D"/>
    <w:rsid w:val="00DB4970"/>
    <w:rsid w:val="00DB4EE1"/>
    <w:rsid w:val="00DB547F"/>
    <w:rsid w:val="00DB5B8B"/>
    <w:rsid w:val="00DB5D69"/>
    <w:rsid w:val="00DB7006"/>
    <w:rsid w:val="00DB7406"/>
    <w:rsid w:val="00DB74AD"/>
    <w:rsid w:val="00DB74FE"/>
    <w:rsid w:val="00DC0A01"/>
    <w:rsid w:val="00DC0E02"/>
    <w:rsid w:val="00DC0EF6"/>
    <w:rsid w:val="00DC108C"/>
    <w:rsid w:val="00DC14EF"/>
    <w:rsid w:val="00DC17C5"/>
    <w:rsid w:val="00DC185A"/>
    <w:rsid w:val="00DC1ABF"/>
    <w:rsid w:val="00DC1FB6"/>
    <w:rsid w:val="00DC2953"/>
    <w:rsid w:val="00DC2D7B"/>
    <w:rsid w:val="00DC3635"/>
    <w:rsid w:val="00DC371A"/>
    <w:rsid w:val="00DC4AFD"/>
    <w:rsid w:val="00DC4C16"/>
    <w:rsid w:val="00DC4C50"/>
    <w:rsid w:val="00DC4C5C"/>
    <w:rsid w:val="00DC500E"/>
    <w:rsid w:val="00DC54AC"/>
    <w:rsid w:val="00DC556C"/>
    <w:rsid w:val="00DC5C39"/>
    <w:rsid w:val="00DC6463"/>
    <w:rsid w:val="00DC646B"/>
    <w:rsid w:val="00DC668A"/>
    <w:rsid w:val="00DC6997"/>
    <w:rsid w:val="00DC69D9"/>
    <w:rsid w:val="00DC6A05"/>
    <w:rsid w:val="00DC6BC0"/>
    <w:rsid w:val="00DC6FE1"/>
    <w:rsid w:val="00DC7AEE"/>
    <w:rsid w:val="00DC7B15"/>
    <w:rsid w:val="00DC7DE2"/>
    <w:rsid w:val="00DD03C2"/>
    <w:rsid w:val="00DD05C5"/>
    <w:rsid w:val="00DD0726"/>
    <w:rsid w:val="00DD12FD"/>
    <w:rsid w:val="00DD172A"/>
    <w:rsid w:val="00DD18F9"/>
    <w:rsid w:val="00DD1A0F"/>
    <w:rsid w:val="00DD21D1"/>
    <w:rsid w:val="00DD2520"/>
    <w:rsid w:val="00DD2D29"/>
    <w:rsid w:val="00DD2FB9"/>
    <w:rsid w:val="00DD32CF"/>
    <w:rsid w:val="00DD38DD"/>
    <w:rsid w:val="00DD3D31"/>
    <w:rsid w:val="00DD40B1"/>
    <w:rsid w:val="00DD4191"/>
    <w:rsid w:val="00DD4282"/>
    <w:rsid w:val="00DD43CC"/>
    <w:rsid w:val="00DD44E7"/>
    <w:rsid w:val="00DD4576"/>
    <w:rsid w:val="00DD465D"/>
    <w:rsid w:val="00DD4889"/>
    <w:rsid w:val="00DD4A34"/>
    <w:rsid w:val="00DD52B5"/>
    <w:rsid w:val="00DD55D7"/>
    <w:rsid w:val="00DD5789"/>
    <w:rsid w:val="00DD600F"/>
    <w:rsid w:val="00DD6286"/>
    <w:rsid w:val="00DD6487"/>
    <w:rsid w:val="00DD7001"/>
    <w:rsid w:val="00DD70D9"/>
    <w:rsid w:val="00DD755E"/>
    <w:rsid w:val="00DD7C25"/>
    <w:rsid w:val="00DE0698"/>
    <w:rsid w:val="00DE06A1"/>
    <w:rsid w:val="00DE0704"/>
    <w:rsid w:val="00DE0726"/>
    <w:rsid w:val="00DE0C1F"/>
    <w:rsid w:val="00DE0C5E"/>
    <w:rsid w:val="00DE11C2"/>
    <w:rsid w:val="00DE1D84"/>
    <w:rsid w:val="00DE1DC6"/>
    <w:rsid w:val="00DE2054"/>
    <w:rsid w:val="00DE251A"/>
    <w:rsid w:val="00DE25EB"/>
    <w:rsid w:val="00DE2BD7"/>
    <w:rsid w:val="00DE2EDC"/>
    <w:rsid w:val="00DE2FE2"/>
    <w:rsid w:val="00DE334E"/>
    <w:rsid w:val="00DE37A3"/>
    <w:rsid w:val="00DE39BD"/>
    <w:rsid w:val="00DE3BD9"/>
    <w:rsid w:val="00DE40DE"/>
    <w:rsid w:val="00DE4605"/>
    <w:rsid w:val="00DE461D"/>
    <w:rsid w:val="00DE48D9"/>
    <w:rsid w:val="00DE4BBB"/>
    <w:rsid w:val="00DE4C08"/>
    <w:rsid w:val="00DE52E8"/>
    <w:rsid w:val="00DE537D"/>
    <w:rsid w:val="00DE5704"/>
    <w:rsid w:val="00DE5AFE"/>
    <w:rsid w:val="00DE5BF6"/>
    <w:rsid w:val="00DE657E"/>
    <w:rsid w:val="00DE67A6"/>
    <w:rsid w:val="00DE6C53"/>
    <w:rsid w:val="00DE715F"/>
    <w:rsid w:val="00DE71DE"/>
    <w:rsid w:val="00DE759A"/>
    <w:rsid w:val="00DE798B"/>
    <w:rsid w:val="00DE7D1A"/>
    <w:rsid w:val="00DF016F"/>
    <w:rsid w:val="00DF08A3"/>
    <w:rsid w:val="00DF096F"/>
    <w:rsid w:val="00DF0A65"/>
    <w:rsid w:val="00DF0DD3"/>
    <w:rsid w:val="00DF0E0E"/>
    <w:rsid w:val="00DF0E81"/>
    <w:rsid w:val="00DF0E85"/>
    <w:rsid w:val="00DF10A0"/>
    <w:rsid w:val="00DF120D"/>
    <w:rsid w:val="00DF185B"/>
    <w:rsid w:val="00DF192F"/>
    <w:rsid w:val="00DF1A1B"/>
    <w:rsid w:val="00DF1BF7"/>
    <w:rsid w:val="00DF1D35"/>
    <w:rsid w:val="00DF1DCA"/>
    <w:rsid w:val="00DF286A"/>
    <w:rsid w:val="00DF2C02"/>
    <w:rsid w:val="00DF302D"/>
    <w:rsid w:val="00DF3098"/>
    <w:rsid w:val="00DF3548"/>
    <w:rsid w:val="00DF37B2"/>
    <w:rsid w:val="00DF3E20"/>
    <w:rsid w:val="00DF460D"/>
    <w:rsid w:val="00DF464B"/>
    <w:rsid w:val="00DF49CA"/>
    <w:rsid w:val="00DF4C42"/>
    <w:rsid w:val="00DF4F4F"/>
    <w:rsid w:val="00DF53F5"/>
    <w:rsid w:val="00DF5758"/>
    <w:rsid w:val="00DF5793"/>
    <w:rsid w:val="00DF599B"/>
    <w:rsid w:val="00DF5A94"/>
    <w:rsid w:val="00DF5B11"/>
    <w:rsid w:val="00DF681E"/>
    <w:rsid w:val="00DF7423"/>
    <w:rsid w:val="00DF75EB"/>
    <w:rsid w:val="00DF768A"/>
    <w:rsid w:val="00DF7808"/>
    <w:rsid w:val="00DF7C0A"/>
    <w:rsid w:val="00DF7D66"/>
    <w:rsid w:val="00DF7F19"/>
    <w:rsid w:val="00E00222"/>
    <w:rsid w:val="00E003C5"/>
    <w:rsid w:val="00E0120A"/>
    <w:rsid w:val="00E0146D"/>
    <w:rsid w:val="00E01C38"/>
    <w:rsid w:val="00E01D05"/>
    <w:rsid w:val="00E01E6A"/>
    <w:rsid w:val="00E021B3"/>
    <w:rsid w:val="00E02415"/>
    <w:rsid w:val="00E02C0C"/>
    <w:rsid w:val="00E02C41"/>
    <w:rsid w:val="00E0316D"/>
    <w:rsid w:val="00E032FE"/>
    <w:rsid w:val="00E033A1"/>
    <w:rsid w:val="00E03A92"/>
    <w:rsid w:val="00E03B8A"/>
    <w:rsid w:val="00E03BC3"/>
    <w:rsid w:val="00E03C79"/>
    <w:rsid w:val="00E03D4B"/>
    <w:rsid w:val="00E044CC"/>
    <w:rsid w:val="00E04619"/>
    <w:rsid w:val="00E04F22"/>
    <w:rsid w:val="00E0502A"/>
    <w:rsid w:val="00E054CC"/>
    <w:rsid w:val="00E05BE2"/>
    <w:rsid w:val="00E05E58"/>
    <w:rsid w:val="00E06333"/>
    <w:rsid w:val="00E067AC"/>
    <w:rsid w:val="00E0686F"/>
    <w:rsid w:val="00E06B1E"/>
    <w:rsid w:val="00E06CAA"/>
    <w:rsid w:val="00E06DB1"/>
    <w:rsid w:val="00E075C0"/>
    <w:rsid w:val="00E107BA"/>
    <w:rsid w:val="00E10ABF"/>
    <w:rsid w:val="00E10B27"/>
    <w:rsid w:val="00E111F6"/>
    <w:rsid w:val="00E112B2"/>
    <w:rsid w:val="00E12057"/>
    <w:rsid w:val="00E12513"/>
    <w:rsid w:val="00E126D8"/>
    <w:rsid w:val="00E13265"/>
    <w:rsid w:val="00E13420"/>
    <w:rsid w:val="00E13460"/>
    <w:rsid w:val="00E135AF"/>
    <w:rsid w:val="00E13701"/>
    <w:rsid w:val="00E13B27"/>
    <w:rsid w:val="00E13CC2"/>
    <w:rsid w:val="00E141B7"/>
    <w:rsid w:val="00E14415"/>
    <w:rsid w:val="00E1462F"/>
    <w:rsid w:val="00E148F7"/>
    <w:rsid w:val="00E149D6"/>
    <w:rsid w:val="00E14F8C"/>
    <w:rsid w:val="00E15160"/>
    <w:rsid w:val="00E151DE"/>
    <w:rsid w:val="00E153F3"/>
    <w:rsid w:val="00E154B4"/>
    <w:rsid w:val="00E156D6"/>
    <w:rsid w:val="00E15CFB"/>
    <w:rsid w:val="00E16579"/>
    <w:rsid w:val="00E1669D"/>
    <w:rsid w:val="00E16762"/>
    <w:rsid w:val="00E167B2"/>
    <w:rsid w:val="00E17100"/>
    <w:rsid w:val="00E17A3C"/>
    <w:rsid w:val="00E17C0E"/>
    <w:rsid w:val="00E2085C"/>
    <w:rsid w:val="00E20A94"/>
    <w:rsid w:val="00E21039"/>
    <w:rsid w:val="00E218D0"/>
    <w:rsid w:val="00E21A5F"/>
    <w:rsid w:val="00E22048"/>
    <w:rsid w:val="00E2281C"/>
    <w:rsid w:val="00E22A7B"/>
    <w:rsid w:val="00E22B79"/>
    <w:rsid w:val="00E22D55"/>
    <w:rsid w:val="00E2387D"/>
    <w:rsid w:val="00E24109"/>
    <w:rsid w:val="00E242C5"/>
    <w:rsid w:val="00E24E0F"/>
    <w:rsid w:val="00E24E5C"/>
    <w:rsid w:val="00E24F26"/>
    <w:rsid w:val="00E25165"/>
    <w:rsid w:val="00E255B8"/>
    <w:rsid w:val="00E25811"/>
    <w:rsid w:val="00E26BA8"/>
    <w:rsid w:val="00E27269"/>
    <w:rsid w:val="00E301B9"/>
    <w:rsid w:val="00E303D8"/>
    <w:rsid w:val="00E3093B"/>
    <w:rsid w:val="00E30E03"/>
    <w:rsid w:val="00E312C4"/>
    <w:rsid w:val="00E31532"/>
    <w:rsid w:val="00E315A6"/>
    <w:rsid w:val="00E317BC"/>
    <w:rsid w:val="00E31A27"/>
    <w:rsid w:val="00E31EE1"/>
    <w:rsid w:val="00E320C8"/>
    <w:rsid w:val="00E32512"/>
    <w:rsid w:val="00E32683"/>
    <w:rsid w:val="00E32791"/>
    <w:rsid w:val="00E32A79"/>
    <w:rsid w:val="00E332F0"/>
    <w:rsid w:val="00E33AFC"/>
    <w:rsid w:val="00E34166"/>
    <w:rsid w:val="00E34286"/>
    <w:rsid w:val="00E34360"/>
    <w:rsid w:val="00E34600"/>
    <w:rsid w:val="00E34AE1"/>
    <w:rsid w:val="00E35015"/>
    <w:rsid w:val="00E351B7"/>
    <w:rsid w:val="00E35217"/>
    <w:rsid w:val="00E35504"/>
    <w:rsid w:val="00E358F1"/>
    <w:rsid w:val="00E36559"/>
    <w:rsid w:val="00E36689"/>
    <w:rsid w:val="00E36975"/>
    <w:rsid w:val="00E3712B"/>
    <w:rsid w:val="00E37642"/>
    <w:rsid w:val="00E37849"/>
    <w:rsid w:val="00E37B1B"/>
    <w:rsid w:val="00E37D36"/>
    <w:rsid w:val="00E40363"/>
    <w:rsid w:val="00E40471"/>
    <w:rsid w:val="00E40A15"/>
    <w:rsid w:val="00E4106A"/>
    <w:rsid w:val="00E4131E"/>
    <w:rsid w:val="00E417A2"/>
    <w:rsid w:val="00E41825"/>
    <w:rsid w:val="00E418AE"/>
    <w:rsid w:val="00E419B6"/>
    <w:rsid w:val="00E41ADC"/>
    <w:rsid w:val="00E41D21"/>
    <w:rsid w:val="00E41D6B"/>
    <w:rsid w:val="00E41E38"/>
    <w:rsid w:val="00E420B6"/>
    <w:rsid w:val="00E4214B"/>
    <w:rsid w:val="00E4249D"/>
    <w:rsid w:val="00E427FE"/>
    <w:rsid w:val="00E42866"/>
    <w:rsid w:val="00E42FDA"/>
    <w:rsid w:val="00E43A8E"/>
    <w:rsid w:val="00E43C71"/>
    <w:rsid w:val="00E43D43"/>
    <w:rsid w:val="00E44836"/>
    <w:rsid w:val="00E44AE4"/>
    <w:rsid w:val="00E44DAF"/>
    <w:rsid w:val="00E44E48"/>
    <w:rsid w:val="00E45105"/>
    <w:rsid w:val="00E45396"/>
    <w:rsid w:val="00E45C6C"/>
    <w:rsid w:val="00E45CF1"/>
    <w:rsid w:val="00E4601D"/>
    <w:rsid w:val="00E464CC"/>
    <w:rsid w:val="00E468B3"/>
    <w:rsid w:val="00E46A43"/>
    <w:rsid w:val="00E46C12"/>
    <w:rsid w:val="00E47E48"/>
    <w:rsid w:val="00E47FBF"/>
    <w:rsid w:val="00E503E4"/>
    <w:rsid w:val="00E5068E"/>
    <w:rsid w:val="00E506E6"/>
    <w:rsid w:val="00E507BB"/>
    <w:rsid w:val="00E50C5E"/>
    <w:rsid w:val="00E5105C"/>
    <w:rsid w:val="00E5134E"/>
    <w:rsid w:val="00E51759"/>
    <w:rsid w:val="00E52308"/>
    <w:rsid w:val="00E52CCF"/>
    <w:rsid w:val="00E52DBD"/>
    <w:rsid w:val="00E5348F"/>
    <w:rsid w:val="00E5359A"/>
    <w:rsid w:val="00E53728"/>
    <w:rsid w:val="00E53F7F"/>
    <w:rsid w:val="00E54258"/>
    <w:rsid w:val="00E54282"/>
    <w:rsid w:val="00E547A2"/>
    <w:rsid w:val="00E54862"/>
    <w:rsid w:val="00E549FF"/>
    <w:rsid w:val="00E550C5"/>
    <w:rsid w:val="00E5525F"/>
    <w:rsid w:val="00E553C5"/>
    <w:rsid w:val="00E55A7B"/>
    <w:rsid w:val="00E55A98"/>
    <w:rsid w:val="00E55B83"/>
    <w:rsid w:val="00E56CDE"/>
    <w:rsid w:val="00E56D6D"/>
    <w:rsid w:val="00E56EC1"/>
    <w:rsid w:val="00E570C0"/>
    <w:rsid w:val="00E57138"/>
    <w:rsid w:val="00E575CA"/>
    <w:rsid w:val="00E57740"/>
    <w:rsid w:val="00E57ACE"/>
    <w:rsid w:val="00E57B06"/>
    <w:rsid w:val="00E57BBB"/>
    <w:rsid w:val="00E57CC6"/>
    <w:rsid w:val="00E602B3"/>
    <w:rsid w:val="00E6074D"/>
    <w:rsid w:val="00E60A76"/>
    <w:rsid w:val="00E60ECD"/>
    <w:rsid w:val="00E610E3"/>
    <w:rsid w:val="00E614B7"/>
    <w:rsid w:val="00E615D1"/>
    <w:rsid w:val="00E61856"/>
    <w:rsid w:val="00E61ADA"/>
    <w:rsid w:val="00E6208B"/>
    <w:rsid w:val="00E62417"/>
    <w:rsid w:val="00E625EA"/>
    <w:rsid w:val="00E627BA"/>
    <w:rsid w:val="00E62858"/>
    <w:rsid w:val="00E62884"/>
    <w:rsid w:val="00E62DE6"/>
    <w:rsid w:val="00E62FD3"/>
    <w:rsid w:val="00E630C5"/>
    <w:rsid w:val="00E639AC"/>
    <w:rsid w:val="00E63BA0"/>
    <w:rsid w:val="00E63C2F"/>
    <w:rsid w:val="00E63CC9"/>
    <w:rsid w:val="00E6411E"/>
    <w:rsid w:val="00E64263"/>
    <w:rsid w:val="00E64F62"/>
    <w:rsid w:val="00E65109"/>
    <w:rsid w:val="00E651F6"/>
    <w:rsid w:val="00E65222"/>
    <w:rsid w:val="00E65391"/>
    <w:rsid w:val="00E6614B"/>
    <w:rsid w:val="00E66BAE"/>
    <w:rsid w:val="00E6711C"/>
    <w:rsid w:val="00E67262"/>
    <w:rsid w:val="00E67310"/>
    <w:rsid w:val="00E67D09"/>
    <w:rsid w:val="00E67EC3"/>
    <w:rsid w:val="00E70560"/>
    <w:rsid w:val="00E7064C"/>
    <w:rsid w:val="00E7076F"/>
    <w:rsid w:val="00E708E2"/>
    <w:rsid w:val="00E708FE"/>
    <w:rsid w:val="00E70A58"/>
    <w:rsid w:val="00E70D25"/>
    <w:rsid w:val="00E7119C"/>
    <w:rsid w:val="00E71543"/>
    <w:rsid w:val="00E715FD"/>
    <w:rsid w:val="00E71B2C"/>
    <w:rsid w:val="00E71B8A"/>
    <w:rsid w:val="00E72803"/>
    <w:rsid w:val="00E73256"/>
    <w:rsid w:val="00E7358F"/>
    <w:rsid w:val="00E7371E"/>
    <w:rsid w:val="00E737FC"/>
    <w:rsid w:val="00E73B13"/>
    <w:rsid w:val="00E73C79"/>
    <w:rsid w:val="00E7418D"/>
    <w:rsid w:val="00E7444E"/>
    <w:rsid w:val="00E74957"/>
    <w:rsid w:val="00E74AD1"/>
    <w:rsid w:val="00E74C9A"/>
    <w:rsid w:val="00E74CBC"/>
    <w:rsid w:val="00E74EF0"/>
    <w:rsid w:val="00E74F95"/>
    <w:rsid w:val="00E75557"/>
    <w:rsid w:val="00E75576"/>
    <w:rsid w:val="00E7564A"/>
    <w:rsid w:val="00E75761"/>
    <w:rsid w:val="00E75BC7"/>
    <w:rsid w:val="00E7638E"/>
    <w:rsid w:val="00E77085"/>
    <w:rsid w:val="00E771F1"/>
    <w:rsid w:val="00E77612"/>
    <w:rsid w:val="00E77F87"/>
    <w:rsid w:val="00E800D8"/>
    <w:rsid w:val="00E8019B"/>
    <w:rsid w:val="00E8033B"/>
    <w:rsid w:val="00E8073B"/>
    <w:rsid w:val="00E80980"/>
    <w:rsid w:val="00E809E9"/>
    <w:rsid w:val="00E80F25"/>
    <w:rsid w:val="00E80F5A"/>
    <w:rsid w:val="00E81196"/>
    <w:rsid w:val="00E81225"/>
    <w:rsid w:val="00E81329"/>
    <w:rsid w:val="00E81521"/>
    <w:rsid w:val="00E81D40"/>
    <w:rsid w:val="00E822C7"/>
    <w:rsid w:val="00E8238D"/>
    <w:rsid w:val="00E82EEB"/>
    <w:rsid w:val="00E832DF"/>
    <w:rsid w:val="00E8369C"/>
    <w:rsid w:val="00E83831"/>
    <w:rsid w:val="00E8392F"/>
    <w:rsid w:val="00E83A1F"/>
    <w:rsid w:val="00E83DA4"/>
    <w:rsid w:val="00E841A5"/>
    <w:rsid w:val="00E847F5"/>
    <w:rsid w:val="00E848F6"/>
    <w:rsid w:val="00E84C9C"/>
    <w:rsid w:val="00E84EFB"/>
    <w:rsid w:val="00E85606"/>
    <w:rsid w:val="00E86454"/>
    <w:rsid w:val="00E86819"/>
    <w:rsid w:val="00E87176"/>
    <w:rsid w:val="00E8751D"/>
    <w:rsid w:val="00E878E0"/>
    <w:rsid w:val="00E8798C"/>
    <w:rsid w:val="00E87B19"/>
    <w:rsid w:val="00E87D61"/>
    <w:rsid w:val="00E901BE"/>
    <w:rsid w:val="00E90B25"/>
    <w:rsid w:val="00E90C79"/>
    <w:rsid w:val="00E9128C"/>
    <w:rsid w:val="00E915AB"/>
    <w:rsid w:val="00E925FD"/>
    <w:rsid w:val="00E927EB"/>
    <w:rsid w:val="00E9283C"/>
    <w:rsid w:val="00E93B22"/>
    <w:rsid w:val="00E94AB3"/>
    <w:rsid w:val="00E9509A"/>
    <w:rsid w:val="00E95317"/>
    <w:rsid w:val="00E9598B"/>
    <w:rsid w:val="00E95B08"/>
    <w:rsid w:val="00E95B0D"/>
    <w:rsid w:val="00E95CFC"/>
    <w:rsid w:val="00E95FB7"/>
    <w:rsid w:val="00E961E6"/>
    <w:rsid w:val="00E966E9"/>
    <w:rsid w:val="00E968D0"/>
    <w:rsid w:val="00E96C06"/>
    <w:rsid w:val="00E96CC4"/>
    <w:rsid w:val="00E970CA"/>
    <w:rsid w:val="00E97228"/>
    <w:rsid w:val="00E9790B"/>
    <w:rsid w:val="00E979D5"/>
    <w:rsid w:val="00E97D2C"/>
    <w:rsid w:val="00E97F1F"/>
    <w:rsid w:val="00E97F8B"/>
    <w:rsid w:val="00E97FBC"/>
    <w:rsid w:val="00EA04CB"/>
    <w:rsid w:val="00EA0832"/>
    <w:rsid w:val="00EA09DA"/>
    <w:rsid w:val="00EA0C86"/>
    <w:rsid w:val="00EA14EB"/>
    <w:rsid w:val="00EA1818"/>
    <w:rsid w:val="00EA19E2"/>
    <w:rsid w:val="00EA1EA1"/>
    <w:rsid w:val="00EA21BE"/>
    <w:rsid w:val="00EA2408"/>
    <w:rsid w:val="00EA2E56"/>
    <w:rsid w:val="00EA3448"/>
    <w:rsid w:val="00EA370B"/>
    <w:rsid w:val="00EA386B"/>
    <w:rsid w:val="00EA3A9A"/>
    <w:rsid w:val="00EA3F4A"/>
    <w:rsid w:val="00EA4623"/>
    <w:rsid w:val="00EA4B55"/>
    <w:rsid w:val="00EA4C89"/>
    <w:rsid w:val="00EA4DC2"/>
    <w:rsid w:val="00EA50E8"/>
    <w:rsid w:val="00EA56DF"/>
    <w:rsid w:val="00EA5980"/>
    <w:rsid w:val="00EA5A58"/>
    <w:rsid w:val="00EA5B10"/>
    <w:rsid w:val="00EA6A48"/>
    <w:rsid w:val="00EA6DC0"/>
    <w:rsid w:val="00EA6F9F"/>
    <w:rsid w:val="00EA71F2"/>
    <w:rsid w:val="00EA7513"/>
    <w:rsid w:val="00EA763C"/>
    <w:rsid w:val="00EA7D28"/>
    <w:rsid w:val="00EA7EDB"/>
    <w:rsid w:val="00EB056A"/>
    <w:rsid w:val="00EB0616"/>
    <w:rsid w:val="00EB0875"/>
    <w:rsid w:val="00EB0BF6"/>
    <w:rsid w:val="00EB12A1"/>
    <w:rsid w:val="00EB12DC"/>
    <w:rsid w:val="00EB1919"/>
    <w:rsid w:val="00EB1C2D"/>
    <w:rsid w:val="00EB1F8F"/>
    <w:rsid w:val="00EB20DB"/>
    <w:rsid w:val="00EB2284"/>
    <w:rsid w:val="00EB2332"/>
    <w:rsid w:val="00EB250A"/>
    <w:rsid w:val="00EB2B24"/>
    <w:rsid w:val="00EB2B7B"/>
    <w:rsid w:val="00EB2F5A"/>
    <w:rsid w:val="00EB3159"/>
    <w:rsid w:val="00EB326D"/>
    <w:rsid w:val="00EB3B1A"/>
    <w:rsid w:val="00EB3C21"/>
    <w:rsid w:val="00EB3D24"/>
    <w:rsid w:val="00EB45A9"/>
    <w:rsid w:val="00EB5917"/>
    <w:rsid w:val="00EB5D91"/>
    <w:rsid w:val="00EB5E47"/>
    <w:rsid w:val="00EB62C7"/>
    <w:rsid w:val="00EB62F4"/>
    <w:rsid w:val="00EB65A6"/>
    <w:rsid w:val="00EB6B00"/>
    <w:rsid w:val="00EB6B22"/>
    <w:rsid w:val="00EB6DAA"/>
    <w:rsid w:val="00EB7490"/>
    <w:rsid w:val="00EB7813"/>
    <w:rsid w:val="00EB7FB1"/>
    <w:rsid w:val="00EB7FED"/>
    <w:rsid w:val="00EC0268"/>
    <w:rsid w:val="00EC0567"/>
    <w:rsid w:val="00EC093F"/>
    <w:rsid w:val="00EC0B00"/>
    <w:rsid w:val="00EC0E21"/>
    <w:rsid w:val="00EC13B6"/>
    <w:rsid w:val="00EC1A38"/>
    <w:rsid w:val="00EC2423"/>
    <w:rsid w:val="00EC2647"/>
    <w:rsid w:val="00EC28E1"/>
    <w:rsid w:val="00EC32FE"/>
    <w:rsid w:val="00EC33FA"/>
    <w:rsid w:val="00EC3465"/>
    <w:rsid w:val="00EC48DC"/>
    <w:rsid w:val="00EC4C9E"/>
    <w:rsid w:val="00EC4F7B"/>
    <w:rsid w:val="00EC5313"/>
    <w:rsid w:val="00EC56B0"/>
    <w:rsid w:val="00EC5AEF"/>
    <w:rsid w:val="00EC5D2E"/>
    <w:rsid w:val="00EC6240"/>
    <w:rsid w:val="00EC6462"/>
    <w:rsid w:val="00EC67AB"/>
    <w:rsid w:val="00EC6861"/>
    <w:rsid w:val="00EC6D1F"/>
    <w:rsid w:val="00EC6E17"/>
    <w:rsid w:val="00EC7250"/>
    <w:rsid w:val="00EC7A7E"/>
    <w:rsid w:val="00EC7DD0"/>
    <w:rsid w:val="00ED00A0"/>
    <w:rsid w:val="00ED00FE"/>
    <w:rsid w:val="00ED0165"/>
    <w:rsid w:val="00ED0837"/>
    <w:rsid w:val="00ED0A2F"/>
    <w:rsid w:val="00ED0C05"/>
    <w:rsid w:val="00ED0F11"/>
    <w:rsid w:val="00ED1024"/>
    <w:rsid w:val="00ED1D58"/>
    <w:rsid w:val="00ED2051"/>
    <w:rsid w:val="00ED2412"/>
    <w:rsid w:val="00ED27A2"/>
    <w:rsid w:val="00ED3152"/>
    <w:rsid w:val="00ED3832"/>
    <w:rsid w:val="00ED3C7B"/>
    <w:rsid w:val="00ED4510"/>
    <w:rsid w:val="00ED4808"/>
    <w:rsid w:val="00ED5296"/>
    <w:rsid w:val="00ED538C"/>
    <w:rsid w:val="00ED545A"/>
    <w:rsid w:val="00ED5942"/>
    <w:rsid w:val="00ED5F5A"/>
    <w:rsid w:val="00ED6154"/>
    <w:rsid w:val="00ED6A67"/>
    <w:rsid w:val="00ED6DC3"/>
    <w:rsid w:val="00ED6FDE"/>
    <w:rsid w:val="00ED708F"/>
    <w:rsid w:val="00ED70A3"/>
    <w:rsid w:val="00ED7406"/>
    <w:rsid w:val="00EE01CF"/>
    <w:rsid w:val="00EE0809"/>
    <w:rsid w:val="00EE0AF4"/>
    <w:rsid w:val="00EE0BE9"/>
    <w:rsid w:val="00EE0CBA"/>
    <w:rsid w:val="00EE10DC"/>
    <w:rsid w:val="00EE1210"/>
    <w:rsid w:val="00EE1243"/>
    <w:rsid w:val="00EE1282"/>
    <w:rsid w:val="00EE15A0"/>
    <w:rsid w:val="00EE15C5"/>
    <w:rsid w:val="00EE217D"/>
    <w:rsid w:val="00EE21AC"/>
    <w:rsid w:val="00EE3AEA"/>
    <w:rsid w:val="00EE3CAE"/>
    <w:rsid w:val="00EE42D9"/>
    <w:rsid w:val="00EE49FB"/>
    <w:rsid w:val="00EE50E2"/>
    <w:rsid w:val="00EE5138"/>
    <w:rsid w:val="00EE5251"/>
    <w:rsid w:val="00EE536A"/>
    <w:rsid w:val="00EE5D65"/>
    <w:rsid w:val="00EE5D82"/>
    <w:rsid w:val="00EE65AB"/>
    <w:rsid w:val="00EE6672"/>
    <w:rsid w:val="00EE684E"/>
    <w:rsid w:val="00EE6FBD"/>
    <w:rsid w:val="00EE739C"/>
    <w:rsid w:val="00EF00CE"/>
    <w:rsid w:val="00EF0518"/>
    <w:rsid w:val="00EF09CF"/>
    <w:rsid w:val="00EF1234"/>
    <w:rsid w:val="00EF1382"/>
    <w:rsid w:val="00EF1BF2"/>
    <w:rsid w:val="00EF1C32"/>
    <w:rsid w:val="00EF1DC6"/>
    <w:rsid w:val="00EF216E"/>
    <w:rsid w:val="00EF2EB4"/>
    <w:rsid w:val="00EF2F38"/>
    <w:rsid w:val="00EF322E"/>
    <w:rsid w:val="00EF3631"/>
    <w:rsid w:val="00EF375A"/>
    <w:rsid w:val="00EF3F2B"/>
    <w:rsid w:val="00EF3FE5"/>
    <w:rsid w:val="00EF439D"/>
    <w:rsid w:val="00EF4784"/>
    <w:rsid w:val="00EF4A2D"/>
    <w:rsid w:val="00EF4A8B"/>
    <w:rsid w:val="00EF4E58"/>
    <w:rsid w:val="00EF5217"/>
    <w:rsid w:val="00EF542D"/>
    <w:rsid w:val="00EF5728"/>
    <w:rsid w:val="00EF6060"/>
    <w:rsid w:val="00EF61E9"/>
    <w:rsid w:val="00EF6326"/>
    <w:rsid w:val="00EF69D3"/>
    <w:rsid w:val="00EF6A2A"/>
    <w:rsid w:val="00EF6D85"/>
    <w:rsid w:val="00EF72B6"/>
    <w:rsid w:val="00EF752B"/>
    <w:rsid w:val="00EF76FF"/>
    <w:rsid w:val="00EF796E"/>
    <w:rsid w:val="00EF7AC2"/>
    <w:rsid w:val="00F00057"/>
    <w:rsid w:val="00F00291"/>
    <w:rsid w:val="00F006F2"/>
    <w:rsid w:val="00F00CEF"/>
    <w:rsid w:val="00F00E6A"/>
    <w:rsid w:val="00F01D0D"/>
    <w:rsid w:val="00F01D6B"/>
    <w:rsid w:val="00F02299"/>
    <w:rsid w:val="00F0245E"/>
    <w:rsid w:val="00F02A70"/>
    <w:rsid w:val="00F02CC3"/>
    <w:rsid w:val="00F031B6"/>
    <w:rsid w:val="00F032EF"/>
    <w:rsid w:val="00F03348"/>
    <w:rsid w:val="00F0338D"/>
    <w:rsid w:val="00F0346E"/>
    <w:rsid w:val="00F03570"/>
    <w:rsid w:val="00F03D50"/>
    <w:rsid w:val="00F03D62"/>
    <w:rsid w:val="00F04152"/>
    <w:rsid w:val="00F044B6"/>
    <w:rsid w:val="00F045A7"/>
    <w:rsid w:val="00F045B9"/>
    <w:rsid w:val="00F0492C"/>
    <w:rsid w:val="00F04A0C"/>
    <w:rsid w:val="00F05222"/>
    <w:rsid w:val="00F0535A"/>
    <w:rsid w:val="00F054DA"/>
    <w:rsid w:val="00F05E84"/>
    <w:rsid w:val="00F05F53"/>
    <w:rsid w:val="00F063D6"/>
    <w:rsid w:val="00F06623"/>
    <w:rsid w:val="00F0663F"/>
    <w:rsid w:val="00F06A2D"/>
    <w:rsid w:val="00F06AA8"/>
    <w:rsid w:val="00F06BC4"/>
    <w:rsid w:val="00F06EFF"/>
    <w:rsid w:val="00F06FDE"/>
    <w:rsid w:val="00F0705C"/>
    <w:rsid w:val="00F07068"/>
    <w:rsid w:val="00F077DD"/>
    <w:rsid w:val="00F100A7"/>
    <w:rsid w:val="00F10593"/>
    <w:rsid w:val="00F10776"/>
    <w:rsid w:val="00F108EF"/>
    <w:rsid w:val="00F10A19"/>
    <w:rsid w:val="00F10B90"/>
    <w:rsid w:val="00F10D97"/>
    <w:rsid w:val="00F1136F"/>
    <w:rsid w:val="00F11702"/>
    <w:rsid w:val="00F119E5"/>
    <w:rsid w:val="00F11BE9"/>
    <w:rsid w:val="00F11C7D"/>
    <w:rsid w:val="00F11DAE"/>
    <w:rsid w:val="00F11DE4"/>
    <w:rsid w:val="00F122D3"/>
    <w:rsid w:val="00F126D1"/>
    <w:rsid w:val="00F12990"/>
    <w:rsid w:val="00F12DC3"/>
    <w:rsid w:val="00F13065"/>
    <w:rsid w:val="00F13962"/>
    <w:rsid w:val="00F139C1"/>
    <w:rsid w:val="00F13EBF"/>
    <w:rsid w:val="00F13F95"/>
    <w:rsid w:val="00F14B35"/>
    <w:rsid w:val="00F14D1B"/>
    <w:rsid w:val="00F14F0B"/>
    <w:rsid w:val="00F15002"/>
    <w:rsid w:val="00F154E4"/>
    <w:rsid w:val="00F15E59"/>
    <w:rsid w:val="00F15F28"/>
    <w:rsid w:val="00F1644F"/>
    <w:rsid w:val="00F167F2"/>
    <w:rsid w:val="00F168C8"/>
    <w:rsid w:val="00F16901"/>
    <w:rsid w:val="00F169F3"/>
    <w:rsid w:val="00F17AFE"/>
    <w:rsid w:val="00F200E2"/>
    <w:rsid w:val="00F20554"/>
    <w:rsid w:val="00F20648"/>
    <w:rsid w:val="00F20E77"/>
    <w:rsid w:val="00F20F23"/>
    <w:rsid w:val="00F216D8"/>
    <w:rsid w:val="00F21948"/>
    <w:rsid w:val="00F21C68"/>
    <w:rsid w:val="00F21F60"/>
    <w:rsid w:val="00F221A4"/>
    <w:rsid w:val="00F22755"/>
    <w:rsid w:val="00F229E9"/>
    <w:rsid w:val="00F22D6B"/>
    <w:rsid w:val="00F22F21"/>
    <w:rsid w:val="00F22F90"/>
    <w:rsid w:val="00F2332D"/>
    <w:rsid w:val="00F23A79"/>
    <w:rsid w:val="00F23CD0"/>
    <w:rsid w:val="00F23D21"/>
    <w:rsid w:val="00F24442"/>
    <w:rsid w:val="00F244CD"/>
    <w:rsid w:val="00F25166"/>
    <w:rsid w:val="00F255B7"/>
    <w:rsid w:val="00F2586E"/>
    <w:rsid w:val="00F25E96"/>
    <w:rsid w:val="00F26674"/>
    <w:rsid w:val="00F26B79"/>
    <w:rsid w:val="00F26BB1"/>
    <w:rsid w:val="00F26FFF"/>
    <w:rsid w:val="00F277C1"/>
    <w:rsid w:val="00F2786A"/>
    <w:rsid w:val="00F305C4"/>
    <w:rsid w:val="00F30893"/>
    <w:rsid w:val="00F30A25"/>
    <w:rsid w:val="00F30AC2"/>
    <w:rsid w:val="00F30B5F"/>
    <w:rsid w:val="00F30CD4"/>
    <w:rsid w:val="00F3173E"/>
    <w:rsid w:val="00F318A0"/>
    <w:rsid w:val="00F31FD3"/>
    <w:rsid w:val="00F329FF"/>
    <w:rsid w:val="00F32C49"/>
    <w:rsid w:val="00F32C66"/>
    <w:rsid w:val="00F32D7A"/>
    <w:rsid w:val="00F32EA0"/>
    <w:rsid w:val="00F33F73"/>
    <w:rsid w:val="00F34050"/>
    <w:rsid w:val="00F34345"/>
    <w:rsid w:val="00F347D0"/>
    <w:rsid w:val="00F34884"/>
    <w:rsid w:val="00F34B65"/>
    <w:rsid w:val="00F34BB4"/>
    <w:rsid w:val="00F34BE3"/>
    <w:rsid w:val="00F34E96"/>
    <w:rsid w:val="00F351E7"/>
    <w:rsid w:val="00F35282"/>
    <w:rsid w:val="00F353BE"/>
    <w:rsid w:val="00F3560A"/>
    <w:rsid w:val="00F358BF"/>
    <w:rsid w:val="00F3633D"/>
    <w:rsid w:val="00F36A7A"/>
    <w:rsid w:val="00F36D35"/>
    <w:rsid w:val="00F37057"/>
    <w:rsid w:val="00F371F0"/>
    <w:rsid w:val="00F37217"/>
    <w:rsid w:val="00F376E6"/>
    <w:rsid w:val="00F37898"/>
    <w:rsid w:val="00F37E90"/>
    <w:rsid w:val="00F406FD"/>
    <w:rsid w:val="00F40DA7"/>
    <w:rsid w:val="00F40E58"/>
    <w:rsid w:val="00F41013"/>
    <w:rsid w:val="00F41129"/>
    <w:rsid w:val="00F4124D"/>
    <w:rsid w:val="00F4125F"/>
    <w:rsid w:val="00F413FE"/>
    <w:rsid w:val="00F41693"/>
    <w:rsid w:val="00F419BE"/>
    <w:rsid w:val="00F41C5A"/>
    <w:rsid w:val="00F4220E"/>
    <w:rsid w:val="00F42545"/>
    <w:rsid w:val="00F42BBB"/>
    <w:rsid w:val="00F42E6C"/>
    <w:rsid w:val="00F433B2"/>
    <w:rsid w:val="00F433E8"/>
    <w:rsid w:val="00F43668"/>
    <w:rsid w:val="00F4374D"/>
    <w:rsid w:val="00F43B0A"/>
    <w:rsid w:val="00F43CFB"/>
    <w:rsid w:val="00F44C96"/>
    <w:rsid w:val="00F44D46"/>
    <w:rsid w:val="00F44DF3"/>
    <w:rsid w:val="00F44FF1"/>
    <w:rsid w:val="00F45450"/>
    <w:rsid w:val="00F456FE"/>
    <w:rsid w:val="00F45B46"/>
    <w:rsid w:val="00F45F61"/>
    <w:rsid w:val="00F461B1"/>
    <w:rsid w:val="00F46B1E"/>
    <w:rsid w:val="00F46F0F"/>
    <w:rsid w:val="00F475E4"/>
    <w:rsid w:val="00F4790C"/>
    <w:rsid w:val="00F47A8D"/>
    <w:rsid w:val="00F47F83"/>
    <w:rsid w:val="00F47F95"/>
    <w:rsid w:val="00F50011"/>
    <w:rsid w:val="00F5037B"/>
    <w:rsid w:val="00F5052C"/>
    <w:rsid w:val="00F50B38"/>
    <w:rsid w:val="00F510B6"/>
    <w:rsid w:val="00F51271"/>
    <w:rsid w:val="00F514F8"/>
    <w:rsid w:val="00F51957"/>
    <w:rsid w:val="00F52115"/>
    <w:rsid w:val="00F527A1"/>
    <w:rsid w:val="00F528D3"/>
    <w:rsid w:val="00F52CC8"/>
    <w:rsid w:val="00F533AF"/>
    <w:rsid w:val="00F53636"/>
    <w:rsid w:val="00F539C9"/>
    <w:rsid w:val="00F53B53"/>
    <w:rsid w:val="00F53CE2"/>
    <w:rsid w:val="00F53E01"/>
    <w:rsid w:val="00F53E14"/>
    <w:rsid w:val="00F53E68"/>
    <w:rsid w:val="00F5406C"/>
    <w:rsid w:val="00F541C7"/>
    <w:rsid w:val="00F5445C"/>
    <w:rsid w:val="00F54619"/>
    <w:rsid w:val="00F54D24"/>
    <w:rsid w:val="00F54D44"/>
    <w:rsid w:val="00F550FB"/>
    <w:rsid w:val="00F557DE"/>
    <w:rsid w:val="00F55AE9"/>
    <w:rsid w:val="00F55F80"/>
    <w:rsid w:val="00F566FB"/>
    <w:rsid w:val="00F567C0"/>
    <w:rsid w:val="00F56C20"/>
    <w:rsid w:val="00F56E93"/>
    <w:rsid w:val="00F57540"/>
    <w:rsid w:val="00F57B34"/>
    <w:rsid w:val="00F57CDB"/>
    <w:rsid w:val="00F57D14"/>
    <w:rsid w:val="00F60553"/>
    <w:rsid w:val="00F60EED"/>
    <w:rsid w:val="00F61112"/>
    <w:rsid w:val="00F611F2"/>
    <w:rsid w:val="00F613F1"/>
    <w:rsid w:val="00F61B23"/>
    <w:rsid w:val="00F62677"/>
    <w:rsid w:val="00F627D7"/>
    <w:rsid w:val="00F63A24"/>
    <w:rsid w:val="00F63BC1"/>
    <w:rsid w:val="00F63E98"/>
    <w:rsid w:val="00F644D0"/>
    <w:rsid w:val="00F64B8F"/>
    <w:rsid w:val="00F6627E"/>
    <w:rsid w:val="00F662CB"/>
    <w:rsid w:val="00F66677"/>
    <w:rsid w:val="00F66780"/>
    <w:rsid w:val="00F66833"/>
    <w:rsid w:val="00F670B7"/>
    <w:rsid w:val="00F670C4"/>
    <w:rsid w:val="00F67943"/>
    <w:rsid w:val="00F67B07"/>
    <w:rsid w:val="00F67BAB"/>
    <w:rsid w:val="00F67CEC"/>
    <w:rsid w:val="00F67E0B"/>
    <w:rsid w:val="00F70209"/>
    <w:rsid w:val="00F709CE"/>
    <w:rsid w:val="00F70B5C"/>
    <w:rsid w:val="00F71800"/>
    <w:rsid w:val="00F71CC2"/>
    <w:rsid w:val="00F7229C"/>
    <w:rsid w:val="00F72504"/>
    <w:rsid w:val="00F725FC"/>
    <w:rsid w:val="00F72884"/>
    <w:rsid w:val="00F7298F"/>
    <w:rsid w:val="00F72B55"/>
    <w:rsid w:val="00F72C49"/>
    <w:rsid w:val="00F72E2E"/>
    <w:rsid w:val="00F7306E"/>
    <w:rsid w:val="00F731FF"/>
    <w:rsid w:val="00F7333F"/>
    <w:rsid w:val="00F73434"/>
    <w:rsid w:val="00F73455"/>
    <w:rsid w:val="00F737EC"/>
    <w:rsid w:val="00F7387C"/>
    <w:rsid w:val="00F738BB"/>
    <w:rsid w:val="00F739F5"/>
    <w:rsid w:val="00F73B62"/>
    <w:rsid w:val="00F73BFF"/>
    <w:rsid w:val="00F73DB6"/>
    <w:rsid w:val="00F73EE3"/>
    <w:rsid w:val="00F742C7"/>
    <w:rsid w:val="00F742F8"/>
    <w:rsid w:val="00F745A0"/>
    <w:rsid w:val="00F74F1C"/>
    <w:rsid w:val="00F75AC0"/>
    <w:rsid w:val="00F7611F"/>
    <w:rsid w:val="00F76995"/>
    <w:rsid w:val="00F76B36"/>
    <w:rsid w:val="00F76C7C"/>
    <w:rsid w:val="00F7745B"/>
    <w:rsid w:val="00F77F3D"/>
    <w:rsid w:val="00F800B8"/>
    <w:rsid w:val="00F803E7"/>
    <w:rsid w:val="00F80605"/>
    <w:rsid w:val="00F8064B"/>
    <w:rsid w:val="00F80717"/>
    <w:rsid w:val="00F80745"/>
    <w:rsid w:val="00F80921"/>
    <w:rsid w:val="00F80948"/>
    <w:rsid w:val="00F80B38"/>
    <w:rsid w:val="00F80C21"/>
    <w:rsid w:val="00F81799"/>
    <w:rsid w:val="00F81B65"/>
    <w:rsid w:val="00F8222B"/>
    <w:rsid w:val="00F823E2"/>
    <w:rsid w:val="00F8257B"/>
    <w:rsid w:val="00F8268C"/>
    <w:rsid w:val="00F82B43"/>
    <w:rsid w:val="00F8320D"/>
    <w:rsid w:val="00F83300"/>
    <w:rsid w:val="00F835A7"/>
    <w:rsid w:val="00F837A2"/>
    <w:rsid w:val="00F83802"/>
    <w:rsid w:val="00F840A8"/>
    <w:rsid w:val="00F84516"/>
    <w:rsid w:val="00F845BB"/>
    <w:rsid w:val="00F84796"/>
    <w:rsid w:val="00F847B6"/>
    <w:rsid w:val="00F84970"/>
    <w:rsid w:val="00F84EEF"/>
    <w:rsid w:val="00F851CB"/>
    <w:rsid w:val="00F85444"/>
    <w:rsid w:val="00F8564F"/>
    <w:rsid w:val="00F85740"/>
    <w:rsid w:val="00F85838"/>
    <w:rsid w:val="00F858B4"/>
    <w:rsid w:val="00F8597A"/>
    <w:rsid w:val="00F85B27"/>
    <w:rsid w:val="00F85B8D"/>
    <w:rsid w:val="00F85D89"/>
    <w:rsid w:val="00F85E52"/>
    <w:rsid w:val="00F86BE2"/>
    <w:rsid w:val="00F86F19"/>
    <w:rsid w:val="00F87311"/>
    <w:rsid w:val="00F87365"/>
    <w:rsid w:val="00F8752B"/>
    <w:rsid w:val="00F87653"/>
    <w:rsid w:val="00F8786A"/>
    <w:rsid w:val="00F90195"/>
    <w:rsid w:val="00F9025F"/>
    <w:rsid w:val="00F90829"/>
    <w:rsid w:val="00F9089B"/>
    <w:rsid w:val="00F9094A"/>
    <w:rsid w:val="00F90956"/>
    <w:rsid w:val="00F90BBE"/>
    <w:rsid w:val="00F91374"/>
    <w:rsid w:val="00F9215C"/>
    <w:rsid w:val="00F9249E"/>
    <w:rsid w:val="00F92FAB"/>
    <w:rsid w:val="00F93120"/>
    <w:rsid w:val="00F946C6"/>
    <w:rsid w:val="00F94760"/>
    <w:rsid w:val="00F94F5E"/>
    <w:rsid w:val="00F95030"/>
    <w:rsid w:val="00F95487"/>
    <w:rsid w:val="00F96092"/>
    <w:rsid w:val="00F9609C"/>
    <w:rsid w:val="00F96F26"/>
    <w:rsid w:val="00F970D8"/>
    <w:rsid w:val="00F97305"/>
    <w:rsid w:val="00F97459"/>
    <w:rsid w:val="00F97B7E"/>
    <w:rsid w:val="00FA023F"/>
    <w:rsid w:val="00FA0424"/>
    <w:rsid w:val="00FA06BB"/>
    <w:rsid w:val="00FA080C"/>
    <w:rsid w:val="00FA0AB6"/>
    <w:rsid w:val="00FA0AED"/>
    <w:rsid w:val="00FA0F94"/>
    <w:rsid w:val="00FA112E"/>
    <w:rsid w:val="00FA1253"/>
    <w:rsid w:val="00FA1470"/>
    <w:rsid w:val="00FA1745"/>
    <w:rsid w:val="00FA2892"/>
    <w:rsid w:val="00FA2C65"/>
    <w:rsid w:val="00FA373A"/>
    <w:rsid w:val="00FA3A55"/>
    <w:rsid w:val="00FA3AD8"/>
    <w:rsid w:val="00FA3FF5"/>
    <w:rsid w:val="00FA44A5"/>
    <w:rsid w:val="00FA4843"/>
    <w:rsid w:val="00FA4AB2"/>
    <w:rsid w:val="00FA4BA2"/>
    <w:rsid w:val="00FA50F0"/>
    <w:rsid w:val="00FA5478"/>
    <w:rsid w:val="00FA56C3"/>
    <w:rsid w:val="00FA5849"/>
    <w:rsid w:val="00FA5948"/>
    <w:rsid w:val="00FA5CCD"/>
    <w:rsid w:val="00FA62A0"/>
    <w:rsid w:val="00FA7164"/>
    <w:rsid w:val="00FA7921"/>
    <w:rsid w:val="00FB025B"/>
    <w:rsid w:val="00FB026A"/>
    <w:rsid w:val="00FB0716"/>
    <w:rsid w:val="00FB1529"/>
    <w:rsid w:val="00FB15FD"/>
    <w:rsid w:val="00FB199B"/>
    <w:rsid w:val="00FB22CB"/>
    <w:rsid w:val="00FB24E9"/>
    <w:rsid w:val="00FB26C2"/>
    <w:rsid w:val="00FB288C"/>
    <w:rsid w:val="00FB2C83"/>
    <w:rsid w:val="00FB2F0A"/>
    <w:rsid w:val="00FB35DA"/>
    <w:rsid w:val="00FB3741"/>
    <w:rsid w:val="00FB37EB"/>
    <w:rsid w:val="00FB3888"/>
    <w:rsid w:val="00FB388E"/>
    <w:rsid w:val="00FB3965"/>
    <w:rsid w:val="00FB3EE3"/>
    <w:rsid w:val="00FB4021"/>
    <w:rsid w:val="00FB446D"/>
    <w:rsid w:val="00FB45E0"/>
    <w:rsid w:val="00FB4E50"/>
    <w:rsid w:val="00FB504C"/>
    <w:rsid w:val="00FB5117"/>
    <w:rsid w:val="00FB5566"/>
    <w:rsid w:val="00FB574A"/>
    <w:rsid w:val="00FB57A0"/>
    <w:rsid w:val="00FB5C09"/>
    <w:rsid w:val="00FB5DCB"/>
    <w:rsid w:val="00FB66CC"/>
    <w:rsid w:val="00FB6A4A"/>
    <w:rsid w:val="00FB6CED"/>
    <w:rsid w:val="00FB6E70"/>
    <w:rsid w:val="00FB6FD1"/>
    <w:rsid w:val="00FB7170"/>
    <w:rsid w:val="00FB7233"/>
    <w:rsid w:val="00FB75B2"/>
    <w:rsid w:val="00FB77B3"/>
    <w:rsid w:val="00FB7994"/>
    <w:rsid w:val="00FB7A11"/>
    <w:rsid w:val="00FC0401"/>
    <w:rsid w:val="00FC06F4"/>
    <w:rsid w:val="00FC0FA9"/>
    <w:rsid w:val="00FC140C"/>
    <w:rsid w:val="00FC1710"/>
    <w:rsid w:val="00FC1C23"/>
    <w:rsid w:val="00FC1E9D"/>
    <w:rsid w:val="00FC1EAC"/>
    <w:rsid w:val="00FC22BB"/>
    <w:rsid w:val="00FC25C0"/>
    <w:rsid w:val="00FC2B52"/>
    <w:rsid w:val="00FC302C"/>
    <w:rsid w:val="00FC3181"/>
    <w:rsid w:val="00FC33B3"/>
    <w:rsid w:val="00FC33D0"/>
    <w:rsid w:val="00FC34DF"/>
    <w:rsid w:val="00FC361C"/>
    <w:rsid w:val="00FC4056"/>
    <w:rsid w:val="00FC4544"/>
    <w:rsid w:val="00FC4547"/>
    <w:rsid w:val="00FC4B7D"/>
    <w:rsid w:val="00FC5028"/>
    <w:rsid w:val="00FC519C"/>
    <w:rsid w:val="00FC5202"/>
    <w:rsid w:val="00FC5B13"/>
    <w:rsid w:val="00FC5CC5"/>
    <w:rsid w:val="00FC61FC"/>
    <w:rsid w:val="00FC634D"/>
    <w:rsid w:val="00FC6772"/>
    <w:rsid w:val="00FC6BB1"/>
    <w:rsid w:val="00FC6DAA"/>
    <w:rsid w:val="00FC76CD"/>
    <w:rsid w:val="00FC7852"/>
    <w:rsid w:val="00FC787F"/>
    <w:rsid w:val="00FC788E"/>
    <w:rsid w:val="00FC7E0B"/>
    <w:rsid w:val="00FD0152"/>
    <w:rsid w:val="00FD064A"/>
    <w:rsid w:val="00FD0DBD"/>
    <w:rsid w:val="00FD10AB"/>
    <w:rsid w:val="00FD1318"/>
    <w:rsid w:val="00FD1671"/>
    <w:rsid w:val="00FD1FBC"/>
    <w:rsid w:val="00FD1FC1"/>
    <w:rsid w:val="00FD2185"/>
    <w:rsid w:val="00FD2198"/>
    <w:rsid w:val="00FD24A0"/>
    <w:rsid w:val="00FD2595"/>
    <w:rsid w:val="00FD2820"/>
    <w:rsid w:val="00FD2842"/>
    <w:rsid w:val="00FD2B2C"/>
    <w:rsid w:val="00FD30D6"/>
    <w:rsid w:val="00FD31F9"/>
    <w:rsid w:val="00FD3600"/>
    <w:rsid w:val="00FD397A"/>
    <w:rsid w:val="00FD3DDF"/>
    <w:rsid w:val="00FD3E7E"/>
    <w:rsid w:val="00FD4153"/>
    <w:rsid w:val="00FD4558"/>
    <w:rsid w:val="00FD465B"/>
    <w:rsid w:val="00FD49CF"/>
    <w:rsid w:val="00FD4D8E"/>
    <w:rsid w:val="00FD5088"/>
    <w:rsid w:val="00FD5B90"/>
    <w:rsid w:val="00FD5C5B"/>
    <w:rsid w:val="00FD6419"/>
    <w:rsid w:val="00FD6610"/>
    <w:rsid w:val="00FD6886"/>
    <w:rsid w:val="00FD6CE2"/>
    <w:rsid w:val="00FD6DEF"/>
    <w:rsid w:val="00FD6E98"/>
    <w:rsid w:val="00FD6EF4"/>
    <w:rsid w:val="00FD7059"/>
    <w:rsid w:val="00FD757E"/>
    <w:rsid w:val="00FD75E5"/>
    <w:rsid w:val="00FD7711"/>
    <w:rsid w:val="00FD78FF"/>
    <w:rsid w:val="00FD7A4F"/>
    <w:rsid w:val="00FD7CB3"/>
    <w:rsid w:val="00FD7F88"/>
    <w:rsid w:val="00FE005F"/>
    <w:rsid w:val="00FE039D"/>
    <w:rsid w:val="00FE04E3"/>
    <w:rsid w:val="00FE0830"/>
    <w:rsid w:val="00FE099B"/>
    <w:rsid w:val="00FE09B4"/>
    <w:rsid w:val="00FE0A0D"/>
    <w:rsid w:val="00FE0B5D"/>
    <w:rsid w:val="00FE1022"/>
    <w:rsid w:val="00FE1090"/>
    <w:rsid w:val="00FE170E"/>
    <w:rsid w:val="00FE19AC"/>
    <w:rsid w:val="00FE19F4"/>
    <w:rsid w:val="00FE1C7A"/>
    <w:rsid w:val="00FE207C"/>
    <w:rsid w:val="00FE2D42"/>
    <w:rsid w:val="00FE2D61"/>
    <w:rsid w:val="00FE2E2C"/>
    <w:rsid w:val="00FE428B"/>
    <w:rsid w:val="00FE5B90"/>
    <w:rsid w:val="00FE5BF5"/>
    <w:rsid w:val="00FE5C6E"/>
    <w:rsid w:val="00FE5C75"/>
    <w:rsid w:val="00FE5CB5"/>
    <w:rsid w:val="00FE5D52"/>
    <w:rsid w:val="00FE5DF0"/>
    <w:rsid w:val="00FE5E16"/>
    <w:rsid w:val="00FE6B69"/>
    <w:rsid w:val="00FE7007"/>
    <w:rsid w:val="00FE7027"/>
    <w:rsid w:val="00FE746B"/>
    <w:rsid w:val="00FE74A1"/>
    <w:rsid w:val="00FE75D0"/>
    <w:rsid w:val="00FE7689"/>
    <w:rsid w:val="00FF038C"/>
    <w:rsid w:val="00FF045A"/>
    <w:rsid w:val="00FF066B"/>
    <w:rsid w:val="00FF09B6"/>
    <w:rsid w:val="00FF112B"/>
    <w:rsid w:val="00FF12D3"/>
    <w:rsid w:val="00FF19E4"/>
    <w:rsid w:val="00FF1B25"/>
    <w:rsid w:val="00FF2500"/>
    <w:rsid w:val="00FF2554"/>
    <w:rsid w:val="00FF2A70"/>
    <w:rsid w:val="00FF32DF"/>
    <w:rsid w:val="00FF348D"/>
    <w:rsid w:val="00FF39DB"/>
    <w:rsid w:val="00FF3CA8"/>
    <w:rsid w:val="00FF4527"/>
    <w:rsid w:val="00FF486D"/>
    <w:rsid w:val="00FF497F"/>
    <w:rsid w:val="00FF4DF7"/>
    <w:rsid w:val="00FF4EB5"/>
    <w:rsid w:val="00FF4EBF"/>
    <w:rsid w:val="00FF50F3"/>
    <w:rsid w:val="00FF53A9"/>
    <w:rsid w:val="00FF53F2"/>
    <w:rsid w:val="00FF55FD"/>
    <w:rsid w:val="00FF5956"/>
    <w:rsid w:val="00FF598A"/>
    <w:rsid w:val="00FF5AA1"/>
    <w:rsid w:val="00FF5C9F"/>
    <w:rsid w:val="00FF656D"/>
    <w:rsid w:val="00FF6634"/>
    <w:rsid w:val="00FF672E"/>
    <w:rsid w:val="00FF6776"/>
    <w:rsid w:val="00FF6D21"/>
    <w:rsid w:val="00FF7069"/>
    <w:rsid w:val="00FF71ED"/>
    <w:rsid w:val="00FF7374"/>
    <w:rsid w:val="00FF7FA9"/>
    <w:rsid w:val="01133EA4"/>
    <w:rsid w:val="02049B2A"/>
    <w:rsid w:val="0218165C"/>
    <w:rsid w:val="033DE457"/>
    <w:rsid w:val="04187D20"/>
    <w:rsid w:val="047E1B1A"/>
    <w:rsid w:val="04BC2A96"/>
    <w:rsid w:val="05592670"/>
    <w:rsid w:val="07CF463B"/>
    <w:rsid w:val="0972DDEE"/>
    <w:rsid w:val="09923A47"/>
    <w:rsid w:val="09A1BF89"/>
    <w:rsid w:val="0ACF02CD"/>
    <w:rsid w:val="0AFA80FA"/>
    <w:rsid w:val="0BFABC92"/>
    <w:rsid w:val="0C3C8FE5"/>
    <w:rsid w:val="0C86CE72"/>
    <w:rsid w:val="0CD989CC"/>
    <w:rsid w:val="0CF8D4BC"/>
    <w:rsid w:val="0DA77C1F"/>
    <w:rsid w:val="0DAB1D13"/>
    <w:rsid w:val="0DF04D06"/>
    <w:rsid w:val="0F1BF929"/>
    <w:rsid w:val="0F29C3E9"/>
    <w:rsid w:val="0F422359"/>
    <w:rsid w:val="0F4E92F6"/>
    <w:rsid w:val="12576EA4"/>
    <w:rsid w:val="132410F5"/>
    <w:rsid w:val="13293FCC"/>
    <w:rsid w:val="135F8DB2"/>
    <w:rsid w:val="13F19160"/>
    <w:rsid w:val="14B96EDC"/>
    <w:rsid w:val="15526888"/>
    <w:rsid w:val="15FA17BE"/>
    <w:rsid w:val="160EA38B"/>
    <w:rsid w:val="162461CE"/>
    <w:rsid w:val="173EABCD"/>
    <w:rsid w:val="18388C75"/>
    <w:rsid w:val="18853240"/>
    <w:rsid w:val="1B4EAC10"/>
    <w:rsid w:val="1B6EB031"/>
    <w:rsid w:val="1BD2BF40"/>
    <w:rsid w:val="1C04AB18"/>
    <w:rsid w:val="1DC0E9D8"/>
    <w:rsid w:val="1DD1DC39"/>
    <w:rsid w:val="1DDD7E7E"/>
    <w:rsid w:val="1DF3BA79"/>
    <w:rsid w:val="1E460F09"/>
    <w:rsid w:val="1F0681A7"/>
    <w:rsid w:val="20F6BF23"/>
    <w:rsid w:val="210E1BC0"/>
    <w:rsid w:val="2145F870"/>
    <w:rsid w:val="214EFB5E"/>
    <w:rsid w:val="21FBF458"/>
    <w:rsid w:val="2203AD55"/>
    <w:rsid w:val="221506F9"/>
    <w:rsid w:val="226771C9"/>
    <w:rsid w:val="22866B70"/>
    <w:rsid w:val="2290BF4C"/>
    <w:rsid w:val="231A7A06"/>
    <w:rsid w:val="2490360A"/>
    <w:rsid w:val="25095A90"/>
    <w:rsid w:val="2564468B"/>
    <w:rsid w:val="25B3BABC"/>
    <w:rsid w:val="2653E91B"/>
    <w:rsid w:val="268140C6"/>
    <w:rsid w:val="26A0F421"/>
    <w:rsid w:val="283A8473"/>
    <w:rsid w:val="28BB49AC"/>
    <w:rsid w:val="292BBE7B"/>
    <w:rsid w:val="2A29FCFE"/>
    <w:rsid w:val="2AB13862"/>
    <w:rsid w:val="2AB5278C"/>
    <w:rsid w:val="2B39EA05"/>
    <w:rsid w:val="2BA5CF8E"/>
    <w:rsid w:val="2C11EC33"/>
    <w:rsid w:val="2CE456BC"/>
    <w:rsid w:val="2D5F8693"/>
    <w:rsid w:val="2F00B23B"/>
    <w:rsid w:val="2FAACCF7"/>
    <w:rsid w:val="31324717"/>
    <w:rsid w:val="31E2F245"/>
    <w:rsid w:val="3275B311"/>
    <w:rsid w:val="32A254C6"/>
    <w:rsid w:val="32AE4C61"/>
    <w:rsid w:val="32FBE6A8"/>
    <w:rsid w:val="330849CB"/>
    <w:rsid w:val="3371E763"/>
    <w:rsid w:val="33DAA1B0"/>
    <w:rsid w:val="342B4822"/>
    <w:rsid w:val="34C8C1D5"/>
    <w:rsid w:val="35121282"/>
    <w:rsid w:val="3566B0FA"/>
    <w:rsid w:val="35F25752"/>
    <w:rsid w:val="35FAEF6C"/>
    <w:rsid w:val="3660C9BC"/>
    <w:rsid w:val="36C8B665"/>
    <w:rsid w:val="375D9C72"/>
    <w:rsid w:val="37C07140"/>
    <w:rsid w:val="383A5A0B"/>
    <w:rsid w:val="38E46195"/>
    <w:rsid w:val="39ACC7F9"/>
    <w:rsid w:val="3A7D9EDE"/>
    <w:rsid w:val="3AA6396F"/>
    <w:rsid w:val="3AFF3729"/>
    <w:rsid w:val="3B671BB8"/>
    <w:rsid w:val="3E021E50"/>
    <w:rsid w:val="3EE73771"/>
    <w:rsid w:val="3EEE323D"/>
    <w:rsid w:val="3F40F1BE"/>
    <w:rsid w:val="3F808A4F"/>
    <w:rsid w:val="3F9EBA5E"/>
    <w:rsid w:val="40065959"/>
    <w:rsid w:val="408E8576"/>
    <w:rsid w:val="436D1614"/>
    <w:rsid w:val="4378BEC9"/>
    <w:rsid w:val="43D6E32F"/>
    <w:rsid w:val="44F55ED4"/>
    <w:rsid w:val="451CEEEC"/>
    <w:rsid w:val="455123C9"/>
    <w:rsid w:val="4574CFC0"/>
    <w:rsid w:val="45A06F13"/>
    <w:rsid w:val="45AA92CA"/>
    <w:rsid w:val="468CE341"/>
    <w:rsid w:val="4787310C"/>
    <w:rsid w:val="47FE04D5"/>
    <w:rsid w:val="48202FCF"/>
    <w:rsid w:val="4887E683"/>
    <w:rsid w:val="4A99CA74"/>
    <w:rsid w:val="4CACB107"/>
    <w:rsid w:val="4CFF981C"/>
    <w:rsid w:val="4E05B7C5"/>
    <w:rsid w:val="4E989B62"/>
    <w:rsid w:val="4F2D05AF"/>
    <w:rsid w:val="4F3D583F"/>
    <w:rsid w:val="4F498787"/>
    <w:rsid w:val="4FB4AE47"/>
    <w:rsid w:val="5074500B"/>
    <w:rsid w:val="51FD9C50"/>
    <w:rsid w:val="52254632"/>
    <w:rsid w:val="52C45950"/>
    <w:rsid w:val="52FC4D1D"/>
    <w:rsid w:val="53AA536F"/>
    <w:rsid w:val="554DFF66"/>
    <w:rsid w:val="563C4661"/>
    <w:rsid w:val="56A047EA"/>
    <w:rsid w:val="576AB269"/>
    <w:rsid w:val="57FFE815"/>
    <w:rsid w:val="5816F6D7"/>
    <w:rsid w:val="587049B6"/>
    <w:rsid w:val="58AA1176"/>
    <w:rsid w:val="59340919"/>
    <w:rsid w:val="5B570172"/>
    <w:rsid w:val="5BEA444D"/>
    <w:rsid w:val="5C7E1ABC"/>
    <w:rsid w:val="5D2FCCC5"/>
    <w:rsid w:val="5DE4A5CE"/>
    <w:rsid w:val="5E07DBBA"/>
    <w:rsid w:val="5E3B92F8"/>
    <w:rsid w:val="5F25DCEF"/>
    <w:rsid w:val="5F3C9087"/>
    <w:rsid w:val="5FDD5EAC"/>
    <w:rsid w:val="6183BC11"/>
    <w:rsid w:val="61C0455C"/>
    <w:rsid w:val="61CD0592"/>
    <w:rsid w:val="6328BCFA"/>
    <w:rsid w:val="6341DF4F"/>
    <w:rsid w:val="639E8D26"/>
    <w:rsid w:val="64096185"/>
    <w:rsid w:val="64365DFD"/>
    <w:rsid w:val="65EAF019"/>
    <w:rsid w:val="6645BD60"/>
    <w:rsid w:val="66CB6F50"/>
    <w:rsid w:val="6789C15F"/>
    <w:rsid w:val="68645C8A"/>
    <w:rsid w:val="6942527B"/>
    <w:rsid w:val="69835E6F"/>
    <w:rsid w:val="6A6BDF90"/>
    <w:rsid w:val="6ACF0CBB"/>
    <w:rsid w:val="6B119C73"/>
    <w:rsid w:val="6B63574A"/>
    <w:rsid w:val="6CC363D8"/>
    <w:rsid w:val="6CEE739E"/>
    <w:rsid w:val="6D1AECAB"/>
    <w:rsid w:val="6D1E8359"/>
    <w:rsid w:val="6DB6D951"/>
    <w:rsid w:val="6E392825"/>
    <w:rsid w:val="6EA35E43"/>
    <w:rsid w:val="6F21BB08"/>
    <w:rsid w:val="6F3C28A4"/>
    <w:rsid w:val="6F5CCBF3"/>
    <w:rsid w:val="6F7D2CA0"/>
    <w:rsid w:val="6FBD9C63"/>
    <w:rsid w:val="70088955"/>
    <w:rsid w:val="7052150B"/>
    <w:rsid w:val="70AD7149"/>
    <w:rsid w:val="720E52B7"/>
    <w:rsid w:val="7295EF13"/>
    <w:rsid w:val="7348B9FB"/>
    <w:rsid w:val="736D91E2"/>
    <w:rsid w:val="737B6474"/>
    <w:rsid w:val="73A733B0"/>
    <w:rsid w:val="73F4C2B6"/>
    <w:rsid w:val="7462A2F2"/>
    <w:rsid w:val="747A1F2D"/>
    <w:rsid w:val="74A44C8C"/>
    <w:rsid w:val="74BD5084"/>
    <w:rsid w:val="752751D0"/>
    <w:rsid w:val="752D9DA6"/>
    <w:rsid w:val="777051FD"/>
    <w:rsid w:val="7804A475"/>
    <w:rsid w:val="781BCB2B"/>
    <w:rsid w:val="7868BABB"/>
    <w:rsid w:val="78BD8F6E"/>
    <w:rsid w:val="78D01F9C"/>
    <w:rsid w:val="78D27CA8"/>
    <w:rsid w:val="7A275A4A"/>
    <w:rsid w:val="7AC229EE"/>
    <w:rsid w:val="7C8CEFF9"/>
    <w:rsid w:val="7D692590"/>
    <w:rsid w:val="7E77AD26"/>
    <w:rsid w:val="7F44CA34"/>
    <w:rsid w:val="7F499B43"/>
    <w:rsid w:val="7F66A77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59E3FD"/>
  <w15:chartTrackingRefBased/>
  <w15:docId w15:val="{D50C2E97-D954-49D7-99DB-6741BA106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3EBD"/>
    <w:pPr>
      <w:spacing w:after="100" w:line="264" w:lineRule="auto"/>
    </w:pPr>
    <w:rPr>
      <w:rFonts w:ascii="Arial" w:hAnsi="Arial"/>
    </w:rPr>
  </w:style>
  <w:style w:type="paragraph" w:styleId="Heading1">
    <w:name w:val="heading 1"/>
    <w:basedOn w:val="Normal"/>
    <w:next w:val="Normal"/>
    <w:link w:val="Heading1Char"/>
    <w:uiPriority w:val="9"/>
    <w:qFormat/>
    <w:rsid w:val="00D12938"/>
    <w:pPr>
      <w:keepNext/>
      <w:keepLines/>
      <w:spacing w:before="240" w:after="0" w:line="276" w:lineRule="auto"/>
      <w:outlineLvl w:val="0"/>
    </w:pPr>
    <w:rPr>
      <w:rFonts w:eastAsiaTheme="majorEastAsia" w:cstheme="majorBidi"/>
      <w:b/>
      <w:color w:val="4B0885" w:themeColor="text2"/>
      <w:sz w:val="56"/>
      <w:szCs w:val="32"/>
    </w:rPr>
  </w:style>
  <w:style w:type="paragraph" w:styleId="Heading2">
    <w:name w:val="heading 2"/>
    <w:basedOn w:val="Normal"/>
    <w:next w:val="Normal"/>
    <w:link w:val="Heading2Char"/>
    <w:uiPriority w:val="9"/>
    <w:unhideWhenUsed/>
    <w:qFormat/>
    <w:rsid w:val="00D12938"/>
    <w:pPr>
      <w:keepNext/>
      <w:keepLines/>
      <w:spacing w:before="240" w:after="0" w:line="276" w:lineRule="auto"/>
      <w:outlineLvl w:val="1"/>
    </w:pPr>
    <w:rPr>
      <w:rFonts w:eastAsiaTheme="majorEastAsia" w:cstheme="majorBidi"/>
      <w:b/>
      <w:sz w:val="32"/>
      <w:szCs w:val="26"/>
    </w:rPr>
  </w:style>
  <w:style w:type="paragraph" w:styleId="Heading3">
    <w:name w:val="heading 3"/>
    <w:basedOn w:val="Normal"/>
    <w:next w:val="Normal"/>
    <w:link w:val="Heading3Char"/>
    <w:uiPriority w:val="9"/>
    <w:unhideWhenUsed/>
    <w:qFormat/>
    <w:rsid w:val="00D12938"/>
    <w:pPr>
      <w:keepNext/>
      <w:keepLines/>
      <w:spacing w:before="240" w:after="0" w:line="276" w:lineRule="auto"/>
      <w:outlineLvl w:val="2"/>
    </w:pPr>
    <w:rPr>
      <w:rFonts w:eastAsiaTheme="majorEastAsia" w:cstheme="majorBidi"/>
      <w:b/>
      <w:color w:val="4B0885" w:themeColor="text2"/>
      <w:sz w:val="26"/>
      <w:szCs w:val="24"/>
    </w:rPr>
  </w:style>
  <w:style w:type="paragraph" w:styleId="Heading4">
    <w:name w:val="heading 4"/>
    <w:basedOn w:val="Normal"/>
    <w:next w:val="Normal"/>
    <w:link w:val="Heading4Char"/>
    <w:uiPriority w:val="9"/>
    <w:unhideWhenUsed/>
    <w:qFormat/>
    <w:rsid w:val="00D12938"/>
    <w:pPr>
      <w:spacing w:before="240" w:after="0" w:line="276" w:lineRule="auto"/>
      <w:outlineLvl w:val="3"/>
    </w:pPr>
    <w:rPr>
      <w:rFonts w:cs="Arial"/>
      <w:b/>
      <w:bCs/>
      <w:color w:val="012749" w:themeColor="accent3"/>
    </w:rPr>
  </w:style>
  <w:style w:type="paragraph" w:styleId="Heading5">
    <w:name w:val="heading 5"/>
    <w:basedOn w:val="Normal"/>
    <w:next w:val="Normal"/>
    <w:link w:val="Heading5Char"/>
    <w:uiPriority w:val="9"/>
    <w:unhideWhenUsed/>
    <w:qFormat/>
    <w:rsid w:val="00D12938"/>
    <w:pPr>
      <w:spacing w:before="240" w:after="0" w:line="276" w:lineRule="auto"/>
      <w:outlineLvl w:val="4"/>
    </w:pPr>
    <w:rPr>
      <w:rFonts w:cs="Arial"/>
      <w:color w:val="4B0885" w:themeColor="text2"/>
      <w:sz w:val="19"/>
      <w:szCs w:val="19"/>
    </w:rPr>
  </w:style>
  <w:style w:type="paragraph" w:styleId="Heading6">
    <w:name w:val="heading 6"/>
    <w:basedOn w:val="Normal"/>
    <w:next w:val="Normal"/>
    <w:link w:val="Heading6Char"/>
    <w:uiPriority w:val="9"/>
    <w:unhideWhenUsed/>
    <w:qFormat/>
    <w:rsid w:val="00D12938"/>
    <w:pPr>
      <w:keepNext/>
      <w:keepLines/>
      <w:spacing w:before="240" w:after="0" w:line="276" w:lineRule="auto"/>
      <w:outlineLvl w:val="5"/>
    </w:pPr>
    <w:rPr>
      <w:rFonts w:eastAsiaTheme="majorEastAsia" w:cstheme="majorBidi"/>
      <w:color w:val="341461" w:themeColor="accent1" w:themeShade="7F"/>
    </w:rPr>
  </w:style>
  <w:style w:type="paragraph" w:styleId="Heading7">
    <w:name w:val="heading 7"/>
    <w:basedOn w:val="Normal"/>
    <w:next w:val="Normal"/>
    <w:link w:val="Heading7Char"/>
    <w:uiPriority w:val="9"/>
    <w:unhideWhenUsed/>
    <w:qFormat/>
    <w:rsid w:val="00642A9A"/>
    <w:pPr>
      <w:keepNext/>
      <w:keepLines/>
      <w:spacing w:before="240" w:after="0"/>
      <w:outlineLvl w:val="6"/>
    </w:pPr>
    <w:rPr>
      <w:rFonts w:asciiTheme="majorHAnsi" w:eastAsiaTheme="majorEastAsia" w:hAnsiTheme="majorHAnsi" w:cstheme="majorBidi"/>
      <w:i/>
      <w:iCs/>
      <w:color w:val="341461" w:themeColor="accent1" w:themeShade="7F"/>
    </w:rPr>
  </w:style>
  <w:style w:type="paragraph" w:styleId="Heading8">
    <w:name w:val="heading 8"/>
    <w:basedOn w:val="Normal"/>
    <w:next w:val="Normal"/>
    <w:link w:val="Heading8Char"/>
    <w:uiPriority w:val="9"/>
    <w:semiHidden/>
    <w:unhideWhenUsed/>
    <w:rsid w:val="00642A9A"/>
    <w:pPr>
      <w:keepNext/>
      <w:keepLines/>
      <w:spacing w:before="2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42A9A"/>
    <w:pPr>
      <w:keepNext/>
      <w:keepLines/>
      <w:spacing w:before="2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991526"/>
    <w:pPr>
      <w:tabs>
        <w:tab w:val="right" w:pos="9026"/>
      </w:tabs>
      <w:spacing w:before="20" w:after="0" w:line="240" w:lineRule="auto"/>
    </w:pPr>
    <w:rPr>
      <w:sz w:val="17"/>
      <w:szCs w:val="17"/>
    </w:rPr>
  </w:style>
  <w:style w:type="character" w:customStyle="1" w:styleId="FooterChar">
    <w:name w:val="Footer Char"/>
    <w:basedOn w:val="DefaultParagraphFont"/>
    <w:link w:val="Footer"/>
    <w:uiPriority w:val="99"/>
    <w:rsid w:val="00991526"/>
    <w:rPr>
      <w:color w:val="000000" w:themeColor="text1"/>
      <w:sz w:val="17"/>
      <w:szCs w:val="17"/>
    </w:rPr>
  </w:style>
  <w:style w:type="paragraph" w:styleId="Title">
    <w:name w:val="Title"/>
    <w:basedOn w:val="Normal"/>
    <w:next w:val="Normal"/>
    <w:link w:val="TitleChar"/>
    <w:uiPriority w:val="1"/>
    <w:qFormat/>
    <w:rsid w:val="00233A75"/>
    <w:pPr>
      <w:spacing w:before="2600" w:after="240" w:line="252" w:lineRule="auto"/>
    </w:pPr>
    <w:rPr>
      <w:rFonts w:asciiTheme="majorHAnsi" w:eastAsiaTheme="majorEastAsia" w:hAnsiTheme="majorHAnsi" w:cstheme="majorBidi"/>
      <w:b/>
      <w:color w:val="FFFFFF" w:themeColor="background1"/>
      <w:spacing w:val="-2"/>
      <w:kern w:val="28"/>
      <w:sz w:val="80"/>
      <w:szCs w:val="80"/>
    </w:rPr>
  </w:style>
  <w:style w:type="character" w:customStyle="1" w:styleId="TitleChar">
    <w:name w:val="Title Char"/>
    <w:basedOn w:val="DefaultParagraphFont"/>
    <w:link w:val="Title"/>
    <w:uiPriority w:val="1"/>
    <w:rsid w:val="00233A75"/>
    <w:rPr>
      <w:rFonts w:asciiTheme="majorHAnsi" w:eastAsiaTheme="majorEastAsia" w:hAnsiTheme="majorHAnsi" w:cstheme="majorBidi"/>
      <w:b/>
      <w:color w:val="FFFFFF" w:themeColor="background1"/>
      <w:spacing w:val="-2"/>
      <w:kern w:val="28"/>
      <w:sz w:val="80"/>
      <w:szCs w:val="80"/>
    </w:rPr>
  </w:style>
  <w:style w:type="character" w:customStyle="1" w:styleId="Heading1Char">
    <w:name w:val="Heading 1 Char"/>
    <w:basedOn w:val="DefaultParagraphFont"/>
    <w:link w:val="Heading1"/>
    <w:uiPriority w:val="9"/>
    <w:rsid w:val="00D12938"/>
    <w:rPr>
      <w:rFonts w:ascii="Arial" w:eastAsiaTheme="majorEastAsia" w:hAnsi="Arial" w:cstheme="majorBidi"/>
      <w:b/>
      <w:color w:val="4B0885" w:themeColor="text2"/>
      <w:sz w:val="56"/>
      <w:szCs w:val="32"/>
    </w:rPr>
  </w:style>
  <w:style w:type="paragraph" w:styleId="TOCHeading">
    <w:name w:val="TOC Heading"/>
    <w:basedOn w:val="Heading1"/>
    <w:next w:val="Normal"/>
    <w:uiPriority w:val="39"/>
    <w:unhideWhenUsed/>
    <w:qFormat/>
    <w:rsid w:val="007177A7"/>
    <w:pPr>
      <w:outlineLvl w:val="9"/>
    </w:pPr>
    <w:rPr>
      <w:lang w:val="en-US"/>
    </w:rPr>
  </w:style>
  <w:style w:type="table" w:styleId="TableGrid">
    <w:name w:val="Table Grid"/>
    <w:basedOn w:val="TableNormal"/>
    <w:uiPriority w:val="39"/>
    <w:rsid w:val="00F43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6C282B"/>
    <w:pPr>
      <w:spacing w:after="0" w:line="240" w:lineRule="auto"/>
    </w:pPr>
    <w:rPr>
      <w:rFonts w:ascii="Arial" w:hAnsi="Arial"/>
    </w:rPr>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Normal"/>
    <w:qFormat/>
    <w:rsid w:val="00C25E64"/>
    <w:pPr>
      <w:numPr>
        <w:numId w:val="16"/>
      </w:numPr>
      <w:spacing w:after="120"/>
      <w:ind w:left="284" w:hanging="284"/>
    </w:pPr>
    <w:rPr>
      <w:rFonts w:eastAsia="SimSun" w:cs="Times New Roman"/>
      <w:spacing w:val="-1"/>
      <w:szCs w:val="20"/>
      <w:lang w:val="en-GB" w:eastAsia="en-GB"/>
    </w:rPr>
  </w:style>
  <w:style w:type="character" w:customStyle="1" w:styleId="Heading2Char">
    <w:name w:val="Heading 2 Char"/>
    <w:basedOn w:val="DefaultParagraphFont"/>
    <w:link w:val="Heading2"/>
    <w:uiPriority w:val="9"/>
    <w:rsid w:val="00D12938"/>
    <w:rPr>
      <w:rFonts w:ascii="Arial" w:eastAsiaTheme="majorEastAsia" w:hAnsi="Arial" w:cstheme="majorBidi"/>
      <w:b/>
      <w:sz w:val="32"/>
      <w:szCs w:val="26"/>
    </w:rPr>
  </w:style>
  <w:style w:type="paragraph" w:styleId="TOC1">
    <w:name w:val="toc 1"/>
    <w:basedOn w:val="Normal"/>
    <w:next w:val="Normal"/>
    <w:uiPriority w:val="39"/>
    <w:unhideWhenUsed/>
    <w:rsid w:val="00A3043E"/>
    <w:rPr>
      <w:b/>
      <w:color w:val="4B0885" w:themeColor="text2"/>
    </w:rPr>
  </w:style>
  <w:style w:type="character" w:customStyle="1" w:styleId="Heading3Char">
    <w:name w:val="Heading 3 Char"/>
    <w:basedOn w:val="DefaultParagraphFont"/>
    <w:link w:val="Heading3"/>
    <w:uiPriority w:val="9"/>
    <w:rsid w:val="00D12938"/>
    <w:rPr>
      <w:rFonts w:ascii="Arial" w:eastAsiaTheme="majorEastAsia" w:hAnsi="Arial" w:cstheme="majorBidi"/>
      <w:b/>
      <w:color w:val="4B0885" w:themeColor="text2"/>
      <w:sz w:val="26"/>
      <w:szCs w:val="24"/>
    </w:rPr>
  </w:style>
  <w:style w:type="paragraph" w:styleId="TOC2">
    <w:name w:val="toc 2"/>
    <w:basedOn w:val="Normal"/>
    <w:next w:val="Normal"/>
    <w:uiPriority w:val="39"/>
    <w:unhideWhenUsed/>
    <w:rsid w:val="00233A75"/>
    <w:pPr>
      <w:ind w:left="227"/>
    </w:pPr>
  </w:style>
  <w:style w:type="paragraph" w:styleId="TOC4">
    <w:name w:val="toc 4"/>
    <w:basedOn w:val="Normal"/>
    <w:next w:val="Normal"/>
    <w:autoRedefine/>
    <w:uiPriority w:val="39"/>
    <w:unhideWhenUsed/>
    <w:rsid w:val="007B2AD6"/>
    <w:pPr>
      <w:tabs>
        <w:tab w:val="right" w:leader="dot" w:pos="9016"/>
      </w:tabs>
      <w:ind w:left="220"/>
    </w:pPr>
  </w:style>
  <w:style w:type="paragraph" w:styleId="TOC3">
    <w:name w:val="toc 3"/>
    <w:basedOn w:val="Normal"/>
    <w:next w:val="Normal"/>
    <w:uiPriority w:val="39"/>
    <w:unhideWhenUsed/>
    <w:rsid w:val="00233A75"/>
    <w:pPr>
      <w:tabs>
        <w:tab w:val="right" w:leader="dot" w:pos="9016"/>
      </w:tabs>
      <w:ind w:left="454"/>
    </w:pPr>
  </w:style>
  <w:style w:type="paragraph" w:styleId="TOC5">
    <w:name w:val="toc 5"/>
    <w:basedOn w:val="Normal"/>
    <w:next w:val="Normal"/>
    <w:autoRedefine/>
    <w:uiPriority w:val="39"/>
    <w:unhideWhenUsed/>
    <w:rsid w:val="007B2AD6"/>
    <w:pPr>
      <w:tabs>
        <w:tab w:val="right" w:leader="dot" w:pos="9016"/>
      </w:tabs>
      <w:ind w:left="220"/>
    </w:pPr>
  </w:style>
  <w:style w:type="character" w:styleId="Hyperlink">
    <w:name w:val="Hyperlink"/>
    <w:basedOn w:val="DefaultParagraphFont"/>
    <w:uiPriority w:val="99"/>
    <w:unhideWhenUsed/>
    <w:rsid w:val="00A93DF6"/>
    <w:rPr>
      <w:color w:val="013D74" w:themeColor="hyperlink"/>
      <w:u w:val="single"/>
    </w:rPr>
  </w:style>
  <w:style w:type="paragraph" w:styleId="ListBullet2">
    <w:name w:val="List Bullet 2"/>
    <w:basedOn w:val="Normal"/>
    <w:qFormat/>
    <w:rsid w:val="006C282B"/>
    <w:pPr>
      <w:spacing w:after="110"/>
    </w:pPr>
    <w:rPr>
      <w:rFonts w:eastAsia="SimSun" w:cs="Times New Roman"/>
      <w:spacing w:val="-1"/>
      <w:szCs w:val="20"/>
      <w:lang w:val="en-GB" w:eastAsia="en-GB"/>
    </w:rPr>
  </w:style>
  <w:style w:type="paragraph" w:styleId="ListBullet3">
    <w:name w:val="List Bullet 3"/>
    <w:basedOn w:val="Normal"/>
    <w:qFormat/>
    <w:rsid w:val="00BE68F3"/>
    <w:pPr>
      <w:spacing w:line="240" w:lineRule="atLeast"/>
    </w:pPr>
    <w:rPr>
      <w:rFonts w:eastAsia="SimSun" w:cs="Times New Roman"/>
      <w:spacing w:val="-1"/>
      <w:szCs w:val="20"/>
      <w:lang w:val="en-GB" w:eastAsia="en-GB"/>
    </w:rPr>
  </w:style>
  <w:style w:type="paragraph" w:styleId="ListBullet4">
    <w:name w:val="List Bullet 4"/>
    <w:basedOn w:val="ListBullet3"/>
    <w:semiHidden/>
    <w:rsid w:val="00597EF7"/>
    <w:pPr>
      <w:tabs>
        <w:tab w:val="num" w:pos="360"/>
      </w:tabs>
      <w:ind w:left="1020"/>
    </w:pPr>
  </w:style>
  <w:style w:type="character" w:customStyle="1" w:styleId="Heading4Char">
    <w:name w:val="Heading 4 Char"/>
    <w:basedOn w:val="DefaultParagraphFont"/>
    <w:link w:val="Heading4"/>
    <w:uiPriority w:val="9"/>
    <w:rsid w:val="00D12938"/>
    <w:rPr>
      <w:rFonts w:ascii="Arial" w:hAnsi="Arial" w:cs="Arial"/>
      <w:b/>
      <w:bCs/>
      <w:color w:val="012749" w:themeColor="accent3"/>
    </w:rPr>
  </w:style>
  <w:style w:type="character" w:customStyle="1" w:styleId="Heading5Char">
    <w:name w:val="Heading 5 Char"/>
    <w:basedOn w:val="DefaultParagraphFont"/>
    <w:link w:val="Heading5"/>
    <w:uiPriority w:val="9"/>
    <w:rsid w:val="00D12938"/>
    <w:rPr>
      <w:rFonts w:ascii="Arial" w:hAnsi="Arial" w:cs="Arial"/>
      <w:color w:val="4B0885" w:themeColor="text2"/>
      <w:sz w:val="19"/>
      <w:szCs w:val="19"/>
    </w:rPr>
  </w:style>
  <w:style w:type="character" w:customStyle="1" w:styleId="Heading6Char">
    <w:name w:val="Heading 6 Char"/>
    <w:basedOn w:val="DefaultParagraphFont"/>
    <w:link w:val="Heading6"/>
    <w:uiPriority w:val="9"/>
    <w:rsid w:val="00D12938"/>
    <w:rPr>
      <w:rFonts w:ascii="Arial" w:eastAsiaTheme="majorEastAsia" w:hAnsi="Arial" w:cstheme="majorBidi"/>
      <w:color w:val="341461" w:themeColor="accent1" w:themeShade="7F"/>
    </w:rPr>
  </w:style>
  <w:style w:type="character" w:customStyle="1" w:styleId="Heading7Char">
    <w:name w:val="Heading 7 Char"/>
    <w:basedOn w:val="DefaultParagraphFont"/>
    <w:link w:val="Heading7"/>
    <w:uiPriority w:val="9"/>
    <w:rsid w:val="00642A9A"/>
    <w:rPr>
      <w:rFonts w:asciiTheme="majorHAnsi" w:eastAsiaTheme="majorEastAsia" w:hAnsiTheme="majorHAnsi" w:cstheme="majorBidi"/>
      <w:i/>
      <w:iCs/>
      <w:color w:val="341461" w:themeColor="accent1" w:themeShade="7F"/>
    </w:r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Caption">
    <w:name w:val="caption"/>
    <w:basedOn w:val="Normal"/>
    <w:next w:val="Normal"/>
    <w:uiPriority w:val="35"/>
    <w:unhideWhenUsed/>
    <w:qFormat/>
    <w:rsid w:val="00642A9A"/>
    <w:pPr>
      <w:keepNext/>
      <w:spacing w:before="320" w:after="200" w:line="240" w:lineRule="auto"/>
    </w:pPr>
    <w:rPr>
      <w:b/>
      <w:bCs/>
      <w:sz w:val="18"/>
      <w:szCs w:val="18"/>
    </w:rPr>
  </w:style>
  <w:style w:type="paragraph" w:styleId="Subtitle">
    <w:name w:val="Subtitle"/>
    <w:basedOn w:val="Normal"/>
    <w:next w:val="Normal"/>
    <w:link w:val="SubtitleChar"/>
    <w:uiPriority w:val="1"/>
    <w:rsid w:val="00233A75"/>
    <w:pPr>
      <w:numPr>
        <w:ilvl w:val="1"/>
      </w:numPr>
      <w:spacing w:before="480" w:after="160"/>
    </w:pPr>
    <w:rPr>
      <w:rFonts w:asciiTheme="majorHAnsi" w:eastAsiaTheme="minorEastAsia" w:hAnsiTheme="majorHAnsi"/>
      <w:color w:val="FFFFFF" w:themeColor="background1"/>
      <w:sz w:val="48"/>
      <w:szCs w:val="48"/>
    </w:rPr>
  </w:style>
  <w:style w:type="character" w:customStyle="1" w:styleId="SubtitleChar">
    <w:name w:val="Subtitle Char"/>
    <w:basedOn w:val="DefaultParagraphFont"/>
    <w:link w:val="Subtitle"/>
    <w:uiPriority w:val="1"/>
    <w:rsid w:val="00233A75"/>
    <w:rPr>
      <w:rFonts w:asciiTheme="majorHAnsi" w:eastAsiaTheme="minorEastAsia" w:hAnsiTheme="majorHAnsi"/>
      <w:color w:val="FFFFFF" w:themeColor="background1"/>
      <w:sz w:val="48"/>
      <w:szCs w:val="48"/>
    </w:rPr>
  </w:style>
  <w:style w:type="paragraph" w:customStyle="1" w:styleId="Spacer">
    <w:name w:val="Spacer"/>
    <w:basedOn w:val="NoSpacing"/>
    <w:qFormat/>
    <w:rsid w:val="00506CD7"/>
    <w:pPr>
      <w:tabs>
        <w:tab w:val="left" w:pos="2906"/>
      </w:tabs>
    </w:pPr>
    <w:rPr>
      <w:rFonts w:ascii="Times New Roman" w:hAnsi="Times New Roman" w:cs="Times New Roman"/>
      <w:bCs/>
      <w:noProof/>
      <w:color w:val="E55493" w:themeColor="accent6" w:themeTint="99"/>
      <w:spacing w:val="-5"/>
      <w:sz w:val="6"/>
      <w:szCs w:val="23"/>
    </w:rPr>
  </w:style>
  <w:style w:type="character" w:styleId="PlaceholderText">
    <w:name w:val="Placeholder Text"/>
    <w:basedOn w:val="DefaultParagraphFont"/>
    <w:uiPriority w:val="99"/>
    <w:semiHidden/>
    <w:rsid w:val="00C6447C"/>
    <w:rPr>
      <w:color w:val="808080"/>
    </w:rPr>
  </w:style>
  <w:style w:type="paragraph" w:customStyle="1" w:styleId="Source">
    <w:name w:val="Source"/>
    <w:basedOn w:val="Normal"/>
    <w:next w:val="Normal"/>
    <w:uiPriority w:val="17"/>
    <w:qFormat/>
    <w:rsid w:val="00AF2783"/>
    <w:pPr>
      <w:spacing w:before="120" w:after="120"/>
    </w:pPr>
    <w:rPr>
      <w:sz w:val="18"/>
      <w:szCs w:val="18"/>
    </w:rPr>
  </w:style>
  <w:style w:type="paragraph" w:styleId="MacroText">
    <w:name w:val="macro"/>
    <w:link w:val="MacroTextChar"/>
    <w:uiPriority w:val="99"/>
    <w:unhideWhenUsed/>
    <w:rsid w:val="00AF2783"/>
    <w:pPr>
      <w:tabs>
        <w:tab w:val="left" w:pos="480"/>
        <w:tab w:val="left" w:pos="960"/>
        <w:tab w:val="left" w:pos="1440"/>
        <w:tab w:val="left" w:pos="1920"/>
        <w:tab w:val="left" w:pos="2400"/>
        <w:tab w:val="left" w:pos="2880"/>
        <w:tab w:val="left" w:pos="3360"/>
        <w:tab w:val="left" w:pos="3840"/>
        <w:tab w:val="left" w:pos="4320"/>
      </w:tabs>
      <w:spacing w:after="0" w:line="264" w:lineRule="auto"/>
    </w:pPr>
    <w:rPr>
      <w:rFonts w:ascii="Consolas" w:hAnsi="Consolas"/>
      <w:sz w:val="20"/>
      <w:szCs w:val="20"/>
    </w:rPr>
  </w:style>
  <w:style w:type="character" w:customStyle="1" w:styleId="MacroTextChar">
    <w:name w:val="Macro Text Char"/>
    <w:basedOn w:val="DefaultParagraphFont"/>
    <w:link w:val="MacroText"/>
    <w:uiPriority w:val="99"/>
    <w:rsid w:val="00AF2783"/>
    <w:rPr>
      <w:rFonts w:ascii="Consolas" w:hAnsi="Consolas"/>
      <w:sz w:val="20"/>
      <w:szCs w:val="20"/>
    </w:rPr>
  </w:style>
  <w:style w:type="table" w:customStyle="1" w:styleId="JSATable1">
    <w:name w:val="JSA Table 1"/>
    <w:basedOn w:val="TableNormal"/>
    <w:uiPriority w:val="99"/>
    <w:rsid w:val="00D73EA4"/>
    <w:pPr>
      <w:spacing w:after="0" w:line="240" w:lineRule="auto"/>
    </w:pPr>
    <w:tblPr>
      <w:tblStyleRowBandSize w:val="1"/>
      <w:tblBorders>
        <w:bottom w:val="single" w:sz="4" w:space="0" w:color="4B0885"/>
      </w:tblBorders>
    </w:tblPr>
    <w:tblStylePr w:type="firstRow">
      <w:tblPr/>
      <w:tcPr>
        <w:shd w:val="clear" w:color="auto" w:fill="2F005F"/>
      </w:tcPr>
    </w:tblStylePr>
    <w:tblStylePr w:type="band2Horz">
      <w:tblPr/>
      <w:tcPr>
        <w:shd w:val="clear" w:color="auto" w:fill="E6E6E6"/>
      </w:tcPr>
    </w:tblStylePr>
  </w:style>
  <w:style w:type="table" w:customStyle="1" w:styleId="JSATable2">
    <w:name w:val="JSA Table 2"/>
    <w:basedOn w:val="TableNormal"/>
    <w:uiPriority w:val="99"/>
    <w:rsid w:val="00A74E0F"/>
    <w:pPr>
      <w:spacing w:after="0" w:line="240" w:lineRule="auto"/>
    </w:pPr>
    <w:tblPr>
      <w:tblStyleRowBandSize w:val="1"/>
      <w:tblBorders>
        <w:bottom w:val="single" w:sz="4" w:space="0" w:color="A584C2"/>
      </w:tblBorders>
    </w:tblPr>
    <w:tblStylePr w:type="firstRow">
      <w:rPr>
        <w:rFonts w:asciiTheme="majorHAnsi" w:hAnsiTheme="majorHAnsi"/>
        <w:color w:val="FFFFFF" w:themeColor="background1"/>
        <w:sz w:val="22"/>
      </w:rPr>
      <w:tblPr/>
      <w:tcPr>
        <w:shd w:val="clear" w:color="auto" w:fill="012749" w:themeFill="accent3"/>
      </w:tcPr>
    </w:tblStylePr>
    <w:tblStylePr w:type="band2Horz">
      <w:tblPr/>
      <w:tcPr>
        <w:shd w:val="clear" w:color="auto" w:fill="E6E6E6"/>
      </w:tcPr>
    </w:tblStylePr>
  </w:style>
  <w:style w:type="paragraph" w:styleId="Index7">
    <w:name w:val="index 7"/>
    <w:basedOn w:val="Normal"/>
    <w:next w:val="Normal"/>
    <w:autoRedefine/>
    <w:uiPriority w:val="99"/>
    <w:semiHidden/>
    <w:unhideWhenUsed/>
    <w:rsid w:val="00244550"/>
    <w:pPr>
      <w:spacing w:before="240" w:after="0" w:line="240" w:lineRule="auto"/>
      <w:ind w:left="1542" w:hanging="221"/>
    </w:pPr>
  </w:style>
  <w:style w:type="character" w:customStyle="1" w:styleId="Heading8Char">
    <w:name w:val="Heading 8 Char"/>
    <w:basedOn w:val="DefaultParagraphFont"/>
    <w:link w:val="Heading8"/>
    <w:uiPriority w:val="9"/>
    <w:semiHidden/>
    <w:rsid w:val="00642A9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42A9A"/>
    <w:rPr>
      <w:rFonts w:asciiTheme="majorHAnsi" w:eastAsiaTheme="majorEastAsia" w:hAnsiTheme="majorHAnsi" w:cstheme="majorBidi"/>
      <w:i/>
      <w:iCs/>
      <w:color w:val="272727" w:themeColor="text1" w:themeTint="D8"/>
      <w:sz w:val="21"/>
      <w:szCs w:val="21"/>
    </w:rPr>
  </w:style>
  <w:style w:type="character" w:customStyle="1" w:styleId="StrongandEmphasis">
    <w:name w:val="Strong and Emphasis"/>
    <w:basedOn w:val="DefaultParagraphFont"/>
    <w:uiPriority w:val="1"/>
    <w:qFormat/>
    <w:rsid w:val="00D12938"/>
    <w:rPr>
      <w:rFonts w:ascii="Arial" w:hAnsi="Arial"/>
      <w:b/>
      <w:i/>
      <w:sz w:val="22"/>
    </w:rPr>
  </w:style>
  <w:style w:type="character" w:styleId="Emphasis">
    <w:name w:val="Emphasis"/>
    <w:basedOn w:val="DefaultParagraphFont"/>
    <w:uiPriority w:val="20"/>
    <w:qFormat/>
    <w:rsid w:val="002927DB"/>
    <w:rPr>
      <w:rFonts w:ascii="Arial" w:hAnsi="Arial"/>
      <w:i/>
      <w:iCs/>
      <w:sz w:val="22"/>
    </w:rPr>
  </w:style>
  <w:style w:type="character" w:styleId="Strong">
    <w:name w:val="Strong"/>
    <w:basedOn w:val="DefaultParagraphFont"/>
    <w:uiPriority w:val="22"/>
    <w:qFormat/>
    <w:rsid w:val="00DB0916"/>
    <w:rPr>
      <w:rFonts w:ascii="Arial" w:hAnsi="Arial"/>
      <w:b/>
      <w:bCs/>
      <w:sz w:val="22"/>
    </w:rPr>
  </w:style>
  <w:style w:type="paragraph" w:styleId="Quote">
    <w:name w:val="Quote"/>
    <w:basedOn w:val="Normal"/>
    <w:next w:val="Normal"/>
    <w:link w:val="QuoteChar"/>
    <w:uiPriority w:val="29"/>
    <w:qFormat/>
    <w:rsid w:val="00DB091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B0916"/>
    <w:rPr>
      <w:rFonts w:ascii="Arial" w:hAnsi="Arial"/>
      <w:i/>
      <w:iCs/>
      <w:color w:val="404040" w:themeColor="text1" w:themeTint="BF"/>
    </w:rPr>
  </w:style>
  <w:style w:type="paragraph" w:customStyle="1" w:styleId="Bodycopy">
    <w:name w:val="Body copy"/>
    <w:basedOn w:val="Normal"/>
    <w:qFormat/>
    <w:rsid w:val="00F21F60"/>
    <w:pPr>
      <w:spacing w:after="160" w:line="259" w:lineRule="auto"/>
    </w:pPr>
    <w:rPr>
      <w:color w:val="000000" w:themeColor="text1"/>
    </w:rPr>
  </w:style>
  <w:style w:type="character" w:styleId="FootnoteReference">
    <w:name w:val="footnote reference"/>
    <w:basedOn w:val="DefaultParagraphFont"/>
    <w:uiPriority w:val="99"/>
    <w:unhideWhenUsed/>
    <w:rsid w:val="00F21F60"/>
    <w:rPr>
      <w:vertAlign w:val="superscript"/>
    </w:rPr>
  </w:style>
  <w:style w:type="character" w:customStyle="1" w:styleId="FootnoteTextChar">
    <w:name w:val="Footnote Text Char"/>
    <w:basedOn w:val="DefaultParagraphFont"/>
    <w:link w:val="FootnoteText"/>
    <w:uiPriority w:val="99"/>
    <w:rsid w:val="00F21F60"/>
    <w:rPr>
      <w:rFonts w:ascii="Arial" w:hAnsi="Arial"/>
      <w:color w:val="000000" w:themeColor="text1"/>
      <w:sz w:val="20"/>
      <w:szCs w:val="20"/>
    </w:rPr>
  </w:style>
  <w:style w:type="paragraph" w:styleId="FootnoteText">
    <w:name w:val="footnote text"/>
    <w:basedOn w:val="Normal"/>
    <w:link w:val="FootnoteTextChar"/>
    <w:uiPriority w:val="99"/>
    <w:unhideWhenUsed/>
    <w:rsid w:val="00F21F60"/>
    <w:pPr>
      <w:spacing w:after="0" w:line="240" w:lineRule="auto"/>
    </w:pPr>
    <w:rPr>
      <w:color w:val="000000" w:themeColor="text1"/>
      <w:sz w:val="20"/>
      <w:szCs w:val="20"/>
    </w:rPr>
  </w:style>
  <w:style w:type="character" w:customStyle="1" w:styleId="FootnoteTextChar1">
    <w:name w:val="Footnote Text Char1"/>
    <w:basedOn w:val="DefaultParagraphFont"/>
    <w:uiPriority w:val="99"/>
    <w:semiHidden/>
    <w:rsid w:val="00F21F60"/>
    <w:rPr>
      <w:rFonts w:ascii="Arial" w:hAnsi="Arial"/>
      <w:sz w:val="20"/>
      <w:szCs w:val="20"/>
    </w:rPr>
  </w:style>
  <w:style w:type="character" w:styleId="Mention">
    <w:name w:val="Mention"/>
    <w:basedOn w:val="DefaultParagraphFont"/>
    <w:uiPriority w:val="99"/>
    <w:unhideWhenUsed/>
    <w:rsid w:val="00F21F60"/>
    <w:rPr>
      <w:color w:val="2B579A"/>
      <w:shd w:val="clear" w:color="auto" w:fill="E1DFDD"/>
    </w:rPr>
  </w:style>
  <w:style w:type="table" w:customStyle="1" w:styleId="DESE">
    <w:name w:val="DESE"/>
    <w:basedOn w:val="TableNormal"/>
    <w:uiPriority w:val="99"/>
    <w:rsid w:val="00E70D25"/>
    <w:pPr>
      <w:spacing w:before="100" w:beforeAutospacing="1" w:after="100" w:afterAutospacing="1" w:line="240" w:lineRule="auto"/>
    </w:pPr>
    <w:tblPr>
      <w:tblStyleRowBandSize w:val="1"/>
    </w:tblPr>
    <w:tcPr>
      <w:vAlign w:val="center"/>
    </w:tcPr>
    <w:tblStylePr w:type="firstRow">
      <w:rPr>
        <w:rFonts w:ascii="Calibri" w:hAnsi="Calibri"/>
        <w:color w:val="FFFFFF" w:themeColor="background1"/>
      </w:rPr>
      <w:tblPr/>
      <w:tcPr>
        <w:shd w:val="clear" w:color="auto" w:fill="441170"/>
      </w:tcPr>
    </w:tblStylePr>
    <w:tblStylePr w:type="firstCol">
      <w:rPr>
        <w:b w:val="0"/>
      </w:rPr>
    </w:tblStylePr>
    <w:tblStylePr w:type="band1Horz">
      <w:tblPr/>
      <w:tcPr>
        <w:tcBorders>
          <w:top w:val="nil"/>
          <w:left w:val="nil"/>
          <w:bottom w:val="nil"/>
          <w:right w:val="nil"/>
          <w:insideH w:val="nil"/>
          <w:insideV w:val="nil"/>
          <w:tl2br w:val="nil"/>
          <w:tr2bl w:val="nil"/>
        </w:tcBorders>
        <w:shd w:val="clear" w:color="auto" w:fill="D9D9D9"/>
      </w:tcPr>
    </w:tblStylePr>
    <w:tblStylePr w:type="nwCell">
      <w:rPr>
        <w:b w:val="0"/>
      </w:rPr>
    </w:tblStylePr>
  </w:style>
  <w:style w:type="paragraph" w:styleId="NormalWeb">
    <w:name w:val="Normal (Web)"/>
    <w:basedOn w:val="Normal"/>
    <w:uiPriority w:val="99"/>
    <w:unhideWhenUsed/>
    <w:rsid w:val="00E70D25"/>
    <w:pPr>
      <w:spacing w:before="100" w:beforeAutospacing="1" w:afterAutospacing="1" w:line="240" w:lineRule="auto"/>
    </w:pPr>
    <w:rPr>
      <w:rFonts w:ascii="Times New Roman" w:eastAsia="Times New Roman" w:hAnsi="Times New Roman" w:cs="Times New Roman"/>
      <w:sz w:val="24"/>
      <w:szCs w:val="24"/>
      <w:lang w:eastAsia="en-AU"/>
    </w:rPr>
  </w:style>
  <w:style w:type="paragraph" w:customStyle="1" w:styleId="ChartandTablelabel">
    <w:name w:val="Chart and Table label"/>
    <w:basedOn w:val="Normal"/>
    <w:qFormat/>
    <w:rsid w:val="00E70D25"/>
    <w:pPr>
      <w:spacing w:after="160" w:line="259" w:lineRule="auto"/>
    </w:pPr>
    <w:rPr>
      <w:b/>
      <w:color w:val="000000" w:themeColor="text1"/>
      <w:sz w:val="20"/>
      <w:lang w:val="en-US"/>
    </w:rPr>
  </w:style>
  <w:style w:type="paragraph" w:customStyle="1" w:styleId="Tableheader">
    <w:name w:val="Table header"/>
    <w:basedOn w:val="Normal"/>
    <w:qFormat/>
    <w:rsid w:val="00E70D25"/>
    <w:pPr>
      <w:spacing w:before="120" w:after="120" w:line="240" w:lineRule="auto"/>
    </w:pPr>
    <w:rPr>
      <w:b/>
      <w:color w:val="FFFFFF" w:themeColor="background1"/>
      <w:lang w:val="en-US"/>
    </w:rPr>
  </w:style>
  <w:style w:type="paragraph" w:customStyle="1" w:styleId="Tablebodycopy">
    <w:name w:val="Table body copy"/>
    <w:basedOn w:val="Normal"/>
    <w:qFormat/>
    <w:rsid w:val="00E70D25"/>
    <w:pPr>
      <w:spacing w:before="120" w:after="120" w:line="240" w:lineRule="auto"/>
    </w:pPr>
    <w:rPr>
      <w:color w:val="000000" w:themeColor="text1"/>
      <w:lang w:val="en-US"/>
    </w:rPr>
  </w:style>
  <w:style w:type="paragraph" w:customStyle="1" w:styleId="Dateoncover">
    <w:name w:val="Date on cover"/>
    <w:basedOn w:val="Normal"/>
    <w:qFormat/>
    <w:rsid w:val="00E70D25"/>
    <w:pPr>
      <w:spacing w:after="160" w:line="259" w:lineRule="auto"/>
    </w:pPr>
    <w:rPr>
      <w:rFonts w:cs="Arial"/>
      <w:b/>
      <w:bCs/>
      <w:color w:val="000000" w:themeColor="text1"/>
      <w:sz w:val="28"/>
      <w:szCs w:val="28"/>
    </w:rPr>
  </w:style>
  <w:style w:type="paragraph" w:customStyle="1" w:styleId="coversubtitle">
    <w:name w:val="cover subtitle"/>
    <w:basedOn w:val="Bodycopy"/>
    <w:qFormat/>
    <w:rsid w:val="00E70D25"/>
    <w:pPr>
      <w:spacing w:after="400"/>
    </w:pPr>
    <w:rPr>
      <w:sz w:val="40"/>
      <w:szCs w:val="40"/>
    </w:rPr>
  </w:style>
  <w:style w:type="character" w:customStyle="1" w:styleId="ui-provider">
    <w:name w:val="ui-provider"/>
    <w:basedOn w:val="DefaultParagraphFont"/>
    <w:rsid w:val="00E70D25"/>
  </w:style>
  <w:style w:type="paragraph" w:styleId="Revision">
    <w:name w:val="Revision"/>
    <w:hidden/>
    <w:uiPriority w:val="99"/>
    <w:semiHidden/>
    <w:rsid w:val="00E70D25"/>
    <w:pPr>
      <w:spacing w:after="0" w:line="240" w:lineRule="auto"/>
    </w:pPr>
    <w:rPr>
      <w:rFonts w:ascii="Arial" w:hAnsi="Arial"/>
      <w:color w:val="000000" w:themeColor="text1"/>
    </w:rPr>
  </w:style>
  <w:style w:type="character" w:styleId="FollowedHyperlink">
    <w:name w:val="FollowedHyperlink"/>
    <w:basedOn w:val="DefaultParagraphFont"/>
    <w:uiPriority w:val="99"/>
    <w:semiHidden/>
    <w:unhideWhenUsed/>
    <w:rsid w:val="00E70D25"/>
    <w:rPr>
      <w:color w:val="954F72"/>
      <w:u w:val="single"/>
    </w:rPr>
  </w:style>
  <w:style w:type="paragraph" w:customStyle="1" w:styleId="msonormal0">
    <w:name w:val="msonormal"/>
    <w:basedOn w:val="Normal"/>
    <w:rsid w:val="00E70D25"/>
    <w:pPr>
      <w:spacing w:before="100" w:beforeAutospacing="1" w:afterAutospacing="1" w:line="240" w:lineRule="auto"/>
    </w:pPr>
    <w:rPr>
      <w:rFonts w:ascii="Times New Roman" w:eastAsia="Times New Roman" w:hAnsi="Times New Roman" w:cs="Times New Roman"/>
      <w:sz w:val="24"/>
      <w:szCs w:val="24"/>
      <w:lang w:eastAsia="en-AU"/>
    </w:rPr>
  </w:style>
  <w:style w:type="paragraph" w:customStyle="1" w:styleId="xl63">
    <w:name w:val="xl63"/>
    <w:basedOn w:val="Normal"/>
    <w:rsid w:val="00E70D25"/>
    <w:pPr>
      <w:shd w:val="clear" w:color="auto" w:fill="D9D9D9"/>
      <w:spacing w:before="100" w:beforeAutospacing="1" w:afterAutospacing="1" w:line="240" w:lineRule="auto"/>
      <w:jc w:val="right"/>
    </w:pPr>
    <w:rPr>
      <w:rFonts w:ascii="Times New Roman" w:eastAsia="Times New Roman" w:hAnsi="Times New Roman" w:cs="Times New Roman"/>
      <w:color w:val="000000"/>
      <w:sz w:val="24"/>
      <w:szCs w:val="24"/>
      <w:lang w:eastAsia="en-AU"/>
    </w:rPr>
  </w:style>
  <w:style w:type="paragraph" w:customStyle="1" w:styleId="xl64">
    <w:name w:val="xl64"/>
    <w:basedOn w:val="Normal"/>
    <w:rsid w:val="00E70D25"/>
    <w:pPr>
      <w:shd w:val="clear" w:color="auto" w:fill="D9D9D9"/>
      <w:spacing w:before="100" w:beforeAutospacing="1" w:afterAutospacing="1" w:line="240" w:lineRule="auto"/>
    </w:pPr>
    <w:rPr>
      <w:rFonts w:ascii="Times New Roman" w:eastAsia="Times New Roman" w:hAnsi="Times New Roman" w:cs="Times New Roman"/>
      <w:color w:val="000000"/>
      <w:sz w:val="24"/>
      <w:szCs w:val="24"/>
      <w:lang w:eastAsia="en-AU"/>
    </w:rPr>
  </w:style>
  <w:style w:type="paragraph" w:customStyle="1" w:styleId="xl65">
    <w:name w:val="xl65"/>
    <w:basedOn w:val="Normal"/>
    <w:rsid w:val="00E70D25"/>
    <w:pPr>
      <w:shd w:val="clear" w:color="auto" w:fill="D9D9D9"/>
      <w:spacing w:before="100" w:beforeAutospacing="1" w:afterAutospacing="1" w:line="240" w:lineRule="auto"/>
    </w:pPr>
    <w:rPr>
      <w:rFonts w:eastAsia="Times New Roman" w:cs="Arial"/>
      <w:sz w:val="24"/>
      <w:szCs w:val="24"/>
      <w:lang w:eastAsia="en-AU"/>
    </w:rPr>
  </w:style>
  <w:style w:type="paragraph" w:customStyle="1" w:styleId="xl66">
    <w:name w:val="xl66"/>
    <w:basedOn w:val="Normal"/>
    <w:rsid w:val="00E70D25"/>
    <w:pPr>
      <w:spacing w:before="100" w:beforeAutospacing="1" w:afterAutospacing="1" w:line="240" w:lineRule="auto"/>
      <w:jc w:val="right"/>
    </w:pPr>
    <w:rPr>
      <w:rFonts w:ascii="Times New Roman" w:eastAsia="Times New Roman" w:hAnsi="Times New Roman" w:cs="Times New Roman"/>
      <w:color w:val="000000"/>
      <w:sz w:val="24"/>
      <w:szCs w:val="24"/>
      <w:lang w:eastAsia="en-AU"/>
    </w:rPr>
  </w:style>
  <w:style w:type="paragraph" w:customStyle="1" w:styleId="xl67">
    <w:name w:val="xl67"/>
    <w:basedOn w:val="Normal"/>
    <w:rsid w:val="00E70D25"/>
    <w:pPr>
      <w:spacing w:before="100" w:beforeAutospacing="1" w:afterAutospacing="1" w:line="240" w:lineRule="auto"/>
    </w:pPr>
    <w:rPr>
      <w:rFonts w:ascii="Times New Roman" w:eastAsia="Times New Roman" w:hAnsi="Times New Roman" w:cs="Times New Roman"/>
      <w:color w:val="000000"/>
      <w:sz w:val="24"/>
      <w:szCs w:val="24"/>
      <w:lang w:eastAsia="en-AU"/>
    </w:rPr>
  </w:style>
  <w:style w:type="paragraph" w:customStyle="1" w:styleId="xl68">
    <w:name w:val="xl68"/>
    <w:basedOn w:val="Normal"/>
    <w:rsid w:val="00E70D25"/>
    <w:pPr>
      <w:spacing w:before="100" w:beforeAutospacing="1" w:afterAutospacing="1" w:line="240" w:lineRule="auto"/>
    </w:pPr>
    <w:rPr>
      <w:rFonts w:eastAsia="Times New Roman" w:cs="Arial"/>
      <w:sz w:val="24"/>
      <w:szCs w:val="24"/>
      <w:lang w:eastAsia="en-AU"/>
    </w:rPr>
  </w:style>
  <w:style w:type="character" w:customStyle="1" w:styleId="normaltextrun">
    <w:name w:val="normaltextrun"/>
    <w:basedOn w:val="DefaultParagraphFont"/>
    <w:rsid w:val="00E70D25"/>
  </w:style>
  <w:style w:type="character" w:customStyle="1" w:styleId="findhit">
    <w:name w:val="findhit"/>
    <w:basedOn w:val="DefaultParagraphFont"/>
    <w:rsid w:val="00E70D25"/>
  </w:style>
  <w:style w:type="paragraph" w:customStyle="1" w:styleId="paragraph">
    <w:name w:val="paragraph"/>
    <w:basedOn w:val="Normal"/>
    <w:rsid w:val="00E70D25"/>
    <w:pPr>
      <w:spacing w:before="100" w:beforeAutospacing="1" w:afterAutospacing="1" w:line="240" w:lineRule="auto"/>
    </w:pPr>
    <w:rPr>
      <w:rFonts w:ascii="Times New Roman" w:eastAsia="Times New Roman" w:hAnsi="Times New Roman" w:cs="Times New Roman"/>
      <w:sz w:val="24"/>
      <w:szCs w:val="24"/>
      <w:lang w:eastAsia="en-AU"/>
    </w:rPr>
  </w:style>
  <w:style w:type="character" w:customStyle="1" w:styleId="eop">
    <w:name w:val="eop"/>
    <w:basedOn w:val="DefaultParagraphFont"/>
    <w:rsid w:val="00E70D25"/>
  </w:style>
  <w:style w:type="paragraph" w:styleId="TableofFigures">
    <w:name w:val="table of figures"/>
    <w:basedOn w:val="Normal"/>
    <w:next w:val="Normal"/>
    <w:uiPriority w:val="99"/>
    <w:unhideWhenUsed/>
    <w:rsid w:val="00B72CB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580518">
      <w:bodyDiv w:val="1"/>
      <w:marLeft w:val="0"/>
      <w:marRight w:val="0"/>
      <w:marTop w:val="0"/>
      <w:marBottom w:val="0"/>
      <w:divBdr>
        <w:top w:val="none" w:sz="0" w:space="0" w:color="auto"/>
        <w:left w:val="none" w:sz="0" w:space="0" w:color="auto"/>
        <w:bottom w:val="none" w:sz="0" w:space="0" w:color="auto"/>
        <w:right w:val="none" w:sz="0" w:space="0" w:color="auto"/>
      </w:divBdr>
    </w:div>
    <w:div w:id="289943885">
      <w:bodyDiv w:val="1"/>
      <w:marLeft w:val="0"/>
      <w:marRight w:val="0"/>
      <w:marTop w:val="0"/>
      <w:marBottom w:val="0"/>
      <w:divBdr>
        <w:top w:val="none" w:sz="0" w:space="0" w:color="auto"/>
        <w:left w:val="none" w:sz="0" w:space="0" w:color="auto"/>
        <w:bottom w:val="none" w:sz="0" w:space="0" w:color="auto"/>
        <w:right w:val="none" w:sz="0" w:space="0" w:color="auto"/>
      </w:divBdr>
    </w:div>
    <w:div w:id="400833239">
      <w:bodyDiv w:val="1"/>
      <w:marLeft w:val="0"/>
      <w:marRight w:val="0"/>
      <w:marTop w:val="0"/>
      <w:marBottom w:val="0"/>
      <w:divBdr>
        <w:top w:val="none" w:sz="0" w:space="0" w:color="auto"/>
        <w:left w:val="none" w:sz="0" w:space="0" w:color="auto"/>
        <w:bottom w:val="none" w:sz="0" w:space="0" w:color="auto"/>
        <w:right w:val="none" w:sz="0" w:space="0" w:color="auto"/>
      </w:divBdr>
    </w:div>
    <w:div w:id="543298368">
      <w:bodyDiv w:val="1"/>
      <w:marLeft w:val="0"/>
      <w:marRight w:val="0"/>
      <w:marTop w:val="0"/>
      <w:marBottom w:val="0"/>
      <w:divBdr>
        <w:top w:val="none" w:sz="0" w:space="0" w:color="auto"/>
        <w:left w:val="none" w:sz="0" w:space="0" w:color="auto"/>
        <w:bottom w:val="none" w:sz="0" w:space="0" w:color="auto"/>
        <w:right w:val="none" w:sz="0" w:space="0" w:color="auto"/>
      </w:divBdr>
    </w:div>
    <w:div w:id="591356595">
      <w:bodyDiv w:val="1"/>
      <w:marLeft w:val="0"/>
      <w:marRight w:val="0"/>
      <w:marTop w:val="0"/>
      <w:marBottom w:val="0"/>
      <w:divBdr>
        <w:top w:val="none" w:sz="0" w:space="0" w:color="auto"/>
        <w:left w:val="none" w:sz="0" w:space="0" w:color="auto"/>
        <w:bottom w:val="none" w:sz="0" w:space="0" w:color="auto"/>
        <w:right w:val="none" w:sz="0" w:space="0" w:color="auto"/>
      </w:divBdr>
    </w:div>
    <w:div w:id="769468268">
      <w:bodyDiv w:val="1"/>
      <w:marLeft w:val="0"/>
      <w:marRight w:val="0"/>
      <w:marTop w:val="0"/>
      <w:marBottom w:val="0"/>
      <w:divBdr>
        <w:top w:val="none" w:sz="0" w:space="0" w:color="auto"/>
        <w:left w:val="none" w:sz="0" w:space="0" w:color="auto"/>
        <w:bottom w:val="none" w:sz="0" w:space="0" w:color="auto"/>
        <w:right w:val="none" w:sz="0" w:space="0" w:color="auto"/>
      </w:divBdr>
      <w:divsChild>
        <w:div w:id="420950709">
          <w:marLeft w:val="0"/>
          <w:marRight w:val="0"/>
          <w:marTop w:val="0"/>
          <w:marBottom w:val="0"/>
          <w:divBdr>
            <w:top w:val="none" w:sz="0" w:space="0" w:color="auto"/>
            <w:left w:val="none" w:sz="0" w:space="0" w:color="auto"/>
            <w:bottom w:val="none" w:sz="0" w:space="0" w:color="auto"/>
            <w:right w:val="none" w:sz="0" w:space="0" w:color="auto"/>
          </w:divBdr>
          <w:divsChild>
            <w:div w:id="677536495">
              <w:marLeft w:val="0"/>
              <w:marRight w:val="0"/>
              <w:marTop w:val="0"/>
              <w:marBottom w:val="0"/>
              <w:divBdr>
                <w:top w:val="none" w:sz="0" w:space="0" w:color="auto"/>
                <w:left w:val="none" w:sz="0" w:space="0" w:color="auto"/>
                <w:bottom w:val="none" w:sz="0" w:space="0" w:color="auto"/>
                <w:right w:val="none" w:sz="0" w:space="0" w:color="auto"/>
              </w:divBdr>
              <w:divsChild>
                <w:div w:id="1282303838">
                  <w:marLeft w:val="0"/>
                  <w:marRight w:val="0"/>
                  <w:marTop w:val="0"/>
                  <w:marBottom w:val="0"/>
                  <w:divBdr>
                    <w:top w:val="none" w:sz="0" w:space="0" w:color="auto"/>
                    <w:left w:val="none" w:sz="0" w:space="0" w:color="auto"/>
                    <w:bottom w:val="none" w:sz="0" w:space="0" w:color="auto"/>
                    <w:right w:val="none" w:sz="0" w:space="0" w:color="auto"/>
                  </w:divBdr>
                  <w:divsChild>
                    <w:div w:id="1493788264">
                      <w:marLeft w:val="0"/>
                      <w:marRight w:val="0"/>
                      <w:marTop w:val="100"/>
                      <w:marBottom w:val="100"/>
                      <w:divBdr>
                        <w:top w:val="none" w:sz="0" w:space="0" w:color="auto"/>
                        <w:left w:val="none" w:sz="0" w:space="0" w:color="auto"/>
                        <w:bottom w:val="none" w:sz="0" w:space="0" w:color="auto"/>
                        <w:right w:val="none" w:sz="0" w:space="0" w:color="auto"/>
                      </w:divBdr>
                      <w:divsChild>
                        <w:div w:id="1765106310">
                          <w:marLeft w:val="0"/>
                          <w:marRight w:val="0"/>
                          <w:marTop w:val="0"/>
                          <w:marBottom w:val="0"/>
                          <w:divBdr>
                            <w:top w:val="none" w:sz="0" w:space="0" w:color="auto"/>
                            <w:left w:val="none" w:sz="0" w:space="0" w:color="auto"/>
                            <w:bottom w:val="none" w:sz="0" w:space="0" w:color="auto"/>
                            <w:right w:val="none" w:sz="0" w:space="0" w:color="auto"/>
                          </w:divBdr>
                          <w:divsChild>
                            <w:div w:id="1655907773">
                              <w:marLeft w:val="0"/>
                              <w:marRight w:val="0"/>
                              <w:marTop w:val="0"/>
                              <w:marBottom w:val="0"/>
                              <w:divBdr>
                                <w:top w:val="single" w:sz="6" w:space="2" w:color="E6E7E8"/>
                                <w:left w:val="single" w:sz="6" w:space="2" w:color="E6E7E8"/>
                                <w:bottom w:val="single" w:sz="6" w:space="2" w:color="E6E7E8"/>
                                <w:right w:val="single" w:sz="6" w:space="2" w:color="E6E7E8"/>
                              </w:divBdr>
                              <w:divsChild>
                                <w:div w:id="1425344075">
                                  <w:marLeft w:val="0"/>
                                  <w:marRight w:val="0"/>
                                  <w:marTop w:val="15"/>
                                  <w:marBottom w:val="0"/>
                                  <w:divBdr>
                                    <w:top w:val="none" w:sz="0" w:space="0" w:color="auto"/>
                                    <w:left w:val="none" w:sz="0" w:space="0" w:color="auto"/>
                                    <w:bottom w:val="none" w:sz="0" w:space="0" w:color="auto"/>
                                    <w:right w:val="none" w:sz="0" w:space="0" w:color="auto"/>
                                  </w:divBdr>
                                  <w:divsChild>
                                    <w:div w:id="156598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2915838">
          <w:marLeft w:val="0"/>
          <w:marRight w:val="0"/>
          <w:marTop w:val="0"/>
          <w:marBottom w:val="0"/>
          <w:divBdr>
            <w:top w:val="none" w:sz="0" w:space="0" w:color="auto"/>
            <w:left w:val="none" w:sz="0" w:space="0" w:color="auto"/>
            <w:bottom w:val="none" w:sz="0" w:space="0" w:color="auto"/>
            <w:right w:val="none" w:sz="0" w:space="0" w:color="auto"/>
          </w:divBdr>
          <w:divsChild>
            <w:div w:id="155348137">
              <w:marLeft w:val="0"/>
              <w:marRight w:val="0"/>
              <w:marTop w:val="0"/>
              <w:marBottom w:val="0"/>
              <w:divBdr>
                <w:top w:val="none" w:sz="0" w:space="0" w:color="auto"/>
                <w:left w:val="none" w:sz="0" w:space="0" w:color="auto"/>
                <w:bottom w:val="none" w:sz="0" w:space="0" w:color="auto"/>
                <w:right w:val="none" w:sz="0" w:space="0" w:color="auto"/>
              </w:divBdr>
              <w:divsChild>
                <w:div w:id="569267389">
                  <w:marLeft w:val="0"/>
                  <w:marRight w:val="0"/>
                  <w:marTop w:val="0"/>
                  <w:marBottom w:val="0"/>
                  <w:divBdr>
                    <w:top w:val="none" w:sz="0" w:space="0" w:color="auto"/>
                    <w:left w:val="none" w:sz="0" w:space="0" w:color="auto"/>
                    <w:bottom w:val="none" w:sz="0" w:space="0" w:color="auto"/>
                    <w:right w:val="none" w:sz="0" w:space="0" w:color="auto"/>
                  </w:divBdr>
                  <w:divsChild>
                    <w:div w:id="999649372">
                      <w:marLeft w:val="0"/>
                      <w:marRight w:val="0"/>
                      <w:marTop w:val="0"/>
                      <w:marBottom w:val="0"/>
                      <w:divBdr>
                        <w:top w:val="none" w:sz="0" w:space="0" w:color="auto"/>
                        <w:left w:val="none" w:sz="0" w:space="0" w:color="auto"/>
                        <w:bottom w:val="none" w:sz="0" w:space="0" w:color="auto"/>
                        <w:right w:val="none" w:sz="0" w:space="0" w:color="auto"/>
                      </w:divBdr>
                      <w:divsChild>
                        <w:div w:id="383334570">
                          <w:marLeft w:val="0"/>
                          <w:marRight w:val="0"/>
                          <w:marTop w:val="0"/>
                          <w:marBottom w:val="0"/>
                          <w:divBdr>
                            <w:top w:val="none" w:sz="0" w:space="0" w:color="auto"/>
                            <w:left w:val="none" w:sz="0" w:space="0" w:color="auto"/>
                            <w:bottom w:val="none" w:sz="0" w:space="0" w:color="auto"/>
                            <w:right w:val="none" w:sz="0" w:space="0" w:color="auto"/>
                          </w:divBdr>
                          <w:divsChild>
                            <w:div w:id="1538355395">
                              <w:marLeft w:val="0"/>
                              <w:marRight w:val="0"/>
                              <w:marTop w:val="0"/>
                              <w:marBottom w:val="0"/>
                              <w:divBdr>
                                <w:top w:val="none" w:sz="0" w:space="0" w:color="auto"/>
                                <w:left w:val="none" w:sz="0" w:space="0" w:color="auto"/>
                                <w:bottom w:val="none" w:sz="0" w:space="0" w:color="auto"/>
                                <w:right w:val="none" w:sz="0" w:space="0" w:color="auto"/>
                              </w:divBdr>
                              <w:divsChild>
                                <w:div w:id="134270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0084066">
      <w:bodyDiv w:val="1"/>
      <w:marLeft w:val="0"/>
      <w:marRight w:val="0"/>
      <w:marTop w:val="0"/>
      <w:marBottom w:val="0"/>
      <w:divBdr>
        <w:top w:val="none" w:sz="0" w:space="0" w:color="auto"/>
        <w:left w:val="none" w:sz="0" w:space="0" w:color="auto"/>
        <w:bottom w:val="none" w:sz="0" w:space="0" w:color="auto"/>
        <w:right w:val="none" w:sz="0" w:space="0" w:color="auto"/>
      </w:divBdr>
      <w:divsChild>
        <w:div w:id="157380584">
          <w:marLeft w:val="0"/>
          <w:marRight w:val="0"/>
          <w:marTop w:val="0"/>
          <w:marBottom w:val="0"/>
          <w:divBdr>
            <w:top w:val="none" w:sz="0" w:space="0" w:color="auto"/>
            <w:left w:val="none" w:sz="0" w:space="0" w:color="auto"/>
            <w:bottom w:val="none" w:sz="0" w:space="0" w:color="auto"/>
            <w:right w:val="none" w:sz="0" w:space="0" w:color="auto"/>
          </w:divBdr>
          <w:divsChild>
            <w:div w:id="1480728418">
              <w:marLeft w:val="0"/>
              <w:marRight w:val="0"/>
              <w:marTop w:val="0"/>
              <w:marBottom w:val="0"/>
              <w:divBdr>
                <w:top w:val="none" w:sz="0" w:space="0" w:color="auto"/>
                <w:left w:val="none" w:sz="0" w:space="0" w:color="auto"/>
                <w:bottom w:val="none" w:sz="0" w:space="0" w:color="auto"/>
                <w:right w:val="none" w:sz="0" w:space="0" w:color="auto"/>
              </w:divBdr>
              <w:divsChild>
                <w:div w:id="762921097">
                  <w:marLeft w:val="0"/>
                  <w:marRight w:val="0"/>
                  <w:marTop w:val="0"/>
                  <w:marBottom w:val="0"/>
                  <w:divBdr>
                    <w:top w:val="none" w:sz="0" w:space="0" w:color="auto"/>
                    <w:left w:val="none" w:sz="0" w:space="0" w:color="auto"/>
                    <w:bottom w:val="none" w:sz="0" w:space="0" w:color="auto"/>
                    <w:right w:val="none" w:sz="0" w:space="0" w:color="auto"/>
                  </w:divBdr>
                  <w:divsChild>
                    <w:div w:id="1101536449">
                      <w:marLeft w:val="0"/>
                      <w:marRight w:val="0"/>
                      <w:marTop w:val="0"/>
                      <w:marBottom w:val="0"/>
                      <w:divBdr>
                        <w:top w:val="none" w:sz="0" w:space="0" w:color="auto"/>
                        <w:left w:val="none" w:sz="0" w:space="0" w:color="auto"/>
                        <w:bottom w:val="none" w:sz="0" w:space="0" w:color="auto"/>
                        <w:right w:val="none" w:sz="0" w:space="0" w:color="auto"/>
                      </w:divBdr>
                      <w:divsChild>
                        <w:div w:id="1188249484">
                          <w:marLeft w:val="0"/>
                          <w:marRight w:val="0"/>
                          <w:marTop w:val="0"/>
                          <w:marBottom w:val="0"/>
                          <w:divBdr>
                            <w:top w:val="none" w:sz="0" w:space="0" w:color="auto"/>
                            <w:left w:val="none" w:sz="0" w:space="0" w:color="auto"/>
                            <w:bottom w:val="none" w:sz="0" w:space="0" w:color="auto"/>
                            <w:right w:val="none" w:sz="0" w:space="0" w:color="auto"/>
                          </w:divBdr>
                          <w:divsChild>
                            <w:div w:id="1611820218">
                              <w:marLeft w:val="0"/>
                              <w:marRight w:val="0"/>
                              <w:marTop w:val="0"/>
                              <w:marBottom w:val="0"/>
                              <w:divBdr>
                                <w:top w:val="none" w:sz="0" w:space="0" w:color="auto"/>
                                <w:left w:val="none" w:sz="0" w:space="0" w:color="auto"/>
                                <w:bottom w:val="none" w:sz="0" w:space="0" w:color="auto"/>
                                <w:right w:val="none" w:sz="0" w:space="0" w:color="auto"/>
                              </w:divBdr>
                              <w:divsChild>
                                <w:div w:id="64455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0422658">
          <w:marLeft w:val="0"/>
          <w:marRight w:val="0"/>
          <w:marTop w:val="0"/>
          <w:marBottom w:val="0"/>
          <w:divBdr>
            <w:top w:val="none" w:sz="0" w:space="0" w:color="auto"/>
            <w:left w:val="none" w:sz="0" w:space="0" w:color="auto"/>
            <w:bottom w:val="none" w:sz="0" w:space="0" w:color="auto"/>
            <w:right w:val="none" w:sz="0" w:space="0" w:color="auto"/>
          </w:divBdr>
          <w:divsChild>
            <w:div w:id="989559432">
              <w:marLeft w:val="0"/>
              <w:marRight w:val="0"/>
              <w:marTop w:val="0"/>
              <w:marBottom w:val="0"/>
              <w:divBdr>
                <w:top w:val="none" w:sz="0" w:space="0" w:color="auto"/>
                <w:left w:val="none" w:sz="0" w:space="0" w:color="auto"/>
                <w:bottom w:val="none" w:sz="0" w:space="0" w:color="auto"/>
                <w:right w:val="none" w:sz="0" w:space="0" w:color="auto"/>
              </w:divBdr>
              <w:divsChild>
                <w:div w:id="854424746">
                  <w:marLeft w:val="0"/>
                  <w:marRight w:val="0"/>
                  <w:marTop w:val="0"/>
                  <w:marBottom w:val="0"/>
                  <w:divBdr>
                    <w:top w:val="none" w:sz="0" w:space="0" w:color="auto"/>
                    <w:left w:val="none" w:sz="0" w:space="0" w:color="auto"/>
                    <w:bottom w:val="none" w:sz="0" w:space="0" w:color="auto"/>
                    <w:right w:val="none" w:sz="0" w:space="0" w:color="auto"/>
                  </w:divBdr>
                  <w:divsChild>
                    <w:div w:id="924537276">
                      <w:marLeft w:val="0"/>
                      <w:marRight w:val="0"/>
                      <w:marTop w:val="100"/>
                      <w:marBottom w:val="100"/>
                      <w:divBdr>
                        <w:top w:val="none" w:sz="0" w:space="0" w:color="auto"/>
                        <w:left w:val="none" w:sz="0" w:space="0" w:color="auto"/>
                        <w:bottom w:val="none" w:sz="0" w:space="0" w:color="auto"/>
                        <w:right w:val="none" w:sz="0" w:space="0" w:color="auto"/>
                      </w:divBdr>
                      <w:divsChild>
                        <w:div w:id="496960167">
                          <w:marLeft w:val="0"/>
                          <w:marRight w:val="0"/>
                          <w:marTop w:val="0"/>
                          <w:marBottom w:val="0"/>
                          <w:divBdr>
                            <w:top w:val="none" w:sz="0" w:space="0" w:color="auto"/>
                            <w:left w:val="none" w:sz="0" w:space="0" w:color="auto"/>
                            <w:bottom w:val="none" w:sz="0" w:space="0" w:color="auto"/>
                            <w:right w:val="none" w:sz="0" w:space="0" w:color="auto"/>
                          </w:divBdr>
                          <w:divsChild>
                            <w:div w:id="2076387515">
                              <w:marLeft w:val="0"/>
                              <w:marRight w:val="0"/>
                              <w:marTop w:val="0"/>
                              <w:marBottom w:val="0"/>
                              <w:divBdr>
                                <w:top w:val="single" w:sz="6" w:space="2" w:color="E6E7E8"/>
                                <w:left w:val="single" w:sz="6" w:space="2" w:color="E6E7E8"/>
                                <w:bottom w:val="single" w:sz="6" w:space="2" w:color="E6E7E8"/>
                                <w:right w:val="single" w:sz="6" w:space="2" w:color="E6E7E8"/>
                              </w:divBdr>
                              <w:divsChild>
                                <w:div w:id="2108965686">
                                  <w:marLeft w:val="0"/>
                                  <w:marRight w:val="0"/>
                                  <w:marTop w:val="15"/>
                                  <w:marBottom w:val="0"/>
                                  <w:divBdr>
                                    <w:top w:val="none" w:sz="0" w:space="0" w:color="auto"/>
                                    <w:left w:val="none" w:sz="0" w:space="0" w:color="auto"/>
                                    <w:bottom w:val="none" w:sz="0" w:space="0" w:color="auto"/>
                                    <w:right w:val="none" w:sz="0" w:space="0" w:color="auto"/>
                                  </w:divBdr>
                                  <w:divsChild>
                                    <w:div w:id="210537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3945607">
      <w:bodyDiv w:val="1"/>
      <w:marLeft w:val="0"/>
      <w:marRight w:val="0"/>
      <w:marTop w:val="0"/>
      <w:marBottom w:val="0"/>
      <w:divBdr>
        <w:top w:val="none" w:sz="0" w:space="0" w:color="auto"/>
        <w:left w:val="none" w:sz="0" w:space="0" w:color="auto"/>
        <w:bottom w:val="none" w:sz="0" w:space="0" w:color="auto"/>
        <w:right w:val="none" w:sz="0" w:space="0" w:color="auto"/>
      </w:divBdr>
    </w:div>
    <w:div w:id="1803421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chart" Target="charts/chart2.xml"/><Relationship Id="rId26" Type="http://schemas.openxmlformats.org/officeDocument/2006/relationships/chart" Target="charts/chart9.xml"/><Relationship Id="rId39" Type="http://schemas.openxmlformats.org/officeDocument/2006/relationships/image" Target="media/image6.png"/><Relationship Id="rId21" Type="http://schemas.openxmlformats.org/officeDocument/2006/relationships/chart" Target="charts/chart5.xml"/><Relationship Id="rId34" Type="http://schemas.openxmlformats.org/officeDocument/2006/relationships/image" Target="media/image5.png"/><Relationship Id="rId42"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chart" Target="charts/chart4.xml"/><Relationship Id="rId29" Type="http://schemas.openxmlformats.org/officeDocument/2006/relationships/chart" Target="charts/chart10.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chart" Target="charts/chart7.xml"/><Relationship Id="rId32" Type="http://schemas.openxmlformats.org/officeDocument/2006/relationships/chart" Target="charts/chart13.xml"/><Relationship Id="rId37" Type="http://schemas.openxmlformats.org/officeDocument/2006/relationships/chart" Target="charts/chart16.xml"/><Relationship Id="rId40"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chart" Target="charts/chart6.xml"/><Relationship Id="rId28" Type="http://schemas.openxmlformats.org/officeDocument/2006/relationships/footer" Target="footer4.xml"/><Relationship Id="rId36" Type="http://schemas.openxmlformats.org/officeDocument/2006/relationships/chart" Target="charts/chart15.xml"/><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chart" Target="charts/chart12.xml"/><Relationship Id="rId44"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3.png"/><Relationship Id="rId27" Type="http://schemas.openxmlformats.org/officeDocument/2006/relationships/footer" Target="footer3.xml"/><Relationship Id="rId30" Type="http://schemas.openxmlformats.org/officeDocument/2006/relationships/chart" Target="charts/chart11.xml"/><Relationship Id="rId35" Type="http://schemas.openxmlformats.org/officeDocument/2006/relationships/chart" Target="charts/chart14.xm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chart" Target="charts/chart8.xml"/><Relationship Id="rId33" Type="http://schemas.openxmlformats.org/officeDocument/2006/relationships/image" Target="media/image4.png"/><Relationship Id="rId38" Type="http://schemas.openxmlformats.org/officeDocument/2006/relationships/chart" Target="charts/chart17.xml"/></Relationships>
</file>

<file path=word/_rels/footnotes.xml.rels><?xml version="1.0" encoding="UTF-8" standalone="yes"?>
<Relationships xmlns="http://schemas.openxmlformats.org/package/2006/relationships"><Relationship Id="rId3" Type="http://schemas.openxmlformats.org/officeDocument/2006/relationships/hyperlink" Target="https://www.abs.gov.au/statistics/classifications/anzsco-australian-and-new-zealand-standard-classification-occupations/2021/conceptual-basis-anzsco" TargetMode="External"/><Relationship Id="rId2" Type="http://schemas.openxmlformats.org/officeDocument/2006/relationships/hyperlink" Target="https://www.jobsandskills.gov.au/data/recruitment-experiences-and-outlook-survey" TargetMode="External"/><Relationship Id="rId1" Type="http://schemas.openxmlformats.org/officeDocument/2006/relationships/hyperlink" Target="https://www.abs.gov.au/statistics/classifications/anzsco-australian-and-new-zealand-standard-classification-occupations/latest-release" TargetMode="External"/><Relationship Id="rId6" Type="http://schemas.openxmlformats.org/officeDocument/2006/relationships/hyperlink" Target="https://www.rba.gov.au/publications/bulletin/2019/mar/pdf/firm-level-insights-into-skills-shortages-and-wages-growth.pdf" TargetMode="External"/><Relationship Id="rId5" Type="http://schemas.openxmlformats.org/officeDocument/2006/relationships/hyperlink" Target="https://www.abs.gov.au/statistics/classifications/australian-and-new-zealand-standard-industrial-classification-anzsic/2006-revision-2-0/introduction" TargetMode="External"/><Relationship Id="rId4" Type="http://schemas.openxmlformats.org/officeDocument/2006/relationships/hyperlink" Target="https://www.abs.gov.au/statistics/classifications/australian-and-new-zealand-standard-industrial-classification-anzsic/2006-revision-2-0/introductio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https://sharedservicescentre.sharepoint.com/sites/DESE-Workforce-Analysis-TEAM/Shared%20Documents/General/04.%20SPL%20documents/2024%20SPL%20Key%20Findings%20Report%20drafting/Key%20findings%20gender%20report%20work%20book_2024%20(4SEP).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gender%20report%20work%20book_2024%20(4SEP).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4SEP).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4SEP).xlsx"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1" Type="http://schemas.openxmlformats.org/officeDocument/2006/relationships/oleObject" Target="https://sharedservicescentre.sharepoint.com/sites/DESE-Workforce-Analysis-TEAM/Shared%20Documents/General/04.%20SPL%20documents/2024%20SPL%20Key%20Findings%20Report%20drafting/Key%20findings%20report%20work%20book_2024_ML%20(9SEP).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4SEP).xlsx" TargetMode="External"/><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14AUG).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14AUG).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oleObject" Target="https://sharedservicescentre-my.sharepoint.com/personal/valery_dugain_jobsandskills_gov_au/Documents/Emp_ratio_Hours_underemp.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OSL%20(SPL)%20documents/2024%20SPL%20Key%20Findings%20Report%20drafting/2024%20OSL%20Key%20Findings%20Report%20-%20Figures%20and%20Tabl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4SEP).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14AUG).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sharedservicescentre.sharepoint.com/sites/DESE-Workforce-Analysis-TEAM/Shared%20Documents/General/04.%20SPL%20documents/2024%20SPL%20Key%20Findings%20Report%20drafting/Key%20findings%20report%20work%20book_2024_ML%20(4SEP).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rr2932\AppData\Local\Microsoft\Windows\INetCache\Content.Outlook\S5Q1V0RS\REOS%20-%20smoothed%20difficulty%20rates%20higher%20vs%20lower%20skilled.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1" Type="http://schemas.openxmlformats.org/officeDocument/2006/relationships/oleObject" Target="https://sharedservicescentre.sharepoint.com/sites/DESE-Workforce-Analysis-TEAM/Shared%20Documents/General/04.%20SPL%20documents/2024%20SPL%20Key%20Findings%20Report%20drafting/Key%20findings%20report%20work%20book_2024_ML%20(4SE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425786952649809E-2"/>
          <c:y val="4.1855821824230713E-2"/>
          <c:w val="0.86357590694221198"/>
          <c:h val="0.78283150290264281"/>
        </c:manualLayout>
      </c:layout>
      <c:lineChart>
        <c:grouping val="standard"/>
        <c:varyColors val="0"/>
        <c:ser>
          <c:idx val="0"/>
          <c:order val="0"/>
          <c:tx>
            <c:strRef>
              <c:f>'[Chart in Microsoft Word]Figure 1'!$B$2</c:f>
              <c:strCache>
                <c:ptCount val="1"/>
                <c:pt idx="0">
                  <c:v>Unemployment rate (%) (LHS)</c:v>
                </c:pt>
              </c:strCache>
            </c:strRef>
          </c:tx>
          <c:spPr>
            <a:ln w="28575" cap="rnd">
              <a:solidFill>
                <a:srgbClr val="6929C4"/>
              </a:solidFill>
              <a:round/>
            </a:ln>
            <a:effectLst/>
          </c:spPr>
          <c:marker>
            <c:symbol val="none"/>
          </c:marker>
          <c:cat>
            <c:numRef>
              <c:f>'[Chart in Microsoft Word]Figure 1'!$A$3:$A$123</c:f>
              <c:numCache>
                <c:formatCode>mmm\-yy</c:formatCode>
                <c:ptCount val="121"/>
                <c:pt idx="0">
                  <c:v>41791</c:v>
                </c:pt>
                <c:pt idx="1">
                  <c:v>41821</c:v>
                </c:pt>
                <c:pt idx="2">
                  <c:v>41852</c:v>
                </c:pt>
                <c:pt idx="3">
                  <c:v>41883</c:v>
                </c:pt>
                <c:pt idx="4">
                  <c:v>41913</c:v>
                </c:pt>
                <c:pt idx="5">
                  <c:v>41944</c:v>
                </c:pt>
                <c:pt idx="6">
                  <c:v>41974</c:v>
                </c:pt>
                <c:pt idx="7">
                  <c:v>42005</c:v>
                </c:pt>
                <c:pt idx="8">
                  <c:v>42036</c:v>
                </c:pt>
                <c:pt idx="9">
                  <c:v>42064</c:v>
                </c:pt>
                <c:pt idx="10">
                  <c:v>42095</c:v>
                </c:pt>
                <c:pt idx="11">
                  <c:v>42125</c:v>
                </c:pt>
                <c:pt idx="12">
                  <c:v>42156</c:v>
                </c:pt>
                <c:pt idx="13">
                  <c:v>42186</c:v>
                </c:pt>
                <c:pt idx="14">
                  <c:v>42217</c:v>
                </c:pt>
                <c:pt idx="15">
                  <c:v>42248</c:v>
                </c:pt>
                <c:pt idx="16">
                  <c:v>42278</c:v>
                </c:pt>
                <c:pt idx="17">
                  <c:v>42309</c:v>
                </c:pt>
                <c:pt idx="18">
                  <c:v>42339</c:v>
                </c:pt>
                <c:pt idx="19">
                  <c:v>42370</c:v>
                </c:pt>
                <c:pt idx="20">
                  <c:v>42401</c:v>
                </c:pt>
                <c:pt idx="21">
                  <c:v>42430</c:v>
                </c:pt>
                <c:pt idx="22">
                  <c:v>42461</c:v>
                </c:pt>
                <c:pt idx="23">
                  <c:v>42491</c:v>
                </c:pt>
                <c:pt idx="24">
                  <c:v>42522</c:v>
                </c:pt>
                <c:pt idx="25">
                  <c:v>42552</c:v>
                </c:pt>
                <c:pt idx="26">
                  <c:v>42583</c:v>
                </c:pt>
                <c:pt idx="27">
                  <c:v>42614</c:v>
                </c:pt>
                <c:pt idx="28">
                  <c:v>42644</c:v>
                </c:pt>
                <c:pt idx="29">
                  <c:v>42675</c:v>
                </c:pt>
                <c:pt idx="30">
                  <c:v>42705</c:v>
                </c:pt>
                <c:pt idx="31">
                  <c:v>42736</c:v>
                </c:pt>
                <c:pt idx="32">
                  <c:v>42767</c:v>
                </c:pt>
                <c:pt idx="33">
                  <c:v>42795</c:v>
                </c:pt>
                <c:pt idx="34">
                  <c:v>42826</c:v>
                </c:pt>
                <c:pt idx="35">
                  <c:v>42856</c:v>
                </c:pt>
                <c:pt idx="36">
                  <c:v>42887</c:v>
                </c:pt>
                <c:pt idx="37">
                  <c:v>42917</c:v>
                </c:pt>
                <c:pt idx="38">
                  <c:v>42948</c:v>
                </c:pt>
                <c:pt idx="39">
                  <c:v>42979</c:v>
                </c:pt>
                <c:pt idx="40">
                  <c:v>43009</c:v>
                </c:pt>
                <c:pt idx="41">
                  <c:v>43040</c:v>
                </c:pt>
                <c:pt idx="42">
                  <c:v>43070</c:v>
                </c:pt>
                <c:pt idx="43">
                  <c:v>43101</c:v>
                </c:pt>
                <c:pt idx="44">
                  <c:v>43132</c:v>
                </c:pt>
                <c:pt idx="45">
                  <c:v>43160</c:v>
                </c:pt>
                <c:pt idx="46">
                  <c:v>43191</c:v>
                </c:pt>
                <c:pt idx="47">
                  <c:v>43221</c:v>
                </c:pt>
                <c:pt idx="48">
                  <c:v>43252</c:v>
                </c:pt>
                <c:pt idx="49">
                  <c:v>43282</c:v>
                </c:pt>
                <c:pt idx="50">
                  <c:v>43313</c:v>
                </c:pt>
                <c:pt idx="51">
                  <c:v>43344</c:v>
                </c:pt>
                <c:pt idx="52">
                  <c:v>43374</c:v>
                </c:pt>
                <c:pt idx="53">
                  <c:v>43405</c:v>
                </c:pt>
                <c:pt idx="54">
                  <c:v>43435</c:v>
                </c:pt>
                <c:pt idx="55">
                  <c:v>43466</c:v>
                </c:pt>
                <c:pt idx="56">
                  <c:v>43497</c:v>
                </c:pt>
                <c:pt idx="57">
                  <c:v>43525</c:v>
                </c:pt>
                <c:pt idx="58">
                  <c:v>43556</c:v>
                </c:pt>
                <c:pt idx="59">
                  <c:v>43586</c:v>
                </c:pt>
                <c:pt idx="60">
                  <c:v>43617</c:v>
                </c:pt>
                <c:pt idx="61">
                  <c:v>43647</c:v>
                </c:pt>
                <c:pt idx="62">
                  <c:v>43678</c:v>
                </c:pt>
                <c:pt idx="63">
                  <c:v>43709</c:v>
                </c:pt>
                <c:pt idx="64">
                  <c:v>43739</c:v>
                </c:pt>
                <c:pt idx="65">
                  <c:v>43770</c:v>
                </c:pt>
                <c:pt idx="66">
                  <c:v>43800</c:v>
                </c:pt>
                <c:pt idx="67">
                  <c:v>43831</c:v>
                </c:pt>
                <c:pt idx="68">
                  <c:v>43862</c:v>
                </c:pt>
                <c:pt idx="69">
                  <c:v>43891</c:v>
                </c:pt>
                <c:pt idx="70">
                  <c:v>43922</c:v>
                </c:pt>
                <c:pt idx="71">
                  <c:v>43952</c:v>
                </c:pt>
                <c:pt idx="72">
                  <c:v>43983</c:v>
                </c:pt>
                <c:pt idx="73">
                  <c:v>44013</c:v>
                </c:pt>
                <c:pt idx="74">
                  <c:v>44044</c:v>
                </c:pt>
                <c:pt idx="75">
                  <c:v>44075</c:v>
                </c:pt>
                <c:pt idx="76">
                  <c:v>44105</c:v>
                </c:pt>
                <c:pt idx="77">
                  <c:v>44136</c:v>
                </c:pt>
                <c:pt idx="78">
                  <c:v>44166</c:v>
                </c:pt>
                <c:pt idx="79">
                  <c:v>44197</c:v>
                </c:pt>
                <c:pt idx="80">
                  <c:v>44228</c:v>
                </c:pt>
                <c:pt idx="81">
                  <c:v>44256</c:v>
                </c:pt>
                <c:pt idx="82">
                  <c:v>44287</c:v>
                </c:pt>
                <c:pt idx="83">
                  <c:v>44317</c:v>
                </c:pt>
                <c:pt idx="84">
                  <c:v>44348</c:v>
                </c:pt>
                <c:pt idx="85">
                  <c:v>44378</c:v>
                </c:pt>
                <c:pt idx="86">
                  <c:v>44409</c:v>
                </c:pt>
                <c:pt idx="87">
                  <c:v>44440</c:v>
                </c:pt>
                <c:pt idx="88">
                  <c:v>44470</c:v>
                </c:pt>
                <c:pt idx="89">
                  <c:v>44501</c:v>
                </c:pt>
                <c:pt idx="90">
                  <c:v>44531</c:v>
                </c:pt>
                <c:pt idx="91">
                  <c:v>44562</c:v>
                </c:pt>
                <c:pt idx="92">
                  <c:v>44593</c:v>
                </c:pt>
                <c:pt idx="93">
                  <c:v>44621</c:v>
                </c:pt>
                <c:pt idx="94">
                  <c:v>44652</c:v>
                </c:pt>
                <c:pt idx="95">
                  <c:v>44682</c:v>
                </c:pt>
                <c:pt idx="96">
                  <c:v>44713</c:v>
                </c:pt>
                <c:pt idx="97">
                  <c:v>44743</c:v>
                </c:pt>
                <c:pt idx="98">
                  <c:v>44774</c:v>
                </c:pt>
                <c:pt idx="99">
                  <c:v>44805</c:v>
                </c:pt>
                <c:pt idx="100">
                  <c:v>44835</c:v>
                </c:pt>
                <c:pt idx="101">
                  <c:v>44866</c:v>
                </c:pt>
                <c:pt idx="102">
                  <c:v>44896</c:v>
                </c:pt>
                <c:pt idx="103">
                  <c:v>44927</c:v>
                </c:pt>
                <c:pt idx="104">
                  <c:v>44958</c:v>
                </c:pt>
                <c:pt idx="105">
                  <c:v>44986</c:v>
                </c:pt>
                <c:pt idx="106">
                  <c:v>45017</c:v>
                </c:pt>
                <c:pt idx="107">
                  <c:v>45047</c:v>
                </c:pt>
                <c:pt idx="108">
                  <c:v>45078</c:v>
                </c:pt>
                <c:pt idx="109">
                  <c:v>45108</c:v>
                </c:pt>
                <c:pt idx="110">
                  <c:v>45139</c:v>
                </c:pt>
                <c:pt idx="111">
                  <c:v>45170</c:v>
                </c:pt>
                <c:pt idx="112">
                  <c:v>45200</c:v>
                </c:pt>
                <c:pt idx="113">
                  <c:v>45231</c:v>
                </c:pt>
                <c:pt idx="114">
                  <c:v>45261</c:v>
                </c:pt>
                <c:pt idx="115">
                  <c:v>45292</c:v>
                </c:pt>
                <c:pt idx="116">
                  <c:v>45323</c:v>
                </c:pt>
                <c:pt idx="117">
                  <c:v>45352</c:v>
                </c:pt>
                <c:pt idx="118">
                  <c:v>45383</c:v>
                </c:pt>
                <c:pt idx="119">
                  <c:v>45413</c:v>
                </c:pt>
                <c:pt idx="120">
                  <c:v>45444</c:v>
                </c:pt>
              </c:numCache>
            </c:numRef>
          </c:cat>
          <c:val>
            <c:numRef>
              <c:f>'[Chart in Microsoft Word]Figure 1'!$B$3:$B$123</c:f>
              <c:numCache>
                <c:formatCode>0.0%</c:formatCode>
                <c:ptCount val="121"/>
                <c:pt idx="0">
                  <c:v>6.0498521E-2</c:v>
                </c:pt>
                <c:pt idx="1">
                  <c:v>6.1771342E-2</c:v>
                </c:pt>
                <c:pt idx="2">
                  <c:v>6.1051593000000001E-2</c:v>
                </c:pt>
                <c:pt idx="3">
                  <c:v>6.2362597999999998E-2</c:v>
                </c:pt>
                <c:pt idx="4">
                  <c:v>6.3575438999999997E-2</c:v>
                </c:pt>
                <c:pt idx="5">
                  <c:v>6.2956655E-2</c:v>
                </c:pt>
                <c:pt idx="6">
                  <c:v>6.1025950000000002E-2</c:v>
                </c:pt>
                <c:pt idx="7">
                  <c:v>6.3509099999999999E-2</c:v>
                </c:pt>
                <c:pt idx="8">
                  <c:v>6.1535546999999996E-2</c:v>
                </c:pt>
                <c:pt idx="9">
                  <c:v>6.1027057999999995E-2</c:v>
                </c:pt>
                <c:pt idx="10">
                  <c:v>6.1110796000000002E-2</c:v>
                </c:pt>
                <c:pt idx="11">
                  <c:v>5.9324997000000004E-2</c:v>
                </c:pt>
                <c:pt idx="12">
                  <c:v>6.0098118999999998E-2</c:v>
                </c:pt>
                <c:pt idx="13">
                  <c:v>6.2799376000000004E-2</c:v>
                </c:pt>
                <c:pt idx="14">
                  <c:v>6.0880549999999999E-2</c:v>
                </c:pt>
                <c:pt idx="15">
                  <c:v>6.1729264999999998E-2</c:v>
                </c:pt>
                <c:pt idx="16">
                  <c:v>5.9137227000000001E-2</c:v>
                </c:pt>
                <c:pt idx="17">
                  <c:v>5.8490067999999999E-2</c:v>
                </c:pt>
                <c:pt idx="18">
                  <c:v>5.7361905000000005E-2</c:v>
                </c:pt>
                <c:pt idx="19">
                  <c:v>6.0399960000000003E-2</c:v>
                </c:pt>
                <c:pt idx="20">
                  <c:v>5.6939390999999999E-2</c:v>
                </c:pt>
                <c:pt idx="21">
                  <c:v>5.6529986000000004E-2</c:v>
                </c:pt>
                <c:pt idx="22">
                  <c:v>5.6443959000000002E-2</c:v>
                </c:pt>
                <c:pt idx="23">
                  <c:v>5.7230801999999997E-2</c:v>
                </c:pt>
                <c:pt idx="24">
                  <c:v>5.6980836000000007E-2</c:v>
                </c:pt>
                <c:pt idx="25">
                  <c:v>5.7001236999999996E-2</c:v>
                </c:pt>
                <c:pt idx="26">
                  <c:v>5.6182542000000002E-2</c:v>
                </c:pt>
                <c:pt idx="27">
                  <c:v>5.6655160000000003E-2</c:v>
                </c:pt>
                <c:pt idx="28">
                  <c:v>5.6019532999999996E-2</c:v>
                </c:pt>
                <c:pt idx="29">
                  <c:v>5.7663113000000002E-2</c:v>
                </c:pt>
                <c:pt idx="30">
                  <c:v>5.8291786999999998E-2</c:v>
                </c:pt>
                <c:pt idx="31">
                  <c:v>5.6819576999999996E-2</c:v>
                </c:pt>
                <c:pt idx="32">
                  <c:v>5.8925527999999998E-2</c:v>
                </c:pt>
                <c:pt idx="33">
                  <c:v>5.8468194000000001E-2</c:v>
                </c:pt>
                <c:pt idx="34">
                  <c:v>5.6071599E-2</c:v>
                </c:pt>
                <c:pt idx="35">
                  <c:v>5.5506814000000002E-2</c:v>
                </c:pt>
                <c:pt idx="36">
                  <c:v>5.6268795000000003E-2</c:v>
                </c:pt>
                <c:pt idx="37">
                  <c:v>5.6117403000000003E-2</c:v>
                </c:pt>
                <c:pt idx="38">
                  <c:v>5.5302456E-2</c:v>
                </c:pt>
                <c:pt idx="39">
                  <c:v>5.4610831999999998E-2</c:v>
                </c:pt>
                <c:pt idx="40">
                  <c:v>5.4084377000000003E-2</c:v>
                </c:pt>
                <c:pt idx="41">
                  <c:v>5.4505832999999997E-2</c:v>
                </c:pt>
                <c:pt idx="42">
                  <c:v>5.6033964999999998E-2</c:v>
                </c:pt>
                <c:pt idx="43">
                  <c:v>5.5203377999999997E-2</c:v>
                </c:pt>
                <c:pt idx="44">
                  <c:v>5.5802426000000002E-2</c:v>
                </c:pt>
                <c:pt idx="45">
                  <c:v>5.5317658999999998E-2</c:v>
                </c:pt>
                <c:pt idx="46">
                  <c:v>5.5403451999999999E-2</c:v>
                </c:pt>
                <c:pt idx="47">
                  <c:v>5.4404107E-2</c:v>
                </c:pt>
                <c:pt idx="48">
                  <c:v>5.3462030000000001E-2</c:v>
                </c:pt>
                <c:pt idx="49">
                  <c:v>5.3035452999999996E-2</c:v>
                </c:pt>
                <c:pt idx="50">
                  <c:v>5.2469773000000004E-2</c:v>
                </c:pt>
                <c:pt idx="51">
                  <c:v>5.0164153000000003E-2</c:v>
                </c:pt>
                <c:pt idx="52">
                  <c:v>5.0106257999999994E-2</c:v>
                </c:pt>
                <c:pt idx="53">
                  <c:v>5.1025989000000001E-2</c:v>
                </c:pt>
                <c:pt idx="54">
                  <c:v>5.0032963999999999E-2</c:v>
                </c:pt>
                <c:pt idx="55">
                  <c:v>5.0435424E-2</c:v>
                </c:pt>
                <c:pt idx="56">
                  <c:v>4.9893663999999997E-2</c:v>
                </c:pt>
                <c:pt idx="57">
                  <c:v>5.0920015999999999E-2</c:v>
                </c:pt>
                <c:pt idx="58">
                  <c:v>5.2141567999999999E-2</c:v>
                </c:pt>
                <c:pt idx="59">
                  <c:v>5.2046454999999998E-2</c:v>
                </c:pt>
                <c:pt idx="60">
                  <c:v>5.2675860999999997E-2</c:v>
                </c:pt>
                <c:pt idx="61">
                  <c:v>5.2859011999999997E-2</c:v>
                </c:pt>
                <c:pt idx="62">
                  <c:v>5.2655763000000001E-2</c:v>
                </c:pt>
                <c:pt idx="63">
                  <c:v>5.2207178E-2</c:v>
                </c:pt>
                <c:pt idx="64">
                  <c:v>5.3164737000000004E-2</c:v>
                </c:pt>
                <c:pt idx="65">
                  <c:v>5.1615607000000001E-2</c:v>
                </c:pt>
                <c:pt idx="66">
                  <c:v>5.0222267000000001E-2</c:v>
                </c:pt>
                <c:pt idx="67">
                  <c:v>5.2409267000000002E-2</c:v>
                </c:pt>
                <c:pt idx="68">
                  <c:v>5.1096096000000001E-2</c:v>
                </c:pt>
                <c:pt idx="69">
                  <c:v>5.1985706E-2</c:v>
                </c:pt>
                <c:pt idx="70">
                  <c:v>6.2962281999999994E-2</c:v>
                </c:pt>
                <c:pt idx="71">
                  <c:v>6.9992698000000006E-2</c:v>
                </c:pt>
                <c:pt idx="72">
                  <c:v>7.4425559000000002E-2</c:v>
                </c:pt>
                <c:pt idx="73">
                  <c:v>7.4536601999999993E-2</c:v>
                </c:pt>
                <c:pt idx="74">
                  <c:v>6.8065164999999997E-2</c:v>
                </c:pt>
                <c:pt idx="75">
                  <c:v>6.9160628000000002E-2</c:v>
                </c:pt>
                <c:pt idx="76">
                  <c:v>6.9766046999999998E-2</c:v>
                </c:pt>
                <c:pt idx="77">
                  <c:v>6.7875595000000011E-2</c:v>
                </c:pt>
                <c:pt idx="78">
                  <c:v>6.5292683000000004E-2</c:v>
                </c:pt>
                <c:pt idx="79">
                  <c:v>6.2700370000000005E-2</c:v>
                </c:pt>
                <c:pt idx="80">
                  <c:v>5.8430622000000002E-2</c:v>
                </c:pt>
                <c:pt idx="81">
                  <c:v>5.6684719000000001E-2</c:v>
                </c:pt>
                <c:pt idx="82">
                  <c:v>5.4617839000000001E-2</c:v>
                </c:pt>
                <c:pt idx="83">
                  <c:v>5.1148894E-2</c:v>
                </c:pt>
                <c:pt idx="84">
                  <c:v>5.0460896000000005E-2</c:v>
                </c:pt>
                <c:pt idx="85">
                  <c:v>4.7357969000000007E-2</c:v>
                </c:pt>
                <c:pt idx="86">
                  <c:v>4.5856440999999998E-2</c:v>
                </c:pt>
                <c:pt idx="87">
                  <c:v>4.7028718999999997E-2</c:v>
                </c:pt>
                <c:pt idx="88">
                  <c:v>5.2681617E-2</c:v>
                </c:pt>
                <c:pt idx="89">
                  <c:v>4.6110490000000004E-2</c:v>
                </c:pt>
                <c:pt idx="90">
                  <c:v>4.1772761000000005E-2</c:v>
                </c:pt>
                <c:pt idx="91">
                  <c:v>4.1622212000000006E-2</c:v>
                </c:pt>
                <c:pt idx="92">
                  <c:v>4.0272599999999999E-2</c:v>
                </c:pt>
                <c:pt idx="93">
                  <c:v>3.9753069000000002E-2</c:v>
                </c:pt>
                <c:pt idx="94">
                  <c:v>3.8512553999999997E-2</c:v>
                </c:pt>
                <c:pt idx="95">
                  <c:v>3.9432058999999998E-2</c:v>
                </c:pt>
                <c:pt idx="96">
                  <c:v>3.6291714000000003E-2</c:v>
                </c:pt>
                <c:pt idx="97">
                  <c:v>3.4579263999999998E-2</c:v>
                </c:pt>
                <c:pt idx="98">
                  <c:v>3.5422902999999999E-2</c:v>
                </c:pt>
                <c:pt idx="99">
                  <c:v>3.6006524999999998E-2</c:v>
                </c:pt>
                <c:pt idx="100">
                  <c:v>3.4584915000000001E-2</c:v>
                </c:pt>
                <c:pt idx="101">
                  <c:v>3.4946671999999998E-2</c:v>
                </c:pt>
                <c:pt idx="102">
                  <c:v>3.4913953999999997E-2</c:v>
                </c:pt>
                <c:pt idx="103">
                  <c:v>3.6554994E-2</c:v>
                </c:pt>
                <c:pt idx="104">
                  <c:v>3.6013786999999998E-2</c:v>
                </c:pt>
                <c:pt idx="105">
                  <c:v>3.5806108000000003E-2</c:v>
                </c:pt>
                <c:pt idx="106">
                  <c:v>3.702917E-2</c:v>
                </c:pt>
                <c:pt idx="107">
                  <c:v>3.5921937000000001E-2</c:v>
                </c:pt>
                <c:pt idx="108">
                  <c:v>3.5498401999999998E-2</c:v>
                </c:pt>
                <c:pt idx="109">
                  <c:v>3.7248521999999999E-2</c:v>
                </c:pt>
                <c:pt idx="110">
                  <c:v>3.6962251000000002E-2</c:v>
                </c:pt>
                <c:pt idx="111">
                  <c:v>3.5681831000000004E-2</c:v>
                </c:pt>
                <c:pt idx="112">
                  <c:v>3.8003537000000004E-2</c:v>
                </c:pt>
                <c:pt idx="113">
                  <c:v>3.9049326000000002E-2</c:v>
                </c:pt>
                <c:pt idx="114">
                  <c:v>3.9441256000000001E-2</c:v>
                </c:pt>
                <c:pt idx="115">
                  <c:v>4.0806427000000006E-2</c:v>
                </c:pt>
                <c:pt idx="116">
                  <c:v>3.7284151000000001E-2</c:v>
                </c:pt>
                <c:pt idx="117">
                  <c:v>3.8788752999999995E-2</c:v>
                </c:pt>
                <c:pt idx="118">
                  <c:v>4.0809436000000004E-2</c:v>
                </c:pt>
                <c:pt idx="119">
                  <c:v>4.0261158999999998E-2</c:v>
                </c:pt>
                <c:pt idx="120">
                  <c:v>4.0812261000000002E-2</c:v>
                </c:pt>
              </c:numCache>
            </c:numRef>
          </c:val>
          <c:smooth val="0"/>
          <c:extLst>
            <c:ext xmlns:c16="http://schemas.microsoft.com/office/drawing/2014/chart" uri="{C3380CC4-5D6E-409C-BE32-E72D297353CC}">
              <c16:uniqueId val="{00000000-F697-4E97-A0A0-AB58E876ABA6}"/>
            </c:ext>
          </c:extLst>
        </c:ser>
        <c:dLbls>
          <c:showLegendKey val="0"/>
          <c:showVal val="0"/>
          <c:showCatName val="0"/>
          <c:showSerName val="0"/>
          <c:showPercent val="0"/>
          <c:showBubbleSize val="0"/>
        </c:dLbls>
        <c:marker val="1"/>
        <c:smooth val="0"/>
        <c:axId val="787264255"/>
        <c:axId val="787258975"/>
      </c:lineChart>
      <c:lineChart>
        <c:grouping val="standard"/>
        <c:varyColors val="0"/>
        <c:ser>
          <c:idx val="2"/>
          <c:order val="1"/>
          <c:tx>
            <c:strRef>
              <c:f>'[Chart in Microsoft Word]Figure 1'!$E$2</c:f>
              <c:strCache>
                <c:ptCount val="1"/>
                <c:pt idx="0">
                  <c:v>Full-time employment growth (%) (RHS)</c:v>
                </c:pt>
              </c:strCache>
            </c:strRef>
          </c:tx>
          <c:spPr>
            <a:ln w="28575" cap="rnd">
              <a:solidFill>
                <a:srgbClr val="009D9A"/>
              </a:solidFill>
              <a:round/>
            </a:ln>
            <a:effectLst/>
          </c:spPr>
          <c:marker>
            <c:symbol val="none"/>
          </c:marker>
          <c:cat>
            <c:numRef>
              <c:f>'[Chart in Microsoft Word]Figure 1'!$A$3:$A$123</c:f>
              <c:numCache>
                <c:formatCode>mmm\-yy</c:formatCode>
                <c:ptCount val="121"/>
                <c:pt idx="0">
                  <c:v>41791</c:v>
                </c:pt>
                <c:pt idx="1">
                  <c:v>41821</c:v>
                </c:pt>
                <c:pt idx="2">
                  <c:v>41852</c:v>
                </c:pt>
                <c:pt idx="3">
                  <c:v>41883</c:v>
                </c:pt>
                <c:pt idx="4">
                  <c:v>41913</c:v>
                </c:pt>
                <c:pt idx="5">
                  <c:v>41944</c:v>
                </c:pt>
                <c:pt idx="6">
                  <c:v>41974</c:v>
                </c:pt>
                <c:pt idx="7">
                  <c:v>42005</c:v>
                </c:pt>
                <c:pt idx="8">
                  <c:v>42036</c:v>
                </c:pt>
                <c:pt idx="9">
                  <c:v>42064</c:v>
                </c:pt>
                <c:pt idx="10">
                  <c:v>42095</c:v>
                </c:pt>
                <c:pt idx="11">
                  <c:v>42125</c:v>
                </c:pt>
                <c:pt idx="12">
                  <c:v>42156</c:v>
                </c:pt>
                <c:pt idx="13">
                  <c:v>42186</c:v>
                </c:pt>
                <c:pt idx="14">
                  <c:v>42217</c:v>
                </c:pt>
                <c:pt idx="15">
                  <c:v>42248</c:v>
                </c:pt>
                <c:pt idx="16">
                  <c:v>42278</c:v>
                </c:pt>
                <c:pt idx="17">
                  <c:v>42309</c:v>
                </c:pt>
                <c:pt idx="18">
                  <c:v>42339</c:v>
                </c:pt>
                <c:pt idx="19">
                  <c:v>42370</c:v>
                </c:pt>
                <c:pt idx="20">
                  <c:v>42401</c:v>
                </c:pt>
                <c:pt idx="21">
                  <c:v>42430</c:v>
                </c:pt>
                <c:pt idx="22">
                  <c:v>42461</c:v>
                </c:pt>
                <c:pt idx="23">
                  <c:v>42491</c:v>
                </c:pt>
                <c:pt idx="24">
                  <c:v>42522</c:v>
                </c:pt>
                <c:pt idx="25">
                  <c:v>42552</c:v>
                </c:pt>
                <c:pt idx="26">
                  <c:v>42583</c:v>
                </c:pt>
                <c:pt idx="27">
                  <c:v>42614</c:v>
                </c:pt>
                <c:pt idx="28">
                  <c:v>42644</c:v>
                </c:pt>
                <c:pt idx="29">
                  <c:v>42675</c:v>
                </c:pt>
                <c:pt idx="30">
                  <c:v>42705</c:v>
                </c:pt>
                <c:pt idx="31">
                  <c:v>42736</c:v>
                </c:pt>
                <c:pt idx="32">
                  <c:v>42767</c:v>
                </c:pt>
                <c:pt idx="33">
                  <c:v>42795</c:v>
                </c:pt>
                <c:pt idx="34">
                  <c:v>42826</c:v>
                </c:pt>
                <c:pt idx="35">
                  <c:v>42856</c:v>
                </c:pt>
                <c:pt idx="36">
                  <c:v>42887</c:v>
                </c:pt>
                <c:pt idx="37">
                  <c:v>42917</c:v>
                </c:pt>
                <c:pt idx="38">
                  <c:v>42948</c:v>
                </c:pt>
                <c:pt idx="39">
                  <c:v>42979</c:v>
                </c:pt>
                <c:pt idx="40">
                  <c:v>43009</c:v>
                </c:pt>
                <c:pt idx="41">
                  <c:v>43040</c:v>
                </c:pt>
                <c:pt idx="42">
                  <c:v>43070</c:v>
                </c:pt>
                <c:pt idx="43">
                  <c:v>43101</c:v>
                </c:pt>
                <c:pt idx="44">
                  <c:v>43132</c:v>
                </c:pt>
                <c:pt idx="45">
                  <c:v>43160</c:v>
                </c:pt>
                <c:pt idx="46">
                  <c:v>43191</c:v>
                </c:pt>
                <c:pt idx="47">
                  <c:v>43221</c:v>
                </c:pt>
                <c:pt idx="48">
                  <c:v>43252</c:v>
                </c:pt>
                <c:pt idx="49">
                  <c:v>43282</c:v>
                </c:pt>
                <c:pt idx="50">
                  <c:v>43313</c:v>
                </c:pt>
                <c:pt idx="51">
                  <c:v>43344</c:v>
                </c:pt>
                <c:pt idx="52">
                  <c:v>43374</c:v>
                </c:pt>
                <c:pt idx="53">
                  <c:v>43405</c:v>
                </c:pt>
                <c:pt idx="54">
                  <c:v>43435</c:v>
                </c:pt>
                <c:pt idx="55">
                  <c:v>43466</c:v>
                </c:pt>
                <c:pt idx="56">
                  <c:v>43497</c:v>
                </c:pt>
                <c:pt idx="57">
                  <c:v>43525</c:v>
                </c:pt>
                <c:pt idx="58">
                  <c:v>43556</c:v>
                </c:pt>
                <c:pt idx="59">
                  <c:v>43586</c:v>
                </c:pt>
                <c:pt idx="60">
                  <c:v>43617</c:v>
                </c:pt>
                <c:pt idx="61">
                  <c:v>43647</c:v>
                </c:pt>
                <c:pt idx="62">
                  <c:v>43678</c:v>
                </c:pt>
                <c:pt idx="63">
                  <c:v>43709</c:v>
                </c:pt>
                <c:pt idx="64">
                  <c:v>43739</c:v>
                </c:pt>
                <c:pt idx="65">
                  <c:v>43770</c:v>
                </c:pt>
                <c:pt idx="66">
                  <c:v>43800</c:v>
                </c:pt>
                <c:pt idx="67">
                  <c:v>43831</c:v>
                </c:pt>
                <c:pt idx="68">
                  <c:v>43862</c:v>
                </c:pt>
                <c:pt idx="69">
                  <c:v>43891</c:v>
                </c:pt>
                <c:pt idx="70">
                  <c:v>43922</c:v>
                </c:pt>
                <c:pt idx="71">
                  <c:v>43952</c:v>
                </c:pt>
                <c:pt idx="72">
                  <c:v>43983</c:v>
                </c:pt>
                <c:pt idx="73">
                  <c:v>44013</c:v>
                </c:pt>
                <c:pt idx="74">
                  <c:v>44044</c:v>
                </c:pt>
                <c:pt idx="75">
                  <c:v>44075</c:v>
                </c:pt>
                <c:pt idx="76">
                  <c:v>44105</c:v>
                </c:pt>
                <c:pt idx="77">
                  <c:v>44136</c:v>
                </c:pt>
                <c:pt idx="78">
                  <c:v>44166</c:v>
                </c:pt>
                <c:pt idx="79">
                  <c:v>44197</c:v>
                </c:pt>
                <c:pt idx="80">
                  <c:v>44228</c:v>
                </c:pt>
                <c:pt idx="81">
                  <c:v>44256</c:v>
                </c:pt>
                <c:pt idx="82">
                  <c:v>44287</c:v>
                </c:pt>
                <c:pt idx="83">
                  <c:v>44317</c:v>
                </c:pt>
                <c:pt idx="84">
                  <c:v>44348</c:v>
                </c:pt>
                <c:pt idx="85">
                  <c:v>44378</c:v>
                </c:pt>
                <c:pt idx="86">
                  <c:v>44409</c:v>
                </c:pt>
                <c:pt idx="87">
                  <c:v>44440</c:v>
                </c:pt>
                <c:pt idx="88">
                  <c:v>44470</c:v>
                </c:pt>
                <c:pt idx="89">
                  <c:v>44501</c:v>
                </c:pt>
                <c:pt idx="90">
                  <c:v>44531</c:v>
                </c:pt>
                <c:pt idx="91">
                  <c:v>44562</c:v>
                </c:pt>
                <c:pt idx="92">
                  <c:v>44593</c:v>
                </c:pt>
                <c:pt idx="93">
                  <c:v>44621</c:v>
                </c:pt>
                <c:pt idx="94">
                  <c:v>44652</c:v>
                </c:pt>
                <c:pt idx="95">
                  <c:v>44682</c:v>
                </c:pt>
                <c:pt idx="96">
                  <c:v>44713</c:v>
                </c:pt>
                <c:pt idx="97">
                  <c:v>44743</c:v>
                </c:pt>
                <c:pt idx="98">
                  <c:v>44774</c:v>
                </c:pt>
                <c:pt idx="99">
                  <c:v>44805</c:v>
                </c:pt>
                <c:pt idx="100">
                  <c:v>44835</c:v>
                </c:pt>
                <c:pt idx="101">
                  <c:v>44866</c:v>
                </c:pt>
                <c:pt idx="102">
                  <c:v>44896</c:v>
                </c:pt>
                <c:pt idx="103">
                  <c:v>44927</c:v>
                </c:pt>
                <c:pt idx="104">
                  <c:v>44958</c:v>
                </c:pt>
                <c:pt idx="105">
                  <c:v>44986</c:v>
                </c:pt>
                <c:pt idx="106">
                  <c:v>45017</c:v>
                </c:pt>
                <c:pt idx="107">
                  <c:v>45047</c:v>
                </c:pt>
                <c:pt idx="108">
                  <c:v>45078</c:v>
                </c:pt>
                <c:pt idx="109">
                  <c:v>45108</c:v>
                </c:pt>
                <c:pt idx="110">
                  <c:v>45139</c:v>
                </c:pt>
                <c:pt idx="111">
                  <c:v>45170</c:v>
                </c:pt>
                <c:pt idx="112">
                  <c:v>45200</c:v>
                </c:pt>
                <c:pt idx="113">
                  <c:v>45231</c:v>
                </c:pt>
                <c:pt idx="114">
                  <c:v>45261</c:v>
                </c:pt>
                <c:pt idx="115">
                  <c:v>45292</c:v>
                </c:pt>
                <c:pt idx="116">
                  <c:v>45323</c:v>
                </c:pt>
                <c:pt idx="117">
                  <c:v>45352</c:v>
                </c:pt>
                <c:pt idx="118">
                  <c:v>45383</c:v>
                </c:pt>
                <c:pt idx="119">
                  <c:v>45413</c:v>
                </c:pt>
                <c:pt idx="120">
                  <c:v>45444</c:v>
                </c:pt>
              </c:numCache>
            </c:numRef>
          </c:cat>
          <c:val>
            <c:numRef>
              <c:f>'[Chart in Microsoft Word]Figure 1'!$E$3:$E$123</c:f>
              <c:numCache>
                <c:formatCode>0.0%</c:formatCode>
                <c:ptCount val="121"/>
                <c:pt idx="0">
                  <c:v>8.42545646677753E-4</c:v>
                </c:pt>
                <c:pt idx="1">
                  <c:v>4.7782607409873534E-3</c:v>
                </c:pt>
                <c:pt idx="2">
                  <c:v>2.312367963065577E-3</c:v>
                </c:pt>
                <c:pt idx="3">
                  <c:v>9.9743221627769533E-4</c:v>
                </c:pt>
                <c:pt idx="4">
                  <c:v>6.0953220464830425E-3</c:v>
                </c:pt>
                <c:pt idx="5">
                  <c:v>3.7462848854511407E-3</c:v>
                </c:pt>
                <c:pt idx="6">
                  <c:v>1.5212856437780387E-2</c:v>
                </c:pt>
                <c:pt idx="7">
                  <c:v>1.1721389295863997E-2</c:v>
                </c:pt>
                <c:pt idx="8">
                  <c:v>1.3403032432860449E-2</c:v>
                </c:pt>
                <c:pt idx="9">
                  <c:v>1.4009527671387283E-2</c:v>
                </c:pt>
                <c:pt idx="10">
                  <c:v>9.7042413382613883E-3</c:v>
                </c:pt>
                <c:pt idx="11">
                  <c:v>1.0689038642181233E-2</c:v>
                </c:pt>
                <c:pt idx="12">
                  <c:v>1.3390117995973498E-2</c:v>
                </c:pt>
                <c:pt idx="13">
                  <c:v>1.2615731443542385E-2</c:v>
                </c:pt>
                <c:pt idx="14">
                  <c:v>1.2386144690416179E-2</c:v>
                </c:pt>
                <c:pt idx="15">
                  <c:v>1.6436841172184601E-2</c:v>
                </c:pt>
                <c:pt idx="16">
                  <c:v>2.0211878340025181E-2</c:v>
                </c:pt>
                <c:pt idx="17">
                  <c:v>2.6115479044413838E-2</c:v>
                </c:pt>
                <c:pt idx="18">
                  <c:v>2.3865445910851379E-2</c:v>
                </c:pt>
                <c:pt idx="19">
                  <c:v>2.0051835870535221E-2</c:v>
                </c:pt>
                <c:pt idx="20">
                  <c:v>1.7773343191705919E-2</c:v>
                </c:pt>
                <c:pt idx="21">
                  <c:v>1.0840340287154254E-2</c:v>
                </c:pt>
                <c:pt idx="22">
                  <c:v>1.1084628057837652E-2</c:v>
                </c:pt>
                <c:pt idx="23">
                  <c:v>7.6488872942547777E-3</c:v>
                </c:pt>
                <c:pt idx="24">
                  <c:v>1.2398727680058801E-2</c:v>
                </c:pt>
                <c:pt idx="25">
                  <c:v>5.2838246147653475E-3</c:v>
                </c:pt>
                <c:pt idx="26">
                  <c:v>5.7729374458257718E-3</c:v>
                </c:pt>
                <c:pt idx="27">
                  <c:v>-4.6299593496927204E-3</c:v>
                </c:pt>
                <c:pt idx="28">
                  <c:v>-3.7783781959136852E-3</c:v>
                </c:pt>
                <c:pt idx="29">
                  <c:v>-8.7191464731489591E-4</c:v>
                </c:pt>
                <c:pt idx="30">
                  <c:v>-2.1013700319062975E-3</c:v>
                </c:pt>
                <c:pt idx="31">
                  <c:v>-4.1066758882204535E-3</c:v>
                </c:pt>
                <c:pt idx="32">
                  <c:v>-3.872889218136482E-3</c:v>
                </c:pt>
                <c:pt idx="33">
                  <c:v>7.5782685906643343E-3</c:v>
                </c:pt>
                <c:pt idx="34">
                  <c:v>1.0372150796447915E-2</c:v>
                </c:pt>
                <c:pt idx="35">
                  <c:v>1.8878572042936418E-2</c:v>
                </c:pt>
                <c:pt idx="36">
                  <c:v>2.1677033499143534E-2</c:v>
                </c:pt>
                <c:pt idx="37">
                  <c:v>2.4008766294387581E-2</c:v>
                </c:pt>
                <c:pt idx="38">
                  <c:v>3.0910761409479771E-2</c:v>
                </c:pt>
                <c:pt idx="39">
                  <c:v>4.0038624514393668E-2</c:v>
                </c:pt>
                <c:pt idx="40">
                  <c:v>3.7118463625794143E-2</c:v>
                </c:pt>
                <c:pt idx="41">
                  <c:v>3.6904936263238375E-2</c:v>
                </c:pt>
                <c:pt idx="42">
                  <c:v>3.4926784998071808E-2</c:v>
                </c:pt>
                <c:pt idx="43">
                  <c:v>4.0434997792128523E-2</c:v>
                </c:pt>
                <c:pt idx="44">
                  <c:v>3.8804695739150102E-2</c:v>
                </c:pt>
                <c:pt idx="45">
                  <c:v>2.6819489526538627E-2</c:v>
                </c:pt>
                <c:pt idx="46">
                  <c:v>3.0992403970921904E-2</c:v>
                </c:pt>
                <c:pt idx="47">
                  <c:v>2.0196939844153338E-2</c:v>
                </c:pt>
                <c:pt idx="48">
                  <c:v>1.6859292564314961E-2</c:v>
                </c:pt>
                <c:pt idx="49">
                  <c:v>2.158689339883248E-2</c:v>
                </c:pt>
                <c:pt idx="50">
                  <c:v>2.429194171816549E-2</c:v>
                </c:pt>
                <c:pt idx="51">
                  <c:v>2.5720277366119836E-2</c:v>
                </c:pt>
                <c:pt idx="52">
                  <c:v>2.7738194963087597E-2</c:v>
                </c:pt>
                <c:pt idx="53">
                  <c:v>2.1271631127061277E-2</c:v>
                </c:pt>
                <c:pt idx="54">
                  <c:v>1.983000765846633E-2</c:v>
                </c:pt>
                <c:pt idx="55">
                  <c:v>2.8995649105135878E-2</c:v>
                </c:pt>
                <c:pt idx="56">
                  <c:v>2.7517545806453911E-2</c:v>
                </c:pt>
                <c:pt idx="57">
                  <c:v>3.5271335381494476E-2</c:v>
                </c:pt>
                <c:pt idx="58">
                  <c:v>2.8946445902371082E-2</c:v>
                </c:pt>
                <c:pt idx="59">
                  <c:v>2.9405871296354771E-2</c:v>
                </c:pt>
                <c:pt idx="60">
                  <c:v>2.768973209006444E-2</c:v>
                </c:pt>
                <c:pt idx="61">
                  <c:v>2.9583312751321623E-2</c:v>
                </c:pt>
                <c:pt idx="62">
                  <c:v>2.0795048720997564E-2</c:v>
                </c:pt>
                <c:pt idx="63">
                  <c:v>2.1541825629951498E-2</c:v>
                </c:pt>
                <c:pt idx="64">
                  <c:v>1.4892644987756156E-2</c:v>
                </c:pt>
                <c:pt idx="65">
                  <c:v>1.6039748958828193E-2</c:v>
                </c:pt>
                <c:pt idx="66">
                  <c:v>1.7189839381384187E-2</c:v>
                </c:pt>
                <c:pt idx="67">
                  <c:v>1.4606593862726907E-2</c:v>
                </c:pt>
                <c:pt idx="68">
                  <c:v>1.1784056524773993E-2</c:v>
                </c:pt>
                <c:pt idx="69">
                  <c:v>6.4518678560451168E-3</c:v>
                </c:pt>
                <c:pt idx="70">
                  <c:v>-1.8477328139829167E-2</c:v>
                </c:pt>
                <c:pt idx="71">
                  <c:v>-2.9896472770377439E-2</c:v>
                </c:pt>
                <c:pt idx="72">
                  <c:v>-3.555771128632939E-2</c:v>
                </c:pt>
                <c:pt idx="73">
                  <c:v>-3.3665096957412842E-2</c:v>
                </c:pt>
                <c:pt idx="74">
                  <c:v>-2.9504634541582482E-2</c:v>
                </c:pt>
                <c:pt idx="75">
                  <c:v>-3.675035648560377E-2</c:v>
                </c:pt>
                <c:pt idx="76">
                  <c:v>-2.5140333498615476E-2</c:v>
                </c:pt>
                <c:pt idx="77">
                  <c:v>-1.5902086830962114E-2</c:v>
                </c:pt>
                <c:pt idx="78">
                  <c:v>-1.2144309814747544E-2</c:v>
                </c:pt>
                <c:pt idx="79">
                  <c:v>-1.0586945452711825E-2</c:v>
                </c:pt>
                <c:pt idx="80">
                  <c:v>-9.6626104929140966E-4</c:v>
                </c:pt>
                <c:pt idx="81">
                  <c:v>-3.6142094882190452E-3</c:v>
                </c:pt>
                <c:pt idx="82">
                  <c:v>2.5725744395601175E-2</c:v>
                </c:pt>
                <c:pt idx="83">
                  <c:v>4.9724211173482302E-2</c:v>
                </c:pt>
                <c:pt idx="84">
                  <c:v>5.7459708797186218E-2</c:v>
                </c:pt>
                <c:pt idx="85">
                  <c:v>5.1184227288450519E-2</c:v>
                </c:pt>
                <c:pt idx="86">
                  <c:v>4.203373287635348E-2</c:v>
                </c:pt>
                <c:pt idx="87">
                  <c:v>4.9946181160801691E-2</c:v>
                </c:pt>
                <c:pt idx="88">
                  <c:v>3.5775273436581607E-2</c:v>
                </c:pt>
                <c:pt idx="89">
                  <c:v>4.1587847509548422E-2</c:v>
                </c:pt>
                <c:pt idx="90">
                  <c:v>4.4403974525648315E-2</c:v>
                </c:pt>
                <c:pt idx="91">
                  <c:v>4.0047356880885017E-2</c:v>
                </c:pt>
                <c:pt idx="92">
                  <c:v>4.5359440481574032E-2</c:v>
                </c:pt>
                <c:pt idx="93">
                  <c:v>5.0135668158674374E-2</c:v>
                </c:pt>
                <c:pt idx="94">
                  <c:v>5.8680976778859834E-2</c:v>
                </c:pt>
                <c:pt idx="95">
                  <c:v>5.4410294552394073E-2</c:v>
                </c:pt>
                <c:pt idx="96">
                  <c:v>5.531979386098522E-2</c:v>
                </c:pt>
                <c:pt idx="97">
                  <c:v>4.9135708935362066E-2</c:v>
                </c:pt>
                <c:pt idx="98">
                  <c:v>6.5965018463633923E-2</c:v>
                </c:pt>
                <c:pt idx="99">
                  <c:v>6.5608204447865012E-2</c:v>
                </c:pt>
                <c:pt idx="100">
                  <c:v>7.5188756035704934E-2</c:v>
                </c:pt>
                <c:pt idx="101">
                  <c:v>6.2839278704591883E-2</c:v>
                </c:pt>
                <c:pt idx="102">
                  <c:v>6.0091478914734778E-2</c:v>
                </c:pt>
                <c:pt idx="103">
                  <c:v>5.5352235706173425E-2</c:v>
                </c:pt>
                <c:pt idx="104">
                  <c:v>5.0201410102291531E-2</c:v>
                </c:pt>
                <c:pt idx="105">
                  <c:v>5.7988475835943742E-2</c:v>
                </c:pt>
                <c:pt idx="106">
                  <c:v>4.3855196495003156E-2</c:v>
                </c:pt>
                <c:pt idx="107">
                  <c:v>4.5243312220259277E-2</c:v>
                </c:pt>
                <c:pt idx="108">
                  <c:v>4.2043969324595538E-2</c:v>
                </c:pt>
                <c:pt idx="109">
                  <c:v>4.4434088186808655E-2</c:v>
                </c:pt>
                <c:pt idx="110">
                  <c:v>3.4603206745943353E-2</c:v>
                </c:pt>
                <c:pt idx="111">
                  <c:v>2.7164291608034338E-2</c:v>
                </c:pt>
                <c:pt idx="112">
                  <c:v>2.4104067678247396E-2</c:v>
                </c:pt>
                <c:pt idx="113">
                  <c:v>2.646031890138717E-2</c:v>
                </c:pt>
                <c:pt idx="114">
                  <c:v>1.0929693084931327E-2</c:v>
                </c:pt>
                <c:pt idx="115">
                  <c:v>1.4024130395365139E-2</c:v>
                </c:pt>
                <c:pt idx="116">
                  <c:v>1.6024214903424316E-2</c:v>
                </c:pt>
                <c:pt idx="117">
                  <c:v>9.9358035826257202E-3</c:v>
                </c:pt>
                <c:pt idx="118">
                  <c:v>1.1690735564043835E-2</c:v>
                </c:pt>
                <c:pt idx="119">
                  <c:v>9.6239773912268727E-3</c:v>
                </c:pt>
                <c:pt idx="120">
                  <c:v>1.2473875467506591E-2</c:v>
                </c:pt>
              </c:numCache>
            </c:numRef>
          </c:val>
          <c:smooth val="0"/>
          <c:extLst>
            <c:ext xmlns:c16="http://schemas.microsoft.com/office/drawing/2014/chart" uri="{C3380CC4-5D6E-409C-BE32-E72D297353CC}">
              <c16:uniqueId val="{00000001-F697-4E97-A0A0-AB58E876ABA6}"/>
            </c:ext>
          </c:extLst>
        </c:ser>
        <c:dLbls>
          <c:showLegendKey val="0"/>
          <c:showVal val="0"/>
          <c:showCatName val="0"/>
          <c:showSerName val="0"/>
          <c:showPercent val="0"/>
          <c:showBubbleSize val="0"/>
        </c:dLbls>
        <c:marker val="1"/>
        <c:smooth val="0"/>
        <c:axId val="364077951"/>
        <c:axId val="364080351"/>
      </c:lineChart>
      <c:dateAx>
        <c:axId val="787264255"/>
        <c:scaling>
          <c:orientation val="minMax"/>
        </c:scaling>
        <c:delete val="0"/>
        <c:axPos val="b"/>
        <c:numFmt formatCode="mmm\-yy" sourceLinked="0"/>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258975"/>
        <c:crosses val="autoZero"/>
        <c:auto val="1"/>
        <c:lblOffset val="100"/>
        <c:baseTimeUnit val="months"/>
        <c:majorUnit val="12"/>
        <c:majorTimeUnit val="months"/>
      </c:dateAx>
      <c:valAx>
        <c:axId val="787258975"/>
        <c:scaling>
          <c:orientation val="minMax"/>
          <c:min val="2.0000000000000004E-2"/>
        </c:scaling>
        <c:delete val="0"/>
        <c:axPos val="l"/>
        <c:numFmt formatCode="0%" sourceLinked="0"/>
        <c:majorTickMark val="out"/>
        <c:minorTickMark val="none"/>
        <c:tickLblPos val="nextTo"/>
        <c:spPr>
          <a:noFill/>
          <a:ln>
            <a:solidFill>
              <a:srgbClr val="D9D9D9"/>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264255"/>
        <c:crosses val="autoZero"/>
        <c:crossBetween val="between"/>
      </c:valAx>
      <c:valAx>
        <c:axId val="364080351"/>
        <c:scaling>
          <c:orientation val="minMax"/>
        </c:scaling>
        <c:delete val="0"/>
        <c:axPos val="r"/>
        <c:numFmt formatCode="0%" sourceLinked="0"/>
        <c:majorTickMark val="out"/>
        <c:minorTickMark val="none"/>
        <c:tickLblPos val="nextTo"/>
        <c:spPr>
          <a:noFill/>
          <a:ln>
            <a:solidFill>
              <a:srgbClr val="D9D9D9"/>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077951"/>
        <c:crosses val="max"/>
        <c:crossBetween val="between"/>
      </c:valAx>
      <c:dateAx>
        <c:axId val="364077951"/>
        <c:scaling>
          <c:orientation val="minMax"/>
        </c:scaling>
        <c:delete val="1"/>
        <c:axPos val="b"/>
        <c:numFmt formatCode="mmm\-yy" sourceLinked="1"/>
        <c:majorTickMark val="out"/>
        <c:minorTickMark val="none"/>
        <c:tickLblPos val="nextTo"/>
        <c:crossAx val="364080351"/>
        <c:crosses val="autoZero"/>
        <c:auto val="1"/>
        <c:lblOffset val="100"/>
        <c:baseTimeUnit val="months"/>
        <c:majorUnit val="1"/>
        <c:minorUnit val="1"/>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896528089122391E-2"/>
          <c:y val="3.9406593679374186E-2"/>
          <c:w val="0.90386628038465755"/>
          <c:h val="0.72394454079047876"/>
        </c:manualLayout>
      </c:layout>
      <c:barChart>
        <c:barDir val="col"/>
        <c:grouping val="clustered"/>
        <c:varyColors val="0"/>
        <c:ser>
          <c:idx val="0"/>
          <c:order val="0"/>
          <c:tx>
            <c:strRef>
              <c:f>'Fig 11 and 12 last years prop'!$P$3</c:f>
              <c:strCache>
                <c:ptCount val="1"/>
                <c:pt idx="0">
                  <c:v>2021</c:v>
                </c:pt>
              </c:strCache>
            </c:strRef>
          </c:tx>
          <c:invertIfNegative val="0"/>
          <c:dLbls>
            <c:spPr>
              <a:noFill/>
              <a:ln>
                <a:noFill/>
              </a:ln>
              <a:effectLst/>
            </c:spPr>
            <c:txPr>
              <a:bodyPr rot="0" spcFirstLastPara="1" vertOverflow="ellipsis" vert="horz" wrap="square" lIns="72000" tIns="19050" rIns="3810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'Fig 11 and 12 last years prop'!$O$4:$O$6</c:f>
              <c:strCache>
                <c:ptCount val="3"/>
                <c:pt idx="0">
                  <c:v>Occupations where no gender
 is at least 80% of the workforce</c:v>
                </c:pt>
                <c:pt idx="1">
                  <c:v>Occupations where at least 80% of the workforce is men</c:v>
                </c:pt>
                <c:pt idx="2">
                  <c:v>Occupations where at least 80% of the workfoce is women</c:v>
                </c:pt>
              </c:strCache>
            </c:strRef>
          </c:cat>
          <c:val>
            <c:numRef>
              <c:f>'Fig 11 and 12 last years prop'!$P$4:$P$6</c:f>
              <c:numCache>
                <c:formatCode>0%</c:formatCode>
                <c:ptCount val="3"/>
                <c:pt idx="0">
                  <c:v>0.11845102505694761</c:v>
                </c:pt>
                <c:pt idx="1">
                  <c:v>0.37142857142857144</c:v>
                </c:pt>
                <c:pt idx="2">
                  <c:v>0.13592233009708737</c:v>
                </c:pt>
              </c:numCache>
            </c:numRef>
          </c:val>
          <c:extLst>
            <c:ext xmlns:c16="http://schemas.microsoft.com/office/drawing/2014/chart" uri="{C3380CC4-5D6E-409C-BE32-E72D297353CC}">
              <c16:uniqueId val="{00000000-4C16-43A9-BBA1-076827FC7E24}"/>
            </c:ext>
          </c:extLst>
        </c:ser>
        <c:ser>
          <c:idx val="1"/>
          <c:order val="1"/>
          <c:tx>
            <c:strRef>
              <c:f>'Fig 11 and 12 last years prop'!$Q$3</c:f>
              <c:strCache>
                <c:ptCount val="1"/>
                <c:pt idx="0">
                  <c:v>2022</c:v>
                </c:pt>
              </c:strCache>
            </c:strRef>
          </c:tx>
          <c:invertIfNegative val="0"/>
          <c:dLbls>
            <c:spPr>
              <a:noFill/>
              <a:ln>
                <a:noFill/>
              </a:ln>
              <a:effectLst/>
            </c:spPr>
            <c:txPr>
              <a:bodyPr rot="0" spcFirstLastPara="1" vertOverflow="ellipsis" vert="horz" wrap="square" lIns="72000" tIns="19050" rIns="3810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'Fig 11 and 12 last years prop'!$O$4:$O$6</c:f>
              <c:strCache>
                <c:ptCount val="3"/>
                <c:pt idx="0">
                  <c:v>Occupations where no gender
 is at least 80% of the workforce</c:v>
                </c:pt>
                <c:pt idx="1">
                  <c:v>Occupations where at least 80% of the workforce is men</c:v>
                </c:pt>
                <c:pt idx="2">
                  <c:v>Occupations where at least 80% of the workfoce is women</c:v>
                </c:pt>
              </c:strCache>
            </c:strRef>
          </c:cat>
          <c:val>
            <c:numRef>
              <c:f>'Fig 11 and 12 last years prop'!$Q$4:$Q$6</c:f>
              <c:numCache>
                <c:formatCode>0%</c:formatCode>
                <c:ptCount val="3"/>
                <c:pt idx="0">
                  <c:v>0.19921104536489151</c:v>
                </c:pt>
                <c:pt idx="1">
                  <c:v>0.49504950495049505</c:v>
                </c:pt>
                <c:pt idx="2">
                  <c:v>0.35849056603773582</c:v>
                </c:pt>
              </c:numCache>
            </c:numRef>
          </c:val>
          <c:extLst>
            <c:ext xmlns:c16="http://schemas.microsoft.com/office/drawing/2014/chart" uri="{C3380CC4-5D6E-409C-BE32-E72D297353CC}">
              <c16:uniqueId val="{00000001-4C16-43A9-BBA1-076827FC7E24}"/>
            </c:ext>
          </c:extLst>
        </c:ser>
        <c:ser>
          <c:idx val="2"/>
          <c:order val="2"/>
          <c:tx>
            <c:strRef>
              <c:f>'Fig 11 and 12 last years prop'!$R$3</c:f>
              <c:strCache>
                <c:ptCount val="1"/>
                <c:pt idx="0">
                  <c:v>2023</c:v>
                </c:pt>
              </c:strCache>
            </c:strRef>
          </c:tx>
          <c:invertIfNegative val="0"/>
          <c:dLbls>
            <c:spPr>
              <a:noFill/>
              <a:ln>
                <a:noFill/>
              </a:ln>
              <a:effectLst/>
            </c:spPr>
            <c:txPr>
              <a:bodyPr rot="0" spcFirstLastPara="1" vertOverflow="ellipsis" vert="horz" wrap="square" lIns="72000" tIns="19050" rIns="3810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'Fig 11 and 12 last years prop'!$O$4:$O$6</c:f>
              <c:strCache>
                <c:ptCount val="3"/>
                <c:pt idx="0">
                  <c:v>Occupations where no gender
 is at least 80% of the workforce</c:v>
                </c:pt>
                <c:pt idx="1">
                  <c:v>Occupations where at least 80% of the workforce is men</c:v>
                </c:pt>
                <c:pt idx="2">
                  <c:v>Occupations where at least 80% of the workfoce is women</c:v>
                </c:pt>
              </c:strCache>
            </c:strRef>
          </c:cat>
          <c:val>
            <c:numRef>
              <c:f>'Fig 11 and 12 last years prop'!$R$4:$R$6</c:f>
              <c:numCache>
                <c:formatCode>0%</c:formatCode>
                <c:ptCount val="3"/>
                <c:pt idx="0">
                  <c:v>0.2465483234714004</c:v>
                </c:pt>
                <c:pt idx="1">
                  <c:v>0.54455445544554459</c:v>
                </c:pt>
                <c:pt idx="2">
                  <c:v>0.39622641509433965</c:v>
                </c:pt>
              </c:numCache>
            </c:numRef>
          </c:val>
          <c:extLst>
            <c:ext xmlns:c16="http://schemas.microsoft.com/office/drawing/2014/chart" uri="{C3380CC4-5D6E-409C-BE32-E72D297353CC}">
              <c16:uniqueId val="{00000002-4C16-43A9-BBA1-076827FC7E24}"/>
            </c:ext>
          </c:extLst>
        </c:ser>
        <c:ser>
          <c:idx val="3"/>
          <c:order val="3"/>
          <c:tx>
            <c:strRef>
              <c:f>'Fig 11 and 12 last years prop'!$S$3</c:f>
              <c:strCache>
                <c:ptCount val="1"/>
                <c:pt idx="0">
                  <c:v>2024</c:v>
                </c:pt>
              </c:strCache>
            </c:strRef>
          </c:tx>
          <c:invertIfNegative val="0"/>
          <c:dLbls>
            <c:spPr>
              <a:noFill/>
              <a:ln>
                <a:noFill/>
              </a:ln>
              <a:effectLst/>
            </c:spPr>
            <c:txPr>
              <a:bodyPr rot="0" spcFirstLastPara="1" vertOverflow="ellipsis" vert="horz" wrap="square" lIns="72000" tIns="19050" rIns="3810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'Fig 11 and 12 last years prop'!$O$4:$O$6</c:f>
              <c:strCache>
                <c:ptCount val="3"/>
                <c:pt idx="0">
                  <c:v>Occupations where no gender
 is at least 80% of the workforce</c:v>
                </c:pt>
                <c:pt idx="1">
                  <c:v>Occupations where at least 80% of the workforce is men</c:v>
                </c:pt>
                <c:pt idx="2">
                  <c:v>Occupations where at least 80% of the workfoce is women</c:v>
                </c:pt>
              </c:strCache>
            </c:strRef>
          </c:cat>
          <c:val>
            <c:numRef>
              <c:f>'Fig 11 and 12 last years prop'!$S$4:$S$6</c:f>
              <c:numCache>
                <c:formatCode>0%</c:formatCode>
                <c:ptCount val="3"/>
                <c:pt idx="0">
                  <c:v>0.21696252465483234</c:v>
                </c:pt>
                <c:pt idx="1">
                  <c:v>0.50165016501650161</c:v>
                </c:pt>
                <c:pt idx="2">
                  <c:v>0.3867924528301887</c:v>
                </c:pt>
              </c:numCache>
            </c:numRef>
          </c:val>
          <c:extLst>
            <c:ext xmlns:c16="http://schemas.microsoft.com/office/drawing/2014/chart" uri="{C3380CC4-5D6E-409C-BE32-E72D297353CC}">
              <c16:uniqueId val="{00000003-4C16-43A9-BBA1-076827FC7E24}"/>
            </c:ext>
          </c:extLst>
        </c:ser>
        <c:dLbls>
          <c:showLegendKey val="0"/>
          <c:showVal val="0"/>
          <c:showCatName val="0"/>
          <c:showSerName val="0"/>
          <c:showPercent val="0"/>
          <c:showBubbleSize val="0"/>
        </c:dLbls>
        <c:gapWidth val="344"/>
        <c:overlap val="-27"/>
        <c:axId val="905301935"/>
        <c:axId val="905313455"/>
      </c:barChart>
      <c:catAx>
        <c:axId val="90530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5313455"/>
        <c:crosses val="autoZero"/>
        <c:auto val="1"/>
        <c:lblAlgn val="ctr"/>
        <c:lblOffset val="100"/>
        <c:noMultiLvlLbl val="0"/>
      </c:catAx>
      <c:valAx>
        <c:axId val="905313455"/>
        <c:scaling>
          <c:orientation val="minMax"/>
        </c:scaling>
        <c:delete val="0"/>
        <c:axPos val="l"/>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5301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'Fig 11 and 12 last years prop'!$V$3</c:f>
              <c:strCache>
                <c:ptCount val="1"/>
                <c:pt idx="0">
                  <c:v>&lt; 20% Women</c:v>
                </c:pt>
              </c:strCache>
            </c:strRef>
          </c:tx>
          <c:spPr>
            <a:solidFill>
              <a:schemeClr val="accent1"/>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0-E8FF-4606-B9A0-34F36F3D3E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11 and 12 last years prop'!$U$4:$U$8,'Fig 11 and 12 last years prop'!$U$10:$U$12)</c:f>
              <c:strCache>
                <c:ptCount val="8"/>
                <c:pt idx="0">
                  <c:v>1 Managers</c:v>
                </c:pt>
                <c:pt idx="1">
                  <c:v>2 Professionals</c:v>
                </c:pt>
                <c:pt idx="2">
                  <c:v>3 Technicians and Trades Workers</c:v>
                </c:pt>
                <c:pt idx="3">
                  <c:v>4 Community and Personal Service Workers</c:v>
                </c:pt>
                <c:pt idx="4">
                  <c:v>5 Clerical and Administrative Workers</c:v>
                </c:pt>
                <c:pt idx="5">
                  <c:v>7 Machinery Operators and Drivers</c:v>
                </c:pt>
                <c:pt idx="6">
                  <c:v>8 Labourers</c:v>
                </c:pt>
                <c:pt idx="7">
                  <c:v>All Occupations</c:v>
                </c:pt>
              </c:strCache>
            </c:strRef>
          </c:cat>
          <c:val>
            <c:numRef>
              <c:f>('Fig 11 and 12 last years prop'!$Y$4:$Y$8,'Fig 11 and 12 last years prop'!$Y$10:$Y$12)</c:f>
              <c:numCache>
                <c:formatCode>0%</c:formatCode>
                <c:ptCount val="8"/>
                <c:pt idx="0">
                  <c:v>0.6</c:v>
                </c:pt>
                <c:pt idx="1">
                  <c:v>0.27891156462585032</c:v>
                </c:pt>
                <c:pt idx="2">
                  <c:v>0.80582524271844658</c:v>
                </c:pt>
                <c:pt idx="3">
                  <c:v>9.5238095238095233E-2</c:v>
                </c:pt>
                <c:pt idx="4">
                  <c:v>0</c:v>
                </c:pt>
                <c:pt idx="5">
                  <c:v>0.94444444444444442</c:v>
                </c:pt>
                <c:pt idx="6">
                  <c:v>0.8571428571428571</c:v>
                </c:pt>
                <c:pt idx="7">
                  <c:v>0.50165016501650161</c:v>
                </c:pt>
              </c:numCache>
            </c:numRef>
          </c:val>
          <c:extLst>
            <c:ext xmlns:c16="http://schemas.microsoft.com/office/drawing/2014/chart" uri="{C3380CC4-5D6E-409C-BE32-E72D297353CC}">
              <c16:uniqueId val="{00000001-E8FF-4606-B9A0-34F36F3D3E5C}"/>
            </c:ext>
          </c:extLst>
        </c:ser>
        <c:ser>
          <c:idx val="1"/>
          <c:order val="1"/>
          <c:tx>
            <c:strRef>
              <c:f>'Fig 11 and 12 last years prop'!$W$3</c:f>
              <c:strCache>
                <c:ptCount val="1"/>
                <c:pt idx="0">
                  <c:v>&gt;= 20% Both Genders</c:v>
                </c:pt>
              </c:strCache>
            </c:strRef>
          </c:tx>
          <c:spPr>
            <a:solidFill>
              <a:schemeClr val="accent2"/>
            </a:solidFill>
            <a:ln>
              <a:noFill/>
            </a:ln>
            <a:effectLst/>
          </c:spPr>
          <c:invertIfNegative val="0"/>
          <c:dLbls>
            <c:dLbl>
              <c:idx val="5"/>
              <c:delete val="1"/>
              <c:extLst>
                <c:ext xmlns:c15="http://schemas.microsoft.com/office/drawing/2012/chart" uri="{CE6537A1-D6FC-4f65-9D91-7224C49458BB}">
                  <c15:layout>
                    <c:manualLayout>
                      <c:w val="1.9039012843283801E-2"/>
                      <c:h val="6.1291345604025667E-2"/>
                    </c:manualLayout>
                  </c15:layout>
                </c:ext>
                <c:ext xmlns:c16="http://schemas.microsoft.com/office/drawing/2014/chart" uri="{C3380CC4-5D6E-409C-BE32-E72D297353CC}">
                  <c16:uniqueId val="{00000002-E8FF-4606-B9A0-34F36F3D3E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11 and 12 last years prop'!$U$4:$U$8,'Fig 11 and 12 last years prop'!$U$10:$U$12)</c:f>
              <c:strCache>
                <c:ptCount val="8"/>
                <c:pt idx="0">
                  <c:v>1 Managers</c:v>
                </c:pt>
                <c:pt idx="1">
                  <c:v>2 Professionals</c:v>
                </c:pt>
                <c:pt idx="2">
                  <c:v>3 Technicians and Trades Workers</c:v>
                </c:pt>
                <c:pt idx="3">
                  <c:v>4 Community and Personal Service Workers</c:v>
                </c:pt>
                <c:pt idx="4">
                  <c:v>5 Clerical and Administrative Workers</c:v>
                </c:pt>
                <c:pt idx="5">
                  <c:v>7 Machinery Operators and Drivers</c:v>
                </c:pt>
                <c:pt idx="6">
                  <c:v>8 Labourers</c:v>
                </c:pt>
                <c:pt idx="7">
                  <c:v>All Occupations</c:v>
                </c:pt>
              </c:strCache>
            </c:strRef>
          </c:cat>
          <c:val>
            <c:numRef>
              <c:f>('Fig 11 and 12 last years prop'!$Z$4:$Z$8,'Fig 11 and 12 last years prop'!$Z$10:$Z$12)</c:f>
              <c:numCache>
                <c:formatCode>0%</c:formatCode>
                <c:ptCount val="8"/>
                <c:pt idx="0">
                  <c:v>0.4</c:v>
                </c:pt>
                <c:pt idx="1">
                  <c:v>0.53061224489795922</c:v>
                </c:pt>
                <c:pt idx="2">
                  <c:v>0.1650485436893204</c:v>
                </c:pt>
                <c:pt idx="3">
                  <c:v>0.47619047619047616</c:v>
                </c:pt>
                <c:pt idx="4">
                  <c:v>0.5</c:v>
                </c:pt>
                <c:pt idx="5">
                  <c:v>5.5555555555555552E-2</c:v>
                </c:pt>
                <c:pt idx="6">
                  <c:v>0.14285714285714285</c:v>
                </c:pt>
                <c:pt idx="7">
                  <c:v>0.36303630363036304</c:v>
                </c:pt>
              </c:numCache>
            </c:numRef>
          </c:val>
          <c:extLst>
            <c:ext xmlns:c16="http://schemas.microsoft.com/office/drawing/2014/chart" uri="{C3380CC4-5D6E-409C-BE32-E72D297353CC}">
              <c16:uniqueId val="{00000003-E8FF-4606-B9A0-34F36F3D3E5C}"/>
            </c:ext>
          </c:extLst>
        </c:ser>
        <c:ser>
          <c:idx val="2"/>
          <c:order val="2"/>
          <c:tx>
            <c:strRef>
              <c:f>'Fig 11 and 12 last years prop'!$X$3</c:f>
              <c:strCache>
                <c:ptCount val="1"/>
                <c:pt idx="0">
                  <c:v>&lt; 20% Men</c:v>
                </c:pt>
              </c:strCache>
            </c:strRef>
          </c:tx>
          <c:spPr>
            <a:solidFill>
              <a:schemeClr val="accent3"/>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E8FF-4606-B9A0-34F36F3D3E5C}"/>
                </c:ext>
              </c:extLst>
            </c:dLbl>
            <c:dLbl>
              <c:idx val="2"/>
              <c:delete val="1"/>
              <c:extLst>
                <c:ext xmlns:c15="http://schemas.microsoft.com/office/drawing/2012/chart" uri="{CE6537A1-D6FC-4f65-9D91-7224C49458BB}">
                  <c15:layout>
                    <c:manualLayout>
                      <c:w val="4.5681219344911081E-2"/>
                      <c:h val="6.5142233295816643E-2"/>
                    </c:manualLayout>
                  </c15:layout>
                </c:ext>
                <c:ext xmlns:c16="http://schemas.microsoft.com/office/drawing/2014/chart" uri="{C3380CC4-5D6E-409C-BE32-E72D297353CC}">
                  <c16:uniqueId val="{00000004-E8FF-4606-B9A0-34F36F3D3E5C}"/>
                </c:ext>
              </c:extLst>
            </c:dLbl>
            <c:dLbl>
              <c:idx val="5"/>
              <c:delete val="1"/>
              <c:extLst>
                <c:ext xmlns:c15="http://schemas.microsoft.com/office/drawing/2012/chart" uri="{CE6537A1-D6FC-4f65-9D91-7224C49458BB}"/>
                <c:ext xmlns:c16="http://schemas.microsoft.com/office/drawing/2014/chart" uri="{C3380CC4-5D6E-409C-BE32-E72D297353CC}">
                  <c16:uniqueId val="{00000007-E8FF-4606-B9A0-34F36F3D3E5C}"/>
                </c:ext>
              </c:extLst>
            </c:dLbl>
            <c:dLbl>
              <c:idx val="6"/>
              <c:delete val="1"/>
              <c:extLst>
                <c:ext xmlns:c15="http://schemas.microsoft.com/office/drawing/2012/chart" uri="{CE6537A1-D6FC-4f65-9D91-7224C49458BB}"/>
                <c:ext xmlns:c16="http://schemas.microsoft.com/office/drawing/2014/chart" uri="{C3380CC4-5D6E-409C-BE32-E72D297353CC}">
                  <c16:uniqueId val="{00000008-E8FF-4606-B9A0-34F36F3D3E5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11 and 12 last years prop'!$U$4:$U$8,'Fig 11 and 12 last years prop'!$U$10:$U$12)</c:f>
              <c:strCache>
                <c:ptCount val="8"/>
                <c:pt idx="0">
                  <c:v>1 Managers</c:v>
                </c:pt>
                <c:pt idx="1">
                  <c:v>2 Professionals</c:v>
                </c:pt>
                <c:pt idx="2">
                  <c:v>3 Technicians and Trades Workers</c:v>
                </c:pt>
                <c:pt idx="3">
                  <c:v>4 Community and Personal Service Workers</c:v>
                </c:pt>
                <c:pt idx="4">
                  <c:v>5 Clerical and Administrative Workers</c:v>
                </c:pt>
                <c:pt idx="5">
                  <c:v>7 Machinery Operators and Drivers</c:v>
                </c:pt>
                <c:pt idx="6">
                  <c:v>8 Labourers</c:v>
                </c:pt>
                <c:pt idx="7">
                  <c:v>All Occupations</c:v>
                </c:pt>
              </c:strCache>
            </c:strRef>
          </c:cat>
          <c:val>
            <c:numRef>
              <c:f>('Fig 11 and 12 last years prop'!$AA$4:$AA$8,'Fig 11 and 12 last years prop'!$AA$10:$AA$12)</c:f>
              <c:numCache>
                <c:formatCode>0%</c:formatCode>
                <c:ptCount val="8"/>
                <c:pt idx="0">
                  <c:v>0</c:v>
                </c:pt>
                <c:pt idx="1">
                  <c:v>0.19047619047619047</c:v>
                </c:pt>
                <c:pt idx="2">
                  <c:v>2.9126213592233011E-2</c:v>
                </c:pt>
                <c:pt idx="3">
                  <c:v>0.42857142857142855</c:v>
                </c:pt>
                <c:pt idx="4">
                  <c:v>0.5</c:v>
                </c:pt>
                <c:pt idx="5">
                  <c:v>0</c:v>
                </c:pt>
                <c:pt idx="6">
                  <c:v>0</c:v>
                </c:pt>
                <c:pt idx="7">
                  <c:v>0.13531353135313531</c:v>
                </c:pt>
              </c:numCache>
            </c:numRef>
          </c:val>
          <c:extLst>
            <c:ext xmlns:c16="http://schemas.microsoft.com/office/drawing/2014/chart" uri="{C3380CC4-5D6E-409C-BE32-E72D297353CC}">
              <c16:uniqueId val="{00000005-E8FF-4606-B9A0-34F36F3D3E5C}"/>
            </c:ext>
          </c:extLst>
        </c:ser>
        <c:dLbls>
          <c:showLegendKey val="0"/>
          <c:showVal val="1"/>
          <c:showCatName val="0"/>
          <c:showSerName val="0"/>
          <c:showPercent val="0"/>
          <c:showBubbleSize val="0"/>
        </c:dLbls>
        <c:gapWidth val="95"/>
        <c:overlap val="100"/>
        <c:axId val="489097759"/>
        <c:axId val="489097343"/>
        <c:extLst/>
      </c:barChart>
      <c:catAx>
        <c:axId val="48909775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097343"/>
        <c:crosses val="autoZero"/>
        <c:auto val="1"/>
        <c:lblAlgn val="ctr"/>
        <c:lblOffset val="100"/>
        <c:noMultiLvlLbl val="0"/>
      </c:catAx>
      <c:valAx>
        <c:axId val="489097343"/>
        <c:scaling>
          <c:orientation val="minMax"/>
          <c:max val="1"/>
        </c:scaling>
        <c:delete val="1"/>
        <c:axPos val="t"/>
        <c:numFmt formatCode="0%" sourceLinked="1"/>
        <c:majorTickMark val="none"/>
        <c:minorTickMark val="none"/>
        <c:tickLblPos val="nextTo"/>
        <c:crossAx val="489097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'Figure 12'!$H$26</c:f>
              <c:strCache>
                <c:ptCount val="1"/>
                <c:pt idx="0">
                  <c:v>15-24 yo</c:v>
                </c:pt>
              </c:strCache>
            </c:strRef>
          </c:tx>
          <c:spPr>
            <a:solidFill>
              <a:srgbClr val="6929C4"/>
            </a:solidFill>
            <a:ln>
              <a:solidFill>
                <a:srgbClr val="6929C4"/>
              </a:solid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4-5CF3-4135-9140-F9A6AC6C3E2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12'!$G$27:$G$35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12'!$H$27:$H$35</c:f>
              <c:numCache>
                <c:formatCode>0%</c:formatCode>
                <c:ptCount val="9"/>
                <c:pt idx="0">
                  <c:v>9.501215144898148E-2</c:v>
                </c:pt>
                <c:pt idx="1">
                  <c:v>0.16351030111694112</c:v>
                </c:pt>
                <c:pt idx="2">
                  <c:v>8.991257808586807E-2</c:v>
                </c:pt>
                <c:pt idx="3">
                  <c:v>9.4422296930851107E-2</c:v>
                </c:pt>
                <c:pt idx="4">
                  <c:v>9.8100738044404515E-2</c:v>
                </c:pt>
                <c:pt idx="5">
                  <c:v>0.19224127913283379</c:v>
                </c:pt>
                <c:pt idx="6">
                  <c:v>0.10572470663320968</c:v>
                </c:pt>
                <c:pt idx="7">
                  <c:v>6.964552475250789E-2</c:v>
                </c:pt>
                <c:pt idx="8">
                  <c:v>3.7656877784676253E-2</c:v>
                </c:pt>
              </c:numCache>
            </c:numRef>
          </c:val>
          <c:extLst>
            <c:ext xmlns:c16="http://schemas.microsoft.com/office/drawing/2014/chart" uri="{C3380CC4-5D6E-409C-BE32-E72D297353CC}">
              <c16:uniqueId val="{00000000-5CF3-4135-9140-F9A6AC6C3E29}"/>
            </c:ext>
          </c:extLst>
        </c:ser>
        <c:ser>
          <c:idx val="1"/>
          <c:order val="1"/>
          <c:tx>
            <c:strRef>
              <c:f>'Figure 12'!$I$26</c:f>
              <c:strCache>
                <c:ptCount val="1"/>
                <c:pt idx="0">
                  <c:v>25-44 yo</c:v>
                </c:pt>
              </c:strCache>
            </c:strRef>
          </c:tx>
          <c:spPr>
            <a:solidFill>
              <a:srgbClr val="009D9A"/>
            </a:solidFill>
            <a:ln>
              <a:solidFill>
                <a:srgbClr val="009D9A"/>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12'!$G$27:$G$35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12'!$I$27:$I$35</c:f>
              <c:numCache>
                <c:formatCode>0%</c:formatCode>
                <c:ptCount val="9"/>
                <c:pt idx="0">
                  <c:v>0.44030768268300974</c:v>
                </c:pt>
                <c:pt idx="1">
                  <c:v>0.40144844706936156</c:v>
                </c:pt>
                <c:pt idx="2">
                  <c:v>0.38664975153708869</c:v>
                </c:pt>
                <c:pt idx="3">
                  <c:v>0.43287556483503076</c:v>
                </c:pt>
                <c:pt idx="4">
                  <c:v>0.44118205703026026</c:v>
                </c:pt>
                <c:pt idx="5">
                  <c:v>0.38980928000119341</c:v>
                </c:pt>
                <c:pt idx="6">
                  <c:v>0.43389410808978363</c:v>
                </c:pt>
                <c:pt idx="7">
                  <c:v>0.51752541449789535</c:v>
                </c:pt>
                <c:pt idx="8">
                  <c:v>0.38265254592790748</c:v>
                </c:pt>
              </c:numCache>
            </c:numRef>
          </c:val>
          <c:extLst>
            <c:ext xmlns:c16="http://schemas.microsoft.com/office/drawing/2014/chart" uri="{C3380CC4-5D6E-409C-BE32-E72D297353CC}">
              <c16:uniqueId val="{00000001-5CF3-4135-9140-F9A6AC6C3E29}"/>
            </c:ext>
          </c:extLst>
        </c:ser>
        <c:ser>
          <c:idx val="2"/>
          <c:order val="2"/>
          <c:tx>
            <c:strRef>
              <c:f>'Figure 12'!$J$26</c:f>
              <c:strCache>
                <c:ptCount val="1"/>
                <c:pt idx="0">
                  <c:v>45-54 yo</c:v>
                </c:pt>
              </c:strCache>
            </c:strRef>
          </c:tx>
          <c:spPr>
            <a:solidFill>
              <a:srgbClr val="2C054E"/>
            </a:solidFill>
            <a:ln>
              <a:solidFill>
                <a:srgbClr val="2C054E"/>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12'!$G$27:$G$35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12'!$J$27:$J$35</c:f>
              <c:numCache>
                <c:formatCode>0%</c:formatCode>
                <c:ptCount val="9"/>
                <c:pt idx="0">
                  <c:v>0.21667708999145438</c:v>
                </c:pt>
                <c:pt idx="1">
                  <c:v>0.1915413945620896</c:v>
                </c:pt>
                <c:pt idx="2">
                  <c:v>0.22762335768351596</c:v>
                </c:pt>
                <c:pt idx="3">
                  <c:v>0.22258442284496804</c:v>
                </c:pt>
                <c:pt idx="4">
                  <c:v>0.22301399571902419</c:v>
                </c:pt>
                <c:pt idx="5">
                  <c:v>0.18625232009375736</c:v>
                </c:pt>
                <c:pt idx="6">
                  <c:v>0.21105744807682211</c:v>
                </c:pt>
                <c:pt idx="7">
                  <c:v>0.21169295922634024</c:v>
                </c:pt>
                <c:pt idx="8">
                  <c:v>0.25149728481575734</c:v>
                </c:pt>
              </c:numCache>
            </c:numRef>
          </c:val>
          <c:extLst>
            <c:ext xmlns:c16="http://schemas.microsoft.com/office/drawing/2014/chart" uri="{C3380CC4-5D6E-409C-BE32-E72D297353CC}">
              <c16:uniqueId val="{00000002-5CF3-4135-9140-F9A6AC6C3E29}"/>
            </c:ext>
          </c:extLst>
        </c:ser>
        <c:ser>
          <c:idx val="3"/>
          <c:order val="3"/>
          <c:tx>
            <c:strRef>
              <c:f>'Figure 12'!$K$26</c:f>
              <c:strCache>
                <c:ptCount val="1"/>
                <c:pt idx="0">
                  <c:v>55+ yo</c:v>
                </c:pt>
              </c:strCache>
            </c:strRef>
          </c:tx>
          <c:spPr>
            <a:solidFill>
              <a:srgbClr val="EE538B"/>
            </a:solidFill>
            <a:ln>
              <a:solidFill>
                <a:srgbClr val="EE538B"/>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12'!$G$27:$G$35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12'!$K$27:$K$35</c:f>
              <c:numCache>
                <c:formatCode>0%</c:formatCode>
                <c:ptCount val="9"/>
                <c:pt idx="0">
                  <c:v>0.24800307587655437</c:v>
                </c:pt>
                <c:pt idx="1">
                  <c:v>0.24349985725160767</c:v>
                </c:pt>
                <c:pt idx="2">
                  <c:v>0.29581431269352737</c:v>
                </c:pt>
                <c:pt idx="3">
                  <c:v>0.25011771538915006</c:v>
                </c:pt>
                <c:pt idx="4">
                  <c:v>0.23770320920631108</c:v>
                </c:pt>
                <c:pt idx="5">
                  <c:v>0.23169712077221544</c:v>
                </c:pt>
                <c:pt idx="6">
                  <c:v>0.24932373720018464</c:v>
                </c:pt>
                <c:pt idx="7">
                  <c:v>0.20113610152325634</c:v>
                </c:pt>
                <c:pt idx="8">
                  <c:v>0.32819329147165893</c:v>
                </c:pt>
              </c:numCache>
            </c:numRef>
          </c:val>
          <c:extLst>
            <c:ext xmlns:c16="http://schemas.microsoft.com/office/drawing/2014/chart" uri="{C3380CC4-5D6E-409C-BE32-E72D297353CC}">
              <c16:uniqueId val="{00000003-5CF3-4135-9140-F9A6AC6C3E29}"/>
            </c:ext>
          </c:extLst>
        </c:ser>
        <c:dLbls>
          <c:dLblPos val="ctr"/>
          <c:showLegendKey val="0"/>
          <c:showVal val="1"/>
          <c:showCatName val="0"/>
          <c:showSerName val="0"/>
          <c:showPercent val="0"/>
          <c:showBubbleSize val="0"/>
        </c:dLbls>
        <c:gapWidth val="100"/>
        <c:overlap val="100"/>
        <c:axId val="1780964847"/>
        <c:axId val="1780939407"/>
      </c:barChart>
      <c:catAx>
        <c:axId val="17809648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0939407"/>
        <c:crosses val="autoZero"/>
        <c:auto val="1"/>
        <c:lblAlgn val="ctr"/>
        <c:lblOffset val="100"/>
        <c:noMultiLvlLbl val="0"/>
      </c:catAx>
      <c:valAx>
        <c:axId val="1780939407"/>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0964847"/>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'Figure 12'!$H$6</c:f>
              <c:strCache>
                <c:ptCount val="1"/>
                <c:pt idx="0">
                  <c:v>15-24 yo</c:v>
                </c:pt>
              </c:strCache>
            </c:strRef>
          </c:tx>
          <c:spPr>
            <a:solidFill>
              <a:srgbClr val="6929C4"/>
            </a:solidFill>
            <a:ln>
              <a:solidFill>
                <a:srgbClr val="6929C4"/>
              </a:solid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9-7047-48AA-8725-2E206954ADB3}"/>
                </c:ext>
              </c:extLst>
            </c:dLbl>
            <c:dLbl>
              <c:idx val="7"/>
              <c:delete val="1"/>
              <c:extLst>
                <c:ext xmlns:c15="http://schemas.microsoft.com/office/drawing/2012/chart" uri="{CE6537A1-D6FC-4f65-9D91-7224C49458BB}"/>
                <c:ext xmlns:c16="http://schemas.microsoft.com/office/drawing/2014/chart" uri="{C3380CC4-5D6E-409C-BE32-E72D297353CC}">
                  <c16:uniqueId val="{00000006-7047-48AA-8725-2E206954ADB3}"/>
                </c:ext>
              </c:extLst>
            </c:dLbl>
            <c:dLbl>
              <c:idx val="8"/>
              <c:delete val="1"/>
              <c:extLst>
                <c:ext xmlns:c15="http://schemas.microsoft.com/office/drawing/2012/chart" uri="{CE6537A1-D6FC-4f65-9D91-7224C49458BB}"/>
                <c:ext xmlns:c16="http://schemas.microsoft.com/office/drawing/2014/chart" uri="{C3380CC4-5D6E-409C-BE32-E72D297353CC}">
                  <c16:uniqueId val="{00000005-7047-48AA-8725-2E206954AD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12'!$G$7:$G$15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12'!$H$7:$H$15</c:f>
              <c:numCache>
                <c:formatCode>0%</c:formatCode>
                <c:ptCount val="9"/>
                <c:pt idx="0">
                  <c:v>8.9188645822548748E-2</c:v>
                </c:pt>
                <c:pt idx="1">
                  <c:v>0.13733554645728846</c:v>
                </c:pt>
                <c:pt idx="2">
                  <c:v>8.6106173566341107E-2</c:v>
                </c:pt>
                <c:pt idx="3">
                  <c:v>0</c:v>
                </c:pt>
                <c:pt idx="4">
                  <c:v>7.4132465013516058E-2</c:v>
                </c:pt>
                <c:pt idx="5">
                  <c:v>0.17806803352398717</c:v>
                </c:pt>
                <c:pt idx="6">
                  <c:v>0.13057721406290729</c:v>
                </c:pt>
                <c:pt idx="7">
                  <c:v>4.8768499718643908E-2</c:v>
                </c:pt>
                <c:pt idx="8">
                  <c:v>3.4467573329536413E-2</c:v>
                </c:pt>
              </c:numCache>
            </c:numRef>
          </c:val>
          <c:extLst>
            <c:ext xmlns:c16="http://schemas.microsoft.com/office/drawing/2014/chart" uri="{C3380CC4-5D6E-409C-BE32-E72D297353CC}">
              <c16:uniqueId val="{00000000-7047-48AA-8725-2E206954ADB3}"/>
            </c:ext>
          </c:extLst>
        </c:ser>
        <c:ser>
          <c:idx val="1"/>
          <c:order val="1"/>
          <c:tx>
            <c:strRef>
              <c:f>'Figure 12'!$I$6</c:f>
              <c:strCache>
                <c:ptCount val="1"/>
                <c:pt idx="0">
                  <c:v>25-44 yo</c:v>
                </c:pt>
              </c:strCache>
            </c:strRef>
          </c:tx>
          <c:spPr>
            <a:solidFill>
              <a:srgbClr val="009D9A"/>
            </a:solidFill>
            <a:ln>
              <a:solidFill>
                <a:srgbClr val="009D9A"/>
              </a:solid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8-7047-48AA-8725-2E206954AD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12'!$G$7:$G$15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12'!$I$7:$I$15</c:f>
              <c:numCache>
                <c:formatCode>0%</c:formatCode>
                <c:ptCount val="9"/>
                <c:pt idx="0">
                  <c:v>0.50140410977349803</c:v>
                </c:pt>
                <c:pt idx="1">
                  <c:v>0.56330073447934204</c:v>
                </c:pt>
                <c:pt idx="2">
                  <c:v>0.41786861020326455</c:v>
                </c:pt>
                <c:pt idx="3">
                  <c:v>0</c:v>
                </c:pt>
                <c:pt idx="4">
                  <c:v>0.49069742609439349</c:v>
                </c:pt>
                <c:pt idx="5">
                  <c:v>0.44065400779228531</c:v>
                </c:pt>
                <c:pt idx="6">
                  <c:v>0.45380677671568531</c:v>
                </c:pt>
                <c:pt idx="7">
                  <c:v>0.55010865539525833</c:v>
                </c:pt>
                <c:pt idx="8">
                  <c:v>0.48542328869583062</c:v>
                </c:pt>
              </c:numCache>
            </c:numRef>
          </c:val>
          <c:extLst>
            <c:ext xmlns:c16="http://schemas.microsoft.com/office/drawing/2014/chart" uri="{C3380CC4-5D6E-409C-BE32-E72D297353CC}">
              <c16:uniqueId val="{00000001-7047-48AA-8725-2E206954ADB3}"/>
            </c:ext>
          </c:extLst>
        </c:ser>
        <c:ser>
          <c:idx val="2"/>
          <c:order val="2"/>
          <c:tx>
            <c:strRef>
              <c:f>'Figure 12'!$J$6</c:f>
              <c:strCache>
                <c:ptCount val="1"/>
                <c:pt idx="0">
                  <c:v>45-54 yo</c:v>
                </c:pt>
              </c:strCache>
            </c:strRef>
          </c:tx>
          <c:spPr>
            <a:solidFill>
              <a:srgbClr val="2C054E"/>
            </a:solidFill>
            <a:ln>
              <a:solidFill>
                <a:srgbClr val="2C054E"/>
              </a:solid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7-7047-48AA-8725-2E206954AD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12'!$G$7:$G$15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12'!$J$7:$J$15</c:f>
              <c:numCache>
                <c:formatCode>0%</c:formatCode>
                <c:ptCount val="9"/>
                <c:pt idx="0">
                  <c:v>0.20686889920160409</c:v>
                </c:pt>
                <c:pt idx="1">
                  <c:v>0.16933912102145346</c:v>
                </c:pt>
                <c:pt idx="2">
                  <c:v>0.23421938215984062</c:v>
                </c:pt>
                <c:pt idx="3">
                  <c:v>0</c:v>
                </c:pt>
                <c:pt idx="4">
                  <c:v>0.23068009193974537</c:v>
                </c:pt>
                <c:pt idx="5">
                  <c:v>0.19063078314503093</c:v>
                </c:pt>
                <c:pt idx="6">
                  <c:v>0.20522552226138538</c:v>
                </c:pt>
                <c:pt idx="7">
                  <c:v>0.20678698449212096</c:v>
                </c:pt>
                <c:pt idx="8">
                  <c:v>0.25457161622164948</c:v>
                </c:pt>
              </c:numCache>
            </c:numRef>
          </c:val>
          <c:extLst>
            <c:ext xmlns:c16="http://schemas.microsoft.com/office/drawing/2014/chart" uri="{C3380CC4-5D6E-409C-BE32-E72D297353CC}">
              <c16:uniqueId val="{00000002-7047-48AA-8725-2E206954ADB3}"/>
            </c:ext>
          </c:extLst>
        </c:ser>
        <c:ser>
          <c:idx val="3"/>
          <c:order val="3"/>
          <c:tx>
            <c:strRef>
              <c:f>'Figure 12'!$K$6</c:f>
              <c:strCache>
                <c:ptCount val="1"/>
                <c:pt idx="0">
                  <c:v>55+ yo</c:v>
                </c:pt>
              </c:strCache>
            </c:strRef>
          </c:tx>
          <c:spPr>
            <a:solidFill>
              <a:srgbClr val="EE538B"/>
            </a:solidFill>
            <a:ln>
              <a:solidFill>
                <a:srgbClr val="EE538B"/>
              </a:solid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3-7047-48AA-8725-2E206954AD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12'!$G$7:$G$15</c:f>
              <c:strCache>
                <c:ptCount val="9"/>
                <c:pt idx="0">
                  <c:v>All Occupations</c:v>
                </c:pt>
                <c:pt idx="1">
                  <c:v>8 Labourers</c:v>
                </c:pt>
                <c:pt idx="2">
                  <c:v>7 Machinery Operators and Drivers</c:v>
                </c:pt>
                <c:pt idx="3">
                  <c:v>6 Sales Workers</c:v>
                </c:pt>
                <c:pt idx="4">
                  <c:v>5 Clerical and Administrative Workers</c:v>
                </c:pt>
                <c:pt idx="5">
                  <c:v>4 Community and Personal Service Workers</c:v>
                </c:pt>
                <c:pt idx="6">
                  <c:v>3 Technicians and Trades Workers</c:v>
                </c:pt>
                <c:pt idx="7">
                  <c:v>2 Professionals</c:v>
                </c:pt>
                <c:pt idx="8">
                  <c:v>1 Managers</c:v>
                </c:pt>
              </c:strCache>
            </c:strRef>
          </c:cat>
          <c:val>
            <c:numRef>
              <c:f>'Figure 12'!$K$7:$K$15</c:f>
              <c:numCache>
                <c:formatCode>0%</c:formatCode>
                <c:ptCount val="9"/>
                <c:pt idx="0">
                  <c:v>0.20253834520234906</c:v>
                </c:pt>
                <c:pt idx="1">
                  <c:v>0.13002459804191596</c:v>
                </c:pt>
                <c:pt idx="2">
                  <c:v>0.26180583407055374</c:v>
                </c:pt>
                <c:pt idx="3">
                  <c:v>0</c:v>
                </c:pt>
                <c:pt idx="4">
                  <c:v>0.20449001695234509</c:v>
                </c:pt>
                <c:pt idx="5">
                  <c:v>0.19064717553869651</c:v>
                </c:pt>
                <c:pt idx="6">
                  <c:v>0.21039048696002197</c:v>
                </c:pt>
                <c:pt idx="7">
                  <c:v>0.19433586039397679</c:v>
                </c:pt>
                <c:pt idx="8">
                  <c:v>0.2255375217529835</c:v>
                </c:pt>
              </c:numCache>
            </c:numRef>
          </c:val>
          <c:extLst>
            <c:ext xmlns:c16="http://schemas.microsoft.com/office/drawing/2014/chart" uri="{C3380CC4-5D6E-409C-BE32-E72D297353CC}">
              <c16:uniqueId val="{00000004-7047-48AA-8725-2E206954ADB3}"/>
            </c:ext>
          </c:extLst>
        </c:ser>
        <c:dLbls>
          <c:dLblPos val="ctr"/>
          <c:showLegendKey val="0"/>
          <c:showVal val="1"/>
          <c:showCatName val="0"/>
          <c:showSerName val="0"/>
          <c:showPercent val="0"/>
          <c:showBubbleSize val="0"/>
        </c:dLbls>
        <c:gapWidth val="100"/>
        <c:overlap val="100"/>
        <c:axId val="1780964847"/>
        <c:axId val="1780939407"/>
      </c:barChart>
      <c:catAx>
        <c:axId val="17809648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0939407"/>
        <c:crosses val="autoZero"/>
        <c:auto val="1"/>
        <c:lblAlgn val="ctr"/>
        <c:lblOffset val="100"/>
        <c:noMultiLvlLbl val="0"/>
      </c:catAx>
      <c:valAx>
        <c:axId val="1780939407"/>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0964847"/>
        <c:crosses val="autoZero"/>
        <c:crossBetween val="between"/>
        <c:majorUnit val="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896528089122391E-2"/>
          <c:y val="3.9406593679374186E-2"/>
          <c:w val="0.90386628038465755"/>
          <c:h val="0.72394454079047876"/>
        </c:manualLayout>
      </c:layout>
      <c:barChart>
        <c:barDir val="col"/>
        <c:grouping val="clustered"/>
        <c:varyColors val="0"/>
        <c:ser>
          <c:idx val="0"/>
          <c:order val="0"/>
          <c:tx>
            <c:strRef>
              <c:f>'Figure 13 (2)'!$B$10</c:f>
              <c:strCache>
                <c:ptCount val="1"/>
                <c:pt idx="0">
                  <c:v>2021</c:v>
                </c:pt>
              </c:strCache>
            </c:strRef>
          </c:tx>
          <c:spPr>
            <a:solidFill>
              <a:srgbClr val="6929C4"/>
            </a:solidFill>
            <a:ln>
              <a:solidFill>
                <a:srgbClr val="6929C4"/>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13 (2)'!$A$11:$A$13</c:f>
              <c:strCache>
                <c:ptCount val="3"/>
                <c:pt idx="0">
                  <c:v>&lt;= 10% Aged 55+</c:v>
                </c:pt>
                <c:pt idx="1">
                  <c:v>10% to 30% Aged 55+</c:v>
                </c:pt>
                <c:pt idx="2">
                  <c:v>&gt;=30% Aged 55+</c:v>
                </c:pt>
              </c:strCache>
            </c:strRef>
          </c:cat>
          <c:val>
            <c:numRef>
              <c:f>'Figure 13 (2)'!$B$11:$B$13</c:f>
              <c:numCache>
                <c:formatCode>0%</c:formatCode>
                <c:ptCount val="3"/>
                <c:pt idx="0">
                  <c:v>0.27272727272727271</c:v>
                </c:pt>
                <c:pt idx="1">
                  <c:v>0.22509225092250923</c:v>
                </c:pt>
                <c:pt idx="2">
                  <c:v>0.11052631578947368</c:v>
                </c:pt>
              </c:numCache>
            </c:numRef>
          </c:val>
          <c:extLst>
            <c:ext xmlns:c16="http://schemas.microsoft.com/office/drawing/2014/chart" uri="{C3380CC4-5D6E-409C-BE32-E72D297353CC}">
              <c16:uniqueId val="{00000000-7C58-4B59-A928-8D3ABE88FC9C}"/>
            </c:ext>
          </c:extLst>
        </c:ser>
        <c:ser>
          <c:idx val="1"/>
          <c:order val="1"/>
          <c:tx>
            <c:strRef>
              <c:f>'Figure 13 (2)'!$C$10</c:f>
              <c:strCache>
                <c:ptCount val="1"/>
                <c:pt idx="0">
                  <c:v>2022</c:v>
                </c:pt>
              </c:strCache>
            </c:strRef>
          </c:tx>
          <c:spPr>
            <a:solidFill>
              <a:srgbClr val="009D9A"/>
            </a:solidFill>
            <a:ln>
              <a:solidFill>
                <a:srgbClr val="009D9A"/>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13 (2)'!$A$11:$A$13</c:f>
              <c:strCache>
                <c:ptCount val="3"/>
                <c:pt idx="0">
                  <c:v>&lt;= 10% Aged 55+</c:v>
                </c:pt>
                <c:pt idx="1">
                  <c:v>10% to 30% Aged 55+</c:v>
                </c:pt>
                <c:pt idx="2">
                  <c:v>&gt;=30% Aged 55+</c:v>
                </c:pt>
              </c:strCache>
            </c:strRef>
          </c:cat>
          <c:val>
            <c:numRef>
              <c:f>'Figure 13 (2)'!$C$11:$C$13</c:f>
              <c:numCache>
                <c:formatCode>0%</c:formatCode>
                <c:ptCount val="3"/>
                <c:pt idx="0">
                  <c:v>0.42499999999999999</c:v>
                </c:pt>
                <c:pt idx="1">
                  <c:v>0.3300970873786408</c:v>
                </c:pt>
                <c:pt idx="2">
                  <c:v>0.21951219512195122</c:v>
                </c:pt>
              </c:numCache>
            </c:numRef>
          </c:val>
          <c:extLst>
            <c:ext xmlns:c16="http://schemas.microsoft.com/office/drawing/2014/chart" uri="{C3380CC4-5D6E-409C-BE32-E72D297353CC}">
              <c16:uniqueId val="{00000001-7C58-4B59-A928-8D3ABE88FC9C}"/>
            </c:ext>
          </c:extLst>
        </c:ser>
        <c:ser>
          <c:idx val="2"/>
          <c:order val="2"/>
          <c:tx>
            <c:strRef>
              <c:f>'Figure 13 (2)'!$D$10</c:f>
              <c:strCache>
                <c:ptCount val="1"/>
                <c:pt idx="0">
                  <c:v>2023</c:v>
                </c:pt>
              </c:strCache>
            </c:strRef>
          </c:tx>
          <c:spPr>
            <a:solidFill>
              <a:srgbClr val="012749"/>
            </a:solidFill>
            <a:ln>
              <a:solidFill>
                <a:srgbClr val="012749"/>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13 (2)'!$A$11:$A$13</c:f>
              <c:strCache>
                <c:ptCount val="3"/>
                <c:pt idx="0">
                  <c:v>&lt;= 10% Aged 55+</c:v>
                </c:pt>
                <c:pt idx="1">
                  <c:v>10% to 30% Aged 55+</c:v>
                </c:pt>
                <c:pt idx="2">
                  <c:v>&gt;=30% Aged 55+</c:v>
                </c:pt>
              </c:strCache>
            </c:strRef>
          </c:cat>
          <c:val>
            <c:numRef>
              <c:f>'Figure 13 (2)'!$D$11:$D$13</c:f>
              <c:numCache>
                <c:formatCode>0%</c:formatCode>
                <c:ptCount val="3"/>
                <c:pt idx="0">
                  <c:v>0.5</c:v>
                </c:pt>
                <c:pt idx="1">
                  <c:v>0.39158576051779936</c:v>
                </c:pt>
                <c:pt idx="2">
                  <c:v>0.22439024390243903</c:v>
                </c:pt>
              </c:numCache>
            </c:numRef>
          </c:val>
          <c:extLst>
            <c:ext xmlns:c16="http://schemas.microsoft.com/office/drawing/2014/chart" uri="{C3380CC4-5D6E-409C-BE32-E72D297353CC}">
              <c16:uniqueId val="{00000002-7C58-4B59-A928-8D3ABE88FC9C}"/>
            </c:ext>
          </c:extLst>
        </c:ser>
        <c:ser>
          <c:idx val="3"/>
          <c:order val="3"/>
          <c:tx>
            <c:strRef>
              <c:f>'Figure 13 (2)'!$E$10</c:f>
              <c:strCache>
                <c:ptCount val="1"/>
                <c:pt idx="0">
                  <c:v>2024</c:v>
                </c:pt>
              </c:strCache>
            </c:strRef>
          </c:tx>
          <c:spPr>
            <a:solidFill>
              <a:srgbClr val="EE538B"/>
            </a:solidFill>
            <a:ln>
              <a:solidFill>
                <a:srgbClr val="EE538B"/>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13 (2)'!$A$11:$A$13</c:f>
              <c:strCache>
                <c:ptCount val="3"/>
                <c:pt idx="0">
                  <c:v>&lt;= 10% Aged 55+</c:v>
                </c:pt>
                <c:pt idx="1">
                  <c:v>10% to 30% Aged 55+</c:v>
                </c:pt>
                <c:pt idx="2">
                  <c:v>&gt;=30% Aged 55+</c:v>
                </c:pt>
              </c:strCache>
            </c:strRef>
          </c:cat>
          <c:val>
            <c:numRef>
              <c:f>'Figure 13 (2)'!$E$11:$E$13</c:f>
              <c:numCache>
                <c:formatCode>0%</c:formatCode>
                <c:ptCount val="3"/>
                <c:pt idx="0">
                  <c:v>0.4375</c:v>
                </c:pt>
                <c:pt idx="1">
                  <c:v>0.36407766990291263</c:v>
                </c:pt>
                <c:pt idx="2">
                  <c:v>0.19024390243902439</c:v>
                </c:pt>
              </c:numCache>
            </c:numRef>
          </c:val>
          <c:extLst>
            <c:ext xmlns:c16="http://schemas.microsoft.com/office/drawing/2014/chart" uri="{C3380CC4-5D6E-409C-BE32-E72D297353CC}">
              <c16:uniqueId val="{00000003-7C58-4B59-A928-8D3ABE88FC9C}"/>
            </c:ext>
          </c:extLst>
        </c:ser>
        <c:dLbls>
          <c:dLblPos val="outEnd"/>
          <c:showLegendKey val="0"/>
          <c:showVal val="1"/>
          <c:showCatName val="0"/>
          <c:showSerName val="0"/>
          <c:showPercent val="0"/>
          <c:showBubbleSize val="0"/>
        </c:dLbls>
        <c:gapWidth val="344"/>
        <c:overlap val="-27"/>
        <c:axId val="905301935"/>
        <c:axId val="905313455"/>
      </c:barChart>
      <c:catAx>
        <c:axId val="90530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5313455"/>
        <c:crosses val="autoZero"/>
        <c:auto val="1"/>
        <c:lblAlgn val="ctr"/>
        <c:lblOffset val="100"/>
        <c:noMultiLvlLbl val="0"/>
      </c:catAx>
      <c:valAx>
        <c:axId val="905313455"/>
        <c:scaling>
          <c:orientation val="minMax"/>
        </c:scaling>
        <c:delete val="0"/>
        <c:axPos val="l"/>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5301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'Figure 14'!$C$45</c:f>
              <c:strCache>
                <c:ptCount val="1"/>
                <c:pt idx="0">
                  <c:v>2024</c:v>
                </c:pt>
              </c:strCache>
            </c:strRef>
          </c:tx>
          <c:spPr>
            <a:solidFill>
              <a:srgbClr val="EE538B"/>
            </a:solidFill>
            <a:ln>
              <a:solidFill>
                <a:srgbClr val="EE538B"/>
              </a:solidFill>
            </a:ln>
            <a:effectLst/>
          </c:spPr>
          <c:invertIfNegative val="0"/>
          <c:cat>
            <c:strRef>
              <c:f>'Figure 14'!$B$46:$B$64</c:f>
              <c:strCache>
                <c:ptCount val="19"/>
                <c:pt idx="0">
                  <c:v>Rental, Hiring and Real Estate Services</c:v>
                </c:pt>
                <c:pt idx="1">
                  <c:v>Agriculture, Forestry and Fishing</c:v>
                </c:pt>
                <c:pt idx="2">
                  <c:v>Financial and Insurance Services</c:v>
                </c:pt>
                <c:pt idx="3">
                  <c:v>Arts and Recreation Services</c:v>
                </c:pt>
                <c:pt idx="4">
                  <c:v>Retail Trade</c:v>
                </c:pt>
                <c:pt idx="5">
                  <c:v>Information Media and Telecommunications</c:v>
                </c:pt>
                <c:pt idx="6">
                  <c:v>Wholesale Trade</c:v>
                </c:pt>
                <c:pt idx="7">
                  <c:v>Public Administration and Safety</c:v>
                </c:pt>
                <c:pt idx="8">
                  <c:v>Accommodation and Food Services</c:v>
                </c:pt>
                <c:pt idx="9">
                  <c:v>Transport, Postal and Warehousing</c:v>
                </c:pt>
                <c:pt idx="10">
                  <c:v>Administrative and Support Services</c:v>
                </c:pt>
                <c:pt idx="11">
                  <c:v>Manufacturing</c:v>
                </c:pt>
                <c:pt idx="12">
                  <c:v>Professional, Scientific and Technical Services</c:v>
                </c:pt>
                <c:pt idx="13">
                  <c:v>Electricity, Gas, Water and Waste Services</c:v>
                </c:pt>
                <c:pt idx="14">
                  <c:v>Education and Training</c:v>
                </c:pt>
                <c:pt idx="15">
                  <c:v>Other Services</c:v>
                </c:pt>
                <c:pt idx="16">
                  <c:v>Health Care and Social Assistance</c:v>
                </c:pt>
                <c:pt idx="17">
                  <c:v>Mining</c:v>
                </c:pt>
                <c:pt idx="18">
                  <c:v>Construction</c:v>
                </c:pt>
              </c:strCache>
            </c:strRef>
          </c:cat>
          <c:val>
            <c:numRef>
              <c:f>'Figure 14'!$C$46:$C$64</c:f>
              <c:numCache>
                <c:formatCode>0%</c:formatCode>
                <c:ptCount val="19"/>
                <c:pt idx="0">
                  <c:v>0.10061506950225482</c:v>
                </c:pt>
                <c:pt idx="1">
                  <c:v>0.1227608057818312</c:v>
                </c:pt>
                <c:pt idx="2">
                  <c:v>0.15160825491498273</c:v>
                </c:pt>
                <c:pt idx="3">
                  <c:v>0.16481660560330189</c:v>
                </c:pt>
                <c:pt idx="4">
                  <c:v>0.18675875043520579</c:v>
                </c:pt>
                <c:pt idx="5">
                  <c:v>0.19119860946465816</c:v>
                </c:pt>
                <c:pt idx="6">
                  <c:v>0.20966649703682055</c:v>
                </c:pt>
                <c:pt idx="7">
                  <c:v>0.23159684044037257</c:v>
                </c:pt>
                <c:pt idx="8">
                  <c:v>0.27818517200090664</c:v>
                </c:pt>
                <c:pt idx="9">
                  <c:v>0.34039916741501847</c:v>
                </c:pt>
                <c:pt idx="10">
                  <c:v>0.35403231075065034</c:v>
                </c:pt>
                <c:pt idx="11">
                  <c:v>0.37484437626005063</c:v>
                </c:pt>
                <c:pt idx="12">
                  <c:v>0.38181201642249324</c:v>
                </c:pt>
                <c:pt idx="13">
                  <c:v>0.42717257125885211</c:v>
                </c:pt>
                <c:pt idx="14">
                  <c:v>0.51032912375326056</c:v>
                </c:pt>
                <c:pt idx="15">
                  <c:v>0.53705519258974621</c:v>
                </c:pt>
                <c:pt idx="16">
                  <c:v>0.61766361893989352</c:v>
                </c:pt>
                <c:pt idx="17">
                  <c:v>0.66147171139370864</c:v>
                </c:pt>
                <c:pt idx="18">
                  <c:v>0.69011138451225928</c:v>
                </c:pt>
              </c:numCache>
            </c:numRef>
          </c:val>
          <c:extLst>
            <c:ext xmlns:c16="http://schemas.microsoft.com/office/drawing/2014/chart" uri="{C3380CC4-5D6E-409C-BE32-E72D297353CC}">
              <c16:uniqueId val="{00000000-8304-4C42-AF54-BEE39C54AE08}"/>
            </c:ext>
          </c:extLst>
        </c:ser>
        <c:ser>
          <c:idx val="1"/>
          <c:order val="1"/>
          <c:tx>
            <c:strRef>
              <c:f>'Figure 14'!$D$45</c:f>
              <c:strCache>
                <c:ptCount val="1"/>
                <c:pt idx="0">
                  <c:v>2023</c:v>
                </c:pt>
              </c:strCache>
            </c:strRef>
          </c:tx>
          <c:spPr>
            <a:solidFill>
              <a:srgbClr val="012749"/>
            </a:solidFill>
            <a:ln>
              <a:solidFill>
                <a:srgbClr val="012749"/>
              </a:solidFill>
            </a:ln>
            <a:effectLst/>
          </c:spPr>
          <c:invertIfNegative val="0"/>
          <c:cat>
            <c:strRef>
              <c:f>'Figure 14'!$B$46:$B$64</c:f>
              <c:strCache>
                <c:ptCount val="19"/>
                <c:pt idx="0">
                  <c:v>Rental, Hiring and Real Estate Services</c:v>
                </c:pt>
                <c:pt idx="1">
                  <c:v>Agriculture, Forestry and Fishing</c:v>
                </c:pt>
                <c:pt idx="2">
                  <c:v>Financial and Insurance Services</c:v>
                </c:pt>
                <c:pt idx="3">
                  <c:v>Arts and Recreation Services</c:v>
                </c:pt>
                <c:pt idx="4">
                  <c:v>Retail Trade</c:v>
                </c:pt>
                <c:pt idx="5">
                  <c:v>Information Media and Telecommunications</c:v>
                </c:pt>
                <c:pt idx="6">
                  <c:v>Wholesale Trade</c:v>
                </c:pt>
                <c:pt idx="7">
                  <c:v>Public Administration and Safety</c:v>
                </c:pt>
                <c:pt idx="8">
                  <c:v>Accommodation and Food Services</c:v>
                </c:pt>
                <c:pt idx="9">
                  <c:v>Transport, Postal and Warehousing</c:v>
                </c:pt>
                <c:pt idx="10">
                  <c:v>Administrative and Support Services</c:v>
                </c:pt>
                <c:pt idx="11">
                  <c:v>Manufacturing</c:v>
                </c:pt>
                <c:pt idx="12">
                  <c:v>Professional, Scientific and Technical Services</c:v>
                </c:pt>
                <c:pt idx="13">
                  <c:v>Electricity, Gas, Water and Waste Services</c:v>
                </c:pt>
                <c:pt idx="14">
                  <c:v>Education and Training</c:v>
                </c:pt>
                <c:pt idx="15">
                  <c:v>Other Services</c:v>
                </c:pt>
                <c:pt idx="16">
                  <c:v>Health Care and Social Assistance</c:v>
                </c:pt>
                <c:pt idx="17">
                  <c:v>Mining</c:v>
                </c:pt>
                <c:pt idx="18">
                  <c:v>Construction</c:v>
                </c:pt>
              </c:strCache>
            </c:strRef>
          </c:cat>
          <c:val>
            <c:numRef>
              <c:f>'Figure 14'!$D$46:$D$64</c:f>
              <c:numCache>
                <c:formatCode>0%</c:formatCode>
                <c:ptCount val="19"/>
                <c:pt idx="0">
                  <c:v>0.12207362867050352</c:v>
                </c:pt>
                <c:pt idx="1">
                  <c:v>0.15169808490893208</c:v>
                </c:pt>
                <c:pt idx="2">
                  <c:v>0.21520919217612547</c:v>
                </c:pt>
                <c:pt idx="3">
                  <c:v>0.21715176856757648</c:v>
                </c:pt>
                <c:pt idx="4">
                  <c:v>0.46197574249664547</c:v>
                </c:pt>
                <c:pt idx="5">
                  <c:v>0.26146718932953172</c:v>
                </c:pt>
                <c:pt idx="6">
                  <c:v>0.29340887872000282</c:v>
                </c:pt>
                <c:pt idx="7">
                  <c:v>0.25009603406526587</c:v>
                </c:pt>
                <c:pt idx="8">
                  <c:v>0.47754010118335</c:v>
                </c:pt>
                <c:pt idx="9">
                  <c:v>0.41125242779274457</c:v>
                </c:pt>
                <c:pt idx="10">
                  <c:v>0.37705675380551923</c:v>
                </c:pt>
                <c:pt idx="11">
                  <c:v>0.42051743387497137</c:v>
                </c:pt>
                <c:pt idx="12">
                  <c:v>0.44678247003429949</c:v>
                </c:pt>
                <c:pt idx="13">
                  <c:v>0.44852934351825197</c:v>
                </c:pt>
                <c:pt idx="14">
                  <c:v>0.52112047933598238</c:v>
                </c:pt>
                <c:pt idx="15">
                  <c:v>0.55536121851936138</c:v>
                </c:pt>
                <c:pt idx="16">
                  <c:v>0.61952556005906911</c:v>
                </c:pt>
                <c:pt idx="17">
                  <c:v>0.68837622191756354</c:v>
                </c:pt>
                <c:pt idx="18">
                  <c:v>0.72121320989693283</c:v>
                </c:pt>
              </c:numCache>
            </c:numRef>
          </c:val>
          <c:extLst>
            <c:ext xmlns:c16="http://schemas.microsoft.com/office/drawing/2014/chart" uri="{C3380CC4-5D6E-409C-BE32-E72D297353CC}">
              <c16:uniqueId val="{00000001-8304-4C42-AF54-BEE39C54AE08}"/>
            </c:ext>
          </c:extLst>
        </c:ser>
        <c:ser>
          <c:idx val="2"/>
          <c:order val="2"/>
          <c:tx>
            <c:strRef>
              <c:f>'Figure 14'!$E$45</c:f>
              <c:strCache>
                <c:ptCount val="1"/>
                <c:pt idx="0">
                  <c:v>2022</c:v>
                </c:pt>
              </c:strCache>
            </c:strRef>
          </c:tx>
          <c:spPr>
            <a:solidFill>
              <a:srgbClr val="009D9A"/>
            </a:solidFill>
            <a:ln>
              <a:solidFill>
                <a:srgbClr val="009D9A"/>
              </a:solidFill>
            </a:ln>
            <a:effectLst/>
          </c:spPr>
          <c:invertIfNegative val="0"/>
          <c:cat>
            <c:strRef>
              <c:f>'Figure 14'!$B$46:$B$64</c:f>
              <c:strCache>
                <c:ptCount val="19"/>
                <c:pt idx="0">
                  <c:v>Rental, Hiring and Real Estate Services</c:v>
                </c:pt>
                <c:pt idx="1">
                  <c:v>Agriculture, Forestry and Fishing</c:v>
                </c:pt>
                <c:pt idx="2">
                  <c:v>Financial and Insurance Services</c:v>
                </c:pt>
                <c:pt idx="3">
                  <c:v>Arts and Recreation Services</c:v>
                </c:pt>
                <c:pt idx="4">
                  <c:v>Retail Trade</c:v>
                </c:pt>
                <c:pt idx="5">
                  <c:v>Information Media and Telecommunications</c:v>
                </c:pt>
                <c:pt idx="6">
                  <c:v>Wholesale Trade</c:v>
                </c:pt>
                <c:pt idx="7">
                  <c:v>Public Administration and Safety</c:v>
                </c:pt>
                <c:pt idx="8">
                  <c:v>Accommodation and Food Services</c:v>
                </c:pt>
                <c:pt idx="9">
                  <c:v>Transport, Postal and Warehousing</c:v>
                </c:pt>
                <c:pt idx="10">
                  <c:v>Administrative and Support Services</c:v>
                </c:pt>
                <c:pt idx="11">
                  <c:v>Manufacturing</c:v>
                </c:pt>
                <c:pt idx="12">
                  <c:v>Professional, Scientific and Technical Services</c:v>
                </c:pt>
                <c:pt idx="13">
                  <c:v>Electricity, Gas, Water and Waste Services</c:v>
                </c:pt>
                <c:pt idx="14">
                  <c:v>Education and Training</c:v>
                </c:pt>
                <c:pt idx="15">
                  <c:v>Other Services</c:v>
                </c:pt>
                <c:pt idx="16">
                  <c:v>Health Care and Social Assistance</c:v>
                </c:pt>
                <c:pt idx="17">
                  <c:v>Mining</c:v>
                </c:pt>
                <c:pt idx="18">
                  <c:v>Construction</c:v>
                </c:pt>
              </c:strCache>
            </c:strRef>
          </c:cat>
          <c:val>
            <c:numRef>
              <c:f>'Figure 14'!$E$46:$E$64</c:f>
              <c:numCache>
                <c:formatCode>0%</c:formatCode>
                <c:ptCount val="19"/>
                <c:pt idx="0">
                  <c:v>0.1000323399770027</c:v>
                </c:pt>
                <c:pt idx="1">
                  <c:v>0.15674520409263226</c:v>
                </c:pt>
                <c:pt idx="2">
                  <c:v>0.17139348678687369</c:v>
                </c:pt>
                <c:pt idx="3">
                  <c:v>0.19668503020109127</c:v>
                </c:pt>
                <c:pt idx="4">
                  <c:v>0.42234275836372231</c:v>
                </c:pt>
                <c:pt idx="5">
                  <c:v>0.22309655929775016</c:v>
                </c:pt>
                <c:pt idx="6">
                  <c:v>0.23271571793782722</c:v>
                </c:pt>
                <c:pt idx="7">
                  <c:v>0.25061083815860485</c:v>
                </c:pt>
                <c:pt idx="8">
                  <c:v>0.35169735607261987</c:v>
                </c:pt>
                <c:pt idx="9">
                  <c:v>0.33913957486895924</c:v>
                </c:pt>
                <c:pt idx="10">
                  <c:v>0.34055156703668032</c:v>
                </c:pt>
                <c:pt idx="11">
                  <c:v>0.37903156187199022</c:v>
                </c:pt>
                <c:pt idx="12">
                  <c:v>0.30520352614160262</c:v>
                </c:pt>
                <c:pt idx="13">
                  <c:v>0.45012388986330337</c:v>
                </c:pt>
                <c:pt idx="14">
                  <c:v>0.52347308719444807</c:v>
                </c:pt>
                <c:pt idx="15">
                  <c:v>0.55799959745192373</c:v>
                </c:pt>
                <c:pt idx="16">
                  <c:v>0.59079249494455666</c:v>
                </c:pt>
                <c:pt idx="17">
                  <c:v>0.62732690944416736</c:v>
                </c:pt>
                <c:pt idx="18">
                  <c:v>0.7119293791746667</c:v>
                </c:pt>
              </c:numCache>
            </c:numRef>
          </c:val>
          <c:extLst>
            <c:ext xmlns:c16="http://schemas.microsoft.com/office/drawing/2014/chart" uri="{C3380CC4-5D6E-409C-BE32-E72D297353CC}">
              <c16:uniqueId val="{00000002-8304-4C42-AF54-BEE39C54AE08}"/>
            </c:ext>
          </c:extLst>
        </c:ser>
        <c:ser>
          <c:idx val="3"/>
          <c:order val="3"/>
          <c:tx>
            <c:strRef>
              <c:f>'Figure 14'!$F$45</c:f>
              <c:strCache>
                <c:ptCount val="1"/>
                <c:pt idx="0">
                  <c:v>2021</c:v>
                </c:pt>
              </c:strCache>
            </c:strRef>
          </c:tx>
          <c:spPr>
            <a:solidFill>
              <a:srgbClr val="6929C4"/>
            </a:solidFill>
            <a:ln>
              <a:noFill/>
            </a:ln>
            <a:effectLst/>
          </c:spPr>
          <c:invertIfNegative val="0"/>
          <c:cat>
            <c:strRef>
              <c:f>'Figure 14'!$B$46:$B$64</c:f>
              <c:strCache>
                <c:ptCount val="19"/>
                <c:pt idx="0">
                  <c:v>Rental, Hiring and Real Estate Services</c:v>
                </c:pt>
                <c:pt idx="1">
                  <c:v>Agriculture, Forestry and Fishing</c:v>
                </c:pt>
                <c:pt idx="2">
                  <c:v>Financial and Insurance Services</c:v>
                </c:pt>
                <c:pt idx="3">
                  <c:v>Arts and Recreation Services</c:v>
                </c:pt>
                <c:pt idx="4">
                  <c:v>Retail Trade</c:v>
                </c:pt>
                <c:pt idx="5">
                  <c:v>Information Media and Telecommunications</c:v>
                </c:pt>
                <c:pt idx="6">
                  <c:v>Wholesale Trade</c:v>
                </c:pt>
                <c:pt idx="7">
                  <c:v>Public Administration and Safety</c:v>
                </c:pt>
                <c:pt idx="8">
                  <c:v>Accommodation and Food Services</c:v>
                </c:pt>
                <c:pt idx="9">
                  <c:v>Transport, Postal and Warehousing</c:v>
                </c:pt>
                <c:pt idx="10">
                  <c:v>Administrative and Support Services</c:v>
                </c:pt>
                <c:pt idx="11">
                  <c:v>Manufacturing</c:v>
                </c:pt>
                <c:pt idx="12">
                  <c:v>Professional, Scientific and Technical Services</c:v>
                </c:pt>
                <c:pt idx="13">
                  <c:v>Electricity, Gas, Water and Waste Services</c:v>
                </c:pt>
                <c:pt idx="14">
                  <c:v>Education and Training</c:v>
                </c:pt>
                <c:pt idx="15">
                  <c:v>Other Services</c:v>
                </c:pt>
                <c:pt idx="16">
                  <c:v>Health Care and Social Assistance</c:v>
                </c:pt>
                <c:pt idx="17">
                  <c:v>Mining</c:v>
                </c:pt>
                <c:pt idx="18">
                  <c:v>Construction</c:v>
                </c:pt>
              </c:strCache>
            </c:strRef>
          </c:cat>
          <c:val>
            <c:numRef>
              <c:f>'Figure 14'!$F$46:$F$64</c:f>
              <c:numCache>
                <c:formatCode>0%</c:formatCode>
                <c:ptCount val="19"/>
                <c:pt idx="0">
                  <c:v>7.1694226012588833E-2</c:v>
                </c:pt>
                <c:pt idx="1">
                  <c:v>0.1397416548711552</c:v>
                </c:pt>
                <c:pt idx="2">
                  <c:v>0.10382547896801045</c:v>
                </c:pt>
                <c:pt idx="3">
                  <c:v>9.4223723457866518E-2</c:v>
                </c:pt>
                <c:pt idx="4">
                  <c:v>0.14062185048468173</c:v>
                </c:pt>
                <c:pt idx="5">
                  <c:v>0.17019512585362989</c:v>
                </c:pt>
                <c:pt idx="6">
                  <c:v>0.12628474573554582</c:v>
                </c:pt>
                <c:pt idx="7">
                  <c:v>0.12893603586930655</c:v>
                </c:pt>
                <c:pt idx="8">
                  <c:v>0.23346385769608377</c:v>
                </c:pt>
                <c:pt idx="9">
                  <c:v>9.4774995533093348E-2</c:v>
                </c:pt>
                <c:pt idx="10">
                  <c:v>0.15593997032114729</c:v>
                </c:pt>
                <c:pt idx="11">
                  <c:v>0.27218893324444399</c:v>
                </c:pt>
                <c:pt idx="12">
                  <c:v>0.30694941745850057</c:v>
                </c:pt>
                <c:pt idx="13">
                  <c:v>0.304805041720422</c:v>
                </c:pt>
                <c:pt idx="14">
                  <c:v>0.10370572464414467</c:v>
                </c:pt>
                <c:pt idx="15">
                  <c:v>0.4214359851188379</c:v>
                </c:pt>
                <c:pt idx="16">
                  <c:v>0.40920790523769113</c:v>
                </c:pt>
                <c:pt idx="17">
                  <c:v>0.339794197828519</c:v>
                </c:pt>
                <c:pt idx="18">
                  <c:v>0.61463056485534595</c:v>
                </c:pt>
              </c:numCache>
            </c:numRef>
          </c:val>
          <c:extLst xmlns:c15="http://schemas.microsoft.com/office/drawing/2012/chart">
            <c:ext xmlns:c16="http://schemas.microsoft.com/office/drawing/2014/chart" uri="{C3380CC4-5D6E-409C-BE32-E72D297353CC}">
              <c16:uniqueId val="{00000003-8304-4C42-AF54-BEE39C54AE08}"/>
            </c:ext>
          </c:extLst>
        </c:ser>
        <c:dLbls>
          <c:showLegendKey val="0"/>
          <c:showVal val="0"/>
          <c:showCatName val="0"/>
          <c:showSerName val="0"/>
          <c:showPercent val="0"/>
          <c:showBubbleSize val="0"/>
        </c:dLbls>
        <c:gapWidth val="219"/>
        <c:axId val="279167776"/>
        <c:axId val="279165856"/>
        <c:extLst/>
      </c:barChart>
      <c:catAx>
        <c:axId val="279167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79165856"/>
        <c:crosses val="autoZero"/>
        <c:auto val="1"/>
        <c:lblAlgn val="ctr"/>
        <c:lblOffset val="100"/>
        <c:noMultiLvlLbl val="0"/>
      </c:catAx>
      <c:valAx>
        <c:axId val="279165856"/>
        <c:scaling>
          <c:orientation val="minMax"/>
          <c:min val="0"/>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167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'Figure 15'!$C$10</c:f>
              <c:strCache>
                <c:ptCount val="1"/>
                <c:pt idx="0">
                  <c:v>2024</c:v>
                </c:pt>
              </c:strCache>
            </c:strRef>
          </c:tx>
          <c:spPr>
            <a:solidFill>
              <a:srgbClr val="EE538B"/>
            </a:solidFill>
            <a:ln>
              <a:solidFill>
                <a:srgbClr val="EE538B"/>
              </a:solidFill>
            </a:ln>
            <a:effectLst/>
          </c:spPr>
          <c:invertIfNegative val="0"/>
          <c:cat>
            <c:strRef>
              <c:f>'Figure 15'!$B$11:$B$23</c:f>
              <c:strCache>
                <c:ptCount val="13"/>
                <c:pt idx="0">
                  <c:v>Change the working conditions of the position</c:v>
                </c:pt>
                <c:pt idx="1">
                  <c:v>Give up/put position on hold due to COVID 19</c:v>
                </c:pt>
                <c:pt idx="2">
                  <c:v>Change remuneration</c:v>
                </c:pt>
                <c:pt idx="3">
                  <c:v>Turn down work or cancel existing work</c:v>
                </c:pt>
                <c:pt idx="4">
                  <c:v>Other</c:v>
                </c:pt>
                <c:pt idx="5">
                  <c:v>Dont know</c:v>
                </c:pt>
                <c:pt idx="6">
                  <c:v>Change job advertisement</c:v>
                </c:pt>
                <c:pt idx="7">
                  <c:v>Change position requirements</c:v>
                </c:pt>
                <c:pt idx="8">
                  <c:v>Give up on filling the position</c:v>
                </c:pt>
                <c:pt idx="9">
                  <c:v>Restructure the organisation</c:v>
                </c:pt>
                <c:pt idx="10">
                  <c:v>Advertise in different sites/areas</c:v>
                </c:pt>
                <c:pt idx="11">
                  <c:v>Seek candidates other than through advertising</c:v>
                </c:pt>
                <c:pt idx="12">
                  <c:v>Keep advertising/Readvertise in same place</c:v>
                </c:pt>
              </c:strCache>
            </c:strRef>
          </c:cat>
          <c:val>
            <c:numRef>
              <c:f>'Figure 15'!$C$11:$C$23</c:f>
              <c:numCache>
                <c:formatCode>0%</c:formatCode>
                <c:ptCount val="13"/>
                <c:pt idx="0">
                  <c:v>0.01</c:v>
                </c:pt>
                <c:pt idx="1">
                  <c:v>0</c:v>
                </c:pt>
                <c:pt idx="2">
                  <c:v>0.01</c:v>
                </c:pt>
                <c:pt idx="3">
                  <c:v>0.01</c:v>
                </c:pt>
                <c:pt idx="4">
                  <c:v>0.02</c:v>
                </c:pt>
                <c:pt idx="5">
                  <c:v>0.03</c:v>
                </c:pt>
                <c:pt idx="6">
                  <c:v>0.03</c:v>
                </c:pt>
                <c:pt idx="7">
                  <c:v>0.04</c:v>
                </c:pt>
                <c:pt idx="8">
                  <c:v>0.05</c:v>
                </c:pt>
                <c:pt idx="9">
                  <c:v>7.0000000000000007E-2</c:v>
                </c:pt>
                <c:pt idx="10">
                  <c:v>0.15</c:v>
                </c:pt>
                <c:pt idx="11">
                  <c:v>0.24</c:v>
                </c:pt>
                <c:pt idx="12">
                  <c:v>0.73</c:v>
                </c:pt>
              </c:numCache>
            </c:numRef>
          </c:val>
          <c:extLst>
            <c:ext xmlns:c16="http://schemas.microsoft.com/office/drawing/2014/chart" uri="{C3380CC4-5D6E-409C-BE32-E72D297353CC}">
              <c16:uniqueId val="{00000000-48E5-48CA-97A7-D997CD54B4A6}"/>
            </c:ext>
          </c:extLst>
        </c:ser>
        <c:ser>
          <c:idx val="1"/>
          <c:order val="1"/>
          <c:tx>
            <c:strRef>
              <c:f>'Figure 15'!$D$10</c:f>
              <c:strCache>
                <c:ptCount val="1"/>
                <c:pt idx="0">
                  <c:v>2023</c:v>
                </c:pt>
              </c:strCache>
            </c:strRef>
          </c:tx>
          <c:spPr>
            <a:solidFill>
              <a:srgbClr val="2C054E"/>
            </a:solidFill>
            <a:ln>
              <a:solidFill>
                <a:srgbClr val="2C054E"/>
              </a:solidFill>
            </a:ln>
            <a:effectLst/>
          </c:spPr>
          <c:invertIfNegative val="0"/>
          <c:cat>
            <c:strRef>
              <c:f>'Figure 15'!$B$11:$B$23</c:f>
              <c:strCache>
                <c:ptCount val="13"/>
                <c:pt idx="0">
                  <c:v>Change the working conditions of the position</c:v>
                </c:pt>
                <c:pt idx="1">
                  <c:v>Give up/put position on hold due to COVID 19</c:v>
                </c:pt>
                <c:pt idx="2">
                  <c:v>Change remuneration</c:v>
                </c:pt>
                <c:pt idx="3">
                  <c:v>Turn down work or cancel existing work</c:v>
                </c:pt>
                <c:pt idx="4">
                  <c:v>Other</c:v>
                </c:pt>
                <c:pt idx="5">
                  <c:v>Dont know</c:v>
                </c:pt>
                <c:pt idx="6">
                  <c:v>Change job advertisement</c:v>
                </c:pt>
                <c:pt idx="7">
                  <c:v>Change position requirements</c:v>
                </c:pt>
                <c:pt idx="8">
                  <c:v>Give up on filling the position</c:v>
                </c:pt>
                <c:pt idx="9">
                  <c:v>Restructure the organisation</c:v>
                </c:pt>
                <c:pt idx="10">
                  <c:v>Advertise in different sites/areas</c:v>
                </c:pt>
                <c:pt idx="11">
                  <c:v>Seek candidates other than through advertising</c:v>
                </c:pt>
                <c:pt idx="12">
                  <c:v>Keep advertising/Readvertise in same place</c:v>
                </c:pt>
              </c:strCache>
            </c:strRef>
          </c:cat>
          <c:val>
            <c:numRef>
              <c:f>'Figure 15'!$D$11:$D$23</c:f>
              <c:numCache>
                <c:formatCode>0%</c:formatCode>
                <c:ptCount val="13"/>
                <c:pt idx="0">
                  <c:v>0.01</c:v>
                </c:pt>
                <c:pt idx="1">
                  <c:v>0.01</c:v>
                </c:pt>
                <c:pt idx="2">
                  <c:v>0.01</c:v>
                </c:pt>
                <c:pt idx="3">
                  <c:v>0.01</c:v>
                </c:pt>
                <c:pt idx="4">
                  <c:v>0.03</c:v>
                </c:pt>
                <c:pt idx="5">
                  <c:v>0.03</c:v>
                </c:pt>
                <c:pt idx="6">
                  <c:v>0.04</c:v>
                </c:pt>
                <c:pt idx="7">
                  <c:v>0.04</c:v>
                </c:pt>
                <c:pt idx="8">
                  <c:v>0.06</c:v>
                </c:pt>
                <c:pt idx="9">
                  <c:v>0.06</c:v>
                </c:pt>
                <c:pt idx="10">
                  <c:v>0.17</c:v>
                </c:pt>
                <c:pt idx="11">
                  <c:v>0.26</c:v>
                </c:pt>
                <c:pt idx="12">
                  <c:v>0.73</c:v>
                </c:pt>
              </c:numCache>
            </c:numRef>
          </c:val>
          <c:extLst>
            <c:ext xmlns:c16="http://schemas.microsoft.com/office/drawing/2014/chart" uri="{C3380CC4-5D6E-409C-BE32-E72D297353CC}">
              <c16:uniqueId val="{00000001-48E5-48CA-97A7-D997CD54B4A6}"/>
            </c:ext>
          </c:extLst>
        </c:ser>
        <c:ser>
          <c:idx val="2"/>
          <c:order val="2"/>
          <c:tx>
            <c:strRef>
              <c:f>'Figure 15'!$E$10</c:f>
              <c:strCache>
                <c:ptCount val="1"/>
                <c:pt idx="0">
                  <c:v>2022</c:v>
                </c:pt>
              </c:strCache>
            </c:strRef>
          </c:tx>
          <c:spPr>
            <a:solidFill>
              <a:srgbClr val="009D9A"/>
            </a:solidFill>
            <a:ln>
              <a:solidFill>
                <a:srgbClr val="009D9A"/>
              </a:solidFill>
            </a:ln>
            <a:effectLst/>
          </c:spPr>
          <c:invertIfNegative val="0"/>
          <c:cat>
            <c:strRef>
              <c:f>'Figure 15'!$B$11:$B$23</c:f>
              <c:strCache>
                <c:ptCount val="13"/>
                <c:pt idx="0">
                  <c:v>Change the working conditions of the position</c:v>
                </c:pt>
                <c:pt idx="1">
                  <c:v>Give up/put position on hold due to COVID 19</c:v>
                </c:pt>
                <c:pt idx="2">
                  <c:v>Change remuneration</c:v>
                </c:pt>
                <c:pt idx="3">
                  <c:v>Turn down work or cancel existing work</c:v>
                </c:pt>
                <c:pt idx="4">
                  <c:v>Other</c:v>
                </c:pt>
                <c:pt idx="5">
                  <c:v>Dont know</c:v>
                </c:pt>
                <c:pt idx="6">
                  <c:v>Change job advertisement</c:v>
                </c:pt>
                <c:pt idx="7">
                  <c:v>Change position requirements</c:v>
                </c:pt>
                <c:pt idx="8">
                  <c:v>Give up on filling the position</c:v>
                </c:pt>
                <c:pt idx="9">
                  <c:v>Restructure the organisation</c:v>
                </c:pt>
                <c:pt idx="10">
                  <c:v>Advertise in different sites/areas</c:v>
                </c:pt>
                <c:pt idx="11">
                  <c:v>Seek candidates other than through advertising</c:v>
                </c:pt>
                <c:pt idx="12">
                  <c:v>Keep advertising/Readvertise in same place</c:v>
                </c:pt>
              </c:strCache>
            </c:strRef>
          </c:cat>
          <c:val>
            <c:numRef>
              <c:f>'Figure 15'!$E$11:$E$23</c:f>
              <c:numCache>
                <c:formatCode>0%</c:formatCode>
                <c:ptCount val="13"/>
                <c:pt idx="0">
                  <c:v>0.01</c:v>
                </c:pt>
                <c:pt idx="1">
                  <c:v>0.02</c:v>
                </c:pt>
                <c:pt idx="2">
                  <c:v>0</c:v>
                </c:pt>
                <c:pt idx="3">
                  <c:v>0.03</c:v>
                </c:pt>
                <c:pt idx="4">
                  <c:v>0.05</c:v>
                </c:pt>
                <c:pt idx="5">
                  <c:v>0.03</c:v>
                </c:pt>
                <c:pt idx="6">
                  <c:v>0.03</c:v>
                </c:pt>
                <c:pt idx="7">
                  <c:v>0.05</c:v>
                </c:pt>
                <c:pt idx="8">
                  <c:v>0.06</c:v>
                </c:pt>
                <c:pt idx="9">
                  <c:v>7.0000000000000007E-2</c:v>
                </c:pt>
                <c:pt idx="10">
                  <c:v>0.16</c:v>
                </c:pt>
                <c:pt idx="11">
                  <c:v>0.18</c:v>
                </c:pt>
                <c:pt idx="12">
                  <c:v>0.68</c:v>
                </c:pt>
              </c:numCache>
            </c:numRef>
          </c:val>
          <c:extLst>
            <c:ext xmlns:c16="http://schemas.microsoft.com/office/drawing/2014/chart" uri="{C3380CC4-5D6E-409C-BE32-E72D297353CC}">
              <c16:uniqueId val="{00000002-48E5-48CA-97A7-D997CD54B4A6}"/>
            </c:ext>
          </c:extLst>
        </c:ser>
        <c:ser>
          <c:idx val="3"/>
          <c:order val="3"/>
          <c:tx>
            <c:strRef>
              <c:f>'Figure 15'!$F$10</c:f>
              <c:strCache>
                <c:ptCount val="1"/>
                <c:pt idx="0">
                  <c:v>2021</c:v>
                </c:pt>
              </c:strCache>
            </c:strRef>
          </c:tx>
          <c:spPr>
            <a:solidFill>
              <a:srgbClr val="6929C4"/>
            </a:solidFill>
            <a:ln>
              <a:solidFill>
                <a:srgbClr val="6929C4"/>
              </a:solidFill>
            </a:ln>
            <a:effectLst/>
          </c:spPr>
          <c:invertIfNegative val="0"/>
          <c:cat>
            <c:strRef>
              <c:f>'Figure 15'!$B$11:$B$23</c:f>
              <c:strCache>
                <c:ptCount val="13"/>
                <c:pt idx="0">
                  <c:v>Change the working conditions of the position</c:v>
                </c:pt>
                <c:pt idx="1">
                  <c:v>Give up/put position on hold due to COVID 19</c:v>
                </c:pt>
                <c:pt idx="2">
                  <c:v>Change remuneration</c:v>
                </c:pt>
                <c:pt idx="3">
                  <c:v>Turn down work or cancel existing work</c:v>
                </c:pt>
                <c:pt idx="4">
                  <c:v>Other</c:v>
                </c:pt>
                <c:pt idx="5">
                  <c:v>Dont know</c:v>
                </c:pt>
                <c:pt idx="6">
                  <c:v>Change job advertisement</c:v>
                </c:pt>
                <c:pt idx="7">
                  <c:v>Change position requirements</c:v>
                </c:pt>
                <c:pt idx="8">
                  <c:v>Give up on filling the position</c:v>
                </c:pt>
                <c:pt idx="9">
                  <c:v>Restructure the organisation</c:v>
                </c:pt>
                <c:pt idx="10">
                  <c:v>Advertise in different sites/areas</c:v>
                </c:pt>
                <c:pt idx="11">
                  <c:v>Seek candidates other than through advertising</c:v>
                </c:pt>
                <c:pt idx="12">
                  <c:v>Keep advertising/Readvertise in same place</c:v>
                </c:pt>
              </c:strCache>
            </c:strRef>
          </c:cat>
          <c:val>
            <c:numRef>
              <c:f>'Figure 15'!$F$11:$F$23</c:f>
              <c:numCache>
                <c:formatCode>0%</c:formatCode>
                <c:ptCount val="13"/>
                <c:pt idx="0">
                  <c:v>0.01</c:v>
                </c:pt>
                <c:pt idx="1">
                  <c:v>7.0000000000000007E-2</c:v>
                </c:pt>
                <c:pt idx="2">
                  <c:v>0.01</c:v>
                </c:pt>
                <c:pt idx="3">
                  <c:v>0.03</c:v>
                </c:pt>
                <c:pt idx="4">
                  <c:v>0.05</c:v>
                </c:pt>
                <c:pt idx="5">
                  <c:v>0.02</c:v>
                </c:pt>
                <c:pt idx="6">
                  <c:v>0.04</c:v>
                </c:pt>
                <c:pt idx="7">
                  <c:v>0.06</c:v>
                </c:pt>
                <c:pt idx="8">
                  <c:v>0.08</c:v>
                </c:pt>
                <c:pt idx="9">
                  <c:v>0.08</c:v>
                </c:pt>
                <c:pt idx="10">
                  <c:v>0.24</c:v>
                </c:pt>
                <c:pt idx="11">
                  <c:v>0.18</c:v>
                </c:pt>
                <c:pt idx="12">
                  <c:v>0.67</c:v>
                </c:pt>
              </c:numCache>
            </c:numRef>
          </c:val>
          <c:extLst>
            <c:ext xmlns:c16="http://schemas.microsoft.com/office/drawing/2014/chart" uri="{C3380CC4-5D6E-409C-BE32-E72D297353CC}">
              <c16:uniqueId val="{00000003-48E5-48CA-97A7-D997CD54B4A6}"/>
            </c:ext>
          </c:extLst>
        </c:ser>
        <c:dLbls>
          <c:showLegendKey val="0"/>
          <c:showVal val="0"/>
          <c:showCatName val="0"/>
          <c:showSerName val="0"/>
          <c:showPercent val="0"/>
          <c:showBubbleSize val="0"/>
        </c:dLbls>
        <c:gapWidth val="200"/>
        <c:overlap val="-30"/>
        <c:axId val="24011743"/>
        <c:axId val="24012223"/>
      </c:barChart>
      <c:catAx>
        <c:axId val="240117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12223"/>
        <c:crosses val="autoZero"/>
        <c:auto val="1"/>
        <c:lblAlgn val="ctr"/>
        <c:lblOffset val="100"/>
        <c:noMultiLvlLbl val="0"/>
      </c:catAx>
      <c:valAx>
        <c:axId val="24012223"/>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11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'I:\LMAA Branch\Workforce Analysis\01. Skill Shortage Research\2023-24\05. Skills Priority List\07 Key Findings Report\New Figures_2023 data\Wage vs fill rate chart for OSL 2024\Output\[figure_1_excel.xlsx]figure_data'!$M$1</c:f>
              <c:strCache>
                <c:ptCount val="1"/>
                <c:pt idx="0">
                  <c:v>wage_change</c:v>
                </c:pt>
              </c:strCache>
            </c:strRef>
          </c:tx>
          <c:spPr>
            <a:ln w="25400" cap="rnd">
              <a:noFill/>
              <a:round/>
            </a:ln>
            <a:effectLst/>
          </c:spPr>
          <c:marker>
            <c:symbol val="circle"/>
            <c:size val="4"/>
            <c:spPr>
              <a:solidFill>
                <a:srgbClr val="6929C4"/>
              </a:solidFill>
              <a:ln w="3175">
                <a:solidFill>
                  <a:srgbClr val="6929C4"/>
                </a:solidFill>
              </a:ln>
              <a:effectLst/>
            </c:spPr>
          </c:marker>
          <c:trendline>
            <c:spPr>
              <a:ln w="19050" cap="flat" cmpd="sng" algn="ctr">
                <a:solidFill>
                  <a:srgbClr val="6929C4"/>
                </a:solidFill>
                <a:prstDash val="solid"/>
                <a:miter lim="800000"/>
              </a:ln>
              <a:effectLst/>
            </c:spPr>
            <c:trendlineType val="linear"/>
            <c:dispRSqr val="0"/>
            <c:dispEq val="0"/>
          </c:trendline>
          <c:xVal>
            <c:numRef>
              <c:f>'I:\LMAA Branch\Workforce Analysis\01. Skill Shortage Research\2023-24\05. Skills Priority List\07 Key Findings Report\New Figures_2023 data\Wage vs fill rate chart for OSL 2024\Output\[figure_1_excel.xlsx]figure_data'!$L$2:$L$210</c:f>
              <c:numCache>
                <c:formatCode>General</c:formatCode>
                <c:ptCount val="209"/>
                <c:pt idx="0">
                  <c:v>0.72881355932203407</c:v>
                </c:pt>
                <c:pt idx="1">
                  <c:v>0.77777777777777801</c:v>
                </c:pt>
                <c:pt idx="2">
                  <c:v>0.68992248062015504</c:v>
                </c:pt>
                <c:pt idx="3">
                  <c:v>0.76190476190476208</c:v>
                </c:pt>
                <c:pt idx="4">
                  <c:v>0.42391304347826098</c:v>
                </c:pt>
                <c:pt idx="5">
                  <c:v>0.64583333333333304</c:v>
                </c:pt>
                <c:pt idx="6">
                  <c:v>0.609467455621302</c:v>
                </c:pt>
                <c:pt idx="7">
                  <c:v>0.56842105263157894</c:v>
                </c:pt>
                <c:pt idx="8">
                  <c:v>0.68115942028985499</c:v>
                </c:pt>
                <c:pt idx="9">
                  <c:v>0.42465753424657499</c:v>
                </c:pt>
                <c:pt idx="10">
                  <c:v>0.61038961038961004</c:v>
                </c:pt>
                <c:pt idx="11">
                  <c:v>0.83673469387755106</c:v>
                </c:pt>
                <c:pt idx="12">
                  <c:v>0.55319148936170204</c:v>
                </c:pt>
                <c:pt idx="13">
                  <c:v>0.93571428571428594</c:v>
                </c:pt>
                <c:pt idx="14">
                  <c:v>0.88235294117647101</c:v>
                </c:pt>
                <c:pt idx="15">
                  <c:v>0.93442622950819698</c:v>
                </c:pt>
                <c:pt idx="16">
                  <c:v>0.6875</c:v>
                </c:pt>
                <c:pt idx="17">
                  <c:v>0.71428571428571397</c:v>
                </c:pt>
                <c:pt idx="18">
                  <c:v>0.78294573643410803</c:v>
                </c:pt>
                <c:pt idx="19">
                  <c:v>0.68055555555555602</c:v>
                </c:pt>
                <c:pt idx="20">
                  <c:v>0.53763440860214995</c:v>
                </c:pt>
                <c:pt idx="21">
                  <c:v>0.54248366013071903</c:v>
                </c:pt>
                <c:pt idx="22">
                  <c:v>0.65644171779141103</c:v>
                </c:pt>
                <c:pt idx="23">
                  <c:v>0.78596491228070209</c:v>
                </c:pt>
                <c:pt idx="24">
                  <c:v>0.79245283018867896</c:v>
                </c:pt>
                <c:pt idx="25">
                  <c:v>0.69565217391304301</c:v>
                </c:pt>
                <c:pt idx="26">
                  <c:v>0.6</c:v>
                </c:pt>
                <c:pt idx="27">
                  <c:v>0.68461538461538496</c:v>
                </c:pt>
                <c:pt idx="28">
                  <c:v>0.73333333333333295</c:v>
                </c:pt>
                <c:pt idx="29">
                  <c:v>0.81690140845070403</c:v>
                </c:pt>
                <c:pt idx="30">
                  <c:v>0.46969696969696995</c:v>
                </c:pt>
                <c:pt idx="31">
                  <c:v>0.78571428571428603</c:v>
                </c:pt>
                <c:pt idx="32">
                  <c:v>0.59375</c:v>
                </c:pt>
                <c:pt idx="33">
                  <c:v>0.45454545454545503</c:v>
                </c:pt>
                <c:pt idx="34">
                  <c:v>0.49738219895287999</c:v>
                </c:pt>
                <c:pt idx="35">
                  <c:v>0.50574712643678199</c:v>
                </c:pt>
                <c:pt idx="36">
                  <c:v>0.51666666666666705</c:v>
                </c:pt>
                <c:pt idx="37">
                  <c:v>0.493670886075949</c:v>
                </c:pt>
                <c:pt idx="38">
                  <c:v>0.46543778801843305</c:v>
                </c:pt>
                <c:pt idx="39">
                  <c:v>0.51948051948051899</c:v>
                </c:pt>
                <c:pt idx="40">
                  <c:v>0.51948051948051899</c:v>
                </c:pt>
                <c:pt idx="41">
                  <c:v>0.61290322580645207</c:v>
                </c:pt>
                <c:pt idx="42">
                  <c:v>0.59788359788359802</c:v>
                </c:pt>
                <c:pt idx="43">
                  <c:v>0.52173913043478304</c:v>
                </c:pt>
                <c:pt idx="44">
                  <c:v>0.49444444444444402</c:v>
                </c:pt>
                <c:pt idx="45">
                  <c:v>0.506493506493506</c:v>
                </c:pt>
                <c:pt idx="46">
                  <c:v>0.41463414634146295</c:v>
                </c:pt>
                <c:pt idx="47">
                  <c:v>0.52542372881355903</c:v>
                </c:pt>
                <c:pt idx="48">
                  <c:v>0.62711864406779705</c:v>
                </c:pt>
                <c:pt idx="49">
                  <c:v>0.49166666666666697</c:v>
                </c:pt>
                <c:pt idx="50">
                  <c:v>0.33333333333333298</c:v>
                </c:pt>
                <c:pt idx="51">
                  <c:v>0.66049382716049398</c:v>
                </c:pt>
                <c:pt idx="52">
                  <c:v>0.59210526315789502</c:v>
                </c:pt>
                <c:pt idx="53">
                  <c:v>0.70370370370370394</c:v>
                </c:pt>
                <c:pt idx="54">
                  <c:v>0.44392523364486003</c:v>
                </c:pt>
                <c:pt idx="55">
                  <c:v>0.746835443037975</c:v>
                </c:pt>
                <c:pt idx="56">
                  <c:v>0.39716312056737602</c:v>
                </c:pt>
                <c:pt idx="57">
                  <c:v>0.41304347826087001</c:v>
                </c:pt>
                <c:pt idx="58">
                  <c:v>0.82894736842105299</c:v>
                </c:pt>
                <c:pt idx="59">
                  <c:v>0.68482490272373497</c:v>
                </c:pt>
                <c:pt idx="60">
                  <c:v>0.87179487179487192</c:v>
                </c:pt>
                <c:pt idx="61">
                  <c:v>0.77777777777777801</c:v>
                </c:pt>
                <c:pt idx="62">
                  <c:v>0.72549019607843102</c:v>
                </c:pt>
                <c:pt idx="63">
                  <c:v>0.88461538461538491</c:v>
                </c:pt>
                <c:pt idx="64">
                  <c:v>0.75471698113207597</c:v>
                </c:pt>
                <c:pt idx="65">
                  <c:v>0.83870967741935498</c:v>
                </c:pt>
                <c:pt idx="66">
                  <c:v>0.69230769230769196</c:v>
                </c:pt>
                <c:pt idx="67">
                  <c:v>0.66129032258064502</c:v>
                </c:pt>
                <c:pt idx="68">
                  <c:v>0.63636363636363602</c:v>
                </c:pt>
                <c:pt idx="69">
                  <c:v>0.74193548387096797</c:v>
                </c:pt>
                <c:pt idx="70">
                  <c:v>0.76315789473684204</c:v>
                </c:pt>
                <c:pt idx="71">
                  <c:v>0.80357142857142905</c:v>
                </c:pt>
                <c:pt idx="72">
                  <c:v>0.86363636363636398</c:v>
                </c:pt>
                <c:pt idx="73">
                  <c:v>0.82</c:v>
                </c:pt>
                <c:pt idx="74">
                  <c:v>0.69230769230769196</c:v>
                </c:pt>
                <c:pt idx="75">
                  <c:v>0.76271186440677996</c:v>
                </c:pt>
                <c:pt idx="76">
                  <c:v>0.609375</c:v>
                </c:pt>
                <c:pt idx="77">
                  <c:v>0.66666666666666696</c:v>
                </c:pt>
                <c:pt idx="78">
                  <c:v>0.65277777777777801</c:v>
                </c:pt>
                <c:pt idx="79">
                  <c:v>0.91489361702127692</c:v>
                </c:pt>
                <c:pt idx="80">
                  <c:v>0.78846153846153799</c:v>
                </c:pt>
                <c:pt idx="81">
                  <c:v>0.88461538461538491</c:v>
                </c:pt>
                <c:pt idx="82">
                  <c:v>0.85294117647058798</c:v>
                </c:pt>
                <c:pt idx="83">
                  <c:v>0.77586206896551702</c:v>
                </c:pt>
                <c:pt idx="84">
                  <c:v>0.69230769230769196</c:v>
                </c:pt>
                <c:pt idx="85">
                  <c:v>0.44303797468354394</c:v>
                </c:pt>
                <c:pt idx="86">
                  <c:v>0.527272727272727</c:v>
                </c:pt>
                <c:pt idx="87">
                  <c:v>0.69444444444444398</c:v>
                </c:pt>
                <c:pt idx="88">
                  <c:v>0.70503597122302197</c:v>
                </c:pt>
                <c:pt idx="89">
                  <c:v>0.65116279069767402</c:v>
                </c:pt>
                <c:pt idx="90">
                  <c:v>0.70833333333333304</c:v>
                </c:pt>
                <c:pt idx="91">
                  <c:v>0.87037037037036991</c:v>
                </c:pt>
                <c:pt idx="92">
                  <c:v>0.73214285714285698</c:v>
                </c:pt>
                <c:pt idx="93">
                  <c:v>0.80357142857142905</c:v>
                </c:pt>
                <c:pt idx="94">
                  <c:v>0.62385321100917401</c:v>
                </c:pt>
                <c:pt idx="95">
                  <c:v>0.9354838709677421</c:v>
                </c:pt>
                <c:pt idx="96">
                  <c:v>0.56435643564356397</c:v>
                </c:pt>
                <c:pt idx="97">
                  <c:v>0.64444444444444404</c:v>
                </c:pt>
                <c:pt idx="98">
                  <c:v>0.24418604651162798</c:v>
                </c:pt>
                <c:pt idx="99">
                  <c:v>0.72972972972972994</c:v>
                </c:pt>
                <c:pt idx="100">
                  <c:v>0.61403508771929804</c:v>
                </c:pt>
                <c:pt idx="101">
                  <c:v>0.61290322580645207</c:v>
                </c:pt>
                <c:pt idx="102">
                  <c:v>0.62745098039215697</c:v>
                </c:pt>
                <c:pt idx="103">
                  <c:v>0.60483870967741904</c:v>
                </c:pt>
                <c:pt idx="104">
                  <c:v>0.71739130434782594</c:v>
                </c:pt>
                <c:pt idx="105">
                  <c:v>0.69047619047619091</c:v>
                </c:pt>
                <c:pt idx="106">
                  <c:v>0.63829787234042601</c:v>
                </c:pt>
                <c:pt idx="107">
                  <c:v>0.73076923076923095</c:v>
                </c:pt>
                <c:pt idx="108">
                  <c:v>0.73170731707317105</c:v>
                </c:pt>
                <c:pt idx="109">
                  <c:v>0.44</c:v>
                </c:pt>
                <c:pt idx="110">
                  <c:v>0.67123287671232901</c:v>
                </c:pt>
                <c:pt idx="111">
                  <c:v>0.70512820512820495</c:v>
                </c:pt>
                <c:pt idx="112">
                  <c:v>0.67391304347826098</c:v>
                </c:pt>
                <c:pt idx="113">
                  <c:v>0.625</c:v>
                </c:pt>
                <c:pt idx="114">
                  <c:v>0.61333333333333295</c:v>
                </c:pt>
                <c:pt idx="115">
                  <c:v>0.73809523809523792</c:v>
                </c:pt>
                <c:pt idx="116">
                  <c:v>0.5</c:v>
                </c:pt>
                <c:pt idx="117">
                  <c:v>0.47692307692307701</c:v>
                </c:pt>
                <c:pt idx="118">
                  <c:v>0.468354430379747</c:v>
                </c:pt>
                <c:pt idx="119">
                  <c:v>0.46969696969696995</c:v>
                </c:pt>
                <c:pt idx="120">
                  <c:v>0.42857142857142899</c:v>
                </c:pt>
                <c:pt idx="121">
                  <c:v>0.32500000000000001</c:v>
                </c:pt>
                <c:pt idx="122">
                  <c:v>0.62264150943396201</c:v>
                </c:pt>
                <c:pt idx="123">
                  <c:v>0.76470588235294101</c:v>
                </c:pt>
                <c:pt idx="124">
                  <c:v>0.68181818181818199</c:v>
                </c:pt>
                <c:pt idx="125">
                  <c:v>0.60294117647058798</c:v>
                </c:pt>
                <c:pt idx="126">
                  <c:v>0.51351351351351293</c:v>
                </c:pt>
                <c:pt idx="127">
                  <c:v>0.74545454545454504</c:v>
                </c:pt>
                <c:pt idx="128">
                  <c:v>0.69811320754716999</c:v>
                </c:pt>
                <c:pt idx="129">
                  <c:v>0.62</c:v>
                </c:pt>
                <c:pt idx="130">
                  <c:v>0.60377358490566002</c:v>
                </c:pt>
                <c:pt idx="131">
                  <c:v>0.66666666666666696</c:v>
                </c:pt>
                <c:pt idx="132">
                  <c:v>0.41428571428571404</c:v>
                </c:pt>
                <c:pt idx="133">
                  <c:v>0.70175438596491202</c:v>
                </c:pt>
                <c:pt idx="134">
                  <c:v>0.74025974025973995</c:v>
                </c:pt>
                <c:pt idx="135">
                  <c:v>0.72375690607734799</c:v>
                </c:pt>
                <c:pt idx="136">
                  <c:v>0.71428571428571397</c:v>
                </c:pt>
                <c:pt idx="137">
                  <c:v>0.56722689075630195</c:v>
                </c:pt>
                <c:pt idx="138">
                  <c:v>0.46774193548387105</c:v>
                </c:pt>
                <c:pt idx="139">
                  <c:v>0.82499999999999996</c:v>
                </c:pt>
                <c:pt idx="140">
                  <c:v>0.66129032258064502</c:v>
                </c:pt>
                <c:pt idx="141">
                  <c:v>0.8</c:v>
                </c:pt>
                <c:pt idx="142">
                  <c:v>0.45783132530120496</c:v>
                </c:pt>
                <c:pt idx="143">
                  <c:v>0.28767123287671198</c:v>
                </c:pt>
                <c:pt idx="144">
                  <c:v>0.25609756097560998</c:v>
                </c:pt>
                <c:pt idx="145">
                  <c:v>0.35353535353535398</c:v>
                </c:pt>
                <c:pt idx="146">
                  <c:v>0.24761904761904799</c:v>
                </c:pt>
                <c:pt idx="147">
                  <c:v>0.35971223021582704</c:v>
                </c:pt>
                <c:pt idx="148">
                  <c:v>0.28571428571428603</c:v>
                </c:pt>
                <c:pt idx="149">
                  <c:v>0.26388888888888901</c:v>
                </c:pt>
                <c:pt idx="150">
                  <c:v>0.51948051948051899</c:v>
                </c:pt>
                <c:pt idx="151">
                  <c:v>0.30612244897959201</c:v>
                </c:pt>
                <c:pt idx="152">
                  <c:v>0.39726027397260305</c:v>
                </c:pt>
                <c:pt idx="153">
                  <c:v>0.48611111111111099</c:v>
                </c:pt>
                <c:pt idx="154">
                  <c:v>0.46031746031746001</c:v>
                </c:pt>
                <c:pt idx="155">
                  <c:v>0.37777777777777799</c:v>
                </c:pt>
                <c:pt idx="156">
                  <c:v>0.48809523809523803</c:v>
                </c:pt>
                <c:pt idx="157">
                  <c:v>0.42253521126760601</c:v>
                </c:pt>
                <c:pt idx="158">
                  <c:v>0.57142857142857106</c:v>
                </c:pt>
                <c:pt idx="159">
                  <c:v>0.32380952380952399</c:v>
                </c:pt>
                <c:pt idx="160">
                  <c:v>0.51666666666666705</c:v>
                </c:pt>
                <c:pt idx="161">
                  <c:v>0.56451612903225801</c:v>
                </c:pt>
                <c:pt idx="162">
                  <c:v>0.68421052631578905</c:v>
                </c:pt>
                <c:pt idx="163">
                  <c:v>0.44615384615384601</c:v>
                </c:pt>
                <c:pt idx="164">
                  <c:v>0.41798941798941797</c:v>
                </c:pt>
                <c:pt idx="165">
                  <c:v>0.62962962962962998</c:v>
                </c:pt>
                <c:pt idx="166">
                  <c:v>0.28787878787878801</c:v>
                </c:pt>
                <c:pt idx="167">
                  <c:v>0.57352941176470607</c:v>
                </c:pt>
                <c:pt idx="168">
                  <c:v>0.57894736842105299</c:v>
                </c:pt>
                <c:pt idx="169">
                  <c:v>0.61111111111111105</c:v>
                </c:pt>
                <c:pt idx="170">
                  <c:v>0.6568047337278109</c:v>
                </c:pt>
                <c:pt idx="171">
                  <c:v>0.67894736842105308</c:v>
                </c:pt>
                <c:pt idx="172">
                  <c:v>0.78723404255319196</c:v>
                </c:pt>
                <c:pt idx="173">
                  <c:v>0.626506024096386</c:v>
                </c:pt>
                <c:pt idx="174">
                  <c:v>0.65789473684210509</c:v>
                </c:pt>
                <c:pt idx="175">
                  <c:v>0.67857142857142905</c:v>
                </c:pt>
                <c:pt idx="176">
                  <c:v>0.66666666666666696</c:v>
                </c:pt>
                <c:pt idx="177">
                  <c:v>0.67808219178082196</c:v>
                </c:pt>
                <c:pt idx="178">
                  <c:v>0.56976744186046502</c:v>
                </c:pt>
                <c:pt idx="179">
                  <c:v>0.55128205128205099</c:v>
                </c:pt>
                <c:pt idx="180">
                  <c:v>0.53846153846153799</c:v>
                </c:pt>
                <c:pt idx="181">
                  <c:v>0.68965517241379304</c:v>
                </c:pt>
                <c:pt idx="182">
                  <c:v>0.68</c:v>
                </c:pt>
                <c:pt idx="183">
                  <c:v>0.72916666666666696</c:v>
                </c:pt>
                <c:pt idx="184">
                  <c:v>0.76785714285714302</c:v>
                </c:pt>
                <c:pt idx="185">
                  <c:v>0.73076923076923095</c:v>
                </c:pt>
                <c:pt idx="186">
                  <c:v>0.71428571428571397</c:v>
                </c:pt>
                <c:pt idx="187">
                  <c:v>0.74576271186440701</c:v>
                </c:pt>
                <c:pt idx="188">
                  <c:v>0.92857142857142905</c:v>
                </c:pt>
                <c:pt idx="189">
                  <c:v>0.78260869565217406</c:v>
                </c:pt>
                <c:pt idx="190">
                  <c:v>0.79411764705882304</c:v>
                </c:pt>
                <c:pt idx="191">
                  <c:v>0.9</c:v>
                </c:pt>
                <c:pt idx="192">
                  <c:v>0.89830508474576309</c:v>
                </c:pt>
                <c:pt idx="193">
                  <c:v>0.7192982456140351</c:v>
                </c:pt>
                <c:pt idx="194">
                  <c:v>0.86792452830188693</c:v>
                </c:pt>
                <c:pt idx="195">
                  <c:v>0.77777777777777801</c:v>
                </c:pt>
                <c:pt idx="196">
                  <c:v>0.55357142857142894</c:v>
                </c:pt>
                <c:pt idx="197">
                  <c:v>0.61764705882352899</c:v>
                </c:pt>
                <c:pt idx="198">
                  <c:v>0.6875</c:v>
                </c:pt>
                <c:pt idx="199">
                  <c:v>0.6875</c:v>
                </c:pt>
                <c:pt idx="200">
                  <c:v>0.52542372881355903</c:v>
                </c:pt>
                <c:pt idx="201">
                  <c:v>0.45528455284552799</c:v>
                </c:pt>
                <c:pt idx="202">
                  <c:v>0.72549019607843102</c:v>
                </c:pt>
                <c:pt idx="203">
                  <c:v>0.63636363636363602</c:v>
                </c:pt>
                <c:pt idx="204">
                  <c:v>0.82857142857142907</c:v>
                </c:pt>
                <c:pt idx="205">
                  <c:v>0.52941176470588203</c:v>
                </c:pt>
                <c:pt idx="206">
                  <c:v>0.78873239436619702</c:v>
                </c:pt>
                <c:pt idx="207">
                  <c:v>0.5625</c:v>
                </c:pt>
                <c:pt idx="208">
                  <c:v>0.49101796407185605</c:v>
                </c:pt>
              </c:numCache>
            </c:numRef>
          </c:xVal>
          <c:yVal>
            <c:numRef>
              <c:f>'I:\LMAA Branch\Workforce Analysis\01. Skill Shortage Research\2023-24\05. Skills Priority List\07 Key Findings Report\New Figures_2023 data\Wage vs fill rate chart for OSL 2024\Output\[figure_1_excel.xlsx]figure_data'!$M$2:$M$210</c:f>
              <c:numCache>
                <c:formatCode>General</c:formatCode>
                <c:ptCount val="209"/>
                <c:pt idx="0">
                  <c:v>9.9513381995133696E-2</c:v>
                </c:pt>
                <c:pt idx="1">
                  <c:v>0.32628453708191896</c:v>
                </c:pt>
                <c:pt idx="2">
                  <c:v>2.7160590669307497E-2</c:v>
                </c:pt>
                <c:pt idx="3">
                  <c:v>0.12491261257556401</c:v>
                </c:pt>
                <c:pt idx="4">
                  <c:v>0.231265616512765</c:v>
                </c:pt>
                <c:pt idx="5">
                  <c:v>-9.8547530143273096E-2</c:v>
                </c:pt>
                <c:pt idx="6">
                  <c:v>3.9702655348971799E-2</c:v>
                </c:pt>
                <c:pt idx="7">
                  <c:v>0.137867447662436</c:v>
                </c:pt>
                <c:pt idx="8">
                  <c:v>4.8470870963990803E-2</c:v>
                </c:pt>
                <c:pt idx="9">
                  <c:v>7.2081520429711304E-2</c:v>
                </c:pt>
                <c:pt idx="10">
                  <c:v>0.27625327432029601</c:v>
                </c:pt>
                <c:pt idx="11">
                  <c:v>-3.5414725069897499E-2</c:v>
                </c:pt>
                <c:pt idx="12">
                  <c:v>9.06243828118386E-2</c:v>
                </c:pt>
                <c:pt idx="13">
                  <c:v>-3.1627422017551899E-3</c:v>
                </c:pt>
                <c:pt idx="14">
                  <c:v>-7.8250135020446102E-2</c:v>
                </c:pt>
                <c:pt idx="15">
                  <c:v>0.12293425705419599</c:v>
                </c:pt>
                <c:pt idx="16">
                  <c:v>0.203871499176277</c:v>
                </c:pt>
                <c:pt idx="17">
                  <c:v>-0.21932075471698098</c:v>
                </c:pt>
                <c:pt idx="18">
                  <c:v>0.15637640057650301</c:v>
                </c:pt>
                <c:pt idx="19">
                  <c:v>0.121035721688662</c:v>
                </c:pt>
                <c:pt idx="20">
                  <c:v>1.6985842221950601E-2</c:v>
                </c:pt>
                <c:pt idx="21">
                  <c:v>3.9162234042553298E-2</c:v>
                </c:pt>
                <c:pt idx="22">
                  <c:v>-5.8489834748599402E-2</c:v>
                </c:pt>
                <c:pt idx="23">
                  <c:v>9.2433775497935994E-2</c:v>
                </c:pt>
                <c:pt idx="24">
                  <c:v>9.33230346721593E-2</c:v>
                </c:pt>
                <c:pt idx="25">
                  <c:v>-9.8875322009759709E-2</c:v>
                </c:pt>
                <c:pt idx="26">
                  <c:v>-2.4783531343408599E-4</c:v>
                </c:pt>
                <c:pt idx="27">
                  <c:v>4.5063384843157202E-2</c:v>
                </c:pt>
                <c:pt idx="28">
                  <c:v>-0.19376022043959101</c:v>
                </c:pt>
                <c:pt idx="29">
                  <c:v>1.7927613034164E-2</c:v>
                </c:pt>
                <c:pt idx="30">
                  <c:v>-0.211604409767774</c:v>
                </c:pt>
                <c:pt idx="31">
                  <c:v>9.4128996692392303E-2</c:v>
                </c:pt>
                <c:pt idx="32">
                  <c:v>0.22874508401859101</c:v>
                </c:pt>
                <c:pt idx="33">
                  <c:v>-0.33396181946735803</c:v>
                </c:pt>
                <c:pt idx="34">
                  <c:v>7.4094143997688003E-2</c:v>
                </c:pt>
                <c:pt idx="35">
                  <c:v>0.116707748365663</c:v>
                </c:pt>
                <c:pt idx="36">
                  <c:v>8.4183133113444608E-2</c:v>
                </c:pt>
                <c:pt idx="37">
                  <c:v>-7.6488006121702007E-2</c:v>
                </c:pt>
                <c:pt idx="38">
                  <c:v>0.21277043620629199</c:v>
                </c:pt>
                <c:pt idx="39">
                  <c:v>0.33883657170103704</c:v>
                </c:pt>
                <c:pt idx="40">
                  <c:v>0.26540152484835</c:v>
                </c:pt>
                <c:pt idx="41">
                  <c:v>0.109960902790119</c:v>
                </c:pt>
                <c:pt idx="42">
                  <c:v>-0.25227776990983303</c:v>
                </c:pt>
                <c:pt idx="43">
                  <c:v>0.75451750364097292</c:v>
                </c:pt>
                <c:pt idx="44">
                  <c:v>-0.24674213249309498</c:v>
                </c:pt>
                <c:pt idx="45">
                  <c:v>1.30833030192797</c:v>
                </c:pt>
                <c:pt idx="46">
                  <c:v>4.2196918955123897E-2</c:v>
                </c:pt>
                <c:pt idx="47">
                  <c:v>1.3869672324773E-2</c:v>
                </c:pt>
                <c:pt idx="48">
                  <c:v>3.4790460508843601E-2</c:v>
                </c:pt>
                <c:pt idx="49">
                  <c:v>0.307492054905673</c:v>
                </c:pt>
                <c:pt idx="50">
                  <c:v>0.145149061353228</c:v>
                </c:pt>
                <c:pt idx="51">
                  <c:v>-2.4966027241412E-2</c:v>
                </c:pt>
                <c:pt idx="52">
                  <c:v>0.18394812077261002</c:v>
                </c:pt>
                <c:pt idx="53">
                  <c:v>0.115025282121689</c:v>
                </c:pt>
                <c:pt idx="54">
                  <c:v>9.8408606415150396E-2</c:v>
                </c:pt>
                <c:pt idx="55">
                  <c:v>-0.17953833790561699</c:v>
                </c:pt>
                <c:pt idx="56">
                  <c:v>0.30544633146490402</c:v>
                </c:pt>
                <c:pt idx="57">
                  <c:v>0.33495709688952502</c:v>
                </c:pt>
                <c:pt idx="58">
                  <c:v>0.198805686201976</c:v>
                </c:pt>
                <c:pt idx="59">
                  <c:v>-9.0606172797953508E-2</c:v>
                </c:pt>
                <c:pt idx="60">
                  <c:v>-3.4645408240151998E-2</c:v>
                </c:pt>
                <c:pt idx="61">
                  <c:v>4.9861065834614103E-2</c:v>
                </c:pt>
                <c:pt idx="62">
                  <c:v>7.0286852932322105E-2</c:v>
                </c:pt>
                <c:pt idx="63">
                  <c:v>1.3195896823025599E-2</c:v>
                </c:pt>
                <c:pt idx="64">
                  <c:v>0.14920142757941299</c:v>
                </c:pt>
                <c:pt idx="65">
                  <c:v>2.8712871287128697E-2</c:v>
                </c:pt>
                <c:pt idx="66">
                  <c:v>3.4238917770697702E-3</c:v>
                </c:pt>
                <c:pt idx="67">
                  <c:v>0.15053612021967899</c:v>
                </c:pt>
                <c:pt idx="68">
                  <c:v>-2.48299714790867E-2</c:v>
                </c:pt>
                <c:pt idx="69">
                  <c:v>4.77190928033892E-2</c:v>
                </c:pt>
                <c:pt idx="70">
                  <c:v>0.122470027072322</c:v>
                </c:pt>
                <c:pt idx="71">
                  <c:v>0.157293617798894</c:v>
                </c:pt>
                <c:pt idx="72">
                  <c:v>5.3772976459206798E-2</c:v>
                </c:pt>
                <c:pt idx="73">
                  <c:v>0.14784249337481301</c:v>
                </c:pt>
                <c:pt idx="74">
                  <c:v>0.37465845870230802</c:v>
                </c:pt>
                <c:pt idx="75">
                  <c:v>1.6019253186928799E-2</c:v>
                </c:pt>
                <c:pt idx="76">
                  <c:v>-0.10663021189337001</c:v>
                </c:pt>
                <c:pt idx="77">
                  <c:v>6.2155457552370397E-2</c:v>
                </c:pt>
                <c:pt idx="78">
                  <c:v>-7.1904774757753295E-2</c:v>
                </c:pt>
                <c:pt idx="79">
                  <c:v>-0.13511221812978602</c:v>
                </c:pt>
                <c:pt idx="80">
                  <c:v>0.11598404474052099</c:v>
                </c:pt>
                <c:pt idx="81">
                  <c:v>-0.14372311738093699</c:v>
                </c:pt>
                <c:pt idx="82">
                  <c:v>0.146735438953982</c:v>
                </c:pt>
                <c:pt idx="83">
                  <c:v>0.32267407070537801</c:v>
                </c:pt>
                <c:pt idx="84">
                  <c:v>8.89877429455114E-2</c:v>
                </c:pt>
                <c:pt idx="85">
                  <c:v>5.6112438911283001E-2</c:v>
                </c:pt>
                <c:pt idx="86">
                  <c:v>-0.20453902047749398</c:v>
                </c:pt>
                <c:pt idx="87">
                  <c:v>4.14997959769682E-2</c:v>
                </c:pt>
                <c:pt idx="88">
                  <c:v>1.48052482827036E-2</c:v>
                </c:pt>
                <c:pt idx="89">
                  <c:v>0.20608685045133002</c:v>
                </c:pt>
                <c:pt idx="90">
                  <c:v>-3.4985952735085098E-2</c:v>
                </c:pt>
                <c:pt idx="91">
                  <c:v>0.31902147741500497</c:v>
                </c:pt>
                <c:pt idx="92">
                  <c:v>-2.4475170849407101E-2</c:v>
                </c:pt>
                <c:pt idx="93">
                  <c:v>3.5048484631624202E-2</c:v>
                </c:pt>
                <c:pt idx="94">
                  <c:v>-8.9101244214490685E-2</c:v>
                </c:pt>
                <c:pt idx="95">
                  <c:v>-3.03273646801531E-2</c:v>
                </c:pt>
                <c:pt idx="96">
                  <c:v>3.1751628976619602E-2</c:v>
                </c:pt>
                <c:pt idx="97">
                  <c:v>-3.6611892010455199E-2</c:v>
                </c:pt>
                <c:pt idx="98">
                  <c:v>-0.11808925514831699</c:v>
                </c:pt>
                <c:pt idx="99">
                  <c:v>-4.2731659037485999E-2</c:v>
                </c:pt>
                <c:pt idx="100">
                  <c:v>7.0070435385569799E-2</c:v>
                </c:pt>
                <c:pt idx="101">
                  <c:v>0.109389571505702</c:v>
                </c:pt>
                <c:pt idx="102">
                  <c:v>5.7047528258204999E-2</c:v>
                </c:pt>
                <c:pt idx="103">
                  <c:v>0.112700789293702</c:v>
                </c:pt>
                <c:pt idx="104">
                  <c:v>-0.11454842313310999</c:v>
                </c:pt>
                <c:pt idx="105">
                  <c:v>4.49202665269147E-2</c:v>
                </c:pt>
                <c:pt idx="106">
                  <c:v>-0.19019915919996599</c:v>
                </c:pt>
                <c:pt idx="107">
                  <c:v>4.5814648729446905E-2</c:v>
                </c:pt>
                <c:pt idx="108">
                  <c:v>0.12044480904202</c:v>
                </c:pt>
                <c:pt idx="109">
                  <c:v>0.145931962229983</c:v>
                </c:pt>
                <c:pt idx="110">
                  <c:v>8.0347959486079895E-2</c:v>
                </c:pt>
                <c:pt idx="111">
                  <c:v>3.4536444905748899E-2</c:v>
                </c:pt>
                <c:pt idx="112">
                  <c:v>0.174496320812313</c:v>
                </c:pt>
                <c:pt idx="113">
                  <c:v>-4.4351251747361698E-3</c:v>
                </c:pt>
                <c:pt idx="114">
                  <c:v>-2.5047651629929901E-3</c:v>
                </c:pt>
                <c:pt idx="115">
                  <c:v>-2.8217437457420197E-2</c:v>
                </c:pt>
                <c:pt idx="116">
                  <c:v>0.72370456303170894</c:v>
                </c:pt>
                <c:pt idx="117">
                  <c:v>-0.10254296914262699</c:v>
                </c:pt>
                <c:pt idx="118">
                  <c:v>-0.13226105465531401</c:v>
                </c:pt>
                <c:pt idx="119">
                  <c:v>0.163926034935057</c:v>
                </c:pt>
                <c:pt idx="120">
                  <c:v>0.151995361870712</c:v>
                </c:pt>
                <c:pt idx="121">
                  <c:v>0.23397327944313498</c:v>
                </c:pt>
                <c:pt idx="122">
                  <c:v>-0.12505598002361298</c:v>
                </c:pt>
                <c:pt idx="123">
                  <c:v>0.14905393863740898</c:v>
                </c:pt>
                <c:pt idx="124">
                  <c:v>3.4373337735468398E-2</c:v>
                </c:pt>
                <c:pt idx="125">
                  <c:v>0.11030346798122399</c:v>
                </c:pt>
                <c:pt idx="126">
                  <c:v>2.59671846675858E-2</c:v>
                </c:pt>
                <c:pt idx="127">
                  <c:v>-5.9899061448556702E-2</c:v>
                </c:pt>
                <c:pt idx="128">
                  <c:v>3.9463387367244203E-2</c:v>
                </c:pt>
                <c:pt idx="129">
                  <c:v>0.398074150543759</c:v>
                </c:pt>
                <c:pt idx="130">
                  <c:v>2.24697765681371E-2</c:v>
                </c:pt>
                <c:pt idx="131">
                  <c:v>-9.6990343831784093E-2</c:v>
                </c:pt>
                <c:pt idx="132">
                  <c:v>0.36707050065683799</c:v>
                </c:pt>
                <c:pt idx="133">
                  <c:v>-5.0062820141103595E-2</c:v>
                </c:pt>
                <c:pt idx="134">
                  <c:v>0.21383174050185999</c:v>
                </c:pt>
                <c:pt idx="135">
                  <c:v>-0.29832183479395902</c:v>
                </c:pt>
                <c:pt idx="136">
                  <c:v>8.4900174452413407E-2</c:v>
                </c:pt>
                <c:pt idx="137">
                  <c:v>8.6471847839778515E-2</c:v>
                </c:pt>
                <c:pt idx="138">
                  <c:v>-0.33714501862197399</c:v>
                </c:pt>
                <c:pt idx="139">
                  <c:v>5.4241461992093898E-2</c:v>
                </c:pt>
                <c:pt idx="140">
                  <c:v>0.32114778450056197</c:v>
                </c:pt>
                <c:pt idx="141">
                  <c:v>0.14469078179696601</c:v>
                </c:pt>
                <c:pt idx="142">
                  <c:v>0.63466226311236906</c:v>
                </c:pt>
                <c:pt idx="143">
                  <c:v>0.18774384501547201</c:v>
                </c:pt>
                <c:pt idx="144">
                  <c:v>5.0223928342930206E-2</c:v>
                </c:pt>
                <c:pt idx="145">
                  <c:v>0.115660498478886</c:v>
                </c:pt>
                <c:pt idx="146">
                  <c:v>0.24996397434973702</c:v>
                </c:pt>
                <c:pt idx="147">
                  <c:v>-9.6254724986499909E-2</c:v>
                </c:pt>
                <c:pt idx="148">
                  <c:v>-0.39876686106040998</c:v>
                </c:pt>
                <c:pt idx="149">
                  <c:v>0.222183129562846</c:v>
                </c:pt>
                <c:pt idx="150">
                  <c:v>0.31297282151863298</c:v>
                </c:pt>
                <c:pt idx="151">
                  <c:v>0.37363469916030001</c:v>
                </c:pt>
                <c:pt idx="152">
                  <c:v>2.9145017985058599E-2</c:v>
                </c:pt>
                <c:pt idx="153">
                  <c:v>0.38731667010948201</c:v>
                </c:pt>
                <c:pt idx="154">
                  <c:v>0.247536418166238</c:v>
                </c:pt>
                <c:pt idx="155">
                  <c:v>-5.1590999866861997E-2</c:v>
                </c:pt>
                <c:pt idx="156">
                  <c:v>4.6093830202237999E-2</c:v>
                </c:pt>
                <c:pt idx="157">
                  <c:v>-0.121893827735112</c:v>
                </c:pt>
                <c:pt idx="158">
                  <c:v>-0.118069600390543</c:v>
                </c:pt>
                <c:pt idx="159">
                  <c:v>-3.4428877883413601E-4</c:v>
                </c:pt>
                <c:pt idx="160">
                  <c:v>-2.8198230317960397E-3</c:v>
                </c:pt>
                <c:pt idx="161">
                  <c:v>-4.9413981977737095E-2</c:v>
                </c:pt>
                <c:pt idx="162">
                  <c:v>-9.189741125593261E-3</c:v>
                </c:pt>
                <c:pt idx="163">
                  <c:v>7.2927338265983591E-2</c:v>
                </c:pt>
                <c:pt idx="164">
                  <c:v>0.14668712764036798</c:v>
                </c:pt>
                <c:pt idx="165">
                  <c:v>0.67647257497973501</c:v>
                </c:pt>
                <c:pt idx="166">
                  <c:v>-0.13183355093568999</c:v>
                </c:pt>
                <c:pt idx="167">
                  <c:v>-7.5664233180449E-2</c:v>
                </c:pt>
                <c:pt idx="168">
                  <c:v>0.114519642982641</c:v>
                </c:pt>
                <c:pt idx="169">
                  <c:v>-0.20293145250165298</c:v>
                </c:pt>
                <c:pt idx="170">
                  <c:v>0.17157659488013</c:v>
                </c:pt>
                <c:pt idx="171">
                  <c:v>0.18498093933898299</c:v>
                </c:pt>
                <c:pt idx="172">
                  <c:v>4.7371547371547293E-2</c:v>
                </c:pt>
                <c:pt idx="173">
                  <c:v>8.9589589589589597E-2</c:v>
                </c:pt>
                <c:pt idx="174">
                  <c:v>0.10970138166691401</c:v>
                </c:pt>
                <c:pt idx="175">
                  <c:v>3.6967334319128698E-3</c:v>
                </c:pt>
                <c:pt idx="176">
                  <c:v>0.535915077648909</c:v>
                </c:pt>
                <c:pt idx="177">
                  <c:v>6.3105835806132604E-2</c:v>
                </c:pt>
                <c:pt idx="178">
                  <c:v>4.5793705007619201E-2</c:v>
                </c:pt>
                <c:pt idx="179">
                  <c:v>-8.0030143180105498E-2</c:v>
                </c:pt>
                <c:pt idx="180">
                  <c:v>-8.7403933828318292E-2</c:v>
                </c:pt>
                <c:pt idx="181">
                  <c:v>-0.27298863483221802</c:v>
                </c:pt>
                <c:pt idx="182">
                  <c:v>7.1268899723654702E-2</c:v>
                </c:pt>
                <c:pt idx="183">
                  <c:v>7.38032397878884E-2</c:v>
                </c:pt>
                <c:pt idx="184">
                  <c:v>-2.0539035578173798E-2</c:v>
                </c:pt>
                <c:pt idx="185">
                  <c:v>0.12572241486618699</c:v>
                </c:pt>
                <c:pt idx="186">
                  <c:v>8.5539215686273699E-3</c:v>
                </c:pt>
                <c:pt idx="187">
                  <c:v>9.0175704252930408E-2</c:v>
                </c:pt>
                <c:pt idx="188">
                  <c:v>1.44764985132245E-2</c:v>
                </c:pt>
                <c:pt idx="189">
                  <c:v>8.9119783747254613E-2</c:v>
                </c:pt>
                <c:pt idx="190">
                  <c:v>7.1217020351601601E-2</c:v>
                </c:pt>
                <c:pt idx="191">
                  <c:v>0.16589464932596901</c:v>
                </c:pt>
                <c:pt idx="192">
                  <c:v>-1.4122906125656899E-2</c:v>
                </c:pt>
                <c:pt idx="193">
                  <c:v>2.14991841827432E-2</c:v>
                </c:pt>
                <c:pt idx="194">
                  <c:v>0.21494096661853401</c:v>
                </c:pt>
                <c:pt idx="195">
                  <c:v>1.9997727530962198E-2</c:v>
                </c:pt>
                <c:pt idx="196">
                  <c:v>4.5789417078941803E-2</c:v>
                </c:pt>
                <c:pt idx="197">
                  <c:v>0.45742962621135197</c:v>
                </c:pt>
                <c:pt idx="198">
                  <c:v>-9.3029355391909707E-2</c:v>
                </c:pt>
                <c:pt idx="199">
                  <c:v>3.2292305514931501E-2</c:v>
                </c:pt>
                <c:pt idx="200">
                  <c:v>-7.2830905636477802E-3</c:v>
                </c:pt>
                <c:pt idx="201">
                  <c:v>0.17488947833775398</c:v>
                </c:pt>
                <c:pt idx="202">
                  <c:v>1.4682809863532799E-2</c:v>
                </c:pt>
                <c:pt idx="203">
                  <c:v>-0.20860958292189799</c:v>
                </c:pt>
                <c:pt idx="204">
                  <c:v>0.11003708178825899</c:v>
                </c:pt>
                <c:pt idx="205">
                  <c:v>5.9304226009806102E-2</c:v>
                </c:pt>
                <c:pt idx="206">
                  <c:v>5.5291920521691101E-2</c:v>
                </c:pt>
                <c:pt idx="207">
                  <c:v>-7.9551346778375095E-2</c:v>
                </c:pt>
                <c:pt idx="208">
                  <c:v>7.5542099315579495E-2</c:v>
                </c:pt>
              </c:numCache>
            </c:numRef>
          </c:yVal>
          <c:smooth val="0"/>
          <c:extLst>
            <c:ext xmlns:c16="http://schemas.microsoft.com/office/drawing/2014/chart" uri="{C3380CC4-5D6E-409C-BE32-E72D297353CC}">
              <c16:uniqueId val="{00000001-C825-4BEF-863A-1E587B0150B3}"/>
            </c:ext>
          </c:extLst>
        </c:ser>
        <c:dLbls>
          <c:showLegendKey val="0"/>
          <c:showVal val="0"/>
          <c:showCatName val="0"/>
          <c:showSerName val="0"/>
          <c:showPercent val="0"/>
          <c:showBubbleSize val="0"/>
        </c:dLbls>
        <c:axId val="571137408"/>
        <c:axId val="571134048"/>
      </c:scatterChart>
      <c:valAx>
        <c:axId val="57113740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Fill rate (1-year lag)</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71134048"/>
        <c:crossesAt val="-50"/>
        <c:crossBetween val="midCat"/>
      </c:valAx>
      <c:valAx>
        <c:axId val="57113404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Annual wage change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71137408"/>
        <c:crossesAt val="0"/>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39735416552277E-2"/>
          <c:y val="6.1642282048521596E-2"/>
          <c:w val="0.80503916070983039"/>
          <c:h val="0.75187483679702549"/>
        </c:manualLayout>
      </c:layout>
      <c:lineChart>
        <c:grouping val="standard"/>
        <c:varyColors val="0"/>
        <c:ser>
          <c:idx val="3"/>
          <c:order val="0"/>
          <c:tx>
            <c:strRef>
              <c:f>'Figure 2'!$D$2</c:f>
              <c:strCache>
                <c:ptCount val="1"/>
                <c:pt idx="0">
                  <c:v>Fill rates (%) (LHS)</c:v>
                </c:pt>
              </c:strCache>
            </c:strRef>
          </c:tx>
          <c:spPr>
            <a:ln w="28575" cap="rnd">
              <a:solidFill>
                <a:srgbClr val="6929C4"/>
              </a:solidFill>
              <a:round/>
            </a:ln>
            <a:effectLst/>
          </c:spPr>
          <c:marker>
            <c:symbol val="none"/>
          </c:marker>
          <c:cat>
            <c:numRef>
              <c:f>'Figure 2'!$A$3:$A$27</c:f>
              <c:numCache>
                <c:formatCode>mmm\-yy</c:formatCode>
                <c:ptCount val="25"/>
                <c:pt idx="0">
                  <c:v>44713</c:v>
                </c:pt>
                <c:pt idx="1">
                  <c:v>44743</c:v>
                </c:pt>
                <c:pt idx="2">
                  <c:v>44774</c:v>
                </c:pt>
                <c:pt idx="3">
                  <c:v>44805</c:v>
                </c:pt>
                <c:pt idx="4">
                  <c:v>44835</c:v>
                </c:pt>
                <c:pt idx="5">
                  <c:v>44866</c:v>
                </c:pt>
                <c:pt idx="6">
                  <c:v>44896</c:v>
                </c:pt>
                <c:pt idx="7">
                  <c:v>44927</c:v>
                </c:pt>
                <c:pt idx="8">
                  <c:v>44958</c:v>
                </c:pt>
                <c:pt idx="9">
                  <c:v>44986</c:v>
                </c:pt>
                <c:pt idx="10">
                  <c:v>45017</c:v>
                </c:pt>
                <c:pt idx="11">
                  <c:v>45047</c:v>
                </c:pt>
                <c:pt idx="12">
                  <c:v>45078</c:v>
                </c:pt>
                <c:pt idx="13">
                  <c:v>45108</c:v>
                </c:pt>
                <c:pt idx="14">
                  <c:v>45139</c:v>
                </c:pt>
                <c:pt idx="15">
                  <c:v>45170</c:v>
                </c:pt>
                <c:pt idx="16">
                  <c:v>45200</c:v>
                </c:pt>
                <c:pt idx="17">
                  <c:v>45231</c:v>
                </c:pt>
                <c:pt idx="18">
                  <c:v>45261</c:v>
                </c:pt>
                <c:pt idx="19">
                  <c:v>45292</c:v>
                </c:pt>
                <c:pt idx="20">
                  <c:v>45323</c:v>
                </c:pt>
                <c:pt idx="21">
                  <c:v>45352</c:v>
                </c:pt>
                <c:pt idx="22">
                  <c:v>45383</c:v>
                </c:pt>
                <c:pt idx="23">
                  <c:v>45413</c:v>
                </c:pt>
                <c:pt idx="24">
                  <c:v>45444</c:v>
                </c:pt>
              </c:numCache>
            </c:numRef>
          </c:cat>
          <c:val>
            <c:numRef>
              <c:f>'Figure 2'!$D$3:$D$27</c:f>
              <c:numCache>
                <c:formatCode>0.0%</c:formatCode>
                <c:ptCount val="25"/>
                <c:pt idx="0">
                  <c:v>0.54726754726754723</c:v>
                </c:pt>
                <c:pt idx="1">
                  <c:v>0.54537079686780288</c:v>
                </c:pt>
                <c:pt idx="2">
                  <c:v>0.58156911581569115</c:v>
                </c:pt>
                <c:pt idx="3">
                  <c:v>0.58086149084343563</c:v>
                </c:pt>
                <c:pt idx="4">
                  <c:v>0.58219018832829572</c:v>
                </c:pt>
                <c:pt idx="5">
                  <c:v>0.58651096282173498</c:v>
                </c:pt>
                <c:pt idx="6">
                  <c:v>0.58664503919978372</c:v>
                </c:pt>
                <c:pt idx="7">
                  <c:v>0.60432569974554706</c:v>
                </c:pt>
                <c:pt idx="8">
                  <c:v>0.62094829895526382</c:v>
                </c:pt>
                <c:pt idx="9">
                  <c:v>0.61583577712609971</c:v>
                </c:pt>
                <c:pt idx="10">
                  <c:v>0.60794941282746162</c:v>
                </c:pt>
                <c:pt idx="11">
                  <c:v>0.59435588108573889</c:v>
                </c:pt>
                <c:pt idx="12">
                  <c:v>0.59397321428571426</c:v>
                </c:pt>
                <c:pt idx="13">
                  <c:v>0.60673624288425043</c:v>
                </c:pt>
                <c:pt idx="14">
                  <c:v>0.61784965558550464</c:v>
                </c:pt>
                <c:pt idx="15">
                  <c:v>0.60877142027301767</c:v>
                </c:pt>
                <c:pt idx="16">
                  <c:v>0.61334641805691859</c:v>
                </c:pt>
                <c:pt idx="17">
                  <c:v>0.62658846529814272</c:v>
                </c:pt>
                <c:pt idx="18">
                  <c:v>0.64420706655710769</c:v>
                </c:pt>
                <c:pt idx="19">
                  <c:v>0.65693883886991622</c:v>
                </c:pt>
                <c:pt idx="20">
                  <c:v>0.65838509316770188</c:v>
                </c:pt>
                <c:pt idx="21">
                  <c:v>0.65567314792025599</c:v>
                </c:pt>
                <c:pt idx="22">
                  <c:v>0.65654761904761905</c:v>
                </c:pt>
                <c:pt idx="23">
                  <c:v>0.6640625</c:v>
                </c:pt>
                <c:pt idx="24">
                  <c:v>0.69497467861316709</c:v>
                </c:pt>
              </c:numCache>
            </c:numRef>
          </c:val>
          <c:smooth val="0"/>
          <c:extLst>
            <c:ext xmlns:c16="http://schemas.microsoft.com/office/drawing/2014/chart" uri="{C3380CC4-5D6E-409C-BE32-E72D297353CC}">
              <c16:uniqueId val="{00000000-B3BC-4E87-84CA-121E3B0DE8A3}"/>
            </c:ext>
          </c:extLst>
        </c:ser>
        <c:ser>
          <c:idx val="1"/>
          <c:order val="1"/>
          <c:tx>
            <c:strRef>
              <c:f>'Figure 2'!$C$2</c:f>
              <c:strCache>
                <c:ptCount val="1"/>
                <c:pt idx="0">
                  <c:v>Recruitment difficulty rate (%) (LHS)</c:v>
                </c:pt>
              </c:strCache>
            </c:strRef>
          </c:tx>
          <c:spPr>
            <a:ln w="28575" cap="rnd">
              <a:solidFill>
                <a:srgbClr val="009D9A"/>
              </a:solidFill>
              <a:round/>
            </a:ln>
            <a:effectLst/>
          </c:spPr>
          <c:marker>
            <c:symbol val="none"/>
          </c:marker>
          <c:cat>
            <c:numRef>
              <c:f>'Figure 2'!$A$3:$A$27</c:f>
              <c:numCache>
                <c:formatCode>mmm\-yy</c:formatCode>
                <c:ptCount val="25"/>
                <c:pt idx="0">
                  <c:v>44713</c:v>
                </c:pt>
                <c:pt idx="1">
                  <c:v>44743</c:v>
                </c:pt>
                <c:pt idx="2">
                  <c:v>44774</c:v>
                </c:pt>
                <c:pt idx="3">
                  <c:v>44805</c:v>
                </c:pt>
                <c:pt idx="4">
                  <c:v>44835</c:v>
                </c:pt>
                <c:pt idx="5">
                  <c:v>44866</c:v>
                </c:pt>
                <c:pt idx="6">
                  <c:v>44896</c:v>
                </c:pt>
                <c:pt idx="7">
                  <c:v>44927</c:v>
                </c:pt>
                <c:pt idx="8">
                  <c:v>44958</c:v>
                </c:pt>
                <c:pt idx="9">
                  <c:v>44986</c:v>
                </c:pt>
                <c:pt idx="10">
                  <c:v>45017</c:v>
                </c:pt>
                <c:pt idx="11">
                  <c:v>45047</c:v>
                </c:pt>
                <c:pt idx="12">
                  <c:v>45078</c:v>
                </c:pt>
                <c:pt idx="13">
                  <c:v>45108</c:v>
                </c:pt>
                <c:pt idx="14">
                  <c:v>45139</c:v>
                </c:pt>
                <c:pt idx="15">
                  <c:v>45170</c:v>
                </c:pt>
                <c:pt idx="16">
                  <c:v>45200</c:v>
                </c:pt>
                <c:pt idx="17">
                  <c:v>45231</c:v>
                </c:pt>
                <c:pt idx="18">
                  <c:v>45261</c:v>
                </c:pt>
                <c:pt idx="19">
                  <c:v>45292</c:v>
                </c:pt>
                <c:pt idx="20">
                  <c:v>45323</c:v>
                </c:pt>
                <c:pt idx="21">
                  <c:v>45352</c:v>
                </c:pt>
                <c:pt idx="22">
                  <c:v>45383</c:v>
                </c:pt>
                <c:pt idx="23">
                  <c:v>45413</c:v>
                </c:pt>
                <c:pt idx="24">
                  <c:v>45444</c:v>
                </c:pt>
              </c:numCache>
            </c:numRef>
          </c:cat>
          <c:val>
            <c:numRef>
              <c:f>'Figure 2'!$C$3:$C$27</c:f>
              <c:numCache>
                <c:formatCode>0.0%</c:formatCode>
                <c:ptCount val="25"/>
                <c:pt idx="0">
                  <c:v>0.67</c:v>
                </c:pt>
                <c:pt idx="1">
                  <c:v>0.75</c:v>
                </c:pt>
                <c:pt idx="2">
                  <c:v>0.74</c:v>
                </c:pt>
                <c:pt idx="3">
                  <c:v>0.67</c:v>
                </c:pt>
                <c:pt idx="4">
                  <c:v>0.7</c:v>
                </c:pt>
                <c:pt idx="5">
                  <c:v>0.69</c:v>
                </c:pt>
                <c:pt idx="6">
                  <c:v>0.65</c:v>
                </c:pt>
                <c:pt idx="7">
                  <c:v>0.56000000000000005</c:v>
                </c:pt>
                <c:pt idx="8">
                  <c:v>0.61</c:v>
                </c:pt>
                <c:pt idx="9">
                  <c:v>0.64</c:v>
                </c:pt>
                <c:pt idx="10">
                  <c:v>0.62</c:v>
                </c:pt>
                <c:pt idx="11">
                  <c:v>0.67</c:v>
                </c:pt>
                <c:pt idx="12">
                  <c:v>0.63</c:v>
                </c:pt>
                <c:pt idx="13">
                  <c:v>0.59</c:v>
                </c:pt>
                <c:pt idx="14">
                  <c:v>0.61</c:v>
                </c:pt>
                <c:pt idx="15">
                  <c:v>0.59</c:v>
                </c:pt>
                <c:pt idx="16">
                  <c:v>0.56000000000000005</c:v>
                </c:pt>
                <c:pt idx="17">
                  <c:v>0.56000000000000005</c:v>
                </c:pt>
                <c:pt idx="18">
                  <c:v>0.51</c:v>
                </c:pt>
                <c:pt idx="19">
                  <c:v>0.55000000000000004</c:v>
                </c:pt>
                <c:pt idx="20">
                  <c:v>0.54</c:v>
                </c:pt>
                <c:pt idx="21">
                  <c:v>0.5</c:v>
                </c:pt>
                <c:pt idx="22">
                  <c:v>0.53</c:v>
                </c:pt>
                <c:pt idx="23">
                  <c:v>0.56000000000000005</c:v>
                </c:pt>
                <c:pt idx="24">
                  <c:v>0.55000000000000004</c:v>
                </c:pt>
              </c:numCache>
            </c:numRef>
          </c:val>
          <c:smooth val="0"/>
          <c:extLst>
            <c:ext xmlns:c16="http://schemas.microsoft.com/office/drawing/2014/chart" uri="{C3380CC4-5D6E-409C-BE32-E72D297353CC}">
              <c16:uniqueId val="{00000001-B3BC-4E87-84CA-121E3B0DE8A3}"/>
            </c:ext>
          </c:extLst>
        </c:ser>
        <c:dLbls>
          <c:showLegendKey val="0"/>
          <c:showVal val="0"/>
          <c:showCatName val="0"/>
          <c:showSerName val="0"/>
          <c:showPercent val="0"/>
          <c:showBubbleSize val="0"/>
        </c:dLbls>
        <c:marker val="1"/>
        <c:smooth val="0"/>
        <c:axId val="932218352"/>
        <c:axId val="932219184"/>
      </c:lineChart>
      <c:lineChart>
        <c:grouping val="standard"/>
        <c:varyColors val="0"/>
        <c:ser>
          <c:idx val="0"/>
          <c:order val="2"/>
          <c:tx>
            <c:strRef>
              <c:f>'Figure 2'!$B$2</c:f>
              <c:strCache>
                <c:ptCount val="1"/>
                <c:pt idx="0">
                  <c:v>Internet vacancies index (000's) (RHS)</c:v>
                </c:pt>
              </c:strCache>
            </c:strRef>
          </c:tx>
          <c:spPr>
            <a:ln w="28575" cap="rnd">
              <a:solidFill>
                <a:srgbClr val="012749"/>
              </a:solidFill>
              <a:round/>
            </a:ln>
            <a:effectLst/>
          </c:spPr>
          <c:marker>
            <c:symbol val="none"/>
          </c:marker>
          <c:cat>
            <c:numRef>
              <c:f>'Figure 2'!$A$3:$A$27</c:f>
              <c:numCache>
                <c:formatCode>mmm\-yy</c:formatCode>
                <c:ptCount val="25"/>
                <c:pt idx="0">
                  <c:v>44713</c:v>
                </c:pt>
                <c:pt idx="1">
                  <c:v>44743</c:v>
                </c:pt>
                <c:pt idx="2">
                  <c:v>44774</c:v>
                </c:pt>
                <c:pt idx="3">
                  <c:v>44805</c:v>
                </c:pt>
                <c:pt idx="4">
                  <c:v>44835</c:v>
                </c:pt>
                <c:pt idx="5">
                  <c:v>44866</c:v>
                </c:pt>
                <c:pt idx="6">
                  <c:v>44896</c:v>
                </c:pt>
                <c:pt idx="7">
                  <c:v>44927</c:v>
                </c:pt>
                <c:pt idx="8">
                  <c:v>44958</c:v>
                </c:pt>
                <c:pt idx="9">
                  <c:v>44986</c:v>
                </c:pt>
                <c:pt idx="10">
                  <c:v>45017</c:v>
                </c:pt>
                <c:pt idx="11">
                  <c:v>45047</c:v>
                </c:pt>
                <c:pt idx="12">
                  <c:v>45078</c:v>
                </c:pt>
                <c:pt idx="13">
                  <c:v>45108</c:v>
                </c:pt>
                <c:pt idx="14">
                  <c:v>45139</c:v>
                </c:pt>
                <c:pt idx="15">
                  <c:v>45170</c:v>
                </c:pt>
                <c:pt idx="16">
                  <c:v>45200</c:v>
                </c:pt>
                <c:pt idx="17">
                  <c:v>45231</c:v>
                </c:pt>
                <c:pt idx="18">
                  <c:v>45261</c:v>
                </c:pt>
                <c:pt idx="19">
                  <c:v>45292</c:v>
                </c:pt>
                <c:pt idx="20">
                  <c:v>45323</c:v>
                </c:pt>
                <c:pt idx="21">
                  <c:v>45352</c:v>
                </c:pt>
                <c:pt idx="22">
                  <c:v>45383</c:v>
                </c:pt>
                <c:pt idx="23">
                  <c:v>45413</c:v>
                </c:pt>
                <c:pt idx="24">
                  <c:v>45444</c:v>
                </c:pt>
              </c:numCache>
            </c:numRef>
          </c:cat>
          <c:val>
            <c:numRef>
              <c:f>'Figure 2'!$B$3:$B$27</c:f>
              <c:numCache>
                <c:formatCode>#,##0</c:formatCode>
                <c:ptCount val="25"/>
                <c:pt idx="0">
                  <c:v>303549</c:v>
                </c:pt>
                <c:pt idx="1">
                  <c:v>294516</c:v>
                </c:pt>
                <c:pt idx="2">
                  <c:v>298499</c:v>
                </c:pt>
                <c:pt idx="3">
                  <c:v>284146</c:v>
                </c:pt>
                <c:pt idx="4">
                  <c:v>286882</c:v>
                </c:pt>
                <c:pt idx="5">
                  <c:v>277192</c:v>
                </c:pt>
                <c:pt idx="6">
                  <c:v>276156</c:v>
                </c:pt>
                <c:pt idx="7">
                  <c:v>280979</c:v>
                </c:pt>
                <c:pt idx="8">
                  <c:v>282405</c:v>
                </c:pt>
                <c:pt idx="9">
                  <c:v>280516</c:v>
                </c:pt>
                <c:pt idx="10">
                  <c:v>288906</c:v>
                </c:pt>
                <c:pt idx="11">
                  <c:v>279933</c:v>
                </c:pt>
                <c:pt idx="12">
                  <c:v>276477</c:v>
                </c:pt>
                <c:pt idx="13">
                  <c:v>283182</c:v>
                </c:pt>
                <c:pt idx="14">
                  <c:v>279963</c:v>
                </c:pt>
                <c:pt idx="15">
                  <c:v>271759</c:v>
                </c:pt>
                <c:pt idx="16">
                  <c:v>260337</c:v>
                </c:pt>
                <c:pt idx="17">
                  <c:v>258749</c:v>
                </c:pt>
                <c:pt idx="18">
                  <c:v>259314</c:v>
                </c:pt>
                <c:pt idx="19">
                  <c:v>253339</c:v>
                </c:pt>
                <c:pt idx="20">
                  <c:v>246026</c:v>
                </c:pt>
                <c:pt idx="21">
                  <c:v>244683</c:v>
                </c:pt>
                <c:pt idx="22">
                  <c:v>236489</c:v>
                </c:pt>
                <c:pt idx="23">
                  <c:v>236356</c:v>
                </c:pt>
                <c:pt idx="24">
                  <c:v>226179</c:v>
                </c:pt>
              </c:numCache>
            </c:numRef>
          </c:val>
          <c:smooth val="0"/>
          <c:extLst>
            <c:ext xmlns:c16="http://schemas.microsoft.com/office/drawing/2014/chart" uri="{C3380CC4-5D6E-409C-BE32-E72D297353CC}">
              <c16:uniqueId val="{00000002-B3BC-4E87-84CA-121E3B0DE8A3}"/>
            </c:ext>
          </c:extLst>
        </c:ser>
        <c:dLbls>
          <c:showLegendKey val="0"/>
          <c:showVal val="0"/>
          <c:showCatName val="0"/>
          <c:showSerName val="0"/>
          <c:showPercent val="0"/>
          <c:showBubbleSize val="0"/>
        </c:dLbls>
        <c:marker val="1"/>
        <c:smooth val="0"/>
        <c:axId val="855454288"/>
        <c:axId val="855463856"/>
      </c:lineChart>
      <c:dateAx>
        <c:axId val="932218352"/>
        <c:scaling>
          <c:orientation val="minMax"/>
        </c:scaling>
        <c:delete val="0"/>
        <c:axPos val="b"/>
        <c:numFmt formatCode="mmm\-yy" sourceLinked="1"/>
        <c:majorTickMark val="none"/>
        <c:minorTickMark val="out"/>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2219184"/>
        <c:crosses val="autoZero"/>
        <c:auto val="1"/>
        <c:lblOffset val="100"/>
        <c:baseTimeUnit val="months"/>
        <c:majorUnit val="3"/>
        <c:majorTimeUnit val="months"/>
      </c:dateAx>
      <c:valAx>
        <c:axId val="932219184"/>
        <c:scaling>
          <c:orientation val="minMax"/>
          <c:max val="0.9"/>
          <c:min val="0.30000000000000004"/>
        </c:scaling>
        <c:delete val="0"/>
        <c:axPos val="l"/>
        <c:majorGridlines>
          <c:spPr>
            <a:ln w="9525" cap="flat" cmpd="sng" algn="ctr">
              <a:noFill/>
              <a:round/>
            </a:ln>
            <a:effectLst/>
          </c:spPr>
        </c:majorGridlines>
        <c:numFmt formatCode="0%" sourceLinked="0"/>
        <c:majorTickMark val="out"/>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2218352"/>
        <c:crosses val="autoZero"/>
        <c:crossBetween val="between"/>
      </c:valAx>
      <c:valAx>
        <c:axId val="855463856"/>
        <c:scaling>
          <c:orientation val="minMax"/>
          <c:max val="350000"/>
          <c:min val="200000"/>
        </c:scaling>
        <c:delete val="0"/>
        <c:axPos val="r"/>
        <c:numFmt formatCode="#,##0" sourceLinked="1"/>
        <c:majorTickMark val="out"/>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5454288"/>
        <c:crosses val="max"/>
        <c:crossBetween val="between"/>
        <c:majorUnit val="25000"/>
        <c:dispUnits>
          <c:builtInUnit val="thousands"/>
        </c:dispUnits>
      </c:valAx>
      <c:dateAx>
        <c:axId val="855454288"/>
        <c:scaling>
          <c:orientation val="minMax"/>
        </c:scaling>
        <c:delete val="1"/>
        <c:axPos val="b"/>
        <c:numFmt formatCode="mmm\-yy" sourceLinked="1"/>
        <c:majorTickMark val="out"/>
        <c:minorTickMark val="none"/>
        <c:tickLblPos val="nextTo"/>
        <c:crossAx val="855463856"/>
        <c:crosses val="autoZero"/>
        <c:auto val="1"/>
        <c:lblOffset val="100"/>
        <c:baseTimeUnit val="months"/>
        <c:majorUnit val="1"/>
        <c:minorUnit val="1"/>
      </c:dateAx>
      <c:spPr>
        <a:noFill/>
        <a:ln>
          <a:noFill/>
        </a:ln>
        <a:effectLst/>
      </c:spPr>
    </c:plotArea>
    <c:legend>
      <c:legendPos val="b"/>
      <c:layout>
        <c:manualLayout>
          <c:xMode val="edge"/>
          <c:yMode val="edge"/>
          <c:x val="3.4696587657094671E-2"/>
          <c:y val="0.87850041789288302"/>
          <c:w val="0.90528570912210271"/>
          <c:h val="0.121499582107117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09408696524399"/>
          <c:y val="3.1801166290443945E-2"/>
          <c:w val="0.79808297934331374"/>
          <c:h val="0.66393779784298967"/>
        </c:manualLayout>
      </c:layout>
      <c:lineChart>
        <c:grouping val="standard"/>
        <c:varyColors val="0"/>
        <c:ser>
          <c:idx val="0"/>
          <c:order val="0"/>
          <c:tx>
            <c:strRef>
              <c:f>Graph!$E$2</c:f>
              <c:strCache>
                <c:ptCount val="1"/>
                <c:pt idx="0">
                  <c:v>Monthly hours (million)</c:v>
                </c:pt>
              </c:strCache>
            </c:strRef>
          </c:tx>
          <c:spPr>
            <a:ln w="28575" cap="rnd">
              <a:solidFill>
                <a:srgbClr val="6929C4"/>
              </a:solidFill>
              <a:round/>
            </a:ln>
            <a:effectLst/>
          </c:spPr>
          <c:marker>
            <c:symbol val="none"/>
          </c:marker>
          <c:cat>
            <c:strRef>
              <c:f>Graph!$C$3:$C$27</c:f>
              <c:strCache>
                <c:ptCount val="25"/>
                <c:pt idx="0">
                  <c:v>Jun-22</c:v>
                </c:pt>
                <c:pt idx="1">
                  <c:v>Jul-22</c:v>
                </c:pt>
                <c:pt idx="2">
                  <c:v>Aug-22</c:v>
                </c:pt>
                <c:pt idx="3">
                  <c:v>Sep-22</c:v>
                </c:pt>
                <c:pt idx="4">
                  <c:v>Oct-22</c:v>
                </c:pt>
                <c:pt idx="5">
                  <c:v>Nov-22</c:v>
                </c:pt>
                <c:pt idx="6">
                  <c:v>Dec-22</c:v>
                </c:pt>
                <c:pt idx="7">
                  <c:v>Jan-23</c:v>
                </c:pt>
                <c:pt idx="8">
                  <c:v>Feb-23</c:v>
                </c:pt>
                <c:pt idx="9">
                  <c:v>Mar-23</c:v>
                </c:pt>
                <c:pt idx="10">
                  <c:v>Apr-23</c:v>
                </c:pt>
                <c:pt idx="11">
                  <c:v>May-23</c:v>
                </c:pt>
                <c:pt idx="12">
                  <c:v>Jun-23</c:v>
                </c:pt>
                <c:pt idx="13">
                  <c:v>Jul-23</c:v>
                </c:pt>
                <c:pt idx="14">
                  <c:v>Aug-23</c:v>
                </c:pt>
                <c:pt idx="15">
                  <c:v>Sep-23</c:v>
                </c:pt>
                <c:pt idx="16">
                  <c:v>Oct-23</c:v>
                </c:pt>
                <c:pt idx="17">
                  <c:v>Nov-23</c:v>
                </c:pt>
                <c:pt idx="18">
                  <c:v>Dec-23</c:v>
                </c:pt>
                <c:pt idx="19">
                  <c:v>Jan-24</c:v>
                </c:pt>
                <c:pt idx="20">
                  <c:v>Feb-24</c:v>
                </c:pt>
                <c:pt idx="21">
                  <c:v>Mar-24</c:v>
                </c:pt>
                <c:pt idx="22">
                  <c:v>Apr-24</c:v>
                </c:pt>
                <c:pt idx="23">
                  <c:v>May-24</c:v>
                </c:pt>
                <c:pt idx="24">
                  <c:v>Jun-24</c:v>
                </c:pt>
              </c:strCache>
            </c:strRef>
          </c:cat>
          <c:val>
            <c:numRef>
              <c:f>Graph!$E$3:$E$27</c:f>
              <c:numCache>
                <c:formatCode>#,##0.0</c:formatCode>
                <c:ptCount val="25"/>
                <c:pt idx="0">
                  <c:v>1852.9</c:v>
                </c:pt>
                <c:pt idx="1">
                  <c:v>1848.6</c:v>
                </c:pt>
                <c:pt idx="2">
                  <c:v>1870.6</c:v>
                </c:pt>
                <c:pt idx="3">
                  <c:v>1873.6</c:v>
                </c:pt>
                <c:pt idx="4">
                  <c:v>1901.3</c:v>
                </c:pt>
                <c:pt idx="5">
                  <c:v>1904.4</c:v>
                </c:pt>
                <c:pt idx="6">
                  <c:v>1901.1</c:v>
                </c:pt>
                <c:pt idx="7">
                  <c:v>1868.8</c:v>
                </c:pt>
                <c:pt idx="8">
                  <c:v>1925</c:v>
                </c:pt>
                <c:pt idx="9">
                  <c:v>1931.7</c:v>
                </c:pt>
                <c:pt idx="10">
                  <c:v>1976.1</c:v>
                </c:pt>
                <c:pt idx="11">
                  <c:v>1939.3</c:v>
                </c:pt>
                <c:pt idx="12">
                  <c:v>1942.2</c:v>
                </c:pt>
                <c:pt idx="13">
                  <c:v>1943.5</c:v>
                </c:pt>
                <c:pt idx="14">
                  <c:v>1931.4</c:v>
                </c:pt>
                <c:pt idx="15">
                  <c:v>1923.9</c:v>
                </c:pt>
                <c:pt idx="16">
                  <c:v>1925.4</c:v>
                </c:pt>
                <c:pt idx="17">
                  <c:v>1924.2</c:v>
                </c:pt>
                <c:pt idx="18">
                  <c:v>1916.1</c:v>
                </c:pt>
                <c:pt idx="19">
                  <c:v>1876.4</c:v>
                </c:pt>
                <c:pt idx="20">
                  <c:v>1935.4</c:v>
                </c:pt>
                <c:pt idx="21">
                  <c:v>1956.6</c:v>
                </c:pt>
                <c:pt idx="22">
                  <c:v>1955.5</c:v>
                </c:pt>
                <c:pt idx="23">
                  <c:v>1947.9</c:v>
                </c:pt>
                <c:pt idx="24">
                  <c:v>1953.1</c:v>
                </c:pt>
              </c:numCache>
            </c:numRef>
          </c:val>
          <c:smooth val="0"/>
          <c:extLst>
            <c:ext xmlns:c16="http://schemas.microsoft.com/office/drawing/2014/chart" uri="{C3380CC4-5D6E-409C-BE32-E72D297353CC}">
              <c16:uniqueId val="{00000000-363A-4687-A4C3-F26EDE0A138B}"/>
            </c:ext>
          </c:extLst>
        </c:ser>
        <c:dLbls>
          <c:showLegendKey val="0"/>
          <c:showVal val="0"/>
          <c:showCatName val="0"/>
          <c:showSerName val="0"/>
          <c:showPercent val="0"/>
          <c:showBubbleSize val="0"/>
        </c:dLbls>
        <c:smooth val="0"/>
        <c:axId val="603517583"/>
        <c:axId val="603517103"/>
      </c:lineChart>
      <c:catAx>
        <c:axId val="603517583"/>
        <c:scaling>
          <c:orientation val="minMax"/>
        </c:scaling>
        <c:delete val="0"/>
        <c:axPos val="b"/>
        <c:numFmt formatCode="General" sourceLinked="1"/>
        <c:majorTickMark val="out"/>
        <c:minorTickMark val="none"/>
        <c:tickLblPos val="nextTo"/>
        <c:spPr>
          <a:noFill/>
          <a:ln w="9525" cap="flat" cmpd="sng" algn="ctr">
            <a:solidFill>
              <a:srgbClr val="D9D9D9"/>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03517103"/>
        <c:crosses val="autoZero"/>
        <c:auto val="1"/>
        <c:lblAlgn val="ctr"/>
        <c:lblOffset val="100"/>
        <c:tickLblSkip val="3"/>
        <c:noMultiLvlLbl val="0"/>
      </c:catAx>
      <c:valAx>
        <c:axId val="603517103"/>
        <c:scaling>
          <c:orientation val="minMax"/>
          <c:min val="1840"/>
        </c:scaling>
        <c:delete val="0"/>
        <c:axPos val="l"/>
        <c:numFmt formatCode="#,##0" sourceLinked="0"/>
        <c:majorTickMark val="out"/>
        <c:minorTickMark val="none"/>
        <c:tickLblPos val="nextTo"/>
        <c:spPr>
          <a:noFill/>
          <a:ln>
            <a:solidFill>
              <a:srgbClr val="D9D9D9"/>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03517583"/>
        <c:crosses val="autoZero"/>
        <c:crossBetween val="between"/>
      </c:valAx>
      <c:spPr>
        <a:noFill/>
        <a:ln>
          <a:noFill/>
        </a:ln>
        <a:effectLst/>
      </c:spPr>
    </c:plotArea>
    <c:legend>
      <c:legendPos val="b"/>
      <c:layout>
        <c:manualLayout>
          <c:xMode val="edge"/>
          <c:yMode val="edge"/>
          <c:x val="0.23205572687444487"/>
          <c:y val="0.8570483017980961"/>
          <c:w val="0.65954527495420423"/>
          <c:h val="6.34303143035188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55028236774384"/>
          <c:y val="2.9224364195854828E-2"/>
          <c:w val="0.72539014641231614"/>
          <c:h val="0.66153923235663448"/>
        </c:manualLayout>
      </c:layout>
      <c:barChart>
        <c:barDir val="col"/>
        <c:grouping val="clustered"/>
        <c:varyColors val="0"/>
        <c:ser>
          <c:idx val="1"/>
          <c:order val="0"/>
          <c:tx>
            <c:strRef>
              <c:f>'Figure 3'!$C$1</c:f>
              <c:strCache>
                <c:ptCount val="1"/>
                <c:pt idx="0">
                  <c:v>Employment-to-population ratio (%)</c:v>
                </c:pt>
              </c:strCache>
            </c:strRef>
          </c:tx>
          <c:spPr>
            <a:solidFill>
              <a:srgbClr val="6929C4"/>
            </a:solidFill>
            <a:ln>
              <a:noFill/>
            </a:ln>
            <a:effectLst/>
          </c:spPr>
          <c:invertIfNegative val="0"/>
          <c:cat>
            <c:strRef>
              <c:f>'Figure 3'!$A$2:$A$26</c:f>
              <c:strCache>
                <c:ptCount val="25"/>
                <c:pt idx="0">
                  <c:v>Jun-22</c:v>
                </c:pt>
                <c:pt idx="1">
                  <c:v>Jul-22</c:v>
                </c:pt>
                <c:pt idx="2">
                  <c:v>Aug-22</c:v>
                </c:pt>
                <c:pt idx="3">
                  <c:v>Sep-22</c:v>
                </c:pt>
                <c:pt idx="4">
                  <c:v>Oct-22</c:v>
                </c:pt>
                <c:pt idx="5">
                  <c:v>Nov-22</c:v>
                </c:pt>
                <c:pt idx="6">
                  <c:v>Dec-22</c:v>
                </c:pt>
                <c:pt idx="7">
                  <c:v>Jan-23</c:v>
                </c:pt>
                <c:pt idx="8">
                  <c:v>Feb-23</c:v>
                </c:pt>
                <c:pt idx="9">
                  <c:v>Mar-23</c:v>
                </c:pt>
                <c:pt idx="10">
                  <c:v>Apr-23</c:v>
                </c:pt>
                <c:pt idx="11">
                  <c:v>May-23</c:v>
                </c:pt>
                <c:pt idx="12">
                  <c:v>Jun-23</c:v>
                </c:pt>
                <c:pt idx="13">
                  <c:v>Jul-23</c:v>
                </c:pt>
                <c:pt idx="14">
                  <c:v>Aug-23</c:v>
                </c:pt>
                <c:pt idx="15">
                  <c:v>Sep-23</c:v>
                </c:pt>
                <c:pt idx="16">
                  <c:v>Oct-23</c:v>
                </c:pt>
                <c:pt idx="17">
                  <c:v>Nov-23</c:v>
                </c:pt>
                <c:pt idx="18">
                  <c:v>Dec-23</c:v>
                </c:pt>
                <c:pt idx="19">
                  <c:v>Jan-24</c:v>
                </c:pt>
                <c:pt idx="20">
                  <c:v>Feb-24</c:v>
                </c:pt>
                <c:pt idx="21">
                  <c:v>Mar-24</c:v>
                </c:pt>
                <c:pt idx="22">
                  <c:v>Apr-24</c:v>
                </c:pt>
                <c:pt idx="23">
                  <c:v>May-24</c:v>
                </c:pt>
                <c:pt idx="24">
                  <c:v>Jun-24</c:v>
                </c:pt>
              </c:strCache>
            </c:strRef>
          </c:cat>
          <c:val>
            <c:numRef>
              <c:f>'Figure 3'!$C$2:$C$26</c:f>
              <c:numCache>
                <c:formatCode>0.0%</c:formatCode>
                <c:ptCount val="25"/>
                <c:pt idx="0">
                  <c:v>0.6409999999999999</c:v>
                </c:pt>
                <c:pt idx="1">
                  <c:v>0.63900000000000001</c:v>
                </c:pt>
                <c:pt idx="2">
                  <c:v>0.6409999999999999</c:v>
                </c:pt>
                <c:pt idx="3">
                  <c:v>0.6409999999999999</c:v>
                </c:pt>
                <c:pt idx="4">
                  <c:v>0.6409999999999999</c:v>
                </c:pt>
                <c:pt idx="5">
                  <c:v>0.64300000000000002</c:v>
                </c:pt>
                <c:pt idx="6">
                  <c:v>0.6409999999999999</c:v>
                </c:pt>
                <c:pt idx="7">
                  <c:v>0.64</c:v>
                </c:pt>
                <c:pt idx="8">
                  <c:v>0.6409999999999999</c:v>
                </c:pt>
                <c:pt idx="9">
                  <c:v>0.64300000000000002</c:v>
                </c:pt>
                <c:pt idx="10">
                  <c:v>0.6409999999999999</c:v>
                </c:pt>
                <c:pt idx="11">
                  <c:v>0.64300000000000002</c:v>
                </c:pt>
                <c:pt idx="12">
                  <c:v>0.64300000000000002</c:v>
                </c:pt>
                <c:pt idx="13">
                  <c:v>0.6409999999999999</c:v>
                </c:pt>
                <c:pt idx="14">
                  <c:v>0.64200000000000002</c:v>
                </c:pt>
                <c:pt idx="15">
                  <c:v>0.6409999999999999</c:v>
                </c:pt>
                <c:pt idx="16">
                  <c:v>0.64200000000000002</c:v>
                </c:pt>
                <c:pt idx="17">
                  <c:v>0.64400000000000002</c:v>
                </c:pt>
                <c:pt idx="18">
                  <c:v>0.64</c:v>
                </c:pt>
                <c:pt idx="19">
                  <c:v>0.63900000000000001</c:v>
                </c:pt>
                <c:pt idx="20">
                  <c:v>0.64200000000000002</c:v>
                </c:pt>
                <c:pt idx="21">
                  <c:v>0.64</c:v>
                </c:pt>
                <c:pt idx="22">
                  <c:v>0.6409999999999999</c:v>
                </c:pt>
                <c:pt idx="23">
                  <c:v>0.6409999999999999</c:v>
                </c:pt>
                <c:pt idx="24">
                  <c:v>0.64200000000000002</c:v>
                </c:pt>
              </c:numCache>
            </c:numRef>
          </c:val>
          <c:extLst>
            <c:ext xmlns:c16="http://schemas.microsoft.com/office/drawing/2014/chart" uri="{C3380CC4-5D6E-409C-BE32-E72D297353CC}">
              <c16:uniqueId val="{00000000-F7EB-4588-BB07-BCCBD7BE43C9}"/>
            </c:ext>
          </c:extLst>
        </c:ser>
        <c:dLbls>
          <c:showLegendKey val="0"/>
          <c:showVal val="0"/>
          <c:showCatName val="0"/>
          <c:showSerName val="0"/>
          <c:showPercent val="0"/>
          <c:showBubbleSize val="0"/>
        </c:dLbls>
        <c:gapWidth val="37"/>
        <c:axId val="603517583"/>
        <c:axId val="603517103"/>
      </c:barChart>
      <c:catAx>
        <c:axId val="60351758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03517103"/>
        <c:crosses val="autoZero"/>
        <c:auto val="1"/>
        <c:lblAlgn val="ctr"/>
        <c:lblOffset val="100"/>
        <c:tickLblSkip val="3"/>
        <c:noMultiLvlLbl val="0"/>
      </c:catAx>
      <c:valAx>
        <c:axId val="603517103"/>
        <c:scaling>
          <c:orientation val="minMax"/>
        </c:scaling>
        <c:delete val="0"/>
        <c:axPos val="l"/>
        <c:numFmt formatCode="0.0%" sourceLinked="0"/>
        <c:majorTickMark val="out"/>
        <c:minorTickMark val="none"/>
        <c:tickLblPos val="nextTo"/>
        <c:spPr>
          <a:noFill/>
          <a:ln>
            <a:solidFill>
              <a:srgbClr val="D9D9D9"/>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03517583"/>
        <c:crosses val="autoZero"/>
        <c:crossBetween val="between"/>
      </c:valAx>
      <c:spPr>
        <a:noFill/>
        <a:ln>
          <a:noFill/>
        </a:ln>
        <a:effectLst/>
      </c:spPr>
    </c:plotArea>
    <c:legend>
      <c:legendPos val="b"/>
      <c:layout>
        <c:manualLayout>
          <c:xMode val="edge"/>
          <c:yMode val="edge"/>
          <c:x val="5.5145888310772551E-2"/>
          <c:y val="0.83852561908022372"/>
          <c:w val="0.90378957133327054"/>
          <c:h val="0.101070811419690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929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'Figure 4'!$A$3:$A$6</c:f>
              <c:numCache>
                <c:formatCode>General</c:formatCode>
                <c:ptCount val="4"/>
                <c:pt idx="0">
                  <c:v>2021</c:v>
                </c:pt>
                <c:pt idx="1">
                  <c:v>2022</c:v>
                </c:pt>
                <c:pt idx="2">
                  <c:v>2023</c:v>
                </c:pt>
                <c:pt idx="3">
                  <c:v>2024</c:v>
                </c:pt>
              </c:numCache>
            </c:numRef>
          </c:cat>
          <c:val>
            <c:numRef>
              <c:f>'Figure 4'!$B$3:$B$6</c:f>
              <c:numCache>
                <c:formatCode>0%</c:formatCode>
                <c:ptCount val="4"/>
                <c:pt idx="0">
                  <c:v>0.20681265206812652</c:v>
                </c:pt>
                <c:pt idx="1">
                  <c:v>0.31550218340611352</c:v>
                </c:pt>
                <c:pt idx="2">
                  <c:v>0.36244541484716158</c:v>
                </c:pt>
                <c:pt idx="3">
                  <c:v>0.33078602620087338</c:v>
                </c:pt>
              </c:numCache>
            </c:numRef>
          </c:val>
          <c:extLst>
            <c:ext xmlns:c16="http://schemas.microsoft.com/office/drawing/2014/chart" uri="{C3380CC4-5D6E-409C-BE32-E72D297353CC}">
              <c16:uniqueId val="{00000000-1891-45D9-B9EA-231EEE5B88D9}"/>
            </c:ext>
          </c:extLst>
        </c:ser>
        <c:dLbls>
          <c:showLegendKey val="0"/>
          <c:showVal val="0"/>
          <c:showCatName val="0"/>
          <c:showSerName val="0"/>
          <c:showPercent val="0"/>
          <c:showBubbleSize val="0"/>
        </c:dLbls>
        <c:gapWidth val="100"/>
        <c:axId val="957607392"/>
        <c:axId val="957587232"/>
      </c:barChart>
      <c:catAx>
        <c:axId val="957607392"/>
        <c:scaling>
          <c:orientation val="maxMin"/>
        </c:scaling>
        <c:delete val="0"/>
        <c:axPos val="l"/>
        <c:numFmt formatCode="General" sourceLinked="1"/>
        <c:majorTickMark val="none"/>
        <c:minorTickMark val="none"/>
        <c:tickLblPos val="nextTo"/>
        <c:spPr>
          <a:noFill/>
          <a:ln w="9525" cap="flat" cmpd="sng" algn="ctr">
            <a:solidFill>
              <a:srgbClr val="D9D9D9"/>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57587232"/>
        <c:crosses val="autoZero"/>
        <c:auto val="1"/>
        <c:lblAlgn val="ctr"/>
        <c:lblOffset val="100"/>
        <c:noMultiLvlLbl val="0"/>
      </c:catAx>
      <c:valAx>
        <c:axId val="957587232"/>
        <c:scaling>
          <c:orientation val="minMax"/>
        </c:scaling>
        <c:delete val="0"/>
        <c:axPos val="t"/>
        <c:numFmt formatCode="0%" sourceLinked="1"/>
        <c:majorTickMark val="out"/>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57607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'Figure 6'!$B$9</c:f>
              <c:strCache>
                <c:ptCount val="1"/>
                <c:pt idx="0">
                  <c:v>Applicants per vacancy</c:v>
                </c:pt>
              </c:strCache>
            </c:strRef>
          </c:tx>
          <c:spPr>
            <a:solidFill>
              <a:srgbClr val="6929C4"/>
            </a:solidFill>
            <a:ln>
              <a:solidFill>
                <a:srgbClr val="6929C4"/>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6'!$C$8:$F$8</c:f>
              <c:strCache>
                <c:ptCount val="4"/>
                <c:pt idx="0">
                  <c:v>2020-21</c:v>
                </c:pt>
                <c:pt idx="1">
                  <c:v>2021-22</c:v>
                </c:pt>
                <c:pt idx="2">
                  <c:v>2022-23</c:v>
                </c:pt>
                <c:pt idx="3">
                  <c:v>2023-24</c:v>
                </c:pt>
              </c:strCache>
            </c:strRef>
          </c:cat>
          <c:val>
            <c:numRef>
              <c:f>'Figure 6'!$C$9:$F$9</c:f>
              <c:numCache>
                <c:formatCode>0</c:formatCode>
                <c:ptCount val="4"/>
                <c:pt idx="0">
                  <c:v>13.471428571428572</c:v>
                </c:pt>
                <c:pt idx="1">
                  <c:v>13.611748673074164</c:v>
                </c:pt>
                <c:pt idx="2">
                  <c:v>16.050074434970902</c:v>
                </c:pt>
                <c:pt idx="3">
                  <c:v>24.118688098717325</c:v>
                </c:pt>
              </c:numCache>
            </c:numRef>
          </c:val>
          <c:extLst>
            <c:ext xmlns:c16="http://schemas.microsoft.com/office/drawing/2014/chart" uri="{C3380CC4-5D6E-409C-BE32-E72D297353CC}">
              <c16:uniqueId val="{00000000-0947-4ADB-A9E3-AE150C302AFB}"/>
            </c:ext>
          </c:extLst>
        </c:ser>
        <c:ser>
          <c:idx val="1"/>
          <c:order val="1"/>
          <c:tx>
            <c:strRef>
              <c:f>'Figure 6'!$B$10</c:f>
              <c:strCache>
                <c:ptCount val="1"/>
                <c:pt idx="0">
                  <c:v>Qualified applicants per vacancy</c:v>
                </c:pt>
              </c:strCache>
            </c:strRef>
          </c:tx>
          <c:spPr>
            <a:solidFill>
              <a:srgbClr val="009D9A"/>
            </a:solidFill>
            <a:ln>
              <a:solidFill>
                <a:srgbClr val="009D9A"/>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6'!$C$8:$F$8</c:f>
              <c:strCache>
                <c:ptCount val="4"/>
                <c:pt idx="0">
                  <c:v>2020-21</c:v>
                </c:pt>
                <c:pt idx="1">
                  <c:v>2021-22</c:v>
                </c:pt>
                <c:pt idx="2">
                  <c:v>2022-23</c:v>
                </c:pt>
                <c:pt idx="3">
                  <c:v>2023-24</c:v>
                </c:pt>
              </c:strCache>
            </c:strRef>
          </c:cat>
          <c:val>
            <c:numRef>
              <c:f>'Figure 6'!$C$10:$F$10</c:f>
              <c:numCache>
                <c:formatCode>0</c:formatCode>
                <c:ptCount val="4"/>
                <c:pt idx="0">
                  <c:v>6.574593128390597</c:v>
                </c:pt>
                <c:pt idx="1">
                  <c:v>4.9705010376519416</c:v>
                </c:pt>
                <c:pt idx="2">
                  <c:v>5.6266399025019718</c:v>
                </c:pt>
                <c:pt idx="3">
                  <c:v>7.5498099531512421</c:v>
                </c:pt>
              </c:numCache>
            </c:numRef>
          </c:val>
          <c:extLst>
            <c:ext xmlns:c16="http://schemas.microsoft.com/office/drawing/2014/chart" uri="{C3380CC4-5D6E-409C-BE32-E72D297353CC}">
              <c16:uniqueId val="{00000001-0947-4ADB-A9E3-AE150C302AFB}"/>
            </c:ext>
          </c:extLst>
        </c:ser>
        <c:ser>
          <c:idx val="2"/>
          <c:order val="2"/>
          <c:tx>
            <c:strRef>
              <c:f>'Figure 6'!$B$11</c:f>
              <c:strCache>
                <c:ptCount val="1"/>
                <c:pt idx="0">
                  <c:v>Suitable applicants per vacancy</c:v>
                </c:pt>
              </c:strCache>
            </c:strRef>
          </c:tx>
          <c:spPr>
            <a:solidFill>
              <a:srgbClr val="2C054E"/>
            </a:solidFill>
            <a:ln>
              <a:solidFill>
                <a:srgbClr val="2C054E"/>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6'!$C$8:$F$8</c:f>
              <c:strCache>
                <c:ptCount val="4"/>
                <c:pt idx="0">
                  <c:v>2020-21</c:v>
                </c:pt>
                <c:pt idx="1">
                  <c:v>2021-22</c:v>
                </c:pt>
                <c:pt idx="2">
                  <c:v>2022-23</c:v>
                </c:pt>
                <c:pt idx="3">
                  <c:v>2023-24</c:v>
                </c:pt>
              </c:strCache>
            </c:strRef>
          </c:cat>
          <c:val>
            <c:numRef>
              <c:f>'Figure 6'!$C$11:$F$11</c:f>
              <c:numCache>
                <c:formatCode>0</c:formatCode>
                <c:ptCount val="4"/>
                <c:pt idx="0">
                  <c:v>2.9094866071428571</c:v>
                </c:pt>
                <c:pt idx="1">
                  <c:v>2.2930712953665182</c:v>
                </c:pt>
                <c:pt idx="2">
                  <c:v>2.6067803491676815</c:v>
                </c:pt>
                <c:pt idx="3">
                  <c:v>2.9689884721545705</c:v>
                </c:pt>
              </c:numCache>
            </c:numRef>
          </c:val>
          <c:extLst>
            <c:ext xmlns:c16="http://schemas.microsoft.com/office/drawing/2014/chart" uri="{C3380CC4-5D6E-409C-BE32-E72D297353CC}">
              <c16:uniqueId val="{00000002-0947-4ADB-A9E3-AE150C302AFB}"/>
            </c:ext>
          </c:extLst>
        </c:ser>
        <c:dLbls>
          <c:dLblPos val="outEnd"/>
          <c:showLegendKey val="0"/>
          <c:showVal val="1"/>
          <c:showCatName val="0"/>
          <c:showSerName val="0"/>
          <c:showPercent val="0"/>
          <c:showBubbleSize val="0"/>
        </c:dLbls>
        <c:gapWidth val="219"/>
        <c:overlap val="-27"/>
        <c:axId val="1933459967"/>
        <c:axId val="1933459487"/>
      </c:barChart>
      <c:catAx>
        <c:axId val="193345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459487"/>
        <c:crosses val="autoZero"/>
        <c:auto val="1"/>
        <c:lblAlgn val="ctr"/>
        <c:lblOffset val="100"/>
        <c:noMultiLvlLbl val="0"/>
      </c:catAx>
      <c:valAx>
        <c:axId val="193345948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Applicants</a:t>
                </a:r>
                <a:r>
                  <a:rPr lang="en-AU" baseline="0"/>
                  <a:t> (no.)</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45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711448674952324E-2"/>
          <c:y val="4.0993588332819811E-2"/>
          <c:w val="0.90333697200850482"/>
          <c:h val="0.69545884315906559"/>
        </c:manualLayout>
      </c:layout>
      <c:barChart>
        <c:barDir val="col"/>
        <c:grouping val="clustered"/>
        <c:varyColors val="0"/>
        <c:ser>
          <c:idx val="0"/>
          <c:order val="0"/>
          <c:tx>
            <c:strRef>
              <c:f>'Figure 7'!$B$3</c:f>
              <c:strCache>
                <c:ptCount val="1"/>
                <c:pt idx="0">
                  <c:v>2021</c:v>
                </c:pt>
              </c:strCache>
            </c:strRef>
          </c:tx>
          <c:spPr>
            <a:solidFill>
              <a:srgbClr val="6929C4"/>
            </a:solidFill>
            <a:ln>
              <a:solidFill>
                <a:srgbClr val="6929C4"/>
              </a:solidFill>
            </a:ln>
            <a:effectLst/>
          </c:spPr>
          <c:invertIfNegative val="0"/>
          <c:cat>
            <c:strRef>
              <c:f>'Figure 7'!$A$4:$A$12</c:f>
              <c:strCache>
                <c:ptCount val="9"/>
                <c:pt idx="0">
                  <c:v>Managers</c:v>
                </c:pt>
                <c:pt idx="1">
                  <c:v>Professionals</c:v>
                </c:pt>
                <c:pt idx="2">
                  <c:v>Technicians &amp;
Trades 
Workers</c:v>
                </c:pt>
                <c:pt idx="3">
                  <c:v>Community &amp; Personal 
Service Workers</c:v>
                </c:pt>
                <c:pt idx="4">
                  <c:v>Clerical &amp; Administrative Workers</c:v>
                </c:pt>
                <c:pt idx="5">
                  <c:v>Sales Workers</c:v>
                </c:pt>
                <c:pt idx="6">
                  <c:v>Machinery Operators &amp; Drivers</c:v>
                </c:pt>
                <c:pt idx="7">
                  <c:v>Labourers</c:v>
                </c:pt>
                <c:pt idx="8">
                  <c:v>All occupations</c:v>
                </c:pt>
              </c:strCache>
            </c:strRef>
          </c:cat>
          <c:val>
            <c:numRef>
              <c:f>'Figure 7'!$B$4:$B$12</c:f>
              <c:numCache>
                <c:formatCode>0.0%</c:formatCode>
                <c:ptCount val="9"/>
                <c:pt idx="0">
                  <c:v>0.12643678160919541</c:v>
                </c:pt>
                <c:pt idx="1">
                  <c:v>0.20875420875420875</c:v>
                </c:pt>
                <c:pt idx="2">
                  <c:v>0.44571428571428573</c:v>
                </c:pt>
                <c:pt idx="3">
                  <c:v>8.4337349397590355E-2</c:v>
                </c:pt>
                <c:pt idx="4">
                  <c:v>0</c:v>
                </c:pt>
                <c:pt idx="5">
                  <c:v>0</c:v>
                </c:pt>
                <c:pt idx="6">
                  <c:v>0.17142857142857143</c:v>
                </c:pt>
                <c:pt idx="7">
                  <c:v>0</c:v>
                </c:pt>
                <c:pt idx="8">
                  <c:v>0.20681265206812652</c:v>
                </c:pt>
              </c:numCache>
            </c:numRef>
          </c:val>
          <c:extLst>
            <c:ext xmlns:c16="http://schemas.microsoft.com/office/drawing/2014/chart" uri="{C3380CC4-5D6E-409C-BE32-E72D297353CC}">
              <c16:uniqueId val="{00000000-F5A9-4D65-BDF6-67664B9B67B2}"/>
            </c:ext>
          </c:extLst>
        </c:ser>
        <c:ser>
          <c:idx val="1"/>
          <c:order val="1"/>
          <c:tx>
            <c:strRef>
              <c:f>'Figure 7'!$C$3</c:f>
              <c:strCache>
                <c:ptCount val="1"/>
                <c:pt idx="0">
                  <c:v>2022</c:v>
                </c:pt>
              </c:strCache>
            </c:strRef>
          </c:tx>
          <c:spPr>
            <a:solidFill>
              <a:srgbClr val="009D9A"/>
            </a:solidFill>
            <a:ln>
              <a:solidFill>
                <a:srgbClr val="009D9A"/>
              </a:solidFill>
            </a:ln>
            <a:effectLst/>
          </c:spPr>
          <c:invertIfNegative val="0"/>
          <c:cat>
            <c:strRef>
              <c:f>'Figure 7'!$A$4:$A$12</c:f>
              <c:strCache>
                <c:ptCount val="9"/>
                <c:pt idx="0">
                  <c:v>Managers</c:v>
                </c:pt>
                <c:pt idx="1">
                  <c:v>Professionals</c:v>
                </c:pt>
                <c:pt idx="2">
                  <c:v>Technicians &amp;
Trades 
Workers</c:v>
                </c:pt>
                <c:pt idx="3">
                  <c:v>Community &amp; Personal 
Service Workers</c:v>
                </c:pt>
                <c:pt idx="4">
                  <c:v>Clerical &amp; Administrative Workers</c:v>
                </c:pt>
                <c:pt idx="5">
                  <c:v>Sales Workers</c:v>
                </c:pt>
                <c:pt idx="6">
                  <c:v>Machinery Operators &amp; Drivers</c:v>
                </c:pt>
                <c:pt idx="7">
                  <c:v>Labourers</c:v>
                </c:pt>
                <c:pt idx="8">
                  <c:v>All occupations</c:v>
                </c:pt>
              </c:strCache>
            </c:strRef>
          </c:cat>
          <c:val>
            <c:numRef>
              <c:f>'Figure 7'!$C$4:$C$12</c:f>
              <c:numCache>
                <c:formatCode>0.0%</c:formatCode>
                <c:ptCount val="9"/>
                <c:pt idx="0">
                  <c:v>0.11578947368421053</c:v>
                </c:pt>
                <c:pt idx="1">
                  <c:v>0.38837920489296635</c:v>
                </c:pt>
                <c:pt idx="2">
                  <c:v>0.47317073170731705</c:v>
                </c:pt>
                <c:pt idx="3">
                  <c:v>0.20689655172413793</c:v>
                </c:pt>
                <c:pt idx="4">
                  <c:v>4.6153846153846156E-2</c:v>
                </c:pt>
                <c:pt idx="5">
                  <c:v>4.7619047619047616E-2</c:v>
                </c:pt>
                <c:pt idx="6">
                  <c:v>0.2857142857142857</c:v>
                </c:pt>
                <c:pt idx="7">
                  <c:v>0.25641025641025639</c:v>
                </c:pt>
                <c:pt idx="8">
                  <c:v>0.31550218340611352</c:v>
                </c:pt>
              </c:numCache>
            </c:numRef>
          </c:val>
          <c:extLst>
            <c:ext xmlns:c16="http://schemas.microsoft.com/office/drawing/2014/chart" uri="{C3380CC4-5D6E-409C-BE32-E72D297353CC}">
              <c16:uniqueId val="{00000001-F5A9-4D65-BDF6-67664B9B67B2}"/>
            </c:ext>
          </c:extLst>
        </c:ser>
        <c:ser>
          <c:idx val="2"/>
          <c:order val="2"/>
          <c:tx>
            <c:strRef>
              <c:f>'Figure 7'!$D$3</c:f>
              <c:strCache>
                <c:ptCount val="1"/>
                <c:pt idx="0">
                  <c:v>2023</c:v>
                </c:pt>
              </c:strCache>
            </c:strRef>
          </c:tx>
          <c:spPr>
            <a:solidFill>
              <a:srgbClr val="2C054E"/>
            </a:solidFill>
            <a:ln>
              <a:solidFill>
                <a:srgbClr val="2C054E"/>
              </a:solidFill>
            </a:ln>
            <a:effectLst/>
          </c:spPr>
          <c:invertIfNegative val="0"/>
          <c:cat>
            <c:strRef>
              <c:f>'Figure 7'!$A$4:$A$12</c:f>
              <c:strCache>
                <c:ptCount val="9"/>
                <c:pt idx="0">
                  <c:v>Managers</c:v>
                </c:pt>
                <c:pt idx="1">
                  <c:v>Professionals</c:v>
                </c:pt>
                <c:pt idx="2">
                  <c:v>Technicians &amp;
Trades 
Workers</c:v>
                </c:pt>
                <c:pt idx="3">
                  <c:v>Community &amp; Personal 
Service Workers</c:v>
                </c:pt>
                <c:pt idx="4">
                  <c:v>Clerical &amp; Administrative Workers</c:v>
                </c:pt>
                <c:pt idx="5">
                  <c:v>Sales Workers</c:v>
                </c:pt>
                <c:pt idx="6">
                  <c:v>Machinery Operators &amp; Drivers</c:v>
                </c:pt>
                <c:pt idx="7">
                  <c:v>Labourers</c:v>
                </c:pt>
                <c:pt idx="8">
                  <c:v>All occupations</c:v>
                </c:pt>
              </c:strCache>
            </c:strRef>
          </c:cat>
          <c:val>
            <c:numRef>
              <c:f>'Figure 7'!$D$4:$D$12</c:f>
              <c:numCache>
                <c:formatCode>0.0%</c:formatCode>
                <c:ptCount val="9"/>
                <c:pt idx="0">
                  <c:v>8.4210526315789472E-2</c:v>
                </c:pt>
                <c:pt idx="1">
                  <c:v>0.4801223241590214</c:v>
                </c:pt>
                <c:pt idx="2">
                  <c:v>0.4975609756097561</c:v>
                </c:pt>
                <c:pt idx="3">
                  <c:v>0.2413793103448276</c:v>
                </c:pt>
                <c:pt idx="4">
                  <c:v>6.1538461538461542E-2</c:v>
                </c:pt>
                <c:pt idx="5">
                  <c:v>0</c:v>
                </c:pt>
                <c:pt idx="6">
                  <c:v>0.33766233766233766</c:v>
                </c:pt>
                <c:pt idx="7">
                  <c:v>0.35897435897435898</c:v>
                </c:pt>
                <c:pt idx="8">
                  <c:v>0.36244541484716158</c:v>
                </c:pt>
              </c:numCache>
            </c:numRef>
          </c:val>
          <c:extLst>
            <c:ext xmlns:c16="http://schemas.microsoft.com/office/drawing/2014/chart" uri="{C3380CC4-5D6E-409C-BE32-E72D297353CC}">
              <c16:uniqueId val="{00000002-F5A9-4D65-BDF6-67664B9B67B2}"/>
            </c:ext>
          </c:extLst>
        </c:ser>
        <c:ser>
          <c:idx val="3"/>
          <c:order val="3"/>
          <c:tx>
            <c:strRef>
              <c:f>'Figure 7'!$E$3</c:f>
              <c:strCache>
                <c:ptCount val="1"/>
                <c:pt idx="0">
                  <c:v>2024</c:v>
                </c:pt>
              </c:strCache>
            </c:strRef>
          </c:tx>
          <c:spPr>
            <a:solidFill>
              <a:srgbClr val="EE538B"/>
            </a:solidFill>
            <a:ln>
              <a:solidFill>
                <a:srgbClr val="EE538B"/>
              </a:solidFill>
            </a:ln>
            <a:effectLst/>
          </c:spPr>
          <c:invertIfNegative val="0"/>
          <c:cat>
            <c:strRef>
              <c:f>'Figure 7'!$A$4:$A$12</c:f>
              <c:strCache>
                <c:ptCount val="9"/>
                <c:pt idx="0">
                  <c:v>Managers</c:v>
                </c:pt>
                <c:pt idx="1">
                  <c:v>Professionals</c:v>
                </c:pt>
                <c:pt idx="2">
                  <c:v>Technicians &amp;
Trades 
Workers</c:v>
                </c:pt>
                <c:pt idx="3">
                  <c:v>Community &amp; Personal 
Service Workers</c:v>
                </c:pt>
                <c:pt idx="4">
                  <c:v>Clerical &amp; Administrative Workers</c:v>
                </c:pt>
                <c:pt idx="5">
                  <c:v>Sales Workers</c:v>
                </c:pt>
                <c:pt idx="6">
                  <c:v>Machinery Operators &amp; Drivers</c:v>
                </c:pt>
                <c:pt idx="7">
                  <c:v>Labourers</c:v>
                </c:pt>
                <c:pt idx="8">
                  <c:v>All occupations</c:v>
                </c:pt>
              </c:strCache>
            </c:strRef>
          </c:cat>
          <c:val>
            <c:numRef>
              <c:f>'Figure 7'!$E$4:$E$12</c:f>
              <c:numCache>
                <c:formatCode>0.0%</c:formatCode>
                <c:ptCount val="9"/>
                <c:pt idx="0">
                  <c:v>5.2631578947368418E-2</c:v>
                </c:pt>
                <c:pt idx="1">
                  <c:v>0.44954128440366975</c:v>
                </c:pt>
                <c:pt idx="2">
                  <c:v>0.5024390243902439</c:v>
                </c:pt>
                <c:pt idx="3">
                  <c:v>0.2413793103448276</c:v>
                </c:pt>
                <c:pt idx="4">
                  <c:v>3.0769230769230771E-2</c:v>
                </c:pt>
                <c:pt idx="5">
                  <c:v>0</c:v>
                </c:pt>
                <c:pt idx="6">
                  <c:v>0.23376623376623376</c:v>
                </c:pt>
                <c:pt idx="7">
                  <c:v>0.17948717948717949</c:v>
                </c:pt>
                <c:pt idx="8">
                  <c:v>0.33078602620087338</c:v>
                </c:pt>
              </c:numCache>
            </c:numRef>
          </c:val>
          <c:extLst>
            <c:ext xmlns:c16="http://schemas.microsoft.com/office/drawing/2014/chart" uri="{C3380CC4-5D6E-409C-BE32-E72D297353CC}">
              <c16:uniqueId val="{00000003-F5A9-4D65-BDF6-67664B9B67B2}"/>
            </c:ext>
          </c:extLst>
        </c:ser>
        <c:dLbls>
          <c:showLegendKey val="0"/>
          <c:showVal val="0"/>
          <c:showCatName val="0"/>
          <c:showSerName val="0"/>
          <c:showPercent val="0"/>
          <c:showBubbleSize val="0"/>
        </c:dLbls>
        <c:gapWidth val="219"/>
        <c:overlap val="-27"/>
        <c:axId val="631538848"/>
        <c:axId val="631539328"/>
      </c:barChart>
      <c:catAx>
        <c:axId val="63153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31539328"/>
        <c:crosses val="autoZero"/>
        <c:auto val="1"/>
        <c:lblAlgn val="ctr"/>
        <c:lblOffset val="100"/>
        <c:noMultiLvlLbl val="0"/>
      </c:catAx>
      <c:valAx>
        <c:axId val="631539328"/>
        <c:scaling>
          <c:orientation val="minMax"/>
        </c:scaling>
        <c:delete val="0"/>
        <c:axPos val="l"/>
        <c:numFmt formatCode="0%" sourceLinked="0"/>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53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Sheet3!$D$58</c:f>
              <c:strCache>
                <c:ptCount val="1"/>
                <c:pt idx="0">
                  <c:v>Difference</c:v>
                </c:pt>
              </c:strCache>
            </c:strRef>
          </c:tx>
          <c:spPr>
            <a:solidFill>
              <a:srgbClr val="6929C4"/>
            </a:solidFill>
            <a:ln>
              <a:solidFill>
                <a:srgbClr val="6929C4"/>
              </a:solidFill>
            </a:ln>
            <a:effectLst/>
          </c:spPr>
          <c:invertIfNegative val="0"/>
          <c:dPt>
            <c:idx val="0"/>
            <c:invertIfNegative val="0"/>
            <c:bubble3D val="0"/>
            <c:spPr>
              <a:solidFill>
                <a:srgbClr val="6929C4"/>
              </a:solidFill>
              <a:ln>
                <a:solidFill>
                  <a:srgbClr val="6929C4"/>
                </a:solidFill>
              </a:ln>
              <a:effectLst/>
            </c:spPr>
            <c:extLst>
              <c:ext xmlns:c16="http://schemas.microsoft.com/office/drawing/2014/chart" uri="{C3380CC4-5D6E-409C-BE32-E72D297353CC}">
                <c16:uniqueId val="{00000001-2B69-4B18-A7D8-EF61AF9790AB}"/>
              </c:ext>
            </c:extLst>
          </c:dPt>
          <c:cat>
            <c:numRef>
              <c:f>Sheet3!$A$59:$A$105</c:f>
              <c:numCache>
                <c:formatCode>mmm\-yy</c:formatCode>
                <c:ptCount val="47"/>
                <c:pt idx="0">
                  <c:v>44044</c:v>
                </c:pt>
                <c:pt idx="1">
                  <c:v>44075</c:v>
                </c:pt>
                <c:pt idx="2">
                  <c:v>44105</c:v>
                </c:pt>
                <c:pt idx="3">
                  <c:v>44136</c:v>
                </c:pt>
                <c:pt idx="4">
                  <c:v>44166</c:v>
                </c:pt>
                <c:pt idx="5">
                  <c:v>44197</c:v>
                </c:pt>
                <c:pt idx="6">
                  <c:v>44228</c:v>
                </c:pt>
                <c:pt idx="7">
                  <c:v>44256</c:v>
                </c:pt>
                <c:pt idx="8">
                  <c:v>44287</c:v>
                </c:pt>
                <c:pt idx="9">
                  <c:v>44317</c:v>
                </c:pt>
                <c:pt idx="10">
                  <c:v>44348</c:v>
                </c:pt>
                <c:pt idx="11">
                  <c:v>44378</c:v>
                </c:pt>
                <c:pt idx="12">
                  <c:v>44409</c:v>
                </c:pt>
                <c:pt idx="13">
                  <c:v>44440</c:v>
                </c:pt>
                <c:pt idx="14">
                  <c:v>44470</c:v>
                </c:pt>
                <c:pt idx="15">
                  <c:v>44501</c:v>
                </c:pt>
                <c:pt idx="16">
                  <c:v>44531</c:v>
                </c:pt>
                <c:pt idx="17">
                  <c:v>44562</c:v>
                </c:pt>
                <c:pt idx="18">
                  <c:v>44593</c:v>
                </c:pt>
                <c:pt idx="19">
                  <c:v>44621</c:v>
                </c:pt>
                <c:pt idx="20">
                  <c:v>44652</c:v>
                </c:pt>
                <c:pt idx="21">
                  <c:v>44682</c:v>
                </c:pt>
                <c:pt idx="22">
                  <c:v>44713</c:v>
                </c:pt>
                <c:pt idx="23">
                  <c:v>44743</c:v>
                </c:pt>
                <c:pt idx="24">
                  <c:v>44774</c:v>
                </c:pt>
                <c:pt idx="25">
                  <c:v>44805</c:v>
                </c:pt>
                <c:pt idx="26">
                  <c:v>44835</c:v>
                </c:pt>
                <c:pt idx="27">
                  <c:v>44866</c:v>
                </c:pt>
                <c:pt idx="28">
                  <c:v>44896</c:v>
                </c:pt>
                <c:pt idx="29">
                  <c:v>44927</c:v>
                </c:pt>
                <c:pt idx="30">
                  <c:v>44958</c:v>
                </c:pt>
                <c:pt idx="31">
                  <c:v>44986</c:v>
                </c:pt>
                <c:pt idx="32">
                  <c:v>45017</c:v>
                </c:pt>
                <c:pt idx="33">
                  <c:v>45047</c:v>
                </c:pt>
                <c:pt idx="34">
                  <c:v>45078</c:v>
                </c:pt>
                <c:pt idx="35">
                  <c:v>45108</c:v>
                </c:pt>
                <c:pt idx="36">
                  <c:v>45139</c:v>
                </c:pt>
                <c:pt idx="37">
                  <c:v>45170</c:v>
                </c:pt>
                <c:pt idx="38">
                  <c:v>45200</c:v>
                </c:pt>
                <c:pt idx="39">
                  <c:v>45231</c:v>
                </c:pt>
                <c:pt idx="40">
                  <c:v>45261</c:v>
                </c:pt>
                <c:pt idx="41">
                  <c:v>45292</c:v>
                </c:pt>
                <c:pt idx="42">
                  <c:v>45323</c:v>
                </c:pt>
                <c:pt idx="43">
                  <c:v>45352</c:v>
                </c:pt>
                <c:pt idx="44">
                  <c:v>45383</c:v>
                </c:pt>
                <c:pt idx="45">
                  <c:v>45413</c:v>
                </c:pt>
                <c:pt idx="46">
                  <c:v>45444</c:v>
                </c:pt>
              </c:numCache>
            </c:numRef>
          </c:cat>
          <c:val>
            <c:numRef>
              <c:f>Sheet3!$D$59:$D$105</c:f>
              <c:numCache>
                <c:formatCode>0%</c:formatCode>
                <c:ptCount val="47"/>
                <c:pt idx="0">
                  <c:v>0.11973394222816558</c:v>
                </c:pt>
                <c:pt idx="1">
                  <c:v>0.12382875539213239</c:v>
                </c:pt>
                <c:pt idx="2">
                  <c:v>0.12070311499260616</c:v>
                </c:pt>
                <c:pt idx="3">
                  <c:v>0.11694915758312119</c:v>
                </c:pt>
                <c:pt idx="4">
                  <c:v>0.11402049038524947</c:v>
                </c:pt>
                <c:pt idx="5">
                  <c:v>0.11546648818013422</c:v>
                </c:pt>
                <c:pt idx="6">
                  <c:v>0.1197022883293769</c:v>
                </c:pt>
                <c:pt idx="7">
                  <c:v>0.12198610789415887</c:v>
                </c:pt>
                <c:pt idx="8">
                  <c:v>0.12309655586251161</c:v>
                </c:pt>
                <c:pt idx="9">
                  <c:v>0.12222463602785655</c:v>
                </c:pt>
                <c:pt idx="10">
                  <c:v>0.11809759678538467</c:v>
                </c:pt>
                <c:pt idx="11">
                  <c:v>0.11204644824107723</c:v>
                </c:pt>
                <c:pt idx="12">
                  <c:v>0.10505355473881184</c:v>
                </c:pt>
                <c:pt idx="13">
                  <c:v>9.7892825489190594E-2</c:v>
                </c:pt>
                <c:pt idx="14">
                  <c:v>9.0232145139223285E-2</c:v>
                </c:pt>
                <c:pt idx="15">
                  <c:v>8.269707214939459E-2</c:v>
                </c:pt>
                <c:pt idx="16">
                  <c:v>7.3833940081279748E-2</c:v>
                </c:pt>
                <c:pt idx="17">
                  <c:v>6.4671609235608996E-2</c:v>
                </c:pt>
                <c:pt idx="18">
                  <c:v>5.9689870671844614E-2</c:v>
                </c:pt>
                <c:pt idx="19">
                  <c:v>6.4382853100644177E-2</c:v>
                </c:pt>
                <c:pt idx="20">
                  <c:v>7.5297562314009303E-2</c:v>
                </c:pt>
                <c:pt idx="21">
                  <c:v>8.1227938692922219E-2</c:v>
                </c:pt>
                <c:pt idx="22">
                  <c:v>8.4002937909942954E-2</c:v>
                </c:pt>
                <c:pt idx="23">
                  <c:v>8.5960383629721249E-2</c:v>
                </c:pt>
                <c:pt idx="24">
                  <c:v>8.9034749633981392E-2</c:v>
                </c:pt>
                <c:pt idx="25">
                  <c:v>9.2580162307189129E-2</c:v>
                </c:pt>
                <c:pt idx="26">
                  <c:v>9.7801897872342503E-2</c:v>
                </c:pt>
                <c:pt idx="27">
                  <c:v>0.10349895649074747</c:v>
                </c:pt>
                <c:pt idx="28">
                  <c:v>0.11084911679410714</c:v>
                </c:pt>
                <c:pt idx="29">
                  <c:v>0.1206773549461243</c:v>
                </c:pt>
                <c:pt idx="30">
                  <c:v>0.12811120026153222</c:v>
                </c:pt>
                <c:pt idx="31">
                  <c:v>0.13230835287558851</c:v>
                </c:pt>
                <c:pt idx="32">
                  <c:v>0.13850610948979336</c:v>
                </c:pt>
                <c:pt idx="33">
                  <c:v>0.14904540217996198</c:v>
                </c:pt>
                <c:pt idx="34">
                  <c:v>0.16527722308972714</c:v>
                </c:pt>
                <c:pt idx="35">
                  <c:v>0.18327537507022806</c:v>
                </c:pt>
                <c:pt idx="36">
                  <c:v>0.19708461759286833</c:v>
                </c:pt>
                <c:pt idx="37">
                  <c:v>0.20451692891142231</c:v>
                </c:pt>
                <c:pt idx="38">
                  <c:v>0.20616299166974461</c:v>
                </c:pt>
                <c:pt idx="39">
                  <c:v>0.20330148790563651</c:v>
                </c:pt>
                <c:pt idx="40">
                  <c:v>0.20121632181146343</c:v>
                </c:pt>
                <c:pt idx="41">
                  <c:v>0.20657058004709838</c:v>
                </c:pt>
                <c:pt idx="42">
                  <c:v>0.22044291513838066</c:v>
                </c:pt>
                <c:pt idx="43">
                  <c:v>0.23791034378027981</c:v>
                </c:pt>
                <c:pt idx="44">
                  <c:v>0.25501111403019938</c:v>
                </c:pt>
                <c:pt idx="45">
                  <c:v>0.27149096601215555</c:v>
                </c:pt>
                <c:pt idx="46">
                  <c:v>0.29079470134369406</c:v>
                </c:pt>
              </c:numCache>
            </c:numRef>
          </c:val>
          <c:extLst>
            <c:ext xmlns:c16="http://schemas.microsoft.com/office/drawing/2014/chart" uri="{C3380CC4-5D6E-409C-BE32-E72D297353CC}">
              <c16:uniqueId val="{00000002-2B69-4B18-A7D8-EF61AF9790AB}"/>
            </c:ext>
          </c:extLst>
        </c:ser>
        <c:dLbls>
          <c:showLegendKey val="0"/>
          <c:showVal val="0"/>
          <c:showCatName val="0"/>
          <c:showSerName val="0"/>
          <c:showPercent val="0"/>
          <c:showBubbleSize val="0"/>
        </c:dLbls>
        <c:gapWidth val="150"/>
        <c:axId val="1848926336"/>
        <c:axId val="1351307408"/>
      </c:barChart>
      <c:lineChart>
        <c:grouping val="standard"/>
        <c:varyColors val="0"/>
        <c:ser>
          <c:idx val="0"/>
          <c:order val="0"/>
          <c:tx>
            <c:strRef>
              <c:f>Sheet3!$B$58</c:f>
              <c:strCache>
                <c:ptCount val="1"/>
                <c:pt idx="0">
                  <c:v>Higher skilled</c:v>
                </c:pt>
              </c:strCache>
            </c:strRef>
          </c:tx>
          <c:spPr>
            <a:ln w="28575" cap="rnd">
              <a:solidFill>
                <a:srgbClr val="009D9A"/>
              </a:solidFill>
              <a:round/>
            </a:ln>
            <a:effectLst/>
          </c:spPr>
          <c:marker>
            <c:symbol val="none"/>
          </c:marker>
          <c:cat>
            <c:numRef>
              <c:f>Sheet3!$A$59:$A$105</c:f>
              <c:numCache>
                <c:formatCode>mmm\-yy</c:formatCode>
                <c:ptCount val="47"/>
                <c:pt idx="0">
                  <c:v>44044</c:v>
                </c:pt>
                <c:pt idx="1">
                  <c:v>44075</c:v>
                </c:pt>
                <c:pt idx="2">
                  <c:v>44105</c:v>
                </c:pt>
                <c:pt idx="3">
                  <c:v>44136</c:v>
                </c:pt>
                <c:pt idx="4">
                  <c:v>44166</c:v>
                </c:pt>
                <c:pt idx="5">
                  <c:v>44197</c:v>
                </c:pt>
                <c:pt idx="6">
                  <c:v>44228</c:v>
                </c:pt>
                <c:pt idx="7">
                  <c:v>44256</c:v>
                </c:pt>
                <c:pt idx="8">
                  <c:v>44287</c:v>
                </c:pt>
                <c:pt idx="9">
                  <c:v>44317</c:v>
                </c:pt>
                <c:pt idx="10">
                  <c:v>44348</c:v>
                </c:pt>
                <c:pt idx="11">
                  <c:v>44378</c:v>
                </c:pt>
                <c:pt idx="12">
                  <c:v>44409</c:v>
                </c:pt>
                <c:pt idx="13">
                  <c:v>44440</c:v>
                </c:pt>
                <c:pt idx="14">
                  <c:v>44470</c:v>
                </c:pt>
                <c:pt idx="15">
                  <c:v>44501</c:v>
                </c:pt>
                <c:pt idx="16">
                  <c:v>44531</c:v>
                </c:pt>
                <c:pt idx="17">
                  <c:v>44562</c:v>
                </c:pt>
                <c:pt idx="18">
                  <c:v>44593</c:v>
                </c:pt>
                <c:pt idx="19">
                  <c:v>44621</c:v>
                </c:pt>
                <c:pt idx="20">
                  <c:v>44652</c:v>
                </c:pt>
                <c:pt idx="21">
                  <c:v>44682</c:v>
                </c:pt>
                <c:pt idx="22">
                  <c:v>44713</c:v>
                </c:pt>
                <c:pt idx="23">
                  <c:v>44743</c:v>
                </c:pt>
                <c:pt idx="24">
                  <c:v>44774</c:v>
                </c:pt>
                <c:pt idx="25">
                  <c:v>44805</c:v>
                </c:pt>
                <c:pt idx="26">
                  <c:v>44835</c:v>
                </c:pt>
                <c:pt idx="27">
                  <c:v>44866</c:v>
                </c:pt>
                <c:pt idx="28">
                  <c:v>44896</c:v>
                </c:pt>
                <c:pt idx="29">
                  <c:v>44927</c:v>
                </c:pt>
                <c:pt idx="30">
                  <c:v>44958</c:v>
                </c:pt>
                <c:pt idx="31">
                  <c:v>44986</c:v>
                </c:pt>
                <c:pt idx="32">
                  <c:v>45017</c:v>
                </c:pt>
                <c:pt idx="33">
                  <c:v>45047</c:v>
                </c:pt>
                <c:pt idx="34">
                  <c:v>45078</c:v>
                </c:pt>
                <c:pt idx="35">
                  <c:v>45108</c:v>
                </c:pt>
                <c:pt idx="36">
                  <c:v>45139</c:v>
                </c:pt>
                <c:pt idx="37">
                  <c:v>45170</c:v>
                </c:pt>
                <c:pt idx="38">
                  <c:v>45200</c:v>
                </c:pt>
                <c:pt idx="39">
                  <c:v>45231</c:v>
                </c:pt>
                <c:pt idx="40">
                  <c:v>45261</c:v>
                </c:pt>
                <c:pt idx="41">
                  <c:v>45292</c:v>
                </c:pt>
                <c:pt idx="42">
                  <c:v>45323</c:v>
                </c:pt>
                <c:pt idx="43">
                  <c:v>45352</c:v>
                </c:pt>
                <c:pt idx="44">
                  <c:v>45383</c:v>
                </c:pt>
                <c:pt idx="45">
                  <c:v>45413</c:v>
                </c:pt>
                <c:pt idx="46">
                  <c:v>45444</c:v>
                </c:pt>
              </c:numCache>
            </c:numRef>
          </c:cat>
          <c:val>
            <c:numRef>
              <c:f>Sheet3!$B$59:$B$105</c:f>
              <c:numCache>
                <c:formatCode>0%</c:formatCode>
                <c:ptCount val="47"/>
                <c:pt idx="0">
                  <c:v>0.51902759942146182</c:v>
                </c:pt>
                <c:pt idx="1">
                  <c:v>0.50734161851041704</c:v>
                </c:pt>
                <c:pt idx="2">
                  <c:v>0.49368668079272687</c:v>
                </c:pt>
                <c:pt idx="3">
                  <c:v>0.4791180914231033</c:v>
                </c:pt>
                <c:pt idx="4">
                  <c:v>0.46784196436450293</c:v>
                </c:pt>
                <c:pt idx="5">
                  <c:v>0.47199300359412066</c:v>
                </c:pt>
                <c:pt idx="6">
                  <c:v>0.49709752832017168</c:v>
                </c:pt>
                <c:pt idx="7">
                  <c:v>0.53042118232089486</c:v>
                </c:pt>
                <c:pt idx="8">
                  <c:v>0.55751572138081218</c:v>
                </c:pt>
                <c:pt idx="9">
                  <c:v>0.5731126548429134</c:v>
                </c:pt>
                <c:pt idx="10">
                  <c:v>0.58111361340581746</c:v>
                </c:pt>
                <c:pt idx="11">
                  <c:v>0.58668514401884309</c:v>
                </c:pt>
                <c:pt idx="12">
                  <c:v>0.59065821744687486</c:v>
                </c:pt>
                <c:pt idx="13">
                  <c:v>0.59595497311933432</c:v>
                </c:pt>
                <c:pt idx="14">
                  <c:v>0.60687516048817669</c:v>
                </c:pt>
                <c:pt idx="15">
                  <c:v>0.62032135344922257</c:v>
                </c:pt>
                <c:pt idx="16">
                  <c:v>0.63342967854069832</c:v>
                </c:pt>
                <c:pt idx="17">
                  <c:v>0.64795542942894535</c:v>
                </c:pt>
                <c:pt idx="18">
                  <c:v>0.66351904537095374</c:v>
                </c:pt>
                <c:pt idx="19">
                  <c:v>0.68403665635730304</c:v>
                </c:pt>
                <c:pt idx="20">
                  <c:v>0.70810431758003711</c:v>
                </c:pt>
                <c:pt idx="21">
                  <c:v>0.72689840218120183</c:v>
                </c:pt>
                <c:pt idx="22">
                  <c:v>0.74108057708092379</c:v>
                </c:pt>
                <c:pt idx="23">
                  <c:v>0.75086478318191829</c:v>
                </c:pt>
                <c:pt idx="24">
                  <c:v>0.75683504766467247</c:v>
                </c:pt>
                <c:pt idx="25">
                  <c:v>0.75547866264506558</c:v>
                </c:pt>
                <c:pt idx="26">
                  <c:v>0.74713956037615681</c:v>
                </c:pt>
                <c:pt idx="27">
                  <c:v>0.72986447248681796</c:v>
                </c:pt>
                <c:pt idx="28">
                  <c:v>0.70818029887489753</c:v>
                </c:pt>
                <c:pt idx="29">
                  <c:v>0.69428183369352048</c:v>
                </c:pt>
                <c:pt idx="30">
                  <c:v>0.69284816955487483</c:v>
                </c:pt>
                <c:pt idx="31">
                  <c:v>0.6976171614037685</c:v>
                </c:pt>
                <c:pt idx="32">
                  <c:v>0.70505763422787315</c:v>
                </c:pt>
                <c:pt idx="33">
                  <c:v>0.71153629209012159</c:v>
                </c:pt>
                <c:pt idx="34">
                  <c:v>0.71371139062329592</c:v>
                </c:pt>
                <c:pt idx="35">
                  <c:v>0.71039609278292037</c:v>
                </c:pt>
                <c:pt idx="36">
                  <c:v>0.70292321889930487</c:v>
                </c:pt>
                <c:pt idx="37">
                  <c:v>0.69281492642878051</c:v>
                </c:pt>
                <c:pt idx="38">
                  <c:v>0.67995536885325314</c:v>
                </c:pt>
                <c:pt idx="39">
                  <c:v>0.66369101257090102</c:v>
                </c:pt>
                <c:pt idx="40">
                  <c:v>0.64715682885789549</c:v>
                </c:pt>
                <c:pt idx="41">
                  <c:v>0.63548858252997964</c:v>
                </c:pt>
                <c:pt idx="42">
                  <c:v>0.63542538111272118</c:v>
                </c:pt>
                <c:pt idx="43">
                  <c:v>0.64511011522077766</c:v>
                </c:pt>
                <c:pt idx="44">
                  <c:v>0.65866974749858231</c:v>
                </c:pt>
                <c:pt idx="45">
                  <c:v>0.67307138892799301</c:v>
                </c:pt>
                <c:pt idx="46">
                  <c:v>0.69349034360030382</c:v>
                </c:pt>
              </c:numCache>
            </c:numRef>
          </c:val>
          <c:smooth val="0"/>
          <c:extLst>
            <c:ext xmlns:c16="http://schemas.microsoft.com/office/drawing/2014/chart" uri="{C3380CC4-5D6E-409C-BE32-E72D297353CC}">
              <c16:uniqueId val="{00000003-2B69-4B18-A7D8-EF61AF9790AB}"/>
            </c:ext>
          </c:extLst>
        </c:ser>
        <c:ser>
          <c:idx val="1"/>
          <c:order val="1"/>
          <c:tx>
            <c:strRef>
              <c:f>Sheet3!$C$58</c:f>
              <c:strCache>
                <c:ptCount val="1"/>
                <c:pt idx="0">
                  <c:v>Lower skilled</c:v>
                </c:pt>
              </c:strCache>
            </c:strRef>
          </c:tx>
          <c:spPr>
            <a:ln w="28575" cap="rnd">
              <a:solidFill>
                <a:srgbClr val="012749"/>
              </a:solidFill>
              <a:round/>
            </a:ln>
            <a:effectLst/>
          </c:spPr>
          <c:marker>
            <c:symbol val="none"/>
          </c:marker>
          <c:cat>
            <c:numRef>
              <c:f>Sheet3!$A$59:$A$105</c:f>
              <c:numCache>
                <c:formatCode>mmm\-yy</c:formatCode>
                <c:ptCount val="47"/>
                <c:pt idx="0">
                  <c:v>44044</c:v>
                </c:pt>
                <c:pt idx="1">
                  <c:v>44075</c:v>
                </c:pt>
                <c:pt idx="2">
                  <c:v>44105</c:v>
                </c:pt>
                <c:pt idx="3">
                  <c:v>44136</c:v>
                </c:pt>
                <c:pt idx="4">
                  <c:v>44166</c:v>
                </c:pt>
                <c:pt idx="5">
                  <c:v>44197</c:v>
                </c:pt>
                <c:pt idx="6">
                  <c:v>44228</c:v>
                </c:pt>
                <c:pt idx="7">
                  <c:v>44256</c:v>
                </c:pt>
                <c:pt idx="8">
                  <c:v>44287</c:v>
                </c:pt>
                <c:pt idx="9">
                  <c:v>44317</c:v>
                </c:pt>
                <c:pt idx="10">
                  <c:v>44348</c:v>
                </c:pt>
                <c:pt idx="11">
                  <c:v>44378</c:v>
                </c:pt>
                <c:pt idx="12">
                  <c:v>44409</c:v>
                </c:pt>
                <c:pt idx="13">
                  <c:v>44440</c:v>
                </c:pt>
                <c:pt idx="14">
                  <c:v>44470</c:v>
                </c:pt>
                <c:pt idx="15">
                  <c:v>44501</c:v>
                </c:pt>
                <c:pt idx="16">
                  <c:v>44531</c:v>
                </c:pt>
                <c:pt idx="17">
                  <c:v>44562</c:v>
                </c:pt>
                <c:pt idx="18">
                  <c:v>44593</c:v>
                </c:pt>
                <c:pt idx="19">
                  <c:v>44621</c:v>
                </c:pt>
                <c:pt idx="20">
                  <c:v>44652</c:v>
                </c:pt>
                <c:pt idx="21">
                  <c:v>44682</c:v>
                </c:pt>
                <c:pt idx="22">
                  <c:v>44713</c:v>
                </c:pt>
                <c:pt idx="23">
                  <c:v>44743</c:v>
                </c:pt>
                <c:pt idx="24">
                  <c:v>44774</c:v>
                </c:pt>
                <c:pt idx="25">
                  <c:v>44805</c:v>
                </c:pt>
                <c:pt idx="26">
                  <c:v>44835</c:v>
                </c:pt>
                <c:pt idx="27">
                  <c:v>44866</c:v>
                </c:pt>
                <c:pt idx="28">
                  <c:v>44896</c:v>
                </c:pt>
                <c:pt idx="29">
                  <c:v>44927</c:v>
                </c:pt>
                <c:pt idx="30">
                  <c:v>44958</c:v>
                </c:pt>
                <c:pt idx="31">
                  <c:v>44986</c:v>
                </c:pt>
                <c:pt idx="32">
                  <c:v>45017</c:v>
                </c:pt>
                <c:pt idx="33">
                  <c:v>45047</c:v>
                </c:pt>
                <c:pt idx="34">
                  <c:v>45078</c:v>
                </c:pt>
                <c:pt idx="35">
                  <c:v>45108</c:v>
                </c:pt>
                <c:pt idx="36">
                  <c:v>45139</c:v>
                </c:pt>
                <c:pt idx="37">
                  <c:v>45170</c:v>
                </c:pt>
                <c:pt idx="38">
                  <c:v>45200</c:v>
                </c:pt>
                <c:pt idx="39">
                  <c:v>45231</c:v>
                </c:pt>
                <c:pt idx="40">
                  <c:v>45261</c:v>
                </c:pt>
                <c:pt idx="41">
                  <c:v>45292</c:v>
                </c:pt>
                <c:pt idx="42">
                  <c:v>45323</c:v>
                </c:pt>
                <c:pt idx="43">
                  <c:v>45352</c:v>
                </c:pt>
                <c:pt idx="44">
                  <c:v>45383</c:v>
                </c:pt>
                <c:pt idx="45">
                  <c:v>45413</c:v>
                </c:pt>
                <c:pt idx="46">
                  <c:v>45444</c:v>
                </c:pt>
              </c:numCache>
            </c:numRef>
          </c:cat>
          <c:val>
            <c:numRef>
              <c:f>Sheet3!$C$59:$C$105</c:f>
              <c:numCache>
                <c:formatCode>0%</c:formatCode>
                <c:ptCount val="47"/>
                <c:pt idx="0">
                  <c:v>0.39929365719329624</c:v>
                </c:pt>
                <c:pt idx="1">
                  <c:v>0.38351286311828464</c:v>
                </c:pt>
                <c:pt idx="2">
                  <c:v>0.37298356580012071</c:v>
                </c:pt>
                <c:pt idx="3">
                  <c:v>0.36216893383998211</c:v>
                </c:pt>
                <c:pt idx="4">
                  <c:v>0.35382147397925345</c:v>
                </c:pt>
                <c:pt idx="5">
                  <c:v>0.35652651541398644</c:v>
                </c:pt>
                <c:pt idx="6">
                  <c:v>0.37739523999079477</c:v>
                </c:pt>
                <c:pt idx="7">
                  <c:v>0.40843507442673599</c:v>
                </c:pt>
                <c:pt idx="8">
                  <c:v>0.43441916551830057</c:v>
                </c:pt>
                <c:pt idx="9">
                  <c:v>0.45088801881505686</c:v>
                </c:pt>
                <c:pt idx="10">
                  <c:v>0.46301601662043279</c:v>
                </c:pt>
                <c:pt idx="11">
                  <c:v>0.47463869577776585</c:v>
                </c:pt>
                <c:pt idx="12">
                  <c:v>0.48560466270806302</c:v>
                </c:pt>
                <c:pt idx="13">
                  <c:v>0.49806214763014373</c:v>
                </c:pt>
                <c:pt idx="14">
                  <c:v>0.5166430153489534</c:v>
                </c:pt>
                <c:pt idx="15">
                  <c:v>0.53762428129982798</c:v>
                </c:pt>
                <c:pt idx="16">
                  <c:v>0.55959573845941857</c:v>
                </c:pt>
                <c:pt idx="17">
                  <c:v>0.58328382019333636</c:v>
                </c:pt>
                <c:pt idx="18">
                  <c:v>0.60382917469910913</c:v>
                </c:pt>
                <c:pt idx="19">
                  <c:v>0.61965380325665886</c:v>
                </c:pt>
                <c:pt idx="20">
                  <c:v>0.63280675526602781</c:v>
                </c:pt>
                <c:pt idx="21">
                  <c:v>0.64567046348827961</c:v>
                </c:pt>
                <c:pt idx="22">
                  <c:v>0.65707763917098083</c:v>
                </c:pt>
                <c:pt idx="23">
                  <c:v>0.66490439955219705</c:v>
                </c:pt>
                <c:pt idx="24">
                  <c:v>0.66780029803069108</c:v>
                </c:pt>
                <c:pt idx="25">
                  <c:v>0.66289850033787645</c:v>
                </c:pt>
                <c:pt idx="26">
                  <c:v>0.64933766250381431</c:v>
                </c:pt>
                <c:pt idx="27">
                  <c:v>0.62636551599607049</c:v>
                </c:pt>
                <c:pt idx="28">
                  <c:v>0.59733118208079039</c:v>
                </c:pt>
                <c:pt idx="29">
                  <c:v>0.57360447874739617</c:v>
                </c:pt>
                <c:pt idx="30">
                  <c:v>0.56473696929334261</c:v>
                </c:pt>
                <c:pt idx="31">
                  <c:v>0.56530880852818</c:v>
                </c:pt>
                <c:pt idx="32">
                  <c:v>0.56655152473807979</c:v>
                </c:pt>
                <c:pt idx="33">
                  <c:v>0.56249088991015961</c:v>
                </c:pt>
                <c:pt idx="34">
                  <c:v>0.54843416753356877</c:v>
                </c:pt>
                <c:pt idx="35">
                  <c:v>0.52712071771269231</c:v>
                </c:pt>
                <c:pt idx="36">
                  <c:v>0.50583860130643654</c:v>
                </c:pt>
                <c:pt idx="37">
                  <c:v>0.4882979975173582</c:v>
                </c:pt>
                <c:pt idx="38">
                  <c:v>0.47379237718350853</c:v>
                </c:pt>
                <c:pt idx="39">
                  <c:v>0.4603895246652645</c:v>
                </c:pt>
                <c:pt idx="40">
                  <c:v>0.44594050704643207</c:v>
                </c:pt>
                <c:pt idx="41">
                  <c:v>0.42891800248288126</c:v>
                </c:pt>
                <c:pt idx="42">
                  <c:v>0.41498246597434052</c:v>
                </c:pt>
                <c:pt idx="43">
                  <c:v>0.40719977144049785</c:v>
                </c:pt>
                <c:pt idx="44">
                  <c:v>0.40365863346838293</c:v>
                </c:pt>
                <c:pt idx="45">
                  <c:v>0.40158042291583745</c:v>
                </c:pt>
                <c:pt idx="46">
                  <c:v>0.40269564225660975</c:v>
                </c:pt>
              </c:numCache>
            </c:numRef>
          </c:val>
          <c:smooth val="0"/>
          <c:extLst>
            <c:ext xmlns:c16="http://schemas.microsoft.com/office/drawing/2014/chart" uri="{C3380CC4-5D6E-409C-BE32-E72D297353CC}">
              <c16:uniqueId val="{00000004-2B69-4B18-A7D8-EF61AF9790AB}"/>
            </c:ext>
          </c:extLst>
        </c:ser>
        <c:dLbls>
          <c:showLegendKey val="0"/>
          <c:showVal val="0"/>
          <c:showCatName val="0"/>
          <c:showSerName val="0"/>
          <c:showPercent val="0"/>
          <c:showBubbleSize val="0"/>
        </c:dLbls>
        <c:marker val="1"/>
        <c:smooth val="0"/>
        <c:axId val="1848926336"/>
        <c:axId val="1351307408"/>
      </c:lineChart>
      <c:dateAx>
        <c:axId val="184892633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1307408"/>
        <c:crosses val="autoZero"/>
        <c:auto val="1"/>
        <c:lblOffset val="100"/>
        <c:baseTimeUnit val="months"/>
      </c:dateAx>
      <c:valAx>
        <c:axId val="1351307408"/>
        <c:scaling>
          <c:orientation val="minMax"/>
        </c:scaling>
        <c:delete val="0"/>
        <c:axPos val="l"/>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892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'Figure 9'!$B$24</c:f>
              <c:strCache>
                <c:ptCount val="1"/>
                <c:pt idx="0">
                  <c:v>2021</c:v>
                </c:pt>
              </c:strCache>
            </c:strRef>
          </c:tx>
          <c:spPr>
            <a:solidFill>
              <a:srgbClr val="6929C4"/>
            </a:solidFill>
            <a:ln>
              <a:solidFill>
                <a:srgbClr val="6929C4"/>
              </a:solidFill>
            </a:ln>
            <a:effectLst/>
          </c:spPr>
          <c:invertIfNegative val="0"/>
          <c:dLbls>
            <c:dLbl>
              <c:idx val="0"/>
              <c:layout>
                <c:manualLayout>
                  <c:x val="-4.4518642181413572E-3"/>
                  <c:y val="-7.591354678074032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E51-46DB-9E6C-BAEAF5BDE2A9}"/>
                </c:ext>
              </c:extLst>
            </c:dLbl>
            <c:dLbl>
              <c:idx val="1"/>
              <c:layout>
                <c:manualLayout>
                  <c:x val="-6.677796327212061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E51-46DB-9E6C-BAEAF5BDE2A9}"/>
                </c:ext>
              </c:extLst>
            </c:dLbl>
            <c:dLbl>
              <c:idx val="2"/>
              <c:layout>
                <c:manualLayout>
                  <c:x val="-4.4518642181414284E-3"/>
                  <c:y val="-1.897838669518508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E51-46DB-9E6C-BAEAF5BDE2A9}"/>
                </c:ext>
              </c:extLst>
            </c:dLbl>
            <c:dLbl>
              <c:idx val="4"/>
              <c:layout>
                <c:manualLayout>
                  <c:x val="-6.6777963272121833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E51-46DB-9E6C-BAEAF5BDE2A9}"/>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9'!$A$25:$A$29</c:f>
              <c:strCache>
                <c:ptCount val="5"/>
                <c:pt idx="0">
                  <c:v>Skill Level 1</c:v>
                </c:pt>
                <c:pt idx="1">
                  <c:v>Skill Level 2</c:v>
                </c:pt>
                <c:pt idx="2">
                  <c:v>Skill Level 3</c:v>
                </c:pt>
                <c:pt idx="3">
                  <c:v>Skill Level 4</c:v>
                </c:pt>
                <c:pt idx="4">
                  <c:v>All occupations</c:v>
                </c:pt>
              </c:strCache>
            </c:strRef>
          </c:cat>
          <c:val>
            <c:numRef>
              <c:f>'Figure 9'!$B$25:$B$29</c:f>
              <c:numCache>
                <c:formatCode>0.0%</c:formatCode>
                <c:ptCount val="5"/>
                <c:pt idx="0">
                  <c:v>0.20797720797720798</c:v>
                </c:pt>
                <c:pt idx="1">
                  <c:v>0.11504424778761062</c:v>
                </c:pt>
                <c:pt idx="2">
                  <c:v>0.39080459770114945</c:v>
                </c:pt>
                <c:pt idx="3">
                  <c:v>8.6956521739130432E-2</c:v>
                </c:pt>
                <c:pt idx="4">
                  <c:v>0.20681265206812652</c:v>
                </c:pt>
              </c:numCache>
            </c:numRef>
          </c:val>
          <c:extLst>
            <c:ext xmlns:c16="http://schemas.microsoft.com/office/drawing/2014/chart" uri="{C3380CC4-5D6E-409C-BE32-E72D297353CC}">
              <c16:uniqueId val="{00000000-6E51-46DB-9E6C-BAEAF5BDE2A9}"/>
            </c:ext>
          </c:extLst>
        </c:ser>
        <c:ser>
          <c:idx val="1"/>
          <c:order val="1"/>
          <c:tx>
            <c:strRef>
              <c:f>'Figure 9'!$C$24</c:f>
              <c:strCache>
                <c:ptCount val="1"/>
                <c:pt idx="0">
                  <c:v>2022</c:v>
                </c:pt>
              </c:strCache>
            </c:strRef>
          </c:tx>
          <c:spPr>
            <a:solidFill>
              <a:srgbClr val="009D9A"/>
            </a:solidFill>
            <a:ln>
              <a:solidFill>
                <a:srgbClr val="009D9A"/>
              </a:solidFill>
            </a:ln>
            <a:effectLst/>
          </c:spPr>
          <c:invertIfNegative val="0"/>
          <c:dLbls>
            <c:dLbl>
              <c:idx val="0"/>
              <c:layout>
                <c:manualLayout>
                  <c:x val="-6.677796327212020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E51-46DB-9E6C-BAEAF5BDE2A9}"/>
                </c:ext>
              </c:extLst>
            </c:dLbl>
            <c:dLbl>
              <c:idx val="1"/>
              <c:layout>
                <c:manualLayout>
                  <c:x val="-6.677796327212061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E51-46DB-9E6C-BAEAF5BDE2A9}"/>
                </c:ext>
              </c:extLst>
            </c:dLbl>
            <c:dLbl>
              <c:idx val="2"/>
              <c:layout>
                <c:manualLayout>
                  <c:x val="-1.7747514448840807E-2"/>
                  <c:y val="-4.7445966737962706E-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51-46DB-9E6C-BAEAF5BDE2A9}"/>
                </c:ext>
              </c:extLst>
            </c:dLbl>
            <c:dLbl>
              <c:idx val="3"/>
              <c:layout>
                <c:manualLayout>
                  <c:x val="-1.112966054535344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E51-46DB-9E6C-BAEAF5BDE2A9}"/>
                </c:ext>
              </c:extLst>
            </c:dLbl>
            <c:dLbl>
              <c:idx val="4"/>
              <c:layout>
                <c:manualLayout>
                  <c:x val="-6.677796327212020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E51-46DB-9E6C-BAEAF5BDE2A9}"/>
                </c:ext>
              </c:extLst>
            </c:dLbl>
            <c:numFmt formatCode="0%" sourceLinked="0"/>
            <c:spPr>
              <a:noFill/>
              <a:ln>
                <a:noFill/>
              </a:ln>
              <a:effectLst/>
            </c:spPr>
            <c:txPr>
              <a:bodyPr rot="0" spcFirstLastPara="1" vertOverflow="ellipsis" vert="horz" wrap="square" lIns="38100" tIns="19050" rIns="360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'Figure 9'!$A$25:$A$29</c:f>
              <c:strCache>
                <c:ptCount val="5"/>
                <c:pt idx="0">
                  <c:v>Skill Level 1</c:v>
                </c:pt>
                <c:pt idx="1">
                  <c:v>Skill Level 2</c:v>
                </c:pt>
                <c:pt idx="2">
                  <c:v>Skill Level 3</c:v>
                </c:pt>
                <c:pt idx="3">
                  <c:v>Skill Level 4</c:v>
                </c:pt>
                <c:pt idx="4">
                  <c:v>All occupations</c:v>
                </c:pt>
              </c:strCache>
            </c:strRef>
          </c:cat>
          <c:val>
            <c:numRef>
              <c:f>'Figure 9'!$C$25:$C$29</c:f>
              <c:numCache>
                <c:formatCode>0.0%</c:formatCode>
                <c:ptCount val="5"/>
                <c:pt idx="0">
                  <c:v>0.35064935064935066</c:v>
                </c:pt>
                <c:pt idx="1">
                  <c:v>0.1889763779527559</c:v>
                </c:pt>
                <c:pt idx="2">
                  <c:v>0.46938775510204084</c:v>
                </c:pt>
                <c:pt idx="3">
                  <c:v>0.18269230769230768</c:v>
                </c:pt>
                <c:pt idx="4">
                  <c:v>0.31550218340611352</c:v>
                </c:pt>
              </c:numCache>
            </c:numRef>
          </c:val>
          <c:extLst>
            <c:ext xmlns:c16="http://schemas.microsoft.com/office/drawing/2014/chart" uri="{C3380CC4-5D6E-409C-BE32-E72D297353CC}">
              <c16:uniqueId val="{00000002-6E51-46DB-9E6C-BAEAF5BDE2A9}"/>
            </c:ext>
          </c:extLst>
        </c:ser>
        <c:ser>
          <c:idx val="2"/>
          <c:order val="2"/>
          <c:tx>
            <c:strRef>
              <c:f>'Figure 9'!$D$24</c:f>
              <c:strCache>
                <c:ptCount val="1"/>
                <c:pt idx="0">
                  <c:v>2023</c:v>
                </c:pt>
              </c:strCache>
            </c:strRef>
          </c:tx>
          <c:spPr>
            <a:solidFill>
              <a:srgbClr val="2C054E"/>
            </a:solidFill>
            <a:ln>
              <a:solidFill>
                <a:srgbClr val="2C054E"/>
              </a:solidFill>
            </a:ln>
            <a:effectLst/>
          </c:spPr>
          <c:invertIfNegative val="0"/>
          <c:dLbls>
            <c:dLbl>
              <c:idx val="2"/>
              <c:layout>
                <c:manualLayout>
                  <c:x val="-4.421893006279056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51-46DB-9E6C-BAEAF5BDE2A9}"/>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 9'!$A$25:$A$29</c:f>
              <c:strCache>
                <c:ptCount val="5"/>
                <c:pt idx="0">
                  <c:v>Skill Level 1</c:v>
                </c:pt>
                <c:pt idx="1">
                  <c:v>Skill Level 2</c:v>
                </c:pt>
                <c:pt idx="2">
                  <c:v>Skill Level 3</c:v>
                </c:pt>
                <c:pt idx="3">
                  <c:v>Skill Level 4</c:v>
                </c:pt>
                <c:pt idx="4">
                  <c:v>All occupations</c:v>
                </c:pt>
              </c:strCache>
            </c:strRef>
          </c:cat>
          <c:val>
            <c:numRef>
              <c:f>'Figure 9'!$D$25:$D$29</c:f>
              <c:numCache>
                <c:formatCode>0.0%</c:formatCode>
                <c:ptCount val="5"/>
                <c:pt idx="0">
                  <c:v>0.42077922077922075</c:v>
                </c:pt>
                <c:pt idx="1">
                  <c:v>0.24409448818897639</c:v>
                </c:pt>
                <c:pt idx="2">
                  <c:v>0.46938775510204084</c:v>
                </c:pt>
                <c:pt idx="3">
                  <c:v>0.22596153846153846</c:v>
                </c:pt>
                <c:pt idx="4">
                  <c:v>0.36244541484716158</c:v>
                </c:pt>
              </c:numCache>
            </c:numRef>
          </c:val>
          <c:extLst>
            <c:ext xmlns:c16="http://schemas.microsoft.com/office/drawing/2014/chart" uri="{C3380CC4-5D6E-409C-BE32-E72D297353CC}">
              <c16:uniqueId val="{00000004-6E51-46DB-9E6C-BAEAF5BDE2A9}"/>
            </c:ext>
          </c:extLst>
        </c:ser>
        <c:ser>
          <c:idx val="3"/>
          <c:order val="3"/>
          <c:tx>
            <c:strRef>
              <c:f>'Figure 9'!$E$24</c:f>
              <c:strCache>
                <c:ptCount val="1"/>
                <c:pt idx="0">
                  <c:v>2024</c:v>
                </c:pt>
              </c:strCache>
            </c:strRef>
          </c:tx>
          <c:spPr>
            <a:solidFill>
              <a:srgbClr val="EE538B"/>
            </a:solidFill>
            <a:ln>
              <a:solidFill>
                <a:srgbClr val="EE538B"/>
              </a:solidFill>
            </a:ln>
            <a:effectLst/>
          </c:spPr>
          <c:invertIfNegative val="0"/>
          <c:dLbls>
            <c:dLbl>
              <c:idx val="0"/>
              <c:layout>
                <c:manualLayout>
                  <c:x val="1.3355592654424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E51-46DB-9E6C-BAEAF5BDE2A9}"/>
                </c:ext>
              </c:extLst>
            </c:dLbl>
            <c:dLbl>
              <c:idx val="1"/>
              <c:layout>
                <c:manualLayout>
                  <c:x val="1.7794136333959924E-2"/>
                  <c:y val="-8.96692261293425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51-46DB-9E6C-BAEAF5BDE2A9}"/>
                </c:ext>
              </c:extLst>
            </c:dLbl>
            <c:dLbl>
              <c:idx val="2"/>
              <c:layout>
                <c:manualLayout>
                  <c:x val="1.5581524763494713E-2"/>
                  <c:y val="-4.7445966737962706E-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E51-46DB-9E6C-BAEAF5BDE2A9}"/>
                </c:ext>
              </c:extLst>
            </c:dLbl>
            <c:dLbl>
              <c:idx val="3"/>
              <c:layout>
                <c:manualLayout>
                  <c:x val="6.6777963272120202E-3"/>
                  <c:y val="-7.591354678074032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E51-46DB-9E6C-BAEAF5BDE2A9}"/>
                </c:ext>
              </c:extLst>
            </c:dLbl>
            <c:dLbl>
              <c:idx val="4"/>
              <c:layout>
                <c:manualLayout>
                  <c:x val="1.112966054535336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51-46DB-9E6C-BAEAF5BDE2A9}"/>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9'!$A$25:$A$29</c:f>
              <c:strCache>
                <c:ptCount val="5"/>
                <c:pt idx="0">
                  <c:v>Skill Level 1</c:v>
                </c:pt>
                <c:pt idx="1">
                  <c:v>Skill Level 2</c:v>
                </c:pt>
                <c:pt idx="2">
                  <c:v>Skill Level 3</c:v>
                </c:pt>
                <c:pt idx="3">
                  <c:v>Skill Level 4</c:v>
                </c:pt>
                <c:pt idx="4">
                  <c:v>All occupations</c:v>
                </c:pt>
              </c:strCache>
            </c:strRef>
          </c:cat>
          <c:val>
            <c:numRef>
              <c:f>'Figure 9'!$E$25:$E$29</c:f>
              <c:numCache>
                <c:formatCode>0.0%</c:formatCode>
                <c:ptCount val="5"/>
                <c:pt idx="0">
                  <c:v>0.39220779220779223</c:v>
                </c:pt>
                <c:pt idx="1">
                  <c:v>0.23622047244094488</c:v>
                </c:pt>
                <c:pt idx="2">
                  <c:v>0.45918367346938777</c:v>
                </c:pt>
                <c:pt idx="3">
                  <c:v>0.15384615384615385</c:v>
                </c:pt>
                <c:pt idx="4">
                  <c:v>0.33078602620087338</c:v>
                </c:pt>
              </c:numCache>
            </c:numRef>
          </c:val>
          <c:extLst>
            <c:ext xmlns:c16="http://schemas.microsoft.com/office/drawing/2014/chart" uri="{C3380CC4-5D6E-409C-BE32-E72D297353CC}">
              <c16:uniqueId val="{00000006-6E51-46DB-9E6C-BAEAF5BDE2A9}"/>
            </c:ext>
          </c:extLst>
        </c:ser>
        <c:dLbls>
          <c:dLblPos val="outEnd"/>
          <c:showLegendKey val="0"/>
          <c:showVal val="1"/>
          <c:showCatName val="0"/>
          <c:showSerName val="0"/>
          <c:showPercent val="0"/>
          <c:showBubbleSize val="0"/>
        </c:dLbls>
        <c:gapWidth val="219"/>
        <c:overlap val="-27"/>
        <c:axId val="957614112"/>
        <c:axId val="957615072"/>
      </c:barChart>
      <c:catAx>
        <c:axId val="9576141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7615072"/>
        <c:crosses val="autoZero"/>
        <c:auto val="1"/>
        <c:lblAlgn val="ctr"/>
        <c:lblOffset val="100"/>
        <c:noMultiLvlLbl val="0"/>
      </c:catAx>
      <c:valAx>
        <c:axId val="957615072"/>
        <c:scaling>
          <c:orientation val="minMax"/>
        </c:scaling>
        <c:delete val="0"/>
        <c:axPos val="l"/>
        <c:numFmt formatCode="0%" sourceLinked="0"/>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761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9DFC8D38-B756-4966-9B4C-FBDFF17AB6AA}">
    <t:Anchor>
      <t:Comment id="111913565"/>
    </t:Anchor>
    <t:History>
      <t:Event id="{577D43B5-E512-4176-8045-EAAF60470020}" time="2024-08-23T21:39:33.083Z">
        <t:Attribution userId="S::Roy.Soliman@jobsandskills.gov.au::61042384-bd43-4311-8376-c08ca1b54740" userProvider="AD" userName="SOLIMAN,Roy"/>
        <t:Anchor>
          <t:Comment id="111913565"/>
        </t:Anchor>
        <t:Create/>
      </t:Event>
      <t:Event id="{B7AAD570-9D83-4928-850E-4483B896BBE4}" time="2024-08-23T21:39:33.083Z">
        <t:Attribution userId="S::Roy.Soliman@jobsandskills.gov.au::61042384-bd43-4311-8376-c08ca1b54740" userProvider="AD" userName="SOLIMAN,Roy"/>
        <t:Anchor>
          <t:Comment id="111913565"/>
        </t:Anchor>
        <t:Assign userId="S::Annie.Wei@jobsandskills.gov.au::e11f8c70-8838-48f0-8429-9b164ce5325c" userProvider="AD" userName="WEI,Annie"/>
      </t:Event>
      <t:Event id="{26E79588-DE94-4F00-B3FA-1DB88E5AC148}" time="2024-08-23T21:39:33.083Z">
        <t:Attribution userId="S::Roy.Soliman@jobsandskills.gov.au::61042384-bd43-4311-8376-c08ca1b54740" userProvider="AD" userName="SOLIMAN,Roy"/>
        <t:Anchor>
          <t:Comment id="111913565"/>
        </t:Anchor>
        <t:SetTitle title="@WEI,Annie (227,523 - 277,293)/227,500 = 17.9%"/>
      </t:Event>
      <t:Event id="{FF8793F6-F945-4701-AB38-F78A574E2BDD}" time="2024-08-27T00:33:45.882Z">
        <t:Attribution userId="S::Annie.Wei@jobsandskills.gov.au::e11f8c70-8838-48f0-8429-9b164ce5325c" userProvider="AD" userName="WEI,Annie"/>
        <t:Progress percentComplete="100"/>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2C445EDE30F41718968622BBF37206F"/>
        <w:category>
          <w:name w:val="General"/>
          <w:gallery w:val="placeholder"/>
        </w:category>
        <w:types>
          <w:type w:val="bbPlcHdr"/>
        </w:types>
        <w:behaviors>
          <w:behavior w:val="content"/>
        </w:behaviors>
        <w:guid w:val="{3EFA744C-5BA9-4043-A6A3-D22DD1691B9B}"/>
      </w:docPartPr>
      <w:docPartBody>
        <w:p w:rsidR="005A0B81" w:rsidRDefault="005A0B81">
          <w:r w:rsidRPr="000A0CC2">
            <w:rPr>
              <w:rStyle w:val="PlaceholderText"/>
            </w:rPr>
            <w:t>[Title]</w:t>
          </w:r>
        </w:p>
      </w:docPartBody>
    </w:docPart>
    <w:docPart>
      <w:docPartPr>
        <w:name w:val="E4DB317D2DA340B1AF9BACDEE3AB05B6"/>
        <w:category>
          <w:name w:val="General"/>
          <w:gallery w:val="placeholder"/>
        </w:category>
        <w:types>
          <w:type w:val="bbPlcHdr"/>
        </w:types>
        <w:behaviors>
          <w:behavior w:val="content"/>
        </w:behaviors>
        <w:guid w:val="{46A77693-D3E8-468C-B253-5FB8596E7280}"/>
      </w:docPartPr>
      <w:docPartBody>
        <w:p w:rsidR="00C337DD" w:rsidRDefault="00C337DD">
          <w:r w:rsidRPr="00322167">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B81"/>
    <w:rsid w:val="00026632"/>
    <w:rsid w:val="00063921"/>
    <w:rsid w:val="00094178"/>
    <w:rsid w:val="000A21DB"/>
    <w:rsid w:val="000C3CB7"/>
    <w:rsid w:val="00124D9A"/>
    <w:rsid w:val="00146C9F"/>
    <w:rsid w:val="00164BC8"/>
    <w:rsid w:val="00182F20"/>
    <w:rsid w:val="001937B5"/>
    <w:rsid w:val="001C2625"/>
    <w:rsid w:val="001F7C26"/>
    <w:rsid w:val="00254EF1"/>
    <w:rsid w:val="00265FAD"/>
    <w:rsid w:val="00271743"/>
    <w:rsid w:val="002754E5"/>
    <w:rsid w:val="00292219"/>
    <w:rsid w:val="002E3069"/>
    <w:rsid w:val="002E45A7"/>
    <w:rsid w:val="003149F5"/>
    <w:rsid w:val="003435B5"/>
    <w:rsid w:val="00344CBD"/>
    <w:rsid w:val="00360EEA"/>
    <w:rsid w:val="003745A6"/>
    <w:rsid w:val="00384583"/>
    <w:rsid w:val="003A68A8"/>
    <w:rsid w:val="003B4035"/>
    <w:rsid w:val="00426ABE"/>
    <w:rsid w:val="00475DED"/>
    <w:rsid w:val="00563859"/>
    <w:rsid w:val="00594A46"/>
    <w:rsid w:val="0059527D"/>
    <w:rsid w:val="005A0B81"/>
    <w:rsid w:val="005A606D"/>
    <w:rsid w:val="005A6BB0"/>
    <w:rsid w:val="005F1070"/>
    <w:rsid w:val="00601064"/>
    <w:rsid w:val="00613044"/>
    <w:rsid w:val="0061622E"/>
    <w:rsid w:val="00632713"/>
    <w:rsid w:val="0066452D"/>
    <w:rsid w:val="00675C46"/>
    <w:rsid w:val="00691D84"/>
    <w:rsid w:val="006B481C"/>
    <w:rsid w:val="006C1805"/>
    <w:rsid w:val="006E7D92"/>
    <w:rsid w:val="007245E2"/>
    <w:rsid w:val="0073197A"/>
    <w:rsid w:val="00777657"/>
    <w:rsid w:val="00796710"/>
    <w:rsid w:val="007A3E3A"/>
    <w:rsid w:val="007C6C81"/>
    <w:rsid w:val="007E53D3"/>
    <w:rsid w:val="00803A61"/>
    <w:rsid w:val="00803AEF"/>
    <w:rsid w:val="00804F06"/>
    <w:rsid w:val="008118A3"/>
    <w:rsid w:val="008564E0"/>
    <w:rsid w:val="00875C6E"/>
    <w:rsid w:val="008A324F"/>
    <w:rsid w:val="009000E6"/>
    <w:rsid w:val="00930265"/>
    <w:rsid w:val="009454EC"/>
    <w:rsid w:val="009468C1"/>
    <w:rsid w:val="0097062C"/>
    <w:rsid w:val="00980859"/>
    <w:rsid w:val="009E5329"/>
    <w:rsid w:val="00A15C36"/>
    <w:rsid w:val="00A20A30"/>
    <w:rsid w:val="00A374AB"/>
    <w:rsid w:val="00A4604A"/>
    <w:rsid w:val="00A5248C"/>
    <w:rsid w:val="00A9251E"/>
    <w:rsid w:val="00AE1708"/>
    <w:rsid w:val="00B419D3"/>
    <w:rsid w:val="00B85FDC"/>
    <w:rsid w:val="00BE2A01"/>
    <w:rsid w:val="00BF3271"/>
    <w:rsid w:val="00C22C74"/>
    <w:rsid w:val="00C23135"/>
    <w:rsid w:val="00C337DD"/>
    <w:rsid w:val="00C37710"/>
    <w:rsid w:val="00C4285B"/>
    <w:rsid w:val="00C61473"/>
    <w:rsid w:val="00C93280"/>
    <w:rsid w:val="00CE1027"/>
    <w:rsid w:val="00D0388C"/>
    <w:rsid w:val="00D11AE9"/>
    <w:rsid w:val="00D72324"/>
    <w:rsid w:val="00D956C3"/>
    <w:rsid w:val="00DD600F"/>
    <w:rsid w:val="00E34EEF"/>
    <w:rsid w:val="00E633DC"/>
    <w:rsid w:val="00E9128C"/>
    <w:rsid w:val="00E962D2"/>
    <w:rsid w:val="00EA637B"/>
    <w:rsid w:val="00EB5D91"/>
    <w:rsid w:val="00ED4510"/>
    <w:rsid w:val="00EF077F"/>
    <w:rsid w:val="00EF216E"/>
    <w:rsid w:val="00EF6149"/>
    <w:rsid w:val="00EF69D3"/>
    <w:rsid w:val="00F450FA"/>
    <w:rsid w:val="00F83DDA"/>
    <w:rsid w:val="00F85B8D"/>
    <w:rsid w:val="00FC33D0"/>
    <w:rsid w:val="00FE29C5"/>
    <w:rsid w:val="00FF5AA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37DD"/>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New JSA purple fix">
      <a:dk1>
        <a:sysClr val="windowText" lastClr="000000"/>
      </a:dk1>
      <a:lt1>
        <a:sysClr val="window" lastClr="FFFFFF"/>
      </a:lt1>
      <a:dk2>
        <a:srgbClr val="4B0885"/>
      </a:dk2>
      <a:lt2>
        <a:srgbClr val="D2DE5A"/>
      </a:lt2>
      <a:accent1>
        <a:srgbClr val="6929C4"/>
      </a:accent1>
      <a:accent2>
        <a:srgbClr val="009D9A"/>
      </a:accent2>
      <a:accent3>
        <a:srgbClr val="012749"/>
      </a:accent3>
      <a:accent4>
        <a:srgbClr val="EE538B"/>
      </a:accent4>
      <a:accent5>
        <a:srgbClr val="1192E8"/>
      </a:accent5>
      <a:accent6>
        <a:srgbClr val="9F1853"/>
      </a:accent6>
      <a:hlink>
        <a:srgbClr val="013D74"/>
      </a:hlink>
      <a:folHlink>
        <a:srgbClr val="4B0885"/>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794EC4C31997F4DAF6EF5F96F729AC4" ma:contentTypeVersion="18" ma:contentTypeDescription="Create a new document." ma:contentTypeScope="" ma:versionID="d87aa61bb3e06b0abe5c0e83eedd95e3">
  <xsd:schema xmlns:xsd="http://www.w3.org/2001/XMLSchema" xmlns:xs="http://www.w3.org/2001/XMLSchema" xmlns:p="http://schemas.microsoft.com/office/2006/metadata/properties" xmlns:ns2="88bdf61f-9621-4102-acf0-32ab8de1ada4" xmlns:ns3="2346c79d-bae1-4214-a8f2-95f62bc64ea6" targetNamespace="http://schemas.microsoft.com/office/2006/metadata/properties" ma:root="true" ma:fieldsID="cdea568376e63c1f053932d9cf4ddd5d" ns2:_="" ns3:_="">
    <xsd:import namespace="88bdf61f-9621-4102-acf0-32ab8de1ada4"/>
    <xsd:import namespace="2346c79d-bae1-4214-a8f2-95f62bc64ea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bdf61f-9621-4102-acf0-32ab8de1ad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46c79d-bae1-4214-a8f2-95f62bc64ea6"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8e12ceef-ae3b-4855-a9a7-3d2a1cbc952b}" ma:internalName="TaxCatchAll" ma:showField="CatchAllData" ma:web="2346c79d-bae1-4214-a8f2-95f62bc64ea6">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2346c79d-bae1-4214-a8f2-95f62bc64ea6" xsi:nil="true"/>
    <lcf76f155ced4ddcb4097134ff3c332f xmlns="88bdf61f-9621-4102-acf0-32ab8de1ada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2767044-9AD2-45C6-9990-EA8601577B6B}">
  <ds:schemaRefs>
    <ds:schemaRef ds:uri="http://schemas.microsoft.com/sharepoint/v3/contenttype/forms"/>
  </ds:schemaRefs>
</ds:datastoreItem>
</file>

<file path=customXml/itemProps2.xml><?xml version="1.0" encoding="utf-8"?>
<ds:datastoreItem xmlns:ds="http://schemas.openxmlformats.org/officeDocument/2006/customXml" ds:itemID="{6C28A47A-5C5A-4280-B219-DDBB916025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bdf61f-9621-4102-acf0-32ab8de1ada4"/>
    <ds:schemaRef ds:uri="2346c79d-bae1-4214-a8f2-95f62bc64e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3CD174A-DF8D-45B2-A472-5D93840213C4}">
  <ds:schemaRefs>
    <ds:schemaRef ds:uri="http://schemas.openxmlformats.org/officeDocument/2006/bibliography"/>
  </ds:schemaRefs>
</ds:datastoreItem>
</file>

<file path=customXml/itemProps4.xml><?xml version="1.0" encoding="utf-8"?>
<ds:datastoreItem xmlns:ds="http://schemas.openxmlformats.org/officeDocument/2006/customXml" ds:itemID="{44083749-92F8-4312-917A-7ED321D5BB6C}">
  <ds:schemaRefs>
    <ds:schemaRef ds:uri="http://schemas.microsoft.com/office/2006/metadata/properties"/>
    <ds:schemaRef ds:uri="http://schemas.microsoft.com/office/infopath/2007/PartnerControls"/>
    <ds:schemaRef ds:uri="2346c79d-bae1-4214-a8f2-95f62bc64ea6"/>
    <ds:schemaRef ds:uri="88bdf61f-9621-4102-acf0-32ab8de1ada4"/>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23</Pages>
  <Words>4768</Words>
  <Characters>27181</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2024 Occupation Shortage List</vt:lpstr>
    </vt:vector>
  </TitlesOfParts>
  <Company>JSA</Company>
  <LinksUpToDate>false</LinksUpToDate>
  <CharactersWithSpaces>31886</CharactersWithSpaces>
  <SharedDoc>false</SharedDoc>
  <HLinks>
    <vt:vector size="222" baseType="variant">
      <vt:variant>
        <vt:i4>1703986</vt:i4>
      </vt:variant>
      <vt:variant>
        <vt:i4>188</vt:i4>
      </vt:variant>
      <vt:variant>
        <vt:i4>0</vt:i4>
      </vt:variant>
      <vt:variant>
        <vt:i4>5</vt:i4>
      </vt:variant>
      <vt:variant>
        <vt:lpwstr/>
      </vt:variant>
      <vt:variant>
        <vt:lpwstr>_Toc176977249</vt:lpwstr>
      </vt:variant>
      <vt:variant>
        <vt:i4>1703986</vt:i4>
      </vt:variant>
      <vt:variant>
        <vt:i4>182</vt:i4>
      </vt:variant>
      <vt:variant>
        <vt:i4>0</vt:i4>
      </vt:variant>
      <vt:variant>
        <vt:i4>5</vt:i4>
      </vt:variant>
      <vt:variant>
        <vt:lpwstr/>
      </vt:variant>
      <vt:variant>
        <vt:lpwstr>_Toc176977248</vt:lpwstr>
      </vt:variant>
      <vt:variant>
        <vt:i4>1703986</vt:i4>
      </vt:variant>
      <vt:variant>
        <vt:i4>176</vt:i4>
      </vt:variant>
      <vt:variant>
        <vt:i4>0</vt:i4>
      </vt:variant>
      <vt:variant>
        <vt:i4>5</vt:i4>
      </vt:variant>
      <vt:variant>
        <vt:lpwstr/>
      </vt:variant>
      <vt:variant>
        <vt:lpwstr>_Toc176977247</vt:lpwstr>
      </vt:variant>
      <vt:variant>
        <vt:i4>1376304</vt:i4>
      </vt:variant>
      <vt:variant>
        <vt:i4>167</vt:i4>
      </vt:variant>
      <vt:variant>
        <vt:i4>0</vt:i4>
      </vt:variant>
      <vt:variant>
        <vt:i4>5</vt:i4>
      </vt:variant>
      <vt:variant>
        <vt:lpwstr/>
      </vt:variant>
      <vt:variant>
        <vt:lpwstr>_Toc177116720</vt:lpwstr>
      </vt:variant>
      <vt:variant>
        <vt:i4>1441840</vt:i4>
      </vt:variant>
      <vt:variant>
        <vt:i4>161</vt:i4>
      </vt:variant>
      <vt:variant>
        <vt:i4>0</vt:i4>
      </vt:variant>
      <vt:variant>
        <vt:i4>5</vt:i4>
      </vt:variant>
      <vt:variant>
        <vt:lpwstr/>
      </vt:variant>
      <vt:variant>
        <vt:lpwstr>_Toc177116719</vt:lpwstr>
      </vt:variant>
      <vt:variant>
        <vt:i4>1441840</vt:i4>
      </vt:variant>
      <vt:variant>
        <vt:i4>155</vt:i4>
      </vt:variant>
      <vt:variant>
        <vt:i4>0</vt:i4>
      </vt:variant>
      <vt:variant>
        <vt:i4>5</vt:i4>
      </vt:variant>
      <vt:variant>
        <vt:lpwstr/>
      </vt:variant>
      <vt:variant>
        <vt:lpwstr>_Toc177116718</vt:lpwstr>
      </vt:variant>
      <vt:variant>
        <vt:i4>1441840</vt:i4>
      </vt:variant>
      <vt:variant>
        <vt:i4>149</vt:i4>
      </vt:variant>
      <vt:variant>
        <vt:i4>0</vt:i4>
      </vt:variant>
      <vt:variant>
        <vt:i4>5</vt:i4>
      </vt:variant>
      <vt:variant>
        <vt:lpwstr/>
      </vt:variant>
      <vt:variant>
        <vt:lpwstr>_Toc177116717</vt:lpwstr>
      </vt:variant>
      <vt:variant>
        <vt:i4>1441840</vt:i4>
      </vt:variant>
      <vt:variant>
        <vt:i4>143</vt:i4>
      </vt:variant>
      <vt:variant>
        <vt:i4>0</vt:i4>
      </vt:variant>
      <vt:variant>
        <vt:i4>5</vt:i4>
      </vt:variant>
      <vt:variant>
        <vt:lpwstr/>
      </vt:variant>
      <vt:variant>
        <vt:lpwstr>_Toc177116716</vt:lpwstr>
      </vt:variant>
      <vt:variant>
        <vt:i4>1441840</vt:i4>
      </vt:variant>
      <vt:variant>
        <vt:i4>137</vt:i4>
      </vt:variant>
      <vt:variant>
        <vt:i4>0</vt:i4>
      </vt:variant>
      <vt:variant>
        <vt:i4>5</vt:i4>
      </vt:variant>
      <vt:variant>
        <vt:lpwstr/>
      </vt:variant>
      <vt:variant>
        <vt:lpwstr>_Toc177116715</vt:lpwstr>
      </vt:variant>
      <vt:variant>
        <vt:i4>1441840</vt:i4>
      </vt:variant>
      <vt:variant>
        <vt:i4>131</vt:i4>
      </vt:variant>
      <vt:variant>
        <vt:i4>0</vt:i4>
      </vt:variant>
      <vt:variant>
        <vt:i4>5</vt:i4>
      </vt:variant>
      <vt:variant>
        <vt:lpwstr/>
      </vt:variant>
      <vt:variant>
        <vt:lpwstr>_Toc177116714</vt:lpwstr>
      </vt:variant>
      <vt:variant>
        <vt:i4>1441840</vt:i4>
      </vt:variant>
      <vt:variant>
        <vt:i4>125</vt:i4>
      </vt:variant>
      <vt:variant>
        <vt:i4>0</vt:i4>
      </vt:variant>
      <vt:variant>
        <vt:i4>5</vt:i4>
      </vt:variant>
      <vt:variant>
        <vt:lpwstr/>
      </vt:variant>
      <vt:variant>
        <vt:lpwstr>_Toc177116713</vt:lpwstr>
      </vt:variant>
      <vt:variant>
        <vt:i4>1441840</vt:i4>
      </vt:variant>
      <vt:variant>
        <vt:i4>119</vt:i4>
      </vt:variant>
      <vt:variant>
        <vt:i4>0</vt:i4>
      </vt:variant>
      <vt:variant>
        <vt:i4>5</vt:i4>
      </vt:variant>
      <vt:variant>
        <vt:lpwstr/>
      </vt:variant>
      <vt:variant>
        <vt:lpwstr>_Toc177116712</vt:lpwstr>
      </vt:variant>
      <vt:variant>
        <vt:i4>1441840</vt:i4>
      </vt:variant>
      <vt:variant>
        <vt:i4>113</vt:i4>
      </vt:variant>
      <vt:variant>
        <vt:i4>0</vt:i4>
      </vt:variant>
      <vt:variant>
        <vt:i4>5</vt:i4>
      </vt:variant>
      <vt:variant>
        <vt:lpwstr/>
      </vt:variant>
      <vt:variant>
        <vt:lpwstr>_Toc177116711</vt:lpwstr>
      </vt:variant>
      <vt:variant>
        <vt:i4>1441840</vt:i4>
      </vt:variant>
      <vt:variant>
        <vt:i4>107</vt:i4>
      </vt:variant>
      <vt:variant>
        <vt:i4>0</vt:i4>
      </vt:variant>
      <vt:variant>
        <vt:i4>5</vt:i4>
      </vt:variant>
      <vt:variant>
        <vt:lpwstr/>
      </vt:variant>
      <vt:variant>
        <vt:lpwstr>_Toc177116710</vt:lpwstr>
      </vt:variant>
      <vt:variant>
        <vt:i4>1507376</vt:i4>
      </vt:variant>
      <vt:variant>
        <vt:i4>101</vt:i4>
      </vt:variant>
      <vt:variant>
        <vt:i4>0</vt:i4>
      </vt:variant>
      <vt:variant>
        <vt:i4>5</vt:i4>
      </vt:variant>
      <vt:variant>
        <vt:lpwstr/>
      </vt:variant>
      <vt:variant>
        <vt:lpwstr>_Toc177116709</vt:lpwstr>
      </vt:variant>
      <vt:variant>
        <vt:i4>1507376</vt:i4>
      </vt:variant>
      <vt:variant>
        <vt:i4>95</vt:i4>
      </vt:variant>
      <vt:variant>
        <vt:i4>0</vt:i4>
      </vt:variant>
      <vt:variant>
        <vt:i4>5</vt:i4>
      </vt:variant>
      <vt:variant>
        <vt:lpwstr/>
      </vt:variant>
      <vt:variant>
        <vt:lpwstr>_Toc177116708</vt:lpwstr>
      </vt:variant>
      <vt:variant>
        <vt:i4>1507376</vt:i4>
      </vt:variant>
      <vt:variant>
        <vt:i4>89</vt:i4>
      </vt:variant>
      <vt:variant>
        <vt:i4>0</vt:i4>
      </vt:variant>
      <vt:variant>
        <vt:i4>5</vt:i4>
      </vt:variant>
      <vt:variant>
        <vt:lpwstr/>
      </vt:variant>
      <vt:variant>
        <vt:lpwstr>_Toc177116707</vt:lpwstr>
      </vt:variant>
      <vt:variant>
        <vt:i4>1507376</vt:i4>
      </vt:variant>
      <vt:variant>
        <vt:i4>83</vt:i4>
      </vt:variant>
      <vt:variant>
        <vt:i4>0</vt:i4>
      </vt:variant>
      <vt:variant>
        <vt:i4>5</vt:i4>
      </vt:variant>
      <vt:variant>
        <vt:lpwstr/>
      </vt:variant>
      <vt:variant>
        <vt:lpwstr>_Toc177116706</vt:lpwstr>
      </vt:variant>
      <vt:variant>
        <vt:i4>1507376</vt:i4>
      </vt:variant>
      <vt:variant>
        <vt:i4>77</vt:i4>
      </vt:variant>
      <vt:variant>
        <vt:i4>0</vt:i4>
      </vt:variant>
      <vt:variant>
        <vt:i4>5</vt:i4>
      </vt:variant>
      <vt:variant>
        <vt:lpwstr/>
      </vt:variant>
      <vt:variant>
        <vt:lpwstr>_Toc177116705</vt:lpwstr>
      </vt:variant>
      <vt:variant>
        <vt:i4>1441842</vt:i4>
      </vt:variant>
      <vt:variant>
        <vt:i4>68</vt:i4>
      </vt:variant>
      <vt:variant>
        <vt:i4>0</vt:i4>
      </vt:variant>
      <vt:variant>
        <vt:i4>5</vt:i4>
      </vt:variant>
      <vt:variant>
        <vt:lpwstr/>
      </vt:variant>
      <vt:variant>
        <vt:lpwstr>_Toc176977285</vt:lpwstr>
      </vt:variant>
      <vt:variant>
        <vt:i4>1441842</vt:i4>
      </vt:variant>
      <vt:variant>
        <vt:i4>62</vt:i4>
      </vt:variant>
      <vt:variant>
        <vt:i4>0</vt:i4>
      </vt:variant>
      <vt:variant>
        <vt:i4>5</vt:i4>
      </vt:variant>
      <vt:variant>
        <vt:lpwstr/>
      </vt:variant>
      <vt:variant>
        <vt:lpwstr>_Toc176977284</vt:lpwstr>
      </vt:variant>
      <vt:variant>
        <vt:i4>1441842</vt:i4>
      </vt:variant>
      <vt:variant>
        <vt:i4>56</vt:i4>
      </vt:variant>
      <vt:variant>
        <vt:i4>0</vt:i4>
      </vt:variant>
      <vt:variant>
        <vt:i4>5</vt:i4>
      </vt:variant>
      <vt:variant>
        <vt:lpwstr/>
      </vt:variant>
      <vt:variant>
        <vt:lpwstr>_Toc176977283</vt:lpwstr>
      </vt:variant>
      <vt:variant>
        <vt:i4>1441842</vt:i4>
      </vt:variant>
      <vt:variant>
        <vt:i4>50</vt:i4>
      </vt:variant>
      <vt:variant>
        <vt:i4>0</vt:i4>
      </vt:variant>
      <vt:variant>
        <vt:i4>5</vt:i4>
      </vt:variant>
      <vt:variant>
        <vt:lpwstr/>
      </vt:variant>
      <vt:variant>
        <vt:lpwstr>_Toc176977282</vt:lpwstr>
      </vt:variant>
      <vt:variant>
        <vt:i4>1441842</vt:i4>
      </vt:variant>
      <vt:variant>
        <vt:i4>44</vt:i4>
      </vt:variant>
      <vt:variant>
        <vt:i4>0</vt:i4>
      </vt:variant>
      <vt:variant>
        <vt:i4>5</vt:i4>
      </vt:variant>
      <vt:variant>
        <vt:lpwstr/>
      </vt:variant>
      <vt:variant>
        <vt:lpwstr>_Toc176977281</vt:lpwstr>
      </vt:variant>
      <vt:variant>
        <vt:i4>1441842</vt:i4>
      </vt:variant>
      <vt:variant>
        <vt:i4>38</vt:i4>
      </vt:variant>
      <vt:variant>
        <vt:i4>0</vt:i4>
      </vt:variant>
      <vt:variant>
        <vt:i4>5</vt:i4>
      </vt:variant>
      <vt:variant>
        <vt:lpwstr/>
      </vt:variant>
      <vt:variant>
        <vt:lpwstr>_Toc176977280</vt:lpwstr>
      </vt:variant>
      <vt:variant>
        <vt:i4>1638450</vt:i4>
      </vt:variant>
      <vt:variant>
        <vt:i4>32</vt:i4>
      </vt:variant>
      <vt:variant>
        <vt:i4>0</vt:i4>
      </vt:variant>
      <vt:variant>
        <vt:i4>5</vt:i4>
      </vt:variant>
      <vt:variant>
        <vt:lpwstr/>
      </vt:variant>
      <vt:variant>
        <vt:lpwstr>_Toc176977279</vt:lpwstr>
      </vt:variant>
      <vt:variant>
        <vt:i4>1638450</vt:i4>
      </vt:variant>
      <vt:variant>
        <vt:i4>26</vt:i4>
      </vt:variant>
      <vt:variant>
        <vt:i4>0</vt:i4>
      </vt:variant>
      <vt:variant>
        <vt:i4>5</vt:i4>
      </vt:variant>
      <vt:variant>
        <vt:lpwstr/>
      </vt:variant>
      <vt:variant>
        <vt:lpwstr>_Toc176977278</vt:lpwstr>
      </vt:variant>
      <vt:variant>
        <vt:i4>1638450</vt:i4>
      </vt:variant>
      <vt:variant>
        <vt:i4>20</vt:i4>
      </vt:variant>
      <vt:variant>
        <vt:i4>0</vt:i4>
      </vt:variant>
      <vt:variant>
        <vt:i4>5</vt:i4>
      </vt:variant>
      <vt:variant>
        <vt:lpwstr/>
      </vt:variant>
      <vt:variant>
        <vt:lpwstr>_Toc176977277</vt:lpwstr>
      </vt:variant>
      <vt:variant>
        <vt:i4>1638450</vt:i4>
      </vt:variant>
      <vt:variant>
        <vt:i4>14</vt:i4>
      </vt:variant>
      <vt:variant>
        <vt:i4>0</vt:i4>
      </vt:variant>
      <vt:variant>
        <vt:i4>5</vt:i4>
      </vt:variant>
      <vt:variant>
        <vt:lpwstr/>
      </vt:variant>
      <vt:variant>
        <vt:lpwstr>_Toc176977276</vt:lpwstr>
      </vt:variant>
      <vt:variant>
        <vt:i4>1638450</vt:i4>
      </vt:variant>
      <vt:variant>
        <vt:i4>8</vt:i4>
      </vt:variant>
      <vt:variant>
        <vt:i4>0</vt:i4>
      </vt:variant>
      <vt:variant>
        <vt:i4>5</vt:i4>
      </vt:variant>
      <vt:variant>
        <vt:lpwstr/>
      </vt:variant>
      <vt:variant>
        <vt:lpwstr>_Toc176977275</vt:lpwstr>
      </vt:variant>
      <vt:variant>
        <vt:i4>1638450</vt:i4>
      </vt:variant>
      <vt:variant>
        <vt:i4>2</vt:i4>
      </vt:variant>
      <vt:variant>
        <vt:i4>0</vt:i4>
      </vt:variant>
      <vt:variant>
        <vt:i4>5</vt:i4>
      </vt:variant>
      <vt:variant>
        <vt:lpwstr/>
      </vt:variant>
      <vt:variant>
        <vt:lpwstr>_Toc176977274</vt:lpwstr>
      </vt:variant>
      <vt:variant>
        <vt:i4>393299</vt:i4>
      </vt:variant>
      <vt:variant>
        <vt:i4>18</vt:i4>
      </vt:variant>
      <vt:variant>
        <vt:i4>0</vt:i4>
      </vt:variant>
      <vt:variant>
        <vt:i4>5</vt:i4>
      </vt:variant>
      <vt:variant>
        <vt:lpwstr>https://www.rba.gov.au/publications/bulletin/2019/mar/pdf/firm-level-insights-into-skills-shortages-and-wages-growth.pdf</vt:lpwstr>
      </vt:variant>
      <vt:variant>
        <vt:lpwstr/>
      </vt:variant>
      <vt:variant>
        <vt:i4>589849</vt:i4>
      </vt:variant>
      <vt:variant>
        <vt:i4>15</vt:i4>
      </vt:variant>
      <vt:variant>
        <vt:i4>0</vt:i4>
      </vt:variant>
      <vt:variant>
        <vt:i4>5</vt:i4>
      </vt:variant>
      <vt:variant>
        <vt:lpwstr>https://www.abs.gov.au/statistics/classifications/australian-and-new-zealand-standard-industrial-classification-anzsic/2006-revision-2-0/introduction</vt:lpwstr>
      </vt:variant>
      <vt:variant>
        <vt:lpwstr>anzsic-structure</vt:lpwstr>
      </vt:variant>
      <vt:variant>
        <vt:i4>589849</vt:i4>
      </vt:variant>
      <vt:variant>
        <vt:i4>12</vt:i4>
      </vt:variant>
      <vt:variant>
        <vt:i4>0</vt:i4>
      </vt:variant>
      <vt:variant>
        <vt:i4>5</vt:i4>
      </vt:variant>
      <vt:variant>
        <vt:lpwstr>https://www.abs.gov.au/statistics/classifications/australian-and-new-zealand-standard-industrial-classification-anzsic/2006-revision-2-0/introduction</vt:lpwstr>
      </vt:variant>
      <vt:variant>
        <vt:lpwstr>anzsic-structure</vt:lpwstr>
      </vt:variant>
      <vt:variant>
        <vt:i4>5374044</vt:i4>
      </vt:variant>
      <vt:variant>
        <vt:i4>9</vt:i4>
      </vt:variant>
      <vt:variant>
        <vt:i4>0</vt:i4>
      </vt:variant>
      <vt:variant>
        <vt:i4>5</vt:i4>
      </vt:variant>
      <vt:variant>
        <vt:lpwstr>https://www.abs.gov.au/statistics/classifications/anzsco-australian-and-new-zealand-standard-classification-occupations/2021/conceptual-basis-anzsco</vt:lpwstr>
      </vt:variant>
      <vt:variant>
        <vt:lpwstr/>
      </vt:variant>
      <vt:variant>
        <vt:i4>7012477</vt:i4>
      </vt:variant>
      <vt:variant>
        <vt:i4>3</vt:i4>
      </vt:variant>
      <vt:variant>
        <vt:i4>0</vt:i4>
      </vt:variant>
      <vt:variant>
        <vt:i4>5</vt:i4>
      </vt:variant>
      <vt:variant>
        <vt:lpwstr>https://www.jobsandskills.gov.au/data/recruitment-experiences-and-outlook-survey</vt:lpwstr>
      </vt:variant>
      <vt:variant>
        <vt:lpwstr>methodology</vt:lpwstr>
      </vt:variant>
      <vt:variant>
        <vt:i4>4063289</vt:i4>
      </vt:variant>
      <vt:variant>
        <vt:i4>0</vt:i4>
      </vt:variant>
      <vt:variant>
        <vt:i4>0</vt:i4>
      </vt:variant>
      <vt:variant>
        <vt:i4>5</vt:i4>
      </vt:variant>
      <vt:variant>
        <vt:lpwstr>https://www.abs.gov.au/statistics/classifications/anzsco-australian-and-new-zealand-standard-classification-occupations/latest-release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Occupation Shortage List</dc:title>
  <dc:subject>Report</dc:subject>
  <dc:creator>JSA</dc:creator>
  <cp:keywords>JSA report template</cp:keywords>
  <dc:description>Use this template to create a JSA report</dc:description>
  <cp:lastModifiedBy>SOLIMAN,Roy</cp:lastModifiedBy>
  <cp:revision>14</cp:revision>
  <cp:lastPrinted>2024-10-11T07:47:00Z</cp:lastPrinted>
  <dcterms:created xsi:type="dcterms:W3CDTF">2024-09-13T04:47:00Z</dcterms:created>
  <dcterms:modified xsi:type="dcterms:W3CDTF">2024-10-17T22:46:00Z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2022-09-15T23:55:34Z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f75a6c9c-2dc5-4226-aa17-a78cb4793ba6</vt:lpwstr>
  </property>
  <property fmtid="{D5CDD505-2E9C-101B-9397-08002B2CF9AE}" pid="8" name="MSIP_Label_79d889eb-932f-4752-8739-64d25806ef64_ContentBits">
    <vt:lpwstr>0</vt:lpwstr>
  </property>
  <property fmtid="{D5CDD505-2E9C-101B-9397-08002B2CF9AE}" pid="9" name="ContentTypeId">
    <vt:lpwstr>0x010100F794EC4C31997F4DAF6EF5F96F729AC4</vt:lpwstr>
  </property>
  <property fmtid="{D5CDD505-2E9C-101B-9397-08002B2CF9AE}" pid="10" name="MediaServiceImageTags">
    <vt:lpwstr/>
  </property>
</Properties>
</file>