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3F9D3303" w:rsidR="00EE49FB" w:rsidRDefault="00093F7D" w:rsidP="006C282B">
      <w:pPr>
        <w:sectPr w:rsidR="00EE49FB" w:rsidSect="00C970B1">
          <w:footerReference w:type="default" r:id="rId8"/>
          <w:headerReference w:type="first" r:id="rId9"/>
          <w:footerReference w:type="first" r:id="rId10"/>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3F9679D2" w:rsidR="004F2369" w:rsidRPr="00233A75" w:rsidRDefault="00A41254" w:rsidP="00B30BBF">
      <w:pPr>
        <w:pStyle w:val="Heading1"/>
        <w:spacing w:before="240" w:after="120"/>
      </w:pPr>
      <w:r w:rsidRPr="00B30BBF">
        <w:rPr>
          <w:sz w:val="40"/>
          <w:szCs w:val="40"/>
        </w:rPr>
        <w:t>Recruitment Experiences and Outlook Survey: September quarter 2023</w:t>
      </w:r>
    </w:p>
    <w:p w14:paraId="207285D1" w14:textId="36DC7E81" w:rsidR="00A41254" w:rsidRDefault="00A41254" w:rsidP="00A41254">
      <w:r>
        <w:t xml:space="preserve">Jobs and Skills Australia conducts the Recruitment Experiences and Outlook Survey (REOS) to monitor recruitment activity and conditions across Australia. Key national indicators from the survey are released monthly; more detailed data disaggregated by state, area, industry and occupation are </w:t>
      </w:r>
      <w:r w:rsidRPr="009F5670">
        <w:t>released in this quarterly report. For further information on these data and the REOS, please</w:t>
      </w:r>
      <w:r>
        <w:t xml:space="preserve"> refer to the notes on the last page.</w:t>
      </w:r>
    </w:p>
    <w:p w14:paraId="6A2ACF2C" w14:textId="77777777" w:rsidR="00A41254" w:rsidRPr="00892BBA" w:rsidRDefault="00A41254" w:rsidP="00C56B7A">
      <w:pPr>
        <w:pStyle w:val="Caption"/>
        <w:spacing w:after="0"/>
      </w:pPr>
      <w:r w:rsidRPr="00892BBA">
        <w:t>Recruitment rate</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222"/>
      </w:tblGrid>
      <w:tr w:rsidR="00A41254" w:rsidRPr="00EF4B6C" w14:paraId="2DBA2DE5" w14:textId="77777777" w:rsidTr="00B30BBF">
        <w:trPr>
          <w:trHeight w:val="2268"/>
        </w:trPr>
        <w:tc>
          <w:tcPr>
            <w:tcW w:w="6096" w:type="dxa"/>
          </w:tcPr>
          <w:p w14:paraId="1BF39449" w14:textId="77777777" w:rsidR="00A41254" w:rsidRDefault="00A41254" w:rsidP="005D6C08">
            <w:pPr>
              <w:ind w:right="-46"/>
            </w:pPr>
            <w:r>
              <w:rPr>
                <w:noProof/>
              </w:rPr>
              <w:drawing>
                <wp:inline distT="0" distB="0" distL="0" distR="0" wp14:anchorId="62504ECD" wp14:editId="04502D90">
                  <wp:extent cx="3771265" cy="1800000"/>
                  <wp:effectExtent l="0" t="0" r="635" b="0"/>
                  <wp:docPr id="1406366012" name="Chart 1" descr="This is a line chart that shows the changes in the recruitment difficulty rate since the September quarter 2020.">
                    <a:extLst xmlns:a="http://schemas.openxmlformats.org/drawingml/2006/main">
                      <a:ext uri="{FF2B5EF4-FFF2-40B4-BE49-F238E27FC236}">
                        <a16:creationId xmlns:a16="http://schemas.microsoft.com/office/drawing/2014/main" id="{0A3F2A64-E303-4C8C-9122-0FC4CD7EF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282" w:type="dxa"/>
            <w:vAlign w:val="center"/>
          </w:tcPr>
          <w:p w14:paraId="6A8C6EA9" w14:textId="77777777" w:rsidR="00A41254" w:rsidRPr="00DC5EB1" w:rsidRDefault="00A41254" w:rsidP="00B30BBF">
            <w:pPr>
              <w:pStyle w:val="ListBullet"/>
              <w:spacing w:after="0"/>
            </w:pPr>
            <w:r w:rsidRPr="00DC5EB1">
              <w:t>The recruitment rate in September quarter 2023 was 48%.</w:t>
            </w:r>
          </w:p>
          <w:p w14:paraId="5017AEB9" w14:textId="1500ABF3" w:rsidR="00A41254" w:rsidRDefault="00A41254" w:rsidP="00B30BBF">
            <w:pPr>
              <w:pStyle w:val="ListBullet"/>
            </w:pPr>
            <w:r w:rsidRPr="00DC5EB1">
              <w:t xml:space="preserve">This was 9 percentage points lower than </w:t>
            </w:r>
            <w:r>
              <w:t xml:space="preserve">this time last year </w:t>
            </w:r>
            <w:r w:rsidRPr="00DC5EB1">
              <w:t>(57%).</w:t>
            </w:r>
          </w:p>
          <w:p w14:paraId="3796C2C1" w14:textId="77777777" w:rsidR="00A41254" w:rsidRPr="00EF4B6C" w:rsidRDefault="00A41254" w:rsidP="005D6C08">
            <w:pPr>
              <w:pStyle w:val="ListParagraph"/>
              <w:spacing w:after="0" w:line="240" w:lineRule="auto"/>
              <w:ind w:left="297" w:right="-46"/>
            </w:pPr>
          </w:p>
        </w:tc>
      </w:tr>
      <w:tr w:rsidR="00A41254" w:rsidRPr="00ED28D6" w14:paraId="7831FC56" w14:textId="77777777" w:rsidTr="00B30BBF">
        <w:trPr>
          <w:trHeight w:val="2268"/>
        </w:trPr>
        <w:tc>
          <w:tcPr>
            <w:tcW w:w="6096" w:type="dxa"/>
          </w:tcPr>
          <w:p w14:paraId="5A7F847B" w14:textId="77777777" w:rsidR="00A41254" w:rsidRPr="00604D04" w:rsidRDefault="00A41254" w:rsidP="00C56B7A">
            <w:pPr>
              <w:pStyle w:val="Caption"/>
              <w:spacing w:after="0"/>
            </w:pPr>
            <w:r w:rsidRPr="00892BBA">
              <w:t>Recruitment difficulty rate</w:t>
            </w:r>
          </w:p>
          <w:p w14:paraId="690A37CD" w14:textId="77777777" w:rsidR="00A41254" w:rsidRDefault="00A41254" w:rsidP="005D6C08">
            <w:pPr>
              <w:ind w:right="-46"/>
            </w:pPr>
            <w:r>
              <w:rPr>
                <w:noProof/>
              </w:rPr>
              <w:drawing>
                <wp:inline distT="0" distB="0" distL="0" distR="0" wp14:anchorId="1EC050CA" wp14:editId="37986ADA">
                  <wp:extent cx="3599815" cy="1800000"/>
                  <wp:effectExtent l="0" t="0" r="635" b="0"/>
                  <wp:docPr id="1426747098" name="Chart 1" descr="This is a line chart that shows the changes in the recruitment difficulty rate since the September quarter 2020.">
                    <a:extLst xmlns:a="http://schemas.openxmlformats.org/drawingml/2006/main">
                      <a:ext uri="{FF2B5EF4-FFF2-40B4-BE49-F238E27FC236}">
                        <a16:creationId xmlns:a16="http://schemas.microsoft.com/office/drawing/2014/main" id="{7151D8B9-3B81-BD7C-D495-40F07A492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282" w:type="dxa"/>
            <w:vAlign w:val="center"/>
          </w:tcPr>
          <w:p w14:paraId="480B9A80" w14:textId="77777777" w:rsidR="00A41254" w:rsidRPr="00ED28D6" w:rsidRDefault="00A41254" w:rsidP="00B30BBF">
            <w:pPr>
              <w:pStyle w:val="ListBullet"/>
              <w:spacing w:after="0"/>
            </w:pPr>
            <w:r w:rsidRPr="00ED28D6">
              <w:t xml:space="preserve">The recruitment difficulty rate in </w:t>
            </w:r>
            <w:r>
              <w:t xml:space="preserve">the September quarter </w:t>
            </w:r>
            <w:r w:rsidRPr="00ED28D6">
              <w:t>2023 was 60%.</w:t>
            </w:r>
          </w:p>
          <w:p w14:paraId="0032F0FA" w14:textId="77777777" w:rsidR="00A41254" w:rsidRDefault="00A41254" w:rsidP="00A41254">
            <w:pPr>
              <w:pStyle w:val="ListBullet"/>
            </w:pPr>
            <w:r w:rsidRPr="00ED28D6">
              <w:t xml:space="preserve">This was 12 percentage points lower than the quarterly peak of recruitment difficulty (72%) </w:t>
            </w:r>
            <w:r>
              <w:t>recorded a year ago</w:t>
            </w:r>
            <w:r w:rsidRPr="00ED28D6">
              <w:t xml:space="preserve">. </w:t>
            </w:r>
          </w:p>
          <w:p w14:paraId="3D535D72" w14:textId="77777777" w:rsidR="00A41254" w:rsidRDefault="00A41254" w:rsidP="005D6C08">
            <w:pPr>
              <w:pStyle w:val="ListParagraph"/>
              <w:spacing w:after="0" w:line="240" w:lineRule="auto"/>
              <w:ind w:left="297" w:right="-46"/>
            </w:pPr>
          </w:p>
          <w:p w14:paraId="4234A1DA" w14:textId="77777777" w:rsidR="00A41254" w:rsidRPr="00ED28D6" w:rsidRDefault="00A41254" w:rsidP="005D6C08">
            <w:pPr>
              <w:pStyle w:val="ListParagraph"/>
              <w:spacing w:after="0" w:line="240" w:lineRule="auto"/>
              <w:ind w:left="297" w:right="-46"/>
            </w:pPr>
          </w:p>
        </w:tc>
      </w:tr>
      <w:tr w:rsidR="00A41254" w:rsidRPr="00CE6DA7" w14:paraId="48222E20" w14:textId="77777777" w:rsidTr="005D6C08">
        <w:trPr>
          <w:trHeight w:val="2268"/>
        </w:trPr>
        <w:tc>
          <w:tcPr>
            <w:tcW w:w="6096" w:type="dxa"/>
          </w:tcPr>
          <w:p w14:paraId="30AA6EC5" w14:textId="77777777" w:rsidR="00A41254" w:rsidRPr="00892BBA" w:rsidRDefault="00A41254" w:rsidP="00C56B7A">
            <w:pPr>
              <w:pStyle w:val="Caption"/>
              <w:spacing w:after="0"/>
            </w:pPr>
            <w:r w:rsidRPr="00936F08">
              <w:rPr>
                <w:sz w:val="4"/>
                <w:szCs w:val="4"/>
                <w:lang w:val="en-US"/>
              </w:rPr>
              <w:br/>
            </w:r>
            <w:r w:rsidRPr="00892BBA">
              <w:t>Expecting to increase staff</w:t>
            </w:r>
          </w:p>
          <w:p w14:paraId="15685B67" w14:textId="77777777" w:rsidR="00A41254" w:rsidRDefault="00A41254" w:rsidP="005D6C08">
            <w:pPr>
              <w:ind w:right="-46"/>
            </w:pPr>
            <w:r>
              <w:rPr>
                <w:noProof/>
              </w:rPr>
              <w:drawing>
                <wp:inline distT="0" distB="0" distL="0" distR="0" wp14:anchorId="2AEDAE7E" wp14:editId="590BE8E2">
                  <wp:extent cx="3630930" cy="1728000"/>
                  <wp:effectExtent l="0" t="0" r="7620" b="5715"/>
                  <wp:docPr id="346300455" name="Chart 1" descr="This is a line chart that shows the changes in the proportion of employers expecting to increase staffing in the next three month since the September quarter 2020">
                    <a:extLst xmlns:a="http://schemas.openxmlformats.org/drawingml/2006/main">
                      <a:ext uri="{FF2B5EF4-FFF2-40B4-BE49-F238E27FC236}">
                        <a16:creationId xmlns:a16="http://schemas.microsoft.com/office/drawing/2014/main" id="{392ECCF0-E62B-C8B5-3DD8-529223F8F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282" w:type="dxa"/>
            <w:vAlign w:val="center"/>
          </w:tcPr>
          <w:p w14:paraId="5F873E1B" w14:textId="77777777" w:rsidR="00A41254" w:rsidRPr="00A42D0F" w:rsidRDefault="00A41254" w:rsidP="00B30BBF">
            <w:pPr>
              <w:pStyle w:val="ListBullet"/>
              <w:spacing w:after="0"/>
            </w:pPr>
            <w:r w:rsidRPr="009F5670">
              <w:t>In the September quarter 2023, 24</w:t>
            </w:r>
            <w:r w:rsidRPr="00AE5535">
              <w:t xml:space="preserve">% of employers expected to increase staff. This was </w:t>
            </w:r>
            <w:r>
              <w:t>4 </w:t>
            </w:r>
            <w:r w:rsidRPr="00AE5535">
              <w:t>percentage points lower than a year ago</w:t>
            </w:r>
            <w:r w:rsidRPr="00A42D0F">
              <w:t xml:space="preserve"> (28%).</w:t>
            </w:r>
          </w:p>
          <w:p w14:paraId="62667AC8" w14:textId="77777777" w:rsidR="00A41254" w:rsidRPr="00AE5535" w:rsidRDefault="00A41254" w:rsidP="00B30BBF">
            <w:pPr>
              <w:pStyle w:val="ListBullet"/>
              <w:spacing w:after="0"/>
            </w:pPr>
            <w:r w:rsidRPr="00AE5535">
              <w:t xml:space="preserve">The proportion of employers who expected to decrease staff was 3% in the September quarter. </w:t>
            </w:r>
          </w:p>
          <w:p w14:paraId="108136DB" w14:textId="77777777" w:rsidR="00A41254" w:rsidRPr="00CE6DA7" w:rsidRDefault="00A41254" w:rsidP="005D6C08">
            <w:pPr>
              <w:spacing w:before="120"/>
              <w:ind w:right="-46"/>
              <w:rPr>
                <w:i/>
                <w:iCs/>
              </w:rPr>
            </w:pPr>
          </w:p>
        </w:tc>
      </w:tr>
    </w:tbl>
    <w:p w14:paraId="2B53C521" w14:textId="517750FD" w:rsidR="00A41254" w:rsidRPr="005B7B9D" w:rsidRDefault="00A41254" w:rsidP="005B7B9D">
      <w:pPr>
        <w:pStyle w:val="Heading2"/>
        <w:spacing w:after="120"/>
        <w:rPr>
          <w:sz w:val="40"/>
        </w:rPr>
      </w:pPr>
      <w:r>
        <w:br w:type="page"/>
      </w:r>
      <w:r>
        <w:lastRenderedPageBreak/>
        <w:t>Key indicators by state/territory</w:t>
      </w:r>
    </w:p>
    <w:p w14:paraId="6D0AEC0F" w14:textId="47BE39FC" w:rsidR="00A41254" w:rsidRDefault="00A41254" w:rsidP="00A41254">
      <w:r>
        <w:t>In the September quarter 2023, the Northern Territory and Western Australia recorded the highest recruitment rate of any state or territory (67% and 55% respectively). The Northern Territory also recorded the highest recruitment difficulty rate (68%). Employers in Tasmania were the most likely to expect to increase staff in the next 3 months (30%).</w:t>
      </w:r>
    </w:p>
    <w:p w14:paraId="7CF3F58C" w14:textId="19F90ED9" w:rsidR="00A41254" w:rsidRDefault="00652695" w:rsidP="00652695">
      <w:pPr>
        <w:pStyle w:val="Caption"/>
        <w:spacing w:after="120"/>
      </w:pPr>
      <w:r w:rsidRPr="00652695">
        <w:t>Table 1. Key indicators by state/territory, September quarter 2023</w:t>
      </w:r>
    </w:p>
    <w:tbl>
      <w:tblPr>
        <w:tblStyle w:val="GridTable3"/>
        <w:tblW w:w="886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1121"/>
        <w:gridCol w:w="9"/>
        <w:gridCol w:w="1281"/>
        <w:gridCol w:w="1270"/>
        <w:gridCol w:w="20"/>
        <w:gridCol w:w="1290"/>
        <w:gridCol w:w="1241"/>
        <w:gridCol w:w="49"/>
        <w:gridCol w:w="1290"/>
        <w:gridCol w:w="1290"/>
      </w:tblGrid>
      <w:tr w:rsidR="00652695" w:rsidRPr="001E215B" w14:paraId="0A346F4C" w14:textId="77777777" w:rsidTr="00B628B7">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100" w:firstRow="0" w:lastRow="0" w:firstColumn="1" w:lastColumn="0" w:oddVBand="0" w:evenVBand="0" w:oddHBand="0" w:evenHBand="0" w:firstRowFirstColumn="1" w:firstRowLastColumn="0" w:lastRowFirstColumn="0" w:lastRowLastColumn="0"/>
            <w:tcW w:w="1130" w:type="dxa"/>
            <w:gridSpan w:val="2"/>
            <w:tcBorders>
              <w:top w:val="single" w:sz="4" w:space="0" w:color="000000" w:themeColor="text1"/>
              <w:left w:val="none" w:sz="0" w:space="0" w:color="auto"/>
              <w:bottom w:val="nil"/>
              <w:right w:val="single" w:sz="4" w:space="0" w:color="000000" w:themeColor="text1"/>
            </w:tcBorders>
            <w:shd w:val="clear" w:color="auto" w:fill="2F005F"/>
          </w:tcPr>
          <w:p w14:paraId="42EB00B7" w14:textId="77777777" w:rsidR="00652695" w:rsidRPr="001E215B" w:rsidRDefault="00652695" w:rsidP="00652695">
            <w:pPr>
              <w:rPr>
                <w:lang w:val="en-US"/>
              </w:rPr>
            </w:pPr>
          </w:p>
        </w:tc>
        <w:tc>
          <w:tcPr>
            <w:tcW w:w="2551" w:type="dxa"/>
            <w:gridSpan w:val="2"/>
            <w:tcBorders>
              <w:top w:val="single" w:sz="4" w:space="0" w:color="000000" w:themeColor="text1"/>
              <w:left w:val="single" w:sz="4" w:space="0" w:color="000000" w:themeColor="text1"/>
              <w:bottom w:val="nil"/>
              <w:right w:val="single" w:sz="4" w:space="0" w:color="000000" w:themeColor="text1"/>
            </w:tcBorders>
            <w:shd w:val="clear" w:color="auto" w:fill="2F005F"/>
            <w:vAlign w:val="center"/>
          </w:tcPr>
          <w:p w14:paraId="4C873BFB" w14:textId="77777777" w:rsidR="00652695" w:rsidRPr="001E215B" w:rsidRDefault="00652695" w:rsidP="00652695">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Recruitment rate</w:t>
            </w:r>
          </w:p>
        </w:tc>
        <w:tc>
          <w:tcPr>
            <w:tcW w:w="2551" w:type="dxa"/>
            <w:gridSpan w:val="3"/>
            <w:tcBorders>
              <w:top w:val="none" w:sz="0" w:space="0" w:color="auto"/>
              <w:left w:val="single" w:sz="4" w:space="0" w:color="000000" w:themeColor="text1"/>
              <w:right w:val="single" w:sz="4" w:space="0" w:color="000000" w:themeColor="text1"/>
            </w:tcBorders>
            <w:shd w:val="clear" w:color="auto" w:fill="2F005F"/>
            <w:vAlign w:val="center"/>
          </w:tcPr>
          <w:p w14:paraId="7B14DB4E" w14:textId="77777777" w:rsidR="00652695" w:rsidRPr="001E215B" w:rsidRDefault="00652695" w:rsidP="00652695">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Recruitment difficulty rate</w:t>
            </w:r>
          </w:p>
        </w:tc>
        <w:tc>
          <w:tcPr>
            <w:tcW w:w="2629" w:type="dxa"/>
            <w:gridSpan w:val="3"/>
            <w:tcBorders>
              <w:top w:val="single" w:sz="4" w:space="0" w:color="000000" w:themeColor="text1"/>
              <w:left w:val="single" w:sz="4" w:space="0" w:color="000000" w:themeColor="text1"/>
              <w:bottom w:val="nil"/>
              <w:right w:val="none" w:sz="0" w:space="0" w:color="auto"/>
            </w:tcBorders>
            <w:shd w:val="clear" w:color="auto" w:fill="2F005F"/>
            <w:vAlign w:val="center"/>
          </w:tcPr>
          <w:p w14:paraId="6A2E3858" w14:textId="77777777" w:rsidR="00652695" w:rsidRPr="001E215B" w:rsidRDefault="00652695" w:rsidP="00652695">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Expect to increase staff</w:t>
            </w:r>
          </w:p>
        </w:tc>
      </w:tr>
      <w:tr w:rsidR="00652695" w:rsidRPr="001E215B" w14:paraId="3ECB8338" w14:textId="77777777" w:rsidTr="00330605">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121" w:type="dxa"/>
            <w:tcBorders>
              <w:left w:val="single" w:sz="4" w:space="0" w:color="000000" w:themeColor="text1"/>
              <w:right w:val="single" w:sz="4" w:space="0" w:color="000000" w:themeColor="text1"/>
            </w:tcBorders>
            <w:shd w:val="clear" w:color="auto" w:fill="2F005F"/>
          </w:tcPr>
          <w:p w14:paraId="189E7C98" w14:textId="77777777" w:rsidR="00652695" w:rsidRPr="001E215B" w:rsidRDefault="00652695" w:rsidP="00652695">
            <w:pPr>
              <w:rPr>
                <w:lang w:val="en-US"/>
              </w:rPr>
            </w:pPr>
          </w:p>
        </w:tc>
        <w:tc>
          <w:tcPr>
            <w:tcW w:w="1290" w:type="dxa"/>
            <w:gridSpan w:val="2"/>
            <w:tcBorders>
              <w:top w:val="nil"/>
              <w:left w:val="single" w:sz="4" w:space="0" w:color="000000" w:themeColor="text1"/>
              <w:bottom w:val="nil"/>
            </w:tcBorders>
            <w:shd w:val="clear" w:color="auto" w:fill="2F005F"/>
            <w:vAlign w:val="center"/>
          </w:tcPr>
          <w:p w14:paraId="131E9FB9"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 of employers</w:t>
            </w:r>
          </w:p>
        </w:tc>
        <w:tc>
          <w:tcPr>
            <w:tcW w:w="1290" w:type="dxa"/>
            <w:gridSpan w:val="2"/>
            <w:tcBorders>
              <w:top w:val="nil"/>
              <w:bottom w:val="nil"/>
              <w:right w:val="single" w:sz="4" w:space="0" w:color="000000" w:themeColor="text1"/>
            </w:tcBorders>
            <w:shd w:val="clear" w:color="auto" w:fill="2F005F"/>
            <w:vAlign w:val="center"/>
          </w:tcPr>
          <w:p w14:paraId="18E24125"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Annual change</w:t>
            </w:r>
            <w:r>
              <w:rPr>
                <w:sz w:val="18"/>
                <w:szCs w:val="18"/>
              </w:rPr>
              <w:br/>
              <w:t>(% points)</w:t>
            </w:r>
          </w:p>
        </w:tc>
        <w:tc>
          <w:tcPr>
            <w:tcW w:w="1290" w:type="dxa"/>
            <w:tcBorders>
              <w:left w:val="single" w:sz="4" w:space="0" w:color="000000" w:themeColor="text1"/>
            </w:tcBorders>
            <w:shd w:val="clear" w:color="auto" w:fill="2F005F"/>
            <w:vAlign w:val="center"/>
          </w:tcPr>
          <w:p w14:paraId="3AE9E01D"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 of recruiting employers</w:t>
            </w:r>
          </w:p>
        </w:tc>
        <w:tc>
          <w:tcPr>
            <w:tcW w:w="1290" w:type="dxa"/>
            <w:gridSpan w:val="2"/>
            <w:tcBorders>
              <w:right w:val="single" w:sz="4" w:space="0" w:color="000000" w:themeColor="text1"/>
            </w:tcBorders>
            <w:shd w:val="clear" w:color="auto" w:fill="2F005F"/>
            <w:vAlign w:val="center"/>
          </w:tcPr>
          <w:p w14:paraId="394790CD"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Annual change</w:t>
            </w:r>
            <w:r>
              <w:rPr>
                <w:sz w:val="18"/>
                <w:szCs w:val="18"/>
              </w:rPr>
              <w:br/>
              <w:t>(% points)</w:t>
            </w:r>
          </w:p>
        </w:tc>
        <w:tc>
          <w:tcPr>
            <w:tcW w:w="1290" w:type="dxa"/>
            <w:tcBorders>
              <w:top w:val="nil"/>
              <w:left w:val="single" w:sz="4" w:space="0" w:color="000000" w:themeColor="text1"/>
              <w:bottom w:val="nil"/>
            </w:tcBorders>
            <w:shd w:val="clear" w:color="auto" w:fill="2F005F"/>
            <w:vAlign w:val="center"/>
          </w:tcPr>
          <w:p w14:paraId="098AE144"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 of employers</w:t>
            </w:r>
          </w:p>
        </w:tc>
        <w:tc>
          <w:tcPr>
            <w:tcW w:w="1290" w:type="dxa"/>
            <w:tcBorders>
              <w:top w:val="nil"/>
              <w:bottom w:val="nil"/>
            </w:tcBorders>
            <w:shd w:val="clear" w:color="auto" w:fill="2F005F"/>
            <w:vAlign w:val="center"/>
          </w:tcPr>
          <w:p w14:paraId="2FF0AA8C" w14:textId="77777777" w:rsidR="00652695" w:rsidRPr="001E215B" w:rsidRDefault="00652695" w:rsidP="00652695">
            <w:pPr>
              <w:jc w:val="center"/>
              <w:cnfStyle w:val="000000100000" w:firstRow="0" w:lastRow="0" w:firstColumn="0" w:lastColumn="0" w:oddVBand="0" w:evenVBand="0" w:oddHBand="1" w:evenHBand="0" w:firstRowFirstColumn="0" w:firstRowLastColumn="0" w:lastRowFirstColumn="0" w:lastRowLastColumn="0"/>
              <w:rPr>
                <w:lang w:val="en-US"/>
              </w:rPr>
            </w:pPr>
            <w:r w:rsidRPr="001E215B">
              <w:rPr>
                <w:sz w:val="18"/>
                <w:szCs w:val="18"/>
              </w:rPr>
              <w:t>Annual change</w:t>
            </w:r>
            <w:r>
              <w:rPr>
                <w:sz w:val="18"/>
                <w:szCs w:val="18"/>
              </w:rPr>
              <w:br/>
              <w:t>(% points)</w:t>
            </w:r>
          </w:p>
        </w:tc>
      </w:tr>
      <w:tr w:rsidR="00652695" w:rsidRPr="001E215B" w14:paraId="061D2F91" w14:textId="77777777" w:rsidTr="0033060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none" w:sz="0" w:space="0" w:color="auto"/>
              <w:right w:val="single" w:sz="4" w:space="0" w:color="000000" w:themeColor="text1"/>
            </w:tcBorders>
          </w:tcPr>
          <w:p w14:paraId="2075C453" w14:textId="77777777" w:rsidR="00652695" w:rsidRPr="00E97028" w:rsidRDefault="00652695" w:rsidP="00652695">
            <w:pPr>
              <w:rPr>
                <w:i w:val="0"/>
                <w:iCs w:val="0"/>
                <w:sz w:val="20"/>
                <w:szCs w:val="20"/>
                <w:lang w:val="en-US"/>
              </w:rPr>
            </w:pPr>
            <w:r w:rsidRPr="00E97028">
              <w:rPr>
                <w:i w:val="0"/>
                <w:iCs w:val="0"/>
                <w:sz w:val="20"/>
                <w:szCs w:val="20"/>
                <w:lang w:val="en-US"/>
              </w:rPr>
              <w:t>NSW</w:t>
            </w:r>
          </w:p>
        </w:tc>
        <w:tc>
          <w:tcPr>
            <w:tcW w:w="1290" w:type="dxa"/>
            <w:gridSpan w:val="2"/>
            <w:tcBorders>
              <w:top w:val="nil"/>
              <w:left w:val="single" w:sz="4" w:space="0" w:color="000000" w:themeColor="text1"/>
              <w:bottom w:val="nil"/>
            </w:tcBorders>
          </w:tcPr>
          <w:p w14:paraId="60F97AD8"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48%</w:t>
            </w:r>
          </w:p>
        </w:tc>
        <w:tc>
          <w:tcPr>
            <w:tcW w:w="1290" w:type="dxa"/>
            <w:gridSpan w:val="2"/>
            <w:tcBorders>
              <w:top w:val="nil"/>
              <w:bottom w:val="nil"/>
              <w:right w:val="single" w:sz="4" w:space="0" w:color="000000" w:themeColor="text1"/>
            </w:tcBorders>
          </w:tcPr>
          <w:p w14:paraId="5DEA9060"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-7 pts</w:t>
            </w:r>
          </w:p>
        </w:tc>
        <w:tc>
          <w:tcPr>
            <w:tcW w:w="1290" w:type="dxa"/>
            <w:tcBorders>
              <w:left w:val="single" w:sz="4" w:space="0" w:color="000000" w:themeColor="text1"/>
            </w:tcBorders>
          </w:tcPr>
          <w:p w14:paraId="0AB19FE6"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60%</w:t>
            </w:r>
          </w:p>
        </w:tc>
        <w:tc>
          <w:tcPr>
            <w:tcW w:w="1290" w:type="dxa"/>
            <w:gridSpan w:val="2"/>
            <w:tcBorders>
              <w:right w:val="single" w:sz="4" w:space="0" w:color="000000" w:themeColor="text1"/>
            </w:tcBorders>
          </w:tcPr>
          <w:p w14:paraId="5B4FF90B"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-11 pts</w:t>
            </w:r>
          </w:p>
        </w:tc>
        <w:tc>
          <w:tcPr>
            <w:tcW w:w="1290" w:type="dxa"/>
            <w:tcBorders>
              <w:top w:val="nil"/>
              <w:left w:val="single" w:sz="4" w:space="0" w:color="000000" w:themeColor="text1"/>
              <w:bottom w:val="nil"/>
            </w:tcBorders>
          </w:tcPr>
          <w:p w14:paraId="26120792"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25%</w:t>
            </w:r>
          </w:p>
        </w:tc>
        <w:tc>
          <w:tcPr>
            <w:tcW w:w="1290" w:type="dxa"/>
            <w:tcBorders>
              <w:top w:val="nil"/>
              <w:bottom w:val="nil"/>
            </w:tcBorders>
          </w:tcPr>
          <w:p w14:paraId="1CB92716"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-1 pts</w:t>
            </w:r>
          </w:p>
        </w:tc>
      </w:tr>
      <w:tr w:rsidR="00652695" w:rsidRPr="001E215B" w14:paraId="269CDB26" w14:textId="77777777" w:rsidTr="00330605">
        <w:trPr>
          <w:cnfStyle w:val="000000100000" w:firstRow="0" w:lastRow="0" w:firstColumn="0" w:lastColumn="0" w:oddVBand="0" w:evenVBand="0" w:oddHBand="1" w:evenHBand="0" w:firstRowFirstColumn="0" w:firstRowLastColumn="0" w:lastRowFirstColumn="0" w:lastRowLastColumn="0"/>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single" w:sz="4" w:space="0" w:color="000000" w:themeColor="text1"/>
              <w:right w:val="single" w:sz="4" w:space="0" w:color="000000" w:themeColor="text1"/>
            </w:tcBorders>
            <w:shd w:val="clear" w:color="auto" w:fill="D9D9D9" w:themeFill="background1" w:themeFillShade="D9"/>
          </w:tcPr>
          <w:p w14:paraId="28B68679" w14:textId="77777777" w:rsidR="00652695" w:rsidRPr="00E96AD6" w:rsidRDefault="00652695" w:rsidP="00652695">
            <w:pPr>
              <w:rPr>
                <w:sz w:val="20"/>
                <w:szCs w:val="20"/>
              </w:rPr>
            </w:pPr>
            <w:r w:rsidRPr="00E96AD6">
              <w:rPr>
                <w:i w:val="0"/>
                <w:iCs w:val="0"/>
                <w:sz w:val="20"/>
                <w:szCs w:val="20"/>
              </w:rPr>
              <w:t>VIC</w:t>
            </w:r>
          </w:p>
        </w:tc>
        <w:tc>
          <w:tcPr>
            <w:tcW w:w="1290" w:type="dxa"/>
            <w:gridSpan w:val="2"/>
            <w:tcBorders>
              <w:top w:val="nil"/>
              <w:left w:val="single" w:sz="4" w:space="0" w:color="000000" w:themeColor="text1"/>
              <w:bottom w:val="nil"/>
            </w:tcBorders>
            <w:shd w:val="clear" w:color="auto" w:fill="D9D9D9" w:themeFill="background1" w:themeFillShade="D9"/>
          </w:tcPr>
          <w:p w14:paraId="7D519DA7"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43%</w:t>
            </w:r>
          </w:p>
        </w:tc>
        <w:tc>
          <w:tcPr>
            <w:tcW w:w="1290" w:type="dxa"/>
            <w:gridSpan w:val="2"/>
            <w:tcBorders>
              <w:top w:val="nil"/>
              <w:bottom w:val="nil"/>
              <w:right w:val="single" w:sz="4" w:space="0" w:color="000000" w:themeColor="text1"/>
            </w:tcBorders>
            <w:shd w:val="clear" w:color="auto" w:fill="D9D9D9" w:themeFill="background1" w:themeFillShade="D9"/>
          </w:tcPr>
          <w:p w14:paraId="3F1A1DBB"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-17 pts</w:t>
            </w:r>
          </w:p>
        </w:tc>
        <w:tc>
          <w:tcPr>
            <w:tcW w:w="1290" w:type="dxa"/>
            <w:tcBorders>
              <w:left w:val="single" w:sz="4" w:space="0" w:color="000000" w:themeColor="text1"/>
            </w:tcBorders>
            <w:shd w:val="clear" w:color="auto" w:fill="D9D9D9" w:themeFill="background1" w:themeFillShade="D9"/>
          </w:tcPr>
          <w:p w14:paraId="67F377C2"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62%</w:t>
            </w:r>
          </w:p>
        </w:tc>
        <w:tc>
          <w:tcPr>
            <w:tcW w:w="1290" w:type="dxa"/>
            <w:gridSpan w:val="2"/>
            <w:tcBorders>
              <w:right w:val="single" w:sz="4" w:space="0" w:color="000000" w:themeColor="text1"/>
            </w:tcBorders>
            <w:shd w:val="clear" w:color="auto" w:fill="D9D9D9" w:themeFill="background1" w:themeFillShade="D9"/>
          </w:tcPr>
          <w:p w14:paraId="02462BBE"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-13 pts</w:t>
            </w:r>
          </w:p>
        </w:tc>
        <w:tc>
          <w:tcPr>
            <w:tcW w:w="1290" w:type="dxa"/>
            <w:tcBorders>
              <w:top w:val="nil"/>
              <w:left w:val="single" w:sz="4" w:space="0" w:color="000000" w:themeColor="text1"/>
              <w:bottom w:val="nil"/>
            </w:tcBorders>
            <w:shd w:val="clear" w:color="auto" w:fill="D9D9D9" w:themeFill="background1" w:themeFillShade="D9"/>
          </w:tcPr>
          <w:p w14:paraId="5908B877" w14:textId="77777777" w:rsidR="00652695" w:rsidRPr="00A36D63"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21%</w:t>
            </w:r>
          </w:p>
        </w:tc>
        <w:tc>
          <w:tcPr>
            <w:tcW w:w="1290" w:type="dxa"/>
            <w:tcBorders>
              <w:top w:val="nil"/>
              <w:bottom w:val="nil"/>
            </w:tcBorders>
            <w:shd w:val="clear" w:color="auto" w:fill="D9D9D9" w:themeFill="background1" w:themeFillShade="D9"/>
          </w:tcPr>
          <w:p w14:paraId="3E99A006" w14:textId="77777777" w:rsidR="00652695" w:rsidRPr="00A36D63"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-11 pts</w:t>
            </w:r>
          </w:p>
        </w:tc>
      </w:tr>
      <w:tr w:rsidR="00652695" w:rsidRPr="001E215B" w14:paraId="60DE86B5" w14:textId="77777777" w:rsidTr="0033060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none" w:sz="0" w:space="0" w:color="auto"/>
              <w:right w:val="single" w:sz="4" w:space="0" w:color="000000" w:themeColor="text1"/>
            </w:tcBorders>
          </w:tcPr>
          <w:p w14:paraId="6A9019E4" w14:textId="77777777" w:rsidR="00652695" w:rsidRPr="00E97028" w:rsidRDefault="00652695" w:rsidP="00652695">
            <w:pPr>
              <w:rPr>
                <w:i w:val="0"/>
                <w:iCs w:val="0"/>
                <w:sz w:val="20"/>
                <w:szCs w:val="20"/>
                <w:lang w:val="en-US"/>
              </w:rPr>
            </w:pPr>
            <w:r w:rsidRPr="00E97028">
              <w:rPr>
                <w:i w:val="0"/>
                <w:iCs w:val="0"/>
                <w:sz w:val="20"/>
                <w:szCs w:val="20"/>
                <w:lang w:val="en-US"/>
              </w:rPr>
              <w:t>QLD</w:t>
            </w:r>
          </w:p>
        </w:tc>
        <w:tc>
          <w:tcPr>
            <w:tcW w:w="1290" w:type="dxa"/>
            <w:gridSpan w:val="2"/>
            <w:tcBorders>
              <w:top w:val="nil"/>
              <w:left w:val="single" w:sz="4" w:space="0" w:color="000000" w:themeColor="text1"/>
              <w:bottom w:val="nil"/>
            </w:tcBorders>
          </w:tcPr>
          <w:p w14:paraId="353E3EE8"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54%</w:t>
            </w:r>
          </w:p>
        </w:tc>
        <w:tc>
          <w:tcPr>
            <w:tcW w:w="1290" w:type="dxa"/>
            <w:gridSpan w:val="2"/>
            <w:tcBorders>
              <w:top w:val="nil"/>
              <w:bottom w:val="nil"/>
              <w:right w:val="single" w:sz="4" w:space="0" w:color="000000" w:themeColor="text1"/>
            </w:tcBorders>
          </w:tcPr>
          <w:p w14:paraId="30002685"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-5 pts</w:t>
            </w:r>
          </w:p>
        </w:tc>
        <w:tc>
          <w:tcPr>
            <w:tcW w:w="1290" w:type="dxa"/>
            <w:tcBorders>
              <w:left w:val="single" w:sz="4" w:space="0" w:color="000000" w:themeColor="text1"/>
            </w:tcBorders>
          </w:tcPr>
          <w:p w14:paraId="10D286CC"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62%</w:t>
            </w:r>
          </w:p>
        </w:tc>
        <w:tc>
          <w:tcPr>
            <w:tcW w:w="1290" w:type="dxa"/>
            <w:gridSpan w:val="2"/>
            <w:tcBorders>
              <w:right w:val="single" w:sz="4" w:space="0" w:color="000000" w:themeColor="text1"/>
            </w:tcBorders>
          </w:tcPr>
          <w:p w14:paraId="778A08B6"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-8 pts</w:t>
            </w:r>
          </w:p>
        </w:tc>
        <w:tc>
          <w:tcPr>
            <w:tcW w:w="1290" w:type="dxa"/>
            <w:tcBorders>
              <w:top w:val="nil"/>
              <w:left w:val="single" w:sz="4" w:space="0" w:color="000000" w:themeColor="text1"/>
              <w:bottom w:val="nil"/>
            </w:tcBorders>
          </w:tcPr>
          <w:p w14:paraId="057D2EB3"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26%</w:t>
            </w:r>
          </w:p>
        </w:tc>
        <w:tc>
          <w:tcPr>
            <w:tcW w:w="1290" w:type="dxa"/>
            <w:tcBorders>
              <w:top w:val="nil"/>
              <w:bottom w:val="nil"/>
            </w:tcBorders>
          </w:tcPr>
          <w:p w14:paraId="2E7530D1"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-3 pts</w:t>
            </w:r>
          </w:p>
        </w:tc>
      </w:tr>
      <w:tr w:rsidR="00652695" w:rsidRPr="001E215B" w14:paraId="52A3DD80" w14:textId="77777777" w:rsidTr="00330605">
        <w:trPr>
          <w:cnfStyle w:val="000000100000" w:firstRow="0" w:lastRow="0" w:firstColumn="0" w:lastColumn="0" w:oddVBand="0" w:evenVBand="0" w:oddHBand="1" w:evenHBand="0" w:firstRowFirstColumn="0" w:firstRowLastColumn="0" w:lastRowFirstColumn="0" w:lastRowLastColumn="0"/>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single" w:sz="4" w:space="0" w:color="000000" w:themeColor="text1"/>
              <w:right w:val="single" w:sz="4" w:space="0" w:color="000000" w:themeColor="text1"/>
            </w:tcBorders>
            <w:shd w:val="clear" w:color="auto" w:fill="D9D9D9" w:themeFill="background1" w:themeFillShade="D9"/>
          </w:tcPr>
          <w:p w14:paraId="53E2C437" w14:textId="77777777" w:rsidR="00652695" w:rsidRPr="00E96AD6" w:rsidRDefault="00652695" w:rsidP="00652695">
            <w:pPr>
              <w:rPr>
                <w:i w:val="0"/>
                <w:iCs w:val="0"/>
                <w:sz w:val="20"/>
                <w:szCs w:val="20"/>
              </w:rPr>
            </w:pPr>
            <w:r w:rsidRPr="00E96AD6">
              <w:rPr>
                <w:i w:val="0"/>
                <w:iCs w:val="0"/>
                <w:sz w:val="20"/>
                <w:szCs w:val="20"/>
              </w:rPr>
              <w:t>SA</w:t>
            </w:r>
          </w:p>
        </w:tc>
        <w:tc>
          <w:tcPr>
            <w:tcW w:w="1290" w:type="dxa"/>
            <w:gridSpan w:val="2"/>
            <w:tcBorders>
              <w:top w:val="nil"/>
              <w:left w:val="single" w:sz="4" w:space="0" w:color="000000" w:themeColor="text1"/>
              <w:bottom w:val="nil"/>
            </w:tcBorders>
            <w:shd w:val="clear" w:color="auto" w:fill="D9D9D9" w:themeFill="background1" w:themeFillShade="D9"/>
          </w:tcPr>
          <w:p w14:paraId="3D8E527D"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47%</w:t>
            </w:r>
          </w:p>
        </w:tc>
        <w:tc>
          <w:tcPr>
            <w:tcW w:w="1290" w:type="dxa"/>
            <w:gridSpan w:val="2"/>
            <w:tcBorders>
              <w:top w:val="nil"/>
              <w:bottom w:val="nil"/>
              <w:right w:val="single" w:sz="4" w:space="0" w:color="000000" w:themeColor="text1"/>
            </w:tcBorders>
            <w:shd w:val="clear" w:color="auto" w:fill="D9D9D9" w:themeFill="background1" w:themeFillShade="D9"/>
          </w:tcPr>
          <w:p w14:paraId="17FF5D74"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-5 pts</w:t>
            </w:r>
          </w:p>
        </w:tc>
        <w:tc>
          <w:tcPr>
            <w:tcW w:w="1290" w:type="dxa"/>
            <w:tcBorders>
              <w:left w:val="single" w:sz="4" w:space="0" w:color="000000" w:themeColor="text1"/>
            </w:tcBorders>
            <w:shd w:val="clear" w:color="auto" w:fill="D9D9D9" w:themeFill="background1" w:themeFillShade="D9"/>
          </w:tcPr>
          <w:p w14:paraId="3AB0EF07"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60%</w:t>
            </w:r>
          </w:p>
        </w:tc>
        <w:tc>
          <w:tcPr>
            <w:tcW w:w="1290" w:type="dxa"/>
            <w:gridSpan w:val="2"/>
            <w:tcBorders>
              <w:right w:val="single" w:sz="4" w:space="0" w:color="000000" w:themeColor="text1"/>
            </w:tcBorders>
            <w:shd w:val="clear" w:color="auto" w:fill="D9D9D9" w:themeFill="background1" w:themeFillShade="D9"/>
          </w:tcPr>
          <w:p w14:paraId="30CEA8C0"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-4 pts</w:t>
            </w:r>
          </w:p>
        </w:tc>
        <w:tc>
          <w:tcPr>
            <w:tcW w:w="1290" w:type="dxa"/>
            <w:tcBorders>
              <w:top w:val="nil"/>
              <w:left w:val="single" w:sz="4" w:space="0" w:color="000000" w:themeColor="text1"/>
              <w:bottom w:val="nil"/>
            </w:tcBorders>
            <w:shd w:val="clear" w:color="auto" w:fill="D9D9D9" w:themeFill="background1" w:themeFillShade="D9"/>
          </w:tcPr>
          <w:p w14:paraId="032C92FD"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23%</w:t>
            </w:r>
          </w:p>
        </w:tc>
        <w:tc>
          <w:tcPr>
            <w:tcW w:w="1290" w:type="dxa"/>
            <w:tcBorders>
              <w:top w:val="nil"/>
              <w:bottom w:val="nil"/>
            </w:tcBorders>
            <w:shd w:val="clear" w:color="auto" w:fill="D9D9D9" w:themeFill="background1" w:themeFillShade="D9"/>
          </w:tcPr>
          <w:p w14:paraId="600FA117"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2 pts</w:t>
            </w:r>
          </w:p>
        </w:tc>
      </w:tr>
      <w:tr w:rsidR="00652695" w:rsidRPr="001E215B" w14:paraId="365B39C0" w14:textId="77777777" w:rsidTr="0033060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none" w:sz="0" w:space="0" w:color="auto"/>
              <w:right w:val="single" w:sz="4" w:space="0" w:color="000000" w:themeColor="text1"/>
            </w:tcBorders>
          </w:tcPr>
          <w:p w14:paraId="737568CA" w14:textId="77777777" w:rsidR="00652695" w:rsidRPr="00E97028" w:rsidRDefault="00652695" w:rsidP="00652695">
            <w:pPr>
              <w:rPr>
                <w:i w:val="0"/>
                <w:iCs w:val="0"/>
                <w:sz w:val="20"/>
                <w:szCs w:val="20"/>
                <w:lang w:val="en-US"/>
              </w:rPr>
            </w:pPr>
            <w:r w:rsidRPr="00E97028">
              <w:rPr>
                <w:i w:val="0"/>
                <w:iCs w:val="0"/>
                <w:sz w:val="20"/>
                <w:szCs w:val="20"/>
                <w:lang w:val="en-US"/>
              </w:rPr>
              <w:t>WA</w:t>
            </w:r>
          </w:p>
        </w:tc>
        <w:tc>
          <w:tcPr>
            <w:tcW w:w="1290" w:type="dxa"/>
            <w:gridSpan w:val="2"/>
            <w:tcBorders>
              <w:top w:val="nil"/>
              <w:left w:val="single" w:sz="4" w:space="0" w:color="000000" w:themeColor="text1"/>
              <w:bottom w:val="nil"/>
            </w:tcBorders>
          </w:tcPr>
          <w:p w14:paraId="7A41FFCC"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55%</w:t>
            </w:r>
          </w:p>
        </w:tc>
        <w:tc>
          <w:tcPr>
            <w:tcW w:w="1290" w:type="dxa"/>
            <w:gridSpan w:val="2"/>
            <w:tcBorders>
              <w:top w:val="nil"/>
              <w:bottom w:val="nil"/>
              <w:right w:val="single" w:sz="4" w:space="0" w:color="000000" w:themeColor="text1"/>
            </w:tcBorders>
          </w:tcPr>
          <w:p w14:paraId="50FF1D09"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1 pts</w:t>
            </w:r>
          </w:p>
        </w:tc>
        <w:tc>
          <w:tcPr>
            <w:tcW w:w="1290" w:type="dxa"/>
            <w:tcBorders>
              <w:left w:val="single" w:sz="4" w:space="0" w:color="000000" w:themeColor="text1"/>
            </w:tcBorders>
          </w:tcPr>
          <w:p w14:paraId="6609B9B5"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51%</w:t>
            </w:r>
          </w:p>
        </w:tc>
        <w:tc>
          <w:tcPr>
            <w:tcW w:w="1290" w:type="dxa"/>
            <w:gridSpan w:val="2"/>
            <w:tcBorders>
              <w:right w:val="single" w:sz="4" w:space="0" w:color="000000" w:themeColor="text1"/>
            </w:tcBorders>
          </w:tcPr>
          <w:p w14:paraId="1E2653FC"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-24 pts</w:t>
            </w:r>
          </w:p>
        </w:tc>
        <w:tc>
          <w:tcPr>
            <w:tcW w:w="1290" w:type="dxa"/>
            <w:tcBorders>
              <w:top w:val="nil"/>
              <w:left w:val="single" w:sz="4" w:space="0" w:color="000000" w:themeColor="text1"/>
              <w:bottom w:val="nil"/>
            </w:tcBorders>
          </w:tcPr>
          <w:p w14:paraId="3F70AE5B"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22%</w:t>
            </w:r>
          </w:p>
        </w:tc>
        <w:tc>
          <w:tcPr>
            <w:tcW w:w="1290" w:type="dxa"/>
            <w:tcBorders>
              <w:top w:val="nil"/>
              <w:bottom w:val="nil"/>
            </w:tcBorders>
          </w:tcPr>
          <w:p w14:paraId="60DDC1A8"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 pts</w:t>
            </w:r>
          </w:p>
        </w:tc>
      </w:tr>
      <w:tr w:rsidR="00652695" w:rsidRPr="001E215B" w14:paraId="471D98A3" w14:textId="77777777" w:rsidTr="00330605">
        <w:trPr>
          <w:cnfStyle w:val="000000100000" w:firstRow="0" w:lastRow="0" w:firstColumn="0" w:lastColumn="0" w:oddVBand="0" w:evenVBand="0" w:oddHBand="1" w:evenHBand="0" w:firstRowFirstColumn="0" w:firstRowLastColumn="0" w:lastRowFirstColumn="0" w:lastRowLastColumn="0"/>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single" w:sz="4" w:space="0" w:color="000000" w:themeColor="text1"/>
              <w:right w:val="single" w:sz="4" w:space="0" w:color="000000" w:themeColor="text1"/>
            </w:tcBorders>
            <w:shd w:val="clear" w:color="auto" w:fill="D9D9D9" w:themeFill="background1" w:themeFillShade="D9"/>
          </w:tcPr>
          <w:p w14:paraId="64C34DEB" w14:textId="77777777" w:rsidR="00652695" w:rsidRPr="00E96AD6" w:rsidRDefault="00652695" w:rsidP="00652695">
            <w:pPr>
              <w:rPr>
                <w:i w:val="0"/>
                <w:iCs w:val="0"/>
                <w:sz w:val="20"/>
                <w:szCs w:val="20"/>
              </w:rPr>
            </w:pPr>
            <w:r w:rsidRPr="00E96AD6">
              <w:rPr>
                <w:i w:val="0"/>
                <w:iCs w:val="0"/>
                <w:sz w:val="20"/>
                <w:szCs w:val="20"/>
              </w:rPr>
              <w:t>TAS</w:t>
            </w:r>
          </w:p>
        </w:tc>
        <w:tc>
          <w:tcPr>
            <w:tcW w:w="1290" w:type="dxa"/>
            <w:gridSpan w:val="2"/>
            <w:tcBorders>
              <w:top w:val="nil"/>
              <w:left w:val="single" w:sz="4" w:space="0" w:color="000000" w:themeColor="text1"/>
              <w:bottom w:val="nil"/>
            </w:tcBorders>
            <w:shd w:val="clear" w:color="auto" w:fill="D9D9D9" w:themeFill="background1" w:themeFillShade="D9"/>
          </w:tcPr>
          <w:p w14:paraId="3391220A"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44%</w:t>
            </w:r>
          </w:p>
        </w:tc>
        <w:tc>
          <w:tcPr>
            <w:tcW w:w="1290" w:type="dxa"/>
            <w:gridSpan w:val="2"/>
            <w:tcBorders>
              <w:top w:val="nil"/>
              <w:bottom w:val="nil"/>
              <w:right w:val="single" w:sz="4" w:space="0" w:color="000000" w:themeColor="text1"/>
            </w:tcBorders>
            <w:shd w:val="clear" w:color="auto" w:fill="D9D9D9" w:themeFill="background1" w:themeFillShade="D9"/>
          </w:tcPr>
          <w:p w14:paraId="61D3A229"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-8 pts</w:t>
            </w:r>
          </w:p>
        </w:tc>
        <w:tc>
          <w:tcPr>
            <w:tcW w:w="1290" w:type="dxa"/>
            <w:tcBorders>
              <w:left w:val="single" w:sz="4" w:space="0" w:color="000000" w:themeColor="text1"/>
            </w:tcBorders>
            <w:shd w:val="clear" w:color="auto" w:fill="D9D9D9" w:themeFill="background1" w:themeFillShade="D9"/>
          </w:tcPr>
          <w:p w14:paraId="0F00F882" w14:textId="5A0DB3B9"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46%*</w:t>
            </w:r>
          </w:p>
        </w:tc>
        <w:tc>
          <w:tcPr>
            <w:tcW w:w="1290" w:type="dxa"/>
            <w:gridSpan w:val="2"/>
            <w:tcBorders>
              <w:right w:val="single" w:sz="4" w:space="0" w:color="000000" w:themeColor="text1"/>
            </w:tcBorders>
            <w:shd w:val="clear" w:color="auto" w:fill="D9D9D9" w:themeFill="background1" w:themeFillShade="D9"/>
          </w:tcPr>
          <w:p w14:paraId="334A3F23"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-21 pts*</w:t>
            </w:r>
          </w:p>
        </w:tc>
        <w:tc>
          <w:tcPr>
            <w:tcW w:w="1290" w:type="dxa"/>
            <w:tcBorders>
              <w:top w:val="nil"/>
              <w:left w:val="single" w:sz="4" w:space="0" w:color="000000" w:themeColor="text1"/>
              <w:bottom w:val="nil"/>
            </w:tcBorders>
            <w:shd w:val="clear" w:color="auto" w:fill="D9D9D9" w:themeFill="background1" w:themeFillShade="D9"/>
          </w:tcPr>
          <w:p w14:paraId="4264E620"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30%</w:t>
            </w:r>
          </w:p>
        </w:tc>
        <w:tc>
          <w:tcPr>
            <w:tcW w:w="1290" w:type="dxa"/>
            <w:tcBorders>
              <w:top w:val="nil"/>
              <w:bottom w:val="nil"/>
            </w:tcBorders>
            <w:shd w:val="clear" w:color="auto" w:fill="D9D9D9" w:themeFill="background1" w:themeFillShade="D9"/>
          </w:tcPr>
          <w:p w14:paraId="33DD2D3F" w14:textId="77777777" w:rsidR="00652695" w:rsidRPr="00E97028"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E97028">
              <w:rPr>
                <w:sz w:val="20"/>
                <w:szCs w:val="20"/>
              </w:rPr>
              <w:t>9 pts</w:t>
            </w:r>
          </w:p>
        </w:tc>
      </w:tr>
      <w:tr w:rsidR="00652695" w:rsidRPr="001E215B" w14:paraId="05C8D253" w14:textId="77777777" w:rsidTr="00330605">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none" w:sz="0" w:space="0" w:color="auto"/>
              <w:right w:val="single" w:sz="4" w:space="0" w:color="000000" w:themeColor="text1"/>
            </w:tcBorders>
          </w:tcPr>
          <w:p w14:paraId="55757B62" w14:textId="77777777" w:rsidR="00652695" w:rsidRPr="00E97028" w:rsidRDefault="00652695" w:rsidP="00652695">
            <w:pPr>
              <w:rPr>
                <w:i w:val="0"/>
                <w:iCs w:val="0"/>
                <w:sz w:val="20"/>
                <w:szCs w:val="20"/>
                <w:lang w:val="en-US"/>
              </w:rPr>
            </w:pPr>
            <w:r w:rsidRPr="00E97028">
              <w:rPr>
                <w:i w:val="0"/>
                <w:iCs w:val="0"/>
                <w:sz w:val="20"/>
                <w:szCs w:val="20"/>
                <w:lang w:val="en-US"/>
              </w:rPr>
              <w:t>NT</w:t>
            </w:r>
            <w:r w:rsidRPr="00E97028">
              <w:rPr>
                <w:i w:val="0"/>
                <w:iCs w:val="0"/>
                <w:sz w:val="20"/>
                <w:szCs w:val="20"/>
                <w:vertAlign w:val="superscript"/>
                <w:lang w:val="en-US"/>
              </w:rPr>
              <w:t>#</w:t>
            </w:r>
          </w:p>
        </w:tc>
        <w:tc>
          <w:tcPr>
            <w:tcW w:w="1290" w:type="dxa"/>
            <w:gridSpan w:val="2"/>
            <w:tcBorders>
              <w:top w:val="nil"/>
              <w:left w:val="single" w:sz="4" w:space="0" w:color="000000" w:themeColor="text1"/>
              <w:bottom w:val="nil"/>
            </w:tcBorders>
          </w:tcPr>
          <w:p w14:paraId="170B3419"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67%</w:t>
            </w:r>
          </w:p>
        </w:tc>
        <w:tc>
          <w:tcPr>
            <w:tcW w:w="1290" w:type="dxa"/>
            <w:gridSpan w:val="2"/>
            <w:tcBorders>
              <w:top w:val="nil"/>
              <w:bottom w:val="nil"/>
              <w:right w:val="single" w:sz="4" w:space="0" w:color="000000" w:themeColor="text1"/>
            </w:tcBorders>
          </w:tcPr>
          <w:p w14:paraId="23DA603A"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-9 pts</w:t>
            </w:r>
          </w:p>
        </w:tc>
        <w:tc>
          <w:tcPr>
            <w:tcW w:w="1290" w:type="dxa"/>
            <w:tcBorders>
              <w:left w:val="single" w:sz="4" w:space="0" w:color="000000" w:themeColor="text1"/>
            </w:tcBorders>
          </w:tcPr>
          <w:p w14:paraId="0BAA4CF1"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68%</w:t>
            </w:r>
          </w:p>
        </w:tc>
        <w:tc>
          <w:tcPr>
            <w:tcW w:w="1290" w:type="dxa"/>
            <w:gridSpan w:val="2"/>
            <w:tcBorders>
              <w:right w:val="single" w:sz="4" w:space="0" w:color="000000" w:themeColor="text1"/>
            </w:tcBorders>
          </w:tcPr>
          <w:p w14:paraId="1F56720D"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-6 pts</w:t>
            </w:r>
          </w:p>
        </w:tc>
        <w:tc>
          <w:tcPr>
            <w:tcW w:w="1290" w:type="dxa"/>
            <w:tcBorders>
              <w:top w:val="nil"/>
              <w:left w:val="single" w:sz="4" w:space="0" w:color="000000" w:themeColor="text1"/>
              <w:bottom w:val="nil"/>
            </w:tcBorders>
          </w:tcPr>
          <w:p w14:paraId="52620E8D"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24%</w:t>
            </w:r>
          </w:p>
        </w:tc>
        <w:tc>
          <w:tcPr>
            <w:tcW w:w="1290" w:type="dxa"/>
            <w:tcBorders>
              <w:top w:val="nil"/>
              <w:bottom w:val="nil"/>
            </w:tcBorders>
          </w:tcPr>
          <w:p w14:paraId="16D5090C" w14:textId="77777777" w:rsidR="00652695" w:rsidRPr="00E97028" w:rsidRDefault="00652695" w:rsidP="00652695">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E97028">
              <w:rPr>
                <w:sz w:val="20"/>
                <w:szCs w:val="20"/>
              </w:rPr>
              <w:t>-10 pts</w:t>
            </w:r>
          </w:p>
        </w:tc>
      </w:tr>
      <w:tr w:rsidR="00652695" w:rsidRPr="00E96AD6" w14:paraId="711AB29E" w14:textId="77777777" w:rsidTr="00330605">
        <w:trPr>
          <w:cnfStyle w:val="000000100000" w:firstRow="0" w:lastRow="0" w:firstColumn="0" w:lastColumn="0" w:oddVBand="0" w:evenVBand="0" w:oddHBand="1" w:evenHBand="0" w:firstRowFirstColumn="0" w:firstRowLastColumn="0" w:lastRowFirstColumn="0" w:lastRowLastColumn="0"/>
          <w:trHeight w:hRule="exact" w:val="272"/>
          <w:jc w:val="center"/>
        </w:trPr>
        <w:tc>
          <w:tcPr>
            <w:cnfStyle w:val="001000000000" w:firstRow="0" w:lastRow="0" w:firstColumn="1" w:lastColumn="0" w:oddVBand="0" w:evenVBand="0" w:oddHBand="0" w:evenHBand="0" w:firstRowFirstColumn="0" w:firstRowLastColumn="0" w:lastRowFirstColumn="0" w:lastRowLastColumn="0"/>
            <w:tcW w:w="1121"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398024" w14:textId="77777777" w:rsidR="00652695" w:rsidRPr="00423713" w:rsidRDefault="00652695" w:rsidP="00652695">
            <w:pPr>
              <w:rPr>
                <w:i w:val="0"/>
                <w:iCs w:val="0"/>
                <w:sz w:val="20"/>
                <w:szCs w:val="20"/>
                <w:lang w:val="en-US"/>
              </w:rPr>
            </w:pPr>
            <w:r w:rsidRPr="00423713">
              <w:rPr>
                <w:i w:val="0"/>
                <w:iCs w:val="0"/>
                <w:sz w:val="20"/>
                <w:szCs w:val="20"/>
                <w:lang w:val="en-US"/>
              </w:rPr>
              <w:t>ACT</w:t>
            </w:r>
            <w:r w:rsidRPr="00423713">
              <w:rPr>
                <w:i w:val="0"/>
                <w:iCs w:val="0"/>
                <w:sz w:val="20"/>
                <w:szCs w:val="20"/>
                <w:vertAlign w:val="superscript"/>
                <w:lang w:val="en-US"/>
              </w:rPr>
              <w:t>#</w:t>
            </w:r>
          </w:p>
        </w:tc>
        <w:tc>
          <w:tcPr>
            <w:tcW w:w="1290" w:type="dxa"/>
            <w:gridSpan w:val="2"/>
            <w:tcBorders>
              <w:top w:val="nil"/>
              <w:left w:val="single" w:sz="4" w:space="0" w:color="000000" w:themeColor="text1"/>
              <w:bottom w:val="single" w:sz="4" w:space="0" w:color="000000" w:themeColor="text1"/>
            </w:tcBorders>
            <w:shd w:val="clear" w:color="auto" w:fill="D9D9D9" w:themeFill="background1" w:themeFillShade="D9"/>
          </w:tcPr>
          <w:p w14:paraId="2CF58B38"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51%</w:t>
            </w:r>
          </w:p>
        </w:tc>
        <w:tc>
          <w:tcPr>
            <w:tcW w:w="1290" w:type="dxa"/>
            <w:gridSpan w:val="2"/>
            <w:tcBorders>
              <w:top w:val="nil"/>
              <w:bottom w:val="single" w:sz="4" w:space="0" w:color="000000" w:themeColor="text1"/>
              <w:right w:val="single" w:sz="4" w:space="0" w:color="000000" w:themeColor="text1"/>
            </w:tcBorders>
            <w:shd w:val="clear" w:color="auto" w:fill="D9D9D9" w:themeFill="background1" w:themeFillShade="D9"/>
          </w:tcPr>
          <w:p w14:paraId="62EAA847"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-10 pts</w:t>
            </w:r>
          </w:p>
        </w:tc>
        <w:tc>
          <w:tcPr>
            <w:tcW w:w="1290" w:type="dxa"/>
            <w:tcBorders>
              <w:left w:val="single" w:sz="4" w:space="0" w:color="000000" w:themeColor="text1"/>
            </w:tcBorders>
            <w:shd w:val="clear" w:color="auto" w:fill="D9D9D9" w:themeFill="background1" w:themeFillShade="D9"/>
          </w:tcPr>
          <w:p w14:paraId="5F4689D4"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50%</w:t>
            </w:r>
          </w:p>
        </w:tc>
        <w:tc>
          <w:tcPr>
            <w:tcW w:w="1290" w:type="dxa"/>
            <w:gridSpan w:val="2"/>
            <w:tcBorders>
              <w:right w:val="single" w:sz="4" w:space="0" w:color="000000" w:themeColor="text1"/>
            </w:tcBorders>
            <w:shd w:val="clear" w:color="auto" w:fill="D9D9D9" w:themeFill="background1" w:themeFillShade="D9"/>
          </w:tcPr>
          <w:p w14:paraId="30226248"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-22 pts</w:t>
            </w:r>
          </w:p>
        </w:tc>
        <w:tc>
          <w:tcPr>
            <w:tcW w:w="1290" w:type="dxa"/>
            <w:tcBorders>
              <w:top w:val="nil"/>
              <w:left w:val="single" w:sz="4" w:space="0" w:color="000000" w:themeColor="text1"/>
              <w:bottom w:val="single" w:sz="4" w:space="0" w:color="000000" w:themeColor="text1"/>
            </w:tcBorders>
            <w:shd w:val="clear" w:color="auto" w:fill="D9D9D9" w:themeFill="background1" w:themeFillShade="D9"/>
          </w:tcPr>
          <w:p w14:paraId="32213CF3"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25%</w:t>
            </w:r>
          </w:p>
        </w:tc>
        <w:tc>
          <w:tcPr>
            <w:tcW w:w="1290" w:type="dxa"/>
            <w:tcBorders>
              <w:top w:val="nil"/>
              <w:bottom w:val="single" w:sz="4" w:space="0" w:color="000000" w:themeColor="text1"/>
            </w:tcBorders>
            <w:shd w:val="clear" w:color="auto" w:fill="D9D9D9" w:themeFill="background1" w:themeFillShade="D9"/>
          </w:tcPr>
          <w:p w14:paraId="402BF31F" w14:textId="77777777" w:rsidR="00652695" w:rsidRPr="00E96AD6" w:rsidRDefault="00652695" w:rsidP="0065269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97028">
              <w:rPr>
                <w:sz w:val="20"/>
                <w:szCs w:val="20"/>
              </w:rPr>
              <w:t>-9 pts</w:t>
            </w:r>
          </w:p>
        </w:tc>
      </w:tr>
    </w:tbl>
    <w:p w14:paraId="3AADCE96" w14:textId="77777777" w:rsidR="00795F7F" w:rsidRDefault="00652695" w:rsidP="00F134A5">
      <w:pPr>
        <w:pStyle w:val="Source"/>
        <w:spacing w:before="0"/>
        <w:rPr>
          <w:sz w:val="16"/>
          <w:szCs w:val="16"/>
        </w:rPr>
      </w:pPr>
      <w:r w:rsidRPr="00EB33B4">
        <w:rPr>
          <w:sz w:val="16"/>
          <w:szCs w:val="16"/>
        </w:rPr>
        <w:t xml:space="preserve"># Due to smaller sample sizes, data for the NT and ACT are based on six-month average data (June qtr to Sep qtr). </w:t>
      </w:r>
      <w:r w:rsidRPr="00EB33B4">
        <w:rPr>
          <w:sz w:val="16"/>
          <w:szCs w:val="16"/>
        </w:rPr>
        <w:br/>
        <w:t>* Interpret with caution due to low sample size.</w:t>
      </w:r>
    </w:p>
    <w:p w14:paraId="053DD651" w14:textId="44AA9277" w:rsidR="00A41254" w:rsidRPr="00EB33B4" w:rsidRDefault="00652695" w:rsidP="00F134A5">
      <w:pPr>
        <w:pStyle w:val="Caption"/>
        <w:spacing w:before="240" w:after="0"/>
        <w:rPr>
          <w:sz w:val="16"/>
          <w:szCs w:val="16"/>
        </w:rPr>
      </w:pPr>
      <w:r w:rsidRPr="00652695">
        <w:t xml:space="preserve">Figure 1. Recruitment rate by state, September </w:t>
      </w:r>
      <w:r w:rsidR="00B56DB8">
        <w:t>quarter</w:t>
      </w:r>
      <w:r w:rsidRPr="00652695">
        <w:t xml:space="preserve"> 2022 – September </w:t>
      </w:r>
      <w:r w:rsidR="00B56DB8">
        <w:t>quarter</w:t>
      </w:r>
      <w:r w:rsidRPr="00652695">
        <w:t xml:space="preserve"> 2023</w:t>
      </w:r>
    </w:p>
    <w:p w14:paraId="2187D09D" w14:textId="77777777" w:rsidR="00497D36" w:rsidRDefault="00652695" w:rsidP="00B30BBF">
      <w:pPr>
        <w:pStyle w:val="Caption"/>
        <w:spacing w:before="120" w:after="0"/>
      </w:pPr>
      <w:r w:rsidRPr="00F071C8">
        <w:rPr>
          <w:noProof/>
        </w:rPr>
        <w:drawing>
          <wp:inline distT="0" distB="0" distL="0" distR="0" wp14:anchorId="115DA9A8" wp14:editId="5238EEA1">
            <wp:extent cx="5687695" cy="1260000"/>
            <wp:effectExtent l="0" t="0" r="8255" b="0"/>
            <wp:docPr id="1245788911" name="Chart 1" descr="This is a column chart that shows the variation in recruitment rates across NSW, VIC, QLD, SA, WA and TAS.">
              <a:extLst xmlns:a="http://schemas.openxmlformats.org/drawingml/2006/main">
                <a:ext uri="{FF2B5EF4-FFF2-40B4-BE49-F238E27FC236}">
                  <a16:creationId xmlns:a16="http://schemas.microsoft.com/office/drawing/2014/main" id="{9FF84998-E2CB-4AA4-A680-282349274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D65BD6" w14:textId="3CDA6600" w:rsidR="00652695" w:rsidRDefault="00652695" w:rsidP="00B30BBF">
      <w:pPr>
        <w:pStyle w:val="Caption"/>
        <w:spacing w:before="120" w:after="0"/>
      </w:pPr>
      <w:r w:rsidRPr="00652695">
        <w:t xml:space="preserve">Figure 2. Recruitment difficulty rate by state, September </w:t>
      </w:r>
      <w:r w:rsidR="00B56DB8">
        <w:t>quarter</w:t>
      </w:r>
      <w:r w:rsidR="00B56DB8" w:rsidRPr="00652695">
        <w:t xml:space="preserve"> </w:t>
      </w:r>
      <w:r w:rsidRPr="00652695">
        <w:t xml:space="preserve">2022 – September </w:t>
      </w:r>
      <w:r w:rsidR="00B56DB8">
        <w:t>quarter</w:t>
      </w:r>
      <w:r w:rsidR="00B56DB8" w:rsidRPr="00652695">
        <w:t xml:space="preserve"> </w:t>
      </w:r>
      <w:r w:rsidRPr="00652695">
        <w:t>2023</w:t>
      </w:r>
    </w:p>
    <w:p w14:paraId="2E819D6D" w14:textId="77777777" w:rsidR="005B7B9D" w:rsidRDefault="00652695" w:rsidP="00B56DB8">
      <w:pPr>
        <w:pStyle w:val="Caption"/>
        <w:spacing w:before="240" w:after="0"/>
      </w:pPr>
      <w:r w:rsidRPr="00F071C8">
        <w:rPr>
          <w:noProof/>
        </w:rPr>
        <w:drawing>
          <wp:inline distT="0" distB="0" distL="0" distR="0" wp14:anchorId="702B0A16" wp14:editId="0AB6FFE9">
            <wp:extent cx="5687695" cy="1224000"/>
            <wp:effectExtent l="0" t="0" r="8255" b="0"/>
            <wp:docPr id="1474424222" name="Chart 1" descr="This is a column chart that shows the variation in recruitment difficulty rates across NSW, VIC, QLD, SA, WA and TAS.">
              <a:extLst xmlns:a="http://schemas.openxmlformats.org/drawingml/2006/main">
                <a:ext uri="{FF2B5EF4-FFF2-40B4-BE49-F238E27FC236}">
                  <a16:creationId xmlns:a16="http://schemas.microsoft.com/office/drawing/2014/main" id="{241ECA1F-C695-4DF2-BA36-4EC4B80EC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984D64" w14:textId="5E0E1D7D" w:rsidR="00652695" w:rsidRDefault="00652695" w:rsidP="00B56DB8">
      <w:pPr>
        <w:pStyle w:val="Caption"/>
        <w:spacing w:before="240" w:after="0"/>
      </w:pPr>
      <w:r>
        <w:t xml:space="preserve">Figure 3. Expecting to increase staff numbers over the next 3 months by state, September </w:t>
      </w:r>
      <w:r w:rsidR="00B56DB8">
        <w:t>quarter</w:t>
      </w:r>
      <w:r w:rsidR="00B56DB8" w:rsidRPr="00652695">
        <w:t xml:space="preserve"> </w:t>
      </w:r>
      <w:r>
        <w:t xml:space="preserve">2022 – September </w:t>
      </w:r>
      <w:r w:rsidR="00B56DB8">
        <w:t>quarter</w:t>
      </w:r>
      <w:r w:rsidR="00B56DB8" w:rsidRPr="00652695">
        <w:t xml:space="preserve"> </w:t>
      </w:r>
      <w:r>
        <w:t>2023</w:t>
      </w:r>
      <w:r w:rsidR="0056234D">
        <w:rPr>
          <w:noProof/>
        </w:rPr>
        <w:drawing>
          <wp:inline distT="0" distB="0" distL="0" distR="0" wp14:anchorId="5E8E3FE4" wp14:editId="541C0D4E">
            <wp:extent cx="5695950" cy="1224000"/>
            <wp:effectExtent l="0" t="0" r="0" b="0"/>
            <wp:docPr id="1181103389" name="Chart 1" descr="This is a column chart that shows the variation in staffing outlook across NSW, VIC, QLD, SA, WA and TAS.">
              <a:extLst xmlns:a="http://schemas.openxmlformats.org/drawingml/2006/main">
                <a:ext uri="{FF2B5EF4-FFF2-40B4-BE49-F238E27FC236}">
                  <a16:creationId xmlns:a16="http://schemas.microsoft.com/office/drawing/2014/main" id="{26F5A250-D238-4CC6-A3D0-77BE51705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2AC095" w14:textId="44318220" w:rsidR="00A41254" w:rsidRPr="00652695" w:rsidRDefault="00795F7F" w:rsidP="005B7B9D">
      <w:pPr>
        <w:pStyle w:val="Caption"/>
        <w:spacing w:before="0"/>
      </w:pPr>
      <w:r>
        <w:rPr>
          <w:noProof/>
        </w:rPr>
        <w:drawing>
          <wp:inline distT="0" distB="0" distL="0" distR="0" wp14:anchorId="6F100F8F" wp14:editId="5E72C2D0">
            <wp:extent cx="5401945" cy="266700"/>
            <wp:effectExtent l="0" t="0" r="8255" b="0"/>
            <wp:docPr id="1235491026" name="Chart 1" descr="This is a column chart that shows the variation in recruitment rates across NSW, VIC, QLD, SA, WA and TAS.">
              <a:extLst xmlns:a="http://schemas.openxmlformats.org/drawingml/2006/main">
                <a:ext uri="{FF2B5EF4-FFF2-40B4-BE49-F238E27FC236}">
                  <a16:creationId xmlns:a16="http://schemas.microsoft.com/office/drawing/2014/main" id="{28D77649-0DD2-4C70-954E-7D94F7816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41254">
        <w:br w:type="page"/>
      </w:r>
    </w:p>
    <w:p w14:paraId="3778B5EE" w14:textId="77777777" w:rsidR="00652695" w:rsidRDefault="00652695" w:rsidP="00652695">
      <w:pPr>
        <w:pStyle w:val="Heading2"/>
      </w:pPr>
      <w:r>
        <w:lastRenderedPageBreak/>
        <w:t>Key indicators by ARIA location</w:t>
      </w:r>
    </w:p>
    <w:p w14:paraId="5352D034" w14:textId="2CE84886" w:rsidR="00652695" w:rsidRDefault="00652695" w:rsidP="00652695">
      <w:r>
        <w:t>In the September quarter 2023, Outer Regional, Remote, and Very Remote Australia recorded the highest recruitment rate (55%) and the highest level of recruitment difficulty (67%). Expectations to increase staffing was the highest in Inner Regional Australia (27%).</w:t>
      </w:r>
    </w:p>
    <w:p w14:paraId="439B2454" w14:textId="347179B2" w:rsidR="00652695" w:rsidRDefault="00652695" w:rsidP="00652695">
      <w:pPr>
        <w:pStyle w:val="Caption"/>
      </w:pPr>
      <w:r w:rsidRPr="00652695">
        <w:t>Table 2. Key indicators by ARIA location, September quarter 2023</w:t>
      </w:r>
    </w:p>
    <w:tbl>
      <w:tblPr>
        <w:tblStyle w:val="GridTable3"/>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405"/>
        <w:gridCol w:w="1087"/>
        <w:gridCol w:w="1088"/>
        <w:gridCol w:w="1087"/>
        <w:gridCol w:w="1088"/>
        <w:gridCol w:w="1087"/>
        <w:gridCol w:w="1088"/>
      </w:tblGrid>
      <w:tr w:rsidR="00652695" w:rsidRPr="001E215B" w14:paraId="4E1E4FFD" w14:textId="77777777" w:rsidTr="00F134A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2405" w:type="dxa"/>
            <w:tcBorders>
              <w:left w:val="single" w:sz="4" w:space="0" w:color="000000" w:themeColor="text1"/>
              <w:bottom w:val="none" w:sz="0" w:space="0" w:color="auto"/>
              <w:right w:val="single" w:sz="4" w:space="0" w:color="000000" w:themeColor="text1"/>
            </w:tcBorders>
            <w:shd w:val="clear" w:color="auto" w:fill="2F005F"/>
          </w:tcPr>
          <w:p w14:paraId="62C96F08" w14:textId="77777777" w:rsidR="00652695" w:rsidRPr="00652695" w:rsidRDefault="00652695" w:rsidP="001F006B"/>
        </w:tc>
        <w:tc>
          <w:tcPr>
            <w:tcW w:w="2175" w:type="dxa"/>
            <w:gridSpan w:val="2"/>
            <w:tcBorders>
              <w:left w:val="single" w:sz="4" w:space="0" w:color="000000" w:themeColor="text1"/>
              <w:right w:val="single" w:sz="4" w:space="0" w:color="000000" w:themeColor="text1"/>
            </w:tcBorders>
            <w:shd w:val="clear" w:color="auto" w:fill="2F005F"/>
            <w:vAlign w:val="center"/>
          </w:tcPr>
          <w:p w14:paraId="64B57C71" w14:textId="77777777" w:rsidR="00652695" w:rsidRPr="00652695" w:rsidRDefault="00652695" w:rsidP="00C56B7A">
            <w:pPr>
              <w:jc w:val="center"/>
              <w:cnfStyle w:val="100000000000" w:firstRow="1" w:lastRow="0" w:firstColumn="0" w:lastColumn="0" w:oddVBand="0" w:evenVBand="0" w:oddHBand="0" w:evenHBand="0" w:firstRowFirstColumn="0" w:firstRowLastColumn="0" w:lastRowFirstColumn="0" w:lastRowLastColumn="0"/>
              <w:rPr>
                <w:lang w:val="en-US"/>
              </w:rPr>
            </w:pPr>
            <w:r w:rsidRPr="00652695">
              <w:rPr>
                <w:sz w:val="18"/>
                <w:szCs w:val="18"/>
              </w:rPr>
              <w:t>Recruitment rate</w:t>
            </w:r>
          </w:p>
        </w:tc>
        <w:tc>
          <w:tcPr>
            <w:tcW w:w="2175" w:type="dxa"/>
            <w:gridSpan w:val="2"/>
            <w:tcBorders>
              <w:left w:val="single" w:sz="4" w:space="0" w:color="000000" w:themeColor="text1"/>
              <w:right w:val="single" w:sz="4" w:space="0" w:color="000000" w:themeColor="text1"/>
            </w:tcBorders>
            <w:shd w:val="clear" w:color="auto" w:fill="2F005F"/>
            <w:vAlign w:val="center"/>
          </w:tcPr>
          <w:p w14:paraId="2173E287" w14:textId="77777777" w:rsidR="00652695" w:rsidRPr="00652695" w:rsidRDefault="00652695" w:rsidP="00C56B7A">
            <w:pPr>
              <w:jc w:val="center"/>
              <w:cnfStyle w:val="100000000000" w:firstRow="1" w:lastRow="0" w:firstColumn="0" w:lastColumn="0" w:oddVBand="0" w:evenVBand="0" w:oddHBand="0" w:evenHBand="0" w:firstRowFirstColumn="0" w:firstRowLastColumn="0" w:lastRowFirstColumn="0" w:lastRowLastColumn="0"/>
              <w:rPr>
                <w:lang w:val="en-US"/>
              </w:rPr>
            </w:pPr>
            <w:r w:rsidRPr="00652695">
              <w:rPr>
                <w:sz w:val="18"/>
                <w:szCs w:val="18"/>
              </w:rPr>
              <w:t>Recruitment difficulty rate</w:t>
            </w:r>
          </w:p>
        </w:tc>
        <w:tc>
          <w:tcPr>
            <w:tcW w:w="2175" w:type="dxa"/>
            <w:gridSpan w:val="2"/>
            <w:tcBorders>
              <w:left w:val="single" w:sz="4" w:space="0" w:color="000000" w:themeColor="text1"/>
              <w:right w:val="single" w:sz="4" w:space="0" w:color="000000" w:themeColor="text1"/>
            </w:tcBorders>
            <w:shd w:val="clear" w:color="auto" w:fill="2F005F"/>
            <w:vAlign w:val="center"/>
          </w:tcPr>
          <w:p w14:paraId="75C628F6" w14:textId="77777777" w:rsidR="00652695" w:rsidRPr="00652695" w:rsidRDefault="00652695" w:rsidP="00C56B7A">
            <w:pPr>
              <w:jc w:val="center"/>
              <w:cnfStyle w:val="100000000000" w:firstRow="1" w:lastRow="0" w:firstColumn="0" w:lastColumn="0" w:oddVBand="0" w:evenVBand="0" w:oddHBand="0" w:evenHBand="0" w:firstRowFirstColumn="0" w:firstRowLastColumn="0" w:lastRowFirstColumn="0" w:lastRowLastColumn="0"/>
              <w:rPr>
                <w:lang w:val="en-US"/>
              </w:rPr>
            </w:pPr>
            <w:r w:rsidRPr="00652695">
              <w:rPr>
                <w:sz w:val="18"/>
                <w:szCs w:val="18"/>
              </w:rPr>
              <w:t>Expect to increase staff</w:t>
            </w:r>
          </w:p>
        </w:tc>
      </w:tr>
      <w:tr w:rsidR="00652695" w:rsidRPr="001E215B" w14:paraId="25F78248" w14:textId="77777777" w:rsidTr="00F134A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000000" w:themeColor="text1"/>
              <w:bottom w:val="single" w:sz="4" w:space="0" w:color="000000" w:themeColor="text1"/>
              <w:right w:val="single" w:sz="4" w:space="0" w:color="000000" w:themeColor="text1"/>
            </w:tcBorders>
            <w:shd w:val="clear" w:color="auto" w:fill="2F005F"/>
          </w:tcPr>
          <w:p w14:paraId="7BEF8907" w14:textId="77777777" w:rsidR="00652695" w:rsidRPr="00652695" w:rsidRDefault="00652695" w:rsidP="001F006B"/>
        </w:tc>
        <w:tc>
          <w:tcPr>
            <w:tcW w:w="1087" w:type="dxa"/>
            <w:tcBorders>
              <w:left w:val="single" w:sz="4" w:space="0" w:color="000000" w:themeColor="text1"/>
              <w:bottom w:val="single" w:sz="4" w:space="0" w:color="000000" w:themeColor="text1"/>
            </w:tcBorders>
            <w:shd w:val="clear" w:color="auto" w:fill="2F005F"/>
            <w:vAlign w:val="center"/>
          </w:tcPr>
          <w:p w14:paraId="2F68D5DE"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 of employers</w:t>
            </w:r>
          </w:p>
        </w:tc>
        <w:tc>
          <w:tcPr>
            <w:tcW w:w="1088" w:type="dxa"/>
            <w:tcBorders>
              <w:bottom w:val="single" w:sz="4" w:space="0" w:color="000000" w:themeColor="text1"/>
              <w:right w:val="single" w:sz="4" w:space="0" w:color="000000" w:themeColor="text1"/>
            </w:tcBorders>
            <w:shd w:val="clear" w:color="auto" w:fill="2F005F"/>
            <w:vAlign w:val="center"/>
          </w:tcPr>
          <w:p w14:paraId="63E17718"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Annual change</w:t>
            </w:r>
            <w:r w:rsidRPr="00652695">
              <w:rPr>
                <w:sz w:val="18"/>
                <w:szCs w:val="18"/>
              </w:rPr>
              <w:br/>
              <w:t>(% points)</w:t>
            </w:r>
          </w:p>
        </w:tc>
        <w:tc>
          <w:tcPr>
            <w:tcW w:w="1087" w:type="dxa"/>
            <w:tcBorders>
              <w:left w:val="single" w:sz="4" w:space="0" w:color="000000" w:themeColor="text1"/>
              <w:bottom w:val="single" w:sz="4" w:space="0" w:color="000000" w:themeColor="text1"/>
            </w:tcBorders>
            <w:shd w:val="clear" w:color="auto" w:fill="2F005F"/>
            <w:vAlign w:val="center"/>
          </w:tcPr>
          <w:p w14:paraId="5BA2BE91"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 of recruiting employers</w:t>
            </w:r>
          </w:p>
        </w:tc>
        <w:tc>
          <w:tcPr>
            <w:tcW w:w="1088" w:type="dxa"/>
            <w:tcBorders>
              <w:bottom w:val="single" w:sz="4" w:space="0" w:color="000000" w:themeColor="text1"/>
              <w:right w:val="single" w:sz="4" w:space="0" w:color="000000" w:themeColor="text1"/>
            </w:tcBorders>
            <w:shd w:val="clear" w:color="auto" w:fill="2F005F"/>
            <w:vAlign w:val="center"/>
          </w:tcPr>
          <w:p w14:paraId="0D759B44"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Annual change</w:t>
            </w:r>
            <w:r w:rsidRPr="00652695">
              <w:rPr>
                <w:sz w:val="18"/>
                <w:szCs w:val="18"/>
              </w:rPr>
              <w:br/>
              <w:t>(% points)</w:t>
            </w:r>
          </w:p>
        </w:tc>
        <w:tc>
          <w:tcPr>
            <w:tcW w:w="1087" w:type="dxa"/>
            <w:tcBorders>
              <w:left w:val="single" w:sz="4" w:space="0" w:color="000000" w:themeColor="text1"/>
              <w:bottom w:val="single" w:sz="4" w:space="0" w:color="000000" w:themeColor="text1"/>
            </w:tcBorders>
            <w:shd w:val="clear" w:color="auto" w:fill="2F005F"/>
            <w:vAlign w:val="center"/>
          </w:tcPr>
          <w:p w14:paraId="73D24A54"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 of employers</w:t>
            </w:r>
          </w:p>
        </w:tc>
        <w:tc>
          <w:tcPr>
            <w:tcW w:w="1088" w:type="dxa"/>
            <w:tcBorders>
              <w:bottom w:val="single" w:sz="4" w:space="0" w:color="000000" w:themeColor="text1"/>
              <w:right w:val="single" w:sz="4" w:space="0" w:color="000000" w:themeColor="text1"/>
            </w:tcBorders>
            <w:shd w:val="clear" w:color="auto" w:fill="2F005F"/>
            <w:vAlign w:val="center"/>
          </w:tcPr>
          <w:p w14:paraId="657A756B" w14:textId="77777777" w:rsidR="00652695" w:rsidRPr="00652695" w:rsidRDefault="00652695" w:rsidP="00C56B7A">
            <w:pPr>
              <w:jc w:val="center"/>
              <w:cnfStyle w:val="000000100000" w:firstRow="0" w:lastRow="0" w:firstColumn="0" w:lastColumn="0" w:oddVBand="0" w:evenVBand="0" w:oddHBand="1" w:evenHBand="0" w:firstRowFirstColumn="0" w:firstRowLastColumn="0" w:lastRowFirstColumn="0" w:lastRowLastColumn="0"/>
              <w:rPr>
                <w:lang w:val="en-US"/>
              </w:rPr>
            </w:pPr>
            <w:r w:rsidRPr="00652695">
              <w:rPr>
                <w:sz w:val="18"/>
                <w:szCs w:val="18"/>
              </w:rPr>
              <w:t>Annual change</w:t>
            </w:r>
            <w:r w:rsidRPr="00652695">
              <w:rPr>
                <w:sz w:val="18"/>
                <w:szCs w:val="18"/>
              </w:rPr>
              <w:br/>
              <w:t>(% points)</w:t>
            </w:r>
          </w:p>
        </w:tc>
      </w:tr>
      <w:tr w:rsidR="00652695" w:rsidRPr="001E215B" w14:paraId="13164767" w14:textId="77777777" w:rsidTr="00C56B7A">
        <w:trPr>
          <w:trHeight w:val="481"/>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000000" w:themeColor="text1"/>
              <w:left w:val="single" w:sz="4" w:space="0" w:color="000000" w:themeColor="text1"/>
              <w:right w:val="single" w:sz="4" w:space="0" w:color="000000" w:themeColor="text1"/>
            </w:tcBorders>
            <w:vAlign w:val="center"/>
          </w:tcPr>
          <w:p w14:paraId="234DDA07" w14:textId="77777777" w:rsidR="00652695" w:rsidRPr="00C56B7A" w:rsidRDefault="00652695" w:rsidP="00C56B7A">
            <w:pPr>
              <w:spacing w:after="0"/>
              <w:jc w:val="left"/>
              <w:rPr>
                <w:i w:val="0"/>
                <w:iCs w:val="0"/>
                <w:sz w:val="19"/>
                <w:szCs w:val="19"/>
                <w:lang w:val="en-US"/>
              </w:rPr>
            </w:pPr>
            <w:r w:rsidRPr="00C56B7A">
              <w:rPr>
                <w:i w:val="0"/>
                <w:iCs w:val="0"/>
                <w:color w:val="000000"/>
                <w:sz w:val="19"/>
                <w:szCs w:val="19"/>
              </w:rPr>
              <w:t>Major Cities of Australia</w:t>
            </w:r>
          </w:p>
        </w:tc>
        <w:tc>
          <w:tcPr>
            <w:tcW w:w="1087" w:type="dxa"/>
            <w:tcBorders>
              <w:top w:val="single" w:sz="4" w:space="0" w:color="000000" w:themeColor="text1"/>
              <w:left w:val="single" w:sz="4" w:space="0" w:color="000000" w:themeColor="text1"/>
            </w:tcBorders>
            <w:shd w:val="clear" w:color="auto" w:fill="FFFFFF" w:themeFill="background1"/>
            <w:vAlign w:val="center"/>
          </w:tcPr>
          <w:p w14:paraId="7CB1F829"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47%</w:t>
            </w:r>
          </w:p>
        </w:tc>
        <w:tc>
          <w:tcPr>
            <w:tcW w:w="1088" w:type="dxa"/>
            <w:tcBorders>
              <w:top w:val="single" w:sz="4" w:space="0" w:color="000000" w:themeColor="text1"/>
              <w:right w:val="single" w:sz="4" w:space="0" w:color="000000" w:themeColor="text1"/>
            </w:tcBorders>
            <w:shd w:val="clear" w:color="auto" w:fill="FFFFFF" w:themeFill="background1"/>
            <w:vAlign w:val="center"/>
          </w:tcPr>
          <w:p w14:paraId="528A30E2"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-9 pts</w:t>
            </w:r>
          </w:p>
        </w:tc>
        <w:tc>
          <w:tcPr>
            <w:tcW w:w="1087" w:type="dxa"/>
            <w:tcBorders>
              <w:top w:val="single" w:sz="4" w:space="0" w:color="000000" w:themeColor="text1"/>
              <w:left w:val="single" w:sz="4" w:space="0" w:color="000000" w:themeColor="text1"/>
            </w:tcBorders>
            <w:shd w:val="clear" w:color="auto" w:fill="FFFFFF" w:themeFill="background1"/>
            <w:vAlign w:val="center"/>
          </w:tcPr>
          <w:p w14:paraId="1A822ED6"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57%</w:t>
            </w:r>
          </w:p>
        </w:tc>
        <w:tc>
          <w:tcPr>
            <w:tcW w:w="1088" w:type="dxa"/>
            <w:tcBorders>
              <w:top w:val="single" w:sz="4" w:space="0" w:color="000000" w:themeColor="text1"/>
              <w:right w:val="single" w:sz="4" w:space="0" w:color="000000" w:themeColor="text1"/>
            </w:tcBorders>
            <w:shd w:val="clear" w:color="auto" w:fill="FFFFFF" w:themeFill="background1"/>
            <w:vAlign w:val="center"/>
          </w:tcPr>
          <w:p w14:paraId="0F4B8E54"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-15 pts</w:t>
            </w:r>
          </w:p>
        </w:tc>
        <w:tc>
          <w:tcPr>
            <w:tcW w:w="1087" w:type="dxa"/>
            <w:tcBorders>
              <w:top w:val="single" w:sz="4" w:space="0" w:color="000000" w:themeColor="text1"/>
              <w:left w:val="single" w:sz="4" w:space="0" w:color="000000" w:themeColor="text1"/>
            </w:tcBorders>
            <w:shd w:val="clear" w:color="auto" w:fill="FFFFFF" w:themeFill="background1"/>
            <w:vAlign w:val="center"/>
          </w:tcPr>
          <w:p w14:paraId="609FE409"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23%</w:t>
            </w:r>
          </w:p>
        </w:tc>
        <w:tc>
          <w:tcPr>
            <w:tcW w:w="1088" w:type="dxa"/>
            <w:tcBorders>
              <w:top w:val="single" w:sz="4" w:space="0" w:color="000000" w:themeColor="text1"/>
              <w:right w:val="single" w:sz="4" w:space="0" w:color="000000" w:themeColor="text1"/>
            </w:tcBorders>
            <w:shd w:val="clear" w:color="auto" w:fill="FFFFFF" w:themeFill="background1"/>
            <w:vAlign w:val="center"/>
          </w:tcPr>
          <w:p w14:paraId="70FC1DF6"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-6 pts</w:t>
            </w:r>
          </w:p>
        </w:tc>
      </w:tr>
      <w:tr w:rsidR="00652695" w:rsidRPr="001E215B" w14:paraId="6088B745" w14:textId="77777777" w:rsidTr="00C56B7A">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000000" w:themeColor="text1"/>
              <w:right w:val="single" w:sz="4" w:space="0" w:color="000000" w:themeColor="text1"/>
            </w:tcBorders>
            <w:shd w:val="clear" w:color="auto" w:fill="D9D9D9" w:themeFill="background1" w:themeFillShade="D9"/>
            <w:vAlign w:val="center"/>
          </w:tcPr>
          <w:p w14:paraId="58BDF696" w14:textId="77777777" w:rsidR="00652695" w:rsidRPr="00C56B7A" w:rsidRDefault="00652695" w:rsidP="00C56B7A">
            <w:pPr>
              <w:spacing w:after="0"/>
              <w:jc w:val="left"/>
              <w:rPr>
                <w:i w:val="0"/>
                <w:iCs w:val="0"/>
                <w:sz w:val="19"/>
                <w:szCs w:val="19"/>
                <w:lang w:val="en-US"/>
              </w:rPr>
            </w:pPr>
            <w:r w:rsidRPr="00C56B7A">
              <w:rPr>
                <w:i w:val="0"/>
                <w:iCs w:val="0"/>
                <w:color w:val="000000"/>
                <w:sz w:val="19"/>
                <w:szCs w:val="19"/>
              </w:rPr>
              <w:t>Inner Regional Australia</w:t>
            </w:r>
          </w:p>
        </w:tc>
        <w:tc>
          <w:tcPr>
            <w:tcW w:w="1087" w:type="dxa"/>
            <w:tcBorders>
              <w:left w:val="single" w:sz="4" w:space="0" w:color="000000" w:themeColor="text1"/>
            </w:tcBorders>
            <w:shd w:val="clear" w:color="auto" w:fill="D9D9D9" w:themeFill="background1" w:themeFillShade="D9"/>
            <w:vAlign w:val="center"/>
          </w:tcPr>
          <w:p w14:paraId="0AA9ACDD"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49%</w:t>
            </w:r>
          </w:p>
        </w:tc>
        <w:tc>
          <w:tcPr>
            <w:tcW w:w="1088" w:type="dxa"/>
            <w:tcBorders>
              <w:right w:val="single" w:sz="4" w:space="0" w:color="000000" w:themeColor="text1"/>
            </w:tcBorders>
            <w:shd w:val="clear" w:color="auto" w:fill="D9D9D9" w:themeFill="background1" w:themeFillShade="D9"/>
            <w:vAlign w:val="center"/>
          </w:tcPr>
          <w:p w14:paraId="2A5961FE"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-11 pts</w:t>
            </w:r>
          </w:p>
        </w:tc>
        <w:tc>
          <w:tcPr>
            <w:tcW w:w="1087" w:type="dxa"/>
            <w:tcBorders>
              <w:left w:val="single" w:sz="4" w:space="0" w:color="000000" w:themeColor="text1"/>
            </w:tcBorders>
            <w:shd w:val="clear" w:color="auto" w:fill="D9D9D9" w:themeFill="background1" w:themeFillShade="D9"/>
            <w:vAlign w:val="center"/>
          </w:tcPr>
          <w:p w14:paraId="42112098"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64%</w:t>
            </w:r>
          </w:p>
        </w:tc>
        <w:tc>
          <w:tcPr>
            <w:tcW w:w="1088" w:type="dxa"/>
            <w:tcBorders>
              <w:right w:val="single" w:sz="4" w:space="0" w:color="000000" w:themeColor="text1"/>
            </w:tcBorders>
            <w:shd w:val="clear" w:color="auto" w:fill="D9D9D9" w:themeFill="background1" w:themeFillShade="D9"/>
            <w:vAlign w:val="center"/>
          </w:tcPr>
          <w:p w14:paraId="261C4076"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-7 pts</w:t>
            </w:r>
          </w:p>
        </w:tc>
        <w:tc>
          <w:tcPr>
            <w:tcW w:w="1087" w:type="dxa"/>
            <w:tcBorders>
              <w:left w:val="single" w:sz="4" w:space="0" w:color="000000" w:themeColor="text1"/>
            </w:tcBorders>
            <w:shd w:val="clear" w:color="auto" w:fill="D9D9D9" w:themeFill="background1" w:themeFillShade="D9"/>
            <w:vAlign w:val="center"/>
          </w:tcPr>
          <w:p w14:paraId="24E1AF28"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27%</w:t>
            </w:r>
          </w:p>
        </w:tc>
        <w:tc>
          <w:tcPr>
            <w:tcW w:w="1088" w:type="dxa"/>
            <w:tcBorders>
              <w:right w:val="single" w:sz="4" w:space="0" w:color="000000" w:themeColor="text1"/>
            </w:tcBorders>
            <w:shd w:val="clear" w:color="auto" w:fill="D9D9D9" w:themeFill="background1" w:themeFillShade="D9"/>
            <w:vAlign w:val="center"/>
          </w:tcPr>
          <w:p w14:paraId="01096588" w14:textId="77777777" w:rsidR="00652695" w:rsidRPr="00652695" w:rsidRDefault="00652695" w:rsidP="00C56B7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652695">
              <w:rPr>
                <w:sz w:val="20"/>
                <w:szCs w:val="20"/>
              </w:rPr>
              <w:t>0 pts</w:t>
            </w:r>
          </w:p>
        </w:tc>
      </w:tr>
      <w:tr w:rsidR="00652695" w:rsidRPr="001E215B" w14:paraId="7DA1F784" w14:textId="77777777" w:rsidTr="00C56B7A">
        <w:trPr>
          <w:trHeight w:val="481"/>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000000" w:themeColor="text1"/>
              <w:bottom w:val="single" w:sz="4" w:space="0" w:color="000000" w:themeColor="text1"/>
              <w:right w:val="single" w:sz="4" w:space="0" w:color="000000" w:themeColor="text1"/>
            </w:tcBorders>
            <w:vAlign w:val="center"/>
          </w:tcPr>
          <w:p w14:paraId="77EBB9FD" w14:textId="77777777" w:rsidR="00652695" w:rsidRPr="00C56B7A" w:rsidRDefault="00652695" w:rsidP="00C56B7A">
            <w:pPr>
              <w:spacing w:after="0"/>
              <w:jc w:val="left"/>
              <w:rPr>
                <w:i w:val="0"/>
                <w:iCs w:val="0"/>
                <w:sz w:val="19"/>
                <w:szCs w:val="19"/>
                <w:lang w:val="en-US"/>
              </w:rPr>
            </w:pPr>
            <w:r w:rsidRPr="00C56B7A">
              <w:rPr>
                <w:i w:val="0"/>
                <w:iCs w:val="0"/>
                <w:color w:val="000000"/>
                <w:sz w:val="19"/>
                <w:szCs w:val="19"/>
              </w:rPr>
              <w:t xml:space="preserve">Outer Regional, Remote, </w:t>
            </w:r>
            <w:r w:rsidRPr="00C56B7A">
              <w:rPr>
                <w:i w:val="0"/>
                <w:iCs w:val="0"/>
                <w:color w:val="000000"/>
                <w:sz w:val="19"/>
                <w:szCs w:val="19"/>
              </w:rPr>
              <w:br/>
              <w:t>&amp; Very Remote Australia</w:t>
            </w:r>
          </w:p>
        </w:tc>
        <w:tc>
          <w:tcPr>
            <w:tcW w:w="1087" w:type="dxa"/>
            <w:tcBorders>
              <w:left w:val="single" w:sz="4" w:space="0" w:color="000000" w:themeColor="text1"/>
              <w:bottom w:val="single" w:sz="4" w:space="0" w:color="000000" w:themeColor="text1"/>
            </w:tcBorders>
            <w:shd w:val="clear" w:color="auto" w:fill="FFFFFF" w:themeFill="background1"/>
            <w:vAlign w:val="center"/>
          </w:tcPr>
          <w:p w14:paraId="294B281B"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55%</w:t>
            </w:r>
          </w:p>
        </w:tc>
        <w:tc>
          <w:tcPr>
            <w:tcW w:w="1088" w:type="dxa"/>
            <w:tcBorders>
              <w:bottom w:val="single" w:sz="4" w:space="0" w:color="000000" w:themeColor="text1"/>
              <w:right w:val="single" w:sz="4" w:space="0" w:color="000000" w:themeColor="text1"/>
            </w:tcBorders>
            <w:shd w:val="clear" w:color="auto" w:fill="FFFFFF" w:themeFill="background1"/>
            <w:vAlign w:val="center"/>
          </w:tcPr>
          <w:p w14:paraId="434E5DC3"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-3 pts</w:t>
            </w:r>
          </w:p>
        </w:tc>
        <w:tc>
          <w:tcPr>
            <w:tcW w:w="1087" w:type="dxa"/>
            <w:tcBorders>
              <w:left w:val="single" w:sz="4" w:space="0" w:color="000000" w:themeColor="text1"/>
              <w:bottom w:val="single" w:sz="4" w:space="0" w:color="000000" w:themeColor="text1"/>
            </w:tcBorders>
            <w:shd w:val="clear" w:color="auto" w:fill="FFFFFF" w:themeFill="background1"/>
            <w:vAlign w:val="center"/>
          </w:tcPr>
          <w:p w14:paraId="306FE665"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67%</w:t>
            </w:r>
          </w:p>
        </w:tc>
        <w:tc>
          <w:tcPr>
            <w:tcW w:w="1088" w:type="dxa"/>
            <w:tcBorders>
              <w:bottom w:val="single" w:sz="4" w:space="0" w:color="000000" w:themeColor="text1"/>
              <w:right w:val="single" w:sz="4" w:space="0" w:color="000000" w:themeColor="text1"/>
            </w:tcBorders>
            <w:shd w:val="clear" w:color="auto" w:fill="FFFFFF" w:themeFill="background1"/>
            <w:vAlign w:val="center"/>
          </w:tcPr>
          <w:p w14:paraId="4FE68163"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-6 pts</w:t>
            </w:r>
          </w:p>
        </w:tc>
        <w:tc>
          <w:tcPr>
            <w:tcW w:w="1087" w:type="dxa"/>
            <w:tcBorders>
              <w:left w:val="single" w:sz="4" w:space="0" w:color="000000" w:themeColor="text1"/>
              <w:bottom w:val="single" w:sz="4" w:space="0" w:color="000000" w:themeColor="text1"/>
            </w:tcBorders>
            <w:shd w:val="clear" w:color="auto" w:fill="FFFFFF" w:themeFill="background1"/>
            <w:vAlign w:val="center"/>
          </w:tcPr>
          <w:p w14:paraId="58FEA4DB"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24%</w:t>
            </w:r>
          </w:p>
        </w:tc>
        <w:tc>
          <w:tcPr>
            <w:tcW w:w="1088" w:type="dxa"/>
            <w:tcBorders>
              <w:bottom w:val="single" w:sz="4" w:space="0" w:color="000000" w:themeColor="text1"/>
              <w:right w:val="single" w:sz="4" w:space="0" w:color="000000" w:themeColor="text1"/>
            </w:tcBorders>
            <w:shd w:val="clear" w:color="auto" w:fill="FFFFFF" w:themeFill="background1"/>
            <w:vAlign w:val="center"/>
          </w:tcPr>
          <w:p w14:paraId="3C0742FF" w14:textId="77777777" w:rsidR="00652695" w:rsidRPr="00652695" w:rsidRDefault="00652695" w:rsidP="00C56B7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652695">
              <w:rPr>
                <w:sz w:val="20"/>
                <w:szCs w:val="20"/>
              </w:rPr>
              <w:t>-1 pts</w:t>
            </w:r>
          </w:p>
        </w:tc>
      </w:tr>
    </w:tbl>
    <w:p w14:paraId="0886068D" w14:textId="21DA84A7" w:rsidR="00186449" w:rsidRPr="005B7B9D" w:rsidRDefault="00186449" w:rsidP="00D10339">
      <w:pPr>
        <w:pStyle w:val="Source"/>
        <w:spacing w:before="0"/>
        <w:rPr>
          <w:sz w:val="16"/>
          <w:szCs w:val="16"/>
        </w:rPr>
      </w:pPr>
      <w:r w:rsidRPr="005B7B9D">
        <w:rPr>
          <w:sz w:val="16"/>
          <w:szCs w:val="16"/>
        </w:rPr>
        <w:t>Note: Accessibility and Remoteness Index of Australia (ARIA) classifications of Outer Regional Australia, Remote Australia, and Very Remote Australia have been combined into one category to increase sample size.</w:t>
      </w:r>
    </w:p>
    <w:p w14:paraId="325BBFC0" w14:textId="091BBF49" w:rsidR="00652695" w:rsidRDefault="00652695" w:rsidP="00652695">
      <w:pPr>
        <w:pStyle w:val="Caption"/>
        <w:spacing w:after="0"/>
      </w:pPr>
      <w:r w:rsidRPr="00652695">
        <w:t xml:space="preserve">Figure 4. Recruitment rate by ARIA location, September </w:t>
      </w:r>
      <w:r w:rsidR="00B56DB8">
        <w:t>quarter</w:t>
      </w:r>
      <w:r w:rsidR="00B56DB8" w:rsidRPr="00652695">
        <w:t xml:space="preserve"> </w:t>
      </w:r>
      <w:r w:rsidRPr="00652695">
        <w:t xml:space="preserve">2022 – September </w:t>
      </w:r>
      <w:r w:rsidR="00B56DB8">
        <w:t>quarter</w:t>
      </w:r>
      <w:r w:rsidR="00B56DB8" w:rsidRPr="00652695">
        <w:t xml:space="preserve"> </w:t>
      </w:r>
      <w:r w:rsidRPr="00652695">
        <w:t>2023</w:t>
      </w:r>
    </w:p>
    <w:p w14:paraId="648E09E2" w14:textId="381E13F2" w:rsidR="00652695" w:rsidRPr="00652695" w:rsidRDefault="00652695" w:rsidP="00652695">
      <w:r w:rsidRPr="00F071C8">
        <w:rPr>
          <w:noProof/>
        </w:rPr>
        <w:drawing>
          <wp:inline distT="0" distB="0" distL="0" distR="0" wp14:anchorId="74EFF384" wp14:editId="0865EAB0">
            <wp:extent cx="5327650" cy="1440000"/>
            <wp:effectExtent l="0" t="0" r="6350" b="8255"/>
            <wp:docPr id="1140539871" name="Chart 1" descr="This is a column chart that shows the variation in recruitment rates across Major Cities of Australia, Inner Regional Australia, Outer Regional, Remote and Very Remote Australia.">
              <a:extLst xmlns:a="http://schemas.openxmlformats.org/drawingml/2006/main">
                <a:ext uri="{FF2B5EF4-FFF2-40B4-BE49-F238E27FC236}">
                  <a16:creationId xmlns:a16="http://schemas.microsoft.com/office/drawing/2014/main" id="{E03EB370-1C4F-4F5D-BD84-A2C243391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892548" w14:textId="2E904D16" w:rsidR="00652695" w:rsidRDefault="00652695" w:rsidP="005B7B9D">
      <w:pPr>
        <w:pStyle w:val="Caption"/>
        <w:spacing w:before="120" w:after="0"/>
      </w:pPr>
      <w:r w:rsidRPr="00652695">
        <w:t xml:space="preserve">Figure 5. Recruitment difficulty rate by ARIA location, September </w:t>
      </w:r>
      <w:r w:rsidR="00B56DB8">
        <w:t>quarter</w:t>
      </w:r>
      <w:r w:rsidR="00B56DB8" w:rsidRPr="00652695">
        <w:t xml:space="preserve"> </w:t>
      </w:r>
      <w:r w:rsidRPr="00652695">
        <w:t xml:space="preserve">2022 – September </w:t>
      </w:r>
      <w:r w:rsidR="00B56DB8">
        <w:t>quarter</w:t>
      </w:r>
      <w:r w:rsidR="00B56DB8" w:rsidRPr="00652695">
        <w:t xml:space="preserve"> </w:t>
      </w:r>
      <w:r w:rsidRPr="00652695">
        <w:t>2023</w:t>
      </w:r>
    </w:p>
    <w:p w14:paraId="0211F4D7" w14:textId="77777777" w:rsidR="00652695" w:rsidRDefault="00652695" w:rsidP="00652695">
      <w:pPr>
        <w:pStyle w:val="Caption"/>
      </w:pPr>
      <w:r w:rsidRPr="00F071C8">
        <w:rPr>
          <w:noProof/>
        </w:rPr>
        <w:drawing>
          <wp:inline distT="0" distB="0" distL="0" distR="0" wp14:anchorId="4EE33172" wp14:editId="6F9408EF">
            <wp:extent cx="5327650" cy="1440000"/>
            <wp:effectExtent l="0" t="0" r="6350" b="8255"/>
            <wp:docPr id="1668847523" name="Chart 1" descr="This is a column chart that shows the variation in recruitment difficulty rates across Major Cities of Australia, Inner Regional Australia, Outer Regional, Remote and Very Remote Australia.">
              <a:extLst xmlns:a="http://schemas.openxmlformats.org/drawingml/2006/main">
                <a:ext uri="{FF2B5EF4-FFF2-40B4-BE49-F238E27FC236}">
                  <a16:creationId xmlns:a16="http://schemas.microsoft.com/office/drawing/2014/main" id="{65AB1DEE-C74D-4858-A683-35CA9D3A1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1A3DDF" w14:textId="64C45F93" w:rsidR="0056234D" w:rsidRDefault="00652695" w:rsidP="0056234D">
      <w:pPr>
        <w:pStyle w:val="Caption"/>
        <w:spacing w:before="120" w:after="0"/>
      </w:pPr>
      <w:r>
        <w:t xml:space="preserve">Figure 6. Expecting to increase staff numbers over the next 3 months by ARIA location, September </w:t>
      </w:r>
      <w:r w:rsidR="00B56DB8">
        <w:t>quarter</w:t>
      </w:r>
      <w:r w:rsidR="00B56DB8" w:rsidRPr="00652695">
        <w:t xml:space="preserve"> </w:t>
      </w:r>
      <w:r>
        <w:t xml:space="preserve">2022 – September </w:t>
      </w:r>
      <w:r w:rsidR="00B56DB8">
        <w:t>quarter</w:t>
      </w:r>
      <w:r w:rsidR="00B56DB8" w:rsidRPr="00652695">
        <w:t xml:space="preserve"> </w:t>
      </w:r>
      <w:r>
        <w:t>2023</w:t>
      </w:r>
      <w:r w:rsidR="0056234D">
        <w:rPr>
          <w:noProof/>
        </w:rPr>
        <w:drawing>
          <wp:inline distT="0" distB="0" distL="0" distR="0" wp14:anchorId="669E7EA7" wp14:editId="1E2E3FB2">
            <wp:extent cx="5327650" cy="1440000"/>
            <wp:effectExtent l="0" t="0" r="6350" b="8255"/>
            <wp:docPr id="599336465" name="Chart 1" descr="This is a column chart that shows the variation in staffing outlook across Major Cities of Australia, Inner Regional Australia, Outer Regional, Remote and Very Remote Australia.">
              <a:extLst xmlns:a="http://schemas.openxmlformats.org/drawingml/2006/main">
                <a:ext uri="{FF2B5EF4-FFF2-40B4-BE49-F238E27FC236}">
                  <a16:creationId xmlns:a16="http://schemas.microsoft.com/office/drawing/2014/main" id="{BD8A3EDF-EF96-43A7-9A7A-096632776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2C843B" w14:textId="52D376E5" w:rsidR="00652695" w:rsidRPr="00652695" w:rsidRDefault="005B7B9D" w:rsidP="00652695">
      <w:r>
        <w:rPr>
          <w:noProof/>
        </w:rPr>
        <w:drawing>
          <wp:inline distT="0" distB="0" distL="0" distR="0" wp14:anchorId="15BD2B58" wp14:editId="5C937E81">
            <wp:extent cx="5759450" cy="215900"/>
            <wp:effectExtent l="0" t="0" r="0" b="0"/>
            <wp:docPr id="858149872" name="Chart 1" descr="This is a column chart that shows the variation in recruitment rates across Major Cities of Australia, Inner Regional Australia, Outer Regional, Remote and Very Remote Australia.">
              <a:extLst xmlns:a="http://schemas.openxmlformats.org/drawingml/2006/main">
                <a:ext uri="{FF2B5EF4-FFF2-40B4-BE49-F238E27FC236}">
                  <a16:creationId xmlns:a16="http://schemas.microsoft.com/office/drawing/2014/main" id="{513FB5BB-92FD-400B-A21D-B6F775AEC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9BEB87" w14:textId="77777777" w:rsidR="00652695" w:rsidRPr="00F134A5" w:rsidRDefault="00652695" w:rsidP="00652695">
      <w:pPr>
        <w:pStyle w:val="Heading2"/>
        <w:rPr>
          <w:rFonts w:cs="Arial"/>
        </w:rPr>
      </w:pPr>
      <w:r w:rsidRPr="00F134A5">
        <w:rPr>
          <w:rFonts w:cs="Arial"/>
        </w:rPr>
        <w:lastRenderedPageBreak/>
        <w:t>Key indicators by selected industries</w:t>
      </w:r>
    </w:p>
    <w:p w14:paraId="017A32F1" w14:textId="54A75DC7" w:rsidR="00652695" w:rsidRPr="00F134A5" w:rsidRDefault="00652695" w:rsidP="00652695">
      <w:pPr>
        <w:rPr>
          <w:rFonts w:cs="Arial"/>
        </w:rPr>
      </w:pPr>
      <w:r w:rsidRPr="00F134A5">
        <w:rPr>
          <w:rFonts w:cs="Arial"/>
        </w:rPr>
        <w:t>In the September quarter 2023, the highest recruitment rate was recorded by the Accommodation and Food Services industry (69%), whilst the lowest was recorded for Wholesale Trade (35%). Health Care and Social Assistance recorded the highest recruitment difficulty rate (71%). Expectations to increase staff was the highest in the Accommodation and Food Services industry (36%).</w:t>
      </w:r>
    </w:p>
    <w:p w14:paraId="6B03D22F" w14:textId="7138E7F2" w:rsidR="00652695" w:rsidRPr="00F134A5" w:rsidRDefault="00652695" w:rsidP="00652695">
      <w:pPr>
        <w:pStyle w:val="Caption"/>
        <w:rPr>
          <w:rFonts w:cs="Arial"/>
        </w:rPr>
      </w:pPr>
      <w:r w:rsidRPr="00F134A5">
        <w:rPr>
          <w:rFonts w:cs="Arial"/>
        </w:rPr>
        <w:t>Table 3. Key indicators by industry, September quarter 2023</w:t>
      </w:r>
    </w:p>
    <w:tbl>
      <w:tblPr>
        <w:tblStyle w:val="GridTable3"/>
        <w:tblW w:w="90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CellMar>
          <w:left w:w="28" w:type="dxa"/>
          <w:right w:w="113" w:type="dxa"/>
        </w:tblCellMar>
        <w:tblLook w:val="04A0" w:firstRow="1" w:lastRow="0" w:firstColumn="1" w:lastColumn="0" w:noHBand="0" w:noVBand="1"/>
      </w:tblPr>
      <w:tblGrid>
        <w:gridCol w:w="2127"/>
        <w:gridCol w:w="1152"/>
        <w:gridCol w:w="1152"/>
        <w:gridCol w:w="1152"/>
        <w:gridCol w:w="1152"/>
        <w:gridCol w:w="1152"/>
        <w:gridCol w:w="1153"/>
      </w:tblGrid>
      <w:tr w:rsidR="00652695" w:rsidRPr="00F134A5" w14:paraId="719DEDBC" w14:textId="77777777" w:rsidTr="00651BF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7" w:type="dxa"/>
            <w:tcBorders>
              <w:bottom w:val="nil"/>
              <w:right w:val="single" w:sz="4" w:space="0" w:color="000000" w:themeColor="text1"/>
            </w:tcBorders>
            <w:shd w:val="clear" w:color="auto" w:fill="2F005F"/>
          </w:tcPr>
          <w:p w14:paraId="387F1460" w14:textId="77777777" w:rsidR="00652695" w:rsidRPr="00F134A5" w:rsidRDefault="00652695" w:rsidP="005D6C08">
            <w:pPr>
              <w:rPr>
                <w:rFonts w:cs="Arial"/>
                <w:color w:val="FFFFFF" w:themeColor="background1"/>
                <w:sz w:val="18"/>
                <w:szCs w:val="18"/>
                <w:lang w:val="en-US"/>
              </w:rPr>
            </w:pPr>
          </w:p>
        </w:tc>
        <w:tc>
          <w:tcPr>
            <w:tcW w:w="2304" w:type="dxa"/>
            <w:gridSpan w:val="2"/>
            <w:tcBorders>
              <w:top w:val="single" w:sz="4" w:space="0" w:color="000000" w:themeColor="text1"/>
              <w:left w:val="single" w:sz="4" w:space="0" w:color="000000" w:themeColor="text1"/>
              <w:bottom w:val="nil"/>
              <w:right w:val="single" w:sz="4" w:space="0" w:color="000000" w:themeColor="text1"/>
            </w:tcBorders>
            <w:shd w:val="clear" w:color="auto" w:fill="2F005F"/>
            <w:vAlign w:val="center"/>
          </w:tcPr>
          <w:p w14:paraId="7E3D832F" w14:textId="77777777" w:rsidR="00652695" w:rsidRPr="00F134A5" w:rsidRDefault="00652695" w:rsidP="005D6C08">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134A5">
              <w:rPr>
                <w:rFonts w:cs="Arial"/>
                <w:sz w:val="18"/>
                <w:szCs w:val="18"/>
              </w:rPr>
              <w:t>Recruitment rate</w:t>
            </w:r>
          </w:p>
        </w:tc>
        <w:tc>
          <w:tcPr>
            <w:tcW w:w="2304" w:type="dxa"/>
            <w:gridSpan w:val="2"/>
            <w:tcBorders>
              <w:left w:val="single" w:sz="4" w:space="0" w:color="000000" w:themeColor="text1"/>
              <w:right w:val="single" w:sz="4" w:space="0" w:color="000000" w:themeColor="text1"/>
            </w:tcBorders>
            <w:shd w:val="clear" w:color="auto" w:fill="2F005F"/>
            <w:vAlign w:val="center"/>
          </w:tcPr>
          <w:p w14:paraId="18DE99E3" w14:textId="77777777" w:rsidR="00652695" w:rsidRPr="00F134A5" w:rsidRDefault="00652695" w:rsidP="005D6C08">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134A5">
              <w:rPr>
                <w:rFonts w:cs="Arial"/>
                <w:sz w:val="18"/>
                <w:szCs w:val="18"/>
              </w:rPr>
              <w:t>Recruitment difficulty rate</w:t>
            </w:r>
          </w:p>
        </w:tc>
        <w:tc>
          <w:tcPr>
            <w:tcW w:w="2305" w:type="dxa"/>
            <w:gridSpan w:val="2"/>
            <w:tcBorders>
              <w:top w:val="single" w:sz="4" w:space="0" w:color="000000" w:themeColor="text1"/>
              <w:left w:val="single" w:sz="4" w:space="0" w:color="000000" w:themeColor="text1"/>
              <w:bottom w:val="nil"/>
            </w:tcBorders>
            <w:shd w:val="clear" w:color="auto" w:fill="2F005F"/>
            <w:vAlign w:val="center"/>
          </w:tcPr>
          <w:p w14:paraId="2EC25E07" w14:textId="77777777" w:rsidR="00652695" w:rsidRPr="00F134A5" w:rsidRDefault="00652695" w:rsidP="005D6C08">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F134A5">
              <w:rPr>
                <w:rFonts w:cs="Arial"/>
                <w:sz w:val="18"/>
                <w:szCs w:val="18"/>
              </w:rPr>
              <w:t xml:space="preserve">Expect to increase staff </w:t>
            </w:r>
          </w:p>
        </w:tc>
      </w:tr>
      <w:tr w:rsidR="00652695" w:rsidRPr="00F134A5" w14:paraId="779EDAE6" w14:textId="77777777" w:rsidTr="00497D36">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000000" w:themeColor="text1"/>
            </w:tcBorders>
            <w:shd w:val="clear" w:color="auto" w:fill="2F005F"/>
          </w:tcPr>
          <w:p w14:paraId="52B6322B" w14:textId="77777777" w:rsidR="00652695" w:rsidRPr="00F134A5" w:rsidRDefault="00652695" w:rsidP="005D6C08">
            <w:pPr>
              <w:rPr>
                <w:rFonts w:cs="Arial"/>
                <w:color w:val="FFFFFF" w:themeColor="background1"/>
                <w:sz w:val="18"/>
                <w:szCs w:val="18"/>
                <w:lang w:val="en-US"/>
              </w:rPr>
            </w:pPr>
          </w:p>
        </w:tc>
        <w:tc>
          <w:tcPr>
            <w:tcW w:w="1152" w:type="dxa"/>
            <w:tcBorders>
              <w:top w:val="nil"/>
              <w:left w:val="single" w:sz="4" w:space="0" w:color="000000" w:themeColor="text1"/>
              <w:bottom w:val="nil"/>
            </w:tcBorders>
            <w:shd w:val="clear" w:color="auto" w:fill="2F005F"/>
            <w:vAlign w:val="center"/>
          </w:tcPr>
          <w:p w14:paraId="32AF729D"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134A5">
              <w:rPr>
                <w:rFonts w:cs="Arial"/>
                <w:sz w:val="18"/>
                <w:szCs w:val="18"/>
              </w:rPr>
              <w:t>% of employers</w:t>
            </w:r>
          </w:p>
        </w:tc>
        <w:tc>
          <w:tcPr>
            <w:tcW w:w="1152" w:type="dxa"/>
            <w:tcBorders>
              <w:top w:val="nil"/>
              <w:bottom w:val="nil"/>
              <w:right w:val="single" w:sz="4" w:space="0" w:color="000000" w:themeColor="text1"/>
            </w:tcBorders>
            <w:shd w:val="clear" w:color="auto" w:fill="2F005F"/>
            <w:vAlign w:val="center"/>
          </w:tcPr>
          <w:p w14:paraId="0FCCC675"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134A5">
              <w:rPr>
                <w:rFonts w:cs="Arial"/>
                <w:sz w:val="18"/>
                <w:szCs w:val="18"/>
              </w:rPr>
              <w:t>Annual change</w:t>
            </w:r>
            <w:r w:rsidRPr="00F134A5">
              <w:rPr>
                <w:rFonts w:cs="Arial"/>
                <w:sz w:val="18"/>
                <w:szCs w:val="18"/>
              </w:rPr>
              <w:br/>
              <w:t>(% points)</w:t>
            </w:r>
          </w:p>
        </w:tc>
        <w:tc>
          <w:tcPr>
            <w:tcW w:w="1152" w:type="dxa"/>
            <w:tcBorders>
              <w:left w:val="single" w:sz="4" w:space="0" w:color="000000" w:themeColor="text1"/>
            </w:tcBorders>
            <w:shd w:val="clear" w:color="auto" w:fill="2F005F"/>
            <w:vAlign w:val="center"/>
          </w:tcPr>
          <w:p w14:paraId="3DE62CAD"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134A5">
              <w:rPr>
                <w:rFonts w:cs="Arial"/>
                <w:sz w:val="18"/>
                <w:szCs w:val="18"/>
              </w:rPr>
              <w:t>% of recruiting employers</w:t>
            </w:r>
          </w:p>
        </w:tc>
        <w:tc>
          <w:tcPr>
            <w:tcW w:w="1152" w:type="dxa"/>
            <w:tcBorders>
              <w:right w:val="single" w:sz="4" w:space="0" w:color="000000" w:themeColor="text1"/>
            </w:tcBorders>
            <w:shd w:val="clear" w:color="auto" w:fill="2F005F"/>
            <w:vAlign w:val="center"/>
          </w:tcPr>
          <w:p w14:paraId="424CCF33"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F134A5">
              <w:rPr>
                <w:rFonts w:cs="Arial"/>
                <w:sz w:val="18"/>
                <w:szCs w:val="18"/>
              </w:rPr>
              <w:t>Annual change</w:t>
            </w:r>
            <w:r w:rsidRPr="00F134A5">
              <w:rPr>
                <w:rFonts w:cs="Arial"/>
                <w:sz w:val="18"/>
                <w:szCs w:val="18"/>
              </w:rPr>
              <w:br/>
              <w:t>(% points)</w:t>
            </w:r>
          </w:p>
        </w:tc>
        <w:tc>
          <w:tcPr>
            <w:tcW w:w="1152" w:type="dxa"/>
            <w:tcBorders>
              <w:top w:val="nil"/>
              <w:left w:val="single" w:sz="4" w:space="0" w:color="000000" w:themeColor="text1"/>
              <w:bottom w:val="nil"/>
            </w:tcBorders>
            <w:shd w:val="clear" w:color="auto" w:fill="2F005F"/>
            <w:vAlign w:val="center"/>
          </w:tcPr>
          <w:p w14:paraId="17B5B604"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134A5">
              <w:rPr>
                <w:rFonts w:cs="Arial"/>
                <w:sz w:val="18"/>
                <w:szCs w:val="18"/>
              </w:rPr>
              <w:t>% of employers</w:t>
            </w:r>
          </w:p>
        </w:tc>
        <w:tc>
          <w:tcPr>
            <w:tcW w:w="1153" w:type="dxa"/>
            <w:tcBorders>
              <w:top w:val="nil"/>
              <w:bottom w:val="nil"/>
            </w:tcBorders>
            <w:shd w:val="clear" w:color="auto" w:fill="2F005F"/>
            <w:vAlign w:val="center"/>
          </w:tcPr>
          <w:p w14:paraId="31146CCE" w14:textId="77777777" w:rsidR="00652695" w:rsidRPr="00F134A5" w:rsidRDefault="00652695" w:rsidP="005D6C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F134A5">
              <w:rPr>
                <w:rFonts w:cs="Arial"/>
                <w:sz w:val="18"/>
                <w:szCs w:val="18"/>
              </w:rPr>
              <w:t>Annual change</w:t>
            </w:r>
            <w:r w:rsidRPr="00F134A5">
              <w:rPr>
                <w:rFonts w:cs="Arial"/>
                <w:sz w:val="18"/>
                <w:szCs w:val="18"/>
              </w:rPr>
              <w:br/>
              <w:t>(% points)</w:t>
            </w:r>
          </w:p>
        </w:tc>
      </w:tr>
      <w:tr w:rsidR="00652695" w:rsidRPr="00F134A5" w14:paraId="03EE5316" w14:textId="77777777" w:rsidTr="00C56B7A">
        <w:trPr>
          <w:trHeight w:val="283"/>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single" w:sz="4" w:space="0" w:color="666666"/>
              <w:bottom w:val="none" w:sz="0" w:space="0" w:color="auto"/>
              <w:right w:val="single" w:sz="4" w:space="0" w:color="000000" w:themeColor="text1"/>
            </w:tcBorders>
            <w:vAlign w:val="center"/>
          </w:tcPr>
          <w:p w14:paraId="24408F02"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Manufacturing</w:t>
            </w:r>
          </w:p>
        </w:tc>
        <w:tc>
          <w:tcPr>
            <w:tcW w:w="1152" w:type="dxa"/>
            <w:tcBorders>
              <w:top w:val="nil"/>
              <w:left w:val="single" w:sz="4" w:space="0" w:color="000000" w:themeColor="text1"/>
              <w:bottom w:val="nil"/>
            </w:tcBorders>
            <w:vAlign w:val="center"/>
          </w:tcPr>
          <w:p w14:paraId="5BBB1777"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51%</w:t>
            </w:r>
          </w:p>
        </w:tc>
        <w:tc>
          <w:tcPr>
            <w:tcW w:w="1152" w:type="dxa"/>
            <w:tcBorders>
              <w:top w:val="nil"/>
              <w:bottom w:val="nil"/>
              <w:right w:val="single" w:sz="4" w:space="0" w:color="000000" w:themeColor="text1"/>
            </w:tcBorders>
            <w:vAlign w:val="center"/>
          </w:tcPr>
          <w:p w14:paraId="338024F8"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-4 pts</w:t>
            </w:r>
          </w:p>
        </w:tc>
        <w:tc>
          <w:tcPr>
            <w:tcW w:w="1152" w:type="dxa"/>
            <w:tcBorders>
              <w:left w:val="single" w:sz="4" w:space="0" w:color="000000" w:themeColor="text1"/>
            </w:tcBorders>
            <w:vAlign w:val="center"/>
          </w:tcPr>
          <w:p w14:paraId="561717C8"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69%</w:t>
            </w:r>
          </w:p>
        </w:tc>
        <w:tc>
          <w:tcPr>
            <w:tcW w:w="1152" w:type="dxa"/>
            <w:tcBorders>
              <w:right w:val="single" w:sz="4" w:space="0" w:color="000000" w:themeColor="text1"/>
            </w:tcBorders>
            <w:vAlign w:val="center"/>
          </w:tcPr>
          <w:p w14:paraId="4EF83DC1"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-10 pts</w:t>
            </w:r>
          </w:p>
        </w:tc>
        <w:tc>
          <w:tcPr>
            <w:tcW w:w="1152" w:type="dxa"/>
            <w:tcBorders>
              <w:top w:val="nil"/>
              <w:left w:val="single" w:sz="4" w:space="0" w:color="000000" w:themeColor="text1"/>
              <w:bottom w:val="nil"/>
            </w:tcBorders>
            <w:vAlign w:val="center"/>
          </w:tcPr>
          <w:p w14:paraId="2465F6BF"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23%</w:t>
            </w:r>
          </w:p>
        </w:tc>
        <w:tc>
          <w:tcPr>
            <w:tcW w:w="1153" w:type="dxa"/>
            <w:tcBorders>
              <w:top w:val="nil"/>
              <w:bottom w:val="nil"/>
            </w:tcBorders>
            <w:vAlign w:val="center"/>
          </w:tcPr>
          <w:p w14:paraId="76B7CADC"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-5 pts</w:t>
            </w:r>
          </w:p>
        </w:tc>
      </w:tr>
      <w:tr w:rsidR="00652695" w:rsidRPr="00F134A5" w14:paraId="110FBE7B" w14:textId="77777777" w:rsidTr="00C56B7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666666"/>
              <w:right w:val="single" w:sz="4" w:space="0" w:color="000000" w:themeColor="text1"/>
            </w:tcBorders>
            <w:shd w:val="clear" w:color="auto" w:fill="D9D9D9" w:themeFill="background1" w:themeFillShade="D9"/>
            <w:vAlign w:val="center"/>
          </w:tcPr>
          <w:p w14:paraId="68F61B87"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Construction</w:t>
            </w:r>
          </w:p>
        </w:tc>
        <w:tc>
          <w:tcPr>
            <w:tcW w:w="1152" w:type="dxa"/>
            <w:tcBorders>
              <w:top w:val="nil"/>
              <w:left w:val="single" w:sz="4" w:space="0" w:color="000000" w:themeColor="text1"/>
              <w:bottom w:val="nil"/>
            </w:tcBorders>
            <w:shd w:val="clear" w:color="auto" w:fill="D9D9D9" w:themeFill="background1" w:themeFillShade="D9"/>
            <w:vAlign w:val="center"/>
          </w:tcPr>
          <w:p w14:paraId="448AEE26"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41%</w:t>
            </w:r>
          </w:p>
        </w:tc>
        <w:tc>
          <w:tcPr>
            <w:tcW w:w="1152" w:type="dxa"/>
            <w:tcBorders>
              <w:top w:val="nil"/>
              <w:bottom w:val="nil"/>
              <w:right w:val="single" w:sz="4" w:space="0" w:color="000000" w:themeColor="text1"/>
            </w:tcBorders>
            <w:shd w:val="clear" w:color="auto" w:fill="D9D9D9" w:themeFill="background1" w:themeFillShade="D9"/>
            <w:vAlign w:val="center"/>
          </w:tcPr>
          <w:p w14:paraId="20DEF50F"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-10 pts</w:t>
            </w:r>
          </w:p>
        </w:tc>
        <w:tc>
          <w:tcPr>
            <w:tcW w:w="1152" w:type="dxa"/>
            <w:tcBorders>
              <w:left w:val="single" w:sz="4" w:space="0" w:color="000000" w:themeColor="text1"/>
            </w:tcBorders>
            <w:shd w:val="clear" w:color="auto" w:fill="D9D9D9" w:themeFill="background1" w:themeFillShade="D9"/>
            <w:vAlign w:val="center"/>
          </w:tcPr>
          <w:p w14:paraId="246BFE58"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61%</w:t>
            </w:r>
          </w:p>
        </w:tc>
        <w:tc>
          <w:tcPr>
            <w:tcW w:w="1152" w:type="dxa"/>
            <w:tcBorders>
              <w:right w:val="single" w:sz="4" w:space="0" w:color="000000" w:themeColor="text1"/>
            </w:tcBorders>
            <w:shd w:val="clear" w:color="auto" w:fill="D9D9D9" w:themeFill="background1" w:themeFillShade="D9"/>
            <w:vAlign w:val="center"/>
          </w:tcPr>
          <w:p w14:paraId="5E092ACB"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-9 pts</w:t>
            </w:r>
          </w:p>
        </w:tc>
        <w:tc>
          <w:tcPr>
            <w:tcW w:w="1152" w:type="dxa"/>
            <w:tcBorders>
              <w:top w:val="nil"/>
              <w:left w:val="single" w:sz="4" w:space="0" w:color="000000" w:themeColor="text1"/>
              <w:bottom w:val="nil"/>
            </w:tcBorders>
            <w:shd w:val="clear" w:color="auto" w:fill="D9D9D9" w:themeFill="background1" w:themeFillShade="D9"/>
            <w:vAlign w:val="center"/>
          </w:tcPr>
          <w:p w14:paraId="20BB89C3"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21%</w:t>
            </w:r>
          </w:p>
        </w:tc>
        <w:tc>
          <w:tcPr>
            <w:tcW w:w="1153" w:type="dxa"/>
            <w:tcBorders>
              <w:top w:val="nil"/>
              <w:bottom w:val="nil"/>
            </w:tcBorders>
            <w:shd w:val="clear" w:color="auto" w:fill="D9D9D9" w:themeFill="background1" w:themeFillShade="D9"/>
            <w:vAlign w:val="center"/>
          </w:tcPr>
          <w:p w14:paraId="55A0B36A"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-7 pts</w:t>
            </w:r>
          </w:p>
        </w:tc>
      </w:tr>
      <w:tr w:rsidR="00652695" w:rsidRPr="00F134A5" w14:paraId="77225E89" w14:textId="77777777" w:rsidTr="00C56B7A">
        <w:trPr>
          <w:trHeight w:val="283"/>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single" w:sz="4" w:space="0" w:color="666666"/>
              <w:bottom w:val="none" w:sz="0" w:space="0" w:color="auto"/>
              <w:right w:val="single" w:sz="4" w:space="0" w:color="000000" w:themeColor="text1"/>
            </w:tcBorders>
            <w:vAlign w:val="center"/>
          </w:tcPr>
          <w:p w14:paraId="240B2769"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Wholesale Trade</w:t>
            </w:r>
          </w:p>
        </w:tc>
        <w:tc>
          <w:tcPr>
            <w:tcW w:w="1152" w:type="dxa"/>
            <w:tcBorders>
              <w:top w:val="nil"/>
              <w:left w:val="single" w:sz="4" w:space="0" w:color="000000" w:themeColor="text1"/>
              <w:bottom w:val="nil"/>
            </w:tcBorders>
            <w:vAlign w:val="center"/>
          </w:tcPr>
          <w:p w14:paraId="5AF3BFDC"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35%</w:t>
            </w:r>
          </w:p>
        </w:tc>
        <w:tc>
          <w:tcPr>
            <w:tcW w:w="1152" w:type="dxa"/>
            <w:tcBorders>
              <w:top w:val="nil"/>
              <w:bottom w:val="nil"/>
              <w:right w:val="single" w:sz="4" w:space="0" w:color="000000" w:themeColor="text1"/>
            </w:tcBorders>
            <w:vAlign w:val="center"/>
          </w:tcPr>
          <w:p w14:paraId="54143728"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-10 pts</w:t>
            </w:r>
          </w:p>
        </w:tc>
        <w:tc>
          <w:tcPr>
            <w:tcW w:w="1152" w:type="dxa"/>
            <w:tcBorders>
              <w:left w:val="single" w:sz="4" w:space="0" w:color="000000" w:themeColor="text1"/>
            </w:tcBorders>
            <w:vAlign w:val="center"/>
          </w:tcPr>
          <w:p w14:paraId="2694EA60"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67%*</w:t>
            </w:r>
          </w:p>
        </w:tc>
        <w:tc>
          <w:tcPr>
            <w:tcW w:w="1152" w:type="dxa"/>
            <w:tcBorders>
              <w:right w:val="single" w:sz="4" w:space="0" w:color="000000" w:themeColor="text1"/>
            </w:tcBorders>
            <w:vAlign w:val="center"/>
          </w:tcPr>
          <w:p w14:paraId="39F02D7B"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-8 pts*</w:t>
            </w:r>
          </w:p>
        </w:tc>
        <w:tc>
          <w:tcPr>
            <w:tcW w:w="1152" w:type="dxa"/>
            <w:tcBorders>
              <w:top w:val="nil"/>
              <w:left w:val="single" w:sz="4" w:space="0" w:color="000000" w:themeColor="text1"/>
              <w:bottom w:val="nil"/>
            </w:tcBorders>
            <w:vAlign w:val="center"/>
          </w:tcPr>
          <w:p w14:paraId="4E0DA1E6"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21%</w:t>
            </w:r>
          </w:p>
        </w:tc>
        <w:tc>
          <w:tcPr>
            <w:tcW w:w="1153" w:type="dxa"/>
            <w:tcBorders>
              <w:top w:val="nil"/>
              <w:bottom w:val="nil"/>
            </w:tcBorders>
            <w:vAlign w:val="center"/>
          </w:tcPr>
          <w:p w14:paraId="7C08C2B4"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-5 pts</w:t>
            </w:r>
          </w:p>
        </w:tc>
      </w:tr>
      <w:tr w:rsidR="00652695" w:rsidRPr="00F134A5" w14:paraId="02E581E4" w14:textId="77777777" w:rsidTr="00C56B7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666666"/>
              <w:right w:val="single" w:sz="4" w:space="0" w:color="000000" w:themeColor="text1"/>
            </w:tcBorders>
            <w:shd w:val="clear" w:color="auto" w:fill="D9D9D9" w:themeFill="background1" w:themeFillShade="D9"/>
            <w:vAlign w:val="center"/>
          </w:tcPr>
          <w:p w14:paraId="7C91A461"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Retail Trade</w:t>
            </w:r>
          </w:p>
        </w:tc>
        <w:tc>
          <w:tcPr>
            <w:tcW w:w="1152" w:type="dxa"/>
            <w:tcBorders>
              <w:top w:val="nil"/>
              <w:left w:val="single" w:sz="4" w:space="0" w:color="000000" w:themeColor="text1"/>
              <w:bottom w:val="nil"/>
            </w:tcBorders>
            <w:shd w:val="clear" w:color="auto" w:fill="D9D9D9" w:themeFill="background1" w:themeFillShade="D9"/>
            <w:vAlign w:val="center"/>
          </w:tcPr>
          <w:p w14:paraId="7A5C0BC1"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45%</w:t>
            </w:r>
          </w:p>
        </w:tc>
        <w:tc>
          <w:tcPr>
            <w:tcW w:w="1152" w:type="dxa"/>
            <w:tcBorders>
              <w:top w:val="nil"/>
              <w:bottom w:val="nil"/>
              <w:right w:val="single" w:sz="4" w:space="0" w:color="000000" w:themeColor="text1"/>
            </w:tcBorders>
            <w:shd w:val="clear" w:color="auto" w:fill="D9D9D9" w:themeFill="background1" w:themeFillShade="D9"/>
            <w:vAlign w:val="center"/>
          </w:tcPr>
          <w:p w14:paraId="383BE852"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-15 pts</w:t>
            </w:r>
          </w:p>
        </w:tc>
        <w:tc>
          <w:tcPr>
            <w:tcW w:w="1152" w:type="dxa"/>
            <w:tcBorders>
              <w:left w:val="single" w:sz="4" w:space="0" w:color="000000" w:themeColor="text1"/>
            </w:tcBorders>
            <w:shd w:val="clear" w:color="auto" w:fill="D9D9D9" w:themeFill="background1" w:themeFillShade="D9"/>
            <w:vAlign w:val="center"/>
          </w:tcPr>
          <w:p w14:paraId="6D4C5958"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58%</w:t>
            </w:r>
          </w:p>
        </w:tc>
        <w:tc>
          <w:tcPr>
            <w:tcW w:w="1152" w:type="dxa"/>
            <w:tcBorders>
              <w:right w:val="single" w:sz="4" w:space="0" w:color="000000" w:themeColor="text1"/>
            </w:tcBorders>
            <w:shd w:val="clear" w:color="auto" w:fill="D9D9D9" w:themeFill="background1" w:themeFillShade="D9"/>
            <w:vAlign w:val="center"/>
          </w:tcPr>
          <w:p w14:paraId="250C70B8"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-18 pts</w:t>
            </w:r>
          </w:p>
        </w:tc>
        <w:tc>
          <w:tcPr>
            <w:tcW w:w="1152" w:type="dxa"/>
            <w:tcBorders>
              <w:top w:val="nil"/>
              <w:left w:val="single" w:sz="4" w:space="0" w:color="000000" w:themeColor="text1"/>
              <w:bottom w:val="nil"/>
            </w:tcBorders>
            <w:shd w:val="clear" w:color="auto" w:fill="D9D9D9" w:themeFill="background1" w:themeFillShade="D9"/>
            <w:vAlign w:val="center"/>
          </w:tcPr>
          <w:p w14:paraId="694CFE1C"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22%</w:t>
            </w:r>
          </w:p>
        </w:tc>
        <w:tc>
          <w:tcPr>
            <w:tcW w:w="1153" w:type="dxa"/>
            <w:tcBorders>
              <w:top w:val="nil"/>
              <w:bottom w:val="nil"/>
            </w:tcBorders>
            <w:shd w:val="clear" w:color="auto" w:fill="D9D9D9" w:themeFill="background1" w:themeFillShade="D9"/>
            <w:vAlign w:val="center"/>
          </w:tcPr>
          <w:p w14:paraId="49BD6C03"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-8 pts</w:t>
            </w:r>
          </w:p>
        </w:tc>
      </w:tr>
      <w:tr w:rsidR="00652695" w:rsidRPr="00F134A5" w14:paraId="39328D63" w14:textId="77777777" w:rsidTr="00C56B7A">
        <w:trPr>
          <w:trHeight w:val="506"/>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single" w:sz="4" w:space="0" w:color="666666"/>
              <w:bottom w:val="none" w:sz="0" w:space="0" w:color="auto"/>
              <w:right w:val="single" w:sz="4" w:space="0" w:color="000000" w:themeColor="text1"/>
            </w:tcBorders>
            <w:vAlign w:val="center"/>
          </w:tcPr>
          <w:p w14:paraId="39B4B04A"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Accommodation and Food Services</w:t>
            </w:r>
          </w:p>
        </w:tc>
        <w:tc>
          <w:tcPr>
            <w:tcW w:w="1152" w:type="dxa"/>
            <w:tcBorders>
              <w:top w:val="nil"/>
              <w:left w:val="single" w:sz="4" w:space="0" w:color="000000" w:themeColor="text1"/>
              <w:bottom w:val="nil"/>
            </w:tcBorders>
            <w:vAlign w:val="center"/>
          </w:tcPr>
          <w:p w14:paraId="63DBE405"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69%</w:t>
            </w:r>
          </w:p>
        </w:tc>
        <w:tc>
          <w:tcPr>
            <w:tcW w:w="1152" w:type="dxa"/>
            <w:tcBorders>
              <w:top w:val="nil"/>
              <w:bottom w:val="nil"/>
              <w:right w:val="single" w:sz="4" w:space="0" w:color="000000" w:themeColor="text1"/>
            </w:tcBorders>
            <w:vAlign w:val="center"/>
          </w:tcPr>
          <w:p w14:paraId="05C77C32"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-9 pts</w:t>
            </w:r>
          </w:p>
        </w:tc>
        <w:tc>
          <w:tcPr>
            <w:tcW w:w="1152" w:type="dxa"/>
            <w:tcBorders>
              <w:left w:val="single" w:sz="4" w:space="0" w:color="000000" w:themeColor="text1"/>
            </w:tcBorders>
            <w:vAlign w:val="center"/>
          </w:tcPr>
          <w:p w14:paraId="50F43E9D"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40%</w:t>
            </w:r>
          </w:p>
        </w:tc>
        <w:tc>
          <w:tcPr>
            <w:tcW w:w="1152" w:type="dxa"/>
            <w:tcBorders>
              <w:right w:val="single" w:sz="4" w:space="0" w:color="000000" w:themeColor="text1"/>
            </w:tcBorders>
            <w:vAlign w:val="center"/>
          </w:tcPr>
          <w:p w14:paraId="4512EC92"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-29 pts</w:t>
            </w:r>
          </w:p>
        </w:tc>
        <w:tc>
          <w:tcPr>
            <w:tcW w:w="1152" w:type="dxa"/>
            <w:tcBorders>
              <w:top w:val="nil"/>
              <w:left w:val="single" w:sz="4" w:space="0" w:color="000000" w:themeColor="text1"/>
              <w:bottom w:val="nil"/>
            </w:tcBorders>
            <w:vAlign w:val="center"/>
          </w:tcPr>
          <w:p w14:paraId="020A6739"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36%</w:t>
            </w:r>
          </w:p>
        </w:tc>
        <w:tc>
          <w:tcPr>
            <w:tcW w:w="1153" w:type="dxa"/>
            <w:tcBorders>
              <w:top w:val="nil"/>
              <w:bottom w:val="nil"/>
            </w:tcBorders>
            <w:vAlign w:val="center"/>
          </w:tcPr>
          <w:p w14:paraId="6426A270"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-8 pts</w:t>
            </w:r>
          </w:p>
        </w:tc>
      </w:tr>
      <w:tr w:rsidR="00652695" w:rsidRPr="00F134A5" w14:paraId="79539E80" w14:textId="77777777" w:rsidTr="00C56B7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666666"/>
              <w:right w:val="single" w:sz="4" w:space="0" w:color="000000" w:themeColor="text1"/>
            </w:tcBorders>
            <w:shd w:val="clear" w:color="auto" w:fill="D9D9D9" w:themeFill="background1" w:themeFillShade="D9"/>
            <w:vAlign w:val="center"/>
          </w:tcPr>
          <w:p w14:paraId="6366F29E" w14:textId="77777777" w:rsidR="00652695" w:rsidRPr="00F134A5" w:rsidRDefault="00652695" w:rsidP="005D6C08">
            <w:pPr>
              <w:spacing w:after="0"/>
              <w:ind w:right="-119"/>
              <w:jc w:val="left"/>
              <w:rPr>
                <w:rFonts w:cs="Arial"/>
                <w:i w:val="0"/>
                <w:iCs w:val="0"/>
                <w:sz w:val="20"/>
                <w:szCs w:val="20"/>
                <w:lang w:val="en-US"/>
              </w:rPr>
            </w:pPr>
            <w:r w:rsidRPr="00F134A5">
              <w:rPr>
                <w:rFonts w:cs="Arial"/>
                <w:i w:val="0"/>
                <w:iCs w:val="0"/>
                <w:sz w:val="20"/>
                <w:szCs w:val="20"/>
                <w:lang w:val="en-US"/>
              </w:rPr>
              <w:t>Professional, Scientific &amp; Technical Services</w:t>
            </w:r>
          </w:p>
        </w:tc>
        <w:tc>
          <w:tcPr>
            <w:tcW w:w="1152" w:type="dxa"/>
            <w:tcBorders>
              <w:top w:val="nil"/>
              <w:left w:val="single" w:sz="4" w:space="0" w:color="000000" w:themeColor="text1"/>
              <w:bottom w:val="nil"/>
            </w:tcBorders>
            <w:shd w:val="clear" w:color="auto" w:fill="D9D9D9" w:themeFill="background1" w:themeFillShade="D9"/>
            <w:vAlign w:val="center"/>
          </w:tcPr>
          <w:p w14:paraId="7F768790"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37%</w:t>
            </w:r>
          </w:p>
        </w:tc>
        <w:tc>
          <w:tcPr>
            <w:tcW w:w="1152" w:type="dxa"/>
            <w:tcBorders>
              <w:top w:val="nil"/>
              <w:bottom w:val="nil"/>
              <w:right w:val="single" w:sz="4" w:space="0" w:color="000000" w:themeColor="text1"/>
            </w:tcBorders>
            <w:shd w:val="clear" w:color="auto" w:fill="D9D9D9" w:themeFill="background1" w:themeFillShade="D9"/>
            <w:vAlign w:val="center"/>
          </w:tcPr>
          <w:p w14:paraId="013B9C4C"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-5 pts</w:t>
            </w:r>
          </w:p>
        </w:tc>
        <w:tc>
          <w:tcPr>
            <w:tcW w:w="1152" w:type="dxa"/>
            <w:tcBorders>
              <w:left w:val="single" w:sz="4" w:space="0" w:color="000000" w:themeColor="text1"/>
            </w:tcBorders>
            <w:shd w:val="clear" w:color="auto" w:fill="D9D9D9" w:themeFill="background1" w:themeFillShade="D9"/>
            <w:vAlign w:val="center"/>
          </w:tcPr>
          <w:p w14:paraId="66E7C22F"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59%</w:t>
            </w:r>
          </w:p>
        </w:tc>
        <w:tc>
          <w:tcPr>
            <w:tcW w:w="1152" w:type="dxa"/>
            <w:tcBorders>
              <w:right w:val="single" w:sz="4" w:space="0" w:color="000000" w:themeColor="text1"/>
            </w:tcBorders>
            <w:shd w:val="clear" w:color="auto" w:fill="D9D9D9" w:themeFill="background1" w:themeFillShade="D9"/>
            <w:vAlign w:val="center"/>
          </w:tcPr>
          <w:p w14:paraId="64117637"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-3 pts</w:t>
            </w:r>
          </w:p>
        </w:tc>
        <w:tc>
          <w:tcPr>
            <w:tcW w:w="1152" w:type="dxa"/>
            <w:tcBorders>
              <w:top w:val="nil"/>
              <w:left w:val="single" w:sz="4" w:space="0" w:color="000000" w:themeColor="text1"/>
              <w:bottom w:val="nil"/>
            </w:tcBorders>
            <w:shd w:val="clear" w:color="auto" w:fill="D9D9D9" w:themeFill="background1" w:themeFillShade="D9"/>
            <w:vAlign w:val="center"/>
          </w:tcPr>
          <w:p w14:paraId="0CF10BED"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23%</w:t>
            </w:r>
          </w:p>
        </w:tc>
        <w:tc>
          <w:tcPr>
            <w:tcW w:w="1153" w:type="dxa"/>
            <w:tcBorders>
              <w:top w:val="nil"/>
              <w:bottom w:val="nil"/>
            </w:tcBorders>
            <w:shd w:val="clear" w:color="auto" w:fill="D9D9D9" w:themeFill="background1" w:themeFillShade="D9"/>
            <w:vAlign w:val="center"/>
          </w:tcPr>
          <w:p w14:paraId="166344D0" w14:textId="77777777" w:rsidR="00652695" w:rsidRPr="00F134A5" w:rsidRDefault="00652695" w:rsidP="005D6C08">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134A5">
              <w:rPr>
                <w:rFonts w:cs="Arial"/>
                <w:sz w:val="20"/>
                <w:szCs w:val="20"/>
              </w:rPr>
              <w:t>5 pts</w:t>
            </w:r>
          </w:p>
        </w:tc>
      </w:tr>
      <w:tr w:rsidR="00652695" w:rsidRPr="00F134A5" w14:paraId="1EBEC4F0" w14:textId="77777777" w:rsidTr="00C56B7A">
        <w:trPr>
          <w:trHeight w:val="506"/>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single" w:sz="4" w:space="0" w:color="666666"/>
              <w:bottom w:val="none" w:sz="0" w:space="0" w:color="auto"/>
              <w:right w:val="single" w:sz="4" w:space="0" w:color="000000" w:themeColor="text1"/>
            </w:tcBorders>
            <w:vAlign w:val="center"/>
          </w:tcPr>
          <w:p w14:paraId="17F48485" w14:textId="77777777" w:rsidR="00652695" w:rsidRPr="00F134A5" w:rsidRDefault="00652695" w:rsidP="005D6C08">
            <w:pPr>
              <w:spacing w:after="0"/>
              <w:jc w:val="left"/>
              <w:rPr>
                <w:rFonts w:cs="Arial"/>
                <w:i w:val="0"/>
                <w:iCs w:val="0"/>
                <w:sz w:val="20"/>
                <w:szCs w:val="20"/>
                <w:lang w:val="en-US"/>
              </w:rPr>
            </w:pPr>
            <w:r w:rsidRPr="00F134A5">
              <w:rPr>
                <w:rFonts w:cs="Arial"/>
                <w:i w:val="0"/>
                <w:iCs w:val="0"/>
                <w:sz w:val="20"/>
                <w:szCs w:val="20"/>
                <w:lang w:val="en-US"/>
              </w:rPr>
              <w:t>Health Care &amp; Social Assistance</w:t>
            </w:r>
          </w:p>
        </w:tc>
        <w:tc>
          <w:tcPr>
            <w:tcW w:w="1152" w:type="dxa"/>
            <w:tcBorders>
              <w:top w:val="nil"/>
              <w:left w:val="single" w:sz="4" w:space="0" w:color="000000" w:themeColor="text1"/>
              <w:bottom w:val="single" w:sz="4" w:space="0" w:color="000000" w:themeColor="text1"/>
            </w:tcBorders>
            <w:vAlign w:val="center"/>
          </w:tcPr>
          <w:p w14:paraId="1A8CAB13"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57%</w:t>
            </w:r>
          </w:p>
        </w:tc>
        <w:tc>
          <w:tcPr>
            <w:tcW w:w="1152" w:type="dxa"/>
            <w:tcBorders>
              <w:top w:val="nil"/>
              <w:bottom w:val="single" w:sz="4" w:space="0" w:color="000000" w:themeColor="text1"/>
              <w:right w:val="single" w:sz="4" w:space="0" w:color="000000" w:themeColor="text1"/>
            </w:tcBorders>
            <w:vAlign w:val="center"/>
          </w:tcPr>
          <w:p w14:paraId="218BB9B1"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-16 pts</w:t>
            </w:r>
          </w:p>
        </w:tc>
        <w:tc>
          <w:tcPr>
            <w:tcW w:w="1152" w:type="dxa"/>
            <w:tcBorders>
              <w:left w:val="single" w:sz="4" w:space="0" w:color="000000" w:themeColor="text1"/>
            </w:tcBorders>
            <w:vAlign w:val="center"/>
          </w:tcPr>
          <w:p w14:paraId="085F8136"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71%</w:t>
            </w:r>
          </w:p>
        </w:tc>
        <w:tc>
          <w:tcPr>
            <w:tcW w:w="1152" w:type="dxa"/>
            <w:tcBorders>
              <w:right w:val="single" w:sz="4" w:space="0" w:color="000000" w:themeColor="text1"/>
            </w:tcBorders>
            <w:vAlign w:val="center"/>
          </w:tcPr>
          <w:p w14:paraId="52ECBA26"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0 pts</w:t>
            </w:r>
          </w:p>
        </w:tc>
        <w:tc>
          <w:tcPr>
            <w:tcW w:w="1152" w:type="dxa"/>
            <w:tcBorders>
              <w:top w:val="nil"/>
              <w:left w:val="single" w:sz="4" w:space="0" w:color="000000" w:themeColor="text1"/>
              <w:bottom w:val="single" w:sz="4" w:space="0" w:color="000000" w:themeColor="text1"/>
            </w:tcBorders>
            <w:vAlign w:val="center"/>
          </w:tcPr>
          <w:p w14:paraId="5EAE3339"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29%</w:t>
            </w:r>
          </w:p>
        </w:tc>
        <w:tc>
          <w:tcPr>
            <w:tcW w:w="1153" w:type="dxa"/>
            <w:tcBorders>
              <w:top w:val="nil"/>
              <w:bottom w:val="single" w:sz="4" w:space="0" w:color="000000" w:themeColor="text1"/>
            </w:tcBorders>
            <w:vAlign w:val="center"/>
          </w:tcPr>
          <w:p w14:paraId="5BEFEF5E" w14:textId="77777777" w:rsidR="00652695" w:rsidRPr="00F134A5" w:rsidRDefault="00652695" w:rsidP="005D6C08">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134A5">
              <w:rPr>
                <w:rFonts w:cs="Arial"/>
                <w:sz w:val="20"/>
                <w:szCs w:val="20"/>
              </w:rPr>
              <w:t>-1 pts</w:t>
            </w:r>
          </w:p>
        </w:tc>
      </w:tr>
    </w:tbl>
    <w:p w14:paraId="7019E167" w14:textId="37BD0611" w:rsidR="00652695" w:rsidRPr="00F134A5" w:rsidRDefault="00EB33B4" w:rsidP="00170E50">
      <w:pPr>
        <w:pStyle w:val="Source"/>
        <w:spacing w:before="0"/>
        <w:rPr>
          <w:rFonts w:cs="Arial"/>
          <w:sz w:val="16"/>
          <w:szCs w:val="16"/>
        </w:rPr>
      </w:pPr>
      <w:r w:rsidRPr="00F134A5">
        <w:rPr>
          <w:rFonts w:cs="Arial"/>
          <w:sz w:val="16"/>
          <w:szCs w:val="16"/>
        </w:rPr>
        <w:t>* Interpret with caution due to low sample size.</w:t>
      </w:r>
    </w:p>
    <w:p w14:paraId="16DDCFCD" w14:textId="0561BFE1" w:rsidR="00EB33B4" w:rsidRPr="00F134A5" w:rsidRDefault="00EB33B4" w:rsidP="0056234D">
      <w:pPr>
        <w:pStyle w:val="Caption"/>
        <w:spacing w:after="0"/>
        <w:rPr>
          <w:rFonts w:cs="Arial"/>
        </w:rPr>
      </w:pPr>
      <w:r w:rsidRPr="00F134A5">
        <w:rPr>
          <w:rFonts w:cs="Arial"/>
        </w:rPr>
        <w:t xml:space="preserve">Figure 7. Recruitment rate by industry, September </w:t>
      </w:r>
      <w:r w:rsidR="00B56DB8" w:rsidRPr="00F134A5">
        <w:rPr>
          <w:rFonts w:cs="Arial"/>
        </w:rPr>
        <w:t xml:space="preserve">quarter </w:t>
      </w:r>
      <w:r w:rsidRPr="00F134A5">
        <w:rPr>
          <w:rFonts w:cs="Arial"/>
        </w:rPr>
        <w:t xml:space="preserve">2022 – September </w:t>
      </w:r>
      <w:r w:rsidR="00B56DB8" w:rsidRPr="00F134A5">
        <w:rPr>
          <w:rFonts w:cs="Arial"/>
        </w:rPr>
        <w:t xml:space="preserve">quarter </w:t>
      </w:r>
      <w:r w:rsidRPr="00F134A5">
        <w:rPr>
          <w:rFonts w:cs="Arial"/>
        </w:rPr>
        <w:t>2023</w:t>
      </w:r>
    </w:p>
    <w:p w14:paraId="19B46A7F" w14:textId="59669A4D" w:rsidR="00EB33B4" w:rsidRPr="00F134A5" w:rsidRDefault="00FC73DE" w:rsidP="00EB33B4">
      <w:pPr>
        <w:rPr>
          <w:rFonts w:cs="Arial"/>
        </w:rPr>
      </w:pPr>
      <w:r w:rsidRPr="00F134A5">
        <w:rPr>
          <w:rFonts w:cs="Arial"/>
          <w:noProof/>
        </w:rPr>
        <w:drawing>
          <wp:inline distT="0" distB="0" distL="0" distR="0" wp14:anchorId="503A5D3B" wp14:editId="1E57AAD9">
            <wp:extent cx="5731510" cy="1656000"/>
            <wp:effectExtent l="0" t="0" r="2540" b="1905"/>
            <wp:docPr id="973850685" name="Chart 1" descr="This is a column chart that shows the variation in recruitment rates across Manufacturing, Construction, Wholesale Trade, Retail Trade, Accommodation and Food Service, Professional Scientific and Technical Services and Health Care and Social Assistance.">
              <a:extLst xmlns:a="http://schemas.openxmlformats.org/drawingml/2006/main">
                <a:ext uri="{FF2B5EF4-FFF2-40B4-BE49-F238E27FC236}">
                  <a16:creationId xmlns:a16="http://schemas.microsoft.com/office/drawing/2014/main" id="{AB2075D5-3691-49C9-BE30-DFA90417D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BE76FF" w14:textId="12458064" w:rsidR="00652695" w:rsidRPr="00F134A5" w:rsidRDefault="00EB33B4" w:rsidP="0056234D">
      <w:pPr>
        <w:pStyle w:val="Caption"/>
        <w:spacing w:after="0"/>
        <w:rPr>
          <w:rFonts w:cs="Arial"/>
        </w:rPr>
      </w:pPr>
      <w:r w:rsidRPr="0097766F">
        <w:rPr>
          <w:rFonts w:cs="Arial"/>
        </w:rPr>
        <w:t xml:space="preserve">Figure 8. Recruitment difficulty rate by industry, September </w:t>
      </w:r>
      <w:r w:rsidR="00B56DB8" w:rsidRPr="0097766F">
        <w:rPr>
          <w:rFonts w:cs="Arial"/>
        </w:rPr>
        <w:t xml:space="preserve">quarter </w:t>
      </w:r>
      <w:r w:rsidRPr="0097766F">
        <w:rPr>
          <w:rFonts w:cs="Arial"/>
        </w:rPr>
        <w:t xml:space="preserve">2022 – September </w:t>
      </w:r>
      <w:r w:rsidR="00B56DB8" w:rsidRPr="0097766F">
        <w:rPr>
          <w:rFonts w:cs="Arial"/>
        </w:rPr>
        <w:t xml:space="preserve">quarter </w:t>
      </w:r>
      <w:r w:rsidRPr="0097766F">
        <w:rPr>
          <w:rFonts w:cs="Arial"/>
        </w:rPr>
        <w:t>2023</w:t>
      </w:r>
    </w:p>
    <w:p w14:paraId="2213C2BF" w14:textId="5DE07FE8" w:rsidR="00652695" w:rsidRPr="00F134A5" w:rsidRDefault="0097766F" w:rsidP="00D2513B">
      <w:pPr>
        <w:pStyle w:val="Sub"/>
        <w:rPr>
          <w:rFonts w:cs="Arial"/>
        </w:rPr>
      </w:pPr>
      <w:r>
        <w:rPr>
          <w:noProof/>
        </w:rPr>
        <w:drawing>
          <wp:inline distT="0" distB="0" distL="0" distR="0" wp14:anchorId="0897C4A5" wp14:editId="415FADDB">
            <wp:extent cx="5720825" cy="1677150"/>
            <wp:effectExtent l="0" t="0" r="0" b="0"/>
            <wp:docPr id="1135613161" name="Chart 1" descr="This is a column chart that shows the variation in recruitment difficulty rates across across Manufacturing, Construction, Wholesale Trade, Retail Trade, Accommodation and Food Service, Professional Scientific and Technical Services and Health Care and Social Assistance.">
              <a:extLst xmlns:a="http://schemas.openxmlformats.org/drawingml/2006/main">
                <a:ext uri="{FF2B5EF4-FFF2-40B4-BE49-F238E27FC236}">
                  <a16:creationId xmlns:a16="http://schemas.microsoft.com/office/drawing/2014/main" id="{5565278A-6ECC-4EB0-B117-7967C434F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45BA674" w14:textId="229E7A55" w:rsidR="00652695" w:rsidRPr="00F134A5" w:rsidRDefault="0056234D">
      <w:pPr>
        <w:spacing w:after="160" w:line="259" w:lineRule="auto"/>
        <w:rPr>
          <w:rFonts w:eastAsiaTheme="majorEastAsia" w:cs="Arial"/>
          <w:b/>
          <w:sz w:val="40"/>
          <w:szCs w:val="26"/>
        </w:rPr>
      </w:pPr>
      <w:r w:rsidRPr="00F134A5">
        <w:rPr>
          <w:rFonts w:cs="Arial"/>
          <w:noProof/>
        </w:rPr>
        <w:drawing>
          <wp:inline distT="0" distB="0" distL="0" distR="0" wp14:anchorId="34C7C281" wp14:editId="20F2A6F5">
            <wp:extent cx="5731510" cy="214853"/>
            <wp:effectExtent l="0" t="0" r="2540" b="0"/>
            <wp:docPr id="954855152" name="Chart 1" descr="This is a column chart that shows the variation in recruitment rates across NSW, VIC, QLD, SA, WA and TAS.">
              <a:extLst xmlns:a="http://schemas.openxmlformats.org/drawingml/2006/main">
                <a:ext uri="{FF2B5EF4-FFF2-40B4-BE49-F238E27FC236}">
                  <a16:creationId xmlns:a16="http://schemas.microsoft.com/office/drawing/2014/main" id="{FF81D1D5-6C6C-493F-983B-8E3BAAF6F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52695" w:rsidRPr="00F134A5">
        <w:rPr>
          <w:rFonts w:cs="Arial"/>
        </w:rPr>
        <w:br w:type="page"/>
      </w:r>
    </w:p>
    <w:p w14:paraId="45E80745" w14:textId="77777777" w:rsidR="00795F7F" w:rsidRDefault="00795F7F" w:rsidP="00795F7F">
      <w:pPr>
        <w:pStyle w:val="Heading2"/>
      </w:pPr>
      <w:r>
        <w:lastRenderedPageBreak/>
        <w:t xml:space="preserve">Key indicators by selected occupation groups </w:t>
      </w:r>
    </w:p>
    <w:p w14:paraId="77DFCB27" w14:textId="77777777" w:rsidR="00795F7F" w:rsidRDefault="00795F7F" w:rsidP="00795F7F">
      <w:r>
        <w:t>In the September quarter 2023, the highest recruitment difficulty rate was recorded for Technicians and Trades Workers (75%). Employers recruiting for Technicians and Trades Workers, as well as Professionals were the most likely have been recruiting for longer than a month.</w:t>
      </w:r>
    </w:p>
    <w:p w14:paraId="7511376C" w14:textId="77777777" w:rsidR="00795F7F" w:rsidRDefault="00795F7F" w:rsidP="00795F7F">
      <w:pPr>
        <w:pStyle w:val="Caption"/>
      </w:pPr>
      <w:r w:rsidRPr="00795F7F">
        <w:t>Table 4. Key indicators by occupation, September quarter 2023</w:t>
      </w:r>
    </w:p>
    <w:tbl>
      <w:tblPr>
        <w:tblStyle w:val="GridTable3"/>
        <w:tblW w:w="8938"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31"/>
        <w:gridCol w:w="1276"/>
        <w:gridCol w:w="1277"/>
        <w:gridCol w:w="1277"/>
        <w:gridCol w:w="1277"/>
      </w:tblGrid>
      <w:tr w:rsidR="00795F7F" w:rsidRPr="00E0255C" w14:paraId="7A82984E" w14:textId="77777777" w:rsidTr="00F134A5">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3831" w:type="dxa"/>
            <w:tcBorders>
              <w:top w:val="none" w:sz="0" w:space="0" w:color="auto"/>
              <w:left w:val="none" w:sz="0" w:space="0" w:color="auto"/>
              <w:bottom w:val="none" w:sz="0" w:space="0" w:color="auto"/>
              <w:right w:val="single" w:sz="4" w:space="0" w:color="auto"/>
            </w:tcBorders>
            <w:shd w:val="clear" w:color="auto" w:fill="2F005F"/>
            <w:vAlign w:val="bottom"/>
          </w:tcPr>
          <w:p w14:paraId="3088147C" w14:textId="77777777" w:rsidR="00795F7F" w:rsidRPr="00795F7F" w:rsidRDefault="00795F7F" w:rsidP="005D6C08">
            <w:pPr>
              <w:rPr>
                <w:rFonts w:cs="Arial"/>
                <w:color w:val="FFFFFF" w:themeColor="background1"/>
                <w:sz w:val="20"/>
                <w:szCs w:val="20"/>
                <w:lang w:val="en-US"/>
              </w:rPr>
            </w:pPr>
          </w:p>
        </w:tc>
        <w:tc>
          <w:tcPr>
            <w:tcW w:w="2553" w:type="dxa"/>
            <w:gridSpan w:val="2"/>
            <w:tcBorders>
              <w:top w:val="single" w:sz="4" w:space="0" w:color="auto"/>
              <w:left w:val="single" w:sz="4" w:space="0" w:color="auto"/>
              <w:bottom w:val="nil"/>
              <w:right w:val="single" w:sz="4" w:space="0" w:color="auto"/>
            </w:tcBorders>
            <w:shd w:val="clear" w:color="auto" w:fill="2F005F"/>
            <w:vAlign w:val="center"/>
          </w:tcPr>
          <w:p w14:paraId="6F86A266" w14:textId="77777777" w:rsidR="00795F7F" w:rsidRPr="005B7B9D" w:rsidRDefault="00795F7F" w:rsidP="005D6C08">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B7B9D">
              <w:rPr>
                <w:rFonts w:cs="Arial"/>
                <w:sz w:val="18"/>
                <w:szCs w:val="18"/>
              </w:rPr>
              <w:t>Recruitment difficulty rate</w:t>
            </w:r>
          </w:p>
        </w:tc>
        <w:tc>
          <w:tcPr>
            <w:tcW w:w="2554" w:type="dxa"/>
            <w:gridSpan w:val="2"/>
            <w:tcBorders>
              <w:top w:val="single" w:sz="4" w:space="0" w:color="auto"/>
              <w:left w:val="single" w:sz="4" w:space="0" w:color="auto"/>
              <w:bottom w:val="nil"/>
              <w:right w:val="none" w:sz="0" w:space="0" w:color="auto"/>
            </w:tcBorders>
            <w:shd w:val="clear" w:color="auto" w:fill="2F005F"/>
            <w:vAlign w:val="center"/>
          </w:tcPr>
          <w:p w14:paraId="1B111C97" w14:textId="77777777" w:rsidR="00795F7F" w:rsidRPr="005B7B9D" w:rsidRDefault="00795F7F" w:rsidP="005D6C08">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B7B9D">
              <w:rPr>
                <w:rFonts w:cs="Arial"/>
                <w:sz w:val="18"/>
                <w:szCs w:val="18"/>
              </w:rPr>
              <w:t>Vacancies taking longer than 1 month to fill</w:t>
            </w:r>
          </w:p>
        </w:tc>
      </w:tr>
      <w:tr w:rsidR="00795F7F" w:rsidRPr="00E0255C" w14:paraId="7D7DD0FC" w14:textId="77777777" w:rsidTr="0033060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single" w:sz="4" w:space="0" w:color="auto"/>
              <w:right w:val="single" w:sz="4" w:space="0" w:color="auto"/>
            </w:tcBorders>
            <w:shd w:val="clear" w:color="auto" w:fill="2F005F"/>
            <w:vAlign w:val="bottom"/>
          </w:tcPr>
          <w:p w14:paraId="7F19E52A" w14:textId="77777777" w:rsidR="00795F7F" w:rsidRPr="00795F7F" w:rsidRDefault="00795F7F" w:rsidP="005D6C08">
            <w:pPr>
              <w:rPr>
                <w:rFonts w:cs="Arial"/>
                <w:color w:val="FFFFFF" w:themeColor="background1"/>
                <w:sz w:val="20"/>
                <w:szCs w:val="20"/>
                <w:lang w:val="en-US"/>
              </w:rPr>
            </w:pPr>
          </w:p>
        </w:tc>
        <w:tc>
          <w:tcPr>
            <w:tcW w:w="1276" w:type="dxa"/>
            <w:tcBorders>
              <w:top w:val="nil"/>
              <w:left w:val="single" w:sz="4" w:space="0" w:color="auto"/>
              <w:bottom w:val="single" w:sz="4" w:space="0" w:color="auto"/>
            </w:tcBorders>
            <w:shd w:val="clear" w:color="auto" w:fill="2F005F"/>
            <w:vAlign w:val="center"/>
          </w:tcPr>
          <w:p w14:paraId="1F796DC7" w14:textId="77777777" w:rsidR="00795F7F" w:rsidRPr="005B7B9D" w:rsidRDefault="00795F7F"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B7B9D">
              <w:rPr>
                <w:rFonts w:cs="Arial"/>
                <w:sz w:val="18"/>
                <w:szCs w:val="18"/>
              </w:rPr>
              <w:t>% of recruiting employers</w:t>
            </w:r>
          </w:p>
        </w:tc>
        <w:tc>
          <w:tcPr>
            <w:tcW w:w="1277" w:type="dxa"/>
            <w:tcBorders>
              <w:top w:val="nil"/>
              <w:bottom w:val="single" w:sz="4" w:space="0" w:color="auto"/>
              <w:right w:val="single" w:sz="4" w:space="0" w:color="auto"/>
            </w:tcBorders>
            <w:shd w:val="clear" w:color="auto" w:fill="2F005F"/>
            <w:vAlign w:val="center"/>
          </w:tcPr>
          <w:p w14:paraId="107525F7" w14:textId="77777777" w:rsidR="00795F7F" w:rsidRPr="005B7B9D" w:rsidRDefault="00795F7F"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B7B9D">
              <w:rPr>
                <w:rFonts w:cs="Arial"/>
                <w:sz w:val="18"/>
                <w:szCs w:val="18"/>
              </w:rPr>
              <w:t>Annual change</w:t>
            </w:r>
            <w:r w:rsidRPr="005B7B9D">
              <w:rPr>
                <w:rFonts w:cs="Arial"/>
                <w:sz w:val="18"/>
                <w:szCs w:val="18"/>
              </w:rPr>
              <w:br/>
              <w:t>(% points)</w:t>
            </w:r>
          </w:p>
        </w:tc>
        <w:tc>
          <w:tcPr>
            <w:tcW w:w="1277" w:type="dxa"/>
            <w:tcBorders>
              <w:top w:val="nil"/>
              <w:left w:val="single" w:sz="4" w:space="0" w:color="auto"/>
              <w:bottom w:val="single" w:sz="4" w:space="0" w:color="auto"/>
            </w:tcBorders>
            <w:shd w:val="clear" w:color="auto" w:fill="2F005F"/>
            <w:vAlign w:val="center"/>
          </w:tcPr>
          <w:p w14:paraId="793E30D2" w14:textId="77777777" w:rsidR="00795F7F" w:rsidRPr="005B7B9D" w:rsidRDefault="00795F7F"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B7B9D">
              <w:rPr>
                <w:rFonts w:cs="Arial"/>
                <w:sz w:val="18"/>
                <w:szCs w:val="18"/>
              </w:rPr>
              <w:t>% of recruiting employers</w:t>
            </w:r>
          </w:p>
        </w:tc>
        <w:tc>
          <w:tcPr>
            <w:tcW w:w="1277" w:type="dxa"/>
            <w:tcBorders>
              <w:top w:val="nil"/>
              <w:bottom w:val="single" w:sz="4" w:space="0" w:color="auto"/>
            </w:tcBorders>
            <w:shd w:val="clear" w:color="auto" w:fill="2F005F"/>
            <w:vAlign w:val="center"/>
          </w:tcPr>
          <w:p w14:paraId="61E3DC0D" w14:textId="77777777" w:rsidR="00795F7F" w:rsidRPr="005B7B9D" w:rsidRDefault="00795F7F" w:rsidP="005D6C0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B7B9D">
              <w:rPr>
                <w:rFonts w:cs="Arial"/>
                <w:sz w:val="18"/>
                <w:szCs w:val="18"/>
              </w:rPr>
              <w:t>Annual change</w:t>
            </w:r>
            <w:r w:rsidRPr="005B7B9D">
              <w:rPr>
                <w:rFonts w:cs="Arial"/>
                <w:sz w:val="18"/>
                <w:szCs w:val="18"/>
              </w:rPr>
              <w:br/>
              <w:t>(% points)</w:t>
            </w:r>
          </w:p>
        </w:tc>
      </w:tr>
      <w:tr w:rsidR="00795F7F" w:rsidRPr="00E0255C" w14:paraId="724BC0A9" w14:textId="77777777" w:rsidTr="00330605">
        <w:trPr>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auto"/>
              <w:left w:val="none" w:sz="0" w:space="0" w:color="auto"/>
              <w:right w:val="single" w:sz="4" w:space="0" w:color="auto"/>
            </w:tcBorders>
            <w:vAlign w:val="center"/>
          </w:tcPr>
          <w:p w14:paraId="5EC753D3" w14:textId="77777777" w:rsidR="00795F7F" w:rsidRPr="00B56DB8" w:rsidRDefault="00795F7F" w:rsidP="00C56B7A">
            <w:pPr>
              <w:jc w:val="left"/>
              <w:rPr>
                <w:i w:val="0"/>
                <w:iCs w:val="0"/>
                <w:sz w:val="20"/>
                <w:szCs w:val="20"/>
                <w:lang w:val="en-US"/>
              </w:rPr>
            </w:pPr>
            <w:r w:rsidRPr="00B56DB8">
              <w:rPr>
                <w:i w:val="0"/>
                <w:iCs w:val="0"/>
                <w:sz w:val="20"/>
                <w:szCs w:val="20"/>
                <w:lang w:val="en-US"/>
              </w:rPr>
              <w:t>Professionals</w:t>
            </w:r>
          </w:p>
        </w:tc>
        <w:tc>
          <w:tcPr>
            <w:tcW w:w="1276" w:type="dxa"/>
            <w:tcBorders>
              <w:top w:val="single" w:sz="4" w:space="0" w:color="auto"/>
              <w:left w:val="single" w:sz="4" w:space="0" w:color="auto"/>
              <w:bottom w:val="nil"/>
            </w:tcBorders>
            <w:vAlign w:val="center"/>
          </w:tcPr>
          <w:p w14:paraId="1FE79E4B"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68%</w:t>
            </w:r>
          </w:p>
        </w:tc>
        <w:tc>
          <w:tcPr>
            <w:tcW w:w="1277" w:type="dxa"/>
            <w:tcBorders>
              <w:top w:val="single" w:sz="4" w:space="0" w:color="auto"/>
              <w:bottom w:val="nil"/>
              <w:right w:val="single" w:sz="4" w:space="0" w:color="auto"/>
            </w:tcBorders>
            <w:vAlign w:val="center"/>
          </w:tcPr>
          <w:p w14:paraId="13B07884"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-6 pts</w:t>
            </w:r>
          </w:p>
        </w:tc>
        <w:tc>
          <w:tcPr>
            <w:tcW w:w="1277" w:type="dxa"/>
            <w:tcBorders>
              <w:top w:val="single" w:sz="4" w:space="0" w:color="auto"/>
              <w:left w:val="single" w:sz="4" w:space="0" w:color="auto"/>
            </w:tcBorders>
          </w:tcPr>
          <w:p w14:paraId="740C2E8D"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71%</w:t>
            </w:r>
          </w:p>
        </w:tc>
        <w:tc>
          <w:tcPr>
            <w:tcW w:w="1277" w:type="dxa"/>
            <w:tcBorders>
              <w:top w:val="single" w:sz="4" w:space="0" w:color="auto"/>
            </w:tcBorders>
          </w:tcPr>
          <w:p w14:paraId="1262C5D2"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-4 pts</w:t>
            </w:r>
          </w:p>
        </w:tc>
      </w:tr>
      <w:tr w:rsidR="00795F7F" w:rsidRPr="00E0255C" w14:paraId="2DE46E28" w14:textId="77777777" w:rsidTr="0033060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left w:val="none" w:sz="0" w:space="0" w:color="auto"/>
              <w:bottom w:val="none" w:sz="0" w:space="0" w:color="auto"/>
              <w:right w:val="single" w:sz="4" w:space="0" w:color="auto"/>
            </w:tcBorders>
            <w:shd w:val="clear" w:color="auto" w:fill="D9D9D9" w:themeFill="background1" w:themeFillShade="D9"/>
            <w:vAlign w:val="center"/>
          </w:tcPr>
          <w:p w14:paraId="5F2AF626" w14:textId="77777777" w:rsidR="00795F7F" w:rsidRPr="00B56DB8" w:rsidRDefault="00795F7F" w:rsidP="00C56B7A">
            <w:pPr>
              <w:jc w:val="left"/>
              <w:rPr>
                <w:i w:val="0"/>
                <w:iCs w:val="0"/>
                <w:sz w:val="20"/>
                <w:szCs w:val="20"/>
                <w:lang w:val="en-US"/>
              </w:rPr>
            </w:pPr>
            <w:r w:rsidRPr="00B56DB8">
              <w:rPr>
                <w:i w:val="0"/>
                <w:iCs w:val="0"/>
                <w:sz w:val="20"/>
                <w:szCs w:val="20"/>
                <w:lang w:val="en-US"/>
              </w:rPr>
              <w:t xml:space="preserve">Technicians and Trades Workers </w:t>
            </w:r>
          </w:p>
        </w:tc>
        <w:tc>
          <w:tcPr>
            <w:tcW w:w="1276" w:type="dxa"/>
            <w:tcBorders>
              <w:top w:val="nil"/>
              <w:left w:val="single" w:sz="4" w:space="0" w:color="auto"/>
              <w:bottom w:val="nil"/>
            </w:tcBorders>
            <w:shd w:val="clear" w:color="auto" w:fill="D9D9D9" w:themeFill="background1" w:themeFillShade="D9"/>
            <w:vAlign w:val="center"/>
          </w:tcPr>
          <w:p w14:paraId="0E31F93B"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75%</w:t>
            </w:r>
          </w:p>
        </w:tc>
        <w:tc>
          <w:tcPr>
            <w:tcW w:w="1277" w:type="dxa"/>
            <w:tcBorders>
              <w:top w:val="nil"/>
              <w:bottom w:val="nil"/>
              <w:right w:val="single" w:sz="4" w:space="0" w:color="auto"/>
            </w:tcBorders>
            <w:shd w:val="clear" w:color="auto" w:fill="D9D9D9" w:themeFill="background1" w:themeFillShade="D9"/>
            <w:vAlign w:val="center"/>
          </w:tcPr>
          <w:p w14:paraId="2E3315B7"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-7 pts</w:t>
            </w:r>
          </w:p>
        </w:tc>
        <w:tc>
          <w:tcPr>
            <w:tcW w:w="1277" w:type="dxa"/>
            <w:tcBorders>
              <w:left w:val="single" w:sz="4" w:space="0" w:color="auto"/>
            </w:tcBorders>
            <w:shd w:val="clear" w:color="auto" w:fill="D9D9D9" w:themeFill="background1" w:themeFillShade="D9"/>
          </w:tcPr>
          <w:p w14:paraId="78D4D9AE"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71%</w:t>
            </w:r>
          </w:p>
        </w:tc>
        <w:tc>
          <w:tcPr>
            <w:tcW w:w="1277" w:type="dxa"/>
            <w:shd w:val="clear" w:color="auto" w:fill="D9D9D9" w:themeFill="background1" w:themeFillShade="D9"/>
          </w:tcPr>
          <w:p w14:paraId="18AFDE00"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-10 pts</w:t>
            </w:r>
          </w:p>
        </w:tc>
      </w:tr>
      <w:tr w:rsidR="00795F7F" w:rsidRPr="00E0255C" w14:paraId="16940FF1" w14:textId="77777777" w:rsidTr="00330605">
        <w:trPr>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none" w:sz="0" w:space="0" w:color="auto"/>
              <w:right w:val="single" w:sz="4" w:space="0" w:color="auto"/>
            </w:tcBorders>
            <w:vAlign w:val="center"/>
          </w:tcPr>
          <w:p w14:paraId="2F62CB4D" w14:textId="77777777" w:rsidR="00795F7F" w:rsidRPr="00B56DB8" w:rsidRDefault="00795F7F" w:rsidP="00C56B7A">
            <w:pPr>
              <w:jc w:val="left"/>
              <w:rPr>
                <w:i w:val="0"/>
                <w:iCs w:val="0"/>
                <w:sz w:val="20"/>
                <w:szCs w:val="20"/>
                <w:lang w:val="en-US"/>
              </w:rPr>
            </w:pPr>
            <w:r w:rsidRPr="00B56DB8">
              <w:rPr>
                <w:i w:val="0"/>
                <w:iCs w:val="0"/>
                <w:sz w:val="20"/>
                <w:szCs w:val="20"/>
                <w:lang w:val="en-US"/>
              </w:rPr>
              <w:t>Community &amp; Personal Service Workers</w:t>
            </w:r>
          </w:p>
        </w:tc>
        <w:tc>
          <w:tcPr>
            <w:tcW w:w="1276" w:type="dxa"/>
            <w:tcBorders>
              <w:top w:val="nil"/>
              <w:left w:val="single" w:sz="4" w:space="0" w:color="auto"/>
              <w:bottom w:val="nil"/>
            </w:tcBorders>
            <w:vAlign w:val="center"/>
          </w:tcPr>
          <w:p w14:paraId="7C1E097C"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60%</w:t>
            </w:r>
          </w:p>
        </w:tc>
        <w:tc>
          <w:tcPr>
            <w:tcW w:w="1277" w:type="dxa"/>
            <w:tcBorders>
              <w:top w:val="nil"/>
              <w:bottom w:val="nil"/>
              <w:right w:val="single" w:sz="4" w:space="0" w:color="auto"/>
            </w:tcBorders>
            <w:vAlign w:val="center"/>
          </w:tcPr>
          <w:p w14:paraId="275EC2F3"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-15 pts</w:t>
            </w:r>
          </w:p>
        </w:tc>
        <w:tc>
          <w:tcPr>
            <w:tcW w:w="1277" w:type="dxa"/>
            <w:tcBorders>
              <w:left w:val="single" w:sz="4" w:space="0" w:color="auto"/>
            </w:tcBorders>
          </w:tcPr>
          <w:p w14:paraId="7969A324"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52%</w:t>
            </w:r>
          </w:p>
        </w:tc>
        <w:tc>
          <w:tcPr>
            <w:tcW w:w="1277" w:type="dxa"/>
          </w:tcPr>
          <w:p w14:paraId="64A48520"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-24 pts</w:t>
            </w:r>
          </w:p>
        </w:tc>
      </w:tr>
      <w:tr w:rsidR="00795F7F" w:rsidRPr="00E0255C" w14:paraId="6FEBDE40" w14:textId="77777777" w:rsidTr="0033060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none" w:sz="0" w:space="0" w:color="auto"/>
              <w:right w:val="single" w:sz="4" w:space="0" w:color="auto"/>
            </w:tcBorders>
            <w:shd w:val="clear" w:color="auto" w:fill="D9D9D9" w:themeFill="background1" w:themeFillShade="D9"/>
            <w:vAlign w:val="center"/>
          </w:tcPr>
          <w:p w14:paraId="493458EE" w14:textId="77777777" w:rsidR="00795F7F" w:rsidRPr="00B56DB8" w:rsidRDefault="00795F7F" w:rsidP="00C56B7A">
            <w:pPr>
              <w:jc w:val="left"/>
              <w:rPr>
                <w:i w:val="0"/>
                <w:iCs w:val="0"/>
                <w:sz w:val="20"/>
                <w:szCs w:val="20"/>
                <w:lang w:val="en-US"/>
              </w:rPr>
            </w:pPr>
            <w:r w:rsidRPr="00B56DB8">
              <w:rPr>
                <w:i w:val="0"/>
                <w:iCs w:val="0"/>
                <w:sz w:val="20"/>
                <w:szCs w:val="20"/>
                <w:lang w:val="en-US"/>
              </w:rPr>
              <w:t xml:space="preserve">Clerical and Administrative Workers </w:t>
            </w:r>
          </w:p>
        </w:tc>
        <w:tc>
          <w:tcPr>
            <w:tcW w:w="1276" w:type="dxa"/>
            <w:tcBorders>
              <w:top w:val="nil"/>
              <w:left w:val="single" w:sz="4" w:space="0" w:color="auto"/>
              <w:bottom w:val="nil"/>
            </w:tcBorders>
            <w:shd w:val="clear" w:color="auto" w:fill="D9D9D9" w:themeFill="background1" w:themeFillShade="D9"/>
            <w:vAlign w:val="center"/>
          </w:tcPr>
          <w:p w14:paraId="78448E21"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43%</w:t>
            </w:r>
          </w:p>
        </w:tc>
        <w:tc>
          <w:tcPr>
            <w:tcW w:w="1277" w:type="dxa"/>
            <w:tcBorders>
              <w:top w:val="nil"/>
              <w:bottom w:val="nil"/>
              <w:right w:val="single" w:sz="4" w:space="0" w:color="auto"/>
            </w:tcBorders>
            <w:shd w:val="clear" w:color="auto" w:fill="D9D9D9" w:themeFill="background1" w:themeFillShade="D9"/>
            <w:vAlign w:val="center"/>
          </w:tcPr>
          <w:p w14:paraId="790D88DD"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-12 pts</w:t>
            </w:r>
          </w:p>
        </w:tc>
        <w:tc>
          <w:tcPr>
            <w:tcW w:w="1277" w:type="dxa"/>
            <w:tcBorders>
              <w:left w:val="single" w:sz="4" w:space="0" w:color="auto"/>
            </w:tcBorders>
            <w:shd w:val="clear" w:color="auto" w:fill="D9D9D9" w:themeFill="background1" w:themeFillShade="D9"/>
          </w:tcPr>
          <w:p w14:paraId="17487050"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47%</w:t>
            </w:r>
          </w:p>
        </w:tc>
        <w:tc>
          <w:tcPr>
            <w:tcW w:w="1277" w:type="dxa"/>
            <w:shd w:val="clear" w:color="auto" w:fill="D9D9D9" w:themeFill="background1" w:themeFillShade="D9"/>
          </w:tcPr>
          <w:p w14:paraId="51096170"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-4 pts</w:t>
            </w:r>
          </w:p>
        </w:tc>
      </w:tr>
      <w:tr w:rsidR="00795F7F" w:rsidRPr="00E0255C" w14:paraId="4EDCA12C" w14:textId="77777777" w:rsidTr="00330605">
        <w:trPr>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none" w:sz="0" w:space="0" w:color="auto"/>
              <w:right w:val="single" w:sz="4" w:space="0" w:color="auto"/>
            </w:tcBorders>
            <w:vAlign w:val="center"/>
          </w:tcPr>
          <w:p w14:paraId="46BA31EA" w14:textId="77777777" w:rsidR="00795F7F" w:rsidRPr="00B56DB8" w:rsidRDefault="00795F7F" w:rsidP="00C56B7A">
            <w:pPr>
              <w:jc w:val="left"/>
              <w:rPr>
                <w:i w:val="0"/>
                <w:iCs w:val="0"/>
                <w:sz w:val="20"/>
                <w:szCs w:val="20"/>
                <w:lang w:val="en-US"/>
              </w:rPr>
            </w:pPr>
            <w:r w:rsidRPr="00B56DB8">
              <w:rPr>
                <w:i w:val="0"/>
                <w:iCs w:val="0"/>
                <w:sz w:val="20"/>
                <w:szCs w:val="20"/>
                <w:lang w:val="en-US"/>
              </w:rPr>
              <w:t>Sales Workers</w:t>
            </w:r>
          </w:p>
        </w:tc>
        <w:tc>
          <w:tcPr>
            <w:tcW w:w="1276" w:type="dxa"/>
            <w:tcBorders>
              <w:top w:val="nil"/>
              <w:left w:val="single" w:sz="4" w:space="0" w:color="auto"/>
              <w:bottom w:val="nil"/>
            </w:tcBorders>
            <w:vAlign w:val="center"/>
          </w:tcPr>
          <w:p w14:paraId="7019B0CD"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52%</w:t>
            </w:r>
          </w:p>
        </w:tc>
        <w:tc>
          <w:tcPr>
            <w:tcW w:w="1277" w:type="dxa"/>
            <w:tcBorders>
              <w:top w:val="nil"/>
              <w:bottom w:val="nil"/>
              <w:right w:val="single" w:sz="4" w:space="0" w:color="auto"/>
            </w:tcBorders>
            <w:vAlign w:val="center"/>
          </w:tcPr>
          <w:p w14:paraId="24A09DAA"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-17 pts</w:t>
            </w:r>
          </w:p>
        </w:tc>
        <w:tc>
          <w:tcPr>
            <w:tcW w:w="1277" w:type="dxa"/>
            <w:tcBorders>
              <w:left w:val="single" w:sz="4" w:space="0" w:color="auto"/>
            </w:tcBorders>
          </w:tcPr>
          <w:p w14:paraId="40CD3988"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46%</w:t>
            </w:r>
          </w:p>
        </w:tc>
        <w:tc>
          <w:tcPr>
            <w:tcW w:w="1277" w:type="dxa"/>
          </w:tcPr>
          <w:p w14:paraId="1C24E7C8"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-19 pts</w:t>
            </w:r>
          </w:p>
        </w:tc>
      </w:tr>
      <w:tr w:rsidR="00795F7F" w:rsidRPr="00E0255C" w14:paraId="0BC5488A" w14:textId="77777777" w:rsidTr="0033060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none" w:sz="0" w:space="0" w:color="auto"/>
              <w:right w:val="single" w:sz="4" w:space="0" w:color="auto"/>
            </w:tcBorders>
            <w:shd w:val="clear" w:color="auto" w:fill="D9D9D9" w:themeFill="background1" w:themeFillShade="D9"/>
            <w:vAlign w:val="center"/>
          </w:tcPr>
          <w:p w14:paraId="011FF3B3" w14:textId="77777777" w:rsidR="00795F7F" w:rsidRPr="00B56DB8" w:rsidRDefault="00795F7F" w:rsidP="00C56B7A">
            <w:pPr>
              <w:jc w:val="left"/>
              <w:rPr>
                <w:i w:val="0"/>
                <w:iCs w:val="0"/>
                <w:sz w:val="20"/>
                <w:szCs w:val="20"/>
                <w:lang w:val="en-US"/>
              </w:rPr>
            </w:pPr>
            <w:r w:rsidRPr="00B56DB8">
              <w:rPr>
                <w:i w:val="0"/>
                <w:iCs w:val="0"/>
                <w:sz w:val="20"/>
                <w:szCs w:val="20"/>
                <w:lang w:val="en-US"/>
              </w:rPr>
              <w:t xml:space="preserve">Machinery Operators and Drivers </w:t>
            </w:r>
          </w:p>
        </w:tc>
        <w:tc>
          <w:tcPr>
            <w:tcW w:w="1276" w:type="dxa"/>
            <w:tcBorders>
              <w:top w:val="nil"/>
              <w:left w:val="single" w:sz="4" w:space="0" w:color="auto"/>
              <w:bottom w:val="nil"/>
            </w:tcBorders>
            <w:shd w:val="clear" w:color="auto" w:fill="D9D9D9" w:themeFill="background1" w:themeFillShade="D9"/>
            <w:vAlign w:val="center"/>
          </w:tcPr>
          <w:p w14:paraId="41D4BDEB"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57%</w:t>
            </w:r>
          </w:p>
        </w:tc>
        <w:tc>
          <w:tcPr>
            <w:tcW w:w="1277" w:type="dxa"/>
            <w:tcBorders>
              <w:top w:val="nil"/>
              <w:bottom w:val="nil"/>
              <w:right w:val="single" w:sz="4" w:space="0" w:color="auto"/>
            </w:tcBorders>
            <w:shd w:val="clear" w:color="auto" w:fill="D9D9D9" w:themeFill="background1" w:themeFillShade="D9"/>
            <w:vAlign w:val="center"/>
          </w:tcPr>
          <w:p w14:paraId="1986BA70"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B56DB8">
              <w:rPr>
                <w:sz w:val="20"/>
                <w:szCs w:val="20"/>
              </w:rPr>
              <w:t>-15 pts</w:t>
            </w:r>
          </w:p>
        </w:tc>
        <w:tc>
          <w:tcPr>
            <w:tcW w:w="1277" w:type="dxa"/>
            <w:tcBorders>
              <w:left w:val="single" w:sz="4" w:space="0" w:color="auto"/>
            </w:tcBorders>
            <w:shd w:val="clear" w:color="auto" w:fill="D9D9D9" w:themeFill="background1" w:themeFillShade="D9"/>
          </w:tcPr>
          <w:p w14:paraId="60AB265D" w14:textId="5577670E"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45%*</w:t>
            </w:r>
          </w:p>
        </w:tc>
        <w:tc>
          <w:tcPr>
            <w:tcW w:w="1277" w:type="dxa"/>
            <w:shd w:val="clear" w:color="auto" w:fill="D9D9D9" w:themeFill="background1" w:themeFillShade="D9"/>
          </w:tcPr>
          <w:p w14:paraId="20EBA929" w14:textId="77777777" w:rsidR="00795F7F" w:rsidRPr="00B56DB8" w:rsidRDefault="00795F7F" w:rsidP="00B56DB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6DB8">
              <w:rPr>
                <w:sz w:val="20"/>
                <w:szCs w:val="20"/>
              </w:rPr>
              <w:t>-29 pts*</w:t>
            </w:r>
          </w:p>
        </w:tc>
      </w:tr>
      <w:tr w:rsidR="00795F7F" w:rsidRPr="00E0255C" w14:paraId="4D620D89" w14:textId="77777777" w:rsidTr="00330605">
        <w:trPr>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top w:val="none" w:sz="0" w:space="0" w:color="auto"/>
              <w:left w:val="none" w:sz="0" w:space="0" w:color="auto"/>
              <w:bottom w:val="none" w:sz="0" w:space="0" w:color="auto"/>
              <w:right w:val="single" w:sz="4" w:space="0" w:color="auto"/>
            </w:tcBorders>
            <w:vAlign w:val="center"/>
          </w:tcPr>
          <w:p w14:paraId="2A7C83EA" w14:textId="77777777" w:rsidR="00795F7F" w:rsidRPr="00B56DB8" w:rsidRDefault="00795F7F" w:rsidP="00C56B7A">
            <w:pPr>
              <w:jc w:val="left"/>
              <w:rPr>
                <w:i w:val="0"/>
                <w:iCs w:val="0"/>
                <w:sz w:val="20"/>
                <w:szCs w:val="20"/>
                <w:lang w:val="en-US"/>
              </w:rPr>
            </w:pPr>
            <w:r w:rsidRPr="00B56DB8">
              <w:rPr>
                <w:i w:val="0"/>
                <w:iCs w:val="0"/>
                <w:sz w:val="20"/>
                <w:szCs w:val="20"/>
                <w:lang w:val="en-US"/>
              </w:rPr>
              <w:t>Labourers</w:t>
            </w:r>
          </w:p>
        </w:tc>
        <w:tc>
          <w:tcPr>
            <w:tcW w:w="1276" w:type="dxa"/>
            <w:tcBorders>
              <w:top w:val="nil"/>
              <w:left w:val="single" w:sz="4" w:space="0" w:color="auto"/>
              <w:bottom w:val="single" w:sz="4" w:space="0" w:color="auto"/>
            </w:tcBorders>
            <w:vAlign w:val="center"/>
          </w:tcPr>
          <w:p w14:paraId="05DD812D"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48%</w:t>
            </w:r>
          </w:p>
        </w:tc>
        <w:tc>
          <w:tcPr>
            <w:tcW w:w="1277" w:type="dxa"/>
            <w:tcBorders>
              <w:top w:val="nil"/>
              <w:bottom w:val="single" w:sz="4" w:space="0" w:color="auto"/>
              <w:right w:val="single" w:sz="4" w:space="0" w:color="auto"/>
            </w:tcBorders>
            <w:vAlign w:val="center"/>
          </w:tcPr>
          <w:p w14:paraId="1DB154AC"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B56DB8">
              <w:rPr>
                <w:sz w:val="20"/>
                <w:szCs w:val="20"/>
              </w:rPr>
              <w:t>-26 pts</w:t>
            </w:r>
          </w:p>
        </w:tc>
        <w:tc>
          <w:tcPr>
            <w:tcW w:w="1277" w:type="dxa"/>
            <w:tcBorders>
              <w:left w:val="single" w:sz="4" w:space="0" w:color="auto"/>
            </w:tcBorders>
          </w:tcPr>
          <w:p w14:paraId="3709FC3D"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39%</w:t>
            </w:r>
          </w:p>
        </w:tc>
        <w:tc>
          <w:tcPr>
            <w:tcW w:w="1277" w:type="dxa"/>
          </w:tcPr>
          <w:p w14:paraId="151E7B04" w14:textId="77777777" w:rsidR="00795F7F" w:rsidRPr="00B56DB8" w:rsidRDefault="00795F7F" w:rsidP="00B56DB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56DB8">
              <w:rPr>
                <w:sz w:val="20"/>
                <w:szCs w:val="20"/>
              </w:rPr>
              <w:t>-29 pts</w:t>
            </w:r>
          </w:p>
        </w:tc>
      </w:tr>
    </w:tbl>
    <w:p w14:paraId="18B092CE" w14:textId="77777777" w:rsidR="00795F7F" w:rsidRDefault="00795F7F" w:rsidP="00795F7F">
      <w:pPr>
        <w:pStyle w:val="Caption"/>
      </w:pPr>
      <w:r w:rsidRPr="00795F7F">
        <w:t>Figure 9. Recruitment difficulty rate by occupation, September quarter 2022 – September quarter 2023</w:t>
      </w:r>
    </w:p>
    <w:p w14:paraId="21865263" w14:textId="57234913" w:rsidR="00795F7F" w:rsidRDefault="00795F7F" w:rsidP="00795F7F">
      <w:pPr>
        <w:pStyle w:val="Caption"/>
      </w:pPr>
      <w:r w:rsidRPr="00B23F86">
        <w:rPr>
          <w:noProof/>
        </w:rPr>
        <w:drawing>
          <wp:inline distT="0" distB="0" distL="0" distR="0" wp14:anchorId="7FB74992" wp14:editId="7C011AB8">
            <wp:extent cx="5687695" cy="1800000"/>
            <wp:effectExtent l="0" t="0" r="8255" b="0"/>
            <wp:docPr id="1196385999" name="Chart 1" descr="This is a time series column chart that shows the variation in recruitment difficulty rates across Professionals, Technicians and Trades Workers, Community and Personal Service Workers, Clerical and Administrative Workers, Sales Workers, Machinery Operators and Drivers and Labourers.">
              <a:extLst xmlns:a="http://schemas.openxmlformats.org/drawingml/2006/main">
                <a:ext uri="{FF2B5EF4-FFF2-40B4-BE49-F238E27FC236}">
                  <a16:creationId xmlns:a16="http://schemas.microsoft.com/office/drawing/2014/main" id="{0904931A-C0E5-436A-BDEC-AA2EC0E80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56CBD3" w14:textId="77777777" w:rsidR="00795F7F" w:rsidRDefault="00795F7F" w:rsidP="00795F7F">
      <w:pPr>
        <w:pStyle w:val="Caption"/>
      </w:pPr>
      <w:r w:rsidRPr="0097766F">
        <w:t>Figure 10. Vacancies taking longer than 1 month to fill, by occupation group, September quarter 2022 – September quarter 2023</w:t>
      </w:r>
    </w:p>
    <w:p w14:paraId="0038229B" w14:textId="06E5AE5A" w:rsidR="00795F7F" w:rsidRDefault="0097766F" w:rsidP="00795F7F">
      <w:pPr>
        <w:pStyle w:val="Caption"/>
      </w:pPr>
      <w:r>
        <w:rPr>
          <w:noProof/>
        </w:rPr>
        <w:drawing>
          <wp:inline distT="0" distB="0" distL="0" distR="0" wp14:anchorId="345E62E0" wp14:editId="2403FD59">
            <wp:extent cx="5691175" cy="1835800"/>
            <wp:effectExtent l="0" t="0" r="5080" b="0"/>
            <wp:docPr id="1832861564" name="Chart 1" descr="This is a time series column chart that shows the variation in the proportion of vacancies that take longer than one month to fill across across Professionals, Technicians and Trades Workers, Community and Personal Service Workers, Clerical and Administrative Workers, Sales Workers, Machinery Operators and Drivers and Labourers.">
              <a:extLst xmlns:a="http://schemas.openxmlformats.org/drawingml/2006/main">
                <a:ext uri="{FF2B5EF4-FFF2-40B4-BE49-F238E27FC236}">
                  <a16:creationId xmlns:a16="http://schemas.microsoft.com/office/drawing/2014/main" id="{1B97C527-2482-49F0-8010-B661F2DF2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086928" w14:textId="26765851" w:rsidR="00795F7F" w:rsidRPr="00795F7F" w:rsidRDefault="00795F7F" w:rsidP="00795F7F">
      <w:pPr>
        <w:pStyle w:val="Caption"/>
      </w:pPr>
      <w:r>
        <w:rPr>
          <w:noProof/>
        </w:rPr>
        <w:drawing>
          <wp:inline distT="0" distB="0" distL="0" distR="0" wp14:anchorId="46060D8A" wp14:editId="1D89CDF1">
            <wp:extent cx="5731510" cy="238125"/>
            <wp:effectExtent l="0" t="0" r="2540" b="0"/>
            <wp:docPr id="1361879979" name="Chart 1" descr="This is a time series column chart that shows the variation in recruitment difficulty rates across Professionals, Technicians and Trades Workers, Community and Personal Service Workers, Clerical and Administrative Workers, Sales Workers, Machinery Operators and Drivers and Labourers.">
              <a:extLst xmlns:a="http://schemas.openxmlformats.org/drawingml/2006/main">
                <a:ext uri="{FF2B5EF4-FFF2-40B4-BE49-F238E27FC236}">
                  <a16:creationId xmlns:a16="http://schemas.microsoft.com/office/drawing/2014/main" id="{B063A2D8-87C3-4D5E-BC41-F26AFF1DE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type="page"/>
      </w:r>
    </w:p>
    <w:p w14:paraId="3EFCA548" w14:textId="0903140D" w:rsidR="00795F7F" w:rsidRDefault="00795F7F" w:rsidP="00795F7F">
      <w:pPr>
        <w:pStyle w:val="Heading3"/>
        <w:pBdr>
          <w:bottom w:val="single" w:sz="4" w:space="1" w:color="666666" w:themeColor="text1" w:themeTint="99"/>
        </w:pBdr>
      </w:pPr>
      <w:r w:rsidRPr="00795F7F">
        <w:lastRenderedPageBreak/>
        <w:t>REOS Background and Notes</w:t>
      </w:r>
    </w:p>
    <w:p w14:paraId="3A921A64" w14:textId="4D3F1788" w:rsidR="00795F7F" w:rsidRDefault="00795F7F" w:rsidP="00C56B7A">
      <w:pPr>
        <w:spacing w:before="120"/>
      </w:pPr>
      <w:r>
        <w:t xml:space="preserve">Jobs and Skills Australia conducts the Recruitment Experiences and Outlook Survey (REOS), a telephone administered survey of at least 1,000 employers each month. While the results are indicative of recruitment activity, they may be subject to seasonal factors and other volatility and should therefore be used with a degree of caution. In addition, the survey is targeted towards employers with 5 or more employees, and excludes many government organisations. More detail is available at </w:t>
      </w:r>
      <w:hyperlink r:id="rId30" w:history="1">
        <w:r w:rsidRPr="00795F7F">
          <w:rPr>
            <w:rStyle w:val="Hyperlink"/>
          </w:rPr>
          <w:t>https://www.jobsandskills.gov.au/work/reos-survey-methodology</w:t>
        </w:r>
      </w:hyperlink>
      <w:r>
        <w:t xml:space="preserve">. REOS data are published on the Jobs and Skills website at: </w:t>
      </w:r>
      <w:hyperlink r:id="rId31" w:history="1">
        <w:r w:rsidRPr="00795F7F">
          <w:rPr>
            <w:rStyle w:val="Hyperlink"/>
          </w:rPr>
          <w:t>https://www.jobsandskills.gov.au/work/recruitment-experiences-and-outlook-survey</w:t>
        </w:r>
      </w:hyperlink>
      <w:r>
        <w:t xml:space="preserve">   </w:t>
      </w:r>
    </w:p>
    <w:p w14:paraId="120B404E" w14:textId="77777777" w:rsidR="00795F7F" w:rsidRDefault="00795F7F" w:rsidP="00795F7F"/>
    <w:p w14:paraId="09E9CB9D" w14:textId="77777777" w:rsidR="00795F7F" w:rsidRDefault="00795F7F" w:rsidP="00795F7F">
      <w:pPr>
        <w:rPr>
          <w:i/>
          <w:iCs/>
        </w:rPr>
      </w:pPr>
      <w:r>
        <w:t xml:space="preserve">Data in this release should be referenced as: </w:t>
      </w:r>
      <w:r w:rsidRPr="00795F7F">
        <w:rPr>
          <w:i/>
          <w:iCs/>
        </w:rPr>
        <w:t>Jobs and Skills Australia, Recruitment Experiences and Outlook Survey: September quarter 2023</w:t>
      </w:r>
    </w:p>
    <w:p w14:paraId="492B871E" w14:textId="04C1626E" w:rsidR="00795F7F" w:rsidRPr="00795F7F" w:rsidRDefault="00795F7F" w:rsidP="00795F7F">
      <w:pPr>
        <w:pStyle w:val="Heading4"/>
        <w:rPr>
          <w:i/>
          <w:iCs/>
        </w:rPr>
      </w:pPr>
      <w:r>
        <w:t>Data notations</w:t>
      </w:r>
    </w:p>
    <w:p w14:paraId="25EB5727" w14:textId="77777777" w:rsidR="00795F7F" w:rsidRDefault="00795F7F" w:rsidP="00795F7F">
      <w:r>
        <w:t>* Interpret with caution due to low sample size.</w:t>
      </w:r>
      <w:r>
        <w:tab/>
      </w:r>
    </w:p>
    <w:p w14:paraId="507B310F" w14:textId="77777777" w:rsidR="00795F7F" w:rsidRDefault="00795F7F" w:rsidP="00795F7F">
      <w:pPr>
        <w:pStyle w:val="Heading4"/>
      </w:pPr>
      <w:r>
        <w:t>Recruitment rate</w:t>
      </w:r>
    </w:p>
    <w:p w14:paraId="2115E7A4" w14:textId="77777777" w:rsidR="00795F7F" w:rsidRDefault="00795F7F" w:rsidP="00795F7F">
      <w:r>
        <w:t xml:space="preserve">The proportion of employers either currently recruiting or who had recruited in the previous month. It is calculated by dividing the number of employers who recruited or were attempting to recruit by the number of employers that responded to the survey (excluding ‘unsure’ responses). </w:t>
      </w:r>
    </w:p>
    <w:p w14:paraId="6064343A" w14:textId="77777777" w:rsidR="00795F7F" w:rsidRDefault="00795F7F" w:rsidP="00795F7F">
      <w:pPr>
        <w:pStyle w:val="Heading4"/>
      </w:pPr>
      <w:r>
        <w:t>Recruitment difficulty rate</w:t>
      </w:r>
    </w:p>
    <w:p w14:paraId="7F347101" w14:textId="77777777" w:rsidR="00795F7F" w:rsidRDefault="00795F7F" w:rsidP="00795F7F">
      <w:r>
        <w:t xml:space="preserve">The proportion of recruiting employers who experienced difficulty hiring staff. This indicator focusses on the most recent recruitment round in the previous month. The indicator is calculated as: employers who recruited and reported difficulty, divided by all employers who recruited (excluding ‘unsure’ responses). </w:t>
      </w:r>
    </w:p>
    <w:p w14:paraId="19E02EB3" w14:textId="77777777" w:rsidR="00795F7F" w:rsidRDefault="00795F7F" w:rsidP="00795F7F">
      <w:pPr>
        <w:pStyle w:val="Heading4"/>
      </w:pPr>
      <w:r>
        <w:t>Expectations to increase staffing levels over the next 3 months</w:t>
      </w:r>
    </w:p>
    <w:p w14:paraId="486C3BE7" w14:textId="77777777" w:rsidR="00795F7F" w:rsidRDefault="00795F7F" w:rsidP="00795F7F">
      <w:r>
        <w:t>This is calculated as the percentage of employers who expect to increase staff over the next 3 months, divided by all employers. Expectations to decrease staff is also collected.</w:t>
      </w:r>
    </w:p>
    <w:p w14:paraId="7B42F391" w14:textId="77777777" w:rsidR="00795F7F" w:rsidRDefault="00795F7F" w:rsidP="00795F7F">
      <w:pPr>
        <w:pStyle w:val="Heading4"/>
      </w:pPr>
      <w:r>
        <w:t>Vacancies taking longer than 1 month to fill</w:t>
      </w:r>
    </w:p>
    <w:p w14:paraId="5286FC08" w14:textId="77777777" w:rsidR="00795F7F" w:rsidRDefault="00795F7F" w:rsidP="00795F7F">
      <w:r>
        <w:t>The proportion of recruiting employers unable to fill all their vacancies within a month. It excludes employers with unfilled vacancies who have been recruiting for less than a month.</w:t>
      </w:r>
    </w:p>
    <w:p w14:paraId="1F7FB093" w14:textId="77777777" w:rsidR="00795F7F" w:rsidRDefault="00795F7F" w:rsidP="00795F7F"/>
    <w:p w14:paraId="00A5BFF0" w14:textId="77777777" w:rsidR="00795F7F" w:rsidRDefault="00795F7F" w:rsidP="00C56B7A">
      <w:pPr>
        <w:pStyle w:val="Heading3"/>
      </w:pPr>
      <w:r>
        <w:t xml:space="preserve"> Recent REOS releases</w:t>
      </w:r>
    </w:p>
    <w:p w14:paraId="71C10711" w14:textId="650B807E" w:rsidR="00795F7F" w:rsidRDefault="00795F7F" w:rsidP="00B30BBF">
      <w:pPr>
        <w:spacing w:before="120"/>
      </w:pPr>
      <w:r>
        <w:t xml:space="preserve">The </w:t>
      </w:r>
      <w:hyperlink r:id="rId32" w:history="1">
        <w:r w:rsidRPr="00430EC9">
          <w:rPr>
            <w:rStyle w:val="Hyperlink"/>
          </w:rPr>
          <w:t>Jobs and Skills Australia</w:t>
        </w:r>
      </w:hyperlink>
      <w:r>
        <w:t xml:space="preserve"> website includes:</w:t>
      </w:r>
    </w:p>
    <w:p w14:paraId="15390FD0" w14:textId="5D4EAB37" w:rsidR="00795F7F" w:rsidRDefault="00795F7F" w:rsidP="00795F7F">
      <w:pPr>
        <w:pStyle w:val="ListBullet"/>
      </w:pPr>
      <w:r>
        <w:t xml:space="preserve">The September 2023 monthly REOS report, including a more detailed excel datafile. The datafile includes both the monthly results as well as the quarterly series. The quarterly estimates are aggregated results for the 3 months within each quarter. </w:t>
      </w:r>
    </w:p>
    <w:p w14:paraId="49206E83" w14:textId="03E052D0" w:rsidR="00795F7F" w:rsidRDefault="00795F7F" w:rsidP="00795F7F">
      <w:pPr>
        <w:pStyle w:val="ListBullet"/>
      </w:pPr>
      <w:r>
        <w:t>REOS Spotlight series features analysis on topics of interest not covered in the regular monthly. Recent spotlight releases cover employers' greatest concerns for the future and unrealised vacancies (or employers who had given up recruiting).</w:t>
      </w:r>
    </w:p>
    <w:p w14:paraId="7C3C6A28" w14:textId="77777777" w:rsidR="00795F7F" w:rsidRDefault="00795F7F" w:rsidP="00795F7F"/>
    <w:p w14:paraId="6415D0FF" w14:textId="1F61460D" w:rsidR="00795F7F" w:rsidRDefault="00795F7F" w:rsidP="00B30BBF">
      <w:pPr>
        <w:rPr>
          <w:rFonts w:eastAsiaTheme="majorEastAsia" w:cstheme="majorBidi"/>
          <w:b/>
          <w:sz w:val="40"/>
          <w:szCs w:val="26"/>
        </w:rPr>
      </w:pPr>
      <w:r>
        <w:t xml:space="preserve">For queries, contact: </w:t>
      </w:r>
      <w:hyperlink r:id="rId33" w:history="1">
        <w:r w:rsidR="00B30BBF" w:rsidRPr="007E711B">
          <w:rPr>
            <w:rStyle w:val="Hyperlink"/>
          </w:rPr>
          <w:t>REOS@jobsandskills.gov.au</w:t>
        </w:r>
      </w:hyperlink>
      <w:r w:rsidR="00B30BBF">
        <w:t xml:space="preserve"> </w:t>
      </w:r>
    </w:p>
    <w:bookmarkEnd w:id="0"/>
    <w:bookmarkEnd w:id="1"/>
    <w:sectPr w:rsidR="00795F7F" w:rsidSect="00B30EAB">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4BB9" w14:textId="77777777" w:rsidR="00A93A77" w:rsidRDefault="00A93A77" w:rsidP="008C0056">
      <w:r>
        <w:separator/>
      </w:r>
    </w:p>
  </w:endnote>
  <w:endnote w:type="continuationSeparator" w:id="0">
    <w:p w14:paraId="21E570D4" w14:textId="77777777" w:rsidR="00A93A77" w:rsidRDefault="00A93A77" w:rsidP="008C0056">
      <w:r>
        <w:continuationSeparator/>
      </w:r>
    </w:p>
  </w:endnote>
  <w:endnote w:type="continuationNotice" w:id="1">
    <w:p w14:paraId="269B7F0D" w14:textId="77777777" w:rsidR="00A93A77" w:rsidRDefault="00A93A77"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5BBA38AC" w:rsidR="003708C1" w:rsidRPr="00991526" w:rsidRDefault="00051CBE" w:rsidP="00991526">
        <w:pPr>
          <w:pStyle w:val="Footer"/>
        </w:pPr>
        <w:r w:rsidRPr="00991526">
          <w:t xml:space="preserve">Jobs and Skills Australia – </w:t>
        </w:r>
        <w:r w:rsidR="00A41254">
          <w:t>Recruitment Experiences and Outlook Survey: September quarter 2023</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8338"/>
      <w:docPartObj>
        <w:docPartGallery w:val="Page Numbers (Bottom of Page)"/>
        <w:docPartUnique/>
      </w:docPartObj>
    </w:sdtPr>
    <w:sdtEndPr>
      <w:rPr>
        <w:noProof/>
      </w:rPr>
    </w:sdtEndPr>
    <w:sdtContent>
      <w:p w14:paraId="1506E6C8" w14:textId="009CA9B8" w:rsidR="00B30EAB" w:rsidRDefault="00B30EAB" w:rsidP="00B30EAB">
        <w:pPr>
          <w:pStyle w:val="Footer"/>
          <w:tabs>
            <w:tab w:val="left" w:pos="8925"/>
          </w:tabs>
        </w:pPr>
        <w:r w:rsidRPr="00991526">
          <w:t xml:space="preserve">Jobs and Skills Australia – </w:t>
        </w:r>
        <w:r w:rsidR="00A41254">
          <w:t>Recruitment Experiences and Outlook Survey: September quarter 2023</w:t>
        </w:r>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0FE7" w14:textId="77777777" w:rsidR="00A93A77" w:rsidRDefault="00A93A77" w:rsidP="008C0056">
      <w:r>
        <w:separator/>
      </w:r>
    </w:p>
  </w:footnote>
  <w:footnote w:type="continuationSeparator" w:id="0">
    <w:p w14:paraId="3BE09634" w14:textId="77777777" w:rsidR="00A93A77" w:rsidRDefault="00A93A77" w:rsidP="008C0056">
      <w:r>
        <w:continuationSeparator/>
      </w:r>
    </w:p>
  </w:footnote>
  <w:footnote w:type="continuationNotice" w:id="1">
    <w:p w14:paraId="3B1D53C0" w14:textId="77777777" w:rsidR="00A93A77" w:rsidRDefault="00A93A77"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87186"/>
    <w:multiLevelType w:val="hybridMultilevel"/>
    <w:tmpl w:val="6076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5"/>
  </w:num>
  <w:num w:numId="2" w16cid:durableId="1668050683">
    <w:abstractNumId w:val="12"/>
  </w:num>
  <w:num w:numId="3" w16cid:durableId="1683042470">
    <w:abstractNumId w:val="6"/>
  </w:num>
  <w:num w:numId="4" w16cid:durableId="133523604">
    <w:abstractNumId w:val="13"/>
  </w:num>
  <w:num w:numId="5" w16cid:durableId="1994024302">
    <w:abstractNumId w:val="14"/>
  </w:num>
  <w:num w:numId="6" w16cid:durableId="1358852113">
    <w:abstractNumId w:val="11"/>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7"/>
  </w:num>
  <w:num w:numId="16" w16cid:durableId="2113013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7EB9"/>
    <w:rsid w:val="000404CE"/>
    <w:rsid w:val="0004100D"/>
    <w:rsid w:val="00041073"/>
    <w:rsid w:val="00042611"/>
    <w:rsid w:val="00051CBE"/>
    <w:rsid w:val="0005518A"/>
    <w:rsid w:val="000572BD"/>
    <w:rsid w:val="00093F7D"/>
    <w:rsid w:val="00095E11"/>
    <w:rsid w:val="000A145A"/>
    <w:rsid w:val="000A7F1E"/>
    <w:rsid w:val="000B6324"/>
    <w:rsid w:val="000C0BA2"/>
    <w:rsid w:val="000D5FCE"/>
    <w:rsid w:val="000D6745"/>
    <w:rsid w:val="000E38BA"/>
    <w:rsid w:val="000E7042"/>
    <w:rsid w:val="001000DB"/>
    <w:rsid w:val="00101FBF"/>
    <w:rsid w:val="001134ED"/>
    <w:rsid w:val="00123DFA"/>
    <w:rsid w:val="00124D9E"/>
    <w:rsid w:val="00125C36"/>
    <w:rsid w:val="001306D6"/>
    <w:rsid w:val="00131E99"/>
    <w:rsid w:val="00143208"/>
    <w:rsid w:val="001516BF"/>
    <w:rsid w:val="001534EA"/>
    <w:rsid w:val="00164614"/>
    <w:rsid w:val="00170E50"/>
    <w:rsid w:val="0017574A"/>
    <w:rsid w:val="00183AA9"/>
    <w:rsid w:val="00186449"/>
    <w:rsid w:val="00186DC1"/>
    <w:rsid w:val="00192BED"/>
    <w:rsid w:val="001A22A8"/>
    <w:rsid w:val="001B7035"/>
    <w:rsid w:val="001B7F1C"/>
    <w:rsid w:val="001C0CB2"/>
    <w:rsid w:val="001C0D18"/>
    <w:rsid w:val="001C381D"/>
    <w:rsid w:val="001C6BA8"/>
    <w:rsid w:val="001E4423"/>
    <w:rsid w:val="001E58C4"/>
    <w:rsid w:val="001F006B"/>
    <w:rsid w:val="001F36D6"/>
    <w:rsid w:val="001F59D3"/>
    <w:rsid w:val="00201984"/>
    <w:rsid w:val="00204C08"/>
    <w:rsid w:val="00206249"/>
    <w:rsid w:val="00233A75"/>
    <w:rsid w:val="0024392D"/>
    <w:rsid w:val="00244246"/>
    <w:rsid w:val="00244550"/>
    <w:rsid w:val="00260528"/>
    <w:rsid w:val="002618DF"/>
    <w:rsid w:val="00261D00"/>
    <w:rsid w:val="002633D9"/>
    <w:rsid w:val="00280AC6"/>
    <w:rsid w:val="002824C3"/>
    <w:rsid w:val="002927DB"/>
    <w:rsid w:val="002950ED"/>
    <w:rsid w:val="00296166"/>
    <w:rsid w:val="002A4B17"/>
    <w:rsid w:val="002C30E8"/>
    <w:rsid w:val="002D68E2"/>
    <w:rsid w:val="002E01B7"/>
    <w:rsid w:val="002E0E18"/>
    <w:rsid w:val="002E5B03"/>
    <w:rsid w:val="002E6E2F"/>
    <w:rsid w:val="002F3EB5"/>
    <w:rsid w:val="002F5690"/>
    <w:rsid w:val="003060CC"/>
    <w:rsid w:val="00306575"/>
    <w:rsid w:val="00306C0E"/>
    <w:rsid w:val="00310CA1"/>
    <w:rsid w:val="003122CC"/>
    <w:rsid w:val="00313B29"/>
    <w:rsid w:val="00314E27"/>
    <w:rsid w:val="00323B9A"/>
    <w:rsid w:val="00327AB4"/>
    <w:rsid w:val="00330605"/>
    <w:rsid w:val="0033752C"/>
    <w:rsid w:val="0035131B"/>
    <w:rsid w:val="00366923"/>
    <w:rsid w:val="00367AFE"/>
    <w:rsid w:val="003708C1"/>
    <w:rsid w:val="00374E1D"/>
    <w:rsid w:val="00385788"/>
    <w:rsid w:val="00385ABF"/>
    <w:rsid w:val="0039115D"/>
    <w:rsid w:val="003926FD"/>
    <w:rsid w:val="003A2337"/>
    <w:rsid w:val="003B474F"/>
    <w:rsid w:val="003C6AF2"/>
    <w:rsid w:val="003D48E5"/>
    <w:rsid w:val="003E0796"/>
    <w:rsid w:val="003E0B70"/>
    <w:rsid w:val="003E3395"/>
    <w:rsid w:val="00414A4A"/>
    <w:rsid w:val="00422AD4"/>
    <w:rsid w:val="00423713"/>
    <w:rsid w:val="00430EC9"/>
    <w:rsid w:val="00431BE4"/>
    <w:rsid w:val="00431BFC"/>
    <w:rsid w:val="00440C82"/>
    <w:rsid w:val="004440ED"/>
    <w:rsid w:val="00465736"/>
    <w:rsid w:val="00467839"/>
    <w:rsid w:val="004773D3"/>
    <w:rsid w:val="004959E6"/>
    <w:rsid w:val="00497D36"/>
    <w:rsid w:val="004C542A"/>
    <w:rsid w:val="004C705B"/>
    <w:rsid w:val="004D0F14"/>
    <w:rsid w:val="004D22A5"/>
    <w:rsid w:val="004D3224"/>
    <w:rsid w:val="004D3A08"/>
    <w:rsid w:val="004E0B8B"/>
    <w:rsid w:val="004F2369"/>
    <w:rsid w:val="004F5082"/>
    <w:rsid w:val="00506CD7"/>
    <w:rsid w:val="005109B7"/>
    <w:rsid w:val="00513C8F"/>
    <w:rsid w:val="0051507F"/>
    <w:rsid w:val="00532929"/>
    <w:rsid w:val="005411A8"/>
    <w:rsid w:val="00543D06"/>
    <w:rsid w:val="005446B5"/>
    <w:rsid w:val="005533B5"/>
    <w:rsid w:val="0056234D"/>
    <w:rsid w:val="00567E50"/>
    <w:rsid w:val="0057143D"/>
    <w:rsid w:val="00572133"/>
    <w:rsid w:val="00584E9E"/>
    <w:rsid w:val="0059073B"/>
    <w:rsid w:val="00592584"/>
    <w:rsid w:val="005964AC"/>
    <w:rsid w:val="00597EF7"/>
    <w:rsid w:val="005A2035"/>
    <w:rsid w:val="005A2862"/>
    <w:rsid w:val="005B2318"/>
    <w:rsid w:val="005B2AC3"/>
    <w:rsid w:val="005B5A7A"/>
    <w:rsid w:val="005B60AC"/>
    <w:rsid w:val="005B7B9D"/>
    <w:rsid w:val="005C1000"/>
    <w:rsid w:val="005C5BF0"/>
    <w:rsid w:val="005C6471"/>
    <w:rsid w:val="005D467D"/>
    <w:rsid w:val="005D4AEC"/>
    <w:rsid w:val="005E18D8"/>
    <w:rsid w:val="005F1E8D"/>
    <w:rsid w:val="006029D6"/>
    <w:rsid w:val="006066C4"/>
    <w:rsid w:val="00631632"/>
    <w:rsid w:val="00635255"/>
    <w:rsid w:val="0064002D"/>
    <w:rsid w:val="00642A9A"/>
    <w:rsid w:val="006514E4"/>
    <w:rsid w:val="00651BF2"/>
    <w:rsid w:val="00652695"/>
    <w:rsid w:val="00655BCA"/>
    <w:rsid w:val="006606E0"/>
    <w:rsid w:val="006670A4"/>
    <w:rsid w:val="00677034"/>
    <w:rsid w:val="00693BA4"/>
    <w:rsid w:val="00693E00"/>
    <w:rsid w:val="006B6C94"/>
    <w:rsid w:val="006C06BF"/>
    <w:rsid w:val="006C282B"/>
    <w:rsid w:val="006D2345"/>
    <w:rsid w:val="006D3281"/>
    <w:rsid w:val="006E1136"/>
    <w:rsid w:val="006F7520"/>
    <w:rsid w:val="00702CB5"/>
    <w:rsid w:val="00703260"/>
    <w:rsid w:val="00706431"/>
    <w:rsid w:val="00710DAA"/>
    <w:rsid w:val="007117F1"/>
    <w:rsid w:val="007119BB"/>
    <w:rsid w:val="00717636"/>
    <w:rsid w:val="007177A7"/>
    <w:rsid w:val="0072616C"/>
    <w:rsid w:val="0073513A"/>
    <w:rsid w:val="007371B3"/>
    <w:rsid w:val="007374F9"/>
    <w:rsid w:val="00746A43"/>
    <w:rsid w:val="00754AB9"/>
    <w:rsid w:val="007576ED"/>
    <w:rsid w:val="00764913"/>
    <w:rsid w:val="00767C3A"/>
    <w:rsid w:val="00782490"/>
    <w:rsid w:val="007866FA"/>
    <w:rsid w:val="00795F7F"/>
    <w:rsid w:val="007A3F61"/>
    <w:rsid w:val="007A5668"/>
    <w:rsid w:val="007A7572"/>
    <w:rsid w:val="007B0EC1"/>
    <w:rsid w:val="007B100A"/>
    <w:rsid w:val="007B21A5"/>
    <w:rsid w:val="007B2AD6"/>
    <w:rsid w:val="007B3938"/>
    <w:rsid w:val="007C6AEC"/>
    <w:rsid w:val="007D4ED8"/>
    <w:rsid w:val="007D799D"/>
    <w:rsid w:val="007F7DBD"/>
    <w:rsid w:val="00802F0D"/>
    <w:rsid w:val="0081136A"/>
    <w:rsid w:val="00811B37"/>
    <w:rsid w:val="00814D30"/>
    <w:rsid w:val="00837EDC"/>
    <w:rsid w:val="00840DAA"/>
    <w:rsid w:val="0084197B"/>
    <w:rsid w:val="0084740A"/>
    <w:rsid w:val="00857878"/>
    <w:rsid w:val="00857E1B"/>
    <w:rsid w:val="00861259"/>
    <w:rsid w:val="008634C2"/>
    <w:rsid w:val="00864EEA"/>
    <w:rsid w:val="00865E4F"/>
    <w:rsid w:val="00866663"/>
    <w:rsid w:val="00873BE7"/>
    <w:rsid w:val="0087706C"/>
    <w:rsid w:val="00886A15"/>
    <w:rsid w:val="008A6964"/>
    <w:rsid w:val="008B3E8F"/>
    <w:rsid w:val="008C0056"/>
    <w:rsid w:val="008C21E1"/>
    <w:rsid w:val="008D76F6"/>
    <w:rsid w:val="008E1BFC"/>
    <w:rsid w:val="008F2F17"/>
    <w:rsid w:val="008F2F5C"/>
    <w:rsid w:val="008F5797"/>
    <w:rsid w:val="009062AE"/>
    <w:rsid w:val="00923B0D"/>
    <w:rsid w:val="0092478E"/>
    <w:rsid w:val="00937A11"/>
    <w:rsid w:val="009417F7"/>
    <w:rsid w:val="009426F3"/>
    <w:rsid w:val="00963C9F"/>
    <w:rsid w:val="00963F49"/>
    <w:rsid w:val="0096517C"/>
    <w:rsid w:val="00966619"/>
    <w:rsid w:val="00973117"/>
    <w:rsid w:val="0097766F"/>
    <w:rsid w:val="009858C3"/>
    <w:rsid w:val="00991526"/>
    <w:rsid w:val="00991DED"/>
    <w:rsid w:val="00997F6C"/>
    <w:rsid w:val="009A0A07"/>
    <w:rsid w:val="009A0E76"/>
    <w:rsid w:val="009A5BC4"/>
    <w:rsid w:val="009B0BC5"/>
    <w:rsid w:val="009B34AC"/>
    <w:rsid w:val="009C3CB0"/>
    <w:rsid w:val="009C4CA6"/>
    <w:rsid w:val="009C56D1"/>
    <w:rsid w:val="009D18C2"/>
    <w:rsid w:val="009D5A36"/>
    <w:rsid w:val="009E0649"/>
    <w:rsid w:val="009E34D5"/>
    <w:rsid w:val="009E4054"/>
    <w:rsid w:val="009E718A"/>
    <w:rsid w:val="009F4D35"/>
    <w:rsid w:val="009F7A5A"/>
    <w:rsid w:val="00A03C15"/>
    <w:rsid w:val="00A05E8E"/>
    <w:rsid w:val="00A070B7"/>
    <w:rsid w:val="00A13691"/>
    <w:rsid w:val="00A14752"/>
    <w:rsid w:val="00A3043E"/>
    <w:rsid w:val="00A36734"/>
    <w:rsid w:val="00A369AC"/>
    <w:rsid w:val="00A41254"/>
    <w:rsid w:val="00A414BC"/>
    <w:rsid w:val="00A43021"/>
    <w:rsid w:val="00A4461A"/>
    <w:rsid w:val="00A459DE"/>
    <w:rsid w:val="00A50D02"/>
    <w:rsid w:val="00A5508E"/>
    <w:rsid w:val="00A62216"/>
    <w:rsid w:val="00A65913"/>
    <w:rsid w:val="00A70A4D"/>
    <w:rsid w:val="00A7229C"/>
    <w:rsid w:val="00A74E0F"/>
    <w:rsid w:val="00A75A94"/>
    <w:rsid w:val="00A8077F"/>
    <w:rsid w:val="00A80E09"/>
    <w:rsid w:val="00A851E3"/>
    <w:rsid w:val="00A9012A"/>
    <w:rsid w:val="00A93A77"/>
    <w:rsid w:val="00A93DF6"/>
    <w:rsid w:val="00AA3BB9"/>
    <w:rsid w:val="00AC08D2"/>
    <w:rsid w:val="00AC1BEE"/>
    <w:rsid w:val="00AC3E56"/>
    <w:rsid w:val="00AC4BDA"/>
    <w:rsid w:val="00AD0C81"/>
    <w:rsid w:val="00AE1EED"/>
    <w:rsid w:val="00AE68CA"/>
    <w:rsid w:val="00AF2783"/>
    <w:rsid w:val="00AF57B3"/>
    <w:rsid w:val="00B04E3B"/>
    <w:rsid w:val="00B10FC9"/>
    <w:rsid w:val="00B11937"/>
    <w:rsid w:val="00B12498"/>
    <w:rsid w:val="00B21E09"/>
    <w:rsid w:val="00B26C3D"/>
    <w:rsid w:val="00B275AC"/>
    <w:rsid w:val="00B27734"/>
    <w:rsid w:val="00B30BBF"/>
    <w:rsid w:val="00B30EAB"/>
    <w:rsid w:val="00B32201"/>
    <w:rsid w:val="00B366DB"/>
    <w:rsid w:val="00B37667"/>
    <w:rsid w:val="00B44B46"/>
    <w:rsid w:val="00B44BFF"/>
    <w:rsid w:val="00B5117D"/>
    <w:rsid w:val="00B532DB"/>
    <w:rsid w:val="00B545CC"/>
    <w:rsid w:val="00B54794"/>
    <w:rsid w:val="00B56DB8"/>
    <w:rsid w:val="00B628B7"/>
    <w:rsid w:val="00B72A6C"/>
    <w:rsid w:val="00B72B74"/>
    <w:rsid w:val="00B94111"/>
    <w:rsid w:val="00B94F0A"/>
    <w:rsid w:val="00B95FED"/>
    <w:rsid w:val="00BA18F6"/>
    <w:rsid w:val="00BA4854"/>
    <w:rsid w:val="00BB2ACB"/>
    <w:rsid w:val="00BD5583"/>
    <w:rsid w:val="00BE0FFD"/>
    <w:rsid w:val="00BE13B4"/>
    <w:rsid w:val="00BE2AB7"/>
    <w:rsid w:val="00BE4587"/>
    <w:rsid w:val="00BE5400"/>
    <w:rsid w:val="00BE68F3"/>
    <w:rsid w:val="00BF3528"/>
    <w:rsid w:val="00C03955"/>
    <w:rsid w:val="00C27FFB"/>
    <w:rsid w:val="00C40E20"/>
    <w:rsid w:val="00C558DF"/>
    <w:rsid w:val="00C56B7A"/>
    <w:rsid w:val="00C6447C"/>
    <w:rsid w:val="00C75A0D"/>
    <w:rsid w:val="00C83737"/>
    <w:rsid w:val="00C84B60"/>
    <w:rsid w:val="00C91F4E"/>
    <w:rsid w:val="00C970B1"/>
    <w:rsid w:val="00CB41F2"/>
    <w:rsid w:val="00CD0493"/>
    <w:rsid w:val="00CD1F19"/>
    <w:rsid w:val="00CE03A4"/>
    <w:rsid w:val="00CE1816"/>
    <w:rsid w:val="00CE6EEC"/>
    <w:rsid w:val="00CE71A4"/>
    <w:rsid w:val="00CF277F"/>
    <w:rsid w:val="00CF78B0"/>
    <w:rsid w:val="00D03812"/>
    <w:rsid w:val="00D045C6"/>
    <w:rsid w:val="00D048F7"/>
    <w:rsid w:val="00D05054"/>
    <w:rsid w:val="00D05F29"/>
    <w:rsid w:val="00D10339"/>
    <w:rsid w:val="00D10911"/>
    <w:rsid w:val="00D125F6"/>
    <w:rsid w:val="00D12938"/>
    <w:rsid w:val="00D21F38"/>
    <w:rsid w:val="00D238E3"/>
    <w:rsid w:val="00D241DE"/>
    <w:rsid w:val="00D2513B"/>
    <w:rsid w:val="00D26A23"/>
    <w:rsid w:val="00D31218"/>
    <w:rsid w:val="00D31FDA"/>
    <w:rsid w:val="00D4055A"/>
    <w:rsid w:val="00D4302A"/>
    <w:rsid w:val="00D436E8"/>
    <w:rsid w:val="00D500BB"/>
    <w:rsid w:val="00D56072"/>
    <w:rsid w:val="00D56B38"/>
    <w:rsid w:val="00D64A57"/>
    <w:rsid w:val="00D658D0"/>
    <w:rsid w:val="00D70F5A"/>
    <w:rsid w:val="00D70F8A"/>
    <w:rsid w:val="00D71EFE"/>
    <w:rsid w:val="00D73EA4"/>
    <w:rsid w:val="00D82891"/>
    <w:rsid w:val="00D8323E"/>
    <w:rsid w:val="00D8583A"/>
    <w:rsid w:val="00D92118"/>
    <w:rsid w:val="00D96A1E"/>
    <w:rsid w:val="00DA7E43"/>
    <w:rsid w:val="00DB0916"/>
    <w:rsid w:val="00DC6534"/>
    <w:rsid w:val="00DC69D9"/>
    <w:rsid w:val="00DC6A05"/>
    <w:rsid w:val="00DC6BC0"/>
    <w:rsid w:val="00DD32CF"/>
    <w:rsid w:val="00DD4A34"/>
    <w:rsid w:val="00DE251A"/>
    <w:rsid w:val="00DE4605"/>
    <w:rsid w:val="00DF00AF"/>
    <w:rsid w:val="00DF37AA"/>
    <w:rsid w:val="00E148F7"/>
    <w:rsid w:val="00E21A5F"/>
    <w:rsid w:val="00E255B8"/>
    <w:rsid w:val="00E32512"/>
    <w:rsid w:val="00E33752"/>
    <w:rsid w:val="00E419B6"/>
    <w:rsid w:val="00E464AC"/>
    <w:rsid w:val="00E47E48"/>
    <w:rsid w:val="00E56D6D"/>
    <w:rsid w:val="00E570C0"/>
    <w:rsid w:val="00E57ACE"/>
    <w:rsid w:val="00E61856"/>
    <w:rsid w:val="00E61ADA"/>
    <w:rsid w:val="00E7418D"/>
    <w:rsid w:val="00E80980"/>
    <w:rsid w:val="00E82EEB"/>
    <w:rsid w:val="00E8392F"/>
    <w:rsid w:val="00E85606"/>
    <w:rsid w:val="00E97F1F"/>
    <w:rsid w:val="00EA04CB"/>
    <w:rsid w:val="00EB33B4"/>
    <w:rsid w:val="00EB6B00"/>
    <w:rsid w:val="00EB6B22"/>
    <w:rsid w:val="00ED1D58"/>
    <w:rsid w:val="00ED2051"/>
    <w:rsid w:val="00ED538C"/>
    <w:rsid w:val="00EE49FB"/>
    <w:rsid w:val="00F01D0D"/>
    <w:rsid w:val="00F01D6B"/>
    <w:rsid w:val="00F06BC4"/>
    <w:rsid w:val="00F10A19"/>
    <w:rsid w:val="00F11DE4"/>
    <w:rsid w:val="00F134A5"/>
    <w:rsid w:val="00F154E4"/>
    <w:rsid w:val="00F2332D"/>
    <w:rsid w:val="00F2586E"/>
    <w:rsid w:val="00F32D7A"/>
    <w:rsid w:val="00F3610A"/>
    <w:rsid w:val="00F40DA7"/>
    <w:rsid w:val="00F43668"/>
    <w:rsid w:val="00F4374D"/>
    <w:rsid w:val="00F61B23"/>
    <w:rsid w:val="00F627D7"/>
    <w:rsid w:val="00F63A24"/>
    <w:rsid w:val="00F739F5"/>
    <w:rsid w:val="00F8257B"/>
    <w:rsid w:val="00F97459"/>
    <w:rsid w:val="00F97B7E"/>
    <w:rsid w:val="00FB5B2B"/>
    <w:rsid w:val="00FC25C0"/>
    <w:rsid w:val="00FC73DE"/>
    <w:rsid w:val="00FD1FBC"/>
    <w:rsid w:val="00FE1090"/>
    <w:rsid w:val="00FE7CF4"/>
    <w:rsid w:val="00FF42FD"/>
    <w:rsid w:val="00FF5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table" w:styleId="GridTable3">
    <w:name w:val="Grid Table 3"/>
    <w:basedOn w:val="TableNormal"/>
    <w:uiPriority w:val="48"/>
    <w:rsid w:val="006526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ChartandTablelabel">
    <w:name w:val="Chart and Table label"/>
    <w:basedOn w:val="Normal"/>
    <w:rsid w:val="00652695"/>
    <w:pPr>
      <w:spacing w:after="160" w:line="259" w:lineRule="auto"/>
    </w:pPr>
    <w:rPr>
      <w:b/>
      <w:color w:val="000000" w:themeColor="text1"/>
      <w:sz w:val="20"/>
      <w:lang w:val="en-US"/>
    </w:rPr>
  </w:style>
  <w:style w:type="character" w:styleId="FollowedHyperlink">
    <w:name w:val="FollowedHyperlink"/>
    <w:basedOn w:val="DefaultParagraphFont"/>
    <w:uiPriority w:val="99"/>
    <w:semiHidden/>
    <w:unhideWhenUsed/>
    <w:rsid w:val="00430EC9"/>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mailto:REOS@jobsandskills.gov.a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hyperlink" Target="https://www.jobsandskills.gov.au/data/recruitment-experiences-and-outlook-survey"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hyperlink" Target="https://www.jobsandskills.gov.au/work/recruitment-experiences-and-outlook-survey%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www.jobsandskills.gov.au/work/reos-survey-methodology" TargetMode="External"/><Relationship Id="rId35" Type="http://schemas.openxmlformats.org/officeDocument/2006/relationships/theme" Target="theme/theme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5.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Quarterly%20template%20files\Quarterly%20chart%20builder%20v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91694444444444"/>
          <c:y val="7.2233115468409589E-2"/>
          <c:w val="0.77601017165327812"/>
          <c:h val="0.55391503267973852"/>
        </c:manualLayout>
      </c:layout>
      <c:lineChart>
        <c:grouping val="standard"/>
        <c:varyColors val="0"/>
        <c:ser>
          <c:idx val="0"/>
          <c:order val="0"/>
          <c:tx>
            <c:strRef>
              <c:f>'Headline charts'!$G$9</c:f>
              <c:strCache>
                <c:ptCount val="1"/>
                <c:pt idx="0">
                  <c:v>Recruitment rate</c:v>
                </c:pt>
              </c:strCache>
            </c:strRef>
          </c:tx>
          <c:spPr>
            <a:ln w="28575" cap="rnd">
              <a:solidFill>
                <a:srgbClr val="6929C4"/>
              </a:solidFill>
              <a:round/>
            </a:ln>
            <a:effectLst/>
          </c:spPr>
          <c:marker>
            <c:symbol val="none"/>
          </c:marker>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25-4535-9BD8-E63BEFC0B418}"/>
                </c:ext>
              </c:extLst>
            </c:dLbl>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'Headline charts'!$H$7:$T$7</c:f>
              <c:strCache>
                <c:ptCount val="13"/>
                <c:pt idx="0">
                  <c:v>Sep qtr 2020</c:v>
                </c:pt>
                <c:pt idx="1">
                  <c:v>Dec qtr 2020</c:v>
                </c:pt>
                <c:pt idx="2">
                  <c:v>Mar qtr 2021</c:v>
                </c:pt>
                <c:pt idx="3">
                  <c:v>Jun qtr 2021</c:v>
                </c:pt>
                <c:pt idx="4">
                  <c:v>Sep qtr 2021</c:v>
                </c:pt>
                <c:pt idx="5">
                  <c:v>Dec qtr 2021</c:v>
                </c:pt>
                <c:pt idx="6">
                  <c:v>Mar qtr 2022</c:v>
                </c:pt>
                <c:pt idx="7">
                  <c:v>Jun qtr 2022</c:v>
                </c:pt>
                <c:pt idx="8">
                  <c:v>Sep qtr 2022</c:v>
                </c:pt>
                <c:pt idx="9">
                  <c:v>Dec qtr 2022</c:v>
                </c:pt>
                <c:pt idx="10">
                  <c:v>Mar qtr 2023</c:v>
                </c:pt>
                <c:pt idx="11">
                  <c:v>Jun qtr 2023</c:v>
                </c:pt>
                <c:pt idx="12">
                  <c:v>Sep qtr 2023</c:v>
                </c:pt>
              </c:strCache>
            </c:strRef>
          </c:cat>
          <c:val>
            <c:numRef>
              <c:f>'Headline charts'!$H$10:$T$10</c:f>
              <c:numCache>
                <c:formatCode>0%</c:formatCode>
                <c:ptCount val="13"/>
                <c:pt idx="0">
                  <c:v>0.32</c:v>
                </c:pt>
                <c:pt idx="1">
                  <c:v>0.44</c:v>
                </c:pt>
                <c:pt idx="2">
                  <c:v>0.45</c:v>
                </c:pt>
                <c:pt idx="3">
                  <c:v>0.48</c:v>
                </c:pt>
                <c:pt idx="4">
                  <c:v>0.39</c:v>
                </c:pt>
                <c:pt idx="5">
                  <c:v>0.48</c:v>
                </c:pt>
                <c:pt idx="6">
                  <c:v>0.53</c:v>
                </c:pt>
                <c:pt idx="7">
                  <c:v>0.57999999999999996</c:v>
                </c:pt>
                <c:pt idx="8">
                  <c:v>0.56999999999999995</c:v>
                </c:pt>
                <c:pt idx="9">
                  <c:v>0.56000000000000005</c:v>
                </c:pt>
                <c:pt idx="10">
                  <c:v>0.55000000000000004</c:v>
                </c:pt>
                <c:pt idx="11">
                  <c:v>0.5</c:v>
                </c:pt>
                <c:pt idx="12">
                  <c:v>0.48</c:v>
                </c:pt>
              </c:numCache>
            </c:numRef>
          </c:val>
          <c:smooth val="0"/>
          <c:extLst>
            <c:ext xmlns:c16="http://schemas.microsoft.com/office/drawing/2014/chart" uri="{C3380CC4-5D6E-409C-BE32-E72D297353CC}">
              <c16:uniqueId val="{00000001-A925-4535-9BD8-E63BEFC0B418}"/>
            </c:ext>
          </c:extLst>
        </c:ser>
        <c:dLbls>
          <c:showLegendKey val="0"/>
          <c:showVal val="0"/>
          <c:showCatName val="0"/>
          <c:showSerName val="0"/>
          <c:showPercent val="0"/>
          <c:showBubbleSize val="0"/>
        </c:dLbls>
        <c:smooth val="0"/>
        <c:axId val="1843018703"/>
        <c:axId val="1492335151"/>
      </c:lineChart>
      <c:catAx>
        <c:axId val="1843018703"/>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2335151"/>
        <c:crosses val="autoZero"/>
        <c:auto val="1"/>
        <c:lblAlgn val="ctr"/>
        <c:lblOffset val="100"/>
        <c:noMultiLvlLbl val="0"/>
      </c:catAx>
      <c:valAx>
        <c:axId val="1492335151"/>
        <c:scaling>
          <c:orientation val="minMax"/>
          <c:min val="0.2"/>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3018703"/>
        <c:crosses val="autoZero"/>
        <c:crossBetween val="between"/>
        <c:majorUnit val="0.150000000000000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 ARIA'!$D$21</c:f>
              <c:strCache>
                <c:ptCount val="1"/>
                <c:pt idx="0">
                  <c:v>2022Q3</c:v>
                </c:pt>
              </c:strCache>
            </c:strRef>
          </c:tx>
          <c:spPr>
            <a:solidFill>
              <a:schemeClr val="accent1"/>
            </a:solidFill>
            <a:ln>
              <a:noFill/>
            </a:ln>
            <a:effectLst/>
          </c:spPr>
          <c:invertIfNegative val="0"/>
          <c:cat>
            <c:strRef>
              <c:f>'Output - ARIA'!$A$52:$A$54</c:f>
              <c:strCache>
                <c:ptCount val="3"/>
                <c:pt idx="0">
                  <c:v>Major Cities of Australia</c:v>
                </c:pt>
                <c:pt idx="1">
                  <c:v>Inner Regional Australia</c:v>
                </c:pt>
                <c:pt idx="2">
                  <c:v>Outer Regional, Remote, and Very Remote Australia</c:v>
                </c:pt>
              </c:strCache>
            </c:strRef>
          </c:cat>
          <c:val>
            <c:numRef>
              <c:f>'Output - ARIA'!$D$52:$D$54</c:f>
              <c:numCache>
                <c:formatCode>0%</c:formatCode>
                <c:ptCount val="3"/>
                <c:pt idx="0">
                  <c:v>0.28999999999999998</c:v>
                </c:pt>
                <c:pt idx="1">
                  <c:v>0.27</c:v>
                </c:pt>
                <c:pt idx="2">
                  <c:v>0.25</c:v>
                </c:pt>
              </c:numCache>
            </c:numRef>
          </c:val>
          <c:extLst>
            <c:ext xmlns:c16="http://schemas.microsoft.com/office/drawing/2014/chart" uri="{C3380CC4-5D6E-409C-BE32-E72D297353CC}">
              <c16:uniqueId val="{00000000-5F92-480F-9838-DC5AEB14F119}"/>
            </c:ext>
          </c:extLst>
        </c:ser>
        <c:ser>
          <c:idx val="1"/>
          <c:order val="1"/>
          <c:tx>
            <c:strRef>
              <c:f>'Output - ARIA'!$E$21</c:f>
              <c:strCache>
                <c:ptCount val="1"/>
                <c:pt idx="0">
                  <c:v>2022Q4</c:v>
                </c:pt>
              </c:strCache>
            </c:strRef>
          </c:tx>
          <c:spPr>
            <a:solidFill>
              <a:schemeClr val="accent2"/>
            </a:solidFill>
            <a:ln>
              <a:noFill/>
            </a:ln>
            <a:effectLst/>
          </c:spPr>
          <c:invertIfNegative val="0"/>
          <c:cat>
            <c:strRef>
              <c:f>'Output - ARIA'!$A$52:$A$54</c:f>
              <c:strCache>
                <c:ptCount val="3"/>
                <c:pt idx="0">
                  <c:v>Major Cities of Australia</c:v>
                </c:pt>
                <c:pt idx="1">
                  <c:v>Inner Regional Australia</c:v>
                </c:pt>
                <c:pt idx="2">
                  <c:v>Outer Regional, Remote, and Very Remote Australia</c:v>
                </c:pt>
              </c:strCache>
            </c:strRef>
          </c:cat>
          <c:val>
            <c:numRef>
              <c:f>'Output - ARIA'!$E$52:$E$54</c:f>
              <c:numCache>
                <c:formatCode>0%</c:formatCode>
                <c:ptCount val="3"/>
                <c:pt idx="0">
                  <c:v>0.28999999999999998</c:v>
                </c:pt>
                <c:pt idx="1">
                  <c:v>0.31</c:v>
                </c:pt>
                <c:pt idx="2">
                  <c:v>0.26</c:v>
                </c:pt>
              </c:numCache>
            </c:numRef>
          </c:val>
          <c:extLst>
            <c:ext xmlns:c16="http://schemas.microsoft.com/office/drawing/2014/chart" uri="{C3380CC4-5D6E-409C-BE32-E72D297353CC}">
              <c16:uniqueId val="{00000001-5F92-480F-9838-DC5AEB14F119}"/>
            </c:ext>
          </c:extLst>
        </c:ser>
        <c:ser>
          <c:idx val="2"/>
          <c:order val="2"/>
          <c:tx>
            <c:strRef>
              <c:f>'Output - ARIA'!$F$21</c:f>
              <c:strCache>
                <c:ptCount val="1"/>
                <c:pt idx="0">
                  <c:v>2023Q1</c:v>
                </c:pt>
              </c:strCache>
            </c:strRef>
          </c:tx>
          <c:spPr>
            <a:solidFill>
              <a:schemeClr val="accent3"/>
            </a:solidFill>
            <a:ln>
              <a:noFill/>
            </a:ln>
            <a:effectLst/>
          </c:spPr>
          <c:invertIfNegative val="0"/>
          <c:cat>
            <c:strRef>
              <c:f>'Output - ARIA'!$A$52:$A$54</c:f>
              <c:strCache>
                <c:ptCount val="3"/>
                <c:pt idx="0">
                  <c:v>Major Cities of Australia</c:v>
                </c:pt>
                <c:pt idx="1">
                  <c:v>Inner Regional Australia</c:v>
                </c:pt>
                <c:pt idx="2">
                  <c:v>Outer Regional, Remote, and Very Remote Australia</c:v>
                </c:pt>
              </c:strCache>
            </c:strRef>
          </c:cat>
          <c:val>
            <c:numRef>
              <c:f>'Output - ARIA'!$F$52:$F$54</c:f>
              <c:numCache>
                <c:formatCode>0%</c:formatCode>
                <c:ptCount val="3"/>
                <c:pt idx="0">
                  <c:v>0.28000000000000003</c:v>
                </c:pt>
                <c:pt idx="1">
                  <c:v>0.24</c:v>
                </c:pt>
                <c:pt idx="2">
                  <c:v>0.33</c:v>
                </c:pt>
              </c:numCache>
            </c:numRef>
          </c:val>
          <c:extLst>
            <c:ext xmlns:c16="http://schemas.microsoft.com/office/drawing/2014/chart" uri="{C3380CC4-5D6E-409C-BE32-E72D297353CC}">
              <c16:uniqueId val="{00000002-5F92-480F-9838-DC5AEB14F119}"/>
            </c:ext>
          </c:extLst>
        </c:ser>
        <c:ser>
          <c:idx val="3"/>
          <c:order val="3"/>
          <c:tx>
            <c:strRef>
              <c:f>'Output - ARIA'!$G$21</c:f>
              <c:strCache>
                <c:ptCount val="1"/>
                <c:pt idx="0">
                  <c:v>2023Q2</c:v>
                </c:pt>
              </c:strCache>
            </c:strRef>
          </c:tx>
          <c:spPr>
            <a:solidFill>
              <a:schemeClr val="accent4"/>
            </a:solidFill>
            <a:ln>
              <a:noFill/>
            </a:ln>
            <a:effectLst/>
          </c:spPr>
          <c:invertIfNegative val="0"/>
          <c:cat>
            <c:strRef>
              <c:f>'Output - ARIA'!$A$52:$A$54</c:f>
              <c:strCache>
                <c:ptCount val="3"/>
                <c:pt idx="0">
                  <c:v>Major Cities of Australia</c:v>
                </c:pt>
                <c:pt idx="1">
                  <c:v>Inner Regional Australia</c:v>
                </c:pt>
                <c:pt idx="2">
                  <c:v>Outer Regional, Remote, and Very Remote Australia</c:v>
                </c:pt>
              </c:strCache>
            </c:strRef>
          </c:cat>
          <c:val>
            <c:numRef>
              <c:f>'Output - ARIA'!$G$52:$G$54</c:f>
              <c:numCache>
                <c:formatCode>0%</c:formatCode>
                <c:ptCount val="3"/>
                <c:pt idx="0">
                  <c:v>0.22</c:v>
                </c:pt>
                <c:pt idx="1">
                  <c:v>0.22</c:v>
                </c:pt>
                <c:pt idx="2">
                  <c:v>0.2</c:v>
                </c:pt>
              </c:numCache>
            </c:numRef>
          </c:val>
          <c:extLst>
            <c:ext xmlns:c16="http://schemas.microsoft.com/office/drawing/2014/chart" uri="{C3380CC4-5D6E-409C-BE32-E72D297353CC}">
              <c16:uniqueId val="{00000003-5F92-480F-9838-DC5AEB14F119}"/>
            </c:ext>
          </c:extLst>
        </c:ser>
        <c:ser>
          <c:idx val="4"/>
          <c:order val="4"/>
          <c:tx>
            <c:strRef>
              <c:f>'Output - ARIA'!$H$21</c:f>
              <c:strCache>
                <c:ptCount val="1"/>
                <c:pt idx="0">
                  <c:v>2023Q3</c:v>
                </c:pt>
              </c:strCache>
            </c:strRef>
          </c:tx>
          <c:spPr>
            <a:solidFill>
              <a:schemeClr val="accent5"/>
            </a:solidFill>
            <a:ln>
              <a:noFill/>
            </a:ln>
            <a:effectLst/>
          </c:spPr>
          <c:invertIfNegative val="0"/>
          <c:cat>
            <c:strRef>
              <c:f>'Output - ARIA'!$A$52:$A$54</c:f>
              <c:strCache>
                <c:ptCount val="3"/>
                <c:pt idx="0">
                  <c:v>Major Cities of Australia</c:v>
                </c:pt>
                <c:pt idx="1">
                  <c:v>Inner Regional Australia</c:v>
                </c:pt>
                <c:pt idx="2">
                  <c:v>Outer Regional, Remote, and Very Remote Australia</c:v>
                </c:pt>
              </c:strCache>
            </c:strRef>
          </c:cat>
          <c:val>
            <c:numRef>
              <c:f>'Output - ARIA'!$H$52:$H$54</c:f>
              <c:numCache>
                <c:formatCode>0%</c:formatCode>
                <c:ptCount val="3"/>
                <c:pt idx="0">
                  <c:v>0.23</c:v>
                </c:pt>
                <c:pt idx="1">
                  <c:v>0.27</c:v>
                </c:pt>
                <c:pt idx="2">
                  <c:v>0.24</c:v>
                </c:pt>
              </c:numCache>
            </c:numRef>
          </c:val>
          <c:extLst>
            <c:ext xmlns:c16="http://schemas.microsoft.com/office/drawing/2014/chart" uri="{C3380CC4-5D6E-409C-BE32-E72D297353CC}">
              <c16:uniqueId val="{00000004-5F92-480F-9838-DC5AEB14F119}"/>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17304804804804E-2"/>
          <c:y val="0.10421873251520011"/>
          <c:w val="0.89616272522522522"/>
          <c:h val="0.6836976377952757"/>
        </c:manualLayout>
      </c:layout>
      <c:barChart>
        <c:barDir val="col"/>
        <c:grouping val="clustered"/>
        <c:varyColors val="0"/>
        <c:ser>
          <c:idx val="0"/>
          <c:order val="0"/>
          <c:tx>
            <c:strRef>
              <c:f>'Output - ARIA'!$D$16</c:f>
              <c:strCache>
                <c:ptCount val="1"/>
                <c:pt idx="0">
                  <c:v>Sep qtr 2022</c:v>
                </c:pt>
              </c:strCache>
            </c:strRef>
          </c:tx>
          <c:spPr>
            <a:solidFill>
              <a:schemeClr val="accent1"/>
            </a:solidFill>
            <a:ln>
              <a:noFill/>
            </a:ln>
            <a:effectLst/>
          </c:spPr>
          <c:invertIfNegative val="0"/>
          <c:cat>
            <c:numRef>
              <c:f>'Output - ARIA'!$A$17</c:f>
              <c:numCache>
                <c:formatCode>General</c:formatCode>
                <c:ptCount val="1"/>
              </c:numCache>
            </c:numRef>
          </c:cat>
          <c:val>
            <c:numRef>
              <c:f>'Output - ARIA'!$D$17</c:f>
              <c:numCache>
                <c:formatCode>General</c:formatCode>
                <c:ptCount val="1"/>
              </c:numCache>
            </c:numRef>
          </c:val>
          <c:extLst>
            <c:ext xmlns:c16="http://schemas.microsoft.com/office/drawing/2014/chart" uri="{C3380CC4-5D6E-409C-BE32-E72D297353CC}">
              <c16:uniqueId val="{00000000-8162-442B-BC96-E2C3268EBFAE}"/>
            </c:ext>
          </c:extLst>
        </c:ser>
        <c:ser>
          <c:idx val="1"/>
          <c:order val="1"/>
          <c:tx>
            <c:strRef>
              <c:f>'Output - ARIA'!$E$16</c:f>
              <c:strCache>
                <c:ptCount val="1"/>
                <c:pt idx="0">
                  <c:v>Dec qtr 2022</c:v>
                </c:pt>
              </c:strCache>
            </c:strRef>
          </c:tx>
          <c:spPr>
            <a:solidFill>
              <a:schemeClr val="accent2"/>
            </a:solidFill>
            <a:ln>
              <a:noFill/>
            </a:ln>
            <a:effectLst/>
          </c:spPr>
          <c:invertIfNegative val="0"/>
          <c:cat>
            <c:numRef>
              <c:f>'Output - ARIA'!$A$17</c:f>
              <c:numCache>
                <c:formatCode>General</c:formatCode>
                <c:ptCount val="1"/>
              </c:numCache>
            </c:numRef>
          </c:cat>
          <c:val>
            <c:numRef>
              <c:f>'Output - ARIA'!$E$17</c:f>
              <c:numCache>
                <c:formatCode>General</c:formatCode>
                <c:ptCount val="1"/>
              </c:numCache>
            </c:numRef>
          </c:val>
          <c:extLst>
            <c:ext xmlns:c16="http://schemas.microsoft.com/office/drawing/2014/chart" uri="{C3380CC4-5D6E-409C-BE32-E72D297353CC}">
              <c16:uniqueId val="{00000001-8162-442B-BC96-E2C3268EBFAE}"/>
            </c:ext>
          </c:extLst>
        </c:ser>
        <c:ser>
          <c:idx val="2"/>
          <c:order val="2"/>
          <c:tx>
            <c:strRef>
              <c:f>'Output - ARIA'!$F$16</c:f>
              <c:strCache>
                <c:ptCount val="1"/>
                <c:pt idx="0">
                  <c:v>Mar qtr 2023</c:v>
                </c:pt>
              </c:strCache>
            </c:strRef>
          </c:tx>
          <c:spPr>
            <a:solidFill>
              <a:schemeClr val="accent3"/>
            </a:solidFill>
            <a:ln>
              <a:noFill/>
            </a:ln>
            <a:effectLst/>
          </c:spPr>
          <c:invertIfNegative val="0"/>
          <c:cat>
            <c:numRef>
              <c:f>'Output - ARIA'!$A$17</c:f>
              <c:numCache>
                <c:formatCode>General</c:formatCode>
                <c:ptCount val="1"/>
              </c:numCache>
            </c:numRef>
          </c:cat>
          <c:val>
            <c:numRef>
              <c:f>'Output - ARIA'!$F$17</c:f>
              <c:numCache>
                <c:formatCode>General</c:formatCode>
                <c:ptCount val="1"/>
              </c:numCache>
            </c:numRef>
          </c:val>
          <c:extLst>
            <c:ext xmlns:c16="http://schemas.microsoft.com/office/drawing/2014/chart" uri="{C3380CC4-5D6E-409C-BE32-E72D297353CC}">
              <c16:uniqueId val="{00000002-8162-442B-BC96-E2C3268EBFAE}"/>
            </c:ext>
          </c:extLst>
        </c:ser>
        <c:ser>
          <c:idx val="3"/>
          <c:order val="3"/>
          <c:tx>
            <c:strRef>
              <c:f>'Output - ARIA'!$G$16</c:f>
              <c:strCache>
                <c:ptCount val="1"/>
                <c:pt idx="0">
                  <c:v>Jun qtr 2023</c:v>
                </c:pt>
              </c:strCache>
            </c:strRef>
          </c:tx>
          <c:spPr>
            <a:solidFill>
              <a:schemeClr val="accent4"/>
            </a:solidFill>
            <a:ln>
              <a:noFill/>
            </a:ln>
            <a:effectLst/>
          </c:spPr>
          <c:invertIfNegative val="0"/>
          <c:cat>
            <c:numRef>
              <c:f>'Output - ARIA'!$A$17</c:f>
              <c:numCache>
                <c:formatCode>General</c:formatCode>
                <c:ptCount val="1"/>
              </c:numCache>
            </c:numRef>
          </c:cat>
          <c:val>
            <c:numRef>
              <c:f>'Output - ARIA'!$G$17</c:f>
              <c:numCache>
                <c:formatCode>General</c:formatCode>
                <c:ptCount val="1"/>
              </c:numCache>
            </c:numRef>
          </c:val>
          <c:extLst>
            <c:ext xmlns:c16="http://schemas.microsoft.com/office/drawing/2014/chart" uri="{C3380CC4-5D6E-409C-BE32-E72D297353CC}">
              <c16:uniqueId val="{00000003-8162-442B-BC96-E2C3268EBFAE}"/>
            </c:ext>
          </c:extLst>
        </c:ser>
        <c:ser>
          <c:idx val="4"/>
          <c:order val="4"/>
          <c:tx>
            <c:strRef>
              <c:f>'Output - ARIA'!$H$16</c:f>
              <c:strCache>
                <c:ptCount val="1"/>
                <c:pt idx="0">
                  <c:v>Sep qtr 2023</c:v>
                </c:pt>
              </c:strCache>
            </c:strRef>
          </c:tx>
          <c:spPr>
            <a:solidFill>
              <a:schemeClr val="accent5"/>
            </a:solidFill>
            <a:ln>
              <a:noFill/>
            </a:ln>
            <a:effectLst/>
          </c:spPr>
          <c:invertIfNegative val="0"/>
          <c:cat>
            <c:numRef>
              <c:f>'Output - ARIA'!$A$17</c:f>
              <c:numCache>
                <c:formatCode>General</c:formatCode>
                <c:ptCount val="1"/>
              </c:numCache>
            </c:numRef>
          </c:cat>
          <c:val>
            <c:numRef>
              <c:f>'Output - ARIA'!$H$17</c:f>
              <c:numCache>
                <c:formatCode>General</c:formatCode>
                <c:ptCount val="1"/>
              </c:numCache>
            </c:numRef>
          </c:val>
          <c:extLst>
            <c:ext xmlns:c16="http://schemas.microsoft.com/office/drawing/2014/chart" uri="{C3380CC4-5D6E-409C-BE32-E72D297353CC}">
              <c16:uniqueId val="{00000004-8162-442B-BC96-E2C3268EBFAE}"/>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1"/>
        <c:axPos val="b"/>
        <c:numFmt formatCode="General" sourceLinked="1"/>
        <c:majorTickMark val="out"/>
        <c:minorTickMark val="none"/>
        <c:tickLblPos val="nextTo"/>
        <c:crossAx val="510140415"/>
        <c:crosses val="autoZero"/>
        <c:auto val="1"/>
        <c:lblAlgn val="ctr"/>
        <c:lblOffset val="100"/>
        <c:noMultiLvlLbl val="0"/>
      </c:catAx>
      <c:valAx>
        <c:axId val="510140415"/>
        <c:scaling>
          <c:orientation val="minMax"/>
        </c:scaling>
        <c:delete val="1"/>
        <c:axPos val="l"/>
        <c:numFmt formatCode="General" sourceLinked="1"/>
        <c:majorTickMark val="none"/>
        <c:minorTickMark val="none"/>
        <c:tickLblPos val="nextTo"/>
        <c:crossAx val="1065368751"/>
        <c:crosses val="autoZero"/>
        <c:crossBetween val="between"/>
        <c:majorUnit val="0.2"/>
      </c:valAx>
      <c:spPr>
        <a:noFill/>
        <a:ln w="25400">
          <a:noFill/>
        </a:ln>
        <a:effectLst/>
      </c:spPr>
    </c:plotArea>
    <c:legend>
      <c:legendPos val="b"/>
      <c:layout>
        <c:manualLayout>
          <c:xMode val="edge"/>
          <c:yMode val="edge"/>
          <c:x val="6.1378941441441438E-2"/>
          <c:y val="8.3101197359095866E-2"/>
          <c:w val="0.87724211711711708"/>
          <c:h val="0.8600522212689768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Bef>
          <a:spcPts val="600"/>
        </a:spcBef>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14919636617745E-2"/>
          <c:y val="2.9247160308105379E-2"/>
          <c:w val="0.89667907058001395"/>
          <c:h val="0.6141460929838426"/>
        </c:manualLayout>
      </c:layout>
      <c:barChart>
        <c:barDir val="col"/>
        <c:grouping val="clustered"/>
        <c:varyColors val="0"/>
        <c:ser>
          <c:idx val="0"/>
          <c:order val="0"/>
          <c:tx>
            <c:strRef>
              <c:f>'Output - Industry'!$D$21</c:f>
              <c:strCache>
                <c:ptCount val="1"/>
                <c:pt idx="0">
                  <c:v>2022Q3</c:v>
                </c:pt>
              </c:strCache>
            </c:strRef>
          </c:tx>
          <c:spPr>
            <a:solidFill>
              <a:schemeClr val="accent1"/>
            </a:solidFill>
            <a:ln>
              <a:noFill/>
            </a:ln>
            <a:effectLst/>
          </c:spPr>
          <c:invertIfNegative val="0"/>
          <c:cat>
            <c:strRef>
              <c:f>'Output - Industry'!$A$22:$A$28</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Industry'!$D$22:$D$28</c:f>
              <c:numCache>
                <c:formatCode>0%</c:formatCode>
                <c:ptCount val="7"/>
                <c:pt idx="0">
                  <c:v>0.55000000000000004</c:v>
                </c:pt>
                <c:pt idx="1">
                  <c:v>0.51</c:v>
                </c:pt>
                <c:pt idx="2">
                  <c:v>0.45</c:v>
                </c:pt>
                <c:pt idx="3">
                  <c:v>0.6</c:v>
                </c:pt>
                <c:pt idx="4">
                  <c:v>0.78</c:v>
                </c:pt>
                <c:pt idx="5">
                  <c:v>0.42</c:v>
                </c:pt>
                <c:pt idx="6">
                  <c:v>0.73</c:v>
                </c:pt>
              </c:numCache>
            </c:numRef>
          </c:val>
          <c:extLst>
            <c:ext xmlns:c16="http://schemas.microsoft.com/office/drawing/2014/chart" uri="{C3380CC4-5D6E-409C-BE32-E72D297353CC}">
              <c16:uniqueId val="{00000000-7ECE-48FA-93C6-92786519F385}"/>
            </c:ext>
          </c:extLst>
        </c:ser>
        <c:ser>
          <c:idx val="1"/>
          <c:order val="1"/>
          <c:tx>
            <c:strRef>
              <c:f>'Output - Industry'!$E$21</c:f>
              <c:strCache>
                <c:ptCount val="1"/>
                <c:pt idx="0">
                  <c:v>2022Q4</c:v>
                </c:pt>
              </c:strCache>
            </c:strRef>
          </c:tx>
          <c:spPr>
            <a:solidFill>
              <a:schemeClr val="accent2"/>
            </a:solidFill>
            <a:ln>
              <a:noFill/>
            </a:ln>
            <a:effectLst/>
          </c:spPr>
          <c:invertIfNegative val="0"/>
          <c:cat>
            <c:strRef>
              <c:f>'Output - Industry'!$A$22:$A$28</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Industry'!$E$22:$E$28</c:f>
              <c:numCache>
                <c:formatCode>0%</c:formatCode>
                <c:ptCount val="7"/>
                <c:pt idx="0">
                  <c:v>0.53</c:v>
                </c:pt>
                <c:pt idx="1">
                  <c:v>0.51</c:v>
                </c:pt>
                <c:pt idx="2">
                  <c:v>0.5</c:v>
                </c:pt>
                <c:pt idx="3">
                  <c:v>0.6</c:v>
                </c:pt>
                <c:pt idx="4">
                  <c:v>0.72</c:v>
                </c:pt>
                <c:pt idx="5">
                  <c:v>0.41</c:v>
                </c:pt>
                <c:pt idx="6">
                  <c:v>0.65</c:v>
                </c:pt>
              </c:numCache>
            </c:numRef>
          </c:val>
          <c:extLst>
            <c:ext xmlns:c16="http://schemas.microsoft.com/office/drawing/2014/chart" uri="{C3380CC4-5D6E-409C-BE32-E72D297353CC}">
              <c16:uniqueId val="{00000001-7ECE-48FA-93C6-92786519F385}"/>
            </c:ext>
          </c:extLst>
        </c:ser>
        <c:ser>
          <c:idx val="2"/>
          <c:order val="2"/>
          <c:tx>
            <c:strRef>
              <c:f>'Output - Industry'!$F$21</c:f>
              <c:strCache>
                <c:ptCount val="1"/>
                <c:pt idx="0">
                  <c:v>2023Q1</c:v>
                </c:pt>
              </c:strCache>
            </c:strRef>
          </c:tx>
          <c:spPr>
            <a:solidFill>
              <a:schemeClr val="accent3"/>
            </a:solidFill>
            <a:ln>
              <a:noFill/>
            </a:ln>
            <a:effectLst/>
          </c:spPr>
          <c:invertIfNegative val="0"/>
          <c:cat>
            <c:strRef>
              <c:f>'Output - Industry'!$A$22:$A$28</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Industry'!$F$22:$F$28</c:f>
              <c:numCache>
                <c:formatCode>0%</c:formatCode>
                <c:ptCount val="7"/>
                <c:pt idx="0">
                  <c:v>0.55000000000000004</c:v>
                </c:pt>
                <c:pt idx="1">
                  <c:v>0.5</c:v>
                </c:pt>
                <c:pt idx="2">
                  <c:v>0.49</c:v>
                </c:pt>
                <c:pt idx="3">
                  <c:v>0.54</c:v>
                </c:pt>
                <c:pt idx="4">
                  <c:v>0.8</c:v>
                </c:pt>
                <c:pt idx="5">
                  <c:v>0.44</c:v>
                </c:pt>
                <c:pt idx="6">
                  <c:v>0.63</c:v>
                </c:pt>
              </c:numCache>
            </c:numRef>
          </c:val>
          <c:extLst>
            <c:ext xmlns:c16="http://schemas.microsoft.com/office/drawing/2014/chart" uri="{C3380CC4-5D6E-409C-BE32-E72D297353CC}">
              <c16:uniqueId val="{00000002-7ECE-48FA-93C6-92786519F385}"/>
            </c:ext>
          </c:extLst>
        </c:ser>
        <c:ser>
          <c:idx val="3"/>
          <c:order val="3"/>
          <c:tx>
            <c:strRef>
              <c:f>'Output - Industry'!$G$21</c:f>
              <c:strCache>
                <c:ptCount val="1"/>
                <c:pt idx="0">
                  <c:v>2023Q2</c:v>
                </c:pt>
              </c:strCache>
            </c:strRef>
          </c:tx>
          <c:spPr>
            <a:solidFill>
              <a:schemeClr val="accent4"/>
            </a:solidFill>
            <a:ln>
              <a:noFill/>
            </a:ln>
            <a:effectLst/>
          </c:spPr>
          <c:invertIfNegative val="0"/>
          <c:cat>
            <c:strRef>
              <c:f>'Output - Industry'!$A$22:$A$28</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Industry'!$G$22:$G$28</c:f>
              <c:numCache>
                <c:formatCode>0%</c:formatCode>
                <c:ptCount val="7"/>
                <c:pt idx="0">
                  <c:v>0.48</c:v>
                </c:pt>
                <c:pt idx="1">
                  <c:v>0.49</c:v>
                </c:pt>
                <c:pt idx="2">
                  <c:v>0.46</c:v>
                </c:pt>
                <c:pt idx="3">
                  <c:v>0.44</c:v>
                </c:pt>
                <c:pt idx="4">
                  <c:v>0.65</c:v>
                </c:pt>
                <c:pt idx="5">
                  <c:v>0.35</c:v>
                </c:pt>
                <c:pt idx="6">
                  <c:v>0.61</c:v>
                </c:pt>
              </c:numCache>
            </c:numRef>
          </c:val>
          <c:extLst>
            <c:ext xmlns:c16="http://schemas.microsoft.com/office/drawing/2014/chart" uri="{C3380CC4-5D6E-409C-BE32-E72D297353CC}">
              <c16:uniqueId val="{00000003-7ECE-48FA-93C6-92786519F385}"/>
            </c:ext>
          </c:extLst>
        </c:ser>
        <c:ser>
          <c:idx val="4"/>
          <c:order val="4"/>
          <c:tx>
            <c:strRef>
              <c:f>'Output - Industry'!$H$21</c:f>
              <c:strCache>
                <c:ptCount val="1"/>
                <c:pt idx="0">
                  <c:v>2023Q3</c:v>
                </c:pt>
              </c:strCache>
            </c:strRef>
          </c:tx>
          <c:spPr>
            <a:solidFill>
              <a:schemeClr val="accent5"/>
            </a:solidFill>
            <a:ln>
              <a:noFill/>
            </a:ln>
            <a:effectLst/>
          </c:spPr>
          <c:invertIfNegative val="0"/>
          <c:cat>
            <c:strRef>
              <c:f>'Output - Industry'!$A$22:$A$28</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Industry'!$H$22:$H$28</c:f>
              <c:numCache>
                <c:formatCode>0%</c:formatCode>
                <c:ptCount val="7"/>
                <c:pt idx="0">
                  <c:v>0.51</c:v>
                </c:pt>
                <c:pt idx="1">
                  <c:v>0.41</c:v>
                </c:pt>
                <c:pt idx="2">
                  <c:v>0.35</c:v>
                </c:pt>
                <c:pt idx="3">
                  <c:v>0.45</c:v>
                </c:pt>
                <c:pt idx="4">
                  <c:v>0.69</c:v>
                </c:pt>
                <c:pt idx="5">
                  <c:v>0.37</c:v>
                </c:pt>
                <c:pt idx="6">
                  <c:v>0.56999999999999995</c:v>
                </c:pt>
              </c:numCache>
            </c:numRef>
          </c:val>
          <c:extLst>
            <c:ext xmlns:c16="http://schemas.microsoft.com/office/drawing/2014/chart" uri="{C3380CC4-5D6E-409C-BE32-E72D297353CC}">
              <c16:uniqueId val="{00000004-7ECE-48FA-93C6-92786519F385}"/>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04926624737948E-2"/>
          <c:y val="3.7923456790123454E-2"/>
          <c:w val="0.8998890635918938"/>
          <c:h val="0.59676049382716045"/>
        </c:manualLayout>
      </c:layout>
      <c:barChart>
        <c:barDir val="col"/>
        <c:grouping val="clustered"/>
        <c:varyColors val="0"/>
        <c:ser>
          <c:idx val="0"/>
          <c:order val="0"/>
          <c:tx>
            <c:strRef>
              <c:f>'Output - Industry'!$D$21</c:f>
              <c:strCache>
                <c:ptCount val="1"/>
                <c:pt idx="0">
                  <c:v>2022Q3</c:v>
                </c:pt>
              </c:strCache>
            </c:strRef>
          </c:tx>
          <c:spPr>
            <a:solidFill>
              <a:schemeClr val="accent1"/>
            </a:solidFill>
            <a:ln>
              <a:noFill/>
            </a:ln>
            <a:effectLst/>
          </c:spPr>
          <c:invertIfNegative val="0"/>
          <c:cat>
            <c:strRef>
              <c:f>'Output - Industry'!$A$36:$A$42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Industry'!$D$36:$D$42</c:f>
              <c:numCache>
                <c:formatCode>0%</c:formatCode>
                <c:ptCount val="7"/>
                <c:pt idx="0">
                  <c:v>0.79</c:v>
                </c:pt>
                <c:pt idx="1">
                  <c:v>0.7</c:v>
                </c:pt>
                <c:pt idx="2">
                  <c:v>0.75</c:v>
                </c:pt>
                <c:pt idx="3">
                  <c:v>0.76</c:v>
                </c:pt>
                <c:pt idx="4">
                  <c:v>0.69</c:v>
                </c:pt>
                <c:pt idx="5">
                  <c:v>0.62</c:v>
                </c:pt>
                <c:pt idx="6">
                  <c:v>0.71</c:v>
                </c:pt>
              </c:numCache>
            </c:numRef>
          </c:val>
          <c:extLst>
            <c:ext xmlns:c16="http://schemas.microsoft.com/office/drawing/2014/chart" uri="{C3380CC4-5D6E-409C-BE32-E72D297353CC}">
              <c16:uniqueId val="{00000000-06AC-4021-ABED-D181E27C72B0}"/>
            </c:ext>
          </c:extLst>
        </c:ser>
        <c:ser>
          <c:idx val="1"/>
          <c:order val="1"/>
          <c:tx>
            <c:strRef>
              <c:f>'Output - Industry'!$E$21</c:f>
              <c:strCache>
                <c:ptCount val="1"/>
                <c:pt idx="0">
                  <c:v>2022Q4</c:v>
                </c:pt>
              </c:strCache>
            </c:strRef>
          </c:tx>
          <c:spPr>
            <a:solidFill>
              <a:schemeClr val="accent2"/>
            </a:solidFill>
            <a:ln>
              <a:noFill/>
            </a:ln>
            <a:effectLst/>
          </c:spPr>
          <c:invertIfNegative val="0"/>
          <c:cat>
            <c:strRef>
              <c:f>'Output - Industry'!$A$36:$A$42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Industry'!$E$36:$E$42</c:f>
              <c:numCache>
                <c:formatCode>0%</c:formatCode>
                <c:ptCount val="7"/>
                <c:pt idx="0">
                  <c:v>0.75</c:v>
                </c:pt>
                <c:pt idx="1">
                  <c:v>0.8</c:v>
                </c:pt>
                <c:pt idx="2">
                  <c:v>0.7</c:v>
                </c:pt>
                <c:pt idx="3">
                  <c:v>0.62</c:v>
                </c:pt>
                <c:pt idx="4">
                  <c:v>0.68</c:v>
                </c:pt>
                <c:pt idx="5">
                  <c:v>0.63</c:v>
                </c:pt>
                <c:pt idx="6">
                  <c:v>0.69</c:v>
                </c:pt>
              </c:numCache>
            </c:numRef>
          </c:val>
          <c:extLst>
            <c:ext xmlns:c16="http://schemas.microsoft.com/office/drawing/2014/chart" uri="{C3380CC4-5D6E-409C-BE32-E72D297353CC}">
              <c16:uniqueId val="{00000001-06AC-4021-ABED-D181E27C72B0}"/>
            </c:ext>
          </c:extLst>
        </c:ser>
        <c:ser>
          <c:idx val="2"/>
          <c:order val="2"/>
          <c:tx>
            <c:strRef>
              <c:f>'Output - Industry'!$F$21</c:f>
              <c:strCache>
                <c:ptCount val="1"/>
                <c:pt idx="0">
                  <c:v>2023Q1</c:v>
                </c:pt>
              </c:strCache>
            </c:strRef>
          </c:tx>
          <c:spPr>
            <a:solidFill>
              <a:schemeClr val="accent3"/>
            </a:solidFill>
            <a:ln>
              <a:noFill/>
            </a:ln>
            <a:effectLst/>
          </c:spPr>
          <c:invertIfNegative val="0"/>
          <c:cat>
            <c:strRef>
              <c:f>'Output - Industry'!$A$36:$A$42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Industry'!$F$36:$F$42</c:f>
              <c:numCache>
                <c:formatCode>0%</c:formatCode>
                <c:ptCount val="7"/>
                <c:pt idx="0">
                  <c:v>0.67</c:v>
                </c:pt>
                <c:pt idx="1">
                  <c:v>0.59</c:v>
                </c:pt>
                <c:pt idx="2">
                  <c:v>0.7</c:v>
                </c:pt>
                <c:pt idx="3">
                  <c:v>0.6</c:v>
                </c:pt>
                <c:pt idx="4">
                  <c:v>0.53</c:v>
                </c:pt>
                <c:pt idx="5">
                  <c:v>0.61</c:v>
                </c:pt>
                <c:pt idx="6">
                  <c:v>0.66</c:v>
                </c:pt>
              </c:numCache>
            </c:numRef>
          </c:val>
          <c:extLst>
            <c:ext xmlns:c16="http://schemas.microsoft.com/office/drawing/2014/chart" uri="{C3380CC4-5D6E-409C-BE32-E72D297353CC}">
              <c16:uniqueId val="{00000002-06AC-4021-ABED-D181E27C72B0}"/>
            </c:ext>
          </c:extLst>
        </c:ser>
        <c:ser>
          <c:idx val="3"/>
          <c:order val="3"/>
          <c:tx>
            <c:strRef>
              <c:f>'Output - Industry'!$G$21</c:f>
              <c:strCache>
                <c:ptCount val="1"/>
                <c:pt idx="0">
                  <c:v>2023Q2</c:v>
                </c:pt>
              </c:strCache>
            </c:strRef>
          </c:tx>
          <c:spPr>
            <a:solidFill>
              <a:schemeClr val="accent4"/>
            </a:solidFill>
            <a:ln>
              <a:noFill/>
            </a:ln>
            <a:effectLst/>
          </c:spPr>
          <c:invertIfNegative val="0"/>
          <c:cat>
            <c:strRef>
              <c:f>'Output - Industry'!$A$36:$A$42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Industry'!$G$36:$G$42</c:f>
              <c:numCache>
                <c:formatCode>0%</c:formatCode>
                <c:ptCount val="7"/>
                <c:pt idx="0">
                  <c:v>0.73</c:v>
                </c:pt>
                <c:pt idx="1">
                  <c:v>0.7</c:v>
                </c:pt>
                <c:pt idx="2">
                  <c:v>0.67</c:v>
                </c:pt>
                <c:pt idx="3">
                  <c:v>0.62</c:v>
                </c:pt>
                <c:pt idx="4">
                  <c:v>0.52</c:v>
                </c:pt>
                <c:pt idx="5">
                  <c:v>0.56999999999999995</c:v>
                </c:pt>
                <c:pt idx="6">
                  <c:v>0.67</c:v>
                </c:pt>
              </c:numCache>
            </c:numRef>
          </c:val>
          <c:extLst>
            <c:ext xmlns:c16="http://schemas.microsoft.com/office/drawing/2014/chart" uri="{C3380CC4-5D6E-409C-BE32-E72D297353CC}">
              <c16:uniqueId val="{00000003-06AC-4021-ABED-D181E27C72B0}"/>
            </c:ext>
          </c:extLst>
        </c:ser>
        <c:ser>
          <c:idx val="4"/>
          <c:order val="4"/>
          <c:tx>
            <c:strRef>
              <c:f>'Output - Industry'!$H$21</c:f>
              <c:strCache>
                <c:ptCount val="1"/>
                <c:pt idx="0">
                  <c:v>2023Q3</c:v>
                </c:pt>
              </c:strCache>
            </c:strRef>
          </c:tx>
          <c:spPr>
            <a:solidFill>
              <a:schemeClr val="accent5"/>
            </a:solidFill>
            <a:ln>
              <a:noFill/>
            </a:ln>
            <a:effectLst/>
          </c:spPr>
          <c:invertIfNegative val="0"/>
          <c:cat>
            <c:strRef>
              <c:f>'Output - Industry'!$A$36:$A$42</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'Output - Industry'!$H$36:$H$42</c:f>
              <c:numCache>
                <c:formatCode>0%</c:formatCode>
                <c:ptCount val="7"/>
                <c:pt idx="0">
                  <c:v>0.69</c:v>
                </c:pt>
                <c:pt idx="1">
                  <c:v>0.61</c:v>
                </c:pt>
                <c:pt idx="2">
                  <c:v>0.67</c:v>
                </c:pt>
                <c:pt idx="3">
                  <c:v>0.57999999999999996</c:v>
                </c:pt>
                <c:pt idx="4">
                  <c:v>0.4</c:v>
                </c:pt>
                <c:pt idx="5">
                  <c:v>0.59</c:v>
                </c:pt>
                <c:pt idx="6">
                  <c:v>0.71</c:v>
                </c:pt>
              </c:numCache>
            </c:numRef>
          </c:val>
          <c:extLst>
            <c:ext xmlns:c16="http://schemas.microsoft.com/office/drawing/2014/chart" uri="{C3380CC4-5D6E-409C-BE32-E72D297353CC}">
              <c16:uniqueId val="{00000004-06AC-4021-ABED-D181E27C72B0}"/>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ova" panose="020B0504020202020204" pitchFamily="34" charset="0"/>
                <a:ea typeface="+mn-ea"/>
                <a:cs typeface="+mn-cs"/>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ova" panose="020B0504020202020204" pitchFamily="34" charset="0"/>
                <a:ea typeface="+mn-ea"/>
                <a:cs typeface="+mn-cs"/>
              </a:defRPr>
            </a:pPr>
            <a:endParaRPr lang="en-US"/>
          </a:p>
        </c:txPr>
        <c:crossAx val="1065368751"/>
        <c:crosses val="autoZero"/>
        <c:crossBetween val="between"/>
        <c:majorUnit val="0.25"/>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Arial Nova" panose="020B05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52375960866532E-2"/>
          <c:y val="0.10414189538249596"/>
          <c:w val="0.8922416142557652"/>
          <c:h val="0.16815396825396825"/>
        </c:manualLayout>
      </c:layout>
      <c:barChart>
        <c:barDir val="col"/>
        <c:grouping val="clustered"/>
        <c:varyColors val="0"/>
        <c:ser>
          <c:idx val="0"/>
          <c:order val="0"/>
          <c:tx>
            <c:strRef>
              <c:f>'Output - Industry'!$D$16</c:f>
              <c:strCache>
                <c:ptCount val="1"/>
                <c:pt idx="0">
                  <c:v>Sep qtr 2022</c:v>
                </c:pt>
              </c:strCache>
            </c:strRef>
          </c:tx>
          <c:spPr>
            <a:solidFill>
              <a:schemeClr val="accent1"/>
            </a:solidFill>
            <a:ln>
              <a:noFill/>
            </a:ln>
            <a:effectLst/>
          </c:spPr>
          <c:invertIfNegative val="0"/>
          <c:cat>
            <c:strRef>
              <c:f>'Output - Industry'!$A$22</c:f>
              <c:strCache>
                <c:ptCount val="1"/>
                <c:pt idx="0">
                  <c:v>Manufacturing</c:v>
                </c:pt>
              </c:strCache>
              <c:extLst/>
            </c:strRef>
          </c:cat>
          <c:val>
            <c:numRef>
              <c:f>'Output - Industry'!$D$16</c:f>
              <c:numCache>
                <c:formatCode>mmm\-yy</c:formatCode>
                <c:ptCount val="1"/>
                <c:pt idx="0">
                  <c:v>0</c:v>
                </c:pt>
              </c:numCache>
              <c:extLst/>
            </c:numRef>
          </c:val>
          <c:extLst>
            <c:ext xmlns:c16="http://schemas.microsoft.com/office/drawing/2014/chart" uri="{C3380CC4-5D6E-409C-BE32-E72D297353CC}">
              <c16:uniqueId val="{00000000-A202-4D34-B5C2-824C1B9FAE9A}"/>
            </c:ext>
          </c:extLst>
        </c:ser>
        <c:ser>
          <c:idx val="1"/>
          <c:order val="1"/>
          <c:tx>
            <c:strRef>
              <c:f>'Output - Industry'!$E$16</c:f>
              <c:strCache>
                <c:ptCount val="1"/>
                <c:pt idx="0">
                  <c:v>Dec qtr 2022</c:v>
                </c:pt>
              </c:strCache>
            </c:strRef>
          </c:tx>
          <c:spPr>
            <a:solidFill>
              <a:schemeClr val="accent2"/>
            </a:solidFill>
            <a:ln>
              <a:noFill/>
            </a:ln>
            <a:effectLst/>
          </c:spPr>
          <c:invertIfNegative val="0"/>
          <c:cat>
            <c:strRef>
              <c:f>'Output - Industry'!$A$22</c:f>
              <c:strCache>
                <c:ptCount val="1"/>
                <c:pt idx="0">
                  <c:v>Manufacturing</c:v>
                </c:pt>
              </c:strCache>
              <c:extLst/>
            </c:strRef>
          </c:cat>
          <c:val>
            <c:numRef>
              <c:f>'Output - Industry'!$E$17</c:f>
              <c:numCache>
                <c:formatCode>General</c:formatCode>
                <c:ptCount val="1"/>
              </c:numCache>
              <c:extLst/>
            </c:numRef>
          </c:val>
          <c:extLst>
            <c:ext xmlns:c16="http://schemas.microsoft.com/office/drawing/2014/chart" uri="{C3380CC4-5D6E-409C-BE32-E72D297353CC}">
              <c16:uniqueId val="{00000001-A202-4D34-B5C2-824C1B9FAE9A}"/>
            </c:ext>
          </c:extLst>
        </c:ser>
        <c:ser>
          <c:idx val="2"/>
          <c:order val="2"/>
          <c:tx>
            <c:strRef>
              <c:f>'Output - Industry'!$F$16</c:f>
              <c:strCache>
                <c:ptCount val="1"/>
                <c:pt idx="0">
                  <c:v>Mar qtr 2023</c:v>
                </c:pt>
              </c:strCache>
            </c:strRef>
          </c:tx>
          <c:spPr>
            <a:solidFill>
              <a:schemeClr val="accent3"/>
            </a:solidFill>
            <a:ln>
              <a:noFill/>
            </a:ln>
            <a:effectLst/>
          </c:spPr>
          <c:invertIfNegative val="0"/>
          <c:cat>
            <c:strRef>
              <c:f>'Output - Industry'!$A$22</c:f>
              <c:strCache>
                <c:ptCount val="1"/>
                <c:pt idx="0">
                  <c:v>Manufacturing</c:v>
                </c:pt>
              </c:strCache>
              <c:extLst/>
            </c:strRef>
          </c:cat>
          <c:val>
            <c:numRef>
              <c:f>'Output - Industry'!$F$17</c:f>
              <c:numCache>
                <c:formatCode>General</c:formatCode>
                <c:ptCount val="1"/>
              </c:numCache>
              <c:extLst/>
            </c:numRef>
          </c:val>
          <c:extLst>
            <c:ext xmlns:c16="http://schemas.microsoft.com/office/drawing/2014/chart" uri="{C3380CC4-5D6E-409C-BE32-E72D297353CC}">
              <c16:uniqueId val="{00000002-A202-4D34-B5C2-824C1B9FAE9A}"/>
            </c:ext>
          </c:extLst>
        </c:ser>
        <c:ser>
          <c:idx val="3"/>
          <c:order val="3"/>
          <c:tx>
            <c:strRef>
              <c:f>'Output - Industry'!$G$16</c:f>
              <c:strCache>
                <c:ptCount val="1"/>
                <c:pt idx="0">
                  <c:v>Jun qtr 2023</c:v>
                </c:pt>
              </c:strCache>
            </c:strRef>
          </c:tx>
          <c:spPr>
            <a:solidFill>
              <a:schemeClr val="accent4"/>
            </a:solidFill>
            <a:ln>
              <a:noFill/>
            </a:ln>
            <a:effectLst/>
          </c:spPr>
          <c:invertIfNegative val="0"/>
          <c:cat>
            <c:strRef>
              <c:f>'Output - Industry'!$A$22</c:f>
              <c:strCache>
                <c:ptCount val="1"/>
                <c:pt idx="0">
                  <c:v>Manufacturing</c:v>
                </c:pt>
              </c:strCache>
              <c:extLst/>
            </c:strRef>
          </c:cat>
          <c:val>
            <c:numRef>
              <c:f>'Output - Industry'!$G$17</c:f>
              <c:numCache>
                <c:formatCode>General</c:formatCode>
                <c:ptCount val="1"/>
              </c:numCache>
              <c:extLst/>
            </c:numRef>
          </c:val>
          <c:extLst>
            <c:ext xmlns:c16="http://schemas.microsoft.com/office/drawing/2014/chart" uri="{C3380CC4-5D6E-409C-BE32-E72D297353CC}">
              <c16:uniqueId val="{00000003-A202-4D34-B5C2-824C1B9FAE9A}"/>
            </c:ext>
          </c:extLst>
        </c:ser>
        <c:ser>
          <c:idx val="4"/>
          <c:order val="4"/>
          <c:tx>
            <c:strRef>
              <c:f>'Output - Industry'!$H$16</c:f>
              <c:strCache>
                <c:ptCount val="1"/>
                <c:pt idx="0">
                  <c:v>Sep qtr 2023</c:v>
                </c:pt>
              </c:strCache>
            </c:strRef>
          </c:tx>
          <c:spPr>
            <a:solidFill>
              <a:schemeClr val="accent5"/>
            </a:solidFill>
            <a:ln>
              <a:noFill/>
            </a:ln>
            <a:effectLst/>
          </c:spPr>
          <c:invertIfNegative val="0"/>
          <c:cat>
            <c:strRef>
              <c:f>'Output - Industry'!$A$22</c:f>
              <c:strCache>
                <c:ptCount val="1"/>
                <c:pt idx="0">
                  <c:v>Manufacturing</c:v>
                </c:pt>
              </c:strCache>
              <c:extLst/>
            </c:strRef>
          </c:cat>
          <c:val>
            <c:numRef>
              <c:f>'Output - Industry'!$H$17</c:f>
              <c:numCache>
                <c:formatCode>General</c:formatCode>
                <c:ptCount val="1"/>
              </c:numCache>
              <c:extLst/>
            </c:numRef>
          </c:val>
          <c:extLst>
            <c:ext xmlns:c16="http://schemas.microsoft.com/office/drawing/2014/chart" uri="{C3380CC4-5D6E-409C-BE32-E72D297353CC}">
              <c16:uniqueId val="{00000004-A202-4D34-B5C2-824C1B9FAE9A}"/>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1"/>
        <c:axPos val="b"/>
        <c:numFmt formatCode="General" sourceLinked="1"/>
        <c:majorTickMark val="out"/>
        <c:minorTickMark val="none"/>
        <c:tickLblPos val="nextTo"/>
        <c:crossAx val="510140415"/>
        <c:crosses val="autoZero"/>
        <c:auto val="1"/>
        <c:lblAlgn val="ctr"/>
        <c:lblOffset val="100"/>
        <c:noMultiLvlLbl val="0"/>
      </c:catAx>
      <c:valAx>
        <c:axId val="510140415"/>
        <c:scaling>
          <c:orientation val="minMax"/>
        </c:scaling>
        <c:delete val="1"/>
        <c:axPos val="l"/>
        <c:numFmt formatCode="mmm\-yy" sourceLinked="1"/>
        <c:majorTickMark val="none"/>
        <c:minorTickMark val="none"/>
        <c:tickLblPos val="nextTo"/>
        <c:crossAx val="1065368751"/>
        <c:crosses val="autoZero"/>
        <c:crossBetween val="between"/>
        <c:majorUnit val="0.25"/>
      </c:valAx>
      <c:spPr>
        <a:noFill/>
        <a:ln>
          <a:noFill/>
        </a:ln>
        <a:effectLst/>
      </c:spPr>
    </c:plotArea>
    <c:legend>
      <c:legendPos val="b"/>
      <c:layout>
        <c:manualLayout>
          <c:xMode val="edge"/>
          <c:yMode val="edge"/>
          <c:x val="0.05"/>
          <c:y val="7.2960317460317448E-2"/>
          <c:w val="0.9"/>
          <c:h val="0.86656349206349204"/>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000" b="0" i="0" u="none" strike="noStrike" kern="1200" baseline="0">
          <a:solidFill>
            <a:schemeClr val="tx1"/>
          </a:solidFill>
          <a:latin typeface="Arial Nova" panose="020B0504020202020204" pitchFamily="34" charset="0"/>
          <a:ea typeface="+mn-ea"/>
          <a:cs typeface="+mn-cs"/>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-Occupation'!$D$21</c:f>
              <c:strCache>
                <c:ptCount val="1"/>
              </c:strCache>
            </c:strRef>
          </c:tx>
          <c:spPr>
            <a:solidFill>
              <a:schemeClr val="accent1"/>
            </a:solidFill>
            <a:ln>
              <a:noFill/>
            </a:ln>
            <a:effectLst/>
          </c:spPr>
          <c:invertIfNegative val="0"/>
          <c:cat>
            <c:strRef>
              <c:f>'Output -Occupation'!$A$36:$A$42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-Occupation'!$D$36:$D$42</c:f>
              <c:numCache>
                <c:formatCode>0%</c:formatCode>
                <c:ptCount val="7"/>
                <c:pt idx="0">
                  <c:v>0.74</c:v>
                </c:pt>
                <c:pt idx="1">
                  <c:v>0.82</c:v>
                </c:pt>
                <c:pt idx="2">
                  <c:v>0.75</c:v>
                </c:pt>
                <c:pt idx="3">
                  <c:v>0.55000000000000004</c:v>
                </c:pt>
                <c:pt idx="4">
                  <c:v>0.69</c:v>
                </c:pt>
                <c:pt idx="5">
                  <c:v>0.72</c:v>
                </c:pt>
                <c:pt idx="6">
                  <c:v>0.74</c:v>
                </c:pt>
              </c:numCache>
            </c:numRef>
          </c:val>
          <c:extLst>
            <c:ext xmlns:c16="http://schemas.microsoft.com/office/drawing/2014/chart" uri="{C3380CC4-5D6E-409C-BE32-E72D297353CC}">
              <c16:uniqueId val="{00000000-2730-47A6-B14B-7CC1EC40AB8E}"/>
            </c:ext>
          </c:extLst>
        </c:ser>
        <c:ser>
          <c:idx val="1"/>
          <c:order val="1"/>
          <c:tx>
            <c:strRef>
              <c:f>'Output -Occupation'!$E$21</c:f>
              <c:strCache>
                <c:ptCount val="1"/>
              </c:strCache>
            </c:strRef>
          </c:tx>
          <c:spPr>
            <a:solidFill>
              <a:schemeClr val="accent2"/>
            </a:solidFill>
            <a:ln>
              <a:noFill/>
            </a:ln>
            <a:effectLst/>
          </c:spPr>
          <c:invertIfNegative val="0"/>
          <c:cat>
            <c:strRef>
              <c:f>'Output -Occupation'!$A$36:$A$42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-Occupation'!$E$36:$E$42</c:f>
              <c:numCache>
                <c:formatCode>0%</c:formatCode>
                <c:ptCount val="7"/>
                <c:pt idx="0">
                  <c:v>0.64</c:v>
                </c:pt>
                <c:pt idx="1">
                  <c:v>0.84</c:v>
                </c:pt>
                <c:pt idx="2">
                  <c:v>0.71</c:v>
                </c:pt>
                <c:pt idx="3">
                  <c:v>0.52</c:v>
                </c:pt>
                <c:pt idx="4">
                  <c:v>0.48</c:v>
                </c:pt>
                <c:pt idx="5">
                  <c:v>0.74</c:v>
                </c:pt>
                <c:pt idx="6">
                  <c:v>0.73</c:v>
                </c:pt>
              </c:numCache>
            </c:numRef>
          </c:val>
          <c:extLst>
            <c:ext xmlns:c16="http://schemas.microsoft.com/office/drawing/2014/chart" uri="{C3380CC4-5D6E-409C-BE32-E72D297353CC}">
              <c16:uniqueId val="{00000001-2730-47A6-B14B-7CC1EC40AB8E}"/>
            </c:ext>
          </c:extLst>
        </c:ser>
        <c:ser>
          <c:idx val="2"/>
          <c:order val="2"/>
          <c:tx>
            <c:strRef>
              <c:f>'Output -Occupation'!$F$21</c:f>
              <c:strCache>
                <c:ptCount val="1"/>
              </c:strCache>
            </c:strRef>
          </c:tx>
          <c:spPr>
            <a:solidFill>
              <a:schemeClr val="accent3"/>
            </a:solidFill>
            <a:ln>
              <a:noFill/>
            </a:ln>
            <a:effectLst/>
          </c:spPr>
          <c:invertIfNegative val="0"/>
          <c:cat>
            <c:strRef>
              <c:f>'Output -Occupation'!$A$36:$A$42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-Occupation'!$F$36:$F$42</c:f>
              <c:numCache>
                <c:formatCode>0%</c:formatCode>
                <c:ptCount val="7"/>
                <c:pt idx="0">
                  <c:v>0.66</c:v>
                </c:pt>
                <c:pt idx="1">
                  <c:v>0.69</c:v>
                </c:pt>
                <c:pt idx="2">
                  <c:v>0.63</c:v>
                </c:pt>
                <c:pt idx="3">
                  <c:v>0.52</c:v>
                </c:pt>
                <c:pt idx="4">
                  <c:v>0.51</c:v>
                </c:pt>
                <c:pt idx="5">
                  <c:v>0.6</c:v>
                </c:pt>
                <c:pt idx="6">
                  <c:v>0.61</c:v>
                </c:pt>
              </c:numCache>
            </c:numRef>
          </c:val>
          <c:extLst>
            <c:ext xmlns:c16="http://schemas.microsoft.com/office/drawing/2014/chart" uri="{C3380CC4-5D6E-409C-BE32-E72D297353CC}">
              <c16:uniqueId val="{00000002-2730-47A6-B14B-7CC1EC40AB8E}"/>
            </c:ext>
          </c:extLst>
        </c:ser>
        <c:ser>
          <c:idx val="3"/>
          <c:order val="3"/>
          <c:tx>
            <c:strRef>
              <c:f>'Output -Occupation'!$G$21</c:f>
              <c:strCache>
                <c:ptCount val="1"/>
              </c:strCache>
            </c:strRef>
          </c:tx>
          <c:spPr>
            <a:solidFill>
              <a:schemeClr val="accent4"/>
            </a:solidFill>
            <a:ln>
              <a:noFill/>
            </a:ln>
            <a:effectLst/>
          </c:spPr>
          <c:invertIfNegative val="0"/>
          <c:cat>
            <c:strRef>
              <c:f>'Output -Occupation'!$A$36:$A$42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-Occupation'!$G$36:$G$42</c:f>
              <c:numCache>
                <c:formatCode>0%</c:formatCode>
                <c:ptCount val="7"/>
                <c:pt idx="0">
                  <c:v>0.67</c:v>
                </c:pt>
                <c:pt idx="1">
                  <c:v>0.81</c:v>
                </c:pt>
                <c:pt idx="2">
                  <c:v>0.64</c:v>
                </c:pt>
                <c:pt idx="3">
                  <c:v>0.42</c:v>
                </c:pt>
                <c:pt idx="4">
                  <c:v>0.47</c:v>
                </c:pt>
                <c:pt idx="5">
                  <c:v>0.77</c:v>
                </c:pt>
                <c:pt idx="6">
                  <c:v>0.59</c:v>
                </c:pt>
              </c:numCache>
            </c:numRef>
          </c:val>
          <c:extLst>
            <c:ext xmlns:c16="http://schemas.microsoft.com/office/drawing/2014/chart" uri="{C3380CC4-5D6E-409C-BE32-E72D297353CC}">
              <c16:uniqueId val="{00000003-2730-47A6-B14B-7CC1EC40AB8E}"/>
            </c:ext>
          </c:extLst>
        </c:ser>
        <c:ser>
          <c:idx val="4"/>
          <c:order val="4"/>
          <c:tx>
            <c:strRef>
              <c:f>'Output -Occupation'!$H$21</c:f>
              <c:strCache>
                <c:ptCount val="1"/>
              </c:strCache>
            </c:strRef>
          </c:tx>
          <c:spPr>
            <a:solidFill>
              <a:schemeClr val="accent5"/>
            </a:solidFill>
            <a:ln>
              <a:noFill/>
            </a:ln>
            <a:effectLst/>
          </c:spPr>
          <c:invertIfNegative val="0"/>
          <c:cat>
            <c:strRef>
              <c:f>'Output -Occupation'!$A$36:$A$42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-Occupation'!$H$36:$H$42</c:f>
              <c:numCache>
                <c:formatCode>0%</c:formatCode>
                <c:ptCount val="7"/>
                <c:pt idx="0">
                  <c:v>0.68</c:v>
                </c:pt>
                <c:pt idx="1">
                  <c:v>0.75</c:v>
                </c:pt>
                <c:pt idx="2">
                  <c:v>0.6</c:v>
                </c:pt>
                <c:pt idx="3">
                  <c:v>0.43</c:v>
                </c:pt>
                <c:pt idx="4">
                  <c:v>0.52</c:v>
                </c:pt>
                <c:pt idx="5">
                  <c:v>0.56999999999999995</c:v>
                </c:pt>
                <c:pt idx="6">
                  <c:v>0.48</c:v>
                </c:pt>
              </c:numCache>
            </c:numRef>
          </c:val>
          <c:extLst>
            <c:ext xmlns:c16="http://schemas.microsoft.com/office/drawing/2014/chart" uri="{C3380CC4-5D6E-409C-BE32-E72D297353CC}">
              <c16:uniqueId val="{00000004-2730-47A6-B14B-7CC1EC40AB8E}"/>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5"/>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8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-Occupation'!$D$21</c:f>
              <c:strCache>
                <c:ptCount val="1"/>
              </c:strCache>
            </c:strRef>
          </c:tx>
          <c:spPr>
            <a:solidFill>
              <a:schemeClr val="accent1"/>
            </a:solidFill>
            <a:ln>
              <a:noFill/>
            </a:ln>
            <a:effectLst/>
          </c:spPr>
          <c:invertIfNegative val="0"/>
          <c:cat>
            <c:strRef>
              <c:f>'Output -Occupation'!$A$52:$A$58</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-Occupation'!$D$52:$D$58</c:f>
              <c:numCache>
                <c:formatCode>0%</c:formatCode>
                <c:ptCount val="7"/>
                <c:pt idx="0">
                  <c:v>0.75</c:v>
                </c:pt>
                <c:pt idx="1">
                  <c:v>0.81</c:v>
                </c:pt>
                <c:pt idx="2">
                  <c:v>0.76</c:v>
                </c:pt>
                <c:pt idx="3">
                  <c:v>0.51</c:v>
                </c:pt>
                <c:pt idx="4">
                  <c:v>0.65</c:v>
                </c:pt>
                <c:pt idx="5">
                  <c:v>0.74</c:v>
                </c:pt>
                <c:pt idx="6">
                  <c:v>0.68</c:v>
                </c:pt>
              </c:numCache>
            </c:numRef>
          </c:val>
          <c:extLst>
            <c:ext xmlns:c16="http://schemas.microsoft.com/office/drawing/2014/chart" uri="{C3380CC4-5D6E-409C-BE32-E72D297353CC}">
              <c16:uniqueId val="{00000000-8EF8-47B5-B194-2DD74B25BD3B}"/>
            </c:ext>
          </c:extLst>
        </c:ser>
        <c:ser>
          <c:idx val="1"/>
          <c:order val="1"/>
          <c:tx>
            <c:strRef>
              <c:f>'Output -Occupation'!$E$21</c:f>
              <c:strCache>
                <c:ptCount val="1"/>
              </c:strCache>
            </c:strRef>
          </c:tx>
          <c:spPr>
            <a:solidFill>
              <a:schemeClr val="accent2"/>
            </a:solidFill>
            <a:ln>
              <a:noFill/>
            </a:ln>
            <a:effectLst/>
          </c:spPr>
          <c:invertIfNegative val="0"/>
          <c:cat>
            <c:strRef>
              <c:f>'Output -Occupation'!$A$52:$A$58</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-Occupation'!$E$52:$E$58</c:f>
              <c:numCache>
                <c:formatCode>0%</c:formatCode>
                <c:ptCount val="7"/>
                <c:pt idx="0">
                  <c:v>0.71</c:v>
                </c:pt>
                <c:pt idx="1">
                  <c:v>0.84</c:v>
                </c:pt>
                <c:pt idx="2">
                  <c:v>0.72</c:v>
                </c:pt>
                <c:pt idx="3">
                  <c:v>0.51</c:v>
                </c:pt>
                <c:pt idx="4">
                  <c:v>0.5</c:v>
                </c:pt>
                <c:pt idx="5">
                  <c:v>0.7</c:v>
                </c:pt>
                <c:pt idx="6">
                  <c:v>0.65</c:v>
                </c:pt>
              </c:numCache>
            </c:numRef>
          </c:val>
          <c:extLst>
            <c:ext xmlns:c16="http://schemas.microsoft.com/office/drawing/2014/chart" uri="{C3380CC4-5D6E-409C-BE32-E72D297353CC}">
              <c16:uniqueId val="{00000001-8EF8-47B5-B194-2DD74B25BD3B}"/>
            </c:ext>
          </c:extLst>
        </c:ser>
        <c:ser>
          <c:idx val="2"/>
          <c:order val="2"/>
          <c:tx>
            <c:strRef>
              <c:f>'Output -Occupation'!$F$21</c:f>
              <c:strCache>
                <c:ptCount val="1"/>
              </c:strCache>
            </c:strRef>
          </c:tx>
          <c:spPr>
            <a:solidFill>
              <a:schemeClr val="accent3"/>
            </a:solidFill>
            <a:ln>
              <a:noFill/>
            </a:ln>
            <a:effectLst/>
          </c:spPr>
          <c:invertIfNegative val="0"/>
          <c:cat>
            <c:strRef>
              <c:f>'Output -Occupation'!$A$52:$A$58</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-Occupation'!$F$52:$F$58</c:f>
              <c:numCache>
                <c:formatCode>0%</c:formatCode>
                <c:ptCount val="7"/>
                <c:pt idx="0">
                  <c:v>0.79</c:v>
                </c:pt>
                <c:pt idx="1">
                  <c:v>0.7</c:v>
                </c:pt>
                <c:pt idx="2">
                  <c:v>0.6</c:v>
                </c:pt>
                <c:pt idx="3">
                  <c:v>0.53</c:v>
                </c:pt>
                <c:pt idx="4">
                  <c:v>0.47</c:v>
                </c:pt>
                <c:pt idx="5">
                  <c:v>0.63</c:v>
                </c:pt>
                <c:pt idx="6">
                  <c:v>0.51</c:v>
                </c:pt>
              </c:numCache>
            </c:numRef>
          </c:val>
          <c:extLst>
            <c:ext xmlns:c16="http://schemas.microsoft.com/office/drawing/2014/chart" uri="{C3380CC4-5D6E-409C-BE32-E72D297353CC}">
              <c16:uniqueId val="{00000002-8EF8-47B5-B194-2DD74B25BD3B}"/>
            </c:ext>
          </c:extLst>
        </c:ser>
        <c:ser>
          <c:idx val="3"/>
          <c:order val="3"/>
          <c:tx>
            <c:strRef>
              <c:f>'Output -Occupation'!$G$21</c:f>
              <c:strCache>
                <c:ptCount val="1"/>
              </c:strCache>
            </c:strRef>
          </c:tx>
          <c:spPr>
            <a:solidFill>
              <a:schemeClr val="accent4"/>
            </a:solidFill>
            <a:ln>
              <a:noFill/>
            </a:ln>
            <a:effectLst/>
          </c:spPr>
          <c:invertIfNegative val="0"/>
          <c:cat>
            <c:strRef>
              <c:f>'Output -Occupation'!$A$52:$A$58</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-Occupation'!$G$52:$G$58</c:f>
              <c:numCache>
                <c:formatCode>0%</c:formatCode>
                <c:ptCount val="7"/>
                <c:pt idx="0">
                  <c:v>0.71</c:v>
                </c:pt>
                <c:pt idx="1">
                  <c:v>0.78</c:v>
                </c:pt>
                <c:pt idx="2">
                  <c:v>0.56000000000000005</c:v>
                </c:pt>
                <c:pt idx="3">
                  <c:v>0.39</c:v>
                </c:pt>
                <c:pt idx="4">
                  <c:v>0.44</c:v>
                </c:pt>
                <c:pt idx="5">
                  <c:v>0.56999999999999995</c:v>
                </c:pt>
                <c:pt idx="6">
                  <c:v>0.51</c:v>
                </c:pt>
              </c:numCache>
            </c:numRef>
          </c:val>
          <c:extLst>
            <c:ext xmlns:c16="http://schemas.microsoft.com/office/drawing/2014/chart" uri="{C3380CC4-5D6E-409C-BE32-E72D297353CC}">
              <c16:uniqueId val="{00000003-8EF8-47B5-B194-2DD74B25BD3B}"/>
            </c:ext>
          </c:extLst>
        </c:ser>
        <c:ser>
          <c:idx val="4"/>
          <c:order val="4"/>
          <c:tx>
            <c:strRef>
              <c:f>'Output -Occupation'!$H$21</c:f>
              <c:strCache>
                <c:ptCount val="1"/>
              </c:strCache>
            </c:strRef>
          </c:tx>
          <c:spPr>
            <a:solidFill>
              <a:schemeClr val="accent5"/>
            </a:solidFill>
            <a:ln>
              <a:noFill/>
            </a:ln>
            <a:effectLst/>
          </c:spPr>
          <c:invertIfNegative val="0"/>
          <c:cat>
            <c:strRef>
              <c:f>'Output -Occupation'!$A$52:$A$58</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'Output -Occupation'!$H$52:$H$58</c:f>
              <c:numCache>
                <c:formatCode>0%</c:formatCode>
                <c:ptCount val="7"/>
                <c:pt idx="0">
                  <c:v>0.71</c:v>
                </c:pt>
                <c:pt idx="1">
                  <c:v>0.71</c:v>
                </c:pt>
                <c:pt idx="2">
                  <c:v>0.52</c:v>
                </c:pt>
                <c:pt idx="3">
                  <c:v>0.47</c:v>
                </c:pt>
                <c:pt idx="4">
                  <c:v>0.46</c:v>
                </c:pt>
                <c:pt idx="5">
                  <c:v>0.45</c:v>
                </c:pt>
                <c:pt idx="6">
                  <c:v>0.39</c:v>
                </c:pt>
              </c:numCache>
            </c:numRef>
          </c:val>
          <c:extLst>
            <c:ext xmlns:c16="http://schemas.microsoft.com/office/drawing/2014/chart" uri="{C3380CC4-5D6E-409C-BE32-E72D297353CC}">
              <c16:uniqueId val="{00000004-8EF8-47B5-B194-2DD74B25BD3B}"/>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Nova" panose="020B0504020202020204" pitchFamily="34" charset="0"/>
                <a:ea typeface="+mn-ea"/>
                <a:cs typeface="+mn-cs"/>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Nova" panose="020B0504020202020204" pitchFamily="34" charset="0"/>
                <a:ea typeface="+mn-ea"/>
                <a:cs typeface="+mn-cs"/>
              </a:defRPr>
            </a:pPr>
            <a:endParaRPr lang="en-US"/>
          </a:p>
        </c:txPr>
        <c:crossAx val="1065368751"/>
        <c:crosses val="autoZero"/>
        <c:crossBetween val="between"/>
        <c:majorUnit val="0.5"/>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850">
          <a:solidFill>
            <a:sysClr val="windowText" lastClr="000000"/>
          </a:solidFill>
          <a:latin typeface="Arial Nova" panose="020B05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15295358649791E-2"/>
          <c:y val="9.809532168875626E-2"/>
          <c:w val="0.89542422644163155"/>
          <c:h val="0.2671064688844027"/>
        </c:manualLayout>
      </c:layout>
      <c:barChart>
        <c:barDir val="col"/>
        <c:grouping val="clustered"/>
        <c:varyColors val="0"/>
        <c:ser>
          <c:idx val="0"/>
          <c:order val="0"/>
          <c:tx>
            <c:strRef>
              <c:f>'Output -Occupation'!$D$16</c:f>
              <c:strCache>
                <c:ptCount val="1"/>
                <c:pt idx="0">
                  <c:v>Sep qtr 2022</c:v>
                </c:pt>
              </c:strCache>
            </c:strRef>
          </c:tx>
          <c:spPr>
            <a:solidFill>
              <a:schemeClr val="accent1"/>
            </a:solidFill>
            <a:ln>
              <a:noFill/>
            </a:ln>
            <a:effectLst/>
          </c:spPr>
          <c:invertIfNegative val="0"/>
          <c:cat>
            <c:numRef>
              <c:f>'Output -Occupation'!$A$22</c:f>
              <c:numCache>
                <c:formatCode>General</c:formatCode>
                <c:ptCount val="1"/>
              </c:numCache>
            </c:numRef>
          </c:cat>
          <c:val>
            <c:numRef>
              <c:f>'Output -Occupation'!$C$22</c:f>
              <c:numCache>
                <c:formatCode>0%</c:formatCode>
                <c:ptCount val="1"/>
              </c:numCache>
            </c:numRef>
          </c:val>
          <c:extLst>
            <c:ext xmlns:c16="http://schemas.microsoft.com/office/drawing/2014/chart" uri="{C3380CC4-5D6E-409C-BE32-E72D297353CC}">
              <c16:uniqueId val="{00000000-EB80-4441-92F1-D8D8ED550845}"/>
            </c:ext>
          </c:extLst>
        </c:ser>
        <c:ser>
          <c:idx val="1"/>
          <c:order val="1"/>
          <c:tx>
            <c:strRef>
              <c:f>'Output -Occupation'!$E$16</c:f>
              <c:strCache>
                <c:ptCount val="1"/>
                <c:pt idx="0">
                  <c:v>Dec qtr 2022</c:v>
                </c:pt>
              </c:strCache>
            </c:strRef>
          </c:tx>
          <c:spPr>
            <a:solidFill>
              <a:schemeClr val="accent2"/>
            </a:solidFill>
            <a:ln>
              <a:noFill/>
            </a:ln>
            <a:effectLst/>
          </c:spPr>
          <c:invertIfNegative val="0"/>
          <c:cat>
            <c:numRef>
              <c:f>'Output -Occupation'!$A$22</c:f>
              <c:numCache>
                <c:formatCode>General</c:formatCode>
                <c:ptCount val="1"/>
              </c:numCache>
            </c:numRef>
          </c:cat>
          <c:val>
            <c:numRef>
              <c:f>'Output -Occupation'!$D$22</c:f>
              <c:numCache>
                <c:formatCode>0%</c:formatCode>
                <c:ptCount val="1"/>
              </c:numCache>
            </c:numRef>
          </c:val>
          <c:extLst>
            <c:ext xmlns:c16="http://schemas.microsoft.com/office/drawing/2014/chart" uri="{C3380CC4-5D6E-409C-BE32-E72D297353CC}">
              <c16:uniqueId val="{00000001-EB80-4441-92F1-D8D8ED550845}"/>
            </c:ext>
          </c:extLst>
        </c:ser>
        <c:ser>
          <c:idx val="2"/>
          <c:order val="2"/>
          <c:tx>
            <c:strRef>
              <c:f>'Output -Occupation'!$F$16</c:f>
              <c:strCache>
                <c:ptCount val="1"/>
                <c:pt idx="0">
                  <c:v>Mar qtr 2023</c:v>
                </c:pt>
              </c:strCache>
            </c:strRef>
          </c:tx>
          <c:spPr>
            <a:solidFill>
              <a:schemeClr val="accent3"/>
            </a:solidFill>
            <a:ln>
              <a:noFill/>
            </a:ln>
            <a:effectLst/>
          </c:spPr>
          <c:invertIfNegative val="0"/>
          <c:cat>
            <c:numRef>
              <c:f>'Output -Occupation'!$A$22</c:f>
              <c:numCache>
                <c:formatCode>General</c:formatCode>
                <c:ptCount val="1"/>
              </c:numCache>
            </c:numRef>
          </c:cat>
          <c:val>
            <c:numRef>
              <c:f>'Output -Occupation'!$E$22</c:f>
              <c:numCache>
                <c:formatCode>0%</c:formatCode>
                <c:ptCount val="1"/>
              </c:numCache>
            </c:numRef>
          </c:val>
          <c:extLst>
            <c:ext xmlns:c16="http://schemas.microsoft.com/office/drawing/2014/chart" uri="{C3380CC4-5D6E-409C-BE32-E72D297353CC}">
              <c16:uniqueId val="{00000002-EB80-4441-92F1-D8D8ED550845}"/>
            </c:ext>
          </c:extLst>
        </c:ser>
        <c:ser>
          <c:idx val="3"/>
          <c:order val="3"/>
          <c:tx>
            <c:strRef>
              <c:f>'Output -Occupation'!$G$16</c:f>
              <c:strCache>
                <c:ptCount val="1"/>
                <c:pt idx="0">
                  <c:v>Jun qtr 2023</c:v>
                </c:pt>
              </c:strCache>
            </c:strRef>
          </c:tx>
          <c:spPr>
            <a:solidFill>
              <a:schemeClr val="accent4"/>
            </a:solidFill>
            <a:ln>
              <a:noFill/>
            </a:ln>
            <a:effectLst/>
          </c:spPr>
          <c:invertIfNegative val="0"/>
          <c:cat>
            <c:numRef>
              <c:f>'Output -Occupation'!$A$22</c:f>
              <c:numCache>
                <c:formatCode>General</c:formatCode>
                <c:ptCount val="1"/>
              </c:numCache>
            </c:numRef>
          </c:cat>
          <c:val>
            <c:numRef>
              <c:f>'Output -Occupation'!$F$22</c:f>
              <c:numCache>
                <c:formatCode>0%</c:formatCode>
                <c:ptCount val="1"/>
              </c:numCache>
            </c:numRef>
          </c:val>
          <c:extLst>
            <c:ext xmlns:c16="http://schemas.microsoft.com/office/drawing/2014/chart" uri="{C3380CC4-5D6E-409C-BE32-E72D297353CC}">
              <c16:uniqueId val="{00000003-EB80-4441-92F1-D8D8ED550845}"/>
            </c:ext>
          </c:extLst>
        </c:ser>
        <c:ser>
          <c:idx val="4"/>
          <c:order val="4"/>
          <c:tx>
            <c:strRef>
              <c:f>'Output -Occupation'!$H$16</c:f>
              <c:strCache>
                <c:ptCount val="1"/>
                <c:pt idx="0">
                  <c:v>Sep qtr 2023</c:v>
                </c:pt>
              </c:strCache>
            </c:strRef>
          </c:tx>
          <c:spPr>
            <a:solidFill>
              <a:schemeClr val="accent5"/>
            </a:solidFill>
            <a:ln>
              <a:noFill/>
            </a:ln>
            <a:effectLst/>
          </c:spPr>
          <c:invertIfNegative val="0"/>
          <c:cat>
            <c:numRef>
              <c:f>'Output -Occupation'!$A$22</c:f>
              <c:numCache>
                <c:formatCode>General</c:formatCode>
                <c:ptCount val="1"/>
              </c:numCache>
            </c:numRef>
          </c:cat>
          <c:val>
            <c:numRef>
              <c:f>'Output -Occupation'!$G$22</c:f>
              <c:numCache>
                <c:formatCode>0%</c:formatCode>
                <c:ptCount val="1"/>
              </c:numCache>
            </c:numRef>
          </c:val>
          <c:extLst>
            <c:ext xmlns:c16="http://schemas.microsoft.com/office/drawing/2014/chart" uri="{C3380CC4-5D6E-409C-BE32-E72D297353CC}">
              <c16:uniqueId val="{00000004-EB80-4441-92F1-D8D8ED550845}"/>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1"/>
        <c:axPos val="b"/>
        <c:numFmt formatCode="General" sourceLinked="1"/>
        <c:majorTickMark val="out"/>
        <c:minorTickMark val="none"/>
        <c:tickLblPos val="nextTo"/>
        <c:crossAx val="510140415"/>
        <c:crosses val="autoZero"/>
        <c:auto val="1"/>
        <c:lblAlgn val="ctr"/>
        <c:lblOffset val="100"/>
        <c:noMultiLvlLbl val="0"/>
      </c:catAx>
      <c:valAx>
        <c:axId val="510140415"/>
        <c:scaling>
          <c:orientation val="minMax"/>
        </c:scaling>
        <c:delete val="1"/>
        <c:axPos val="l"/>
        <c:numFmt formatCode="0%" sourceLinked="1"/>
        <c:majorTickMark val="none"/>
        <c:minorTickMark val="none"/>
        <c:tickLblPos val="nextTo"/>
        <c:crossAx val="1065368751"/>
        <c:crosses val="autoZero"/>
        <c:crossBetween val="between"/>
        <c:majorUnit val="0.5"/>
      </c:valAx>
      <c:spPr>
        <a:noFill/>
        <a:ln w="25400">
          <a:noFill/>
        </a:ln>
        <a:effectLst/>
      </c:spPr>
    </c:plotArea>
    <c:legend>
      <c:legendPos val="b"/>
      <c:layout>
        <c:manualLayout>
          <c:xMode val="edge"/>
          <c:yMode val="edge"/>
          <c:x val="3.6170007032348801E-2"/>
          <c:y val="9.7725972088124266E-2"/>
          <c:w val="0.93659089310829813"/>
          <c:h val="0.8487674888089177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ova" panose="020B0504020202020204" pitchFamily="34"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050">
          <a:solidFill>
            <a:sysClr val="windowText" lastClr="000000"/>
          </a:solidFill>
          <a:latin typeface="Arial Nova" panose="020B05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91694444444444"/>
          <c:y val="7.2233115468409589E-2"/>
          <c:w val="0.79958305555555553"/>
          <c:h val="0.55391503267973852"/>
        </c:manualLayout>
      </c:layout>
      <c:lineChart>
        <c:grouping val="standard"/>
        <c:varyColors val="0"/>
        <c:ser>
          <c:idx val="0"/>
          <c:order val="0"/>
          <c:tx>
            <c:strRef>
              <c:f>'Headline charts'!$G$14</c:f>
              <c:strCache>
                <c:ptCount val="1"/>
                <c:pt idx="0">
                  <c:v>Recruitment difficulty rate</c:v>
                </c:pt>
              </c:strCache>
            </c:strRef>
          </c:tx>
          <c:spPr>
            <a:ln w="28575" cap="rnd">
              <a:solidFill>
                <a:schemeClr val="accent1"/>
              </a:solidFill>
              <a:round/>
            </a:ln>
            <a:effectLst/>
          </c:spPr>
          <c:marker>
            <c:symbol val="none"/>
          </c:marker>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8A-4C08-B6E2-0F4B0700BA62}"/>
                </c:ext>
              </c:extLst>
            </c:dLbl>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'Headline charts'!$H$12:$T$12</c:f>
              <c:strCache>
                <c:ptCount val="13"/>
                <c:pt idx="0">
                  <c:v>Sep qtr 2020</c:v>
                </c:pt>
                <c:pt idx="1">
                  <c:v>Dec qtr 2020</c:v>
                </c:pt>
                <c:pt idx="2">
                  <c:v>Mar qtr 2021</c:v>
                </c:pt>
                <c:pt idx="3">
                  <c:v>Jun qtr 2021</c:v>
                </c:pt>
                <c:pt idx="4">
                  <c:v>Sep qtr 2021</c:v>
                </c:pt>
                <c:pt idx="5">
                  <c:v>Dec qtr 2021</c:v>
                </c:pt>
                <c:pt idx="6">
                  <c:v>Mar qtr 2022</c:v>
                </c:pt>
                <c:pt idx="7">
                  <c:v>Jun qtr 2022</c:v>
                </c:pt>
                <c:pt idx="8">
                  <c:v>Sep qtr 2022</c:v>
                </c:pt>
                <c:pt idx="9">
                  <c:v>Dec qtr 2022</c:v>
                </c:pt>
                <c:pt idx="10">
                  <c:v>Mar qtr 2023</c:v>
                </c:pt>
                <c:pt idx="11">
                  <c:v>Jun qtr 2023</c:v>
                </c:pt>
                <c:pt idx="12">
                  <c:v>Sep qtr 2023</c:v>
                </c:pt>
              </c:strCache>
            </c:strRef>
          </c:cat>
          <c:val>
            <c:numRef>
              <c:f>'Headline charts'!$H$15:$T$15</c:f>
              <c:numCache>
                <c:formatCode>0%</c:formatCode>
                <c:ptCount val="13"/>
                <c:pt idx="0">
                  <c:v>0.45</c:v>
                </c:pt>
                <c:pt idx="1">
                  <c:v>0.42</c:v>
                </c:pt>
                <c:pt idx="2">
                  <c:v>0.41</c:v>
                </c:pt>
                <c:pt idx="3">
                  <c:v>0.52</c:v>
                </c:pt>
                <c:pt idx="4">
                  <c:v>0.53</c:v>
                </c:pt>
                <c:pt idx="5">
                  <c:v>0.57999999999999996</c:v>
                </c:pt>
                <c:pt idx="6">
                  <c:v>0.64</c:v>
                </c:pt>
                <c:pt idx="7">
                  <c:v>0.67</c:v>
                </c:pt>
                <c:pt idx="8">
                  <c:v>0.72</c:v>
                </c:pt>
                <c:pt idx="9">
                  <c:v>0.68</c:v>
                </c:pt>
                <c:pt idx="10">
                  <c:v>0.62</c:v>
                </c:pt>
                <c:pt idx="11">
                  <c:v>0.64</c:v>
                </c:pt>
                <c:pt idx="12">
                  <c:v>0.6</c:v>
                </c:pt>
              </c:numCache>
            </c:numRef>
          </c:val>
          <c:smooth val="0"/>
          <c:extLst>
            <c:ext xmlns:c16="http://schemas.microsoft.com/office/drawing/2014/chart" uri="{C3380CC4-5D6E-409C-BE32-E72D297353CC}">
              <c16:uniqueId val="{00000001-828A-4C08-B6E2-0F4B0700BA62}"/>
            </c:ext>
          </c:extLst>
        </c:ser>
        <c:dLbls>
          <c:showLegendKey val="0"/>
          <c:showVal val="0"/>
          <c:showCatName val="0"/>
          <c:showSerName val="0"/>
          <c:showPercent val="0"/>
          <c:showBubbleSize val="0"/>
        </c:dLbls>
        <c:smooth val="0"/>
        <c:axId val="1843018703"/>
        <c:axId val="1492335151"/>
      </c:lineChart>
      <c:catAx>
        <c:axId val="1843018703"/>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2335151"/>
        <c:crosses val="autoZero"/>
        <c:auto val="1"/>
        <c:lblAlgn val="ctr"/>
        <c:lblOffset val="100"/>
        <c:noMultiLvlLbl val="0"/>
      </c:catAx>
      <c:valAx>
        <c:axId val="1492335151"/>
        <c:scaling>
          <c:orientation val="minMax"/>
          <c:min val="0.2"/>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3018703"/>
        <c:crosses val="autoZero"/>
        <c:crossBetween val="between"/>
        <c:majorUnit val="0.150000000000000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91694444444444"/>
          <c:y val="6.0397058823529401E-2"/>
          <c:w val="0.80311083333333333"/>
          <c:h val="0.52744771241830068"/>
        </c:manualLayout>
      </c:layout>
      <c:lineChart>
        <c:grouping val="standard"/>
        <c:varyColors val="0"/>
        <c:ser>
          <c:idx val="0"/>
          <c:order val="0"/>
          <c:tx>
            <c:strRef>
              <c:f>'Headline charts'!$G$19</c:f>
              <c:strCache>
                <c:ptCount val="1"/>
                <c:pt idx="0">
                  <c:v>Expecting to increase staff</c:v>
                </c:pt>
              </c:strCache>
            </c:strRef>
          </c:tx>
          <c:spPr>
            <a:ln w="28575" cap="rnd">
              <a:solidFill>
                <a:schemeClr val="accent1"/>
              </a:solidFill>
              <a:round/>
            </a:ln>
            <a:effectLst/>
          </c:spPr>
          <c:marker>
            <c:symbol val="none"/>
          </c:marker>
          <c:dLbls>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03-44EC-AB94-4902C6EB507F}"/>
                </c:ext>
              </c:extLst>
            </c:dLbl>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'Headline charts'!$H$17:$T$17</c:f>
              <c:strCache>
                <c:ptCount val="13"/>
                <c:pt idx="0">
                  <c:v>Sep qtr 2020</c:v>
                </c:pt>
                <c:pt idx="1">
                  <c:v>Dec qtr 2020</c:v>
                </c:pt>
                <c:pt idx="2">
                  <c:v>Mar qtr 2021</c:v>
                </c:pt>
                <c:pt idx="3">
                  <c:v>Jun qtr 2021</c:v>
                </c:pt>
                <c:pt idx="4">
                  <c:v>Sep qtr 2021</c:v>
                </c:pt>
                <c:pt idx="5">
                  <c:v>Dec qtr 2021</c:v>
                </c:pt>
                <c:pt idx="6">
                  <c:v>Mar qtr 2022</c:v>
                </c:pt>
                <c:pt idx="7">
                  <c:v>Jun qtr 2022</c:v>
                </c:pt>
                <c:pt idx="8">
                  <c:v>Sep qtr 2022</c:v>
                </c:pt>
                <c:pt idx="9">
                  <c:v>Dec qtr 2022</c:v>
                </c:pt>
                <c:pt idx="10">
                  <c:v>Mar qtr 2023</c:v>
                </c:pt>
                <c:pt idx="11">
                  <c:v>Jun qtr 2023</c:v>
                </c:pt>
                <c:pt idx="12">
                  <c:v>Sep qtr 2023</c:v>
                </c:pt>
              </c:strCache>
            </c:strRef>
          </c:cat>
          <c:val>
            <c:numRef>
              <c:f>'Headline charts'!$H$20:$T$20</c:f>
              <c:numCache>
                <c:formatCode>0%</c:formatCode>
                <c:ptCount val="13"/>
                <c:pt idx="0">
                  <c:v>0.14000000000000001</c:v>
                </c:pt>
                <c:pt idx="1">
                  <c:v>0.22</c:v>
                </c:pt>
                <c:pt idx="2">
                  <c:v>0.21</c:v>
                </c:pt>
                <c:pt idx="3">
                  <c:v>0.21</c:v>
                </c:pt>
                <c:pt idx="4">
                  <c:v>0.2</c:v>
                </c:pt>
                <c:pt idx="5">
                  <c:v>0.28000000000000003</c:v>
                </c:pt>
                <c:pt idx="6">
                  <c:v>0.3</c:v>
                </c:pt>
                <c:pt idx="7">
                  <c:v>0.31</c:v>
                </c:pt>
                <c:pt idx="8">
                  <c:v>0.28000000000000003</c:v>
                </c:pt>
                <c:pt idx="9">
                  <c:v>0.28999999999999998</c:v>
                </c:pt>
                <c:pt idx="10">
                  <c:v>0.28000000000000003</c:v>
                </c:pt>
                <c:pt idx="11">
                  <c:v>0.22</c:v>
                </c:pt>
                <c:pt idx="12">
                  <c:v>0.24</c:v>
                </c:pt>
              </c:numCache>
            </c:numRef>
          </c:val>
          <c:smooth val="0"/>
          <c:extLst>
            <c:ext xmlns:c16="http://schemas.microsoft.com/office/drawing/2014/chart" uri="{C3380CC4-5D6E-409C-BE32-E72D297353CC}">
              <c16:uniqueId val="{00000001-3B03-44EC-AB94-4902C6EB507F}"/>
            </c:ext>
          </c:extLst>
        </c:ser>
        <c:dLbls>
          <c:showLegendKey val="0"/>
          <c:showVal val="0"/>
          <c:showCatName val="0"/>
          <c:showSerName val="0"/>
          <c:showPercent val="0"/>
          <c:showBubbleSize val="0"/>
        </c:dLbls>
        <c:smooth val="0"/>
        <c:axId val="1726364351"/>
        <c:axId val="1492340911"/>
      </c:lineChart>
      <c:catAx>
        <c:axId val="1726364351"/>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2340911"/>
        <c:crosses val="autoZero"/>
        <c:auto val="1"/>
        <c:lblAlgn val="ctr"/>
        <c:lblOffset val="100"/>
        <c:noMultiLvlLbl val="0"/>
      </c:catAx>
      <c:valAx>
        <c:axId val="1492340911"/>
        <c:scaling>
          <c:orientation val="minMax"/>
          <c:max val="0.4"/>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636435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 State data'!$D$21</c:f>
              <c:strCache>
                <c:ptCount val="1"/>
                <c:pt idx="0">
                  <c:v>2022Q3</c:v>
                </c:pt>
              </c:strCache>
            </c:strRef>
          </c:tx>
          <c:spPr>
            <a:solidFill>
              <a:schemeClr val="accent1"/>
            </a:solidFill>
            <a:ln>
              <a:noFill/>
            </a:ln>
            <a:effectLst/>
          </c:spPr>
          <c:invertIfNegative val="0"/>
          <c:cat>
            <c:strRef>
              <c:f>'Output - State data'!$A$22:$A$27</c:f>
              <c:strCache>
                <c:ptCount val="6"/>
                <c:pt idx="0">
                  <c:v>New South Wales</c:v>
                </c:pt>
                <c:pt idx="1">
                  <c:v>Victoria</c:v>
                </c:pt>
                <c:pt idx="2">
                  <c:v>Queensland</c:v>
                </c:pt>
                <c:pt idx="3">
                  <c:v>South Australia</c:v>
                </c:pt>
                <c:pt idx="4">
                  <c:v>Western Australia</c:v>
                </c:pt>
                <c:pt idx="5">
                  <c:v>Tasmania</c:v>
                </c:pt>
              </c:strCache>
            </c:strRef>
          </c:cat>
          <c:val>
            <c:numRef>
              <c:f>'Output - State data'!$D$22:$D$27</c:f>
              <c:numCache>
                <c:formatCode>0%</c:formatCode>
                <c:ptCount val="6"/>
                <c:pt idx="0">
                  <c:v>0.55000000000000004</c:v>
                </c:pt>
                <c:pt idx="1">
                  <c:v>0.6</c:v>
                </c:pt>
                <c:pt idx="2">
                  <c:v>0.59</c:v>
                </c:pt>
                <c:pt idx="3">
                  <c:v>0.52</c:v>
                </c:pt>
                <c:pt idx="4">
                  <c:v>0.54</c:v>
                </c:pt>
                <c:pt idx="5">
                  <c:v>0.52</c:v>
                </c:pt>
              </c:numCache>
            </c:numRef>
          </c:val>
          <c:extLst>
            <c:ext xmlns:c16="http://schemas.microsoft.com/office/drawing/2014/chart" uri="{C3380CC4-5D6E-409C-BE32-E72D297353CC}">
              <c16:uniqueId val="{00000000-CACF-4EDD-9607-E7816CB8F580}"/>
            </c:ext>
          </c:extLst>
        </c:ser>
        <c:ser>
          <c:idx val="1"/>
          <c:order val="1"/>
          <c:tx>
            <c:strRef>
              <c:f>'Output - State data'!$E$21</c:f>
              <c:strCache>
                <c:ptCount val="1"/>
                <c:pt idx="0">
                  <c:v>2022Q4</c:v>
                </c:pt>
              </c:strCache>
            </c:strRef>
          </c:tx>
          <c:spPr>
            <a:solidFill>
              <a:schemeClr val="accent2"/>
            </a:solidFill>
            <a:ln>
              <a:noFill/>
            </a:ln>
            <a:effectLst/>
          </c:spPr>
          <c:invertIfNegative val="0"/>
          <c:cat>
            <c:strRef>
              <c:f>'Output - State data'!$A$22:$A$27</c:f>
              <c:strCache>
                <c:ptCount val="6"/>
                <c:pt idx="0">
                  <c:v>New South Wales</c:v>
                </c:pt>
                <c:pt idx="1">
                  <c:v>Victoria</c:v>
                </c:pt>
                <c:pt idx="2">
                  <c:v>Queensland</c:v>
                </c:pt>
                <c:pt idx="3">
                  <c:v>South Australia</c:v>
                </c:pt>
                <c:pt idx="4">
                  <c:v>Western Australia</c:v>
                </c:pt>
                <c:pt idx="5">
                  <c:v>Tasmania</c:v>
                </c:pt>
              </c:strCache>
            </c:strRef>
          </c:cat>
          <c:val>
            <c:numRef>
              <c:f>'Output - State data'!$E$22:$E$27</c:f>
              <c:numCache>
                <c:formatCode>0%</c:formatCode>
                <c:ptCount val="6"/>
                <c:pt idx="0">
                  <c:v>0.56000000000000005</c:v>
                </c:pt>
                <c:pt idx="1">
                  <c:v>0.54</c:v>
                </c:pt>
                <c:pt idx="2">
                  <c:v>0.56000000000000005</c:v>
                </c:pt>
                <c:pt idx="3">
                  <c:v>0.55000000000000004</c:v>
                </c:pt>
                <c:pt idx="4">
                  <c:v>0.6</c:v>
                </c:pt>
                <c:pt idx="5">
                  <c:v>0.56999999999999995</c:v>
                </c:pt>
              </c:numCache>
            </c:numRef>
          </c:val>
          <c:extLst>
            <c:ext xmlns:c16="http://schemas.microsoft.com/office/drawing/2014/chart" uri="{C3380CC4-5D6E-409C-BE32-E72D297353CC}">
              <c16:uniqueId val="{00000001-CACF-4EDD-9607-E7816CB8F580}"/>
            </c:ext>
          </c:extLst>
        </c:ser>
        <c:ser>
          <c:idx val="2"/>
          <c:order val="2"/>
          <c:tx>
            <c:strRef>
              <c:f>'Output - State data'!$F$21</c:f>
              <c:strCache>
                <c:ptCount val="1"/>
                <c:pt idx="0">
                  <c:v>2023Q1</c:v>
                </c:pt>
              </c:strCache>
            </c:strRef>
          </c:tx>
          <c:spPr>
            <a:solidFill>
              <a:schemeClr val="accent3"/>
            </a:solidFill>
            <a:ln>
              <a:noFill/>
            </a:ln>
            <a:effectLst/>
          </c:spPr>
          <c:invertIfNegative val="0"/>
          <c:cat>
            <c:strRef>
              <c:f>'Output - State data'!$A$22:$A$27</c:f>
              <c:strCache>
                <c:ptCount val="6"/>
                <c:pt idx="0">
                  <c:v>New South Wales</c:v>
                </c:pt>
                <c:pt idx="1">
                  <c:v>Victoria</c:v>
                </c:pt>
                <c:pt idx="2">
                  <c:v>Queensland</c:v>
                </c:pt>
                <c:pt idx="3">
                  <c:v>South Australia</c:v>
                </c:pt>
                <c:pt idx="4">
                  <c:v>Western Australia</c:v>
                </c:pt>
                <c:pt idx="5">
                  <c:v>Tasmania</c:v>
                </c:pt>
              </c:strCache>
            </c:strRef>
          </c:cat>
          <c:val>
            <c:numRef>
              <c:f>'Output - State data'!$F$22:$F$27</c:f>
              <c:numCache>
                <c:formatCode>0%</c:formatCode>
                <c:ptCount val="6"/>
                <c:pt idx="0">
                  <c:v>0.56999999999999995</c:v>
                </c:pt>
                <c:pt idx="1">
                  <c:v>0.53</c:v>
                </c:pt>
                <c:pt idx="2">
                  <c:v>0.6</c:v>
                </c:pt>
                <c:pt idx="3">
                  <c:v>0.49</c:v>
                </c:pt>
                <c:pt idx="4">
                  <c:v>0.53</c:v>
                </c:pt>
                <c:pt idx="5">
                  <c:v>0.5</c:v>
                </c:pt>
              </c:numCache>
            </c:numRef>
          </c:val>
          <c:extLst>
            <c:ext xmlns:c16="http://schemas.microsoft.com/office/drawing/2014/chart" uri="{C3380CC4-5D6E-409C-BE32-E72D297353CC}">
              <c16:uniqueId val="{00000002-CACF-4EDD-9607-E7816CB8F580}"/>
            </c:ext>
          </c:extLst>
        </c:ser>
        <c:ser>
          <c:idx val="3"/>
          <c:order val="3"/>
          <c:tx>
            <c:strRef>
              <c:f>'Output - State data'!$G$21</c:f>
              <c:strCache>
                <c:ptCount val="1"/>
                <c:pt idx="0">
                  <c:v>2023Q2</c:v>
                </c:pt>
              </c:strCache>
            </c:strRef>
          </c:tx>
          <c:spPr>
            <a:solidFill>
              <a:schemeClr val="accent4"/>
            </a:solidFill>
            <a:ln>
              <a:noFill/>
            </a:ln>
            <a:effectLst/>
          </c:spPr>
          <c:invertIfNegative val="0"/>
          <c:cat>
            <c:strRef>
              <c:f>'Output - State data'!$A$22:$A$27</c:f>
              <c:strCache>
                <c:ptCount val="6"/>
                <c:pt idx="0">
                  <c:v>New South Wales</c:v>
                </c:pt>
                <c:pt idx="1">
                  <c:v>Victoria</c:v>
                </c:pt>
                <c:pt idx="2">
                  <c:v>Queensland</c:v>
                </c:pt>
                <c:pt idx="3">
                  <c:v>South Australia</c:v>
                </c:pt>
                <c:pt idx="4">
                  <c:v>Western Australia</c:v>
                </c:pt>
                <c:pt idx="5">
                  <c:v>Tasmania</c:v>
                </c:pt>
              </c:strCache>
            </c:strRef>
          </c:cat>
          <c:val>
            <c:numRef>
              <c:f>'Output - State data'!$G$22:$G$27</c:f>
              <c:numCache>
                <c:formatCode>0%</c:formatCode>
                <c:ptCount val="6"/>
                <c:pt idx="0">
                  <c:v>0.48</c:v>
                </c:pt>
                <c:pt idx="1">
                  <c:v>0.47</c:v>
                </c:pt>
                <c:pt idx="2">
                  <c:v>0.56000000000000005</c:v>
                </c:pt>
                <c:pt idx="3">
                  <c:v>0.44</c:v>
                </c:pt>
                <c:pt idx="4">
                  <c:v>0.5</c:v>
                </c:pt>
                <c:pt idx="5">
                  <c:v>0.43</c:v>
                </c:pt>
              </c:numCache>
            </c:numRef>
          </c:val>
          <c:extLst>
            <c:ext xmlns:c16="http://schemas.microsoft.com/office/drawing/2014/chart" uri="{C3380CC4-5D6E-409C-BE32-E72D297353CC}">
              <c16:uniqueId val="{00000003-CACF-4EDD-9607-E7816CB8F580}"/>
            </c:ext>
          </c:extLst>
        </c:ser>
        <c:ser>
          <c:idx val="4"/>
          <c:order val="4"/>
          <c:tx>
            <c:strRef>
              <c:f>'Output - State data'!$H$21</c:f>
              <c:strCache>
                <c:ptCount val="1"/>
                <c:pt idx="0">
                  <c:v>2023Q3</c:v>
                </c:pt>
              </c:strCache>
            </c:strRef>
          </c:tx>
          <c:spPr>
            <a:solidFill>
              <a:schemeClr val="accent5"/>
            </a:solidFill>
            <a:ln>
              <a:noFill/>
            </a:ln>
            <a:effectLst/>
          </c:spPr>
          <c:invertIfNegative val="0"/>
          <c:cat>
            <c:strRef>
              <c:f>'Output - State data'!$A$22:$A$27</c:f>
              <c:strCache>
                <c:ptCount val="6"/>
                <c:pt idx="0">
                  <c:v>New South Wales</c:v>
                </c:pt>
                <c:pt idx="1">
                  <c:v>Victoria</c:v>
                </c:pt>
                <c:pt idx="2">
                  <c:v>Queensland</c:v>
                </c:pt>
                <c:pt idx="3">
                  <c:v>South Australia</c:v>
                </c:pt>
                <c:pt idx="4">
                  <c:v>Western Australia</c:v>
                </c:pt>
                <c:pt idx="5">
                  <c:v>Tasmania</c:v>
                </c:pt>
              </c:strCache>
            </c:strRef>
          </c:cat>
          <c:val>
            <c:numRef>
              <c:f>'Output - State data'!$H$22:$H$27</c:f>
              <c:numCache>
                <c:formatCode>0%</c:formatCode>
                <c:ptCount val="6"/>
                <c:pt idx="0">
                  <c:v>0.48</c:v>
                </c:pt>
                <c:pt idx="1">
                  <c:v>0.43</c:v>
                </c:pt>
                <c:pt idx="2">
                  <c:v>0.54</c:v>
                </c:pt>
                <c:pt idx="3">
                  <c:v>0.47</c:v>
                </c:pt>
                <c:pt idx="4">
                  <c:v>0.55000000000000004</c:v>
                </c:pt>
                <c:pt idx="5">
                  <c:v>0.44</c:v>
                </c:pt>
              </c:numCache>
            </c:numRef>
          </c:val>
          <c:extLst>
            <c:ext xmlns:c16="http://schemas.microsoft.com/office/drawing/2014/chart" uri="{C3380CC4-5D6E-409C-BE32-E72D297353CC}">
              <c16:uniqueId val="{00000004-CACF-4EDD-9607-E7816CB8F580}"/>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708715920948644E-2"/>
          <c:y val="0.1111111111111111"/>
          <c:w val="0.90272948883510806"/>
          <c:h val="0.5943434343434344"/>
        </c:manualLayout>
      </c:layout>
      <c:barChart>
        <c:barDir val="col"/>
        <c:grouping val="clustered"/>
        <c:varyColors val="0"/>
        <c:ser>
          <c:idx val="0"/>
          <c:order val="0"/>
          <c:tx>
            <c:strRef>
              <c:f>'Output - State data'!$D$21</c:f>
              <c:strCache>
                <c:ptCount val="1"/>
                <c:pt idx="0">
                  <c:v>2022Q3</c:v>
                </c:pt>
              </c:strCache>
            </c:strRef>
          </c:tx>
          <c:spPr>
            <a:solidFill>
              <a:schemeClr val="accent1"/>
            </a:solidFill>
            <a:ln>
              <a:noFill/>
            </a:ln>
            <a:effectLst/>
          </c:spPr>
          <c:invertIfNegative val="0"/>
          <c:cat>
            <c:strRef>
              <c:f>'Output - State data'!$A$36:$A$41</c:f>
              <c:strCache>
                <c:ptCount val="6"/>
                <c:pt idx="0">
                  <c:v>New South Wales</c:v>
                </c:pt>
                <c:pt idx="1">
                  <c:v>Victoria</c:v>
                </c:pt>
                <c:pt idx="2">
                  <c:v>Queensland</c:v>
                </c:pt>
                <c:pt idx="3">
                  <c:v>South Australia</c:v>
                </c:pt>
                <c:pt idx="4">
                  <c:v>Western Australia</c:v>
                </c:pt>
                <c:pt idx="5">
                  <c:v>Tasmania*</c:v>
                </c:pt>
              </c:strCache>
            </c:strRef>
          </c:cat>
          <c:val>
            <c:numRef>
              <c:f>'Output - State data'!$D$36:$D$41</c:f>
              <c:numCache>
                <c:formatCode>0%</c:formatCode>
                <c:ptCount val="6"/>
                <c:pt idx="0">
                  <c:v>0.71</c:v>
                </c:pt>
                <c:pt idx="1">
                  <c:v>0.75</c:v>
                </c:pt>
                <c:pt idx="2">
                  <c:v>0.7</c:v>
                </c:pt>
                <c:pt idx="3">
                  <c:v>0.64</c:v>
                </c:pt>
                <c:pt idx="4">
                  <c:v>0.75</c:v>
                </c:pt>
                <c:pt idx="5">
                  <c:v>0.67</c:v>
                </c:pt>
              </c:numCache>
            </c:numRef>
          </c:val>
          <c:extLst>
            <c:ext xmlns:c16="http://schemas.microsoft.com/office/drawing/2014/chart" uri="{C3380CC4-5D6E-409C-BE32-E72D297353CC}">
              <c16:uniqueId val="{00000000-884A-4FEF-AF11-A3340EC9E5F0}"/>
            </c:ext>
          </c:extLst>
        </c:ser>
        <c:ser>
          <c:idx val="1"/>
          <c:order val="1"/>
          <c:tx>
            <c:strRef>
              <c:f>'Output - State data'!$E$21</c:f>
              <c:strCache>
                <c:ptCount val="1"/>
                <c:pt idx="0">
                  <c:v>2022Q4</c:v>
                </c:pt>
              </c:strCache>
            </c:strRef>
          </c:tx>
          <c:spPr>
            <a:solidFill>
              <a:schemeClr val="accent2"/>
            </a:solidFill>
            <a:ln>
              <a:noFill/>
            </a:ln>
            <a:effectLst/>
          </c:spPr>
          <c:invertIfNegative val="0"/>
          <c:cat>
            <c:strRef>
              <c:f>'Output - State data'!$A$36:$A$41</c:f>
              <c:strCache>
                <c:ptCount val="6"/>
                <c:pt idx="0">
                  <c:v>New South Wales</c:v>
                </c:pt>
                <c:pt idx="1">
                  <c:v>Victoria</c:v>
                </c:pt>
                <c:pt idx="2">
                  <c:v>Queensland</c:v>
                </c:pt>
                <c:pt idx="3">
                  <c:v>South Australia</c:v>
                </c:pt>
                <c:pt idx="4">
                  <c:v>Western Australia</c:v>
                </c:pt>
                <c:pt idx="5">
                  <c:v>Tasmania*</c:v>
                </c:pt>
              </c:strCache>
            </c:strRef>
          </c:cat>
          <c:val>
            <c:numRef>
              <c:f>'Output - State data'!$E$36:$E$41</c:f>
              <c:numCache>
                <c:formatCode>0%</c:formatCode>
                <c:ptCount val="6"/>
                <c:pt idx="0">
                  <c:v>0.71</c:v>
                </c:pt>
                <c:pt idx="1">
                  <c:v>0.7</c:v>
                </c:pt>
                <c:pt idx="2">
                  <c:v>0.66</c:v>
                </c:pt>
                <c:pt idx="3">
                  <c:v>0.6</c:v>
                </c:pt>
                <c:pt idx="4">
                  <c:v>0.7</c:v>
                </c:pt>
                <c:pt idx="5">
                  <c:v>0.53</c:v>
                </c:pt>
              </c:numCache>
            </c:numRef>
          </c:val>
          <c:extLst>
            <c:ext xmlns:c16="http://schemas.microsoft.com/office/drawing/2014/chart" uri="{C3380CC4-5D6E-409C-BE32-E72D297353CC}">
              <c16:uniqueId val="{00000001-884A-4FEF-AF11-A3340EC9E5F0}"/>
            </c:ext>
          </c:extLst>
        </c:ser>
        <c:ser>
          <c:idx val="2"/>
          <c:order val="2"/>
          <c:tx>
            <c:strRef>
              <c:f>'Output - State data'!$F$21</c:f>
              <c:strCache>
                <c:ptCount val="1"/>
                <c:pt idx="0">
                  <c:v>2023Q1</c:v>
                </c:pt>
              </c:strCache>
            </c:strRef>
          </c:tx>
          <c:spPr>
            <a:solidFill>
              <a:schemeClr val="accent3"/>
            </a:solidFill>
            <a:ln>
              <a:noFill/>
            </a:ln>
            <a:effectLst/>
          </c:spPr>
          <c:invertIfNegative val="0"/>
          <c:cat>
            <c:strRef>
              <c:f>'Output - State data'!$A$36:$A$41</c:f>
              <c:strCache>
                <c:ptCount val="6"/>
                <c:pt idx="0">
                  <c:v>New South Wales</c:v>
                </c:pt>
                <c:pt idx="1">
                  <c:v>Victoria</c:v>
                </c:pt>
                <c:pt idx="2">
                  <c:v>Queensland</c:v>
                </c:pt>
                <c:pt idx="3">
                  <c:v>South Australia</c:v>
                </c:pt>
                <c:pt idx="4">
                  <c:v>Western Australia</c:v>
                </c:pt>
                <c:pt idx="5">
                  <c:v>Tasmania*</c:v>
                </c:pt>
              </c:strCache>
            </c:strRef>
          </c:cat>
          <c:val>
            <c:numRef>
              <c:f>'Output - State data'!$F$36:$F$41</c:f>
              <c:numCache>
                <c:formatCode>0%</c:formatCode>
                <c:ptCount val="6"/>
                <c:pt idx="0">
                  <c:v>0.59</c:v>
                </c:pt>
                <c:pt idx="1">
                  <c:v>0.65</c:v>
                </c:pt>
                <c:pt idx="2">
                  <c:v>0.56999999999999995</c:v>
                </c:pt>
                <c:pt idx="3">
                  <c:v>0.64</c:v>
                </c:pt>
                <c:pt idx="4">
                  <c:v>0.73</c:v>
                </c:pt>
                <c:pt idx="5">
                  <c:v>0.59</c:v>
                </c:pt>
              </c:numCache>
            </c:numRef>
          </c:val>
          <c:extLst>
            <c:ext xmlns:c16="http://schemas.microsoft.com/office/drawing/2014/chart" uri="{C3380CC4-5D6E-409C-BE32-E72D297353CC}">
              <c16:uniqueId val="{00000002-884A-4FEF-AF11-A3340EC9E5F0}"/>
            </c:ext>
          </c:extLst>
        </c:ser>
        <c:ser>
          <c:idx val="3"/>
          <c:order val="3"/>
          <c:tx>
            <c:strRef>
              <c:f>'Output - State data'!$G$21</c:f>
              <c:strCache>
                <c:ptCount val="1"/>
                <c:pt idx="0">
                  <c:v>2023Q2</c:v>
                </c:pt>
              </c:strCache>
            </c:strRef>
          </c:tx>
          <c:spPr>
            <a:solidFill>
              <a:schemeClr val="accent4"/>
            </a:solidFill>
            <a:ln>
              <a:noFill/>
            </a:ln>
            <a:effectLst/>
          </c:spPr>
          <c:invertIfNegative val="0"/>
          <c:cat>
            <c:strRef>
              <c:f>'Output - State data'!$A$36:$A$41</c:f>
              <c:strCache>
                <c:ptCount val="6"/>
                <c:pt idx="0">
                  <c:v>New South Wales</c:v>
                </c:pt>
                <c:pt idx="1">
                  <c:v>Victoria</c:v>
                </c:pt>
                <c:pt idx="2">
                  <c:v>Queensland</c:v>
                </c:pt>
                <c:pt idx="3">
                  <c:v>South Australia</c:v>
                </c:pt>
                <c:pt idx="4">
                  <c:v>Western Australia</c:v>
                </c:pt>
                <c:pt idx="5">
                  <c:v>Tasmania*</c:v>
                </c:pt>
              </c:strCache>
            </c:strRef>
          </c:cat>
          <c:val>
            <c:numRef>
              <c:f>'Output - State data'!$G$36:$G$41</c:f>
              <c:numCache>
                <c:formatCode>0%</c:formatCode>
                <c:ptCount val="6"/>
                <c:pt idx="0">
                  <c:v>0.65</c:v>
                </c:pt>
                <c:pt idx="1">
                  <c:v>0.67</c:v>
                </c:pt>
                <c:pt idx="2">
                  <c:v>0.61</c:v>
                </c:pt>
                <c:pt idx="3">
                  <c:v>0.66</c:v>
                </c:pt>
                <c:pt idx="4">
                  <c:v>0.62</c:v>
                </c:pt>
                <c:pt idx="5">
                  <c:v>0.68</c:v>
                </c:pt>
              </c:numCache>
            </c:numRef>
          </c:val>
          <c:extLst>
            <c:ext xmlns:c16="http://schemas.microsoft.com/office/drawing/2014/chart" uri="{C3380CC4-5D6E-409C-BE32-E72D297353CC}">
              <c16:uniqueId val="{00000003-884A-4FEF-AF11-A3340EC9E5F0}"/>
            </c:ext>
          </c:extLst>
        </c:ser>
        <c:ser>
          <c:idx val="4"/>
          <c:order val="4"/>
          <c:tx>
            <c:strRef>
              <c:f>'Output - State data'!$H$21</c:f>
              <c:strCache>
                <c:ptCount val="1"/>
                <c:pt idx="0">
                  <c:v>2023Q3</c:v>
                </c:pt>
              </c:strCache>
            </c:strRef>
          </c:tx>
          <c:spPr>
            <a:solidFill>
              <a:schemeClr val="accent5"/>
            </a:solidFill>
            <a:ln>
              <a:noFill/>
            </a:ln>
            <a:effectLst/>
          </c:spPr>
          <c:invertIfNegative val="0"/>
          <c:cat>
            <c:strRef>
              <c:f>'Output - State data'!$A$36:$A$41</c:f>
              <c:strCache>
                <c:ptCount val="6"/>
                <c:pt idx="0">
                  <c:v>New South Wales</c:v>
                </c:pt>
                <c:pt idx="1">
                  <c:v>Victoria</c:v>
                </c:pt>
                <c:pt idx="2">
                  <c:v>Queensland</c:v>
                </c:pt>
                <c:pt idx="3">
                  <c:v>South Australia</c:v>
                </c:pt>
                <c:pt idx="4">
                  <c:v>Western Australia</c:v>
                </c:pt>
                <c:pt idx="5">
                  <c:v>Tasmania*</c:v>
                </c:pt>
              </c:strCache>
            </c:strRef>
          </c:cat>
          <c:val>
            <c:numRef>
              <c:f>'Output - State data'!$H$36:$H$41</c:f>
              <c:numCache>
                <c:formatCode>0%</c:formatCode>
                <c:ptCount val="6"/>
                <c:pt idx="0">
                  <c:v>0.6</c:v>
                </c:pt>
                <c:pt idx="1">
                  <c:v>0.62</c:v>
                </c:pt>
                <c:pt idx="2">
                  <c:v>0.62</c:v>
                </c:pt>
                <c:pt idx="3">
                  <c:v>0.6</c:v>
                </c:pt>
                <c:pt idx="4">
                  <c:v>0.51</c:v>
                </c:pt>
                <c:pt idx="5">
                  <c:v>0.46</c:v>
                </c:pt>
              </c:numCache>
            </c:numRef>
          </c:val>
          <c:extLst>
            <c:ext xmlns:c16="http://schemas.microsoft.com/office/drawing/2014/chart" uri="{C3380CC4-5D6E-409C-BE32-E72D297353CC}">
              <c16:uniqueId val="{00000004-884A-4FEF-AF11-A3340EC9E5F0}"/>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603340970338576E-2"/>
          <c:y val="0.11416709911779969"/>
          <c:w val="0.90287046059041953"/>
          <c:h val="0.58318629994810589"/>
        </c:manualLayout>
      </c:layout>
      <c:barChart>
        <c:barDir val="col"/>
        <c:grouping val="clustered"/>
        <c:varyColors val="0"/>
        <c:ser>
          <c:idx val="0"/>
          <c:order val="0"/>
          <c:tx>
            <c:strRef>
              <c:f>'Output - State data'!$D$21</c:f>
              <c:strCache>
                <c:ptCount val="1"/>
                <c:pt idx="0">
                  <c:v>2022Q3</c:v>
                </c:pt>
              </c:strCache>
            </c:strRef>
          </c:tx>
          <c:spPr>
            <a:solidFill>
              <a:schemeClr val="accent1"/>
            </a:solidFill>
            <a:ln>
              <a:noFill/>
            </a:ln>
            <a:effectLst/>
          </c:spPr>
          <c:invertIfNegative val="0"/>
          <c:cat>
            <c:strRef>
              <c:f>'Output - State data'!$A$52:$A$57</c:f>
              <c:strCache>
                <c:ptCount val="6"/>
                <c:pt idx="0">
                  <c:v>New South Wales</c:v>
                </c:pt>
                <c:pt idx="1">
                  <c:v>Victoria</c:v>
                </c:pt>
                <c:pt idx="2">
                  <c:v>Queensland</c:v>
                </c:pt>
                <c:pt idx="3">
                  <c:v>South Australia</c:v>
                </c:pt>
                <c:pt idx="4">
                  <c:v>Western Australia</c:v>
                </c:pt>
                <c:pt idx="5">
                  <c:v>Tasmania</c:v>
                </c:pt>
              </c:strCache>
            </c:strRef>
          </c:cat>
          <c:val>
            <c:numRef>
              <c:f>'Output - State data'!$D$52:$D$57</c:f>
              <c:numCache>
                <c:formatCode>0%</c:formatCode>
                <c:ptCount val="6"/>
                <c:pt idx="0">
                  <c:v>0.26</c:v>
                </c:pt>
                <c:pt idx="1">
                  <c:v>0.32</c:v>
                </c:pt>
                <c:pt idx="2">
                  <c:v>0.28999999999999998</c:v>
                </c:pt>
                <c:pt idx="3">
                  <c:v>0.21</c:v>
                </c:pt>
                <c:pt idx="4">
                  <c:v>0.28000000000000003</c:v>
                </c:pt>
                <c:pt idx="5">
                  <c:v>0.21</c:v>
                </c:pt>
              </c:numCache>
            </c:numRef>
          </c:val>
          <c:extLst>
            <c:ext xmlns:c16="http://schemas.microsoft.com/office/drawing/2014/chart" uri="{C3380CC4-5D6E-409C-BE32-E72D297353CC}">
              <c16:uniqueId val="{00000000-EB4B-4411-9F99-E7D9E26858AD}"/>
            </c:ext>
          </c:extLst>
        </c:ser>
        <c:ser>
          <c:idx val="1"/>
          <c:order val="1"/>
          <c:tx>
            <c:strRef>
              <c:f>'Output - State data'!$E$21</c:f>
              <c:strCache>
                <c:ptCount val="1"/>
                <c:pt idx="0">
                  <c:v>2022Q4</c:v>
                </c:pt>
              </c:strCache>
            </c:strRef>
          </c:tx>
          <c:spPr>
            <a:solidFill>
              <a:schemeClr val="accent2"/>
            </a:solidFill>
            <a:ln>
              <a:noFill/>
            </a:ln>
            <a:effectLst/>
          </c:spPr>
          <c:invertIfNegative val="0"/>
          <c:cat>
            <c:strRef>
              <c:f>'Output - State data'!$A$52:$A$57</c:f>
              <c:strCache>
                <c:ptCount val="6"/>
                <c:pt idx="0">
                  <c:v>New South Wales</c:v>
                </c:pt>
                <c:pt idx="1">
                  <c:v>Victoria</c:v>
                </c:pt>
                <c:pt idx="2">
                  <c:v>Queensland</c:v>
                </c:pt>
                <c:pt idx="3">
                  <c:v>South Australia</c:v>
                </c:pt>
                <c:pt idx="4">
                  <c:v>Western Australia</c:v>
                </c:pt>
                <c:pt idx="5">
                  <c:v>Tasmania</c:v>
                </c:pt>
              </c:strCache>
            </c:strRef>
          </c:cat>
          <c:val>
            <c:numRef>
              <c:f>'Output - State data'!$E$52:$E$57</c:f>
              <c:numCache>
                <c:formatCode>0%</c:formatCode>
                <c:ptCount val="6"/>
                <c:pt idx="0">
                  <c:v>0.32</c:v>
                </c:pt>
                <c:pt idx="1">
                  <c:v>0.28000000000000003</c:v>
                </c:pt>
                <c:pt idx="2">
                  <c:v>0.23</c:v>
                </c:pt>
                <c:pt idx="3">
                  <c:v>0.27</c:v>
                </c:pt>
                <c:pt idx="4">
                  <c:v>0.32</c:v>
                </c:pt>
                <c:pt idx="5">
                  <c:v>0.31</c:v>
                </c:pt>
              </c:numCache>
            </c:numRef>
          </c:val>
          <c:extLst>
            <c:ext xmlns:c16="http://schemas.microsoft.com/office/drawing/2014/chart" uri="{C3380CC4-5D6E-409C-BE32-E72D297353CC}">
              <c16:uniqueId val="{00000001-EB4B-4411-9F99-E7D9E26858AD}"/>
            </c:ext>
          </c:extLst>
        </c:ser>
        <c:ser>
          <c:idx val="2"/>
          <c:order val="2"/>
          <c:tx>
            <c:strRef>
              <c:f>'Output - State data'!$F$21</c:f>
              <c:strCache>
                <c:ptCount val="1"/>
                <c:pt idx="0">
                  <c:v>2023Q1</c:v>
                </c:pt>
              </c:strCache>
            </c:strRef>
          </c:tx>
          <c:spPr>
            <a:solidFill>
              <a:schemeClr val="accent3"/>
            </a:solidFill>
            <a:ln>
              <a:noFill/>
            </a:ln>
            <a:effectLst/>
          </c:spPr>
          <c:invertIfNegative val="0"/>
          <c:cat>
            <c:strRef>
              <c:f>'Output - State data'!$A$52:$A$57</c:f>
              <c:strCache>
                <c:ptCount val="6"/>
                <c:pt idx="0">
                  <c:v>New South Wales</c:v>
                </c:pt>
                <c:pt idx="1">
                  <c:v>Victoria</c:v>
                </c:pt>
                <c:pt idx="2">
                  <c:v>Queensland</c:v>
                </c:pt>
                <c:pt idx="3">
                  <c:v>South Australia</c:v>
                </c:pt>
                <c:pt idx="4">
                  <c:v>Western Australia</c:v>
                </c:pt>
                <c:pt idx="5">
                  <c:v>Tasmania</c:v>
                </c:pt>
              </c:strCache>
            </c:strRef>
          </c:cat>
          <c:val>
            <c:numRef>
              <c:f>'Output - State data'!$F$52:$F$57</c:f>
              <c:numCache>
                <c:formatCode>0%</c:formatCode>
                <c:ptCount val="6"/>
                <c:pt idx="0">
                  <c:v>0.26</c:v>
                </c:pt>
                <c:pt idx="1">
                  <c:v>0.33</c:v>
                </c:pt>
                <c:pt idx="2">
                  <c:v>0.25</c:v>
                </c:pt>
                <c:pt idx="3">
                  <c:v>0.24</c:v>
                </c:pt>
                <c:pt idx="4">
                  <c:v>0.25</c:v>
                </c:pt>
                <c:pt idx="5">
                  <c:v>0.26</c:v>
                </c:pt>
              </c:numCache>
            </c:numRef>
          </c:val>
          <c:extLst>
            <c:ext xmlns:c16="http://schemas.microsoft.com/office/drawing/2014/chart" uri="{C3380CC4-5D6E-409C-BE32-E72D297353CC}">
              <c16:uniqueId val="{00000002-EB4B-4411-9F99-E7D9E26858AD}"/>
            </c:ext>
          </c:extLst>
        </c:ser>
        <c:ser>
          <c:idx val="3"/>
          <c:order val="3"/>
          <c:tx>
            <c:strRef>
              <c:f>'Output - State data'!$G$21</c:f>
              <c:strCache>
                <c:ptCount val="1"/>
                <c:pt idx="0">
                  <c:v>2023Q2</c:v>
                </c:pt>
              </c:strCache>
            </c:strRef>
          </c:tx>
          <c:spPr>
            <a:solidFill>
              <a:schemeClr val="accent4"/>
            </a:solidFill>
            <a:ln>
              <a:noFill/>
            </a:ln>
            <a:effectLst/>
          </c:spPr>
          <c:invertIfNegative val="0"/>
          <c:cat>
            <c:strRef>
              <c:f>'Output - State data'!$A$52:$A$57</c:f>
              <c:strCache>
                <c:ptCount val="6"/>
                <c:pt idx="0">
                  <c:v>New South Wales</c:v>
                </c:pt>
                <c:pt idx="1">
                  <c:v>Victoria</c:v>
                </c:pt>
                <c:pt idx="2">
                  <c:v>Queensland</c:v>
                </c:pt>
                <c:pt idx="3">
                  <c:v>South Australia</c:v>
                </c:pt>
                <c:pt idx="4">
                  <c:v>Western Australia</c:v>
                </c:pt>
                <c:pt idx="5">
                  <c:v>Tasmania</c:v>
                </c:pt>
              </c:strCache>
            </c:strRef>
          </c:cat>
          <c:val>
            <c:numRef>
              <c:f>'Output - State data'!$G$52:$G$57</c:f>
              <c:numCache>
                <c:formatCode>0%</c:formatCode>
                <c:ptCount val="6"/>
                <c:pt idx="0">
                  <c:v>0.21</c:v>
                </c:pt>
                <c:pt idx="1">
                  <c:v>0.22</c:v>
                </c:pt>
                <c:pt idx="2">
                  <c:v>0.23</c:v>
                </c:pt>
                <c:pt idx="3">
                  <c:v>0.18</c:v>
                </c:pt>
                <c:pt idx="4">
                  <c:v>0.22</c:v>
                </c:pt>
                <c:pt idx="5">
                  <c:v>0.24</c:v>
                </c:pt>
              </c:numCache>
            </c:numRef>
          </c:val>
          <c:extLst>
            <c:ext xmlns:c16="http://schemas.microsoft.com/office/drawing/2014/chart" uri="{C3380CC4-5D6E-409C-BE32-E72D297353CC}">
              <c16:uniqueId val="{00000003-EB4B-4411-9F99-E7D9E26858AD}"/>
            </c:ext>
          </c:extLst>
        </c:ser>
        <c:ser>
          <c:idx val="4"/>
          <c:order val="4"/>
          <c:tx>
            <c:strRef>
              <c:f>'Output - State data'!$H$21</c:f>
              <c:strCache>
                <c:ptCount val="1"/>
                <c:pt idx="0">
                  <c:v>2023Q3</c:v>
                </c:pt>
              </c:strCache>
            </c:strRef>
          </c:tx>
          <c:spPr>
            <a:solidFill>
              <a:schemeClr val="accent5"/>
            </a:solidFill>
            <a:ln>
              <a:noFill/>
            </a:ln>
            <a:effectLst/>
          </c:spPr>
          <c:invertIfNegative val="0"/>
          <c:cat>
            <c:strRef>
              <c:f>'Output - State data'!$A$52:$A$57</c:f>
              <c:strCache>
                <c:ptCount val="6"/>
                <c:pt idx="0">
                  <c:v>New South Wales</c:v>
                </c:pt>
                <c:pt idx="1">
                  <c:v>Victoria</c:v>
                </c:pt>
                <c:pt idx="2">
                  <c:v>Queensland</c:v>
                </c:pt>
                <c:pt idx="3">
                  <c:v>South Australia</c:v>
                </c:pt>
                <c:pt idx="4">
                  <c:v>Western Australia</c:v>
                </c:pt>
                <c:pt idx="5">
                  <c:v>Tasmania</c:v>
                </c:pt>
              </c:strCache>
            </c:strRef>
          </c:cat>
          <c:val>
            <c:numRef>
              <c:f>'Output - State data'!$H$52:$H$57</c:f>
              <c:numCache>
                <c:formatCode>0%</c:formatCode>
                <c:ptCount val="6"/>
                <c:pt idx="0">
                  <c:v>0.25</c:v>
                </c:pt>
                <c:pt idx="1">
                  <c:v>0.21</c:v>
                </c:pt>
                <c:pt idx="2">
                  <c:v>0.26</c:v>
                </c:pt>
                <c:pt idx="3">
                  <c:v>0.23</c:v>
                </c:pt>
                <c:pt idx="4">
                  <c:v>0.22</c:v>
                </c:pt>
                <c:pt idx="5">
                  <c:v>0.3</c:v>
                </c:pt>
              </c:numCache>
            </c:numRef>
          </c:val>
          <c:extLst>
            <c:ext xmlns:c16="http://schemas.microsoft.com/office/drawing/2014/chart" uri="{C3380CC4-5D6E-409C-BE32-E72D297353CC}">
              <c16:uniqueId val="{00000004-EB4B-4411-9F99-E7D9E26858AD}"/>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704817158931082E-2"/>
          <c:y val="0.10945916828269769"/>
          <c:w val="0.90273470464135019"/>
          <c:h val="0.21229202170378636"/>
        </c:manualLayout>
      </c:layout>
      <c:barChart>
        <c:barDir val="col"/>
        <c:grouping val="clustered"/>
        <c:varyColors val="0"/>
        <c:ser>
          <c:idx val="0"/>
          <c:order val="0"/>
          <c:tx>
            <c:strRef>
              <c:f>'Output - State data'!$D$16</c:f>
              <c:strCache>
                <c:ptCount val="1"/>
                <c:pt idx="0">
                  <c:v>Sep qtr 2022</c:v>
                </c:pt>
              </c:strCache>
            </c:strRef>
          </c:tx>
          <c:spPr>
            <a:solidFill>
              <a:schemeClr val="accent1"/>
            </a:solidFill>
            <a:ln>
              <a:noFill/>
            </a:ln>
            <a:effectLst/>
          </c:spPr>
          <c:invertIfNegative val="0"/>
          <c:cat>
            <c:numRef>
              <c:f>'Output - State data'!$A$17</c:f>
              <c:numCache>
                <c:formatCode>General</c:formatCode>
                <c:ptCount val="1"/>
              </c:numCache>
            </c:numRef>
          </c:cat>
          <c:val>
            <c:numRef>
              <c:f>'Output - State data'!$D$17</c:f>
              <c:numCache>
                <c:formatCode>General</c:formatCode>
                <c:ptCount val="1"/>
              </c:numCache>
            </c:numRef>
          </c:val>
          <c:extLst>
            <c:ext xmlns:c16="http://schemas.microsoft.com/office/drawing/2014/chart" uri="{C3380CC4-5D6E-409C-BE32-E72D297353CC}">
              <c16:uniqueId val="{00000000-46C2-4560-A531-D84C673E1ED6}"/>
            </c:ext>
          </c:extLst>
        </c:ser>
        <c:ser>
          <c:idx val="1"/>
          <c:order val="1"/>
          <c:tx>
            <c:strRef>
              <c:f>'Output - State data'!$E$16</c:f>
              <c:strCache>
                <c:ptCount val="1"/>
                <c:pt idx="0">
                  <c:v>Dec qtr 2022</c:v>
                </c:pt>
              </c:strCache>
            </c:strRef>
          </c:tx>
          <c:spPr>
            <a:solidFill>
              <a:schemeClr val="accent2"/>
            </a:solidFill>
            <a:ln>
              <a:noFill/>
            </a:ln>
            <a:effectLst/>
          </c:spPr>
          <c:invertIfNegative val="0"/>
          <c:cat>
            <c:numRef>
              <c:f>'Output - State data'!$A$17</c:f>
              <c:numCache>
                <c:formatCode>General</c:formatCode>
                <c:ptCount val="1"/>
              </c:numCache>
            </c:numRef>
          </c:cat>
          <c:val>
            <c:numRef>
              <c:f>'Output - State data'!$E$17</c:f>
              <c:numCache>
                <c:formatCode>General</c:formatCode>
                <c:ptCount val="1"/>
              </c:numCache>
            </c:numRef>
          </c:val>
          <c:extLst>
            <c:ext xmlns:c16="http://schemas.microsoft.com/office/drawing/2014/chart" uri="{C3380CC4-5D6E-409C-BE32-E72D297353CC}">
              <c16:uniqueId val="{00000001-46C2-4560-A531-D84C673E1ED6}"/>
            </c:ext>
          </c:extLst>
        </c:ser>
        <c:ser>
          <c:idx val="2"/>
          <c:order val="2"/>
          <c:tx>
            <c:strRef>
              <c:f>'Output - State data'!$F$16</c:f>
              <c:strCache>
                <c:ptCount val="1"/>
                <c:pt idx="0">
                  <c:v>Mar qtr 2023</c:v>
                </c:pt>
              </c:strCache>
            </c:strRef>
          </c:tx>
          <c:spPr>
            <a:solidFill>
              <a:schemeClr val="accent3"/>
            </a:solidFill>
            <a:ln>
              <a:noFill/>
            </a:ln>
            <a:effectLst/>
          </c:spPr>
          <c:invertIfNegative val="0"/>
          <c:cat>
            <c:numRef>
              <c:f>'Output - State data'!$A$17</c:f>
              <c:numCache>
                <c:formatCode>General</c:formatCode>
                <c:ptCount val="1"/>
              </c:numCache>
            </c:numRef>
          </c:cat>
          <c:val>
            <c:numRef>
              <c:f>'Output - State data'!$F$17</c:f>
              <c:numCache>
                <c:formatCode>General</c:formatCode>
                <c:ptCount val="1"/>
              </c:numCache>
            </c:numRef>
          </c:val>
          <c:extLst>
            <c:ext xmlns:c16="http://schemas.microsoft.com/office/drawing/2014/chart" uri="{C3380CC4-5D6E-409C-BE32-E72D297353CC}">
              <c16:uniqueId val="{00000002-46C2-4560-A531-D84C673E1ED6}"/>
            </c:ext>
          </c:extLst>
        </c:ser>
        <c:ser>
          <c:idx val="3"/>
          <c:order val="3"/>
          <c:tx>
            <c:strRef>
              <c:f>'Output - State data'!$G$16</c:f>
              <c:strCache>
                <c:ptCount val="1"/>
                <c:pt idx="0">
                  <c:v>Jun qtr 2023</c:v>
                </c:pt>
              </c:strCache>
            </c:strRef>
          </c:tx>
          <c:spPr>
            <a:solidFill>
              <a:schemeClr val="accent4"/>
            </a:solidFill>
            <a:ln>
              <a:noFill/>
            </a:ln>
            <a:effectLst/>
          </c:spPr>
          <c:invertIfNegative val="0"/>
          <c:cat>
            <c:numRef>
              <c:f>'Output - State data'!$A$17</c:f>
              <c:numCache>
                <c:formatCode>General</c:formatCode>
                <c:ptCount val="1"/>
              </c:numCache>
            </c:numRef>
          </c:cat>
          <c:val>
            <c:numRef>
              <c:f>'Output - State data'!$G$17</c:f>
              <c:numCache>
                <c:formatCode>General</c:formatCode>
                <c:ptCount val="1"/>
              </c:numCache>
            </c:numRef>
          </c:val>
          <c:extLst>
            <c:ext xmlns:c16="http://schemas.microsoft.com/office/drawing/2014/chart" uri="{C3380CC4-5D6E-409C-BE32-E72D297353CC}">
              <c16:uniqueId val="{00000003-46C2-4560-A531-D84C673E1ED6}"/>
            </c:ext>
          </c:extLst>
        </c:ser>
        <c:ser>
          <c:idx val="4"/>
          <c:order val="4"/>
          <c:tx>
            <c:strRef>
              <c:f>'Output - State data'!$H$16</c:f>
              <c:strCache>
                <c:ptCount val="1"/>
                <c:pt idx="0">
                  <c:v>Sep qtr 2023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'Output - State data'!$A$17</c:f>
              <c:numCache>
                <c:formatCode>General</c:formatCode>
                <c:ptCount val="1"/>
              </c:numCache>
            </c:numRef>
          </c:cat>
          <c:val>
            <c:numRef>
              <c:f>'Output - State data'!$H$17</c:f>
              <c:numCache>
                <c:formatCode>General</c:formatCode>
                <c:ptCount val="1"/>
              </c:numCache>
            </c:numRef>
          </c:val>
          <c:extLst>
            <c:ext xmlns:c16="http://schemas.microsoft.com/office/drawing/2014/chart" uri="{C3380CC4-5D6E-409C-BE32-E72D297353CC}">
              <c16:uniqueId val="{00000004-46C2-4560-A531-D84C673E1ED6}"/>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1"/>
        <c:axPos val="b"/>
        <c:numFmt formatCode="General" sourceLinked="1"/>
        <c:majorTickMark val="out"/>
        <c:minorTickMark val="none"/>
        <c:tickLblPos val="nextTo"/>
        <c:crossAx val="510140415"/>
        <c:crosses val="autoZero"/>
        <c:auto val="1"/>
        <c:lblAlgn val="ctr"/>
        <c:lblOffset val="100"/>
        <c:noMultiLvlLbl val="0"/>
      </c:catAx>
      <c:valAx>
        <c:axId val="510140415"/>
        <c:scaling>
          <c:orientation val="minMax"/>
        </c:scaling>
        <c:delete val="1"/>
        <c:axPos val="l"/>
        <c:numFmt formatCode="General" sourceLinked="1"/>
        <c:majorTickMark val="none"/>
        <c:minorTickMark val="none"/>
        <c:tickLblPos val="nextTo"/>
        <c:crossAx val="1065368751"/>
        <c:crosses val="autoZero"/>
        <c:crossBetween val="between"/>
        <c:majorUnit val="0.2"/>
      </c:valAx>
      <c:spPr>
        <a:noFill/>
        <a:ln w="25400">
          <a:noFill/>
        </a:ln>
        <a:effectLst/>
      </c:spPr>
    </c:plotArea>
    <c:legend>
      <c:legendPos val="b"/>
      <c:layout>
        <c:manualLayout>
          <c:xMode val="edge"/>
          <c:yMode val="edge"/>
          <c:x val="2.9446060631865004E-2"/>
          <c:y val="0.11660292463442069"/>
          <c:w val="0.96685056258790436"/>
          <c:h val="0.8236916025151319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 ARIA'!$D$21</c:f>
              <c:strCache>
                <c:ptCount val="1"/>
                <c:pt idx="0">
                  <c:v>2022Q3</c:v>
                </c:pt>
              </c:strCache>
            </c:strRef>
          </c:tx>
          <c:spPr>
            <a:solidFill>
              <a:schemeClr val="accent1"/>
            </a:solidFill>
            <a:ln>
              <a:noFill/>
            </a:ln>
            <a:effectLst/>
          </c:spPr>
          <c:invertIfNegative val="0"/>
          <c:cat>
            <c:strRef>
              <c:f>'Output - ARIA'!$A$22:$A$24</c:f>
              <c:strCache>
                <c:ptCount val="3"/>
                <c:pt idx="0">
                  <c:v>Major Cities of Australia</c:v>
                </c:pt>
                <c:pt idx="1">
                  <c:v>Inner Regional Australia</c:v>
                </c:pt>
                <c:pt idx="2">
                  <c:v>Outer Regional, Remote, and Very Remote Australia</c:v>
                </c:pt>
              </c:strCache>
            </c:strRef>
          </c:cat>
          <c:val>
            <c:numRef>
              <c:f>'Output - ARIA'!$D$22:$D$24</c:f>
              <c:numCache>
                <c:formatCode>0%</c:formatCode>
                <c:ptCount val="3"/>
                <c:pt idx="0">
                  <c:v>0.56000000000000005</c:v>
                </c:pt>
                <c:pt idx="1">
                  <c:v>0.6</c:v>
                </c:pt>
                <c:pt idx="2">
                  <c:v>0.57999999999999996</c:v>
                </c:pt>
              </c:numCache>
            </c:numRef>
          </c:val>
          <c:extLst>
            <c:ext xmlns:c16="http://schemas.microsoft.com/office/drawing/2014/chart" uri="{C3380CC4-5D6E-409C-BE32-E72D297353CC}">
              <c16:uniqueId val="{00000000-D511-4317-96DC-062731658078}"/>
            </c:ext>
          </c:extLst>
        </c:ser>
        <c:ser>
          <c:idx val="1"/>
          <c:order val="1"/>
          <c:tx>
            <c:strRef>
              <c:f>'Output - ARIA'!$E$21</c:f>
              <c:strCache>
                <c:ptCount val="1"/>
                <c:pt idx="0">
                  <c:v>2022Q4</c:v>
                </c:pt>
              </c:strCache>
            </c:strRef>
          </c:tx>
          <c:spPr>
            <a:solidFill>
              <a:schemeClr val="accent2"/>
            </a:solidFill>
            <a:ln>
              <a:noFill/>
            </a:ln>
            <a:effectLst/>
          </c:spPr>
          <c:invertIfNegative val="0"/>
          <c:cat>
            <c:strRef>
              <c:f>'Output - ARIA'!$A$22:$A$24</c:f>
              <c:strCache>
                <c:ptCount val="3"/>
                <c:pt idx="0">
                  <c:v>Major Cities of Australia</c:v>
                </c:pt>
                <c:pt idx="1">
                  <c:v>Inner Regional Australia</c:v>
                </c:pt>
                <c:pt idx="2">
                  <c:v>Outer Regional, Remote, and Very Remote Australia</c:v>
                </c:pt>
              </c:strCache>
            </c:strRef>
          </c:cat>
          <c:val>
            <c:numRef>
              <c:f>'Output - ARIA'!$E$22:$E$24</c:f>
              <c:numCache>
                <c:formatCode>0%</c:formatCode>
                <c:ptCount val="3"/>
                <c:pt idx="0">
                  <c:v>0.56000000000000005</c:v>
                </c:pt>
                <c:pt idx="1">
                  <c:v>0.56000000000000005</c:v>
                </c:pt>
                <c:pt idx="2">
                  <c:v>0.59</c:v>
                </c:pt>
              </c:numCache>
            </c:numRef>
          </c:val>
          <c:extLst>
            <c:ext xmlns:c16="http://schemas.microsoft.com/office/drawing/2014/chart" uri="{C3380CC4-5D6E-409C-BE32-E72D297353CC}">
              <c16:uniqueId val="{00000001-D511-4317-96DC-062731658078}"/>
            </c:ext>
          </c:extLst>
        </c:ser>
        <c:ser>
          <c:idx val="2"/>
          <c:order val="2"/>
          <c:tx>
            <c:strRef>
              <c:f>'Output - ARIA'!$F$21</c:f>
              <c:strCache>
                <c:ptCount val="1"/>
                <c:pt idx="0">
                  <c:v>2023Q1</c:v>
                </c:pt>
              </c:strCache>
            </c:strRef>
          </c:tx>
          <c:spPr>
            <a:solidFill>
              <a:schemeClr val="accent3"/>
            </a:solidFill>
            <a:ln>
              <a:noFill/>
            </a:ln>
            <a:effectLst/>
          </c:spPr>
          <c:invertIfNegative val="0"/>
          <c:cat>
            <c:strRef>
              <c:f>'Output - ARIA'!$A$22:$A$24</c:f>
              <c:strCache>
                <c:ptCount val="3"/>
                <c:pt idx="0">
                  <c:v>Major Cities of Australia</c:v>
                </c:pt>
                <c:pt idx="1">
                  <c:v>Inner Regional Australia</c:v>
                </c:pt>
                <c:pt idx="2">
                  <c:v>Outer Regional, Remote, and Very Remote Australia</c:v>
                </c:pt>
              </c:strCache>
            </c:strRef>
          </c:cat>
          <c:val>
            <c:numRef>
              <c:f>'Output - ARIA'!$F$22:$F$24</c:f>
              <c:numCache>
                <c:formatCode>0%</c:formatCode>
                <c:ptCount val="3"/>
                <c:pt idx="0">
                  <c:v>0.54</c:v>
                </c:pt>
                <c:pt idx="1">
                  <c:v>0.56000000000000005</c:v>
                </c:pt>
                <c:pt idx="2">
                  <c:v>0.63</c:v>
                </c:pt>
              </c:numCache>
            </c:numRef>
          </c:val>
          <c:extLst>
            <c:ext xmlns:c16="http://schemas.microsoft.com/office/drawing/2014/chart" uri="{C3380CC4-5D6E-409C-BE32-E72D297353CC}">
              <c16:uniqueId val="{00000002-D511-4317-96DC-062731658078}"/>
            </c:ext>
          </c:extLst>
        </c:ser>
        <c:ser>
          <c:idx val="3"/>
          <c:order val="3"/>
          <c:tx>
            <c:strRef>
              <c:f>'Output - ARIA'!$G$21</c:f>
              <c:strCache>
                <c:ptCount val="1"/>
                <c:pt idx="0">
                  <c:v>2023Q2</c:v>
                </c:pt>
              </c:strCache>
            </c:strRef>
          </c:tx>
          <c:spPr>
            <a:solidFill>
              <a:schemeClr val="accent4"/>
            </a:solidFill>
            <a:ln>
              <a:noFill/>
            </a:ln>
            <a:effectLst/>
          </c:spPr>
          <c:invertIfNegative val="0"/>
          <c:cat>
            <c:strRef>
              <c:f>'Output - ARIA'!$A$22:$A$24</c:f>
              <c:strCache>
                <c:ptCount val="3"/>
                <c:pt idx="0">
                  <c:v>Major Cities of Australia</c:v>
                </c:pt>
                <c:pt idx="1">
                  <c:v>Inner Regional Australia</c:v>
                </c:pt>
                <c:pt idx="2">
                  <c:v>Outer Regional, Remote, and Very Remote Australia</c:v>
                </c:pt>
              </c:strCache>
            </c:strRef>
          </c:cat>
          <c:val>
            <c:numRef>
              <c:f>'Output - ARIA'!$G$22:$G$24</c:f>
              <c:numCache>
                <c:formatCode>0%</c:formatCode>
                <c:ptCount val="3"/>
                <c:pt idx="0">
                  <c:v>0.48</c:v>
                </c:pt>
                <c:pt idx="1">
                  <c:v>0.53</c:v>
                </c:pt>
                <c:pt idx="2">
                  <c:v>0.56999999999999995</c:v>
                </c:pt>
              </c:numCache>
            </c:numRef>
          </c:val>
          <c:extLst>
            <c:ext xmlns:c16="http://schemas.microsoft.com/office/drawing/2014/chart" uri="{C3380CC4-5D6E-409C-BE32-E72D297353CC}">
              <c16:uniqueId val="{00000003-D511-4317-96DC-062731658078}"/>
            </c:ext>
          </c:extLst>
        </c:ser>
        <c:ser>
          <c:idx val="4"/>
          <c:order val="4"/>
          <c:tx>
            <c:strRef>
              <c:f>'Output - ARIA'!$H$21</c:f>
              <c:strCache>
                <c:ptCount val="1"/>
                <c:pt idx="0">
                  <c:v>2023Q3</c:v>
                </c:pt>
              </c:strCache>
            </c:strRef>
          </c:tx>
          <c:spPr>
            <a:solidFill>
              <a:schemeClr val="accent5"/>
            </a:solidFill>
            <a:ln>
              <a:noFill/>
            </a:ln>
            <a:effectLst/>
          </c:spPr>
          <c:invertIfNegative val="0"/>
          <c:cat>
            <c:strRef>
              <c:f>'Output - ARIA'!$A$22:$A$24</c:f>
              <c:strCache>
                <c:ptCount val="3"/>
                <c:pt idx="0">
                  <c:v>Major Cities of Australia</c:v>
                </c:pt>
                <c:pt idx="1">
                  <c:v>Inner Regional Australia</c:v>
                </c:pt>
                <c:pt idx="2">
                  <c:v>Outer Regional, Remote, and Very Remote Australia</c:v>
                </c:pt>
              </c:strCache>
            </c:strRef>
          </c:cat>
          <c:val>
            <c:numRef>
              <c:f>'Output - ARIA'!$H$22:$H$24</c:f>
              <c:numCache>
                <c:formatCode>0%</c:formatCode>
                <c:ptCount val="3"/>
                <c:pt idx="0">
                  <c:v>0.47</c:v>
                </c:pt>
                <c:pt idx="1">
                  <c:v>0.49</c:v>
                </c:pt>
                <c:pt idx="2">
                  <c:v>0.55000000000000004</c:v>
                </c:pt>
              </c:numCache>
            </c:numRef>
          </c:val>
          <c:extLst>
            <c:ext xmlns:c16="http://schemas.microsoft.com/office/drawing/2014/chart" uri="{C3380CC4-5D6E-409C-BE32-E72D297353CC}">
              <c16:uniqueId val="{00000004-D511-4317-96DC-062731658078}"/>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'Output - ARIA'!$D$21</c:f>
              <c:strCache>
                <c:ptCount val="1"/>
                <c:pt idx="0">
                  <c:v>2022Q3</c:v>
                </c:pt>
              </c:strCache>
            </c:strRef>
          </c:tx>
          <c:spPr>
            <a:solidFill>
              <a:schemeClr val="accent1"/>
            </a:solidFill>
            <a:ln>
              <a:noFill/>
            </a:ln>
            <a:effectLst/>
          </c:spPr>
          <c:invertIfNegative val="0"/>
          <c:cat>
            <c:strRef>
              <c:f>'Output - ARIA'!$A$36:$A$38</c:f>
              <c:strCache>
                <c:ptCount val="3"/>
                <c:pt idx="0">
                  <c:v>Major Cities of Australia</c:v>
                </c:pt>
                <c:pt idx="1">
                  <c:v>Inner Regional Australia</c:v>
                </c:pt>
                <c:pt idx="2">
                  <c:v>Outer Regional, Remote, and Very Remote Australia</c:v>
                </c:pt>
              </c:strCache>
            </c:strRef>
          </c:cat>
          <c:val>
            <c:numRef>
              <c:f>'Output - ARIA'!$D$36:$D$38</c:f>
              <c:numCache>
                <c:formatCode>0%</c:formatCode>
                <c:ptCount val="3"/>
                <c:pt idx="0">
                  <c:v>0.72</c:v>
                </c:pt>
                <c:pt idx="1">
                  <c:v>0.71</c:v>
                </c:pt>
                <c:pt idx="2">
                  <c:v>0.73</c:v>
                </c:pt>
              </c:numCache>
            </c:numRef>
          </c:val>
          <c:extLst>
            <c:ext xmlns:c16="http://schemas.microsoft.com/office/drawing/2014/chart" uri="{C3380CC4-5D6E-409C-BE32-E72D297353CC}">
              <c16:uniqueId val="{00000000-D5B6-43D6-A74C-F2098628207A}"/>
            </c:ext>
          </c:extLst>
        </c:ser>
        <c:ser>
          <c:idx val="1"/>
          <c:order val="1"/>
          <c:tx>
            <c:strRef>
              <c:f>'Output - ARIA'!$E$21</c:f>
              <c:strCache>
                <c:ptCount val="1"/>
                <c:pt idx="0">
                  <c:v>2022Q4</c:v>
                </c:pt>
              </c:strCache>
            </c:strRef>
          </c:tx>
          <c:spPr>
            <a:solidFill>
              <a:schemeClr val="accent2"/>
            </a:solidFill>
            <a:ln>
              <a:noFill/>
            </a:ln>
            <a:effectLst/>
          </c:spPr>
          <c:invertIfNegative val="0"/>
          <c:cat>
            <c:strRef>
              <c:f>'Output - ARIA'!$A$36:$A$38</c:f>
              <c:strCache>
                <c:ptCount val="3"/>
                <c:pt idx="0">
                  <c:v>Major Cities of Australia</c:v>
                </c:pt>
                <c:pt idx="1">
                  <c:v>Inner Regional Australia</c:v>
                </c:pt>
                <c:pt idx="2">
                  <c:v>Outer Regional, Remote, and Very Remote Australia</c:v>
                </c:pt>
              </c:strCache>
            </c:strRef>
          </c:cat>
          <c:val>
            <c:numRef>
              <c:f>'Output - ARIA'!$E$36:$E$38</c:f>
              <c:numCache>
                <c:formatCode>0%</c:formatCode>
                <c:ptCount val="3"/>
                <c:pt idx="0">
                  <c:v>0.67</c:v>
                </c:pt>
                <c:pt idx="1">
                  <c:v>0.73</c:v>
                </c:pt>
                <c:pt idx="2">
                  <c:v>0.66</c:v>
                </c:pt>
              </c:numCache>
            </c:numRef>
          </c:val>
          <c:extLst>
            <c:ext xmlns:c16="http://schemas.microsoft.com/office/drawing/2014/chart" uri="{C3380CC4-5D6E-409C-BE32-E72D297353CC}">
              <c16:uniqueId val="{00000001-D5B6-43D6-A74C-F2098628207A}"/>
            </c:ext>
          </c:extLst>
        </c:ser>
        <c:ser>
          <c:idx val="2"/>
          <c:order val="2"/>
          <c:tx>
            <c:strRef>
              <c:f>'Output - ARIA'!$F$21</c:f>
              <c:strCache>
                <c:ptCount val="1"/>
                <c:pt idx="0">
                  <c:v>2023Q1</c:v>
                </c:pt>
              </c:strCache>
            </c:strRef>
          </c:tx>
          <c:spPr>
            <a:solidFill>
              <a:schemeClr val="accent3"/>
            </a:solidFill>
            <a:ln>
              <a:noFill/>
            </a:ln>
            <a:effectLst/>
          </c:spPr>
          <c:invertIfNegative val="0"/>
          <c:cat>
            <c:strRef>
              <c:f>'Output - ARIA'!$A$36:$A$38</c:f>
              <c:strCache>
                <c:ptCount val="3"/>
                <c:pt idx="0">
                  <c:v>Major Cities of Australia</c:v>
                </c:pt>
                <c:pt idx="1">
                  <c:v>Inner Regional Australia</c:v>
                </c:pt>
                <c:pt idx="2">
                  <c:v>Outer Regional, Remote, and Very Remote Australia</c:v>
                </c:pt>
              </c:strCache>
            </c:strRef>
          </c:cat>
          <c:val>
            <c:numRef>
              <c:f>'Output - ARIA'!$F$36:$F$38</c:f>
              <c:numCache>
                <c:formatCode>0%</c:formatCode>
                <c:ptCount val="3"/>
                <c:pt idx="0">
                  <c:v>0.61</c:v>
                </c:pt>
                <c:pt idx="1">
                  <c:v>0.59</c:v>
                </c:pt>
                <c:pt idx="2">
                  <c:v>0.68</c:v>
                </c:pt>
              </c:numCache>
            </c:numRef>
          </c:val>
          <c:extLst>
            <c:ext xmlns:c16="http://schemas.microsoft.com/office/drawing/2014/chart" uri="{C3380CC4-5D6E-409C-BE32-E72D297353CC}">
              <c16:uniqueId val="{00000002-D5B6-43D6-A74C-F2098628207A}"/>
            </c:ext>
          </c:extLst>
        </c:ser>
        <c:ser>
          <c:idx val="3"/>
          <c:order val="3"/>
          <c:tx>
            <c:strRef>
              <c:f>'Output - ARIA'!$G$21</c:f>
              <c:strCache>
                <c:ptCount val="1"/>
                <c:pt idx="0">
                  <c:v>2023Q2</c:v>
                </c:pt>
              </c:strCache>
            </c:strRef>
          </c:tx>
          <c:spPr>
            <a:solidFill>
              <a:schemeClr val="accent4"/>
            </a:solidFill>
            <a:ln>
              <a:noFill/>
            </a:ln>
            <a:effectLst/>
          </c:spPr>
          <c:invertIfNegative val="0"/>
          <c:cat>
            <c:strRef>
              <c:f>'Output - ARIA'!$A$36:$A$38</c:f>
              <c:strCache>
                <c:ptCount val="3"/>
                <c:pt idx="0">
                  <c:v>Major Cities of Australia</c:v>
                </c:pt>
                <c:pt idx="1">
                  <c:v>Inner Regional Australia</c:v>
                </c:pt>
                <c:pt idx="2">
                  <c:v>Outer Regional, Remote, and Very Remote Australia</c:v>
                </c:pt>
              </c:strCache>
            </c:strRef>
          </c:cat>
          <c:val>
            <c:numRef>
              <c:f>'Output - ARIA'!$G$36:$G$38</c:f>
              <c:numCache>
                <c:formatCode>0%</c:formatCode>
                <c:ptCount val="3"/>
                <c:pt idx="0">
                  <c:v>0.62</c:v>
                </c:pt>
                <c:pt idx="1">
                  <c:v>0.7</c:v>
                </c:pt>
                <c:pt idx="2">
                  <c:v>0.67</c:v>
                </c:pt>
              </c:numCache>
            </c:numRef>
          </c:val>
          <c:extLst>
            <c:ext xmlns:c16="http://schemas.microsoft.com/office/drawing/2014/chart" uri="{C3380CC4-5D6E-409C-BE32-E72D297353CC}">
              <c16:uniqueId val="{00000003-D5B6-43D6-A74C-F2098628207A}"/>
            </c:ext>
          </c:extLst>
        </c:ser>
        <c:ser>
          <c:idx val="4"/>
          <c:order val="4"/>
          <c:tx>
            <c:strRef>
              <c:f>'Output - ARIA'!$H$21</c:f>
              <c:strCache>
                <c:ptCount val="1"/>
                <c:pt idx="0">
                  <c:v>2023Q3</c:v>
                </c:pt>
              </c:strCache>
            </c:strRef>
          </c:tx>
          <c:spPr>
            <a:solidFill>
              <a:schemeClr val="accent5"/>
            </a:solidFill>
            <a:ln>
              <a:noFill/>
            </a:ln>
            <a:effectLst/>
          </c:spPr>
          <c:invertIfNegative val="0"/>
          <c:cat>
            <c:strRef>
              <c:f>'Output - ARIA'!$A$36:$A$38</c:f>
              <c:strCache>
                <c:ptCount val="3"/>
                <c:pt idx="0">
                  <c:v>Major Cities of Australia</c:v>
                </c:pt>
                <c:pt idx="1">
                  <c:v>Inner Regional Australia</c:v>
                </c:pt>
                <c:pt idx="2">
                  <c:v>Outer Regional, Remote, and Very Remote Australia</c:v>
                </c:pt>
              </c:strCache>
            </c:strRef>
          </c:cat>
          <c:val>
            <c:numRef>
              <c:f>'Output - ARIA'!$H$36:$H$38</c:f>
              <c:numCache>
                <c:formatCode>0%</c:formatCode>
                <c:ptCount val="3"/>
                <c:pt idx="0">
                  <c:v>0.56999999999999995</c:v>
                </c:pt>
                <c:pt idx="1">
                  <c:v>0.64</c:v>
                </c:pt>
                <c:pt idx="2">
                  <c:v>0.67</c:v>
                </c:pt>
              </c:numCache>
            </c:numRef>
          </c:val>
          <c:extLst>
            <c:ext xmlns:c16="http://schemas.microsoft.com/office/drawing/2014/chart" uri="{C3380CC4-5D6E-409C-BE32-E72D297353CC}">
              <c16:uniqueId val="{00000004-D5B6-43D6-A74C-F2098628207A}"/>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0140415"/>
        <c:crosses val="autoZero"/>
        <c:auto val="1"/>
        <c:lblAlgn val="ctr"/>
        <c:lblOffset val="100"/>
        <c:noMultiLvlLbl val="0"/>
      </c:catAx>
      <c:valAx>
        <c:axId val="51014041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5368751"/>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JSA colours">
    <a:dk1>
      <a:sysClr val="windowText" lastClr="000000"/>
    </a:dk1>
    <a:lt1>
      <a:srgbClr val="FFFFFF"/>
    </a:lt1>
    <a:dk2>
      <a:srgbClr val="44546A"/>
    </a:dk2>
    <a:lt2>
      <a:srgbClr val="E7E6E6"/>
    </a:lt2>
    <a:accent1>
      <a:srgbClr val="6929C4"/>
    </a:accent1>
    <a:accent2>
      <a:srgbClr val="009D9A"/>
    </a:accent2>
    <a:accent3>
      <a:srgbClr val="002060"/>
    </a:accent3>
    <a:accent4>
      <a:srgbClr val="EE538B"/>
    </a:accent4>
    <a:accent5>
      <a:srgbClr val="1192E8"/>
    </a:accent5>
    <a:accent6>
      <a:srgbClr val="9F1853"/>
    </a:accent6>
    <a:hlink>
      <a:srgbClr val="005D5D"/>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JSA colours">
    <a:dk1>
      <a:sysClr val="windowText" lastClr="000000"/>
    </a:dk1>
    <a:lt1>
      <a:srgbClr val="FFFFFF"/>
    </a:lt1>
    <a:dk2>
      <a:srgbClr val="44546A"/>
    </a:dk2>
    <a:lt2>
      <a:srgbClr val="E7E6E6"/>
    </a:lt2>
    <a:accent1>
      <a:srgbClr val="6929C4"/>
    </a:accent1>
    <a:accent2>
      <a:srgbClr val="009D9A"/>
    </a:accent2>
    <a:accent3>
      <a:srgbClr val="002060"/>
    </a:accent3>
    <a:accent4>
      <a:srgbClr val="EE538B"/>
    </a:accent4>
    <a:accent5>
      <a:srgbClr val="1192E8"/>
    </a:accent5>
    <a:accent6>
      <a:srgbClr val="9F1853"/>
    </a:accent6>
    <a:hlink>
      <a:srgbClr val="005D5D"/>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Links>
    <vt:vector size="60" baseType="variant">
      <vt:variant>
        <vt:i4>4718628</vt:i4>
      </vt:variant>
      <vt:variant>
        <vt:i4>57</vt:i4>
      </vt:variant>
      <vt:variant>
        <vt:i4>0</vt:i4>
      </vt:variant>
      <vt:variant>
        <vt:i4>5</vt:i4>
      </vt:variant>
      <vt:variant>
        <vt:lpwstr>mailto:communications@jobsandskills.gov.au</vt:lpwstr>
      </vt:variant>
      <vt:variant>
        <vt:lpwstr/>
      </vt:variant>
      <vt:variant>
        <vt:i4>1572921</vt:i4>
      </vt:variant>
      <vt:variant>
        <vt:i4>50</vt:i4>
      </vt:variant>
      <vt:variant>
        <vt:i4>0</vt:i4>
      </vt:variant>
      <vt:variant>
        <vt:i4>5</vt:i4>
      </vt:variant>
      <vt:variant>
        <vt:lpwstr/>
      </vt:variant>
      <vt:variant>
        <vt:lpwstr>_Toc119418028</vt:lpwstr>
      </vt:variant>
      <vt:variant>
        <vt:i4>1572921</vt:i4>
      </vt:variant>
      <vt:variant>
        <vt:i4>44</vt:i4>
      </vt:variant>
      <vt:variant>
        <vt:i4>0</vt:i4>
      </vt:variant>
      <vt:variant>
        <vt:i4>5</vt:i4>
      </vt:variant>
      <vt:variant>
        <vt:lpwstr/>
      </vt:variant>
      <vt:variant>
        <vt:lpwstr>_Toc119418027</vt:lpwstr>
      </vt:variant>
      <vt:variant>
        <vt:i4>1572921</vt:i4>
      </vt:variant>
      <vt:variant>
        <vt:i4>38</vt:i4>
      </vt:variant>
      <vt:variant>
        <vt:i4>0</vt:i4>
      </vt:variant>
      <vt:variant>
        <vt:i4>5</vt:i4>
      </vt:variant>
      <vt:variant>
        <vt:lpwstr/>
      </vt:variant>
      <vt:variant>
        <vt:lpwstr>_Toc119418026</vt:lpwstr>
      </vt:variant>
      <vt:variant>
        <vt:i4>1572921</vt:i4>
      </vt:variant>
      <vt:variant>
        <vt:i4>32</vt:i4>
      </vt:variant>
      <vt:variant>
        <vt:i4>0</vt:i4>
      </vt:variant>
      <vt:variant>
        <vt:i4>5</vt:i4>
      </vt:variant>
      <vt:variant>
        <vt:lpwstr/>
      </vt:variant>
      <vt:variant>
        <vt:lpwstr>_Toc119418025</vt:lpwstr>
      </vt:variant>
      <vt:variant>
        <vt:i4>1572921</vt:i4>
      </vt:variant>
      <vt:variant>
        <vt:i4>26</vt:i4>
      </vt:variant>
      <vt:variant>
        <vt:i4>0</vt:i4>
      </vt:variant>
      <vt:variant>
        <vt:i4>5</vt:i4>
      </vt:variant>
      <vt:variant>
        <vt:lpwstr/>
      </vt:variant>
      <vt:variant>
        <vt:lpwstr>_Toc119418024</vt:lpwstr>
      </vt:variant>
      <vt:variant>
        <vt:i4>1572921</vt:i4>
      </vt:variant>
      <vt:variant>
        <vt:i4>20</vt:i4>
      </vt:variant>
      <vt:variant>
        <vt:i4>0</vt:i4>
      </vt:variant>
      <vt:variant>
        <vt:i4>5</vt:i4>
      </vt:variant>
      <vt:variant>
        <vt:lpwstr/>
      </vt:variant>
      <vt:variant>
        <vt:lpwstr>_Toc119418023</vt:lpwstr>
      </vt:variant>
      <vt:variant>
        <vt:i4>1572921</vt:i4>
      </vt:variant>
      <vt:variant>
        <vt:i4>14</vt:i4>
      </vt:variant>
      <vt:variant>
        <vt:i4>0</vt:i4>
      </vt:variant>
      <vt:variant>
        <vt:i4>5</vt:i4>
      </vt:variant>
      <vt:variant>
        <vt:lpwstr/>
      </vt:variant>
      <vt:variant>
        <vt:lpwstr>_Toc119418022</vt:lpwstr>
      </vt:variant>
      <vt:variant>
        <vt:i4>1572921</vt:i4>
      </vt:variant>
      <vt:variant>
        <vt:i4>8</vt:i4>
      </vt:variant>
      <vt:variant>
        <vt:i4>0</vt:i4>
      </vt:variant>
      <vt:variant>
        <vt:i4>5</vt:i4>
      </vt:variant>
      <vt:variant>
        <vt:lpwstr/>
      </vt:variant>
      <vt:variant>
        <vt:lpwstr>_Toc119418021</vt:lpwstr>
      </vt:variant>
      <vt:variant>
        <vt:i4>1572921</vt:i4>
      </vt:variant>
      <vt:variant>
        <vt:i4>2</vt:i4>
      </vt:variant>
      <vt:variant>
        <vt:i4>0</vt:i4>
      </vt:variant>
      <vt:variant>
        <vt:i4>5</vt:i4>
      </vt:variant>
      <vt:variant>
        <vt:lpwstr/>
      </vt:variant>
      <vt:variant>
        <vt:lpwstr>_Toc119418020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2023-10-31T03:38:00Z</dcterms:created>
  <dcterms:modified xsi:type="dcterms:W3CDTF">2023-11-01T23:28:00Z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2023-10-31T05:29:39Z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a17a53cc-cb0c-461f-8fd1-97bd1d2181b7</vt:lpwstr>
  </property>
  <property fmtid="{D5CDD505-2E9C-101B-9397-08002B2CF9AE}" pid="8" name="MSIP_Label_79d889eb-932f-4752-8739-64d25806ef64_ContentBits">
    <vt:lpwstr>0</vt:lpwstr>
  </property>
</Properties>
</file>